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A73C37E">
      <w:pPr>
        <w:snapToGrid w:val="0"/>
        <w:spacing w:line="288" w:lineRule="auto"/>
        <w:rPr>
          <w:rFonts w:ascii="宋体" w:hAnsi="宋体" w:eastAsiaTheme="minorEastAsia"/>
          <w:color w:val="auto"/>
          <w:sz w:val="44"/>
          <w:highlight w:val="none"/>
        </w:rPr>
      </w:pPr>
    </w:p>
    <w:p w14:paraId="605A2068">
      <w:pPr>
        <w:snapToGrid w:val="0"/>
        <w:spacing w:line="288" w:lineRule="auto"/>
        <w:rPr>
          <w:rFonts w:ascii="宋体" w:hAnsi="宋体"/>
          <w:color w:val="auto"/>
          <w:sz w:val="44"/>
          <w:highlight w:val="none"/>
        </w:rPr>
      </w:pPr>
    </w:p>
    <w:p w14:paraId="167E3D7F">
      <w:pPr>
        <w:snapToGrid w:val="0"/>
        <w:spacing w:line="288" w:lineRule="auto"/>
        <w:rPr>
          <w:rFonts w:ascii="宋体" w:hAnsi="宋体"/>
          <w:color w:val="auto"/>
          <w:sz w:val="44"/>
          <w:highlight w:val="none"/>
        </w:rPr>
      </w:pPr>
    </w:p>
    <w:p w14:paraId="15CBA540">
      <w:pPr>
        <w:tabs>
          <w:tab w:val="left" w:pos="390"/>
          <w:tab w:val="center" w:pos="4404"/>
        </w:tabs>
        <w:snapToGrid w:val="0"/>
        <w:spacing w:line="288" w:lineRule="auto"/>
        <w:jc w:val="center"/>
        <w:rPr>
          <w:rFonts w:ascii="黑体" w:hAnsi="宋体" w:eastAsia="黑体"/>
          <w:color w:val="auto"/>
          <w:sz w:val="76"/>
          <w:szCs w:val="76"/>
          <w:highlight w:val="none"/>
        </w:rPr>
      </w:pPr>
      <w:r>
        <w:rPr>
          <w:rFonts w:hint="eastAsia" w:ascii="黑体" w:hAnsi="宋体" w:eastAsia="黑体"/>
          <w:color w:val="auto"/>
          <w:sz w:val="76"/>
          <w:szCs w:val="76"/>
          <w:highlight w:val="none"/>
        </w:rPr>
        <w:t>公开招标</w:t>
      </w:r>
      <w:bookmarkStart w:id="165" w:name="_GoBack"/>
      <w:bookmarkEnd w:id="165"/>
      <w:r>
        <w:rPr>
          <w:rFonts w:hint="eastAsia" w:ascii="黑体" w:hAnsi="宋体" w:eastAsia="黑体"/>
          <w:color w:val="auto"/>
          <w:sz w:val="76"/>
          <w:szCs w:val="76"/>
          <w:highlight w:val="none"/>
        </w:rPr>
        <w:t>文件</w:t>
      </w:r>
    </w:p>
    <w:p w14:paraId="151BCC18">
      <w:pPr>
        <w:snapToGrid w:val="0"/>
        <w:spacing w:line="288" w:lineRule="auto"/>
        <w:rPr>
          <w:rFonts w:ascii="黑体" w:hAnsi="宋体" w:eastAsia="黑体"/>
          <w:color w:val="auto"/>
          <w:sz w:val="32"/>
          <w:highlight w:val="none"/>
        </w:rPr>
      </w:pPr>
    </w:p>
    <w:p w14:paraId="1E0C49AF">
      <w:pPr>
        <w:snapToGrid w:val="0"/>
        <w:spacing w:line="288" w:lineRule="auto"/>
        <w:rPr>
          <w:rFonts w:ascii="黑体" w:hAnsi="宋体" w:eastAsia="黑体"/>
          <w:color w:val="auto"/>
          <w:sz w:val="44"/>
          <w:highlight w:val="none"/>
        </w:rPr>
      </w:pPr>
    </w:p>
    <w:p w14:paraId="45F113AC">
      <w:pPr>
        <w:pStyle w:val="73"/>
        <w:ind w:firstLine="880"/>
        <w:rPr>
          <w:rFonts w:ascii="黑体" w:hAnsi="宋体" w:eastAsia="黑体"/>
          <w:color w:val="auto"/>
          <w:sz w:val="44"/>
          <w:highlight w:val="none"/>
        </w:rPr>
      </w:pPr>
    </w:p>
    <w:p w14:paraId="328A7D8B">
      <w:pPr>
        <w:pStyle w:val="73"/>
        <w:ind w:firstLine="880"/>
        <w:rPr>
          <w:rFonts w:ascii="黑体" w:hAnsi="宋体" w:eastAsia="黑体"/>
          <w:color w:val="auto"/>
          <w:sz w:val="44"/>
          <w:highlight w:val="none"/>
        </w:rPr>
      </w:pPr>
    </w:p>
    <w:tbl>
      <w:tblPr>
        <w:tblStyle w:val="59"/>
        <w:tblW w:w="4335" w:type="pct"/>
        <w:tblInd w:w="6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33"/>
      </w:tblGrid>
      <w:tr w14:paraId="3553A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5000" w:type="pct"/>
            <w:tcBorders>
              <w:top w:val="nil"/>
              <w:left w:val="nil"/>
              <w:bottom w:val="nil"/>
              <w:right w:val="nil"/>
            </w:tcBorders>
          </w:tcPr>
          <w:p w14:paraId="1EDEA5AB">
            <w:pPr>
              <w:snapToGrid w:val="0"/>
              <w:spacing w:line="288" w:lineRule="auto"/>
              <w:rPr>
                <w:rFonts w:hint="eastAsia" w:ascii="黑体" w:hAnsi="宋体" w:eastAsia="黑体"/>
                <w:color w:val="auto"/>
                <w:sz w:val="44"/>
                <w:highlight w:val="none"/>
                <w:lang w:eastAsia="zh-CN"/>
              </w:rPr>
            </w:pPr>
            <w:r>
              <w:rPr>
                <w:rFonts w:hint="eastAsia" w:ascii="黑体" w:hAnsi="宋体" w:eastAsia="黑体"/>
                <w:color w:val="auto"/>
                <w:sz w:val="44"/>
                <w:highlight w:val="none"/>
              </w:rPr>
              <w:t>项目编号：JSZC-320000-JYCS-G2026-0005</w:t>
            </w:r>
          </w:p>
          <w:p w14:paraId="6909511D">
            <w:pPr>
              <w:snapToGrid w:val="0"/>
              <w:spacing w:line="288" w:lineRule="auto"/>
              <w:ind w:firstLine="440" w:firstLineChars="100"/>
              <w:rPr>
                <w:rFonts w:ascii="黑体" w:hAnsi="宋体" w:eastAsia="黑体"/>
                <w:color w:val="auto"/>
                <w:sz w:val="44"/>
                <w:highlight w:val="none"/>
              </w:rPr>
            </w:pPr>
          </w:p>
          <w:p w14:paraId="1432FAB5">
            <w:pPr>
              <w:snapToGrid w:val="0"/>
              <w:spacing w:line="288" w:lineRule="auto"/>
              <w:ind w:left="2200" w:hanging="2200" w:hangingChars="500"/>
              <w:rPr>
                <w:rFonts w:hint="eastAsia" w:ascii="黑体" w:eastAsia="黑体"/>
                <w:color w:val="auto"/>
                <w:sz w:val="44"/>
                <w:szCs w:val="44"/>
                <w:highlight w:val="none"/>
                <w:lang w:eastAsia="zh-CN"/>
              </w:rPr>
            </w:pPr>
            <w:r>
              <w:rPr>
                <w:rFonts w:hint="eastAsia" w:ascii="黑体" w:hAnsi="宋体" w:eastAsia="黑体"/>
                <w:color w:val="auto"/>
                <w:sz w:val="44"/>
                <w:highlight w:val="none"/>
              </w:rPr>
              <w:t>项目名称：2026年度功模代表休养活动</w:t>
            </w:r>
          </w:p>
        </w:tc>
      </w:tr>
    </w:tbl>
    <w:p w14:paraId="01B67B5A">
      <w:pPr>
        <w:snapToGrid w:val="0"/>
        <w:spacing w:line="288" w:lineRule="auto"/>
        <w:rPr>
          <w:rFonts w:ascii="黑体" w:hAnsi="宋体" w:eastAsia="黑体"/>
          <w:color w:val="auto"/>
          <w:sz w:val="44"/>
          <w:highlight w:val="none"/>
        </w:rPr>
      </w:pPr>
    </w:p>
    <w:p w14:paraId="3A962F05">
      <w:pPr>
        <w:snapToGrid w:val="0"/>
        <w:spacing w:line="288" w:lineRule="auto"/>
        <w:rPr>
          <w:rFonts w:ascii="黑体" w:hAnsi="宋体" w:eastAsia="黑体"/>
          <w:color w:val="auto"/>
          <w:sz w:val="44"/>
          <w:szCs w:val="44"/>
          <w:highlight w:val="none"/>
        </w:rPr>
      </w:pPr>
    </w:p>
    <w:p w14:paraId="2C5FBB94">
      <w:pPr>
        <w:snapToGrid w:val="0"/>
        <w:spacing w:line="288" w:lineRule="auto"/>
        <w:rPr>
          <w:rFonts w:ascii="黑体" w:hAnsi="宋体" w:eastAsia="黑体"/>
          <w:color w:val="auto"/>
          <w:sz w:val="32"/>
          <w:highlight w:val="none"/>
        </w:rPr>
      </w:pPr>
    </w:p>
    <w:p w14:paraId="1A48B535">
      <w:pPr>
        <w:snapToGrid w:val="0"/>
        <w:spacing w:line="288" w:lineRule="auto"/>
        <w:rPr>
          <w:rFonts w:ascii="黑体" w:hAnsi="宋体" w:eastAsia="黑体"/>
          <w:color w:val="auto"/>
          <w:sz w:val="32"/>
          <w:highlight w:val="none"/>
        </w:rPr>
      </w:pPr>
    </w:p>
    <w:p w14:paraId="26FE85AC">
      <w:pPr>
        <w:snapToGrid w:val="0"/>
        <w:spacing w:line="288" w:lineRule="auto"/>
        <w:rPr>
          <w:rFonts w:ascii="黑体" w:hAnsi="宋体" w:eastAsia="黑体"/>
          <w:color w:val="auto"/>
          <w:sz w:val="32"/>
          <w:highlight w:val="none"/>
        </w:rPr>
      </w:pPr>
    </w:p>
    <w:p w14:paraId="02D7387E">
      <w:pPr>
        <w:snapToGrid w:val="0"/>
        <w:spacing w:line="288" w:lineRule="auto"/>
        <w:rPr>
          <w:rFonts w:ascii="黑体" w:hAnsi="宋体" w:eastAsia="黑体"/>
          <w:color w:val="auto"/>
          <w:sz w:val="32"/>
          <w:highlight w:val="none"/>
        </w:rPr>
      </w:pPr>
    </w:p>
    <w:p w14:paraId="207FA97D">
      <w:pPr>
        <w:snapToGrid w:val="0"/>
        <w:spacing w:line="288" w:lineRule="auto"/>
        <w:jc w:val="center"/>
        <w:rPr>
          <w:rFonts w:hint="default" w:ascii="黑体" w:hAnsi="宋体" w:eastAsia="黑体"/>
          <w:color w:val="auto"/>
          <w:sz w:val="44"/>
          <w:highlight w:val="none"/>
          <w:lang w:val="en-US" w:eastAsia="zh-CN"/>
        </w:rPr>
      </w:pPr>
      <w:r>
        <w:rPr>
          <w:rFonts w:hint="eastAsia" w:ascii="黑体" w:hAnsi="宋体" w:eastAsia="黑体"/>
          <w:color w:val="auto"/>
          <w:sz w:val="44"/>
          <w:highlight w:val="none"/>
          <w:lang w:val="en-US" w:eastAsia="zh-CN"/>
        </w:rPr>
        <w:t>江苏金永诚建设投资管理咨询有限公司</w:t>
      </w:r>
    </w:p>
    <w:p w14:paraId="019D24FE">
      <w:pPr>
        <w:snapToGrid w:val="0"/>
        <w:spacing w:line="288" w:lineRule="auto"/>
        <w:jc w:val="center"/>
        <w:rPr>
          <w:rFonts w:ascii="黑体" w:hAnsi="宋体" w:eastAsia="黑体"/>
          <w:color w:val="auto"/>
          <w:sz w:val="44"/>
          <w:highlight w:val="none"/>
        </w:rPr>
      </w:pPr>
      <w:r>
        <w:rPr>
          <w:rFonts w:hint="eastAsia" w:ascii="黑体" w:hAnsi="宋体" w:eastAsia="黑体"/>
          <w:color w:val="auto"/>
          <w:sz w:val="44"/>
          <w:highlight w:val="none"/>
        </w:rPr>
        <w:t>二</w:t>
      </w:r>
      <w:r>
        <w:rPr>
          <w:rFonts w:hint="eastAsia" w:ascii="黑体" w:hAnsi="宋体" w:eastAsia="黑体"/>
          <w:color w:val="auto"/>
          <w:sz w:val="44"/>
          <w:highlight w:val="none"/>
          <w:lang w:val="en-US"/>
        </w:rPr>
        <w:t>〇</w:t>
      </w:r>
      <w:r>
        <w:rPr>
          <w:rFonts w:hint="eastAsia" w:ascii="黑体" w:hAnsi="宋体" w:eastAsia="黑体"/>
          <w:color w:val="auto"/>
          <w:sz w:val="44"/>
          <w:highlight w:val="none"/>
        </w:rPr>
        <w:t>二</w:t>
      </w:r>
      <w:r>
        <w:rPr>
          <w:rFonts w:hint="eastAsia" w:ascii="黑体" w:hAnsi="宋体" w:eastAsia="黑体"/>
          <w:color w:val="auto"/>
          <w:sz w:val="44"/>
          <w:highlight w:val="none"/>
          <w:lang w:val="en-US" w:eastAsia="zh-CN"/>
        </w:rPr>
        <w:t>六</w:t>
      </w:r>
      <w:r>
        <w:rPr>
          <w:rFonts w:hint="eastAsia" w:ascii="黑体" w:hAnsi="宋体" w:eastAsia="黑体"/>
          <w:color w:val="auto"/>
          <w:sz w:val="44"/>
          <w:highlight w:val="none"/>
        </w:rPr>
        <w:t>年</w:t>
      </w:r>
      <w:r>
        <w:rPr>
          <w:rFonts w:hint="eastAsia" w:ascii="黑体" w:hAnsi="宋体" w:eastAsia="黑体"/>
          <w:color w:val="auto"/>
          <w:sz w:val="44"/>
          <w:highlight w:val="none"/>
          <w:lang w:val="en-US" w:eastAsia="zh-CN"/>
        </w:rPr>
        <w:t>七</w:t>
      </w:r>
      <w:r>
        <w:rPr>
          <w:rFonts w:hint="eastAsia" w:ascii="黑体" w:hAnsi="宋体" w:eastAsia="黑体"/>
          <w:color w:val="auto"/>
          <w:sz w:val="44"/>
          <w:highlight w:val="none"/>
        </w:rPr>
        <w:t>月</w:t>
      </w:r>
    </w:p>
    <w:p w14:paraId="5103B617">
      <w:pPr>
        <w:snapToGrid w:val="0"/>
        <w:spacing w:line="288" w:lineRule="auto"/>
        <w:ind w:firstLine="425"/>
        <w:jc w:val="center"/>
        <w:rPr>
          <w:rFonts w:ascii="黑体" w:hAnsi="宋体" w:eastAsia="黑体"/>
          <w:color w:val="auto"/>
          <w:sz w:val="44"/>
          <w:highlight w:val="none"/>
        </w:rPr>
        <w:sectPr>
          <w:headerReference r:id="rId4" w:type="first"/>
          <w:footerReference r:id="rId7" w:type="first"/>
          <w:footerReference r:id="rId5" w:type="default"/>
          <w:headerReference r:id="rId3" w:type="even"/>
          <w:footerReference r:id="rId6" w:type="even"/>
          <w:pgSz w:w="11906" w:h="16838"/>
          <w:pgMar w:top="1440" w:right="1140" w:bottom="1440" w:left="1140" w:header="851" w:footer="680" w:gutter="0"/>
          <w:pgNumType w:start="1"/>
          <w:cols w:space="720" w:num="1"/>
          <w:titlePg/>
          <w:docGrid w:type="lines" w:linePitch="290" w:charSpace="0"/>
        </w:sectPr>
      </w:pPr>
    </w:p>
    <w:sdt>
      <w:sdtPr>
        <w:rPr>
          <w:rFonts w:ascii="宋体" w:hAnsi="宋体" w:eastAsia="宋体" w:cs="宋体"/>
          <w:b/>
          <w:bCs/>
          <w:color w:val="auto"/>
          <w:sz w:val="30"/>
          <w:szCs w:val="30"/>
          <w:highlight w:val="none"/>
          <w:lang w:val="zh-CN" w:eastAsia="zh-CN" w:bidi="ar-SA"/>
        </w:rPr>
        <w:id w:val="147464512"/>
        <w15:color w:val="DBDBDB"/>
        <w:docPartObj>
          <w:docPartGallery w:val="Table of Contents"/>
          <w:docPartUnique/>
        </w:docPartObj>
      </w:sdtPr>
      <w:sdtEndPr>
        <w:rPr>
          <w:rFonts w:ascii="宋体" w:hAnsi="宋体" w:eastAsia="宋体" w:cs="宋体"/>
          <w:b/>
          <w:bCs/>
          <w:color w:val="auto"/>
          <w:sz w:val="28"/>
          <w:szCs w:val="28"/>
          <w:highlight w:val="none"/>
          <w:lang w:val="zh-CN" w:eastAsia="zh-CN" w:bidi="ar-SA"/>
        </w:rPr>
      </w:sdtEndPr>
      <w:sdtContent>
        <w:p w14:paraId="441DD415">
          <w:pPr>
            <w:keepNext w:val="0"/>
            <w:keepLines w:val="0"/>
            <w:pageBreakBefore w:val="0"/>
            <w:kinsoku/>
            <w:wordWrap/>
            <w:overflowPunct/>
            <w:topLinePunct w:val="0"/>
            <w:autoSpaceDE/>
            <w:autoSpaceDN/>
            <w:bidi w:val="0"/>
            <w:adjustRightInd/>
            <w:snapToGrid/>
            <w:spacing w:before="0" w:beforeLines="0" w:after="0" w:afterLines="0" w:line="360" w:lineRule="auto"/>
            <w:ind w:left="0" w:leftChars="0" w:right="0" w:rightChars="0" w:firstLine="0" w:firstLineChars="0"/>
            <w:jc w:val="center"/>
            <w:textAlignment w:val="auto"/>
            <w:rPr>
              <w:b/>
              <w:bCs/>
              <w:color w:val="auto"/>
              <w:sz w:val="30"/>
              <w:szCs w:val="30"/>
              <w:highlight w:val="none"/>
            </w:rPr>
          </w:pPr>
          <w:r>
            <w:rPr>
              <w:rFonts w:ascii="宋体" w:hAnsi="宋体" w:eastAsia="宋体"/>
              <w:b/>
              <w:bCs/>
              <w:color w:val="auto"/>
              <w:sz w:val="30"/>
              <w:szCs w:val="30"/>
              <w:highlight w:val="none"/>
            </w:rPr>
            <w:t>目录</w:t>
          </w:r>
        </w:p>
        <w:p w14:paraId="116A5150">
          <w:pPr>
            <w:pStyle w:val="38"/>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color w:val="auto"/>
              <w:sz w:val="24"/>
              <w:szCs w:val="24"/>
              <w:highlight w:val="none"/>
            </w:rPr>
          </w:pPr>
          <w:r>
            <w:rPr>
              <w:color w:val="auto"/>
              <w:sz w:val="28"/>
              <w:szCs w:val="28"/>
              <w:highlight w:val="none"/>
            </w:rPr>
            <w:fldChar w:fldCharType="begin"/>
          </w:r>
          <w:r>
            <w:rPr>
              <w:color w:val="auto"/>
              <w:sz w:val="28"/>
              <w:szCs w:val="28"/>
              <w:highlight w:val="none"/>
            </w:rPr>
            <w:instrText xml:space="preserve">TOC \o "1-1" \h \u </w:instrText>
          </w:r>
          <w:r>
            <w:rPr>
              <w:color w:val="auto"/>
              <w:sz w:val="28"/>
              <w:szCs w:val="28"/>
              <w:highlight w:val="none"/>
            </w:rPr>
            <w:fldChar w:fldCharType="separate"/>
          </w:r>
          <w:r>
            <w:rPr>
              <w:color w:val="auto"/>
              <w:sz w:val="24"/>
              <w:szCs w:val="24"/>
              <w:highlight w:val="none"/>
            </w:rPr>
            <w:fldChar w:fldCharType="begin"/>
          </w:r>
          <w:r>
            <w:rPr>
              <w:color w:val="auto"/>
              <w:sz w:val="24"/>
              <w:szCs w:val="24"/>
              <w:highlight w:val="none"/>
            </w:rPr>
            <w:instrText xml:space="preserve"> HYPERLINK \l _Toc21124 </w:instrText>
          </w:r>
          <w:r>
            <w:rPr>
              <w:color w:val="auto"/>
              <w:sz w:val="24"/>
              <w:szCs w:val="24"/>
              <w:highlight w:val="none"/>
            </w:rPr>
            <w:fldChar w:fldCharType="separate"/>
          </w:r>
          <w:r>
            <w:rPr>
              <w:rFonts w:hint="eastAsia" w:ascii="黑体" w:hAnsi="宋体" w:eastAsia="黑体"/>
              <w:color w:val="auto"/>
              <w:spacing w:val="-10"/>
              <w:sz w:val="24"/>
              <w:szCs w:val="24"/>
              <w:highlight w:val="none"/>
            </w:rPr>
            <w:t>第一章</w:t>
          </w:r>
          <w:r>
            <w:rPr>
              <w:rFonts w:hint="eastAsia" w:ascii="黑体" w:hAnsi="宋体" w:eastAsia="黑体"/>
              <w:color w:val="auto"/>
              <w:spacing w:val="-10"/>
              <w:sz w:val="24"/>
              <w:szCs w:val="24"/>
              <w:highlight w:val="none"/>
              <w:lang w:val="en-US"/>
            </w:rPr>
            <w:t xml:space="preserve"> </w:t>
          </w:r>
          <w:r>
            <w:rPr>
              <w:rFonts w:hint="eastAsia" w:ascii="黑体" w:hAnsi="宋体" w:eastAsia="黑体"/>
              <w:color w:val="auto"/>
              <w:spacing w:val="-10"/>
              <w:sz w:val="24"/>
              <w:szCs w:val="24"/>
              <w:highlight w:val="none"/>
            </w:rPr>
            <w:t>招标</w:t>
          </w:r>
          <w:r>
            <w:rPr>
              <w:rFonts w:hint="eastAsia" w:ascii="黑体" w:hAnsi="宋体" w:eastAsia="黑体"/>
              <w:color w:val="auto"/>
              <w:spacing w:val="-10"/>
              <w:sz w:val="24"/>
              <w:szCs w:val="24"/>
              <w:highlight w:val="none"/>
              <w:lang w:val="en-US"/>
            </w:rPr>
            <w:t>公告</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_Toc21124 \h </w:instrText>
          </w:r>
          <w:r>
            <w:rPr>
              <w:color w:val="auto"/>
              <w:sz w:val="24"/>
              <w:szCs w:val="24"/>
              <w:highlight w:val="none"/>
            </w:rPr>
            <w:fldChar w:fldCharType="separate"/>
          </w:r>
          <w:r>
            <w:rPr>
              <w:color w:val="auto"/>
              <w:sz w:val="24"/>
              <w:szCs w:val="24"/>
              <w:highlight w:val="none"/>
            </w:rPr>
            <w:t>3</w:t>
          </w:r>
          <w:r>
            <w:rPr>
              <w:color w:val="auto"/>
              <w:sz w:val="24"/>
              <w:szCs w:val="24"/>
              <w:highlight w:val="none"/>
            </w:rPr>
            <w:fldChar w:fldCharType="end"/>
          </w:r>
          <w:r>
            <w:rPr>
              <w:color w:val="auto"/>
              <w:sz w:val="24"/>
              <w:szCs w:val="24"/>
              <w:highlight w:val="none"/>
            </w:rPr>
            <w:fldChar w:fldCharType="end"/>
          </w:r>
        </w:p>
        <w:p w14:paraId="21478088">
          <w:pPr>
            <w:pStyle w:val="38"/>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color w:val="auto"/>
              <w:sz w:val="24"/>
              <w:szCs w:val="24"/>
              <w:highlight w:val="none"/>
            </w:rPr>
          </w:pPr>
          <w:r>
            <w:rPr>
              <w:color w:val="auto"/>
              <w:sz w:val="24"/>
              <w:szCs w:val="24"/>
              <w:highlight w:val="none"/>
            </w:rPr>
            <w:fldChar w:fldCharType="begin"/>
          </w:r>
          <w:r>
            <w:rPr>
              <w:color w:val="auto"/>
              <w:sz w:val="24"/>
              <w:szCs w:val="24"/>
              <w:highlight w:val="none"/>
            </w:rPr>
            <w:instrText xml:space="preserve"> HYPERLINK \l _Toc10138 </w:instrText>
          </w:r>
          <w:r>
            <w:rPr>
              <w:color w:val="auto"/>
              <w:sz w:val="24"/>
              <w:szCs w:val="24"/>
              <w:highlight w:val="none"/>
            </w:rPr>
            <w:fldChar w:fldCharType="separate"/>
          </w:r>
          <w:r>
            <w:rPr>
              <w:rFonts w:hint="eastAsia" w:ascii="黑体" w:hAnsi="宋体" w:eastAsia="黑体"/>
              <w:color w:val="auto"/>
              <w:spacing w:val="-10"/>
              <w:sz w:val="24"/>
              <w:szCs w:val="24"/>
              <w:highlight w:val="none"/>
            </w:rPr>
            <w:t>第二章 投标人须知</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_Toc10138 \h </w:instrText>
          </w:r>
          <w:r>
            <w:rPr>
              <w:color w:val="auto"/>
              <w:sz w:val="24"/>
              <w:szCs w:val="24"/>
              <w:highlight w:val="none"/>
            </w:rPr>
            <w:fldChar w:fldCharType="separate"/>
          </w:r>
          <w:r>
            <w:rPr>
              <w:color w:val="auto"/>
              <w:sz w:val="24"/>
              <w:szCs w:val="24"/>
              <w:highlight w:val="none"/>
            </w:rPr>
            <w:t>7</w:t>
          </w:r>
          <w:r>
            <w:rPr>
              <w:color w:val="auto"/>
              <w:sz w:val="24"/>
              <w:szCs w:val="24"/>
              <w:highlight w:val="none"/>
            </w:rPr>
            <w:fldChar w:fldCharType="end"/>
          </w:r>
          <w:r>
            <w:rPr>
              <w:color w:val="auto"/>
              <w:sz w:val="24"/>
              <w:szCs w:val="24"/>
              <w:highlight w:val="none"/>
            </w:rPr>
            <w:fldChar w:fldCharType="end"/>
          </w:r>
        </w:p>
        <w:p w14:paraId="2C208E74">
          <w:pPr>
            <w:pStyle w:val="38"/>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color w:val="auto"/>
              <w:sz w:val="24"/>
              <w:szCs w:val="24"/>
              <w:highlight w:val="none"/>
            </w:rPr>
          </w:pPr>
          <w:r>
            <w:rPr>
              <w:color w:val="auto"/>
              <w:sz w:val="24"/>
              <w:szCs w:val="24"/>
              <w:highlight w:val="none"/>
            </w:rPr>
            <w:fldChar w:fldCharType="begin"/>
          </w:r>
          <w:r>
            <w:rPr>
              <w:color w:val="auto"/>
              <w:sz w:val="24"/>
              <w:szCs w:val="24"/>
              <w:highlight w:val="none"/>
            </w:rPr>
            <w:instrText xml:space="preserve"> HYPERLINK \l _Toc9142 </w:instrText>
          </w:r>
          <w:r>
            <w:rPr>
              <w:color w:val="auto"/>
              <w:sz w:val="24"/>
              <w:szCs w:val="24"/>
              <w:highlight w:val="none"/>
            </w:rPr>
            <w:fldChar w:fldCharType="separate"/>
          </w:r>
          <w:r>
            <w:rPr>
              <w:rFonts w:hint="eastAsia" w:ascii="黑体" w:hAnsi="宋体" w:eastAsia="黑体"/>
              <w:color w:val="auto"/>
              <w:spacing w:val="-10"/>
              <w:sz w:val="24"/>
              <w:szCs w:val="24"/>
              <w:highlight w:val="none"/>
            </w:rPr>
            <w:t>第三章 评标标准</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_Toc9142 \h </w:instrText>
          </w:r>
          <w:r>
            <w:rPr>
              <w:color w:val="auto"/>
              <w:sz w:val="24"/>
              <w:szCs w:val="24"/>
              <w:highlight w:val="none"/>
            </w:rPr>
            <w:fldChar w:fldCharType="separate"/>
          </w:r>
          <w:r>
            <w:rPr>
              <w:color w:val="auto"/>
              <w:sz w:val="24"/>
              <w:szCs w:val="24"/>
              <w:highlight w:val="none"/>
            </w:rPr>
            <w:t>23</w:t>
          </w:r>
          <w:r>
            <w:rPr>
              <w:color w:val="auto"/>
              <w:sz w:val="24"/>
              <w:szCs w:val="24"/>
              <w:highlight w:val="none"/>
            </w:rPr>
            <w:fldChar w:fldCharType="end"/>
          </w:r>
          <w:r>
            <w:rPr>
              <w:color w:val="auto"/>
              <w:sz w:val="24"/>
              <w:szCs w:val="24"/>
              <w:highlight w:val="none"/>
            </w:rPr>
            <w:fldChar w:fldCharType="end"/>
          </w:r>
        </w:p>
        <w:p w14:paraId="44B01441">
          <w:pPr>
            <w:pStyle w:val="38"/>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color w:val="auto"/>
              <w:sz w:val="24"/>
              <w:szCs w:val="24"/>
              <w:highlight w:val="none"/>
            </w:rPr>
          </w:pPr>
          <w:r>
            <w:rPr>
              <w:color w:val="auto"/>
              <w:sz w:val="24"/>
              <w:szCs w:val="24"/>
              <w:highlight w:val="none"/>
            </w:rPr>
            <w:fldChar w:fldCharType="begin"/>
          </w:r>
          <w:r>
            <w:rPr>
              <w:color w:val="auto"/>
              <w:sz w:val="24"/>
              <w:szCs w:val="24"/>
              <w:highlight w:val="none"/>
            </w:rPr>
            <w:instrText xml:space="preserve"> HYPERLINK \l _Toc949 </w:instrText>
          </w:r>
          <w:r>
            <w:rPr>
              <w:color w:val="auto"/>
              <w:sz w:val="24"/>
              <w:szCs w:val="24"/>
              <w:highlight w:val="none"/>
            </w:rPr>
            <w:fldChar w:fldCharType="separate"/>
          </w:r>
          <w:r>
            <w:rPr>
              <w:rFonts w:hint="eastAsia" w:ascii="黑体" w:hAnsi="宋体" w:eastAsia="黑体"/>
              <w:color w:val="auto"/>
              <w:spacing w:val="-10"/>
              <w:sz w:val="24"/>
              <w:szCs w:val="24"/>
              <w:highlight w:val="none"/>
            </w:rPr>
            <w:t>第四章 服务要求</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_Toc949 \h </w:instrText>
          </w:r>
          <w:r>
            <w:rPr>
              <w:color w:val="auto"/>
              <w:sz w:val="24"/>
              <w:szCs w:val="24"/>
              <w:highlight w:val="none"/>
            </w:rPr>
            <w:fldChar w:fldCharType="separate"/>
          </w:r>
          <w:r>
            <w:rPr>
              <w:color w:val="auto"/>
              <w:sz w:val="24"/>
              <w:szCs w:val="24"/>
              <w:highlight w:val="none"/>
            </w:rPr>
            <w:t>27</w:t>
          </w:r>
          <w:r>
            <w:rPr>
              <w:color w:val="auto"/>
              <w:sz w:val="24"/>
              <w:szCs w:val="24"/>
              <w:highlight w:val="none"/>
            </w:rPr>
            <w:fldChar w:fldCharType="end"/>
          </w:r>
          <w:r>
            <w:rPr>
              <w:color w:val="auto"/>
              <w:sz w:val="24"/>
              <w:szCs w:val="24"/>
              <w:highlight w:val="none"/>
            </w:rPr>
            <w:fldChar w:fldCharType="end"/>
          </w:r>
        </w:p>
        <w:p w14:paraId="1A426A6D">
          <w:pPr>
            <w:pStyle w:val="38"/>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color w:val="auto"/>
              <w:sz w:val="24"/>
              <w:szCs w:val="24"/>
              <w:highlight w:val="none"/>
            </w:rPr>
          </w:pPr>
          <w:r>
            <w:rPr>
              <w:color w:val="auto"/>
              <w:sz w:val="24"/>
              <w:szCs w:val="24"/>
              <w:highlight w:val="none"/>
            </w:rPr>
            <w:fldChar w:fldCharType="begin"/>
          </w:r>
          <w:r>
            <w:rPr>
              <w:color w:val="auto"/>
              <w:sz w:val="24"/>
              <w:szCs w:val="24"/>
              <w:highlight w:val="none"/>
            </w:rPr>
            <w:instrText xml:space="preserve"> HYPERLINK \l _Toc21359 </w:instrText>
          </w:r>
          <w:r>
            <w:rPr>
              <w:color w:val="auto"/>
              <w:sz w:val="24"/>
              <w:szCs w:val="24"/>
              <w:highlight w:val="none"/>
            </w:rPr>
            <w:fldChar w:fldCharType="separate"/>
          </w:r>
          <w:r>
            <w:rPr>
              <w:rFonts w:hint="eastAsia" w:ascii="黑体" w:eastAsia="黑体"/>
              <w:color w:val="auto"/>
              <w:sz w:val="24"/>
              <w:szCs w:val="24"/>
              <w:highlight w:val="none"/>
            </w:rPr>
            <w:t>第五章 合同草案条款</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_Toc21359 \h </w:instrText>
          </w:r>
          <w:r>
            <w:rPr>
              <w:color w:val="auto"/>
              <w:sz w:val="24"/>
              <w:szCs w:val="24"/>
              <w:highlight w:val="none"/>
            </w:rPr>
            <w:fldChar w:fldCharType="separate"/>
          </w:r>
          <w:r>
            <w:rPr>
              <w:color w:val="auto"/>
              <w:sz w:val="24"/>
              <w:szCs w:val="24"/>
              <w:highlight w:val="none"/>
            </w:rPr>
            <w:t>32</w:t>
          </w:r>
          <w:r>
            <w:rPr>
              <w:color w:val="auto"/>
              <w:sz w:val="24"/>
              <w:szCs w:val="24"/>
              <w:highlight w:val="none"/>
            </w:rPr>
            <w:fldChar w:fldCharType="end"/>
          </w:r>
          <w:r>
            <w:rPr>
              <w:color w:val="auto"/>
              <w:sz w:val="24"/>
              <w:szCs w:val="24"/>
              <w:highlight w:val="none"/>
            </w:rPr>
            <w:fldChar w:fldCharType="end"/>
          </w:r>
        </w:p>
        <w:p w14:paraId="7B8BC8C7">
          <w:pPr>
            <w:pStyle w:val="38"/>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eastAsia" w:ascii="黑体" w:eastAsia="黑体"/>
              <w:color w:val="auto"/>
              <w:sz w:val="24"/>
              <w:szCs w:val="24"/>
              <w:highlight w:val="none"/>
            </w:rPr>
          </w:pPr>
          <w:r>
            <w:rPr>
              <w:rFonts w:hint="eastAsia" w:ascii="黑体" w:eastAsia="黑体"/>
              <w:color w:val="auto"/>
              <w:sz w:val="24"/>
              <w:szCs w:val="24"/>
              <w:highlight w:val="none"/>
            </w:rPr>
            <w:fldChar w:fldCharType="begin"/>
          </w:r>
          <w:r>
            <w:rPr>
              <w:rFonts w:hint="eastAsia" w:ascii="黑体" w:eastAsia="黑体"/>
              <w:color w:val="auto"/>
              <w:sz w:val="24"/>
              <w:szCs w:val="24"/>
              <w:highlight w:val="none"/>
            </w:rPr>
            <w:instrText xml:space="preserve"> HYPERLINK \l _Toc3856 </w:instrText>
          </w:r>
          <w:r>
            <w:rPr>
              <w:rFonts w:hint="eastAsia" w:ascii="黑体" w:eastAsia="黑体"/>
              <w:color w:val="auto"/>
              <w:sz w:val="24"/>
              <w:szCs w:val="24"/>
              <w:highlight w:val="none"/>
            </w:rPr>
            <w:fldChar w:fldCharType="separate"/>
          </w:r>
          <w:r>
            <w:rPr>
              <w:rFonts w:hint="eastAsia" w:ascii="黑体" w:eastAsia="黑体"/>
              <w:color w:val="auto"/>
              <w:sz w:val="24"/>
              <w:szCs w:val="24"/>
              <w:highlight w:val="none"/>
              <w:lang w:val="zh-CN"/>
            </w:rPr>
            <w:t>第六章</w:t>
          </w:r>
          <w:r>
            <w:rPr>
              <w:rFonts w:hint="eastAsia" w:ascii="黑体" w:eastAsia="黑体"/>
              <w:color w:val="auto"/>
              <w:sz w:val="24"/>
              <w:szCs w:val="24"/>
              <w:highlight w:val="none"/>
              <w:lang w:val="en-US" w:eastAsia="zh-CN"/>
            </w:rPr>
            <w:t xml:space="preserve"> </w:t>
          </w:r>
          <w:r>
            <w:rPr>
              <w:rFonts w:hint="eastAsia" w:ascii="黑体" w:eastAsia="黑体"/>
              <w:color w:val="auto"/>
              <w:sz w:val="24"/>
              <w:szCs w:val="24"/>
              <w:highlight w:val="none"/>
            </w:rPr>
            <w:t>投标文件格式</w:t>
          </w:r>
          <w:r>
            <w:rPr>
              <w:rFonts w:hint="eastAsia"/>
              <w:color w:val="auto"/>
              <w:sz w:val="24"/>
              <w:szCs w:val="24"/>
              <w:highlight w:val="none"/>
            </w:rPr>
            <w:tab/>
          </w:r>
          <w:r>
            <w:rPr>
              <w:rFonts w:hint="eastAsia" w:ascii="黑体" w:eastAsia="黑体"/>
              <w:color w:val="auto"/>
              <w:sz w:val="24"/>
              <w:szCs w:val="24"/>
              <w:highlight w:val="none"/>
            </w:rPr>
            <w:fldChar w:fldCharType="begin"/>
          </w:r>
          <w:r>
            <w:rPr>
              <w:rFonts w:hint="eastAsia" w:ascii="黑体" w:eastAsia="黑体"/>
              <w:color w:val="auto"/>
              <w:sz w:val="24"/>
              <w:szCs w:val="24"/>
              <w:highlight w:val="none"/>
            </w:rPr>
            <w:instrText xml:space="preserve"> PAGEREF _Toc3856 \h </w:instrText>
          </w:r>
          <w:r>
            <w:rPr>
              <w:rFonts w:hint="eastAsia" w:ascii="黑体" w:eastAsia="黑体"/>
              <w:color w:val="auto"/>
              <w:sz w:val="24"/>
              <w:szCs w:val="24"/>
              <w:highlight w:val="none"/>
            </w:rPr>
            <w:fldChar w:fldCharType="separate"/>
          </w:r>
          <w:r>
            <w:rPr>
              <w:rFonts w:hint="eastAsia" w:ascii="黑体" w:eastAsia="黑体"/>
              <w:color w:val="auto"/>
              <w:sz w:val="24"/>
              <w:szCs w:val="24"/>
              <w:highlight w:val="none"/>
            </w:rPr>
            <w:t>39</w:t>
          </w:r>
          <w:r>
            <w:rPr>
              <w:rFonts w:hint="eastAsia" w:ascii="黑体" w:eastAsia="黑体"/>
              <w:color w:val="auto"/>
              <w:sz w:val="24"/>
              <w:szCs w:val="24"/>
              <w:highlight w:val="none"/>
            </w:rPr>
            <w:fldChar w:fldCharType="end"/>
          </w:r>
          <w:r>
            <w:rPr>
              <w:rFonts w:hint="eastAsia" w:ascii="黑体" w:eastAsia="黑体"/>
              <w:color w:val="auto"/>
              <w:sz w:val="24"/>
              <w:szCs w:val="24"/>
              <w:highlight w:val="none"/>
            </w:rPr>
            <w:fldChar w:fldCharType="end"/>
          </w:r>
        </w:p>
        <w:p w14:paraId="4AE5FF02">
          <w:pPr>
            <w:keepNext w:val="0"/>
            <w:keepLines w:val="0"/>
            <w:pageBreakBefore w:val="0"/>
            <w:kinsoku/>
            <w:wordWrap/>
            <w:overflowPunct/>
            <w:topLinePunct w:val="0"/>
            <w:autoSpaceDE/>
            <w:autoSpaceDN/>
            <w:bidi w:val="0"/>
            <w:adjustRightInd/>
            <w:snapToGrid/>
            <w:spacing w:line="360" w:lineRule="auto"/>
            <w:textAlignment w:val="auto"/>
            <w:rPr>
              <w:color w:val="auto"/>
              <w:sz w:val="28"/>
              <w:szCs w:val="28"/>
              <w:highlight w:val="none"/>
            </w:rPr>
          </w:pPr>
          <w:r>
            <w:rPr>
              <w:color w:val="auto"/>
              <w:szCs w:val="28"/>
              <w:highlight w:val="none"/>
            </w:rPr>
            <w:fldChar w:fldCharType="end"/>
          </w:r>
        </w:p>
      </w:sdtContent>
    </w:sdt>
    <w:p w14:paraId="174E0EF1">
      <w:pPr>
        <w:keepNext w:val="0"/>
        <w:keepLines w:val="0"/>
        <w:pageBreakBefore w:val="0"/>
        <w:kinsoku/>
        <w:wordWrap/>
        <w:overflowPunct/>
        <w:topLinePunct w:val="0"/>
        <w:autoSpaceDE/>
        <w:autoSpaceDN/>
        <w:bidi w:val="0"/>
        <w:adjustRightInd/>
        <w:snapToGrid/>
        <w:spacing w:line="360" w:lineRule="auto"/>
        <w:textAlignment w:val="auto"/>
        <w:rPr>
          <w:color w:val="auto"/>
          <w:sz w:val="28"/>
          <w:szCs w:val="28"/>
          <w:highlight w:val="none"/>
        </w:rPr>
      </w:pPr>
    </w:p>
    <w:p w14:paraId="6C7AABB6">
      <w:pPr>
        <w:rPr>
          <w:rFonts w:hint="eastAsia" w:ascii="黑体" w:hAnsi="宋体" w:eastAsia="黑体"/>
          <w:color w:val="auto"/>
          <w:spacing w:val="-10"/>
          <w:sz w:val="36"/>
          <w:szCs w:val="36"/>
          <w:highlight w:val="none"/>
        </w:rPr>
      </w:pPr>
      <w:r>
        <w:rPr>
          <w:rFonts w:hint="eastAsia" w:ascii="黑体" w:hAnsi="宋体" w:eastAsia="黑体"/>
          <w:color w:val="auto"/>
          <w:spacing w:val="-10"/>
          <w:sz w:val="36"/>
          <w:szCs w:val="36"/>
          <w:highlight w:val="none"/>
        </w:rPr>
        <w:br w:type="page"/>
      </w:r>
    </w:p>
    <w:p w14:paraId="6FEE31F5">
      <w:pPr>
        <w:snapToGrid w:val="0"/>
        <w:spacing w:line="288" w:lineRule="auto"/>
        <w:ind w:firstLine="425"/>
        <w:jc w:val="center"/>
        <w:outlineLvl w:val="0"/>
        <w:rPr>
          <w:rFonts w:ascii="黑体" w:eastAsia="黑体"/>
          <w:color w:val="auto"/>
          <w:sz w:val="36"/>
          <w:szCs w:val="36"/>
          <w:highlight w:val="none"/>
        </w:rPr>
      </w:pPr>
      <w:bookmarkStart w:id="0" w:name="_Toc21124"/>
      <w:r>
        <w:rPr>
          <w:rFonts w:hint="eastAsia" w:ascii="黑体" w:hAnsi="宋体" w:eastAsia="黑体"/>
          <w:color w:val="auto"/>
          <w:spacing w:val="-10"/>
          <w:sz w:val="36"/>
          <w:szCs w:val="36"/>
          <w:highlight w:val="none"/>
        </w:rPr>
        <w:t>第一章</w:t>
      </w:r>
      <w:r>
        <w:rPr>
          <w:rFonts w:hint="eastAsia" w:ascii="黑体" w:hAnsi="宋体" w:eastAsia="黑体"/>
          <w:color w:val="auto"/>
          <w:spacing w:val="-10"/>
          <w:sz w:val="36"/>
          <w:szCs w:val="36"/>
          <w:highlight w:val="none"/>
          <w:lang w:val="en-US"/>
        </w:rPr>
        <w:t xml:space="preserve"> </w:t>
      </w:r>
      <w:r>
        <w:rPr>
          <w:rFonts w:hint="eastAsia" w:ascii="黑体" w:hAnsi="宋体" w:eastAsia="黑体"/>
          <w:color w:val="auto"/>
          <w:spacing w:val="-10"/>
          <w:sz w:val="36"/>
          <w:szCs w:val="36"/>
          <w:highlight w:val="none"/>
        </w:rPr>
        <w:t>招标</w:t>
      </w:r>
      <w:r>
        <w:rPr>
          <w:rFonts w:hint="eastAsia" w:ascii="黑体" w:hAnsi="宋体" w:eastAsia="黑体"/>
          <w:color w:val="auto"/>
          <w:spacing w:val="-10"/>
          <w:sz w:val="36"/>
          <w:szCs w:val="36"/>
          <w:highlight w:val="none"/>
          <w:lang w:val="en-US"/>
        </w:rPr>
        <w:t>公告</w:t>
      </w:r>
      <w:bookmarkEnd w:id="0"/>
    </w:p>
    <w:p w14:paraId="3959FD1F">
      <w:pPr>
        <w:adjustRightInd w:val="0"/>
        <w:snapToGrid w:val="0"/>
        <w:spacing w:line="288" w:lineRule="auto"/>
        <w:rPr>
          <w:rFonts w:ascii="宋体" w:hAnsi="宋体"/>
          <w:color w:val="auto"/>
          <w:szCs w:val="21"/>
          <w:highlight w:val="none"/>
        </w:rPr>
      </w:pPr>
    </w:p>
    <w:p w14:paraId="342BD5F4">
      <w:pPr>
        <w:pStyle w:val="442"/>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项目概况</w:t>
      </w:r>
    </w:p>
    <w:p w14:paraId="02F5E805">
      <w:pPr>
        <w:pStyle w:val="442"/>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lang w:val="en-US" w:eastAsia="zh-CN"/>
        </w:rPr>
        <w:t>2026年度功模代表休养活动</w:t>
      </w:r>
      <w:r>
        <w:rPr>
          <w:rFonts w:hint="eastAsia" w:ascii="宋体" w:hAnsi="宋体" w:eastAsia="宋体" w:cs="宋体"/>
          <w:color w:val="auto"/>
          <w:sz w:val="21"/>
          <w:szCs w:val="21"/>
          <w:highlight w:val="none"/>
          <w:lang w:val="en-US" w:eastAsia="zh-CN"/>
        </w:rPr>
        <w:t>采购项目</w:t>
      </w:r>
      <w:r>
        <w:rPr>
          <w:rFonts w:hint="eastAsia" w:ascii="宋体" w:hAnsi="宋体" w:eastAsia="宋体" w:cs="宋体"/>
          <w:color w:val="auto"/>
          <w:sz w:val="21"/>
          <w:szCs w:val="21"/>
          <w:highlight w:val="none"/>
          <w:lang w:val="zh-CN"/>
        </w:rPr>
        <w:t>的潜在供应商应在</w:t>
      </w:r>
      <w:r>
        <w:rPr>
          <w:rFonts w:hint="eastAsia" w:ascii="宋体" w:hAnsi="宋体" w:eastAsia="宋体" w:cs="宋体"/>
          <w:color w:val="auto"/>
          <w:sz w:val="21"/>
          <w:szCs w:val="21"/>
          <w:highlight w:val="none"/>
        </w:rPr>
        <w:t>苏采云线上</w:t>
      </w:r>
      <w:r>
        <w:rPr>
          <w:rFonts w:hint="eastAsia" w:ascii="宋体" w:hAnsi="宋体" w:eastAsia="宋体" w:cs="宋体"/>
          <w:color w:val="auto"/>
          <w:sz w:val="21"/>
          <w:szCs w:val="21"/>
          <w:highlight w:val="none"/>
          <w:lang w:val="zh-CN"/>
        </w:rPr>
        <w:t>获取</w:t>
      </w:r>
      <w:r>
        <w:rPr>
          <w:rFonts w:hint="eastAsia" w:ascii="宋体" w:hAnsi="宋体" w:eastAsia="宋体" w:cs="宋体"/>
          <w:color w:val="auto"/>
          <w:sz w:val="21"/>
          <w:szCs w:val="21"/>
          <w:highlight w:val="none"/>
          <w:lang w:val="en-US" w:eastAsia="zh-CN"/>
        </w:rPr>
        <w:t>招标</w:t>
      </w:r>
      <w:r>
        <w:rPr>
          <w:rFonts w:hint="eastAsia" w:ascii="宋体" w:hAnsi="宋体" w:eastAsia="宋体" w:cs="宋体"/>
          <w:color w:val="auto"/>
          <w:sz w:val="21"/>
          <w:szCs w:val="21"/>
          <w:highlight w:val="none"/>
          <w:lang w:val="zh-CN"/>
        </w:rPr>
        <w:t>文件，并于2026年</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lang w:val="zh-CN"/>
        </w:rPr>
        <w:t>月</w:t>
      </w:r>
      <w:r>
        <w:rPr>
          <w:rFonts w:hint="eastAsia" w:ascii="宋体" w:hAnsi="宋体" w:eastAsia="宋体" w:cs="宋体"/>
          <w:color w:val="auto"/>
          <w:sz w:val="21"/>
          <w:szCs w:val="21"/>
          <w:highlight w:val="none"/>
          <w:lang w:val="en-US" w:eastAsia="zh-CN"/>
        </w:rPr>
        <w:t>27</w:t>
      </w:r>
      <w:r>
        <w:rPr>
          <w:rFonts w:hint="eastAsia" w:ascii="宋体" w:hAnsi="宋体" w:eastAsia="宋体" w:cs="宋体"/>
          <w:color w:val="auto"/>
          <w:sz w:val="21"/>
          <w:szCs w:val="21"/>
          <w:highlight w:val="none"/>
          <w:lang w:val="zh-CN"/>
        </w:rPr>
        <w:t>日</w:t>
      </w:r>
      <w:r>
        <w:rPr>
          <w:rFonts w:hint="eastAsia" w:ascii="宋体" w:hAnsi="宋体" w:eastAsia="宋体" w:cs="宋体"/>
          <w:color w:val="auto"/>
          <w:sz w:val="21"/>
          <w:szCs w:val="21"/>
          <w:highlight w:val="none"/>
          <w:lang w:val="en-US" w:eastAsia="zh-CN"/>
        </w:rPr>
        <w:t>14</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val="zh-CN"/>
        </w:rPr>
        <w:t>0（北京时间）前提交</w:t>
      </w:r>
      <w:r>
        <w:rPr>
          <w:rFonts w:hint="eastAsia" w:ascii="宋体" w:hAnsi="宋体" w:eastAsia="宋体" w:cs="宋体"/>
          <w:color w:val="auto"/>
          <w:sz w:val="21"/>
          <w:szCs w:val="21"/>
          <w:highlight w:val="none"/>
          <w:lang w:val="en-US" w:eastAsia="zh-CN"/>
        </w:rPr>
        <w:t>投标</w:t>
      </w:r>
      <w:r>
        <w:rPr>
          <w:rFonts w:hint="eastAsia" w:ascii="宋体" w:hAnsi="宋体" w:eastAsia="宋体" w:cs="宋体"/>
          <w:color w:val="auto"/>
          <w:sz w:val="21"/>
          <w:szCs w:val="21"/>
          <w:highlight w:val="none"/>
          <w:lang w:val="zh-CN"/>
        </w:rPr>
        <w:t>文件。</w:t>
      </w:r>
    </w:p>
    <w:p w14:paraId="749985EB">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highlight w:val="none"/>
        </w:rPr>
      </w:pPr>
      <w:bookmarkStart w:id="1" w:name="_Toc35393790"/>
      <w:bookmarkStart w:id="2" w:name="_Toc28359079"/>
      <w:bookmarkStart w:id="3" w:name="_Toc35393621"/>
      <w:bookmarkStart w:id="4" w:name="_Toc28359002"/>
      <w:r>
        <w:rPr>
          <w:rFonts w:hint="eastAsia" w:ascii="宋体" w:hAnsi="宋体" w:eastAsia="宋体" w:cs="宋体"/>
          <w:b/>
          <w:bCs/>
          <w:color w:val="auto"/>
          <w:sz w:val="21"/>
          <w:szCs w:val="21"/>
          <w:highlight w:val="none"/>
        </w:rPr>
        <w:t>一、项目基本情况</w:t>
      </w:r>
      <w:bookmarkEnd w:id="1"/>
      <w:bookmarkEnd w:id="2"/>
      <w:bookmarkEnd w:id="3"/>
      <w:bookmarkEnd w:id="4"/>
    </w:p>
    <w:p w14:paraId="6563C1E1">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bCs/>
          <w:color w:val="auto"/>
          <w:sz w:val="21"/>
          <w:szCs w:val="21"/>
          <w:highlight w:val="none"/>
        </w:rPr>
        <w:t>项目编号：</w:t>
      </w:r>
      <w:r>
        <w:rPr>
          <w:rFonts w:hint="eastAsia" w:ascii="宋体" w:hAnsi="宋体" w:eastAsia="宋体" w:cs="宋体"/>
          <w:b w:val="0"/>
          <w:bCs w:val="0"/>
          <w:color w:val="auto"/>
          <w:sz w:val="21"/>
          <w:szCs w:val="21"/>
          <w:highlight w:val="none"/>
        </w:rPr>
        <w:t>JSZC-320000-JYCS-G2026-0005</w:t>
      </w:r>
    </w:p>
    <w:p w14:paraId="3B590B70">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default" w:ascii="宋体" w:hAnsi="宋体" w:eastAsia="宋体" w:cs="宋体"/>
          <w:color w:val="auto"/>
          <w:sz w:val="21"/>
          <w:szCs w:val="21"/>
          <w:highlight w:val="none"/>
          <w:lang w:val="en-US"/>
        </w:rPr>
      </w:pPr>
      <w:r>
        <w:rPr>
          <w:rFonts w:hint="eastAsia" w:ascii="宋体" w:hAnsi="宋体" w:eastAsia="宋体" w:cs="宋体"/>
          <w:b/>
          <w:bCs/>
          <w:color w:val="auto"/>
          <w:sz w:val="21"/>
          <w:szCs w:val="21"/>
          <w:highlight w:val="none"/>
        </w:rPr>
        <w:t>项目名称：</w:t>
      </w:r>
      <w:r>
        <w:rPr>
          <w:rFonts w:hint="eastAsia" w:ascii="宋体" w:hAnsi="宋体" w:eastAsia="宋体" w:cs="宋体"/>
          <w:color w:val="auto"/>
          <w:sz w:val="21"/>
          <w:szCs w:val="21"/>
          <w:highlight w:val="none"/>
          <w:lang w:val="en-US" w:eastAsia="zh-CN"/>
        </w:rPr>
        <w:t>2026年度功模代表休养活动项目</w:t>
      </w:r>
    </w:p>
    <w:p w14:paraId="2A034FEC">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采购预算：</w:t>
      </w:r>
      <w:r>
        <w:rPr>
          <w:rFonts w:hint="eastAsia" w:ascii="宋体" w:hAnsi="宋体" w:eastAsia="宋体" w:cs="宋体"/>
          <w:color w:val="auto"/>
          <w:sz w:val="21"/>
          <w:szCs w:val="21"/>
          <w:highlight w:val="none"/>
          <w:lang w:val="en-US" w:eastAsia="zh-CN"/>
        </w:rPr>
        <w:t>113.2</w:t>
      </w:r>
      <w:r>
        <w:rPr>
          <w:rFonts w:hint="eastAsia" w:ascii="宋体" w:hAnsi="宋体" w:eastAsia="宋体" w:cs="宋体"/>
          <w:color w:val="auto"/>
          <w:sz w:val="21"/>
          <w:szCs w:val="21"/>
          <w:highlight w:val="none"/>
        </w:rPr>
        <w:t>万元</w:t>
      </w:r>
    </w:p>
    <w:p w14:paraId="53A3F1E0">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最高限价：</w:t>
      </w:r>
      <w:r>
        <w:rPr>
          <w:rFonts w:hint="eastAsia" w:ascii="宋体" w:hAnsi="宋体" w:eastAsia="宋体" w:cs="宋体"/>
          <w:color w:val="auto"/>
          <w:sz w:val="21"/>
          <w:szCs w:val="21"/>
          <w:highlight w:val="none"/>
          <w:lang w:val="en-US" w:eastAsia="zh-CN"/>
        </w:rPr>
        <w:t>113.2</w:t>
      </w:r>
      <w:r>
        <w:rPr>
          <w:rFonts w:hint="eastAsia" w:ascii="宋体" w:hAnsi="宋体" w:eastAsia="宋体" w:cs="宋体"/>
          <w:color w:val="auto"/>
          <w:sz w:val="21"/>
          <w:szCs w:val="21"/>
          <w:highlight w:val="none"/>
        </w:rPr>
        <w:t>万元，超过采购预算金额及最高限价作无效</w:t>
      </w:r>
      <w:r>
        <w:rPr>
          <w:rFonts w:hint="eastAsia" w:ascii="宋体" w:hAnsi="宋体" w:eastAsia="宋体" w:cs="宋体"/>
          <w:color w:val="auto"/>
          <w:sz w:val="21"/>
          <w:szCs w:val="21"/>
          <w:highlight w:val="none"/>
          <w:lang w:val="en-US" w:eastAsia="zh-CN"/>
        </w:rPr>
        <w:t>投标</w:t>
      </w:r>
      <w:r>
        <w:rPr>
          <w:rFonts w:hint="eastAsia" w:ascii="宋体" w:hAnsi="宋体" w:eastAsia="宋体" w:cs="宋体"/>
          <w:color w:val="auto"/>
          <w:sz w:val="21"/>
          <w:szCs w:val="21"/>
          <w:highlight w:val="none"/>
        </w:rPr>
        <w:t>处理。</w:t>
      </w:r>
    </w:p>
    <w:p w14:paraId="5E2CAF62">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采购需求简介：</w:t>
      </w:r>
      <w:r>
        <w:rPr>
          <w:rFonts w:hint="eastAsia" w:ascii="宋体" w:hAnsi="宋体" w:eastAsia="宋体" w:cs="宋体"/>
          <w:b w:val="0"/>
          <w:bCs w:val="0"/>
          <w:color w:val="auto"/>
          <w:sz w:val="21"/>
          <w:szCs w:val="21"/>
          <w:highlight w:val="none"/>
        </w:rPr>
        <w:t>2026年度功模代表休养活动</w:t>
      </w:r>
      <w:r>
        <w:rPr>
          <w:rFonts w:hint="eastAsia" w:ascii="宋体" w:hAnsi="宋体" w:eastAsia="宋体" w:cs="宋体"/>
          <w:b w:val="0"/>
          <w:bCs w:val="0"/>
          <w:color w:val="auto"/>
          <w:sz w:val="21"/>
          <w:szCs w:val="21"/>
          <w:highlight w:val="none"/>
          <w:lang w:val="en-US" w:eastAsia="zh-CN"/>
        </w:rPr>
        <w:t>，具体要求</w:t>
      </w:r>
      <w:r>
        <w:rPr>
          <w:rFonts w:hint="eastAsia" w:ascii="宋体" w:hAnsi="宋体" w:eastAsia="宋体" w:cs="宋体"/>
          <w:color w:val="auto"/>
          <w:sz w:val="21"/>
          <w:szCs w:val="21"/>
          <w:highlight w:val="none"/>
          <w:lang w:val="zh-CN" w:eastAsia="zh-CN"/>
        </w:rPr>
        <w:t>详见第四章。</w:t>
      </w:r>
    </w:p>
    <w:p w14:paraId="3570A33A">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合同履行期限：</w:t>
      </w:r>
      <w:r>
        <w:rPr>
          <w:rFonts w:hint="eastAsia" w:ascii="宋体" w:hAnsi="宋体" w:eastAsia="宋体" w:cs="宋体"/>
          <w:b w:val="0"/>
          <w:bCs w:val="0"/>
          <w:color w:val="auto"/>
          <w:sz w:val="21"/>
          <w:szCs w:val="21"/>
          <w:highlight w:val="none"/>
          <w:lang w:val="en-US" w:eastAsia="zh-CN"/>
        </w:rPr>
        <w:t>8</w:t>
      </w:r>
      <w:r>
        <w:rPr>
          <w:rFonts w:hint="eastAsia" w:ascii="宋体" w:hAnsi="宋体" w:eastAsia="宋体" w:cs="宋体"/>
          <w:b w:val="0"/>
          <w:bCs w:val="0"/>
          <w:color w:val="auto"/>
          <w:sz w:val="21"/>
          <w:szCs w:val="21"/>
          <w:highlight w:val="none"/>
        </w:rPr>
        <w:t>月</w:t>
      </w:r>
      <w:r>
        <w:rPr>
          <w:rFonts w:hint="eastAsia" w:ascii="宋体" w:hAnsi="宋体" w:eastAsia="宋体" w:cs="宋体"/>
          <w:b w:val="0"/>
          <w:bCs w:val="0"/>
          <w:color w:val="auto"/>
          <w:sz w:val="21"/>
          <w:szCs w:val="21"/>
          <w:highlight w:val="none"/>
          <w:lang w:val="en-US" w:eastAsia="zh-CN"/>
        </w:rPr>
        <w:t>上</w:t>
      </w:r>
      <w:r>
        <w:rPr>
          <w:rFonts w:hint="eastAsia" w:ascii="宋体" w:hAnsi="宋体" w:eastAsia="宋体" w:cs="宋体"/>
          <w:b w:val="0"/>
          <w:bCs w:val="0"/>
          <w:color w:val="auto"/>
          <w:sz w:val="21"/>
          <w:szCs w:val="21"/>
          <w:highlight w:val="none"/>
        </w:rPr>
        <w:t>旬至</w:t>
      </w:r>
      <w:r>
        <w:rPr>
          <w:rFonts w:hint="eastAsia" w:ascii="宋体" w:hAnsi="宋体" w:eastAsia="宋体" w:cs="宋体"/>
          <w:b w:val="0"/>
          <w:bCs w:val="0"/>
          <w:color w:val="auto"/>
          <w:sz w:val="21"/>
          <w:szCs w:val="21"/>
          <w:highlight w:val="none"/>
          <w:lang w:val="en-US" w:eastAsia="zh-CN"/>
        </w:rPr>
        <w:t>11</w:t>
      </w:r>
      <w:r>
        <w:rPr>
          <w:rFonts w:hint="eastAsia" w:ascii="宋体" w:hAnsi="宋体" w:eastAsia="宋体" w:cs="宋体"/>
          <w:b w:val="0"/>
          <w:bCs w:val="0"/>
          <w:color w:val="auto"/>
          <w:sz w:val="21"/>
          <w:szCs w:val="21"/>
          <w:highlight w:val="none"/>
        </w:rPr>
        <w:t>月</w:t>
      </w:r>
      <w:r>
        <w:rPr>
          <w:rFonts w:hint="eastAsia" w:ascii="宋体" w:hAnsi="宋体" w:eastAsia="宋体" w:cs="宋体"/>
          <w:b w:val="0"/>
          <w:bCs w:val="0"/>
          <w:color w:val="auto"/>
          <w:sz w:val="21"/>
          <w:szCs w:val="21"/>
          <w:highlight w:val="none"/>
          <w:lang w:val="en-US" w:eastAsia="zh-CN"/>
        </w:rPr>
        <w:t>上</w:t>
      </w:r>
      <w:r>
        <w:rPr>
          <w:rFonts w:hint="eastAsia" w:ascii="宋体" w:hAnsi="宋体" w:eastAsia="宋体" w:cs="宋体"/>
          <w:b w:val="0"/>
          <w:bCs w:val="0"/>
          <w:color w:val="auto"/>
          <w:sz w:val="21"/>
          <w:szCs w:val="21"/>
          <w:highlight w:val="none"/>
        </w:rPr>
        <w:t>旬（具体以</w:t>
      </w:r>
      <w:r>
        <w:rPr>
          <w:rFonts w:hint="eastAsia" w:ascii="宋体" w:hAnsi="宋体" w:eastAsia="宋体" w:cs="宋体"/>
          <w:b w:val="0"/>
          <w:bCs w:val="0"/>
          <w:color w:val="auto"/>
          <w:sz w:val="21"/>
          <w:szCs w:val="21"/>
          <w:highlight w:val="none"/>
          <w:lang w:val="en-US" w:eastAsia="zh-CN"/>
        </w:rPr>
        <w:t>合同签订时间</w:t>
      </w:r>
      <w:r>
        <w:rPr>
          <w:rFonts w:hint="eastAsia" w:ascii="宋体" w:hAnsi="宋体" w:eastAsia="宋体" w:cs="宋体"/>
          <w:b w:val="0"/>
          <w:bCs w:val="0"/>
          <w:color w:val="auto"/>
          <w:sz w:val="21"/>
          <w:szCs w:val="21"/>
          <w:highlight w:val="none"/>
        </w:rPr>
        <w:t>为准）</w:t>
      </w:r>
      <w:r>
        <w:rPr>
          <w:rFonts w:hint="eastAsia" w:ascii="宋体" w:hAnsi="宋体" w:eastAsia="宋体" w:cs="宋体"/>
          <w:b w:val="0"/>
          <w:bCs w:val="0"/>
          <w:color w:val="auto"/>
          <w:sz w:val="21"/>
          <w:szCs w:val="21"/>
          <w:highlight w:val="none"/>
        </w:rPr>
        <w:t>。</w:t>
      </w:r>
    </w:p>
    <w:p w14:paraId="28619E85">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w:t>
      </w:r>
      <w:r>
        <w:rPr>
          <w:rFonts w:hint="eastAsia" w:ascii="宋体" w:hAnsi="宋体" w:eastAsia="宋体" w:cs="宋体"/>
          <w:b/>
          <w:bCs/>
          <w:color w:val="auto"/>
          <w:sz w:val="21"/>
          <w:szCs w:val="21"/>
          <w:highlight w:val="none"/>
        </w:rPr>
        <w:t>不接受</w:t>
      </w:r>
      <w:r>
        <w:rPr>
          <w:rFonts w:hint="eastAsia" w:ascii="宋体" w:hAnsi="宋体" w:eastAsia="宋体" w:cs="宋体"/>
          <w:color w:val="auto"/>
          <w:sz w:val="21"/>
          <w:szCs w:val="21"/>
          <w:highlight w:val="none"/>
        </w:rPr>
        <w:t>联合体投标。</w:t>
      </w:r>
    </w:p>
    <w:p w14:paraId="12393173">
      <w:pPr>
        <w:pStyle w:val="443"/>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本项目中标后</w:t>
      </w:r>
      <w:r>
        <w:rPr>
          <w:rFonts w:hint="eastAsia" w:ascii="宋体" w:hAnsi="宋体" w:eastAsia="宋体" w:cs="宋体"/>
          <w:b/>
          <w:bCs/>
          <w:color w:val="auto"/>
          <w:sz w:val="21"/>
          <w:szCs w:val="21"/>
          <w:highlight w:val="none"/>
        </w:rPr>
        <w:t>不允许</w:t>
      </w:r>
      <w:r>
        <w:rPr>
          <w:rFonts w:hint="eastAsia" w:ascii="宋体" w:hAnsi="宋体" w:eastAsia="宋体" w:cs="宋体"/>
          <w:color w:val="auto"/>
          <w:sz w:val="21"/>
          <w:szCs w:val="21"/>
          <w:highlight w:val="none"/>
        </w:rPr>
        <w:t>转包、分包。</w:t>
      </w:r>
    </w:p>
    <w:p w14:paraId="289ADA09">
      <w:pPr>
        <w:pStyle w:val="443"/>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采购标的对应中小企业划分标准所属行业：</w:t>
      </w:r>
      <w:r>
        <w:rPr>
          <w:rFonts w:hint="eastAsia" w:ascii="宋体" w:hAnsi="宋体" w:eastAsia="宋体" w:cs="宋体"/>
          <w:b w:val="0"/>
          <w:bCs w:val="0"/>
          <w:color w:val="auto"/>
          <w:sz w:val="21"/>
          <w:szCs w:val="21"/>
          <w:highlight w:val="none"/>
        </w:rPr>
        <w:t>租赁和商务服务业</w:t>
      </w:r>
      <w:r>
        <w:rPr>
          <w:rFonts w:hint="eastAsia" w:eastAsia="宋体"/>
          <w:b w:val="0"/>
          <w:bCs w:val="0"/>
          <w:color w:val="auto"/>
          <w:highlight w:val="none"/>
          <w:lang w:eastAsia="zh-CN"/>
        </w:rPr>
        <w:t>。</w:t>
      </w:r>
    </w:p>
    <w:p w14:paraId="625BAF99">
      <w:pPr>
        <w:keepNext w:val="0"/>
        <w:keepLines w:val="0"/>
        <w:pageBreakBefore w:val="0"/>
        <w:numPr>
          <w:ilvl w:val="0"/>
          <w:numId w:val="7"/>
        </w:numPr>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申请人的资格要求：</w:t>
      </w:r>
    </w:p>
    <w:p w14:paraId="25C0FBB0">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2.1满足《中华人民共和国政府采购法》第二十二条规定：</w:t>
      </w:r>
    </w:p>
    <w:p w14:paraId="69E04214">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（1）具有独立承担民事责任的能力，提供法人或其他组织的营业执照等证明文件，</w:t>
      </w:r>
      <w:r>
        <w:rPr>
          <w:rFonts w:hint="eastAsia" w:ascii="宋体" w:hAnsi="宋体" w:eastAsia="宋体" w:cs="宋体"/>
          <w:color w:val="auto"/>
          <w:sz w:val="21"/>
          <w:szCs w:val="21"/>
          <w:highlight w:val="none"/>
          <w:lang w:eastAsia="zh-CN"/>
        </w:rPr>
        <w:t>扫描件</w:t>
      </w:r>
      <w:r>
        <w:rPr>
          <w:rFonts w:hint="eastAsia" w:ascii="宋体" w:hAnsi="宋体" w:eastAsia="宋体" w:cs="宋体"/>
          <w:color w:val="auto"/>
          <w:sz w:val="21"/>
          <w:szCs w:val="21"/>
          <w:highlight w:val="none"/>
        </w:rPr>
        <w:t>加盖公章；</w:t>
      </w:r>
    </w:p>
    <w:p w14:paraId="033A562A">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（2）法人代表授权书（原件）及法定代表人、授权代表身份证</w:t>
      </w:r>
      <w:r>
        <w:rPr>
          <w:rFonts w:hint="eastAsia" w:ascii="宋体" w:hAnsi="宋体" w:eastAsia="宋体" w:cs="宋体"/>
          <w:color w:val="auto"/>
          <w:sz w:val="21"/>
          <w:szCs w:val="21"/>
          <w:highlight w:val="none"/>
          <w:lang w:eastAsia="zh-CN"/>
        </w:rPr>
        <w:t>扫描件</w:t>
      </w:r>
      <w:r>
        <w:rPr>
          <w:rFonts w:hint="eastAsia" w:ascii="宋体" w:hAnsi="宋体" w:eastAsia="宋体" w:cs="宋体"/>
          <w:color w:val="auto"/>
          <w:sz w:val="21"/>
          <w:szCs w:val="21"/>
          <w:highlight w:val="none"/>
        </w:rPr>
        <w:t>及</w:t>
      </w:r>
      <w:r>
        <w:rPr>
          <w:rFonts w:hint="eastAsia" w:ascii="宋体" w:hAnsi="宋体" w:eastAsia="宋体" w:cs="宋体"/>
          <w:b/>
          <w:color w:val="auto"/>
          <w:sz w:val="21"/>
          <w:szCs w:val="21"/>
          <w:highlight w:val="none"/>
          <w:lang w:val="en-US" w:eastAsia="zh-CN"/>
        </w:rPr>
        <w:t>开标前6个月（不含开标当月）</w:t>
      </w:r>
      <w:r>
        <w:rPr>
          <w:rFonts w:hint="eastAsia" w:ascii="宋体" w:hAnsi="宋体" w:eastAsia="宋体" w:cs="宋体"/>
          <w:bCs/>
          <w:color w:val="auto"/>
          <w:sz w:val="21"/>
          <w:szCs w:val="21"/>
          <w:highlight w:val="none"/>
        </w:rPr>
        <w:t>内任意一月投标单位为其缴纳的社保证明</w:t>
      </w:r>
      <w:r>
        <w:rPr>
          <w:rFonts w:hint="eastAsia" w:ascii="宋体" w:hAnsi="宋体" w:eastAsia="宋体" w:cs="宋体"/>
          <w:color w:val="auto"/>
          <w:sz w:val="21"/>
          <w:szCs w:val="21"/>
          <w:highlight w:val="none"/>
        </w:rPr>
        <w:t>（如果是法定代表人直接参与投标的可以不提供授权书）；</w:t>
      </w:r>
    </w:p>
    <w:p w14:paraId="22E23829">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（3）具有良好的商业信誉和健全的财务会计制度，提供</w:t>
      </w:r>
      <w:r>
        <w:rPr>
          <w:rFonts w:hint="eastAsia" w:ascii="宋体" w:hAnsi="宋体" w:eastAsia="宋体" w:cs="宋体"/>
          <w:b/>
          <w:color w:val="auto"/>
          <w:sz w:val="21"/>
          <w:szCs w:val="21"/>
          <w:highlight w:val="none"/>
          <w:lang w:val="en-US" w:eastAsia="zh-CN"/>
        </w:rPr>
        <w:t>开标前6个月（不含开标当月）</w:t>
      </w:r>
      <w:r>
        <w:rPr>
          <w:rFonts w:hint="eastAsia" w:ascii="宋体" w:hAnsi="宋体" w:eastAsia="宋体" w:cs="宋体"/>
          <w:color w:val="auto"/>
          <w:sz w:val="21"/>
          <w:szCs w:val="21"/>
          <w:highlight w:val="none"/>
        </w:rPr>
        <w:t>内任意一月份的财务状况报告（至少包括资产负债表或利润表）（法人或者其他组织成立未满三个月的可以不提供），或其银行出具的资信证书（</w:t>
      </w:r>
      <w:r>
        <w:rPr>
          <w:rFonts w:hint="eastAsia" w:ascii="宋体" w:hAnsi="宋体" w:eastAsia="宋体" w:cs="宋体"/>
          <w:color w:val="auto"/>
          <w:sz w:val="21"/>
          <w:szCs w:val="21"/>
          <w:highlight w:val="none"/>
          <w:lang w:eastAsia="zh-CN"/>
        </w:rPr>
        <w:t>扫描件</w:t>
      </w:r>
      <w:r>
        <w:rPr>
          <w:rFonts w:hint="eastAsia" w:ascii="宋体" w:hAnsi="宋体" w:eastAsia="宋体" w:cs="宋体"/>
          <w:color w:val="auto"/>
          <w:sz w:val="21"/>
          <w:szCs w:val="21"/>
          <w:highlight w:val="none"/>
        </w:rPr>
        <w:t>）（</w:t>
      </w:r>
      <w:r>
        <w:rPr>
          <w:rFonts w:hint="eastAsia" w:ascii="宋体" w:hAnsi="宋体" w:eastAsia="宋体" w:cs="宋体"/>
          <w:b/>
          <w:color w:val="auto"/>
          <w:sz w:val="21"/>
          <w:szCs w:val="21"/>
          <w:highlight w:val="none"/>
          <w:lang w:val="en-US" w:eastAsia="zh-CN"/>
        </w:rPr>
        <w:t>开标前6个月（不含开标当月）</w:t>
      </w:r>
      <w:r>
        <w:rPr>
          <w:rFonts w:hint="eastAsia" w:ascii="宋体" w:hAnsi="宋体" w:eastAsia="宋体" w:cs="宋体"/>
          <w:color w:val="auto"/>
          <w:sz w:val="21"/>
          <w:szCs w:val="21"/>
          <w:highlight w:val="none"/>
        </w:rPr>
        <w:t>内），或</w:t>
      </w:r>
      <w:r>
        <w:rPr>
          <w:rFonts w:hint="eastAsia" w:ascii="宋体" w:hAnsi="宋体" w:eastAsia="宋体" w:cs="宋体"/>
          <w:color w:val="auto"/>
          <w:sz w:val="21"/>
          <w:szCs w:val="21"/>
          <w:highlight w:val="none"/>
          <w:lang w:val="en-US" w:eastAsia="zh-CN"/>
        </w:rPr>
        <w:t>2025</w:t>
      </w:r>
      <w:r>
        <w:rPr>
          <w:rFonts w:hint="eastAsia" w:ascii="宋体" w:hAnsi="宋体" w:eastAsia="宋体" w:cs="宋体"/>
          <w:color w:val="auto"/>
          <w:sz w:val="21"/>
          <w:szCs w:val="21"/>
          <w:highlight w:val="none"/>
        </w:rPr>
        <w:t>年度经审计的财务报告</w:t>
      </w:r>
      <w:r>
        <w:rPr>
          <w:rFonts w:hint="eastAsia" w:ascii="宋体" w:hAnsi="宋体" w:eastAsia="宋体" w:cs="宋体"/>
          <w:color w:val="auto"/>
          <w:sz w:val="21"/>
          <w:szCs w:val="21"/>
          <w:highlight w:val="none"/>
          <w:lang w:eastAsia="zh-CN"/>
        </w:rPr>
        <w:t>扫描件</w:t>
      </w:r>
      <w:r>
        <w:rPr>
          <w:rFonts w:hint="eastAsia" w:ascii="宋体" w:hAnsi="宋体" w:eastAsia="宋体" w:cs="宋体"/>
          <w:color w:val="auto"/>
          <w:sz w:val="21"/>
          <w:szCs w:val="21"/>
          <w:highlight w:val="none"/>
        </w:rPr>
        <w:t>加盖公章；</w:t>
      </w:r>
    </w:p>
    <w:p w14:paraId="12E9AC30">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（4）具有履行合同所必需的设备和专业技术能力（根据项目需求提供履行合同所必需的设备和专业技术能力的证明材料或相关加盖公章的承诺函，承诺函自行编写）；</w:t>
      </w:r>
    </w:p>
    <w:p w14:paraId="0E2CB958">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参加政府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p>
    <w:p w14:paraId="01D42542">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（6）有依法缴纳税收的良好记录，提供</w:t>
      </w:r>
      <w:r>
        <w:rPr>
          <w:rFonts w:hint="eastAsia" w:ascii="宋体" w:hAnsi="宋体" w:eastAsia="宋体" w:cs="宋体"/>
          <w:b/>
          <w:color w:val="auto"/>
          <w:sz w:val="21"/>
          <w:szCs w:val="21"/>
          <w:highlight w:val="none"/>
          <w:lang w:val="en-US" w:eastAsia="zh-CN"/>
        </w:rPr>
        <w:t>开标前6个月（不含开标当月）</w:t>
      </w:r>
      <w:r>
        <w:rPr>
          <w:rFonts w:hint="eastAsia" w:ascii="宋体" w:hAnsi="宋体" w:eastAsia="宋体" w:cs="宋体"/>
          <w:color w:val="auto"/>
          <w:sz w:val="21"/>
          <w:szCs w:val="21"/>
          <w:highlight w:val="none"/>
        </w:rPr>
        <w:t>内任意一月份的纳税凭据</w:t>
      </w:r>
      <w:r>
        <w:rPr>
          <w:rFonts w:hint="eastAsia" w:ascii="宋体" w:hAnsi="宋体" w:eastAsia="宋体" w:cs="宋体"/>
          <w:color w:val="auto"/>
          <w:sz w:val="21"/>
          <w:szCs w:val="21"/>
          <w:highlight w:val="none"/>
          <w:lang w:eastAsia="zh-CN"/>
        </w:rPr>
        <w:t>扫描件</w:t>
      </w:r>
      <w:r>
        <w:rPr>
          <w:rFonts w:hint="eastAsia" w:ascii="宋体" w:hAnsi="宋体" w:eastAsia="宋体" w:cs="宋体"/>
          <w:color w:val="auto"/>
          <w:sz w:val="21"/>
          <w:szCs w:val="21"/>
          <w:highlight w:val="none"/>
        </w:rPr>
        <w:t>加盖公章（依法免税的应提供相应文件说明）；</w:t>
      </w:r>
    </w:p>
    <w:p w14:paraId="5D76E64E">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（7）有依法缴纳社会保障资金的良好记录，提供</w:t>
      </w:r>
      <w:r>
        <w:rPr>
          <w:rFonts w:hint="eastAsia" w:ascii="宋体" w:hAnsi="宋体" w:eastAsia="宋体" w:cs="宋体"/>
          <w:b/>
          <w:color w:val="auto"/>
          <w:sz w:val="21"/>
          <w:szCs w:val="21"/>
          <w:highlight w:val="none"/>
          <w:lang w:val="en-US" w:eastAsia="zh-CN"/>
        </w:rPr>
        <w:t>开标前6个月（不含开标当月）</w:t>
      </w:r>
      <w:r>
        <w:rPr>
          <w:rFonts w:hint="eastAsia" w:ascii="宋体" w:hAnsi="宋体" w:eastAsia="宋体" w:cs="宋体"/>
          <w:color w:val="auto"/>
          <w:sz w:val="21"/>
          <w:szCs w:val="21"/>
          <w:highlight w:val="none"/>
        </w:rPr>
        <w:t>内任意一月份的依法缴纳社会保障资金的凭据</w:t>
      </w:r>
      <w:r>
        <w:rPr>
          <w:rFonts w:hint="eastAsia" w:ascii="宋体" w:hAnsi="宋体" w:eastAsia="宋体" w:cs="宋体"/>
          <w:color w:val="auto"/>
          <w:sz w:val="21"/>
          <w:szCs w:val="21"/>
          <w:highlight w:val="none"/>
          <w:lang w:eastAsia="zh-CN"/>
        </w:rPr>
        <w:t>扫描件</w:t>
      </w:r>
      <w:r>
        <w:rPr>
          <w:rFonts w:hint="eastAsia" w:ascii="宋体" w:hAnsi="宋体" w:eastAsia="宋体" w:cs="宋体"/>
          <w:color w:val="auto"/>
          <w:sz w:val="21"/>
          <w:szCs w:val="21"/>
          <w:highlight w:val="none"/>
        </w:rPr>
        <w:t>加盖公章；</w:t>
      </w:r>
    </w:p>
    <w:p w14:paraId="3075EADD">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2.2落实政府采购政策需满足的资格要求：</w:t>
      </w:r>
    </w:p>
    <w:p w14:paraId="014285A5">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本项目采用以下第（4）种方式落实政府采购促进中小企业发展的要求：</w:t>
      </w:r>
    </w:p>
    <w:p w14:paraId="65EA7B6C">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（1）本项目整体专门面向中小企业采购工程（以中小企业声明函为准）。</w:t>
      </w:r>
    </w:p>
    <w:p w14:paraId="3DF85206">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（2）本项目整体专门面向小微企业采购工程。</w:t>
      </w:r>
    </w:p>
    <w:p w14:paraId="06147007">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（3）本项目通过以下第（）种方式预留部分采购份额采购中小企业工程：</w:t>
      </w:r>
    </w:p>
    <w:p w14:paraId="6303D5AF">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①本项目要求供应商以联合体形式参加，中小企业合同金额应当达到的比例为%。</w:t>
      </w:r>
    </w:p>
    <w:p w14:paraId="1293F704">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②本项目要求供应商进行合同分包，中小企业合同金额应当达到的比例为%。</w:t>
      </w:r>
    </w:p>
    <w:p w14:paraId="166BF3E3">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（4）本项目为非预留份额的采购项目或采购包，执行价格扣除优惠政策，具体详见第三章 评标标准。</w:t>
      </w:r>
    </w:p>
    <w:p w14:paraId="35B0A6CD">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rPr>
        <w:t>2.3本项目的特定资格要求：</w:t>
      </w:r>
      <w:r>
        <w:rPr>
          <w:rFonts w:hint="eastAsia" w:ascii="宋体" w:hAnsi="宋体" w:eastAsia="宋体" w:cs="宋体"/>
          <w:b/>
          <w:bCs/>
          <w:color w:val="auto"/>
          <w:sz w:val="21"/>
          <w:szCs w:val="21"/>
          <w:highlight w:val="none"/>
          <w:lang w:val="en-US" w:eastAsia="zh-CN"/>
        </w:rPr>
        <w:t>无。</w:t>
      </w:r>
    </w:p>
    <w:p w14:paraId="74332857">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2.4</w:t>
      </w:r>
      <w:r>
        <w:rPr>
          <w:rFonts w:hint="eastAsia" w:ascii="宋体" w:hAnsi="宋体" w:eastAsia="宋体" w:cs="宋体"/>
          <w:b/>
          <w:bCs/>
          <w:color w:val="auto"/>
          <w:sz w:val="21"/>
          <w:szCs w:val="21"/>
          <w:highlight w:val="none"/>
        </w:rPr>
        <w:t>供应商存在下列情形的不得参加本次招标活动：</w:t>
      </w:r>
    </w:p>
    <w:p w14:paraId="566FF599">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w:t>
      </w:r>
      <w:bookmarkStart w:id="5" w:name="OLE_LINK1"/>
      <w:r>
        <w:rPr>
          <w:rFonts w:hint="eastAsia" w:ascii="宋体" w:hAnsi="宋体" w:eastAsia="宋体" w:cs="宋体"/>
          <w:color w:val="auto"/>
          <w:sz w:val="21"/>
          <w:szCs w:val="21"/>
          <w:highlight w:val="none"/>
        </w:rPr>
        <w:t>单位负责人为同一人或者存在直接控股、管理关系的不同供应商，不得参加同一合同项下的政府采购活动</w:t>
      </w:r>
      <w:bookmarkEnd w:id="5"/>
      <w:r>
        <w:rPr>
          <w:rFonts w:hint="eastAsia" w:ascii="宋体" w:hAnsi="宋体" w:eastAsia="宋体" w:cs="宋体"/>
          <w:color w:val="auto"/>
          <w:sz w:val="21"/>
          <w:szCs w:val="21"/>
          <w:highlight w:val="none"/>
        </w:rPr>
        <w:t>。</w:t>
      </w:r>
    </w:p>
    <w:p w14:paraId="559DE577">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除单一来源项目外，凡为采购项目提供整体设计、规范编制或者项目管理、监理、检测等服务的供应商不得再参加本项目的采购活动。</w:t>
      </w:r>
    </w:p>
    <w:p w14:paraId="156B9E1F">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通过“信用中国”网站（http://www.creditchina.gov.cn）、中国政府采购网（www.ccgp.gov.cn）查询供应商在响应截止时间前的信用记录，通过以上查询渠道，供应商未被列入失信被执行人、重大税收违法案件当事人名单、政府采购严重违法失信行为记录。</w:t>
      </w:r>
    </w:p>
    <w:p w14:paraId="3BEF0182">
      <w:pPr>
        <w:pStyle w:val="176"/>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
          <w:bCs w:val="0"/>
          <w:color w:val="auto"/>
          <w:sz w:val="21"/>
          <w:szCs w:val="21"/>
          <w:highlight w:val="none"/>
        </w:rPr>
        <w:t>三、获取招标文件</w:t>
      </w:r>
      <w:r>
        <w:rPr>
          <w:rFonts w:hint="eastAsia" w:ascii="宋体" w:hAnsi="宋体" w:eastAsia="宋体" w:cs="宋体"/>
          <w:bCs/>
          <w:color w:val="auto"/>
          <w:sz w:val="21"/>
          <w:szCs w:val="21"/>
          <w:highlight w:val="none"/>
        </w:rPr>
        <w:t xml:space="preserve"> </w:t>
      </w:r>
    </w:p>
    <w:p w14:paraId="42DDBC0D">
      <w:pPr>
        <w:pStyle w:val="444"/>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eastAsia="zh-CN"/>
        </w:rPr>
      </w:pPr>
      <w:bookmarkStart w:id="6" w:name="_Toc28359005"/>
      <w:bookmarkStart w:id="7" w:name="_Toc28359082"/>
      <w:bookmarkStart w:id="8" w:name="_Toc35393793"/>
      <w:bookmarkStart w:id="9" w:name="_Toc35393624"/>
      <w:r>
        <w:rPr>
          <w:rFonts w:hint="eastAsia" w:ascii="宋体" w:hAnsi="宋体" w:eastAsia="宋体" w:cs="宋体"/>
          <w:color w:val="auto"/>
          <w:sz w:val="21"/>
          <w:szCs w:val="21"/>
          <w:highlight w:val="none"/>
        </w:rPr>
        <w:t>1.获取时间：自招标公告发布之日起5个工作日</w:t>
      </w:r>
      <w:r>
        <w:rPr>
          <w:rFonts w:hint="eastAsia" w:ascii="宋体" w:hAnsi="宋体" w:eastAsia="宋体" w:cs="宋体"/>
          <w:color w:val="auto"/>
          <w:sz w:val="21"/>
          <w:szCs w:val="21"/>
          <w:highlight w:val="none"/>
          <w:lang w:eastAsia="zh-CN"/>
        </w:rPr>
        <w:t>。</w:t>
      </w:r>
    </w:p>
    <w:p w14:paraId="3015CFBD">
      <w:pPr>
        <w:pStyle w:val="444"/>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2.地点：“苏采云”系统注册登记成功后免费下载</w:t>
      </w:r>
    </w:p>
    <w:p w14:paraId="77640317">
      <w:pPr>
        <w:pStyle w:val="444"/>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3.获取方式：本项目采用网上注册登记方式</w:t>
      </w:r>
    </w:p>
    <w:p w14:paraId="4E55D048">
      <w:pPr>
        <w:pStyle w:val="444"/>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3.1潜在供应商访问电子招标响应交易平台的网络地址和方法：</w:t>
      </w:r>
    </w:p>
    <w:p w14:paraId="162A20FE">
      <w:pPr>
        <w:pStyle w:val="444"/>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p>
    <w:p w14:paraId="349201C8">
      <w:pPr>
        <w:pStyle w:val="444"/>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3.2潜在供应商访问“苏采云”系统的网络地址和方法：“苏采云”系统的网址：http://jszfcg.jsczt.cn/。</w:t>
      </w:r>
    </w:p>
    <w:p w14:paraId="74D9E455">
      <w:pPr>
        <w:pStyle w:val="444"/>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3.3“CA数字证书”的获取：</w:t>
      </w:r>
    </w:p>
    <w:p w14:paraId="3C4006E7">
      <w:pPr>
        <w:pStyle w:val="444"/>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p>
    <w:p w14:paraId="1E0AB24E">
      <w:pPr>
        <w:pStyle w:val="444"/>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3.4采购文件（后缀名为“.kedt”）、供应商操作手册及政府采购客户端工具可通过“苏采云”系统--已报名项目--报名详情页面内相应链接进行下载。</w:t>
      </w:r>
    </w:p>
    <w:p w14:paraId="6E2CDAB1">
      <w:pPr>
        <w:pStyle w:val="444"/>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3.5招标代理机构（采购代理机构）将数据电文形式的采购文件加载至“苏采云”系统，供潜在供应商下载或者查阅。</w:t>
      </w:r>
    </w:p>
    <w:p w14:paraId="28B2511B">
      <w:pPr>
        <w:pStyle w:val="444"/>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3.6请潜在投标单位提前安装相应的控件（详见《江苏省政府采购管理交易系统（苏采云）供应商操作手册》）并使用谷歌浏览器登录“苏采云”系统参与不见面开评标。</w:t>
      </w:r>
    </w:p>
    <w:p w14:paraId="18643BE8">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四、投标</w:t>
      </w:r>
      <w:bookmarkEnd w:id="6"/>
      <w:bookmarkEnd w:id="7"/>
      <w:r>
        <w:rPr>
          <w:rFonts w:hint="eastAsia" w:ascii="宋体" w:hAnsi="宋体" w:eastAsia="宋体" w:cs="宋体"/>
          <w:b/>
          <w:bCs/>
          <w:color w:val="auto"/>
          <w:sz w:val="21"/>
          <w:szCs w:val="21"/>
          <w:highlight w:val="none"/>
        </w:rPr>
        <w:t>截止时间、开标时间和地点</w:t>
      </w:r>
      <w:bookmarkEnd w:id="8"/>
      <w:bookmarkEnd w:id="9"/>
    </w:p>
    <w:p w14:paraId="1F8509E2">
      <w:pPr>
        <w:pStyle w:val="444"/>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1.投标截止时间：202</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lang w:val="en-US" w:eastAsia="zh-CN"/>
        </w:rPr>
        <w:t>27</w:t>
      </w:r>
      <w:r>
        <w:rPr>
          <w:rFonts w:hint="eastAsia" w:ascii="宋体" w:hAnsi="宋体" w:eastAsia="宋体" w:cs="宋体"/>
          <w:color w:val="auto"/>
          <w:sz w:val="21"/>
          <w:szCs w:val="21"/>
          <w:highlight w:val="none"/>
        </w:rPr>
        <w:t>日</w:t>
      </w:r>
      <w:r>
        <w:rPr>
          <w:rFonts w:hint="eastAsia" w:ascii="宋体" w:hAnsi="宋体" w:eastAsia="宋体" w:cs="宋体"/>
          <w:color w:val="auto"/>
          <w:sz w:val="21"/>
          <w:szCs w:val="21"/>
          <w:highlight w:val="none"/>
          <w:lang w:val="en-US" w:eastAsia="zh-CN"/>
        </w:rPr>
        <w:t>14</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30</w:t>
      </w:r>
      <w:r>
        <w:rPr>
          <w:rFonts w:hint="eastAsia" w:ascii="宋体" w:hAnsi="宋体" w:eastAsia="宋体" w:cs="宋体"/>
          <w:color w:val="auto"/>
          <w:sz w:val="21"/>
          <w:szCs w:val="21"/>
          <w:highlight w:val="none"/>
        </w:rPr>
        <w:t>（北京时间）</w:t>
      </w:r>
    </w:p>
    <w:p w14:paraId="1D97BDA0">
      <w:pPr>
        <w:pStyle w:val="444"/>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2.开标时间：202</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lang w:val="en-US" w:eastAsia="zh-CN"/>
        </w:rPr>
        <w:t>27</w:t>
      </w:r>
      <w:r>
        <w:rPr>
          <w:rFonts w:hint="eastAsia" w:ascii="宋体" w:hAnsi="宋体" w:eastAsia="宋体" w:cs="宋体"/>
          <w:color w:val="auto"/>
          <w:sz w:val="21"/>
          <w:szCs w:val="21"/>
          <w:highlight w:val="none"/>
        </w:rPr>
        <w:t>日</w:t>
      </w:r>
      <w:r>
        <w:rPr>
          <w:rFonts w:hint="eastAsia" w:ascii="宋体" w:hAnsi="宋体" w:eastAsia="宋体" w:cs="宋体"/>
          <w:color w:val="auto"/>
          <w:sz w:val="21"/>
          <w:szCs w:val="21"/>
          <w:highlight w:val="none"/>
          <w:lang w:val="en-US" w:eastAsia="zh-CN"/>
        </w:rPr>
        <w:t>14</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30</w:t>
      </w:r>
      <w:r>
        <w:rPr>
          <w:rFonts w:hint="eastAsia" w:ascii="宋体" w:hAnsi="宋体" w:eastAsia="宋体" w:cs="宋体"/>
          <w:color w:val="auto"/>
          <w:sz w:val="21"/>
          <w:szCs w:val="21"/>
          <w:highlight w:val="none"/>
        </w:rPr>
        <w:t xml:space="preserve">（北京时间） </w:t>
      </w:r>
    </w:p>
    <w:p w14:paraId="2BF6265D">
      <w:pPr>
        <w:pStyle w:val="444"/>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3.开标地点：“苏采云”系统（网址： http://jszfcg.jsczt.cn/）“开标大厅”，点击“苏采云”进入系统“开标大厅”。</w:t>
      </w:r>
    </w:p>
    <w:p w14:paraId="7DFF006D">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注：各供应商请关注开标大厅交流区，在开标结束后，请勿离开开标大厅。</w:t>
      </w:r>
    </w:p>
    <w:p w14:paraId="53F3C7D1">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4.投标文件的解密：开标当天各供应商及时登录不见面开标大厅</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响应文件递交截止时间后，采购人将在系统内公布投标供应商名单，然后通过开标会议区发出响应文件解密的指令</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p>
    <w:p w14:paraId="0AB8C75E">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五、公告期限</w:t>
      </w:r>
    </w:p>
    <w:p w14:paraId="248D9282">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自本公告发布之日起</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个工作日。</w:t>
      </w:r>
    </w:p>
    <w:p w14:paraId="6AFA013C">
      <w:pPr>
        <w:keepNext w:val="0"/>
        <w:keepLines w:val="0"/>
        <w:pageBreakBefore w:val="0"/>
        <w:numPr>
          <w:ilvl w:val="0"/>
          <w:numId w:val="8"/>
        </w:numPr>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highlight w:val="none"/>
        </w:rPr>
      </w:pPr>
      <w:bookmarkStart w:id="10" w:name="_Toc35393626"/>
      <w:bookmarkStart w:id="11" w:name="_Toc35393795"/>
      <w:r>
        <w:rPr>
          <w:rFonts w:hint="eastAsia" w:ascii="宋体" w:hAnsi="宋体" w:eastAsia="宋体" w:cs="宋体"/>
          <w:b/>
          <w:bCs/>
          <w:color w:val="auto"/>
          <w:sz w:val="21"/>
          <w:szCs w:val="21"/>
          <w:highlight w:val="none"/>
        </w:rPr>
        <w:t>其他补充事宜</w:t>
      </w:r>
      <w:bookmarkEnd w:id="10"/>
      <w:bookmarkEnd w:id="11"/>
    </w:p>
    <w:p w14:paraId="10662AEE">
      <w:pPr>
        <w:pStyle w:val="176"/>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1.本项目公告媒体：江苏政府采购网（http://www.ccgp-jiangsu.gov.cn/）</w:t>
      </w:r>
    </w:p>
    <w:p w14:paraId="75670451">
      <w:pPr>
        <w:pStyle w:val="176"/>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p>
    <w:p w14:paraId="1634406D">
      <w:pPr>
        <w:pStyle w:val="176"/>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http://www.ccgp-jiangsu.gov.cn/jiangsu/zlxz/ee/ee3a4bc5a3454aa2b0d9312230633ce9.html。</w:t>
      </w:r>
    </w:p>
    <w:p w14:paraId="48283A79">
      <w:pPr>
        <w:pStyle w:val="176"/>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领取CA和办理电子签章（请至南京市建邺区汉中门大街145号省公共资源交易中心三楼开标区受理台1号窗口办理，联系电话：025- 83668701或南京市建邺区江东中路265号南京市公共资源交易中心北门外1255室（一楼）办理，联系电话：025-68505941)</w:t>
      </w:r>
    </w:p>
    <w:p w14:paraId="23C09AFE">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3.本项目执行《政府采购促进中小企业发展管理办法</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关于政府采购支持监狱企业发展有关问题的通知</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关于促进残疾人就业政府采购政策的通知</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等政府采购文件</w:t>
      </w:r>
      <w:r>
        <w:rPr>
          <w:rFonts w:hint="eastAsia" w:ascii="宋体" w:hAnsi="宋体" w:eastAsia="宋体" w:cs="宋体"/>
          <w:color w:val="auto"/>
          <w:sz w:val="21"/>
          <w:szCs w:val="21"/>
          <w:highlight w:val="none"/>
          <w:lang w:eastAsia="zh-CN"/>
        </w:rPr>
        <w:t>。</w:t>
      </w:r>
    </w:p>
    <w:p w14:paraId="5463513B">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4.有关本次招标的事项若存在变动或修改，敬请及时关注在“江苏政府采购网”发布的更正公告。</w:t>
      </w:r>
    </w:p>
    <w:p w14:paraId="1FF4A9D8">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highlight w:val="none"/>
        </w:rPr>
      </w:pPr>
      <w:bookmarkStart w:id="12" w:name="_Toc35393627"/>
      <w:bookmarkStart w:id="13" w:name="_Toc28359008"/>
      <w:bookmarkStart w:id="14" w:name="_Toc28359085"/>
      <w:bookmarkStart w:id="15" w:name="_Toc35393796"/>
      <w:r>
        <w:rPr>
          <w:rFonts w:hint="eastAsia" w:ascii="宋体" w:hAnsi="宋体" w:eastAsia="宋体" w:cs="宋体"/>
          <w:b/>
          <w:bCs/>
          <w:color w:val="auto"/>
          <w:sz w:val="21"/>
          <w:szCs w:val="21"/>
          <w:highlight w:val="none"/>
        </w:rPr>
        <w:t>七、对本次招标提出询问，请按以下方式联系</w:t>
      </w:r>
      <w:bookmarkEnd w:id="12"/>
      <w:bookmarkEnd w:id="13"/>
      <w:bookmarkEnd w:id="14"/>
      <w:bookmarkEnd w:id="15"/>
    </w:p>
    <w:p w14:paraId="1B2F192B">
      <w:pPr>
        <w:keepNext w:val="0"/>
        <w:keepLines w:val="0"/>
        <w:pageBreakBefore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1.采购人信息</w:t>
      </w:r>
    </w:p>
    <w:p w14:paraId="41E87FF8">
      <w:pPr>
        <w:keepNext w:val="0"/>
        <w:keepLines w:val="0"/>
        <w:pageBreakBefore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名    称：江苏省公安厅</w:t>
      </w:r>
    </w:p>
    <w:p w14:paraId="7F6760B4">
      <w:pPr>
        <w:keepNext w:val="0"/>
        <w:keepLines w:val="0"/>
        <w:pageBreakBefore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地    址：</w:t>
      </w:r>
      <w:r>
        <w:rPr>
          <w:rFonts w:hint="eastAsia" w:ascii="宋体" w:hAnsi="宋体" w:eastAsia="宋体" w:cs="宋体"/>
          <w:color w:val="auto"/>
          <w:sz w:val="21"/>
          <w:szCs w:val="21"/>
          <w:highlight w:val="none"/>
          <w:lang w:val="en-US" w:eastAsia="zh-CN"/>
        </w:rPr>
        <w:t>南京市</w:t>
      </w:r>
      <w:r>
        <w:rPr>
          <w:rFonts w:hint="eastAsia" w:ascii="宋体" w:hAnsi="宋体" w:eastAsia="宋体" w:cs="宋体"/>
          <w:color w:val="auto"/>
          <w:sz w:val="21"/>
          <w:szCs w:val="21"/>
          <w:highlight w:val="none"/>
          <w:lang w:val="zh-CN"/>
        </w:rPr>
        <w:t>鼓楼区扬州路1号</w:t>
      </w:r>
    </w:p>
    <w:p w14:paraId="45EB9444">
      <w:pPr>
        <w:keepNext w:val="0"/>
        <w:keepLines w:val="0"/>
        <w:pageBreakBefore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rPr>
        <w:t>联 系 人：杨</w:t>
      </w:r>
      <w:r>
        <w:rPr>
          <w:rFonts w:hint="eastAsia" w:ascii="宋体" w:hAnsi="宋体" w:eastAsia="宋体" w:cs="宋体"/>
          <w:color w:val="auto"/>
          <w:sz w:val="21"/>
          <w:szCs w:val="21"/>
          <w:highlight w:val="none"/>
          <w:lang w:val="en-US" w:eastAsia="zh-CN"/>
        </w:rPr>
        <w:t>老师</w:t>
      </w:r>
    </w:p>
    <w:p w14:paraId="633C6B05">
      <w:pPr>
        <w:keepNext w:val="0"/>
        <w:keepLines w:val="0"/>
        <w:pageBreakBefore w:val="0"/>
        <w:kinsoku/>
        <w:wordWrap/>
        <w:overflowPunct/>
        <w:topLinePunct w:val="0"/>
        <w:autoSpaceDE/>
        <w:autoSpaceDN/>
        <w:bidi w:val="0"/>
        <w:adjustRightInd w:val="0"/>
        <w:snapToGrid w:val="0"/>
        <w:spacing w:line="360" w:lineRule="auto"/>
        <w:ind w:firstLine="420" w:firstLineChars="200"/>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rPr>
        <w:t>联系方式：025-83526189</w:t>
      </w:r>
    </w:p>
    <w:p w14:paraId="0B037B6F">
      <w:pPr>
        <w:keepNext w:val="0"/>
        <w:keepLines w:val="0"/>
        <w:pageBreakBefore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2.采购代理机构信息</w:t>
      </w:r>
    </w:p>
    <w:p w14:paraId="4BE8E4D1">
      <w:pPr>
        <w:keepNext w:val="0"/>
        <w:keepLines w:val="0"/>
        <w:pageBreakBefore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名    称：江苏金永诚建设投资管理咨询有限公司</w:t>
      </w:r>
    </w:p>
    <w:p w14:paraId="169ADDFA">
      <w:pPr>
        <w:keepNext w:val="0"/>
        <w:keepLines w:val="0"/>
        <w:pageBreakBefore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地　　址：南京市建邺区云龙山路1号建邺科技创新产业园B1栋五楼</w:t>
      </w:r>
    </w:p>
    <w:p w14:paraId="548D13C6">
      <w:pPr>
        <w:keepNext w:val="0"/>
        <w:keepLines w:val="0"/>
        <w:pageBreakBefore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联 系 人：李工</w:t>
      </w:r>
    </w:p>
    <w:p w14:paraId="586FF8D9">
      <w:pPr>
        <w:keepNext w:val="0"/>
        <w:keepLines w:val="0"/>
        <w:pageBreakBefore w:val="0"/>
        <w:kinsoku/>
        <w:wordWrap/>
        <w:overflowPunct/>
        <w:topLinePunct w:val="0"/>
        <w:autoSpaceDE/>
        <w:autoSpaceDN/>
        <w:bidi w:val="0"/>
        <w:adjustRightInd w:val="0"/>
        <w:snapToGrid w:val="0"/>
        <w:spacing w:line="360" w:lineRule="auto"/>
        <w:ind w:firstLine="420" w:firstLineChars="200"/>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rPr>
        <w:t>联系方式：025-86209787</w:t>
      </w:r>
    </w:p>
    <w:p w14:paraId="02E832DF">
      <w:pPr>
        <w:keepNext w:val="0"/>
        <w:keepLines w:val="0"/>
        <w:pageBreakBefore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3.项目联系方式</w:t>
      </w:r>
    </w:p>
    <w:p w14:paraId="7FAF96A2">
      <w:pPr>
        <w:keepNext w:val="0"/>
        <w:keepLines w:val="0"/>
        <w:pageBreakBefore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项目联系人：李工</w:t>
      </w:r>
    </w:p>
    <w:p w14:paraId="6CE05173">
      <w:pPr>
        <w:keepNext w:val="0"/>
        <w:keepLines w:val="0"/>
        <w:pageBreakBefore w:val="0"/>
        <w:widowControl/>
        <w:shd w:val="clear" w:color="auto" w:fill="FFFFFF"/>
        <w:kinsoku/>
        <w:wordWrap/>
        <w:overflowPunct/>
        <w:topLinePunct w:val="0"/>
        <w:autoSpaceDE/>
        <w:autoSpaceDN/>
        <w:bidi w:val="0"/>
        <w:adjustRightInd/>
        <w:snapToGrid w:val="0"/>
        <w:spacing w:line="360" w:lineRule="auto"/>
        <w:ind w:firstLine="420" w:firstLineChars="200"/>
        <w:textAlignment w:val="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zh-CN"/>
        </w:rPr>
        <w:t>电　　 话：025-86209787</w:t>
      </w:r>
    </w:p>
    <w:p w14:paraId="21B0BB32">
      <w:pPr>
        <w:autoSpaceDE w:val="0"/>
        <w:autoSpaceDN w:val="0"/>
        <w:adjustRightInd w:val="0"/>
        <w:snapToGrid w:val="0"/>
        <w:spacing w:line="288" w:lineRule="auto"/>
        <w:jc w:val="center"/>
        <w:outlineLvl w:val="0"/>
        <w:rPr>
          <w:rFonts w:ascii="黑体" w:hAnsi="宋体" w:eastAsia="黑体"/>
          <w:color w:val="auto"/>
          <w:spacing w:val="-10"/>
          <w:sz w:val="36"/>
          <w:szCs w:val="36"/>
          <w:highlight w:val="none"/>
        </w:rPr>
      </w:pPr>
      <w:r>
        <w:rPr>
          <w:rFonts w:hint="eastAsia" w:ascii="宋体" w:hAnsi="宋体" w:eastAsia="宋体"/>
          <w:color w:val="auto"/>
          <w:sz w:val="21"/>
          <w:szCs w:val="21"/>
          <w:highlight w:val="none"/>
        </w:rPr>
        <w:br w:type="page"/>
      </w:r>
      <w:bookmarkStart w:id="16" w:name="_Toc10138"/>
      <w:r>
        <w:rPr>
          <w:rFonts w:hint="eastAsia" w:ascii="黑体" w:hAnsi="宋体" w:eastAsia="黑体"/>
          <w:color w:val="auto"/>
          <w:spacing w:val="-10"/>
          <w:sz w:val="36"/>
          <w:szCs w:val="36"/>
          <w:highlight w:val="none"/>
        </w:rPr>
        <w:t>第二章 投标人须知</w:t>
      </w:r>
      <w:bookmarkEnd w:id="16"/>
    </w:p>
    <w:p w14:paraId="26D021C4">
      <w:pPr>
        <w:widowControl/>
        <w:shd w:val="clear" w:color="auto" w:fill="FFFFFF"/>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投标人须知前附表</w:t>
      </w:r>
    </w:p>
    <w:tbl>
      <w:tblPr>
        <w:tblStyle w:val="5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9"/>
        <w:gridCol w:w="8928"/>
      </w:tblGrid>
      <w:tr w14:paraId="6A3862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jc w:val="center"/>
        </w:trPr>
        <w:tc>
          <w:tcPr>
            <w:tcW w:w="819" w:type="dxa"/>
            <w:noWrap/>
            <w:vAlign w:val="center"/>
          </w:tcPr>
          <w:p w14:paraId="7EFA2715">
            <w:pPr>
              <w:spacing w:line="360" w:lineRule="auto"/>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序号</w:t>
            </w:r>
          </w:p>
        </w:tc>
        <w:tc>
          <w:tcPr>
            <w:tcW w:w="8928" w:type="dxa"/>
            <w:noWrap/>
            <w:vAlign w:val="center"/>
          </w:tcPr>
          <w:p w14:paraId="752D826B">
            <w:pPr>
              <w:spacing w:line="360" w:lineRule="auto"/>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主要内容</w:t>
            </w:r>
          </w:p>
        </w:tc>
      </w:tr>
      <w:tr w14:paraId="5610B8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jc w:val="center"/>
        </w:trPr>
        <w:tc>
          <w:tcPr>
            <w:tcW w:w="819" w:type="dxa"/>
            <w:noWrap/>
            <w:vAlign w:val="center"/>
          </w:tcPr>
          <w:p w14:paraId="76D25044">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1</w:t>
            </w:r>
          </w:p>
        </w:tc>
        <w:tc>
          <w:tcPr>
            <w:tcW w:w="8928" w:type="dxa"/>
            <w:noWrap/>
            <w:vAlign w:val="center"/>
          </w:tcPr>
          <w:p w14:paraId="623EA696">
            <w:pPr>
              <w:widowControl/>
              <w:shd w:val="clear" w:color="auto" w:fill="FFFFFF"/>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采 购 人</w:t>
            </w:r>
            <w:r>
              <w:rPr>
                <w:rFonts w:hint="eastAsia" w:ascii="宋体" w:hAnsi="宋体" w:eastAsia="宋体" w:cs="宋体"/>
                <w:color w:val="auto"/>
                <w:sz w:val="21"/>
                <w:szCs w:val="21"/>
                <w:highlight w:val="none"/>
              </w:rPr>
              <w:t>：江苏省公安厅</w:t>
            </w:r>
          </w:p>
          <w:p w14:paraId="7440CE2A">
            <w:pPr>
              <w:widowControl/>
              <w:shd w:val="clear" w:color="auto" w:fill="FFFFFF"/>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地    址：南京市鼓楼区扬州路1号</w:t>
            </w:r>
          </w:p>
          <w:p w14:paraId="2F6D29E2">
            <w:pPr>
              <w:widowControl/>
              <w:shd w:val="clear" w:color="auto" w:fill="FFFFFF"/>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联 系 人：杨</w:t>
            </w:r>
            <w:r>
              <w:rPr>
                <w:rFonts w:hint="eastAsia" w:ascii="宋体" w:hAnsi="宋体" w:eastAsia="宋体" w:cs="宋体"/>
                <w:color w:val="auto"/>
                <w:sz w:val="21"/>
                <w:szCs w:val="21"/>
                <w:highlight w:val="none"/>
                <w:lang w:val="en-US" w:eastAsia="zh-CN"/>
              </w:rPr>
              <w:t>老师</w:t>
            </w:r>
          </w:p>
          <w:p w14:paraId="1F6B7D18">
            <w:pPr>
              <w:widowControl/>
              <w:shd w:val="clear" w:color="auto" w:fill="FFFFFF"/>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电    话：025-83526189</w:t>
            </w:r>
          </w:p>
        </w:tc>
      </w:tr>
      <w:tr w14:paraId="17A737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jc w:val="center"/>
        </w:trPr>
        <w:tc>
          <w:tcPr>
            <w:tcW w:w="819" w:type="dxa"/>
            <w:noWrap/>
            <w:vAlign w:val="center"/>
          </w:tcPr>
          <w:p w14:paraId="7CED8B88">
            <w:pPr>
              <w:spacing w:line="360" w:lineRule="auto"/>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w:t>
            </w:r>
          </w:p>
        </w:tc>
        <w:tc>
          <w:tcPr>
            <w:tcW w:w="8928" w:type="dxa"/>
            <w:noWrap/>
            <w:vAlign w:val="center"/>
          </w:tcPr>
          <w:p w14:paraId="503A51D6">
            <w:pPr>
              <w:widowControl/>
              <w:shd w:val="clear" w:color="auto" w:fill="FFFFFF"/>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采购代理机构：江苏金永诚建设投资管理咨询有限公司</w:t>
            </w:r>
          </w:p>
          <w:p w14:paraId="2169798C">
            <w:pPr>
              <w:widowControl/>
              <w:shd w:val="clear" w:color="auto" w:fill="FFFFFF"/>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联系地址：南京市建邺区云龙山路1号建邺科技创新产业园B1栋五楼</w:t>
            </w:r>
          </w:p>
          <w:p w14:paraId="6EAE90D6">
            <w:pPr>
              <w:widowControl/>
              <w:shd w:val="clear" w:color="auto" w:fill="FFFFFF"/>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 系 人：李工</w:t>
            </w:r>
          </w:p>
          <w:p w14:paraId="2E03AFA6">
            <w:pPr>
              <w:widowControl/>
              <w:shd w:val="clear" w:color="auto" w:fill="FFFFFF"/>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联系电话：025-86209787</w:t>
            </w:r>
          </w:p>
        </w:tc>
      </w:tr>
      <w:tr w14:paraId="7F892A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jc w:val="center"/>
        </w:trPr>
        <w:tc>
          <w:tcPr>
            <w:tcW w:w="819" w:type="dxa"/>
            <w:noWrap/>
            <w:vAlign w:val="center"/>
          </w:tcPr>
          <w:p w14:paraId="516446AC">
            <w:pPr>
              <w:spacing w:line="360" w:lineRule="auto"/>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3</w:t>
            </w:r>
          </w:p>
        </w:tc>
        <w:tc>
          <w:tcPr>
            <w:tcW w:w="8928" w:type="dxa"/>
            <w:noWrap/>
            <w:vAlign w:val="center"/>
          </w:tcPr>
          <w:p w14:paraId="01E15426">
            <w:pPr>
              <w:widowControl/>
              <w:shd w:val="clear" w:color="auto" w:fill="FFFFFF"/>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项目名称：2026年度功模代表休养活动项目</w:t>
            </w:r>
          </w:p>
          <w:p w14:paraId="1C8EF679">
            <w:pPr>
              <w:widowControl/>
              <w:shd w:val="clear" w:color="auto" w:fill="FFFFFF"/>
              <w:spacing w:line="360" w:lineRule="auto"/>
              <w:rPr>
                <w:rFonts w:hint="default" w:ascii="宋体" w:hAnsi="宋体" w:eastAsia="宋体" w:cs="宋体"/>
                <w:b/>
                <w:color w:val="auto"/>
                <w:sz w:val="21"/>
                <w:szCs w:val="21"/>
                <w:highlight w:val="none"/>
                <w:lang w:val="en-US" w:eastAsia="zh-CN"/>
              </w:rPr>
            </w:pPr>
            <w:r>
              <w:rPr>
                <w:rFonts w:hint="eastAsia" w:ascii="宋体" w:hAnsi="宋体" w:eastAsia="宋体" w:cs="宋体"/>
                <w:color w:val="auto"/>
                <w:sz w:val="21"/>
                <w:szCs w:val="21"/>
                <w:highlight w:val="none"/>
              </w:rPr>
              <w:t>项目编号：JSZC-320000-JYCS-G2026-0005</w:t>
            </w:r>
          </w:p>
        </w:tc>
      </w:tr>
      <w:tr w14:paraId="6F914C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jc w:val="center"/>
        </w:trPr>
        <w:tc>
          <w:tcPr>
            <w:tcW w:w="819" w:type="dxa"/>
            <w:noWrap/>
            <w:vAlign w:val="center"/>
          </w:tcPr>
          <w:p w14:paraId="33D8BD10">
            <w:pPr>
              <w:spacing w:line="360" w:lineRule="auto"/>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4</w:t>
            </w:r>
          </w:p>
        </w:tc>
        <w:tc>
          <w:tcPr>
            <w:tcW w:w="8928" w:type="dxa"/>
            <w:noWrap/>
            <w:vAlign w:val="center"/>
          </w:tcPr>
          <w:p w14:paraId="2184347D">
            <w:pPr>
              <w:widowControl/>
              <w:shd w:val="clear" w:color="auto" w:fill="FFFFFF"/>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采购方式：</w:t>
            </w:r>
            <w:r>
              <w:rPr>
                <w:rFonts w:hint="eastAsia" w:ascii="宋体" w:hAnsi="宋体" w:eastAsia="宋体" w:cs="宋体"/>
                <w:b/>
                <w:bCs/>
                <w:color w:val="auto"/>
                <w:sz w:val="21"/>
                <w:szCs w:val="21"/>
                <w:highlight w:val="none"/>
              </w:rPr>
              <w:t xml:space="preserve">公开招标 </w:t>
            </w:r>
          </w:p>
        </w:tc>
      </w:tr>
      <w:tr w14:paraId="0629CF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jc w:val="center"/>
        </w:trPr>
        <w:tc>
          <w:tcPr>
            <w:tcW w:w="819" w:type="dxa"/>
            <w:noWrap/>
            <w:vAlign w:val="center"/>
          </w:tcPr>
          <w:p w14:paraId="5815FD86">
            <w:pPr>
              <w:spacing w:line="360" w:lineRule="auto"/>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5</w:t>
            </w:r>
          </w:p>
        </w:tc>
        <w:tc>
          <w:tcPr>
            <w:tcW w:w="8928" w:type="dxa"/>
            <w:noWrap/>
            <w:vAlign w:val="center"/>
          </w:tcPr>
          <w:p w14:paraId="7C7BE2F4">
            <w:pPr>
              <w:widowControl/>
              <w:shd w:val="clear" w:color="auto" w:fill="FFFFFF"/>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投标有效期</w:t>
            </w:r>
            <w:r>
              <w:rPr>
                <w:rFonts w:hint="eastAsia" w:ascii="宋体" w:hAnsi="宋体" w:eastAsia="宋体" w:cs="宋体"/>
                <w:color w:val="auto"/>
                <w:sz w:val="21"/>
                <w:szCs w:val="21"/>
                <w:highlight w:val="none"/>
              </w:rPr>
              <w:t>：开标之日起90天</w:t>
            </w:r>
          </w:p>
        </w:tc>
      </w:tr>
      <w:tr w14:paraId="56F810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5" w:hRule="atLeast"/>
          <w:jc w:val="center"/>
        </w:trPr>
        <w:tc>
          <w:tcPr>
            <w:tcW w:w="819" w:type="dxa"/>
            <w:noWrap/>
            <w:vAlign w:val="center"/>
          </w:tcPr>
          <w:p w14:paraId="5AF8F25F">
            <w:pPr>
              <w:spacing w:line="360" w:lineRule="auto"/>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6</w:t>
            </w:r>
          </w:p>
        </w:tc>
        <w:tc>
          <w:tcPr>
            <w:tcW w:w="8928" w:type="dxa"/>
            <w:noWrap/>
            <w:vAlign w:val="center"/>
          </w:tcPr>
          <w:p w14:paraId="5D3EE22E">
            <w:pPr>
              <w:widowControl/>
              <w:shd w:val="clear" w:color="auto" w:fill="FFFFFF"/>
              <w:spacing w:line="360" w:lineRule="auto"/>
              <w:jc w:val="left"/>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rPr>
              <w:t>投标保证金：本项目无需缴纳投标保证金</w:t>
            </w:r>
          </w:p>
        </w:tc>
      </w:tr>
      <w:tr w14:paraId="689B35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9" w:hRule="atLeast"/>
          <w:jc w:val="center"/>
        </w:trPr>
        <w:tc>
          <w:tcPr>
            <w:tcW w:w="819" w:type="dxa"/>
            <w:noWrap/>
            <w:vAlign w:val="center"/>
          </w:tcPr>
          <w:p w14:paraId="3D53B621">
            <w:pPr>
              <w:spacing w:line="360" w:lineRule="auto"/>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7</w:t>
            </w:r>
          </w:p>
        </w:tc>
        <w:tc>
          <w:tcPr>
            <w:tcW w:w="8928" w:type="dxa"/>
            <w:noWrap/>
            <w:vAlign w:val="center"/>
          </w:tcPr>
          <w:p w14:paraId="292E17CE">
            <w:p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投标截止时间：202</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lang w:val="en-US" w:eastAsia="zh-CN"/>
              </w:rPr>
              <w:t>27</w:t>
            </w:r>
            <w:r>
              <w:rPr>
                <w:rFonts w:hint="eastAsia" w:ascii="宋体" w:hAnsi="宋体" w:eastAsia="宋体" w:cs="宋体"/>
                <w:color w:val="auto"/>
                <w:sz w:val="21"/>
                <w:szCs w:val="21"/>
                <w:highlight w:val="none"/>
              </w:rPr>
              <w:t>日</w:t>
            </w:r>
            <w:r>
              <w:rPr>
                <w:rFonts w:hint="eastAsia" w:ascii="宋体" w:hAnsi="宋体" w:eastAsia="宋体" w:cs="宋体"/>
                <w:color w:val="auto"/>
                <w:sz w:val="21"/>
                <w:szCs w:val="21"/>
                <w:highlight w:val="none"/>
                <w:lang w:val="en-US" w:eastAsia="zh-CN"/>
              </w:rPr>
              <w:t>14</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30</w:t>
            </w:r>
            <w:r>
              <w:rPr>
                <w:rFonts w:hint="eastAsia" w:ascii="宋体" w:hAnsi="宋体" w:eastAsia="宋体" w:cs="宋体"/>
                <w:color w:val="auto"/>
                <w:sz w:val="21"/>
                <w:szCs w:val="21"/>
                <w:highlight w:val="none"/>
              </w:rPr>
              <w:t>（北京时间）</w:t>
            </w:r>
          </w:p>
          <w:p w14:paraId="09B74DAD">
            <w:p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开标时间：202</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lang w:val="en-US" w:eastAsia="zh-CN"/>
              </w:rPr>
              <w:t>27</w:t>
            </w:r>
            <w:r>
              <w:rPr>
                <w:rFonts w:hint="eastAsia" w:ascii="宋体" w:hAnsi="宋体" w:eastAsia="宋体" w:cs="宋体"/>
                <w:color w:val="auto"/>
                <w:sz w:val="21"/>
                <w:szCs w:val="21"/>
                <w:highlight w:val="none"/>
              </w:rPr>
              <w:t>日</w:t>
            </w:r>
            <w:r>
              <w:rPr>
                <w:rFonts w:hint="eastAsia" w:ascii="宋体" w:hAnsi="宋体" w:eastAsia="宋体" w:cs="宋体"/>
                <w:color w:val="auto"/>
                <w:sz w:val="21"/>
                <w:szCs w:val="21"/>
                <w:highlight w:val="none"/>
                <w:lang w:val="en-US" w:eastAsia="zh-CN"/>
              </w:rPr>
              <w:t>14</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30</w:t>
            </w:r>
            <w:r>
              <w:rPr>
                <w:rFonts w:hint="eastAsia" w:ascii="宋体" w:hAnsi="宋体" w:eastAsia="宋体" w:cs="宋体"/>
                <w:color w:val="auto"/>
                <w:sz w:val="21"/>
                <w:szCs w:val="21"/>
                <w:highlight w:val="none"/>
              </w:rPr>
              <w:t>（北京时间）</w:t>
            </w:r>
          </w:p>
          <w:p w14:paraId="73922C6D">
            <w:p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地点：“苏采云”政府采购交易系统网上开标大厅</w:t>
            </w:r>
          </w:p>
        </w:tc>
      </w:tr>
      <w:tr w14:paraId="7F7371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jc w:val="center"/>
        </w:trPr>
        <w:tc>
          <w:tcPr>
            <w:tcW w:w="819" w:type="dxa"/>
            <w:noWrap/>
            <w:vAlign w:val="center"/>
          </w:tcPr>
          <w:p w14:paraId="077ADFB9">
            <w:pPr>
              <w:spacing w:line="360" w:lineRule="auto"/>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8</w:t>
            </w:r>
          </w:p>
        </w:tc>
        <w:tc>
          <w:tcPr>
            <w:tcW w:w="8928" w:type="dxa"/>
            <w:noWrap/>
            <w:vAlign w:val="center"/>
          </w:tcPr>
          <w:p w14:paraId="206150AA">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投标报价：</w:t>
            </w:r>
          </w:p>
          <w:p w14:paraId="0820D612">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1.本项目以人民币报价，本次采购采用总承包方式，投标报价为项目履约完成涉及的全部费用。</w:t>
            </w:r>
          </w:p>
          <w:p w14:paraId="2028E778">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2.除非采购文件有特别说明，采购人不接受备选的投标方案或有选择的报价。</w:t>
            </w:r>
          </w:p>
        </w:tc>
      </w:tr>
      <w:tr w14:paraId="6ADA96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jc w:val="center"/>
        </w:trPr>
        <w:tc>
          <w:tcPr>
            <w:tcW w:w="819" w:type="dxa"/>
            <w:noWrap/>
            <w:vAlign w:val="center"/>
          </w:tcPr>
          <w:p w14:paraId="03F1AD41">
            <w:pPr>
              <w:spacing w:line="360" w:lineRule="auto"/>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9</w:t>
            </w:r>
          </w:p>
        </w:tc>
        <w:tc>
          <w:tcPr>
            <w:tcW w:w="8928" w:type="dxa"/>
            <w:noWrap/>
            <w:vAlign w:val="center"/>
          </w:tcPr>
          <w:p w14:paraId="146B6BC8">
            <w:pPr>
              <w:spacing w:line="360" w:lineRule="auto"/>
              <w:ind w:firstLine="15"/>
              <w:rPr>
                <w:rFonts w:hint="eastAsia" w:ascii="宋体" w:hAnsi="宋体" w:eastAsia="宋体" w:cs="宋体"/>
                <w:bCs/>
                <w:color w:val="auto"/>
                <w:sz w:val="21"/>
                <w:szCs w:val="21"/>
                <w:highlight w:val="none"/>
              </w:rPr>
            </w:pPr>
            <w:r>
              <w:rPr>
                <w:rFonts w:hint="eastAsia" w:ascii="宋体" w:hAnsi="宋体" w:eastAsia="宋体" w:cs="宋体"/>
                <w:b/>
                <w:color w:val="auto"/>
                <w:sz w:val="21"/>
                <w:szCs w:val="21"/>
                <w:highlight w:val="none"/>
              </w:rPr>
              <w:t>现场勘查要求：本项目不组织</w:t>
            </w:r>
            <w:r>
              <w:rPr>
                <w:rFonts w:hint="eastAsia" w:ascii="宋体" w:hAnsi="宋体" w:eastAsia="宋体" w:cs="宋体"/>
                <w:color w:val="auto"/>
                <w:sz w:val="21"/>
                <w:szCs w:val="21"/>
                <w:highlight w:val="none"/>
              </w:rPr>
              <w:t>。</w:t>
            </w:r>
          </w:p>
        </w:tc>
      </w:tr>
      <w:tr w14:paraId="7D87EE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3" w:hRule="atLeast"/>
          <w:jc w:val="center"/>
        </w:trPr>
        <w:tc>
          <w:tcPr>
            <w:tcW w:w="819" w:type="dxa"/>
            <w:noWrap/>
            <w:vAlign w:val="center"/>
          </w:tcPr>
          <w:p w14:paraId="5F6711B3">
            <w:pPr>
              <w:widowControl/>
              <w:shd w:val="clear" w:color="auto" w:fill="FFFFFF"/>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10</w:t>
            </w:r>
          </w:p>
        </w:tc>
        <w:tc>
          <w:tcPr>
            <w:tcW w:w="8928" w:type="dxa"/>
            <w:noWrap/>
            <w:vAlign w:val="center"/>
          </w:tcPr>
          <w:p w14:paraId="1DC18B36">
            <w:pPr>
              <w:widowControl/>
              <w:shd w:val="clear" w:color="auto" w:fill="FFFFFF"/>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投标报价中的投标价不得超过招标公告、招标文件规定的采购预算及最高限价，超过规定的采购预算及最高限价的投标文件，按无效投标处理。</w:t>
            </w:r>
          </w:p>
        </w:tc>
      </w:tr>
    </w:tbl>
    <w:p w14:paraId="67B7DBC6">
      <w:pPr>
        <w:keepLines w:val="0"/>
        <w:pageBreakBefore w:val="0"/>
        <w:widowControl/>
        <w:shd w:val="clear" w:color="auto" w:fill="FFFFFF"/>
        <w:kinsoku/>
        <w:wordWrap/>
        <w:overflowPunct/>
        <w:topLinePunct w:val="0"/>
        <w:bidi w:val="0"/>
        <w:spacing w:line="360" w:lineRule="auto"/>
        <w:ind w:left="0" w:leftChars="0" w:firstLine="422" w:firstLineChars="200"/>
        <w:textAlignment w:val="auto"/>
        <w:outlineLvl w:val="1"/>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br w:type="page" w:clear="all"/>
      </w:r>
      <w:bookmarkStart w:id="17" w:name="_Toc8539"/>
      <w:bookmarkStart w:id="18" w:name="_Toc19726"/>
      <w:r>
        <w:rPr>
          <w:rFonts w:hint="eastAsia" w:ascii="宋体" w:hAnsi="宋体" w:eastAsia="宋体" w:cs="宋体"/>
          <w:b/>
          <w:bCs/>
          <w:color w:val="auto"/>
          <w:sz w:val="21"/>
          <w:szCs w:val="21"/>
          <w:highlight w:val="none"/>
        </w:rPr>
        <w:t>一、总则</w:t>
      </w:r>
      <w:bookmarkEnd w:id="17"/>
      <w:bookmarkEnd w:id="18"/>
    </w:p>
    <w:p w14:paraId="4299CF40">
      <w:pPr>
        <w:keepLines w:val="0"/>
        <w:pageBreakBefore w:val="0"/>
        <w:kinsoku/>
        <w:wordWrap/>
        <w:overflowPunct/>
        <w:topLinePunct w:val="0"/>
        <w:bidi w:val="0"/>
        <w:spacing w:line="360" w:lineRule="auto"/>
        <w:ind w:left="0" w:leftChars="0" w:firstLine="422" w:firstLineChars="200"/>
        <w:textAlignment w:val="auto"/>
        <w:rPr>
          <w:rFonts w:hint="eastAsia" w:ascii="宋体" w:hAnsi="宋体" w:eastAsia="宋体" w:cs="宋体"/>
          <w:b/>
          <w:color w:val="auto"/>
          <w:sz w:val="21"/>
          <w:szCs w:val="21"/>
          <w:highlight w:val="none"/>
          <w:lang w:val="zh-CN"/>
        </w:rPr>
      </w:pPr>
      <w:bookmarkStart w:id="19" w:name="_Toc30044"/>
      <w:bookmarkStart w:id="20" w:name="_Toc3951"/>
      <w:bookmarkStart w:id="21" w:name="_Toc16938520"/>
      <w:bookmarkStart w:id="22" w:name="_Toc513029204"/>
      <w:bookmarkStart w:id="23" w:name="_Toc24947"/>
      <w:bookmarkStart w:id="24" w:name="_Toc458694821"/>
      <w:bookmarkStart w:id="25" w:name="_Toc20823276"/>
      <w:r>
        <w:rPr>
          <w:rFonts w:hint="eastAsia" w:ascii="宋体" w:hAnsi="宋体" w:eastAsia="宋体" w:cs="宋体"/>
          <w:b/>
          <w:bCs/>
          <w:color w:val="auto"/>
          <w:sz w:val="21"/>
          <w:szCs w:val="21"/>
          <w:highlight w:val="none"/>
          <w:lang w:val="zh-CN"/>
        </w:rPr>
        <w:t>1.</w:t>
      </w:r>
      <w:r>
        <w:rPr>
          <w:rFonts w:hint="eastAsia" w:ascii="宋体" w:hAnsi="宋体" w:eastAsia="宋体" w:cs="宋体"/>
          <w:b/>
          <w:color w:val="auto"/>
          <w:sz w:val="21"/>
          <w:szCs w:val="21"/>
          <w:highlight w:val="none"/>
          <w:lang w:val="zh-CN"/>
        </w:rPr>
        <w:t>适用法律</w:t>
      </w:r>
      <w:bookmarkEnd w:id="19"/>
      <w:bookmarkEnd w:id="20"/>
    </w:p>
    <w:p w14:paraId="0329E963">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1.1 </w:t>
      </w:r>
      <w:r>
        <w:rPr>
          <w:rFonts w:hint="eastAsia" w:ascii="宋体" w:hAnsi="宋体" w:eastAsia="宋体" w:cs="宋体"/>
          <w:color w:val="auto"/>
          <w:sz w:val="21"/>
          <w:szCs w:val="21"/>
          <w:highlight w:val="none"/>
        </w:rPr>
        <w:t>《中华人民共和国招标投标法》</w:t>
      </w:r>
      <w:r>
        <w:rPr>
          <w:rFonts w:hint="eastAsia" w:ascii="宋体" w:hAnsi="宋体" w:eastAsia="宋体" w:cs="宋体"/>
          <w:color w:val="auto"/>
          <w:sz w:val="21"/>
          <w:szCs w:val="21"/>
          <w:highlight w:val="none"/>
          <w:lang w:val="zh-CN"/>
        </w:rPr>
        <w:t>《中华人民共和国政府采购法》《中华人民共和国政府采购法实施条例》《政府采购货物和服务招标投标管理办法》等有关法律、规章和规定等。</w:t>
      </w:r>
      <w:bookmarkStart w:id="26" w:name="_Toc17176"/>
      <w:bookmarkStart w:id="27" w:name="_Toc10994"/>
    </w:p>
    <w:p w14:paraId="2B0921C0">
      <w:pPr>
        <w:keepLines w:val="0"/>
        <w:pageBreakBefore w:val="0"/>
        <w:kinsoku/>
        <w:wordWrap/>
        <w:overflowPunct/>
        <w:topLinePunct w:val="0"/>
        <w:bidi w:val="0"/>
        <w:spacing w:line="360" w:lineRule="auto"/>
        <w:ind w:left="0" w:leftChars="0" w:firstLine="422" w:firstLineChars="200"/>
        <w:textAlignment w:val="auto"/>
        <w:rPr>
          <w:rFonts w:hint="eastAsia" w:ascii="宋体" w:hAnsi="宋体" w:eastAsia="宋体" w:cs="宋体"/>
          <w:b/>
          <w:color w:val="auto"/>
          <w:sz w:val="21"/>
          <w:szCs w:val="21"/>
          <w:highlight w:val="none"/>
          <w:lang w:val="zh-CN"/>
        </w:rPr>
      </w:pPr>
      <w:r>
        <w:rPr>
          <w:rFonts w:hint="eastAsia" w:ascii="宋体" w:hAnsi="宋体" w:eastAsia="宋体" w:cs="宋体"/>
          <w:b/>
          <w:bCs/>
          <w:color w:val="auto"/>
          <w:sz w:val="21"/>
          <w:szCs w:val="21"/>
          <w:highlight w:val="none"/>
          <w:lang w:val="zh-CN"/>
        </w:rPr>
        <w:t>2.</w:t>
      </w:r>
      <w:r>
        <w:rPr>
          <w:rFonts w:hint="eastAsia" w:ascii="宋体" w:hAnsi="宋体" w:eastAsia="宋体" w:cs="宋体"/>
          <w:b/>
          <w:color w:val="auto"/>
          <w:sz w:val="21"/>
          <w:szCs w:val="21"/>
          <w:highlight w:val="none"/>
          <w:lang w:val="zh-CN"/>
        </w:rPr>
        <w:t>定义</w:t>
      </w:r>
      <w:bookmarkEnd w:id="26"/>
      <w:bookmarkEnd w:id="27"/>
    </w:p>
    <w:bookmarkEnd w:id="21"/>
    <w:bookmarkEnd w:id="22"/>
    <w:bookmarkEnd w:id="23"/>
    <w:bookmarkEnd w:id="24"/>
    <w:bookmarkEnd w:id="25"/>
    <w:p w14:paraId="2E2801E8">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2.1</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本文件</w:t>
      </w:r>
      <w:r>
        <w:rPr>
          <w:rFonts w:hint="eastAsia" w:ascii="宋体" w:hAnsi="宋体" w:eastAsia="宋体" w:cs="宋体"/>
          <w:bCs/>
          <w:color w:val="auto"/>
          <w:sz w:val="21"/>
          <w:szCs w:val="21"/>
          <w:highlight w:val="none"/>
        </w:rPr>
        <w:t>中采购代理机构为</w:t>
      </w:r>
      <w:r>
        <w:rPr>
          <w:rFonts w:hint="eastAsia" w:ascii="宋体" w:hAnsi="宋体" w:eastAsia="宋体" w:cs="宋体"/>
          <w:b/>
          <w:color w:val="auto"/>
          <w:sz w:val="21"/>
          <w:szCs w:val="21"/>
          <w:highlight w:val="none"/>
          <w:u w:val="single"/>
          <w:lang w:eastAsia="zh-CN"/>
        </w:rPr>
        <w:t>江苏金永诚建设投资管理咨询有限公司</w:t>
      </w:r>
      <w:r>
        <w:rPr>
          <w:rFonts w:hint="eastAsia" w:ascii="宋体" w:hAnsi="宋体" w:eastAsia="宋体" w:cs="宋体"/>
          <w:bCs/>
          <w:color w:val="auto"/>
          <w:sz w:val="21"/>
          <w:szCs w:val="21"/>
          <w:highlight w:val="none"/>
        </w:rPr>
        <w:t>；采购人为</w:t>
      </w:r>
      <w:r>
        <w:rPr>
          <w:rFonts w:hint="eastAsia" w:ascii="宋体" w:hAnsi="宋体" w:eastAsia="宋体" w:cs="宋体"/>
          <w:b/>
          <w:color w:val="auto"/>
          <w:sz w:val="21"/>
          <w:szCs w:val="21"/>
          <w:highlight w:val="none"/>
          <w:u w:val="single"/>
          <w:lang w:eastAsia="zh-CN"/>
        </w:rPr>
        <w:t>江苏省</w:t>
      </w:r>
      <w:r>
        <w:rPr>
          <w:rFonts w:hint="eastAsia" w:ascii="宋体" w:hAnsi="宋体" w:eastAsia="宋体" w:cs="宋体"/>
          <w:b/>
          <w:color w:val="auto"/>
          <w:sz w:val="21"/>
          <w:szCs w:val="21"/>
          <w:highlight w:val="none"/>
          <w:u w:val="single"/>
          <w:lang w:val="en-US" w:eastAsia="zh-CN"/>
        </w:rPr>
        <w:t>公安</w:t>
      </w:r>
      <w:r>
        <w:rPr>
          <w:rFonts w:hint="eastAsia" w:ascii="宋体" w:hAnsi="宋体" w:eastAsia="宋体" w:cs="宋体"/>
          <w:b/>
          <w:color w:val="auto"/>
          <w:sz w:val="21"/>
          <w:szCs w:val="21"/>
          <w:highlight w:val="none"/>
          <w:u w:val="single"/>
          <w:lang w:eastAsia="zh-CN"/>
        </w:rPr>
        <w:t>厅</w:t>
      </w:r>
      <w:r>
        <w:rPr>
          <w:rFonts w:hint="eastAsia" w:ascii="宋体" w:hAnsi="宋体" w:eastAsia="宋体" w:cs="宋体"/>
          <w:bCs/>
          <w:color w:val="auto"/>
          <w:sz w:val="21"/>
          <w:szCs w:val="21"/>
          <w:highlight w:val="none"/>
        </w:rPr>
        <w:t>；投标人（亦称供应商）系指参加投标竞争并满足招标文件资格要求规定的法人、其他组织或者自然人。</w:t>
      </w:r>
    </w:p>
    <w:p w14:paraId="3B790865">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2.2</w:t>
      </w:r>
      <w:r>
        <w:rPr>
          <w:rFonts w:hint="eastAsia" w:ascii="宋体" w:hAnsi="宋体" w:eastAsia="宋体" w:cs="宋体"/>
          <w:bCs/>
          <w:color w:val="auto"/>
          <w:sz w:val="21"/>
          <w:szCs w:val="21"/>
          <w:highlight w:val="none"/>
          <w:lang w:val="en-US" w:eastAsia="zh-CN"/>
        </w:rPr>
        <w:t xml:space="preserve"> </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rPr>
        <w:t>货物和服务</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rPr>
        <w:t>指本文件中所述产品及相关货物和服务。</w:t>
      </w:r>
    </w:p>
    <w:p w14:paraId="5167DDEB">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2.3</w:t>
      </w:r>
      <w:r>
        <w:rPr>
          <w:rFonts w:hint="eastAsia" w:ascii="宋体" w:hAnsi="宋体" w:eastAsia="宋体" w:cs="宋体"/>
          <w:bCs/>
          <w:color w:val="auto"/>
          <w:sz w:val="21"/>
          <w:szCs w:val="21"/>
          <w:highlight w:val="none"/>
          <w:lang w:val="en-US" w:eastAsia="zh-CN"/>
        </w:rPr>
        <w:t xml:space="preserve"> </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rPr>
        <w:t>用户或使用单位</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rPr>
        <w:t>指使用</w:t>
      </w:r>
      <w:r>
        <w:rPr>
          <w:rFonts w:hint="eastAsia" w:ascii="宋体" w:hAnsi="宋体" w:eastAsia="宋体" w:cs="宋体"/>
          <w:color w:val="auto"/>
          <w:sz w:val="21"/>
          <w:szCs w:val="21"/>
          <w:highlight w:val="none"/>
          <w:lang w:val="zh-CN"/>
        </w:rPr>
        <w:t>货物、服务的</w:t>
      </w:r>
      <w:r>
        <w:rPr>
          <w:rFonts w:hint="eastAsia" w:ascii="宋体" w:hAnsi="宋体" w:eastAsia="宋体" w:cs="宋体"/>
          <w:bCs/>
          <w:color w:val="auto"/>
          <w:sz w:val="21"/>
          <w:szCs w:val="21"/>
          <w:highlight w:val="none"/>
        </w:rPr>
        <w:t>单位。</w:t>
      </w:r>
    </w:p>
    <w:p w14:paraId="6EB3FC7A">
      <w:pPr>
        <w:keepLines w:val="0"/>
        <w:pageBreakBefore w:val="0"/>
        <w:kinsoku/>
        <w:wordWrap/>
        <w:overflowPunct/>
        <w:topLinePunct w:val="0"/>
        <w:bidi w:val="0"/>
        <w:spacing w:line="360" w:lineRule="auto"/>
        <w:ind w:left="0" w:leftChars="0" w:firstLine="422" w:firstLineChars="200"/>
        <w:textAlignment w:val="auto"/>
        <w:rPr>
          <w:rFonts w:hint="eastAsia" w:ascii="宋体" w:hAnsi="宋体" w:eastAsia="宋体" w:cs="宋体"/>
          <w:b/>
          <w:color w:val="auto"/>
          <w:sz w:val="21"/>
          <w:szCs w:val="21"/>
          <w:highlight w:val="none"/>
          <w:lang w:val="zh-CN"/>
        </w:rPr>
      </w:pPr>
      <w:bookmarkStart w:id="28" w:name="_Toc18001"/>
      <w:bookmarkStart w:id="29" w:name="_Toc25880"/>
      <w:r>
        <w:rPr>
          <w:rFonts w:hint="eastAsia" w:ascii="宋体" w:hAnsi="宋体" w:eastAsia="宋体" w:cs="宋体"/>
          <w:b/>
          <w:color w:val="auto"/>
          <w:sz w:val="21"/>
          <w:szCs w:val="21"/>
          <w:highlight w:val="none"/>
        </w:rPr>
        <w:t>3.</w:t>
      </w:r>
      <w:r>
        <w:rPr>
          <w:rFonts w:hint="eastAsia" w:ascii="宋体" w:hAnsi="宋体" w:eastAsia="宋体" w:cs="宋体"/>
          <w:b/>
          <w:color w:val="auto"/>
          <w:sz w:val="21"/>
          <w:szCs w:val="21"/>
          <w:highlight w:val="none"/>
          <w:lang w:val="zh-CN"/>
        </w:rPr>
        <w:t>政策功能</w:t>
      </w:r>
      <w:bookmarkEnd w:id="28"/>
      <w:bookmarkEnd w:id="29"/>
    </w:p>
    <w:p w14:paraId="2D4B2E5E">
      <w:pPr>
        <w:keepLines w:val="0"/>
        <w:pageBreakBefore w:val="0"/>
        <w:kinsoku/>
        <w:wordWrap/>
        <w:overflowPunct/>
        <w:topLinePunct w:val="0"/>
        <w:bidi w:val="0"/>
        <w:spacing w:line="360" w:lineRule="auto"/>
        <w:ind w:left="0" w:leftChars="0" w:firstLine="422"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
          <w:color w:val="auto"/>
          <w:sz w:val="21"/>
          <w:szCs w:val="21"/>
          <w:highlight w:val="none"/>
          <w:lang w:val="en-US" w:eastAsia="zh-CN"/>
        </w:rPr>
        <w:t xml:space="preserve"> </w:t>
      </w:r>
      <w:r>
        <w:rPr>
          <w:rFonts w:hint="eastAsia" w:ascii="宋体" w:hAnsi="宋体" w:eastAsia="宋体" w:cs="宋体"/>
          <w:bCs/>
          <w:color w:val="auto"/>
          <w:sz w:val="21"/>
          <w:szCs w:val="21"/>
          <w:highlight w:val="none"/>
        </w:rPr>
        <w:t>3.1 促进中小企业发展政策</w:t>
      </w:r>
    </w:p>
    <w:p w14:paraId="3783C6D3">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p>
    <w:p w14:paraId="1360A1DD">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根据《政府采购促进中小企业发展管理办法》，在政府采购活动中，供应商提供的货物、工程或者服务符合下列情形的，享受本办法规定的中小企业扶持政策：（一）在货物采购项目中，货物由中小企业制造，即货物由中小企业生产且使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p>
    <w:p w14:paraId="2EAB6C8D">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p>
    <w:p w14:paraId="49BB2978">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p>
    <w:p w14:paraId="33217808">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3.2 节能产品、环境标志产品政策</w:t>
      </w:r>
      <w:r>
        <w:rPr>
          <w:rFonts w:hint="eastAsia" w:ascii="宋体" w:hAnsi="宋体" w:eastAsia="宋体" w:cs="宋体"/>
          <w:b/>
          <w:bCs w:val="0"/>
          <w:color w:val="auto"/>
          <w:sz w:val="21"/>
          <w:szCs w:val="21"/>
          <w:highlight w:val="none"/>
          <w:lang w:eastAsia="zh-CN"/>
        </w:rPr>
        <w:t>（</w:t>
      </w:r>
      <w:r>
        <w:rPr>
          <w:rFonts w:hint="eastAsia" w:ascii="宋体" w:hAnsi="宋体" w:eastAsia="宋体" w:cs="宋体"/>
          <w:b/>
          <w:bCs w:val="0"/>
          <w:color w:val="auto"/>
          <w:sz w:val="21"/>
          <w:szCs w:val="21"/>
          <w:highlight w:val="none"/>
          <w:lang w:val="en-US" w:eastAsia="zh-CN"/>
        </w:rPr>
        <w:t>本项目不适用</w:t>
      </w:r>
      <w:r>
        <w:rPr>
          <w:rFonts w:hint="eastAsia" w:ascii="宋体" w:hAnsi="宋体" w:eastAsia="宋体" w:cs="宋体"/>
          <w:b/>
          <w:bCs w:val="0"/>
          <w:color w:val="auto"/>
          <w:sz w:val="21"/>
          <w:szCs w:val="21"/>
          <w:highlight w:val="none"/>
          <w:lang w:eastAsia="zh-CN"/>
        </w:rPr>
        <w:t>）</w:t>
      </w:r>
    </w:p>
    <w:p w14:paraId="181A0259">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（1）政府采购节能产品、环境标志产品实施品目清单管理。</w:t>
      </w:r>
    </w:p>
    <w:p w14:paraId="4FEE3CE8">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（2）拟采购产品属于节能产品、环境标志产品品目清单规定必须强制采购的，实行强制采购。</w:t>
      </w:r>
    </w:p>
    <w:p w14:paraId="50296C71">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（3）拟采购产品属于节能产品、环境标志产品品目清单规定优先采购的，在性能、技术、服务等指标同等条件下，实行优先采购，优先采购的评审标准详见本招标文件第三章。</w:t>
      </w:r>
    </w:p>
    <w:p w14:paraId="22E05DFD">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（4）参加政府采购活动的节能产品、环境标志产品供应商应当提供国家确定的认证机构出具的、处于有效期之内的节能产品、环境标志产品认证证书。</w:t>
      </w:r>
    </w:p>
    <w:p w14:paraId="0394B967">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3.3 </w:t>
      </w:r>
      <w:r>
        <w:rPr>
          <w:rFonts w:hint="eastAsia" w:ascii="宋体" w:hAnsi="宋体" w:eastAsia="宋体" w:cs="宋体"/>
          <w:color w:val="auto"/>
          <w:sz w:val="21"/>
          <w:szCs w:val="21"/>
          <w:highlight w:val="none"/>
        </w:rPr>
        <w:t>采购本国产品的支持政策</w:t>
      </w:r>
      <w:r>
        <w:rPr>
          <w:rFonts w:hint="eastAsia" w:ascii="宋体" w:hAnsi="宋体" w:eastAsia="宋体" w:cs="宋体"/>
          <w:b/>
          <w:bCs w:val="0"/>
          <w:color w:val="auto"/>
          <w:sz w:val="21"/>
          <w:szCs w:val="21"/>
          <w:highlight w:val="none"/>
          <w:lang w:eastAsia="zh-CN"/>
        </w:rPr>
        <w:t>（</w:t>
      </w:r>
      <w:r>
        <w:rPr>
          <w:rFonts w:hint="eastAsia" w:ascii="宋体" w:hAnsi="宋体" w:eastAsia="宋体" w:cs="宋体"/>
          <w:b/>
          <w:bCs w:val="0"/>
          <w:color w:val="auto"/>
          <w:sz w:val="21"/>
          <w:szCs w:val="21"/>
          <w:highlight w:val="none"/>
          <w:lang w:val="en-US" w:eastAsia="zh-CN"/>
        </w:rPr>
        <w:t>本项目不适用</w:t>
      </w:r>
      <w:r>
        <w:rPr>
          <w:rFonts w:hint="eastAsia" w:ascii="宋体" w:hAnsi="宋体" w:eastAsia="宋体" w:cs="宋体"/>
          <w:b/>
          <w:bCs w:val="0"/>
          <w:color w:val="auto"/>
          <w:sz w:val="21"/>
          <w:szCs w:val="21"/>
          <w:highlight w:val="none"/>
          <w:lang w:eastAsia="zh-CN"/>
        </w:rPr>
        <w:t>）</w:t>
      </w:r>
    </w:p>
    <w:p w14:paraId="0FD6DC86">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p>
    <w:p w14:paraId="686D41C1">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6468E368">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0F571452">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具体内容如下：</w:t>
      </w:r>
    </w:p>
    <w:p w14:paraId="4C2B5BCA">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1 本项目政府采购活动中既有本国产品又有非本国产品参与竞争的，依法对本国产品给予价格评审优惠，对本国产品的报价给予20%的价格扣除，用扣除后的价格参与评审。</w:t>
      </w:r>
    </w:p>
    <w:p w14:paraId="6F50A7A9">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08531187">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.3 供应商需按照招标文件的要求提供《关于符合本国产品标准的声明函》（以下简称《声明函》），如不提供将不享受本国产品价格评审优惠。</w:t>
      </w:r>
    </w:p>
    <w:p w14:paraId="575511D1">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4 供应商需在《声明函》中逐一、准确填写产品名称、厂名、生产厂址三项信息（《声明函》中用斜线划除的地方无需填写），三项信息中任意一项未填写的视为该项产品不符合本国产品标准，不享受本国产品价格评审优惠。</w:t>
      </w:r>
    </w:p>
    <w:p w14:paraId="5252E8AF">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5 评标过程中，如发现</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0D511A22">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 xml:space="preserve"> 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p>
    <w:p w14:paraId="2F9593AD">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w:t>
      </w:r>
      <w:r>
        <w:rPr>
          <w:rFonts w:hint="eastAsia" w:ascii="宋体" w:hAnsi="宋体" w:eastAsia="宋体" w:cs="宋体"/>
          <w:bCs/>
          <w:color w:val="auto"/>
          <w:sz w:val="21"/>
          <w:szCs w:val="21"/>
          <w:highlight w:val="none"/>
          <w:lang w:val="en-US" w:eastAsia="zh-CN"/>
        </w:rPr>
        <w:t>5</w:t>
      </w:r>
      <w:r>
        <w:rPr>
          <w:rFonts w:hint="eastAsia" w:ascii="宋体" w:hAnsi="宋体" w:eastAsia="宋体" w:cs="宋体"/>
          <w:bCs/>
          <w:color w:val="auto"/>
          <w:sz w:val="21"/>
          <w:szCs w:val="21"/>
          <w:highlight w:val="none"/>
        </w:rPr>
        <w:t xml:space="preserve"> 提供的产品属于信息安全产品的，供应商应当选择经国家认证的信息安全产品投标，并提供由中国信息安全认证中心按国家标准认证颁发的有效认证证书</w:t>
      </w:r>
      <w:r>
        <w:rPr>
          <w:rFonts w:hint="eastAsia" w:ascii="宋体" w:hAnsi="宋体" w:eastAsia="宋体" w:cs="宋体"/>
          <w:bCs/>
          <w:color w:val="auto"/>
          <w:sz w:val="21"/>
          <w:szCs w:val="21"/>
          <w:highlight w:val="none"/>
          <w:lang w:eastAsia="zh-CN"/>
        </w:rPr>
        <w:t>扫描件</w:t>
      </w:r>
      <w:r>
        <w:rPr>
          <w:rFonts w:hint="eastAsia" w:ascii="宋体" w:hAnsi="宋体" w:eastAsia="宋体" w:cs="宋体"/>
          <w:bCs/>
          <w:color w:val="auto"/>
          <w:sz w:val="21"/>
          <w:szCs w:val="21"/>
          <w:highlight w:val="none"/>
        </w:rPr>
        <w:t>。</w:t>
      </w:r>
    </w:p>
    <w:p w14:paraId="3D42A371">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w:t>
      </w:r>
      <w:r>
        <w:rPr>
          <w:rFonts w:hint="eastAsia" w:ascii="宋体" w:hAnsi="宋体" w:eastAsia="宋体" w:cs="宋体"/>
          <w:bCs/>
          <w:color w:val="auto"/>
          <w:sz w:val="21"/>
          <w:szCs w:val="21"/>
          <w:highlight w:val="none"/>
          <w:lang w:val="en-US" w:eastAsia="zh-CN"/>
        </w:rPr>
        <w:t>6</w:t>
      </w:r>
      <w:r>
        <w:rPr>
          <w:rFonts w:hint="eastAsia" w:ascii="宋体" w:hAnsi="宋体" w:eastAsia="宋体" w:cs="宋体"/>
          <w:bCs/>
          <w:color w:val="auto"/>
          <w:sz w:val="21"/>
          <w:szCs w:val="21"/>
          <w:highlight w:val="none"/>
        </w:rPr>
        <w:t xml:space="preserve"> 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p>
    <w:p w14:paraId="1A35A447">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w:t>
      </w:r>
      <w:r>
        <w:rPr>
          <w:rFonts w:hint="eastAsia" w:ascii="宋体" w:hAnsi="宋体" w:eastAsia="宋体" w:cs="宋体"/>
          <w:bCs/>
          <w:color w:val="auto"/>
          <w:sz w:val="21"/>
          <w:szCs w:val="21"/>
          <w:highlight w:val="none"/>
          <w:lang w:val="en-US" w:eastAsia="zh-CN"/>
        </w:rPr>
        <w:t>7</w:t>
      </w:r>
      <w:r>
        <w:rPr>
          <w:rFonts w:hint="eastAsia" w:ascii="宋体" w:hAnsi="宋体" w:eastAsia="宋体" w:cs="宋体"/>
          <w:bCs/>
          <w:color w:val="auto"/>
          <w:sz w:val="21"/>
          <w:szCs w:val="21"/>
          <w:highlight w:val="none"/>
        </w:rPr>
        <w:t xml:space="preserve"> 为推进社会诚信体系建设，根据财政部等政策要求，在政府采购活动中查询、使用信用记录，推进政府采购领域联合惩戒工作。</w:t>
      </w:r>
    </w:p>
    <w:p w14:paraId="036A1213">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
          <w:color w:val="auto"/>
          <w:sz w:val="21"/>
          <w:szCs w:val="21"/>
          <w:highlight w:val="none"/>
          <w:lang w:val="en-US" w:eastAsia="zh-CN"/>
        </w:rPr>
      </w:pPr>
      <w:r>
        <w:rPr>
          <w:rFonts w:hint="eastAsia" w:ascii="宋体" w:hAnsi="宋体" w:eastAsia="宋体" w:cs="宋体"/>
          <w:bCs/>
          <w:color w:val="auto"/>
          <w:sz w:val="21"/>
          <w:szCs w:val="21"/>
          <w:highlight w:val="none"/>
        </w:rPr>
        <w:t>在政府采购活动中，通过</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rPr>
        <w:t>信用中国</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rPr>
        <w:t>中国政府采购网</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rPr>
        <w:t>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p>
    <w:p w14:paraId="450074FF">
      <w:pPr>
        <w:keepLines w:val="0"/>
        <w:pageBreakBefore w:val="0"/>
        <w:kinsoku/>
        <w:wordWrap/>
        <w:overflowPunct/>
        <w:topLinePunct w:val="0"/>
        <w:bidi w:val="0"/>
        <w:spacing w:line="360" w:lineRule="auto"/>
        <w:ind w:left="0" w:leftChars="0" w:firstLine="422" w:firstLineChars="200"/>
        <w:textAlignment w:val="auto"/>
        <w:rPr>
          <w:rFonts w:hint="eastAsia" w:ascii="宋体" w:hAnsi="宋体" w:eastAsia="宋体" w:cs="宋体"/>
          <w:b/>
          <w:color w:val="auto"/>
          <w:sz w:val="21"/>
          <w:szCs w:val="21"/>
          <w:highlight w:val="none"/>
          <w:lang w:val="zh-CN"/>
        </w:rPr>
      </w:pPr>
      <w:bookmarkStart w:id="30" w:name="_Toc25651"/>
      <w:bookmarkStart w:id="31" w:name="_Toc17711"/>
      <w:bookmarkStart w:id="32" w:name="_Toc16938523"/>
      <w:bookmarkStart w:id="33" w:name="_Toc4759"/>
      <w:bookmarkStart w:id="34" w:name="_Toc462564067"/>
      <w:bookmarkStart w:id="35" w:name="_Toc20823279"/>
      <w:bookmarkStart w:id="36" w:name="_Toc513029207"/>
      <w:r>
        <w:rPr>
          <w:rFonts w:hint="eastAsia" w:ascii="宋体" w:hAnsi="宋体" w:eastAsia="宋体" w:cs="宋体"/>
          <w:b/>
          <w:bCs/>
          <w:color w:val="auto"/>
          <w:sz w:val="21"/>
          <w:szCs w:val="21"/>
          <w:highlight w:val="none"/>
          <w:lang w:val="zh-CN"/>
        </w:rPr>
        <w:t>4.</w:t>
      </w:r>
      <w:r>
        <w:rPr>
          <w:rFonts w:hint="eastAsia" w:ascii="宋体" w:hAnsi="宋体" w:eastAsia="宋体" w:cs="宋体"/>
          <w:b/>
          <w:color w:val="auto"/>
          <w:sz w:val="21"/>
          <w:szCs w:val="21"/>
          <w:highlight w:val="none"/>
          <w:lang w:val="zh-CN"/>
        </w:rPr>
        <w:t>投标费用</w:t>
      </w:r>
      <w:bookmarkEnd w:id="30"/>
      <w:bookmarkEnd w:id="31"/>
      <w:bookmarkEnd w:id="32"/>
      <w:bookmarkEnd w:id="33"/>
      <w:bookmarkEnd w:id="34"/>
      <w:bookmarkEnd w:id="35"/>
      <w:bookmarkEnd w:id="36"/>
    </w:p>
    <w:p w14:paraId="29C70E38">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 供应商应自行承担所有与参加投标有关的费用，无论采购结果如何，代理机构和采购人在任何情况下均无义务和责任承担这些费用。</w:t>
      </w:r>
    </w:p>
    <w:p w14:paraId="50EFBB77">
      <w:pPr>
        <w:keepLines w:val="0"/>
        <w:pageBreakBefore w:val="0"/>
        <w:kinsoku/>
        <w:wordWrap/>
        <w:overflowPunct/>
        <w:topLinePunct w:val="0"/>
        <w:bidi w:val="0"/>
        <w:spacing w:line="360" w:lineRule="auto"/>
        <w:ind w:left="0" w:leftChars="0" w:firstLine="422" w:firstLineChars="200"/>
        <w:textAlignment w:val="auto"/>
        <w:rPr>
          <w:rFonts w:hint="eastAsia" w:ascii="宋体" w:hAnsi="宋体" w:eastAsia="宋体" w:cs="宋体"/>
          <w:b/>
          <w:color w:val="auto"/>
          <w:sz w:val="21"/>
          <w:szCs w:val="21"/>
          <w:highlight w:val="none"/>
          <w:lang w:val="zh-CN"/>
        </w:rPr>
      </w:pPr>
      <w:bookmarkStart w:id="37" w:name="_Toc25474"/>
      <w:bookmarkStart w:id="38" w:name="_Toc344"/>
      <w:r>
        <w:rPr>
          <w:rFonts w:hint="eastAsia" w:ascii="宋体" w:hAnsi="宋体" w:eastAsia="宋体" w:cs="宋体"/>
          <w:b/>
          <w:bCs/>
          <w:color w:val="auto"/>
          <w:sz w:val="21"/>
          <w:szCs w:val="21"/>
          <w:highlight w:val="none"/>
          <w:lang w:val="zh-CN"/>
        </w:rPr>
        <w:t>5.</w:t>
      </w:r>
      <w:r>
        <w:rPr>
          <w:rFonts w:hint="eastAsia" w:ascii="宋体" w:hAnsi="宋体" w:eastAsia="宋体" w:cs="宋体"/>
          <w:b/>
          <w:color w:val="auto"/>
          <w:sz w:val="21"/>
          <w:szCs w:val="21"/>
          <w:highlight w:val="none"/>
          <w:lang w:val="zh-CN"/>
        </w:rPr>
        <w:t>招标文件的约束力</w:t>
      </w:r>
      <w:bookmarkEnd w:id="37"/>
      <w:bookmarkEnd w:id="38"/>
    </w:p>
    <w:p w14:paraId="5E228F02">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 供应商一旦参加本项目采购活动，即被认为接受了本招标文件的规定和约束。</w:t>
      </w:r>
    </w:p>
    <w:p w14:paraId="2C44C8FA">
      <w:pPr>
        <w:keepLines w:val="0"/>
        <w:pageBreakBefore w:val="0"/>
        <w:widowControl/>
        <w:shd w:val="clear" w:color="auto" w:fill="FFFFFF"/>
        <w:kinsoku/>
        <w:wordWrap/>
        <w:overflowPunct/>
        <w:topLinePunct w:val="0"/>
        <w:bidi w:val="0"/>
        <w:spacing w:line="360" w:lineRule="auto"/>
        <w:ind w:left="0" w:leftChars="0" w:firstLine="422" w:firstLineChars="200"/>
        <w:textAlignment w:val="auto"/>
        <w:outlineLvl w:val="1"/>
        <w:rPr>
          <w:rFonts w:hint="eastAsia" w:ascii="宋体" w:hAnsi="宋体" w:eastAsia="宋体" w:cs="宋体"/>
          <w:b/>
          <w:bCs/>
          <w:color w:val="auto"/>
          <w:sz w:val="21"/>
          <w:szCs w:val="21"/>
          <w:highlight w:val="none"/>
        </w:rPr>
      </w:pPr>
      <w:bookmarkStart w:id="39" w:name="_Toc15035"/>
      <w:bookmarkStart w:id="40" w:name="_Toc11232"/>
      <w:bookmarkStart w:id="41" w:name="_Toc16938525"/>
      <w:bookmarkStart w:id="42" w:name="_Toc120614215"/>
      <w:bookmarkStart w:id="43" w:name="_Toc513029209"/>
      <w:bookmarkStart w:id="44" w:name="_Toc20823281"/>
      <w:r>
        <w:rPr>
          <w:rFonts w:hint="eastAsia" w:ascii="宋体" w:hAnsi="宋体" w:eastAsia="宋体" w:cs="宋体"/>
          <w:b/>
          <w:bCs/>
          <w:color w:val="auto"/>
          <w:sz w:val="21"/>
          <w:szCs w:val="21"/>
          <w:highlight w:val="none"/>
        </w:rPr>
        <w:t>二、招标文件</w:t>
      </w:r>
      <w:bookmarkEnd w:id="39"/>
      <w:bookmarkEnd w:id="40"/>
      <w:bookmarkEnd w:id="41"/>
      <w:bookmarkEnd w:id="42"/>
      <w:bookmarkEnd w:id="43"/>
      <w:bookmarkEnd w:id="44"/>
    </w:p>
    <w:p w14:paraId="5EA7AAD1">
      <w:pPr>
        <w:keepLines w:val="0"/>
        <w:pageBreakBefore w:val="0"/>
        <w:kinsoku/>
        <w:wordWrap/>
        <w:overflowPunct/>
        <w:topLinePunct w:val="0"/>
        <w:bidi w:val="0"/>
        <w:spacing w:line="360" w:lineRule="auto"/>
        <w:ind w:left="0" w:leftChars="0" w:firstLine="422" w:firstLineChars="200"/>
        <w:textAlignment w:val="auto"/>
        <w:rPr>
          <w:rFonts w:hint="eastAsia" w:ascii="宋体" w:hAnsi="宋体" w:eastAsia="宋体" w:cs="宋体"/>
          <w:b/>
          <w:color w:val="auto"/>
          <w:sz w:val="21"/>
          <w:szCs w:val="21"/>
          <w:highlight w:val="none"/>
          <w:lang w:val="zh-CN"/>
        </w:rPr>
      </w:pPr>
      <w:bookmarkStart w:id="45" w:name="_Toc513029210"/>
      <w:bookmarkStart w:id="46" w:name="_Toc2899"/>
      <w:bookmarkStart w:id="47" w:name="_Toc16938526"/>
      <w:bookmarkStart w:id="48" w:name="_Toc31631"/>
      <w:bookmarkStart w:id="49" w:name="_Toc20823282"/>
      <w:r>
        <w:rPr>
          <w:rFonts w:hint="eastAsia" w:ascii="宋体" w:hAnsi="宋体" w:eastAsia="宋体" w:cs="宋体"/>
          <w:b/>
          <w:bCs/>
          <w:color w:val="auto"/>
          <w:sz w:val="21"/>
          <w:szCs w:val="21"/>
          <w:highlight w:val="none"/>
          <w:lang w:val="zh-CN"/>
        </w:rPr>
        <w:t>6.</w:t>
      </w:r>
      <w:r>
        <w:rPr>
          <w:rFonts w:hint="eastAsia" w:ascii="宋体" w:hAnsi="宋体" w:eastAsia="宋体" w:cs="宋体"/>
          <w:b/>
          <w:color w:val="auto"/>
          <w:sz w:val="21"/>
          <w:szCs w:val="21"/>
          <w:highlight w:val="none"/>
          <w:lang w:val="zh-CN"/>
        </w:rPr>
        <w:t>招标文件构成</w:t>
      </w:r>
      <w:bookmarkEnd w:id="45"/>
      <w:bookmarkEnd w:id="46"/>
      <w:bookmarkEnd w:id="47"/>
      <w:bookmarkEnd w:id="48"/>
      <w:bookmarkEnd w:id="49"/>
    </w:p>
    <w:p w14:paraId="471187B1">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 招标文件由以下部分组成：</w:t>
      </w:r>
    </w:p>
    <w:p w14:paraId="14F48065">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第一章  招标公告</w:t>
      </w:r>
    </w:p>
    <w:p w14:paraId="3E0116F9">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第二章  投标人须知</w:t>
      </w:r>
    </w:p>
    <w:p w14:paraId="7C0F1BAC">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第三章  评标标准</w:t>
      </w:r>
    </w:p>
    <w:p w14:paraId="601E5668">
      <w:pPr>
        <w:keepLines w:val="0"/>
        <w:pageBreakBefore w:val="0"/>
        <w:kinsoku/>
        <w:wordWrap/>
        <w:overflowPunct/>
        <w:topLinePunct w:val="0"/>
        <w:bidi w:val="0"/>
        <w:spacing w:line="360" w:lineRule="auto"/>
        <w:ind w:left="0" w:leftChars="0" w:firstLine="420" w:firstLineChars="200"/>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第四章  </w:t>
      </w:r>
      <w:r>
        <w:rPr>
          <w:rFonts w:hint="eastAsia" w:ascii="宋体" w:hAnsi="宋体" w:eastAsia="宋体" w:cs="宋体"/>
          <w:color w:val="auto"/>
          <w:sz w:val="21"/>
          <w:szCs w:val="21"/>
          <w:highlight w:val="none"/>
          <w:lang w:val="en-US" w:eastAsia="zh-CN"/>
        </w:rPr>
        <w:t>服务要求</w:t>
      </w:r>
    </w:p>
    <w:p w14:paraId="0262F3AE">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第五章  合同</w:t>
      </w:r>
      <w:r>
        <w:rPr>
          <w:rFonts w:hint="eastAsia" w:ascii="宋体" w:hAnsi="宋体" w:eastAsia="宋体" w:cs="宋体"/>
          <w:color w:val="auto"/>
          <w:sz w:val="21"/>
          <w:szCs w:val="21"/>
          <w:highlight w:val="none"/>
          <w:lang w:val="en-US" w:eastAsia="zh-CN"/>
        </w:rPr>
        <w:t>草案</w:t>
      </w:r>
      <w:r>
        <w:rPr>
          <w:rFonts w:hint="eastAsia" w:ascii="宋体" w:hAnsi="宋体" w:eastAsia="宋体" w:cs="宋体"/>
          <w:color w:val="auto"/>
          <w:sz w:val="21"/>
          <w:szCs w:val="21"/>
          <w:highlight w:val="none"/>
        </w:rPr>
        <w:t>条款</w:t>
      </w:r>
    </w:p>
    <w:p w14:paraId="12A2262C">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第六章  投标文件格式</w:t>
      </w:r>
    </w:p>
    <w:p w14:paraId="2BC7F789">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6.2</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b/>
          <w:bCs/>
          <w:color w:val="auto"/>
          <w:sz w:val="21"/>
          <w:szCs w:val="21"/>
          <w:highlight w:val="none"/>
        </w:rPr>
        <w:t>招标的最小单位是包。采购需求中未分包的，供应商对要求提供的服务不得部分投标；采购需求中已经分包的，以包为单位投标</w:t>
      </w:r>
      <w:r>
        <w:rPr>
          <w:rFonts w:hint="eastAsia" w:ascii="宋体" w:hAnsi="宋体" w:eastAsia="宋体" w:cs="宋体"/>
          <w:color w:val="auto"/>
          <w:sz w:val="21"/>
          <w:szCs w:val="21"/>
          <w:highlight w:val="none"/>
        </w:rPr>
        <w:t>。</w:t>
      </w:r>
    </w:p>
    <w:p w14:paraId="5042CA4A">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p>
    <w:p w14:paraId="6434C797">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6.4</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供应商被视为充分熟悉本招标项目的各种情况以及与履行合同有关的一切其他情况。</w:t>
      </w:r>
    </w:p>
    <w:p w14:paraId="430700D2">
      <w:pPr>
        <w:pStyle w:val="447"/>
        <w:keepLines w:val="0"/>
        <w:pageBreakBefore w:val="0"/>
        <w:kinsoku/>
        <w:wordWrap/>
        <w:overflowPunct/>
        <w:topLinePunct w:val="0"/>
        <w:bidi w:val="0"/>
        <w:spacing w:line="360" w:lineRule="auto"/>
        <w:ind w:left="0" w:leftChars="0" w:firstLine="422" w:firstLineChars="200"/>
        <w:jc w:val="both"/>
        <w:textAlignment w:val="auto"/>
        <w:outlineLvl w:val="9"/>
        <w:rPr>
          <w:rFonts w:hint="eastAsia" w:ascii="宋体" w:hAnsi="宋体" w:eastAsia="宋体" w:cs="宋体"/>
          <w:b/>
          <w:bCs/>
          <w:color w:val="auto"/>
          <w:sz w:val="21"/>
          <w:szCs w:val="21"/>
          <w:highlight w:val="none"/>
        </w:rPr>
      </w:pPr>
      <w:bookmarkStart w:id="50" w:name="_Toc14415"/>
      <w:bookmarkStart w:id="51" w:name="_Toc24838"/>
      <w:r>
        <w:rPr>
          <w:rFonts w:hint="eastAsia" w:ascii="宋体" w:hAnsi="宋体" w:eastAsia="宋体" w:cs="宋体"/>
          <w:b/>
          <w:bCs/>
          <w:color w:val="auto"/>
          <w:sz w:val="21"/>
          <w:szCs w:val="21"/>
          <w:highlight w:val="none"/>
        </w:rPr>
        <w:t>7.招标文件的澄清、补充或修改</w:t>
      </w:r>
      <w:bookmarkEnd w:id="50"/>
      <w:bookmarkEnd w:id="51"/>
    </w:p>
    <w:p w14:paraId="69C5C720">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color w:val="auto"/>
          <w:sz w:val="21"/>
          <w:szCs w:val="21"/>
          <w:highlight w:val="none"/>
        </w:rPr>
      </w:pPr>
      <w:bookmarkStart w:id="52" w:name="_Toc29128"/>
      <w:r>
        <w:rPr>
          <w:rFonts w:hint="eastAsia" w:ascii="宋体" w:hAnsi="宋体" w:eastAsia="宋体" w:cs="宋体"/>
          <w:color w:val="auto"/>
          <w:sz w:val="21"/>
          <w:szCs w:val="21"/>
          <w:highlight w:val="none"/>
        </w:rPr>
        <w:t>7.1</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供应商应仔细阅读和检查招标文件的全部内容。如发现缺页或附件不全，应及时向采购代理机构提出，以便补齐。供应商如须澄清招标文件的疑点，可用信函或传真等书面形式通知采购代理机构，具体通知时间须按法律相关规定执行，如供应商须澄清的疑点超出采购人对采购代理机构委托授权范围的，采购代理机构应当告知供应商向采购人提出。采购代理机构将用信函或传真等书面形式作出答复。</w:t>
      </w:r>
    </w:p>
    <w:p w14:paraId="033E8061">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7.2 采购代理机构对已发出的招标文件进行必要的澄清或者修改，将在投标截止时间15日前，在原招标公告媒</w:t>
      </w:r>
      <w:r>
        <w:rPr>
          <w:rFonts w:hint="eastAsia" w:ascii="宋体" w:hAnsi="宋体" w:eastAsia="宋体" w:cs="宋体"/>
          <w:color w:val="auto"/>
          <w:sz w:val="21"/>
          <w:szCs w:val="21"/>
          <w:highlight w:val="none"/>
          <w:lang w:eastAsia="zh-CN"/>
        </w:rPr>
        <w:t>体上</w:t>
      </w:r>
      <w:r>
        <w:rPr>
          <w:rFonts w:hint="eastAsia" w:ascii="宋体" w:hAnsi="宋体" w:eastAsia="宋体" w:cs="宋体"/>
          <w:color w:val="auto"/>
          <w:sz w:val="21"/>
          <w:szCs w:val="21"/>
          <w:highlight w:val="none"/>
        </w:rPr>
        <w:t>公布。不足15日的，采购人或者采购代理机构应当顺延提交投标文件的截止时间。</w:t>
      </w:r>
    </w:p>
    <w:p w14:paraId="5337BDDD">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7.3 采购代理机构在招标文件要求提交投标文件截止时间3日前，有权决定延长投标截止时间和开标时间，并在原招标公告媒体上发布变更公告。</w:t>
      </w:r>
    </w:p>
    <w:p w14:paraId="2FB2EC99">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7.4 为使供应商在准备投标时有合理的时间考虑招标文件的补充或修改，采购代理机构</w:t>
      </w:r>
      <w:r>
        <w:rPr>
          <w:rFonts w:hint="eastAsia" w:ascii="宋体" w:hAnsi="宋体" w:eastAsia="宋体" w:cs="宋体"/>
          <w:color w:val="auto"/>
          <w:sz w:val="21"/>
          <w:szCs w:val="21"/>
          <w:highlight w:val="none"/>
          <w:lang w:eastAsia="zh-CN"/>
        </w:rPr>
        <w:t>可视情况</w:t>
      </w:r>
      <w:r>
        <w:rPr>
          <w:rFonts w:hint="eastAsia" w:ascii="宋体" w:hAnsi="宋体" w:eastAsia="宋体" w:cs="宋体"/>
          <w:color w:val="auto"/>
          <w:sz w:val="21"/>
          <w:szCs w:val="21"/>
          <w:highlight w:val="none"/>
        </w:rPr>
        <w:t>推迟投标截止时间和开标时间，</w:t>
      </w:r>
      <w:r>
        <w:rPr>
          <w:rFonts w:hint="eastAsia" w:ascii="宋体" w:hAnsi="宋体" w:eastAsia="宋体" w:cs="宋体"/>
          <w:color w:val="auto"/>
          <w:sz w:val="21"/>
          <w:szCs w:val="21"/>
          <w:highlight w:val="none"/>
          <w:lang w:eastAsia="zh-CN"/>
        </w:rPr>
        <w:t>并</w:t>
      </w:r>
      <w:r>
        <w:rPr>
          <w:rFonts w:hint="eastAsia" w:ascii="宋体" w:hAnsi="宋体" w:eastAsia="宋体" w:cs="宋体"/>
          <w:color w:val="auto"/>
          <w:sz w:val="21"/>
          <w:szCs w:val="21"/>
          <w:highlight w:val="none"/>
        </w:rPr>
        <w:t>在原招标公告媒体发布更正公告。</w:t>
      </w:r>
    </w:p>
    <w:p w14:paraId="2C753453">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7.5 采购代理机构发出的所有补充、修改和变更文件均作为招标文件的组成部分，与招标文件具有同等法律效力，并对投标人具有约束力。 </w:t>
      </w:r>
    </w:p>
    <w:p w14:paraId="2CAFE119">
      <w:pPr>
        <w:keepLines w:val="0"/>
        <w:pageBreakBefore w:val="0"/>
        <w:widowControl/>
        <w:shd w:val="clear" w:color="auto" w:fill="FFFFFF"/>
        <w:kinsoku/>
        <w:wordWrap/>
        <w:overflowPunct/>
        <w:topLinePunct w:val="0"/>
        <w:bidi w:val="0"/>
        <w:spacing w:line="360" w:lineRule="auto"/>
        <w:ind w:left="0" w:leftChars="0" w:firstLine="422" w:firstLineChars="200"/>
        <w:textAlignment w:val="auto"/>
        <w:outlineLvl w:val="1"/>
        <w:rPr>
          <w:rFonts w:hint="eastAsia" w:ascii="宋体" w:hAnsi="宋体" w:eastAsia="宋体" w:cs="宋体"/>
          <w:b/>
          <w:bCs/>
          <w:color w:val="auto"/>
          <w:sz w:val="21"/>
          <w:szCs w:val="21"/>
          <w:highlight w:val="none"/>
        </w:rPr>
      </w:pPr>
      <w:bookmarkStart w:id="53" w:name="_Toc27318"/>
      <w:r>
        <w:rPr>
          <w:rFonts w:hint="eastAsia" w:ascii="宋体" w:hAnsi="宋体" w:eastAsia="宋体" w:cs="宋体"/>
          <w:b/>
          <w:bCs/>
          <w:color w:val="auto"/>
          <w:sz w:val="21"/>
          <w:szCs w:val="21"/>
          <w:highlight w:val="none"/>
        </w:rPr>
        <w:t>三、投标文件的编制</w:t>
      </w:r>
      <w:bookmarkEnd w:id="52"/>
      <w:bookmarkEnd w:id="53"/>
    </w:p>
    <w:p w14:paraId="28ECBB6F">
      <w:pPr>
        <w:pStyle w:val="447"/>
        <w:keepLines w:val="0"/>
        <w:pageBreakBefore w:val="0"/>
        <w:kinsoku/>
        <w:wordWrap/>
        <w:overflowPunct/>
        <w:topLinePunct w:val="0"/>
        <w:bidi w:val="0"/>
        <w:spacing w:line="360" w:lineRule="auto"/>
        <w:ind w:left="0" w:leftChars="0" w:firstLine="422" w:firstLineChars="200"/>
        <w:jc w:val="both"/>
        <w:textAlignment w:val="auto"/>
        <w:outlineLvl w:val="9"/>
        <w:rPr>
          <w:rFonts w:hint="eastAsia" w:ascii="宋体" w:hAnsi="宋体" w:eastAsia="宋体" w:cs="宋体"/>
          <w:b/>
          <w:bCs/>
          <w:color w:val="auto"/>
          <w:sz w:val="21"/>
          <w:szCs w:val="21"/>
          <w:highlight w:val="none"/>
        </w:rPr>
      </w:pPr>
      <w:bookmarkStart w:id="54" w:name="_Toc28127"/>
      <w:bookmarkStart w:id="55" w:name="_Toc14460"/>
      <w:r>
        <w:rPr>
          <w:rFonts w:hint="eastAsia" w:ascii="宋体" w:hAnsi="宋体" w:eastAsia="宋体" w:cs="宋体"/>
          <w:b/>
          <w:bCs/>
          <w:color w:val="auto"/>
          <w:sz w:val="21"/>
          <w:szCs w:val="21"/>
          <w:highlight w:val="none"/>
        </w:rPr>
        <w:t>8.</w:t>
      </w:r>
      <w:bookmarkEnd w:id="54"/>
      <w:r>
        <w:rPr>
          <w:rFonts w:hint="eastAsia" w:ascii="宋体" w:hAnsi="宋体" w:eastAsia="宋体" w:cs="宋体"/>
          <w:b/>
          <w:bCs/>
          <w:color w:val="auto"/>
          <w:sz w:val="21"/>
          <w:szCs w:val="21"/>
          <w:highlight w:val="none"/>
        </w:rPr>
        <w:t>投标文件的语言、计量单位、货币</w:t>
      </w:r>
      <w:bookmarkEnd w:id="55"/>
    </w:p>
    <w:p w14:paraId="7EF41C41">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8.1 供应商提交的投标文件（包括技术文件和资料、图纸中的说明）以及供应商与采购代理机构之间就有关投标的所有来往函电均应以简体中文书写。</w:t>
      </w:r>
    </w:p>
    <w:p w14:paraId="5EA4ED94">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8.2</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供应商已印刷好的资料如产品样本、说明书等可以用其他语言，但其中要点应附有中文译文。对不同文本投标文件的解释发生异议的，以中文翻译文本为准。</w:t>
      </w:r>
    </w:p>
    <w:p w14:paraId="1B74D726">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color w:val="auto"/>
          <w:sz w:val="21"/>
          <w:szCs w:val="21"/>
          <w:highlight w:val="none"/>
        </w:rPr>
      </w:pPr>
      <w:bookmarkStart w:id="56" w:name="_Toc19298"/>
      <w:r>
        <w:rPr>
          <w:rFonts w:hint="eastAsia" w:ascii="宋体" w:hAnsi="宋体" w:eastAsia="宋体" w:cs="宋体"/>
          <w:color w:val="auto"/>
          <w:sz w:val="21"/>
          <w:szCs w:val="21"/>
          <w:highlight w:val="none"/>
        </w:rPr>
        <w:t>8.3 除招标文件中有特殊要求外，招标文件中所使用的计量单位应为国家法定计量单位。</w:t>
      </w:r>
    </w:p>
    <w:p w14:paraId="7CD63EDF">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8.4 本招标文件所表述的时间均为北京时间。</w:t>
      </w:r>
    </w:p>
    <w:p w14:paraId="02D6C163">
      <w:pPr>
        <w:pStyle w:val="447"/>
        <w:keepLines w:val="0"/>
        <w:pageBreakBefore w:val="0"/>
        <w:kinsoku/>
        <w:wordWrap/>
        <w:overflowPunct/>
        <w:topLinePunct w:val="0"/>
        <w:bidi w:val="0"/>
        <w:spacing w:line="360" w:lineRule="auto"/>
        <w:ind w:left="0" w:leftChars="0" w:firstLine="420" w:firstLineChars="20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8.5 所有投标响应报价具体详见投标人须知前附表。</w:t>
      </w:r>
    </w:p>
    <w:p w14:paraId="557EA6F2">
      <w:pPr>
        <w:pStyle w:val="447"/>
        <w:keepLines w:val="0"/>
        <w:pageBreakBefore w:val="0"/>
        <w:kinsoku/>
        <w:wordWrap/>
        <w:overflowPunct/>
        <w:topLinePunct w:val="0"/>
        <w:bidi w:val="0"/>
        <w:spacing w:line="360" w:lineRule="auto"/>
        <w:ind w:left="0" w:leftChars="0" w:firstLine="422" w:firstLineChars="200"/>
        <w:jc w:val="both"/>
        <w:textAlignment w:val="auto"/>
        <w:outlineLvl w:val="9"/>
        <w:rPr>
          <w:rFonts w:hint="eastAsia" w:ascii="宋体" w:hAnsi="宋体" w:eastAsia="宋体" w:cs="宋体"/>
          <w:color w:val="auto"/>
          <w:sz w:val="21"/>
          <w:szCs w:val="21"/>
          <w:highlight w:val="none"/>
        </w:rPr>
      </w:pPr>
      <w:bookmarkStart w:id="57" w:name="_Toc11547"/>
      <w:bookmarkStart w:id="58" w:name="_Toc30894"/>
      <w:r>
        <w:rPr>
          <w:rFonts w:hint="eastAsia" w:ascii="宋体" w:hAnsi="宋体" w:eastAsia="宋体" w:cs="宋体"/>
          <w:b/>
          <w:bCs/>
          <w:color w:val="auto"/>
          <w:sz w:val="21"/>
          <w:szCs w:val="21"/>
          <w:highlight w:val="none"/>
        </w:rPr>
        <w:t>9.</w:t>
      </w:r>
      <w:r>
        <w:rPr>
          <w:rFonts w:hint="eastAsia" w:ascii="宋体" w:hAnsi="宋体" w:eastAsia="宋体" w:cs="宋体"/>
          <w:b/>
          <w:bCs/>
          <w:color w:val="auto"/>
          <w:sz w:val="21"/>
          <w:szCs w:val="21"/>
          <w:highlight w:val="none"/>
          <w:lang w:val="zh-CN"/>
        </w:rPr>
        <w:t>联合体（本项目不接受联合体投标）</w:t>
      </w:r>
      <w:bookmarkEnd w:id="57"/>
      <w:bookmarkEnd w:id="58"/>
    </w:p>
    <w:bookmarkEnd w:id="56"/>
    <w:p w14:paraId="26B9A7DA">
      <w:pPr>
        <w:keepLines w:val="0"/>
        <w:pageBreakBefore w:val="0"/>
        <w:widowControl/>
        <w:shd w:val="clear" w:color="auto" w:fill="FFFFFF"/>
        <w:kinsoku/>
        <w:wordWrap/>
        <w:overflowPunct/>
        <w:topLinePunct w:val="0"/>
        <w:bidi w:val="0"/>
        <w:spacing w:line="360" w:lineRule="auto"/>
        <w:ind w:left="0" w:leftChars="0" w:firstLine="422" w:firstLineChars="200"/>
        <w:textAlignment w:val="auto"/>
        <w:rPr>
          <w:rFonts w:hint="eastAsia" w:ascii="宋体" w:hAnsi="宋体" w:eastAsia="宋体" w:cs="宋体"/>
          <w:b/>
          <w:bCs/>
          <w:color w:val="auto"/>
          <w:sz w:val="21"/>
          <w:szCs w:val="21"/>
          <w:highlight w:val="none"/>
        </w:rPr>
      </w:pPr>
      <w:bookmarkStart w:id="59" w:name="_Toc22790"/>
      <w:bookmarkStart w:id="60" w:name="_Toc6681"/>
      <w:r>
        <w:rPr>
          <w:rFonts w:hint="eastAsia" w:ascii="宋体" w:hAnsi="宋体" w:eastAsia="宋体" w:cs="宋体"/>
          <w:b/>
          <w:bCs/>
          <w:color w:val="auto"/>
          <w:sz w:val="21"/>
          <w:szCs w:val="21"/>
          <w:highlight w:val="none"/>
        </w:rPr>
        <w:t>10.投标文件的</w:t>
      </w:r>
      <w:bookmarkEnd w:id="59"/>
      <w:r>
        <w:rPr>
          <w:rFonts w:hint="eastAsia" w:ascii="宋体" w:hAnsi="宋体" w:eastAsia="宋体" w:cs="宋体"/>
          <w:b/>
          <w:bCs/>
          <w:color w:val="auto"/>
          <w:sz w:val="21"/>
          <w:szCs w:val="21"/>
          <w:highlight w:val="none"/>
        </w:rPr>
        <w:t>组成</w:t>
      </w:r>
      <w:bookmarkEnd w:id="60"/>
      <w:r>
        <w:rPr>
          <w:rFonts w:hint="eastAsia" w:ascii="宋体" w:hAnsi="宋体" w:eastAsia="宋体" w:cs="宋体"/>
          <w:b/>
          <w:bCs/>
          <w:color w:val="auto"/>
          <w:sz w:val="21"/>
          <w:szCs w:val="21"/>
          <w:highlight w:val="none"/>
        </w:rPr>
        <w:t>（相应内容上传至投标客户端，并签电子公章）：</w:t>
      </w:r>
    </w:p>
    <w:p w14:paraId="1D2EC8CC">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color w:val="auto"/>
          <w:sz w:val="21"/>
          <w:szCs w:val="21"/>
          <w:highlight w:val="none"/>
        </w:rPr>
      </w:pPr>
      <w:bookmarkStart w:id="61" w:name="_Hlk6917373"/>
      <w:bookmarkStart w:id="62" w:name="_Hlk529436144"/>
      <w:bookmarkStart w:id="63" w:name="_Hlk525992732"/>
      <w:r>
        <w:rPr>
          <w:rFonts w:hint="eastAsia" w:ascii="宋体" w:hAnsi="宋体" w:eastAsia="宋体" w:cs="宋体"/>
          <w:color w:val="auto"/>
          <w:sz w:val="21"/>
          <w:szCs w:val="21"/>
          <w:highlight w:val="none"/>
        </w:rPr>
        <w:t>10.1</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投标函（格式见附件）；</w:t>
      </w:r>
    </w:p>
    <w:p w14:paraId="4A4C0B76">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10.2</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资格证明文件</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详见</w:t>
      </w:r>
      <w:r>
        <w:rPr>
          <w:rFonts w:hint="eastAsia" w:ascii="宋体" w:hAnsi="宋体" w:eastAsia="宋体" w:cs="宋体"/>
          <w:color w:val="auto"/>
          <w:sz w:val="21"/>
          <w:szCs w:val="21"/>
          <w:highlight w:val="none"/>
          <w:lang w:eastAsia="zh-CN"/>
        </w:rPr>
        <w:t>第一章招标</w:t>
      </w:r>
      <w:r>
        <w:rPr>
          <w:rFonts w:hint="eastAsia" w:ascii="宋体" w:hAnsi="宋体" w:eastAsia="宋体" w:cs="宋体"/>
          <w:color w:val="auto"/>
          <w:sz w:val="21"/>
          <w:szCs w:val="21"/>
          <w:highlight w:val="none"/>
          <w:lang w:val="en-US" w:eastAsia="zh-CN"/>
        </w:rPr>
        <w:t>公告“申请人的资格要求”）；</w:t>
      </w:r>
    </w:p>
    <w:p w14:paraId="75A221D8">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10.3</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开标一览表（格式见附件</w:t>
      </w:r>
      <w:r>
        <w:rPr>
          <w:rFonts w:hint="eastAsia" w:ascii="宋体" w:hAnsi="宋体" w:eastAsia="宋体" w:cs="宋体"/>
          <w:color w:val="auto"/>
          <w:sz w:val="21"/>
          <w:szCs w:val="21"/>
          <w:highlight w:val="none"/>
          <w:lang w:eastAsia="zh-CN"/>
        </w:rPr>
        <w:t>）；</w:t>
      </w:r>
    </w:p>
    <w:p w14:paraId="67F25500">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10.4</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分项报价表（格式见附件</w:t>
      </w:r>
      <w:r>
        <w:rPr>
          <w:rFonts w:hint="eastAsia" w:ascii="宋体" w:hAnsi="宋体" w:eastAsia="宋体" w:cs="宋体"/>
          <w:color w:val="auto"/>
          <w:sz w:val="21"/>
          <w:szCs w:val="21"/>
          <w:highlight w:val="none"/>
          <w:lang w:eastAsia="zh-CN"/>
        </w:rPr>
        <w:t>）；</w:t>
      </w:r>
    </w:p>
    <w:bookmarkEnd w:id="61"/>
    <w:bookmarkEnd w:id="62"/>
    <w:bookmarkEnd w:id="63"/>
    <w:p w14:paraId="2A82B27E">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10.5</w:t>
      </w:r>
      <w:r>
        <w:rPr>
          <w:rFonts w:hint="eastAsia" w:ascii="宋体" w:hAnsi="宋体" w:eastAsia="宋体" w:cs="宋体"/>
          <w:color w:val="auto"/>
          <w:sz w:val="21"/>
          <w:szCs w:val="21"/>
          <w:highlight w:val="none"/>
          <w:lang w:val="en-US" w:eastAsia="zh-CN"/>
        </w:rPr>
        <w:t xml:space="preserve"> 商务/</w:t>
      </w:r>
      <w:r>
        <w:rPr>
          <w:rFonts w:hint="eastAsia" w:ascii="宋体" w:hAnsi="宋体" w:eastAsia="宋体" w:cs="宋体"/>
          <w:color w:val="auto"/>
          <w:sz w:val="21"/>
          <w:szCs w:val="21"/>
          <w:highlight w:val="none"/>
        </w:rPr>
        <w:t>技术</w:t>
      </w:r>
      <w:r>
        <w:rPr>
          <w:rFonts w:hint="eastAsia" w:ascii="宋体" w:hAnsi="宋体" w:eastAsia="宋体" w:cs="宋体"/>
          <w:color w:val="auto"/>
          <w:sz w:val="21"/>
          <w:szCs w:val="21"/>
          <w:highlight w:val="none"/>
          <w:lang w:val="en-US" w:eastAsia="zh-CN"/>
        </w:rPr>
        <w:t>条款</w:t>
      </w:r>
      <w:r>
        <w:rPr>
          <w:rFonts w:hint="eastAsia" w:ascii="宋体" w:hAnsi="宋体" w:eastAsia="宋体" w:cs="宋体"/>
          <w:color w:val="auto"/>
          <w:sz w:val="21"/>
          <w:szCs w:val="21"/>
          <w:highlight w:val="none"/>
        </w:rPr>
        <w:t>偏离表（格式见附件</w:t>
      </w:r>
      <w:r>
        <w:rPr>
          <w:rFonts w:hint="eastAsia" w:ascii="宋体" w:hAnsi="宋体" w:eastAsia="宋体" w:cs="宋体"/>
          <w:color w:val="auto"/>
          <w:sz w:val="21"/>
          <w:szCs w:val="21"/>
          <w:highlight w:val="none"/>
          <w:lang w:eastAsia="zh-CN"/>
        </w:rPr>
        <w:t>）；</w:t>
      </w:r>
    </w:p>
    <w:p w14:paraId="3171BB56">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10.6</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服务实施方案</w:t>
      </w:r>
      <w:r>
        <w:rPr>
          <w:rFonts w:hint="eastAsia" w:ascii="宋体" w:hAnsi="宋体" w:eastAsia="宋体" w:cs="宋体"/>
          <w:color w:val="auto"/>
          <w:sz w:val="21"/>
          <w:szCs w:val="21"/>
          <w:highlight w:val="none"/>
          <w:lang w:eastAsia="zh-CN"/>
        </w:rPr>
        <w:t>等；</w:t>
      </w:r>
    </w:p>
    <w:p w14:paraId="714074E9">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10.7</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评分标准中对应的所需证明材料（如有自行添加</w:t>
      </w:r>
      <w:r>
        <w:rPr>
          <w:rFonts w:hint="eastAsia" w:ascii="宋体" w:hAnsi="宋体" w:eastAsia="宋体" w:cs="宋体"/>
          <w:color w:val="auto"/>
          <w:sz w:val="21"/>
          <w:szCs w:val="21"/>
          <w:highlight w:val="none"/>
          <w:lang w:eastAsia="zh-CN"/>
        </w:rPr>
        <w:t>）；</w:t>
      </w:r>
    </w:p>
    <w:p w14:paraId="49AD549F">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10.8</w:t>
      </w:r>
      <w:r>
        <w:rPr>
          <w:rFonts w:hint="eastAsia" w:ascii="宋体" w:hAnsi="宋体" w:eastAsia="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rPr>
        <w:t>要求采购人提供的配合（如有自拟并自行添加</w:t>
      </w:r>
      <w:r>
        <w:rPr>
          <w:rFonts w:hint="eastAsia" w:ascii="宋体" w:hAnsi="宋体" w:eastAsia="宋体" w:cs="宋体"/>
          <w:b w:val="0"/>
          <w:bCs w:val="0"/>
          <w:color w:val="auto"/>
          <w:sz w:val="21"/>
          <w:szCs w:val="21"/>
          <w:highlight w:val="none"/>
          <w:lang w:eastAsia="zh-CN"/>
        </w:rPr>
        <w:t>）；</w:t>
      </w:r>
    </w:p>
    <w:p w14:paraId="32B5F28D">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rPr>
        <w:t>10.9</w:t>
      </w:r>
      <w:r>
        <w:rPr>
          <w:rFonts w:hint="eastAsia" w:ascii="宋体" w:hAnsi="宋体" w:eastAsia="宋体" w:cs="宋体"/>
          <w:b w:val="0"/>
          <w:bCs w:val="0"/>
          <w:color w:val="auto"/>
          <w:sz w:val="21"/>
          <w:szCs w:val="21"/>
          <w:highlight w:val="none"/>
          <w:lang w:val="en-US" w:eastAsia="zh-CN"/>
        </w:rPr>
        <w:t xml:space="preserve"> 其他</w:t>
      </w:r>
      <w:r>
        <w:rPr>
          <w:rFonts w:hint="eastAsia" w:ascii="宋体" w:hAnsi="宋体" w:eastAsia="宋体" w:cs="宋体"/>
          <w:color w:val="auto"/>
          <w:sz w:val="21"/>
          <w:szCs w:val="21"/>
          <w:highlight w:val="none"/>
        </w:rPr>
        <w:t>（投标人认为有必要提供的声明和文件，如有自拟并自行添加</w:t>
      </w:r>
      <w:r>
        <w:rPr>
          <w:rFonts w:hint="eastAsia" w:ascii="宋体" w:hAnsi="宋体" w:eastAsia="宋体" w:cs="宋体"/>
          <w:color w:val="auto"/>
          <w:sz w:val="21"/>
          <w:szCs w:val="21"/>
          <w:highlight w:val="none"/>
          <w:lang w:eastAsia="zh-CN"/>
        </w:rPr>
        <w:t>）；</w:t>
      </w:r>
    </w:p>
    <w:p w14:paraId="062A921E">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（1）投标供应商简介和经营情况说明；</w:t>
      </w:r>
    </w:p>
    <w:p w14:paraId="2E23FDDC">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（2）如是小微企业的，提供《中小企业声明函》；</w:t>
      </w:r>
    </w:p>
    <w:p w14:paraId="3EB00E7C">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（3）残疾人福利性单位声明函（供应商为残疾人福利性单位的提供</w:t>
      </w:r>
      <w:r>
        <w:rPr>
          <w:rFonts w:hint="eastAsia" w:ascii="宋体" w:hAnsi="宋体" w:eastAsia="宋体" w:cs="宋体"/>
          <w:color w:val="auto"/>
          <w:sz w:val="21"/>
          <w:szCs w:val="21"/>
          <w:highlight w:val="none"/>
          <w:lang w:eastAsia="zh-CN"/>
        </w:rPr>
        <w:t>）；</w:t>
      </w:r>
    </w:p>
    <w:p w14:paraId="5C77A1BF">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（4）由省级以上监狱管理局、戒毒管理局出具的属于监狱企业的证明文件（如适用</w:t>
      </w:r>
      <w:r>
        <w:rPr>
          <w:rFonts w:hint="eastAsia" w:ascii="宋体" w:hAnsi="宋体" w:eastAsia="宋体" w:cs="宋体"/>
          <w:color w:val="auto"/>
          <w:sz w:val="21"/>
          <w:szCs w:val="21"/>
          <w:highlight w:val="none"/>
          <w:lang w:eastAsia="zh-CN"/>
        </w:rPr>
        <w:t>）；</w:t>
      </w:r>
    </w:p>
    <w:p w14:paraId="341D796F">
      <w:pPr>
        <w:keepLines w:val="0"/>
        <w:pageBreakBefore w:val="0"/>
        <w:kinsoku/>
        <w:wordWrap/>
        <w:overflowPunct/>
        <w:topLinePunct w:val="0"/>
        <w:bidi w:val="0"/>
        <w:spacing w:line="360" w:lineRule="auto"/>
        <w:ind w:left="0" w:leftChars="0" w:firstLine="422" w:firstLineChars="200"/>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上述10.1-10.5项必须全部提供</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否则投标文件无效。</w:t>
      </w:r>
      <w:r>
        <w:rPr>
          <w:rFonts w:hint="eastAsia" w:ascii="宋体" w:hAnsi="宋体" w:eastAsia="宋体" w:cs="宋体"/>
          <w:color w:val="auto"/>
          <w:sz w:val="21"/>
          <w:szCs w:val="21"/>
          <w:highlight w:val="none"/>
        </w:rPr>
        <w:t>投标人法定代表人或法定代表人授权代表为外籍、港、澳、台地区人士的，其身份证明须提供有效的护照</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港澳同胞来往内地通行证、台湾同胞来往大陆通行证，或</w:t>
      </w:r>
      <w:r>
        <w:rPr>
          <w:rFonts w:hint="eastAsia" w:ascii="宋体" w:hAnsi="宋体" w:eastAsia="宋体" w:cs="宋体"/>
          <w:color w:val="auto"/>
          <w:sz w:val="21"/>
          <w:szCs w:val="21"/>
          <w:highlight w:val="none"/>
          <w:lang w:eastAsia="zh-CN"/>
        </w:rPr>
        <w:t>其他</w:t>
      </w:r>
      <w:r>
        <w:rPr>
          <w:rFonts w:hint="eastAsia" w:ascii="宋体" w:hAnsi="宋体" w:eastAsia="宋体" w:cs="宋体"/>
          <w:color w:val="auto"/>
          <w:sz w:val="21"/>
          <w:szCs w:val="21"/>
          <w:highlight w:val="none"/>
        </w:rPr>
        <w:t>可在中国大陆有效居留的许可证明。投标人所提交的证明文件的完整与否，将直接影响其响应文件的审核和评分结果。</w:t>
      </w:r>
    </w:p>
    <w:p w14:paraId="61625C08">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其他部分由供应商根据编制投标文件需要提供的其他相关文件。</w:t>
      </w:r>
    </w:p>
    <w:p w14:paraId="6DA35554">
      <w:pPr>
        <w:pStyle w:val="447"/>
        <w:keepLines w:val="0"/>
        <w:pageBreakBefore w:val="0"/>
        <w:kinsoku/>
        <w:wordWrap/>
        <w:overflowPunct/>
        <w:topLinePunct w:val="0"/>
        <w:bidi w:val="0"/>
        <w:spacing w:line="360" w:lineRule="auto"/>
        <w:ind w:left="0" w:leftChars="0" w:firstLine="422" w:firstLineChars="200"/>
        <w:jc w:val="both"/>
        <w:textAlignment w:val="auto"/>
        <w:outlineLvl w:val="9"/>
        <w:rPr>
          <w:rFonts w:hint="eastAsia" w:ascii="宋体" w:hAnsi="宋体" w:eastAsia="宋体" w:cs="宋体"/>
          <w:b/>
          <w:bCs/>
          <w:color w:val="auto"/>
          <w:sz w:val="21"/>
          <w:szCs w:val="21"/>
          <w:highlight w:val="none"/>
        </w:rPr>
      </w:pPr>
      <w:bookmarkStart w:id="64" w:name="_Toc15215"/>
      <w:bookmarkStart w:id="65" w:name="_Toc31206"/>
      <w:r>
        <w:rPr>
          <w:rFonts w:hint="eastAsia" w:ascii="宋体" w:hAnsi="宋体" w:eastAsia="宋体" w:cs="宋体"/>
          <w:b/>
          <w:bCs/>
          <w:color w:val="auto"/>
          <w:sz w:val="21"/>
          <w:szCs w:val="21"/>
          <w:highlight w:val="none"/>
        </w:rPr>
        <w:t>11.投标文件的有效期</w:t>
      </w:r>
      <w:bookmarkEnd w:id="64"/>
      <w:bookmarkEnd w:id="65"/>
    </w:p>
    <w:p w14:paraId="493B6659">
      <w:pPr>
        <w:keepLines w:val="0"/>
        <w:pageBreakBefore w:val="0"/>
        <w:kinsoku/>
        <w:wordWrap/>
        <w:overflowPunct/>
        <w:topLinePunct w:val="0"/>
        <w:bidi w:val="0"/>
        <w:spacing w:line="360" w:lineRule="auto"/>
        <w:ind w:left="0" w:leftChars="0" w:firstLine="420" w:firstLineChars="200"/>
        <w:jc w:val="left"/>
        <w:textAlignment w:val="auto"/>
        <w:rPr>
          <w:rFonts w:hint="eastAsia" w:ascii="宋体" w:hAnsi="宋体" w:eastAsia="宋体" w:cs="宋体"/>
          <w:bCs/>
          <w:color w:val="auto"/>
          <w:sz w:val="21"/>
          <w:szCs w:val="21"/>
          <w:highlight w:val="none"/>
        </w:rPr>
      </w:pPr>
      <w:bookmarkStart w:id="66" w:name="_Toc6811"/>
      <w:r>
        <w:rPr>
          <w:rFonts w:hint="eastAsia" w:ascii="宋体" w:hAnsi="宋体" w:eastAsia="宋体" w:cs="宋体"/>
          <w:bCs/>
          <w:color w:val="auto"/>
          <w:sz w:val="21"/>
          <w:szCs w:val="21"/>
          <w:highlight w:val="none"/>
        </w:rPr>
        <w:t>11.1</w:t>
      </w:r>
      <w:r>
        <w:rPr>
          <w:rFonts w:hint="eastAsia" w:ascii="宋体" w:hAnsi="宋体" w:eastAsia="宋体" w:cs="宋体"/>
          <w:bCs/>
          <w:color w:val="auto"/>
          <w:sz w:val="21"/>
          <w:szCs w:val="21"/>
          <w:highlight w:val="none"/>
          <w:lang w:val="en-US" w:eastAsia="zh-CN"/>
        </w:rPr>
        <w:t xml:space="preserve"> </w:t>
      </w:r>
      <w:r>
        <w:rPr>
          <w:rFonts w:hint="eastAsia" w:ascii="宋体" w:hAnsi="宋体" w:eastAsia="宋体" w:cs="宋体"/>
          <w:bCs/>
          <w:color w:val="auto"/>
          <w:sz w:val="21"/>
          <w:szCs w:val="21"/>
          <w:highlight w:val="none"/>
        </w:rPr>
        <w:t>自开标之日起90天内，投标文件应保持有效，有效期短于此规定的投标文件将视为无效。</w:t>
      </w:r>
    </w:p>
    <w:p w14:paraId="147C0F3D">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11.2</w:t>
      </w:r>
      <w:r>
        <w:rPr>
          <w:rFonts w:hint="eastAsia" w:ascii="宋体" w:hAnsi="宋体" w:eastAsia="宋体" w:cs="宋体"/>
          <w:bCs/>
          <w:color w:val="auto"/>
          <w:sz w:val="21"/>
          <w:szCs w:val="21"/>
          <w:highlight w:val="none"/>
          <w:lang w:val="en-US" w:eastAsia="zh-CN"/>
        </w:rPr>
        <w:t xml:space="preserve"> </w:t>
      </w:r>
      <w:r>
        <w:rPr>
          <w:rFonts w:hint="eastAsia" w:ascii="宋体" w:hAnsi="宋体" w:eastAsia="宋体" w:cs="宋体"/>
          <w:bCs/>
          <w:color w:val="auto"/>
          <w:sz w:val="21"/>
          <w:szCs w:val="21"/>
          <w:highlight w:val="none"/>
        </w:rPr>
        <w:t>在特殊情况下，采购代理机构可根据实际情况，在原投标文件有效期截止时间前，与供应商协商延长有效期，此类要求和答复都应以书面形式进行。供应商可以拒绝接受延期的要求而放弃投标。同意这一要求的供应商，无需也不允许修改其投标文件。受投标有效期制约的所有权利和义务均应延长至新的有效期。</w:t>
      </w:r>
    </w:p>
    <w:p w14:paraId="13A1B4A7">
      <w:pPr>
        <w:pStyle w:val="447"/>
        <w:keepLines w:val="0"/>
        <w:pageBreakBefore w:val="0"/>
        <w:kinsoku/>
        <w:wordWrap/>
        <w:overflowPunct/>
        <w:topLinePunct w:val="0"/>
        <w:bidi w:val="0"/>
        <w:spacing w:line="360" w:lineRule="auto"/>
        <w:ind w:left="0" w:leftChars="0" w:firstLine="422" w:firstLineChars="200"/>
        <w:jc w:val="both"/>
        <w:textAlignment w:val="auto"/>
        <w:outlineLvl w:val="9"/>
        <w:rPr>
          <w:rFonts w:hint="eastAsia" w:ascii="宋体" w:hAnsi="宋体" w:eastAsia="宋体" w:cs="宋体"/>
          <w:b/>
          <w:bCs/>
          <w:color w:val="auto"/>
          <w:sz w:val="21"/>
          <w:szCs w:val="21"/>
          <w:highlight w:val="none"/>
        </w:rPr>
      </w:pPr>
      <w:bookmarkStart w:id="67" w:name="_Toc21944"/>
      <w:r>
        <w:rPr>
          <w:rFonts w:hint="eastAsia" w:ascii="宋体" w:hAnsi="宋体" w:eastAsia="宋体" w:cs="宋体"/>
          <w:b/>
          <w:bCs/>
          <w:color w:val="auto"/>
          <w:sz w:val="21"/>
          <w:szCs w:val="21"/>
          <w:highlight w:val="none"/>
        </w:rPr>
        <w:t>12.</w:t>
      </w:r>
      <w:bookmarkEnd w:id="66"/>
      <w:bookmarkEnd w:id="67"/>
      <w:r>
        <w:rPr>
          <w:rFonts w:hint="eastAsia" w:ascii="宋体" w:hAnsi="宋体" w:eastAsia="宋体" w:cs="宋体"/>
          <w:b/>
          <w:bCs/>
          <w:color w:val="auto"/>
          <w:sz w:val="21"/>
          <w:szCs w:val="21"/>
          <w:highlight w:val="none"/>
        </w:rPr>
        <w:t>投标文件的编制要求和签署要求</w:t>
      </w:r>
    </w:p>
    <w:p w14:paraId="30573D32">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color w:val="auto"/>
          <w:sz w:val="21"/>
          <w:szCs w:val="21"/>
          <w:highlight w:val="none"/>
        </w:rPr>
      </w:pPr>
      <w:bookmarkStart w:id="68" w:name="_Toc27455"/>
      <w:r>
        <w:rPr>
          <w:rFonts w:hint="eastAsia" w:ascii="宋体" w:hAnsi="宋体" w:eastAsia="宋体" w:cs="宋体"/>
          <w:bCs/>
          <w:color w:val="auto"/>
          <w:sz w:val="21"/>
          <w:szCs w:val="21"/>
          <w:highlight w:val="none"/>
        </w:rPr>
        <w:t>12.1</w:t>
      </w:r>
      <w:r>
        <w:rPr>
          <w:rFonts w:hint="eastAsia" w:ascii="宋体" w:hAnsi="宋体" w:eastAsia="宋体" w:cs="宋体"/>
          <w:bCs/>
          <w:color w:val="auto"/>
          <w:sz w:val="21"/>
          <w:szCs w:val="21"/>
          <w:highlight w:val="none"/>
          <w:lang w:val="en-US" w:eastAsia="zh-CN"/>
        </w:rPr>
        <w:t xml:space="preserve"> </w:t>
      </w:r>
      <w:r>
        <w:rPr>
          <w:rFonts w:hint="eastAsia" w:ascii="宋体" w:hAnsi="宋体" w:eastAsia="宋体" w:cs="宋体"/>
          <w:bCs/>
          <w:color w:val="auto"/>
          <w:sz w:val="21"/>
          <w:szCs w:val="21"/>
          <w:highlight w:val="none"/>
        </w:rPr>
        <w:t>投标人应由其法定代表人或法定代表人授权代表在规定的网上投标时间，凭 CA 证书登录“苏采云”系统在线编制投标文件（电子数据），并在投标截止时间之前上传投标文件。</w:t>
      </w:r>
    </w:p>
    <w:p w14:paraId="6D3F4784">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12.2</w:t>
      </w:r>
      <w:r>
        <w:rPr>
          <w:rFonts w:hint="eastAsia" w:ascii="宋体" w:hAnsi="宋体" w:eastAsia="宋体" w:cs="宋体"/>
          <w:bCs/>
          <w:color w:val="auto"/>
          <w:sz w:val="21"/>
          <w:szCs w:val="21"/>
          <w:highlight w:val="none"/>
          <w:lang w:val="en-US" w:eastAsia="zh-CN"/>
        </w:rPr>
        <w:t xml:space="preserve"> </w:t>
      </w:r>
      <w:r>
        <w:rPr>
          <w:rFonts w:hint="eastAsia" w:ascii="宋体" w:hAnsi="宋体" w:eastAsia="宋体" w:cs="宋体"/>
          <w:bCs/>
          <w:color w:val="auto"/>
          <w:sz w:val="21"/>
          <w:szCs w:val="21"/>
          <w:highlight w:val="none"/>
        </w:rPr>
        <w:t>投标人应对 CA 证书妥善保管，如被他人盗用投标，因此带来的结果均由投标人自行承担。</w:t>
      </w:r>
    </w:p>
    <w:p w14:paraId="0C3E2649">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12.3</w:t>
      </w:r>
      <w:r>
        <w:rPr>
          <w:rFonts w:hint="eastAsia" w:ascii="宋体" w:hAnsi="宋体" w:eastAsia="宋体" w:cs="宋体"/>
          <w:bCs/>
          <w:color w:val="auto"/>
          <w:sz w:val="21"/>
          <w:szCs w:val="21"/>
          <w:highlight w:val="none"/>
          <w:lang w:val="en-US" w:eastAsia="zh-CN"/>
        </w:rPr>
        <w:t xml:space="preserve"> </w:t>
      </w:r>
      <w:r>
        <w:rPr>
          <w:rFonts w:hint="eastAsia" w:ascii="宋体" w:hAnsi="宋体" w:eastAsia="宋体" w:cs="宋体"/>
          <w:bCs/>
          <w:color w:val="auto"/>
          <w:sz w:val="21"/>
          <w:szCs w:val="21"/>
          <w:highlight w:val="none"/>
        </w:rPr>
        <w:t>投标人应当对招标文件提出的要求和条件作出实质性响应，并在电子投标系统逐条应答。</w:t>
      </w:r>
    </w:p>
    <w:p w14:paraId="1DD98191">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12.4</w:t>
      </w:r>
      <w:r>
        <w:rPr>
          <w:rFonts w:hint="eastAsia" w:ascii="宋体" w:hAnsi="宋体" w:eastAsia="宋体" w:cs="宋体"/>
          <w:bCs/>
          <w:color w:val="auto"/>
          <w:sz w:val="21"/>
          <w:szCs w:val="21"/>
          <w:highlight w:val="none"/>
          <w:lang w:val="en-US" w:eastAsia="zh-CN"/>
        </w:rPr>
        <w:t xml:space="preserve"> </w:t>
      </w:r>
      <w:r>
        <w:rPr>
          <w:rFonts w:hint="eastAsia" w:ascii="宋体" w:hAnsi="宋体" w:eastAsia="宋体" w:cs="宋体"/>
          <w:bCs/>
          <w:color w:val="auto"/>
          <w:sz w:val="21"/>
          <w:szCs w:val="21"/>
          <w:highlight w:val="none"/>
        </w:rPr>
        <w:t>投标人应对要求提供的资格证明文件（如资质证书、资格证书）、技术资料（如白皮书、彩页、手册、检测报告等）扫描上传至投标系统。</w:t>
      </w:r>
    </w:p>
    <w:p w14:paraId="56F81937">
      <w:pPr>
        <w:keepLines w:val="0"/>
        <w:pageBreakBefore w:val="0"/>
        <w:widowControl/>
        <w:shd w:val="clear" w:color="auto" w:fill="FFFFFF"/>
        <w:kinsoku/>
        <w:wordWrap/>
        <w:overflowPunct/>
        <w:topLinePunct w:val="0"/>
        <w:bidi w:val="0"/>
        <w:spacing w:line="360" w:lineRule="auto"/>
        <w:ind w:left="0" w:leftChars="0" w:firstLine="422" w:firstLineChars="200"/>
        <w:textAlignment w:val="auto"/>
        <w:outlineLvl w:val="1"/>
        <w:rPr>
          <w:rFonts w:hint="eastAsia" w:ascii="宋体" w:hAnsi="宋体" w:eastAsia="宋体" w:cs="宋体"/>
          <w:b/>
          <w:bCs/>
          <w:color w:val="auto"/>
          <w:sz w:val="21"/>
          <w:szCs w:val="21"/>
          <w:highlight w:val="none"/>
        </w:rPr>
      </w:pPr>
      <w:bookmarkStart w:id="69" w:name="_Toc9506"/>
      <w:r>
        <w:rPr>
          <w:rFonts w:hint="eastAsia" w:ascii="宋体" w:hAnsi="宋体" w:eastAsia="宋体" w:cs="宋体"/>
          <w:b/>
          <w:bCs/>
          <w:color w:val="auto"/>
          <w:sz w:val="21"/>
          <w:szCs w:val="21"/>
          <w:highlight w:val="none"/>
        </w:rPr>
        <w:t>四、投标文件的递交</w:t>
      </w:r>
      <w:bookmarkEnd w:id="68"/>
      <w:bookmarkEnd w:id="69"/>
    </w:p>
    <w:p w14:paraId="36733D1C">
      <w:pPr>
        <w:keepLines w:val="0"/>
        <w:pageBreakBefore w:val="0"/>
        <w:widowControl/>
        <w:shd w:val="clear" w:color="auto" w:fill="FFFFFF"/>
        <w:kinsoku/>
        <w:wordWrap/>
        <w:overflowPunct/>
        <w:topLinePunct w:val="0"/>
        <w:bidi w:val="0"/>
        <w:spacing w:line="360" w:lineRule="auto"/>
        <w:ind w:left="0" w:leftChars="0" w:firstLine="422" w:firstLineChars="200"/>
        <w:textAlignment w:val="auto"/>
        <w:rPr>
          <w:rFonts w:hint="eastAsia" w:ascii="宋体" w:hAnsi="宋体" w:eastAsia="宋体" w:cs="宋体"/>
          <w:b/>
          <w:bCs/>
          <w:color w:val="auto"/>
          <w:sz w:val="21"/>
          <w:szCs w:val="21"/>
          <w:highlight w:val="none"/>
        </w:rPr>
      </w:pPr>
      <w:bookmarkStart w:id="70" w:name="_Toc16938541"/>
      <w:bookmarkStart w:id="71" w:name="_Toc20823297"/>
      <w:bookmarkStart w:id="72" w:name="_Toc513029225"/>
      <w:bookmarkStart w:id="73" w:name="_Toc462564084"/>
      <w:r>
        <w:rPr>
          <w:rFonts w:hint="eastAsia" w:ascii="宋体" w:hAnsi="宋体" w:eastAsia="宋体" w:cs="宋体"/>
          <w:b/>
          <w:bCs/>
          <w:color w:val="auto"/>
          <w:sz w:val="21"/>
          <w:szCs w:val="21"/>
          <w:highlight w:val="none"/>
        </w:rPr>
        <w:t>13.电子投标文件</w:t>
      </w:r>
      <w:bookmarkEnd w:id="70"/>
      <w:bookmarkEnd w:id="71"/>
      <w:bookmarkEnd w:id="72"/>
      <w:bookmarkEnd w:id="73"/>
      <w:r>
        <w:rPr>
          <w:rFonts w:hint="eastAsia" w:ascii="宋体" w:hAnsi="宋体" w:eastAsia="宋体" w:cs="宋体"/>
          <w:b/>
          <w:bCs/>
          <w:color w:val="auto"/>
          <w:sz w:val="21"/>
          <w:szCs w:val="21"/>
          <w:highlight w:val="none"/>
        </w:rPr>
        <w:t>的递交</w:t>
      </w:r>
    </w:p>
    <w:p w14:paraId="51FAB9CA">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13.1</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投标人应当按照规定，在投标截止时间前制作并上传电子投标文件。</w:t>
      </w:r>
      <w:bookmarkStart w:id="74" w:name="_Toc20823298"/>
      <w:bookmarkEnd w:id="74"/>
      <w:bookmarkStart w:id="75" w:name="_Toc16938542"/>
      <w:bookmarkEnd w:id="75"/>
    </w:p>
    <w:p w14:paraId="7F4D1D79">
      <w:pPr>
        <w:keepLines w:val="0"/>
        <w:pageBreakBefore w:val="0"/>
        <w:widowControl/>
        <w:shd w:val="clear" w:color="auto" w:fill="FFFFFF"/>
        <w:kinsoku/>
        <w:wordWrap/>
        <w:overflowPunct/>
        <w:topLinePunct w:val="0"/>
        <w:bidi w:val="0"/>
        <w:spacing w:line="360" w:lineRule="auto"/>
        <w:ind w:left="0" w:leftChars="0" w:firstLine="422"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14.投标截止日期</w:t>
      </w:r>
    </w:p>
    <w:p w14:paraId="1718C10D">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14.1 投标人上传电子投标文件的时间不得迟于招标公告中规定的投标截止时间。</w:t>
      </w:r>
    </w:p>
    <w:p w14:paraId="3F4E9DF4">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投标人应充分考虑到网络环境、网络带宽等风险因素，如因投标人自身原因造成的电子投标文件上传不成功的</w:t>
      </w:r>
      <w:r>
        <w:rPr>
          <w:rFonts w:hint="eastAsia" w:ascii="宋体" w:hAnsi="宋体" w:eastAsia="宋体" w:cs="宋体"/>
          <w:color w:val="auto"/>
          <w:sz w:val="21"/>
          <w:szCs w:val="21"/>
          <w:highlight w:val="none"/>
          <w:lang w:eastAsia="zh-CN"/>
        </w:rPr>
        <w:t>作</w:t>
      </w:r>
      <w:r>
        <w:rPr>
          <w:rFonts w:hint="eastAsia" w:ascii="宋体" w:hAnsi="宋体" w:eastAsia="宋体" w:cs="宋体"/>
          <w:color w:val="auto"/>
          <w:sz w:val="21"/>
          <w:szCs w:val="21"/>
          <w:highlight w:val="none"/>
        </w:rPr>
        <w:t>无效投标处理。</w:t>
      </w:r>
    </w:p>
    <w:p w14:paraId="46925C44">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14.2 采购人及采购代理机构可以按照规定，通过修改招标文件酌情延长投标截止日期，在此情况下，投标人的所有权利和义务以及投标人受制的截止日期均应以延长后新的截止日期为准。</w:t>
      </w:r>
    </w:p>
    <w:p w14:paraId="7875365D">
      <w:pPr>
        <w:keepLines w:val="0"/>
        <w:pageBreakBefore w:val="0"/>
        <w:widowControl/>
        <w:shd w:val="clear" w:color="auto" w:fill="FFFFFF"/>
        <w:kinsoku/>
        <w:wordWrap/>
        <w:overflowPunct/>
        <w:topLinePunct w:val="0"/>
        <w:bidi w:val="0"/>
        <w:spacing w:line="360" w:lineRule="auto"/>
        <w:ind w:left="0" w:leftChars="0" w:firstLine="422" w:firstLineChars="200"/>
        <w:textAlignment w:val="auto"/>
        <w:rPr>
          <w:rFonts w:hint="eastAsia" w:ascii="宋体" w:hAnsi="宋体" w:eastAsia="宋体" w:cs="宋体"/>
          <w:b/>
          <w:bCs/>
          <w:color w:val="auto"/>
          <w:sz w:val="21"/>
          <w:szCs w:val="21"/>
          <w:highlight w:val="none"/>
        </w:rPr>
      </w:pPr>
      <w:bookmarkStart w:id="76" w:name="_Toc16938543"/>
      <w:bookmarkStart w:id="77" w:name="_Toc513029227"/>
      <w:bookmarkStart w:id="78" w:name="_Toc20823299"/>
      <w:r>
        <w:rPr>
          <w:rFonts w:hint="eastAsia" w:ascii="宋体" w:hAnsi="宋体" w:eastAsia="宋体" w:cs="宋体"/>
          <w:b/>
          <w:bCs/>
          <w:color w:val="auto"/>
          <w:sz w:val="21"/>
          <w:szCs w:val="21"/>
          <w:highlight w:val="none"/>
        </w:rPr>
        <w:t>15.投标文件</w:t>
      </w:r>
      <w:bookmarkEnd w:id="76"/>
      <w:bookmarkEnd w:id="77"/>
      <w:bookmarkEnd w:id="78"/>
      <w:r>
        <w:rPr>
          <w:rFonts w:hint="eastAsia" w:ascii="宋体" w:hAnsi="宋体" w:eastAsia="宋体" w:cs="宋体"/>
          <w:b/>
          <w:bCs/>
          <w:color w:val="auto"/>
          <w:sz w:val="21"/>
          <w:szCs w:val="21"/>
          <w:highlight w:val="none"/>
        </w:rPr>
        <w:t>的拒收</w:t>
      </w:r>
    </w:p>
    <w:p w14:paraId="2FC0192C">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15.1 采购人及采购代理机构拒绝接收在其规定的投标截止时间后上传的任何投标文件。</w:t>
      </w:r>
    </w:p>
    <w:p w14:paraId="4138D6F7">
      <w:pPr>
        <w:keepLines w:val="0"/>
        <w:pageBreakBefore w:val="0"/>
        <w:widowControl/>
        <w:shd w:val="clear" w:color="auto" w:fill="FFFFFF"/>
        <w:kinsoku/>
        <w:wordWrap/>
        <w:overflowPunct/>
        <w:topLinePunct w:val="0"/>
        <w:bidi w:val="0"/>
        <w:spacing w:line="360" w:lineRule="auto"/>
        <w:ind w:left="0" w:leftChars="0" w:firstLine="422" w:firstLineChars="200"/>
        <w:textAlignment w:val="auto"/>
        <w:rPr>
          <w:rFonts w:hint="eastAsia" w:ascii="宋体" w:hAnsi="宋体" w:eastAsia="宋体" w:cs="宋体"/>
          <w:b/>
          <w:bCs/>
          <w:color w:val="auto"/>
          <w:sz w:val="21"/>
          <w:szCs w:val="21"/>
          <w:highlight w:val="none"/>
        </w:rPr>
      </w:pPr>
      <w:bookmarkStart w:id="79" w:name="_Toc513029228"/>
      <w:bookmarkStart w:id="80" w:name="_Toc20823300"/>
      <w:bookmarkStart w:id="81" w:name="_Toc16938544"/>
      <w:r>
        <w:rPr>
          <w:rFonts w:hint="eastAsia" w:ascii="宋体" w:hAnsi="宋体" w:eastAsia="宋体" w:cs="宋体"/>
          <w:b/>
          <w:bCs/>
          <w:color w:val="auto"/>
          <w:sz w:val="21"/>
          <w:szCs w:val="21"/>
          <w:highlight w:val="none"/>
        </w:rPr>
        <w:t>16.投标文件的撤回和修改</w:t>
      </w:r>
      <w:bookmarkEnd w:id="79"/>
      <w:bookmarkEnd w:id="80"/>
      <w:bookmarkEnd w:id="81"/>
    </w:p>
    <w:p w14:paraId="68733C00">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16.1 投标文件的撤回</w:t>
      </w:r>
    </w:p>
    <w:p w14:paraId="30F7F3B2">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16.1.1 电子投标文件的撤回</w:t>
      </w:r>
    </w:p>
    <w:p w14:paraId="49C81287">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投标人可在投标截止时间前，撤回其电子投标文件。</w:t>
      </w:r>
    </w:p>
    <w:p w14:paraId="44A114EB">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16.1.2 投标人撤回电子投标文件，则认为其不再参与本项目投标活动。</w:t>
      </w:r>
    </w:p>
    <w:p w14:paraId="0A6FEBE1">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16.2 投标文件的修改</w:t>
      </w:r>
    </w:p>
    <w:p w14:paraId="5EEA5B74">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16.2.1</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投标人可在投标截止时间前，对其电子投标文件进行修改。</w:t>
      </w:r>
    </w:p>
    <w:p w14:paraId="78BD8517">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16.2.2 在投标截止时间之后，投标人不得对其电子投标文件作任何修改。</w:t>
      </w:r>
    </w:p>
    <w:p w14:paraId="6A272908">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16.3 在投标截止时间至招标文件中规定的投标有效期满之间的这段时间内，投标人不得撤回其投标。</w:t>
      </w:r>
    </w:p>
    <w:p w14:paraId="1C1A07A6">
      <w:pPr>
        <w:keepLines w:val="0"/>
        <w:pageBreakBefore w:val="0"/>
        <w:widowControl/>
        <w:shd w:val="clear" w:color="auto" w:fill="FFFFFF"/>
        <w:kinsoku/>
        <w:wordWrap/>
        <w:overflowPunct/>
        <w:topLinePunct w:val="0"/>
        <w:bidi w:val="0"/>
        <w:spacing w:line="360" w:lineRule="auto"/>
        <w:ind w:left="0" w:leftChars="0" w:firstLine="422" w:firstLineChars="200"/>
        <w:textAlignment w:val="auto"/>
        <w:outlineLvl w:val="1"/>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五、开标与评标</w:t>
      </w:r>
    </w:p>
    <w:p w14:paraId="1C2FC939">
      <w:pPr>
        <w:pStyle w:val="447"/>
        <w:keepLines w:val="0"/>
        <w:pageBreakBefore w:val="0"/>
        <w:kinsoku/>
        <w:wordWrap/>
        <w:overflowPunct/>
        <w:topLinePunct w:val="0"/>
        <w:bidi w:val="0"/>
        <w:spacing w:line="360" w:lineRule="auto"/>
        <w:ind w:left="0" w:leftChars="0" w:firstLine="422" w:firstLineChars="200"/>
        <w:jc w:val="both"/>
        <w:textAlignment w:val="auto"/>
        <w:outlineLvl w:val="9"/>
        <w:rPr>
          <w:rFonts w:hint="eastAsia" w:ascii="宋体" w:hAnsi="宋体" w:eastAsia="宋体" w:cs="宋体"/>
          <w:b/>
          <w:bCs/>
          <w:color w:val="auto"/>
          <w:sz w:val="21"/>
          <w:szCs w:val="21"/>
          <w:highlight w:val="none"/>
        </w:rPr>
      </w:pPr>
      <w:bookmarkStart w:id="82" w:name="_Toc15345"/>
      <w:bookmarkStart w:id="83" w:name="_Toc13829"/>
      <w:bookmarkStart w:id="84" w:name="_Toc3679"/>
      <w:bookmarkStart w:id="85" w:name="_Toc20683"/>
      <w:bookmarkStart w:id="86" w:name="OLE_LINK3"/>
      <w:bookmarkStart w:id="87" w:name="_Toc6944"/>
      <w:r>
        <w:rPr>
          <w:rFonts w:hint="eastAsia" w:ascii="宋体" w:hAnsi="宋体" w:eastAsia="宋体" w:cs="宋体"/>
          <w:b/>
          <w:bCs/>
          <w:color w:val="auto"/>
          <w:sz w:val="21"/>
          <w:szCs w:val="21"/>
          <w:highlight w:val="none"/>
        </w:rPr>
        <w:t>17.开标</w:t>
      </w:r>
      <w:bookmarkEnd w:id="82"/>
      <w:bookmarkEnd w:id="83"/>
      <w:bookmarkEnd w:id="84"/>
      <w:bookmarkEnd w:id="85"/>
    </w:p>
    <w:bookmarkEnd w:id="86"/>
    <w:p w14:paraId="12D366BD">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17.1</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开标时间及地点。开标应当在招标文件确定的提交投标文件截止时间的同一时间公开进行；开标地点应当为招标文件中预先确定的地点。</w:t>
      </w:r>
    </w:p>
    <w:p w14:paraId="1510F8A2">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17.2</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由电子招标投标交易平台主持，邀请投标人参加。</w:t>
      </w:r>
    </w:p>
    <w:p w14:paraId="0DD60BD2">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17.3</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所有投标单位使用 CA 证书在开标时间时解密各自投标文件，由工作人员操作系统进行开标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投标人不足3家的，不得开标。</w:t>
      </w:r>
    </w:p>
    <w:p w14:paraId="22E9A1FF">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17.4</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投标人原因造成投标文件未解密的，视为撤销其投标文件；因投标人之外的原因造成投标文件未解密的，视为撤回其投标文件。部分投标文件未解密的，其他投标文件的开标可以继续进行。</w:t>
      </w:r>
    </w:p>
    <w:p w14:paraId="6FB031E0">
      <w:pPr>
        <w:keepLines w:val="0"/>
        <w:pageBreakBefore w:val="0"/>
        <w:kinsoku/>
        <w:wordWrap/>
        <w:overflowPunct/>
        <w:topLinePunct w:val="0"/>
        <w:bidi w:val="0"/>
        <w:spacing w:line="360" w:lineRule="auto"/>
        <w:ind w:left="0" w:leftChars="0" w:firstLine="422" w:firstLineChars="200"/>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18.资格性审查</w:t>
      </w:r>
    </w:p>
    <w:p w14:paraId="78DC76AA">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18.1</w:t>
      </w:r>
      <w:r>
        <w:rPr>
          <w:rFonts w:hint="eastAsia" w:ascii="宋体" w:hAnsi="宋体" w:eastAsia="宋体" w:cs="宋体"/>
          <w:bCs/>
          <w:color w:val="auto"/>
          <w:sz w:val="21"/>
          <w:szCs w:val="21"/>
          <w:highlight w:val="none"/>
          <w:lang w:val="en-US" w:eastAsia="zh-CN"/>
        </w:rPr>
        <w:t xml:space="preserve"> </w:t>
      </w:r>
      <w:r>
        <w:rPr>
          <w:rFonts w:hint="eastAsia" w:ascii="宋体" w:hAnsi="宋体" w:eastAsia="宋体" w:cs="宋体"/>
          <w:bCs/>
          <w:color w:val="auto"/>
          <w:sz w:val="21"/>
          <w:szCs w:val="21"/>
          <w:highlight w:val="none"/>
        </w:rPr>
        <w:t>开标结束后，采购人或者采购代理机构应当依据法律法规和采购文件的规定，对投标人的资格进行审查，以确定投标供应商提供资格证明的合法性、真实性，是否具备投标资格。</w:t>
      </w:r>
    </w:p>
    <w:p w14:paraId="46A76F67">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18.2</w:t>
      </w:r>
      <w:r>
        <w:rPr>
          <w:rFonts w:hint="eastAsia" w:ascii="宋体" w:hAnsi="宋体" w:eastAsia="宋体" w:cs="宋体"/>
          <w:bCs/>
          <w:color w:val="auto"/>
          <w:sz w:val="21"/>
          <w:szCs w:val="21"/>
          <w:highlight w:val="none"/>
          <w:lang w:val="en-US" w:eastAsia="zh-CN"/>
        </w:rPr>
        <w:t xml:space="preserve"> </w:t>
      </w:r>
      <w:r>
        <w:rPr>
          <w:rFonts w:hint="eastAsia" w:ascii="宋体" w:hAnsi="宋体" w:eastAsia="宋体" w:cs="宋体"/>
          <w:bCs/>
          <w:color w:val="auto"/>
          <w:sz w:val="21"/>
          <w:szCs w:val="21"/>
          <w:highlight w:val="none"/>
        </w:rPr>
        <w:t>信用信息查询</w:t>
      </w:r>
    </w:p>
    <w:p w14:paraId="18AF781E">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采购人或采购代理机构通过</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rPr>
        <w:t>信用中国</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rPr>
        <w:t>网站</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rPr>
        <w:t>www.creditchina.gov.cn</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rPr>
        <w:t>、中国政府采购网</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rPr>
        <w:t>www.ccgp.gov.cn</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rPr>
        <w:t>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p>
    <w:p w14:paraId="726222A9">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18.3</w:t>
      </w:r>
      <w:bookmarkEnd w:id="87"/>
      <w:bookmarkStart w:id="88" w:name="_Toc30296"/>
      <w:bookmarkStart w:id="89" w:name="_Toc513029231"/>
      <w:bookmarkStart w:id="90" w:name="_Toc16938547"/>
      <w:bookmarkStart w:id="91" w:name="_Toc20823303"/>
      <w:bookmarkStart w:id="92" w:name="_Toc29284"/>
      <w:r>
        <w:rPr>
          <w:rFonts w:hint="eastAsia" w:ascii="宋体" w:hAnsi="宋体" w:eastAsia="宋体" w:cs="宋体"/>
          <w:bCs/>
          <w:color w:val="auto"/>
          <w:sz w:val="21"/>
          <w:szCs w:val="21"/>
          <w:highlight w:val="none"/>
          <w:lang w:val="en-US" w:eastAsia="zh-CN"/>
        </w:rPr>
        <w:t xml:space="preserve"> </w:t>
      </w:r>
      <w:r>
        <w:rPr>
          <w:rFonts w:hint="eastAsia" w:ascii="宋体" w:hAnsi="宋体" w:eastAsia="宋体" w:cs="宋体"/>
          <w:bCs/>
          <w:color w:val="auto"/>
          <w:sz w:val="21"/>
          <w:szCs w:val="21"/>
          <w:highlight w:val="none"/>
        </w:rPr>
        <w:t>通过资格性审查合格的投标人不足3家的，不得评标。</w:t>
      </w:r>
    </w:p>
    <w:p w14:paraId="08D11D53">
      <w:pPr>
        <w:keepLines w:val="0"/>
        <w:pageBreakBefore w:val="0"/>
        <w:kinsoku/>
        <w:wordWrap/>
        <w:overflowPunct/>
        <w:topLinePunct w:val="0"/>
        <w:bidi w:val="0"/>
        <w:spacing w:line="360" w:lineRule="auto"/>
        <w:ind w:left="0" w:leftChars="0" w:firstLine="422" w:firstLineChars="20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19.评标 </w:t>
      </w:r>
    </w:p>
    <w:p w14:paraId="2F1BFB02">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19.1</w:t>
      </w:r>
      <w:r>
        <w:rPr>
          <w:rFonts w:hint="eastAsia" w:ascii="宋体" w:hAnsi="宋体" w:eastAsia="宋体" w:cs="宋体"/>
          <w:b w:val="0"/>
          <w:bCs/>
          <w:color w:val="auto"/>
          <w:sz w:val="21"/>
          <w:szCs w:val="21"/>
          <w:highlight w:val="none"/>
          <w:lang w:val="en-US" w:eastAsia="zh-CN"/>
        </w:rPr>
        <w:t xml:space="preserve"> </w:t>
      </w:r>
      <w:r>
        <w:rPr>
          <w:rFonts w:hint="eastAsia" w:ascii="宋体" w:hAnsi="宋体" w:eastAsia="宋体" w:cs="宋体"/>
          <w:b w:val="0"/>
          <w:bCs/>
          <w:color w:val="auto"/>
          <w:sz w:val="21"/>
          <w:szCs w:val="21"/>
          <w:highlight w:val="none"/>
        </w:rPr>
        <w:t>评标组织</w:t>
      </w:r>
    </w:p>
    <w:p w14:paraId="2CBC2C89">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评标工作由采购代理机构负责组织，具体评标事务由依法组建的评标委员会负责，并独立履行下列职责：</w:t>
      </w:r>
    </w:p>
    <w:p w14:paraId="5CFBFB16">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（1）审查、评价投标文件是否符合招标文件的商务、技术等实质性要求；</w:t>
      </w:r>
    </w:p>
    <w:p w14:paraId="714AED39">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（2）要求投标人对投标文件有关事项作出澄清或者说明；</w:t>
      </w:r>
    </w:p>
    <w:p w14:paraId="5E9E9D86">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（3）对投标文件进行比较和评价；</w:t>
      </w:r>
    </w:p>
    <w:p w14:paraId="1B574FDF">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（4）确定中标候选人名单，以及根据采购人委托直接确定中标人；</w:t>
      </w:r>
    </w:p>
    <w:p w14:paraId="242FBD26">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（5）向采购人、采购代理机构或者有关部门报告评标中发现的违法行为。</w:t>
      </w:r>
    </w:p>
    <w:p w14:paraId="324A4661">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19.2</w:t>
      </w:r>
      <w:r>
        <w:rPr>
          <w:rFonts w:hint="eastAsia" w:ascii="宋体" w:hAnsi="宋体" w:eastAsia="宋体" w:cs="宋体"/>
          <w:bCs/>
          <w:color w:val="auto"/>
          <w:sz w:val="21"/>
          <w:szCs w:val="21"/>
          <w:highlight w:val="none"/>
          <w:lang w:val="en-US" w:eastAsia="zh-CN"/>
        </w:rPr>
        <w:t xml:space="preserve"> </w:t>
      </w:r>
      <w:r>
        <w:rPr>
          <w:rFonts w:hint="eastAsia" w:ascii="宋体" w:hAnsi="宋体" w:eastAsia="宋体" w:cs="宋体"/>
          <w:bCs/>
          <w:color w:val="auto"/>
          <w:sz w:val="21"/>
          <w:szCs w:val="21"/>
          <w:highlight w:val="none"/>
        </w:rPr>
        <w:t>评标委员会由采购人代表和有关技术、经济等方面的专家组成，独立开展评审工作且评标委员会人员构成符合有关规定。</w:t>
      </w:r>
    </w:p>
    <w:p w14:paraId="797FE7A1">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 w:val="0"/>
          <w:bCs/>
          <w:color w:val="auto"/>
          <w:sz w:val="21"/>
          <w:szCs w:val="21"/>
          <w:highlight w:val="none"/>
        </w:rPr>
      </w:pPr>
      <w:bookmarkStart w:id="93" w:name="_Toc16288"/>
      <w:r>
        <w:rPr>
          <w:rFonts w:hint="eastAsia" w:ascii="宋体" w:hAnsi="宋体" w:eastAsia="宋体" w:cs="宋体"/>
          <w:b w:val="0"/>
          <w:bCs/>
          <w:color w:val="auto"/>
          <w:sz w:val="21"/>
          <w:szCs w:val="21"/>
          <w:highlight w:val="none"/>
        </w:rPr>
        <w:t>19.3 对投标文件的符合性审查</w:t>
      </w:r>
      <w:bookmarkEnd w:id="93"/>
    </w:p>
    <w:p w14:paraId="78DB4BCA">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19.3.1</w:t>
      </w:r>
      <w:r>
        <w:rPr>
          <w:rFonts w:hint="eastAsia" w:ascii="宋体" w:hAnsi="宋体" w:eastAsia="宋体" w:cs="宋体"/>
          <w:bCs/>
          <w:color w:val="auto"/>
          <w:sz w:val="21"/>
          <w:szCs w:val="21"/>
          <w:highlight w:val="none"/>
          <w:lang w:val="en-US" w:eastAsia="zh-CN"/>
        </w:rPr>
        <w:t xml:space="preserve"> </w:t>
      </w:r>
      <w:r>
        <w:rPr>
          <w:rFonts w:hint="eastAsia" w:ascii="宋体" w:hAnsi="宋体" w:eastAsia="宋体" w:cs="宋体"/>
          <w:bCs/>
          <w:color w:val="auto"/>
          <w:sz w:val="21"/>
          <w:szCs w:val="21"/>
          <w:highlight w:val="none"/>
        </w:rPr>
        <w:t>符合性检查：依据招标文件的规定，从投标文件的有效性（签署情况等）、完整性（内容等）和对招标文件的响应程度（是否存在重大负偏离等）进行审查，以确定是否对招标文件的实质性要求作出响应。</w:t>
      </w:r>
      <w:r>
        <w:rPr>
          <w:rFonts w:hint="eastAsia" w:ascii="宋体" w:hAnsi="宋体" w:eastAsia="宋体" w:cs="宋体"/>
          <w:b/>
          <w:color w:val="auto"/>
          <w:sz w:val="21"/>
          <w:szCs w:val="21"/>
          <w:highlight w:val="none"/>
        </w:rPr>
        <w:t>实质性要求是指本招标文件中用带星号（“★”）的商务和技术要求（如有）。</w:t>
      </w:r>
    </w:p>
    <w:p w14:paraId="405F5F10">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19.3.2</w:t>
      </w:r>
      <w:r>
        <w:rPr>
          <w:rFonts w:hint="eastAsia" w:ascii="宋体" w:hAnsi="宋体" w:eastAsia="宋体" w:cs="宋体"/>
          <w:bCs/>
          <w:color w:val="auto"/>
          <w:sz w:val="21"/>
          <w:szCs w:val="21"/>
          <w:highlight w:val="none"/>
          <w:lang w:val="en-US" w:eastAsia="zh-CN"/>
        </w:rPr>
        <w:t xml:space="preserve"> </w:t>
      </w:r>
      <w:r>
        <w:rPr>
          <w:rFonts w:hint="eastAsia" w:ascii="宋体" w:hAnsi="宋体" w:eastAsia="宋体" w:cs="宋体"/>
          <w:bCs/>
          <w:color w:val="auto"/>
          <w:sz w:val="21"/>
          <w:szCs w:val="21"/>
          <w:highlight w:val="none"/>
        </w:rPr>
        <w:t>所谓偏离是指投标文件的内容高于或低于招标文件的相关要求。所谓重大负偏离是指供应商所投标的范围、质量、数量、关键技术和商务要求等明显不能满足招标文件的要求。重大负偏离的认定须经评标委员会三分之二以上同意。</w:t>
      </w:r>
    </w:p>
    <w:p w14:paraId="3E0A5981">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19.3.3</w:t>
      </w:r>
      <w:r>
        <w:rPr>
          <w:rFonts w:hint="eastAsia" w:ascii="宋体" w:hAnsi="宋体" w:eastAsia="宋体" w:cs="宋体"/>
          <w:bCs/>
          <w:color w:val="auto"/>
          <w:sz w:val="21"/>
          <w:szCs w:val="21"/>
          <w:highlight w:val="none"/>
          <w:lang w:val="en-US" w:eastAsia="zh-CN"/>
        </w:rPr>
        <w:t xml:space="preserve"> </w:t>
      </w:r>
      <w:r>
        <w:rPr>
          <w:rFonts w:hint="eastAsia" w:ascii="宋体" w:hAnsi="宋体" w:eastAsia="宋体" w:cs="宋体"/>
          <w:bCs/>
          <w:color w:val="auto"/>
          <w:sz w:val="21"/>
          <w:szCs w:val="21"/>
          <w:highlight w:val="none"/>
        </w:rPr>
        <w:t>评审时，投标文件出现不一致情形的，按下列规定执行：</w:t>
      </w:r>
    </w:p>
    <w:p w14:paraId="1FB26C71">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19.3.3.1</w:t>
      </w:r>
      <w:r>
        <w:rPr>
          <w:rFonts w:hint="eastAsia" w:ascii="宋体" w:hAnsi="宋体" w:eastAsia="宋体" w:cs="宋体"/>
          <w:bCs/>
          <w:color w:val="auto"/>
          <w:sz w:val="21"/>
          <w:szCs w:val="21"/>
          <w:highlight w:val="none"/>
          <w:lang w:val="en-US" w:eastAsia="zh-CN"/>
        </w:rPr>
        <w:t xml:space="preserve"> </w:t>
      </w:r>
      <w:r>
        <w:rPr>
          <w:rFonts w:hint="eastAsia" w:ascii="宋体" w:hAnsi="宋体" w:eastAsia="宋体" w:cs="宋体"/>
          <w:bCs/>
          <w:color w:val="auto"/>
          <w:sz w:val="21"/>
          <w:szCs w:val="21"/>
          <w:highlight w:val="none"/>
        </w:rPr>
        <w:t>投标文件正本与副本不符的，以正本为准。</w:t>
      </w:r>
    </w:p>
    <w:p w14:paraId="4ADB2525">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19.3.3.2</w:t>
      </w:r>
      <w:r>
        <w:rPr>
          <w:rFonts w:hint="eastAsia" w:ascii="宋体" w:hAnsi="宋体" w:eastAsia="宋体" w:cs="宋体"/>
          <w:bCs/>
          <w:color w:val="auto"/>
          <w:sz w:val="21"/>
          <w:szCs w:val="21"/>
          <w:highlight w:val="none"/>
          <w:lang w:val="en-US" w:eastAsia="zh-CN"/>
        </w:rPr>
        <w:t xml:space="preserve"> </w:t>
      </w:r>
      <w:r>
        <w:rPr>
          <w:rFonts w:hint="eastAsia" w:ascii="宋体" w:hAnsi="宋体" w:eastAsia="宋体" w:cs="宋体"/>
          <w:bCs/>
          <w:color w:val="auto"/>
          <w:sz w:val="21"/>
          <w:szCs w:val="21"/>
          <w:highlight w:val="none"/>
        </w:rPr>
        <w:t>投标文件报价出现前后不一致的，按照下列规定修正：</w:t>
      </w:r>
    </w:p>
    <w:p w14:paraId="11B2C5AE">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（1）投标文件中开标一览表（报价表）内容与投标文件中相应内容不一致的，以开标一览表（报价表）为准；</w:t>
      </w:r>
    </w:p>
    <w:p w14:paraId="60ECCCD2">
      <w:pPr>
        <w:keepLines w:val="0"/>
        <w:pageBreakBefore w:val="0"/>
        <w:tabs>
          <w:tab w:val="left" w:pos="0"/>
        </w:tabs>
        <w:kinsoku/>
        <w:wordWrap/>
        <w:overflowPunct/>
        <w:topLinePunct w:val="0"/>
        <w:bidi w:val="0"/>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（2）大写金额和小写金额不一致的，以大写金额为准；</w:t>
      </w:r>
    </w:p>
    <w:p w14:paraId="2232E057">
      <w:pPr>
        <w:keepLines w:val="0"/>
        <w:pageBreakBefore w:val="0"/>
        <w:tabs>
          <w:tab w:val="left" w:pos="0"/>
        </w:tabs>
        <w:kinsoku/>
        <w:wordWrap/>
        <w:overflowPunct/>
        <w:topLinePunct w:val="0"/>
        <w:bidi w:val="0"/>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（3）单价金额小数点或者百分比有明显错位的，以开标一览表的总价为准，并修改单价；</w:t>
      </w:r>
    </w:p>
    <w:p w14:paraId="013ABE3E">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（4）总价金额与按单价汇总金额不一致的，以单价金额计算结果为准。</w:t>
      </w:r>
    </w:p>
    <w:p w14:paraId="41AF986F">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5）同时出现两种以上不一致的，按照前款规定的顺序修正。修正后的报价按照《政府采购货物和服务招标投标管理办法》（财政部令第87号）第五十一条第二款的规定经投标人确认后产生约束力，投标人不确认的，其投标无效。</w:t>
      </w:r>
    </w:p>
    <w:p w14:paraId="712CE591">
      <w:pPr>
        <w:keepLines w:val="0"/>
        <w:pageBreakBefore w:val="0"/>
        <w:widowControl/>
        <w:shd w:val="clear" w:color="auto" w:fill="FFFFFF"/>
        <w:kinsoku/>
        <w:wordWrap/>
        <w:overflowPunct/>
        <w:topLinePunct w:val="0"/>
        <w:bidi w:val="0"/>
        <w:spacing w:line="360" w:lineRule="auto"/>
        <w:ind w:left="0" w:leftChars="0" w:firstLine="422"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
          <w:color w:val="auto"/>
          <w:sz w:val="21"/>
          <w:szCs w:val="21"/>
          <w:highlight w:val="none"/>
        </w:rPr>
        <w:t>19.3.4</w:t>
      </w:r>
      <w:r>
        <w:rPr>
          <w:rFonts w:hint="eastAsia" w:ascii="宋体" w:hAnsi="宋体" w:eastAsia="宋体" w:cs="宋体"/>
          <w:b/>
          <w:color w:val="auto"/>
          <w:sz w:val="21"/>
          <w:szCs w:val="21"/>
          <w:highlight w:val="none"/>
          <w:lang w:val="en-US" w:eastAsia="zh-CN"/>
        </w:rPr>
        <w:t xml:space="preserve"> </w:t>
      </w:r>
      <w:r>
        <w:rPr>
          <w:rFonts w:hint="eastAsia" w:ascii="宋体" w:hAnsi="宋体" w:eastAsia="宋体" w:cs="宋体"/>
          <w:b/>
          <w:color w:val="auto"/>
          <w:sz w:val="21"/>
          <w:szCs w:val="21"/>
          <w:highlight w:val="none"/>
        </w:rPr>
        <w:t>评标委员会认为投标人的报价明显低于其他通过符合性审查投标人的报价，有可能影响产品质量或者不能诚信履约的，评标委员会通过</w:t>
      </w:r>
      <w:r>
        <w:rPr>
          <w:rFonts w:hint="eastAsia" w:ascii="宋体" w:hAnsi="宋体" w:eastAsia="宋体" w:cs="宋体"/>
          <w:b/>
          <w:color w:val="auto"/>
          <w:sz w:val="21"/>
          <w:szCs w:val="21"/>
          <w:highlight w:val="none"/>
          <w:lang w:eastAsia="zh-CN"/>
        </w:rPr>
        <w:t>“</w:t>
      </w:r>
      <w:r>
        <w:rPr>
          <w:rFonts w:hint="eastAsia" w:ascii="宋体" w:hAnsi="宋体" w:eastAsia="宋体" w:cs="宋体"/>
          <w:b/>
          <w:color w:val="auto"/>
          <w:sz w:val="21"/>
          <w:szCs w:val="21"/>
          <w:highlight w:val="none"/>
        </w:rPr>
        <w:t>苏采云</w:t>
      </w:r>
      <w:r>
        <w:rPr>
          <w:rFonts w:hint="eastAsia" w:ascii="宋体" w:hAnsi="宋体" w:eastAsia="宋体" w:cs="宋体"/>
          <w:b/>
          <w:color w:val="auto"/>
          <w:sz w:val="21"/>
          <w:szCs w:val="21"/>
          <w:highlight w:val="none"/>
          <w:lang w:eastAsia="zh-CN"/>
        </w:rPr>
        <w:t>”</w:t>
      </w:r>
      <w:r>
        <w:rPr>
          <w:rFonts w:hint="eastAsia" w:ascii="宋体" w:hAnsi="宋体" w:eastAsia="宋体" w:cs="宋体"/>
          <w:b/>
          <w:color w:val="auto"/>
          <w:sz w:val="21"/>
          <w:szCs w:val="21"/>
          <w:highlight w:val="none"/>
        </w:rPr>
        <w:t>系统要求投标人作出必要的说明，并规定回复时间。投标人说明应当采用通过</w:t>
      </w:r>
      <w:r>
        <w:rPr>
          <w:rFonts w:hint="eastAsia" w:ascii="宋体" w:hAnsi="宋体" w:eastAsia="宋体" w:cs="宋体"/>
          <w:b/>
          <w:color w:val="auto"/>
          <w:sz w:val="21"/>
          <w:szCs w:val="21"/>
          <w:highlight w:val="none"/>
          <w:lang w:eastAsia="zh-CN"/>
        </w:rPr>
        <w:t>“</w:t>
      </w:r>
      <w:r>
        <w:rPr>
          <w:rFonts w:hint="eastAsia" w:ascii="宋体" w:hAnsi="宋体" w:eastAsia="宋体" w:cs="宋体"/>
          <w:b/>
          <w:color w:val="auto"/>
          <w:sz w:val="21"/>
          <w:szCs w:val="21"/>
          <w:highlight w:val="none"/>
        </w:rPr>
        <w:t>苏采云</w:t>
      </w:r>
      <w:r>
        <w:rPr>
          <w:rFonts w:hint="eastAsia" w:ascii="宋体" w:hAnsi="宋体" w:eastAsia="宋体" w:cs="宋体"/>
          <w:b/>
          <w:color w:val="auto"/>
          <w:sz w:val="21"/>
          <w:szCs w:val="21"/>
          <w:highlight w:val="none"/>
          <w:lang w:eastAsia="zh-CN"/>
        </w:rPr>
        <w:t>”</w:t>
      </w:r>
      <w:r>
        <w:rPr>
          <w:rFonts w:hint="eastAsia" w:ascii="宋体" w:hAnsi="宋体" w:eastAsia="宋体" w:cs="宋体"/>
          <w:b/>
          <w:color w:val="auto"/>
          <w:sz w:val="21"/>
          <w:szCs w:val="21"/>
          <w:highlight w:val="none"/>
        </w:rPr>
        <w:t>系统（使用</w:t>
      </w:r>
      <w:r>
        <w:rPr>
          <w:rFonts w:hint="eastAsia" w:ascii="宋体" w:hAnsi="宋体" w:eastAsia="宋体" w:cs="宋体"/>
          <w:b/>
          <w:color w:val="auto"/>
          <w:sz w:val="21"/>
          <w:szCs w:val="21"/>
          <w:highlight w:val="none"/>
          <w:lang w:eastAsia="zh-CN"/>
        </w:rPr>
        <w:t>“</w:t>
      </w:r>
      <w:r>
        <w:rPr>
          <w:rFonts w:hint="eastAsia" w:ascii="宋体" w:hAnsi="宋体" w:eastAsia="宋体" w:cs="宋体"/>
          <w:b/>
          <w:color w:val="auto"/>
          <w:sz w:val="21"/>
          <w:szCs w:val="21"/>
          <w:highlight w:val="none"/>
        </w:rPr>
        <w:t>CA数字证书</w:t>
      </w:r>
      <w:r>
        <w:rPr>
          <w:rFonts w:hint="eastAsia" w:ascii="宋体" w:hAnsi="宋体" w:eastAsia="宋体" w:cs="宋体"/>
          <w:b/>
          <w:color w:val="auto"/>
          <w:sz w:val="21"/>
          <w:szCs w:val="21"/>
          <w:highlight w:val="none"/>
          <w:lang w:eastAsia="zh-CN"/>
        </w:rPr>
        <w:t>”，</w:t>
      </w:r>
      <w:r>
        <w:rPr>
          <w:rFonts w:hint="eastAsia" w:ascii="宋体" w:hAnsi="宋体" w:eastAsia="宋体" w:cs="宋体"/>
          <w:b/>
          <w:color w:val="auto"/>
          <w:sz w:val="21"/>
          <w:szCs w:val="21"/>
          <w:highlight w:val="none"/>
        </w:rPr>
        <w:t>加盖电子签章）形式。投标人不能证明其报价合理性的，评标委员会应当将其作为无效投标处理。</w:t>
      </w:r>
    </w:p>
    <w:p w14:paraId="2CF23CCC">
      <w:pPr>
        <w:keepLines w:val="0"/>
        <w:pageBreakBefore w:val="0"/>
        <w:kinsoku/>
        <w:wordWrap/>
        <w:overflowPunct/>
        <w:topLinePunct w:val="0"/>
        <w:bidi w:val="0"/>
        <w:spacing w:line="360" w:lineRule="auto"/>
        <w:ind w:left="0" w:leftChars="0" w:firstLine="422"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评标过程中出现下列情形之一的，评标委员会应当启动异常低价投标（响应）审查程序：</w:t>
      </w:r>
    </w:p>
    <w:p w14:paraId="51086A52">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①投标（响应）报价低于全部通过符合性审查供应商投标（响应）报价平均值50%的，即投标（响应）报价〈全部通过符合性审查供应商投标（响应）报价平均值×50%；</w:t>
      </w:r>
    </w:p>
    <w:p w14:paraId="70184781">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②投标（响应）报价低于通过符合性审查的次低报价供应商投标（响应）报价50%的，即投标（响应）报价〈通过符合性审查的次低报价供应商投标（响应）报价×50%；</w:t>
      </w:r>
    </w:p>
    <w:p w14:paraId="0CEF6FE1">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③投标（响应）报价低于采购项目最高限价45%的，即投标（响应）报价〈采购项目最高限价×45%；</w:t>
      </w:r>
    </w:p>
    <w:p w14:paraId="2840AFBA">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④评标委员会基于专业判断，认为供应商报价过低，有可能影响产品质量或者不能诚信履约的其他情形。</w:t>
      </w:r>
    </w:p>
    <w:p w14:paraId="2963C841">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评标委员会启动异常低价投标（响应）审查后，属于前述第1项至第4项情形的，相关供应商应在评审现场合理的时间内（不少于30分钟，具体根据评审现场书面通知为准）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p>
    <w:p w14:paraId="58DD3B0D">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p>
    <w:p w14:paraId="2CAC5769">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 w:val="0"/>
          <w:bCs/>
          <w:color w:val="auto"/>
          <w:sz w:val="21"/>
          <w:szCs w:val="21"/>
          <w:highlight w:val="none"/>
          <w:lang w:val="en-US" w:eastAsia="zh-CN"/>
        </w:rPr>
        <w:t>异常低价投标（响应）审查的启动原因、审查意见和审查结果应当在评审报告中记录，并随供应商提供的相关书面说明及证明材料，以及评标委员会有关互联网浏览、查询历史一并归档。</w:t>
      </w:r>
    </w:p>
    <w:p w14:paraId="000562B4">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19.3.5</w:t>
      </w:r>
      <w:r>
        <w:rPr>
          <w:rFonts w:hint="eastAsia" w:ascii="宋体" w:hAnsi="宋体" w:eastAsia="宋体" w:cs="宋体"/>
          <w:bCs/>
          <w:color w:val="auto"/>
          <w:sz w:val="21"/>
          <w:szCs w:val="21"/>
          <w:highlight w:val="none"/>
          <w:lang w:val="en-US" w:eastAsia="zh-CN"/>
        </w:rPr>
        <w:t xml:space="preserve"> </w:t>
      </w:r>
      <w:r>
        <w:rPr>
          <w:rFonts w:hint="eastAsia" w:ascii="宋体" w:hAnsi="宋体" w:eastAsia="宋体" w:cs="宋体"/>
          <w:bCs/>
          <w:color w:val="auto"/>
          <w:sz w:val="21"/>
          <w:szCs w:val="21"/>
          <w:highlight w:val="none"/>
        </w:rPr>
        <w:t>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评标委员会说明，未在规定时间内提交书面说明的视为接受采购方式的改变。</w:t>
      </w:r>
    </w:p>
    <w:bookmarkEnd w:id="88"/>
    <w:p w14:paraId="7E9F15E1">
      <w:pPr>
        <w:pStyle w:val="447"/>
        <w:keepLines w:val="0"/>
        <w:pageBreakBefore w:val="0"/>
        <w:kinsoku/>
        <w:wordWrap/>
        <w:overflowPunct/>
        <w:topLinePunct w:val="0"/>
        <w:bidi w:val="0"/>
        <w:spacing w:line="360" w:lineRule="auto"/>
        <w:ind w:left="0" w:leftChars="0" w:firstLine="420" w:firstLineChars="200"/>
        <w:jc w:val="both"/>
        <w:textAlignment w:val="auto"/>
        <w:outlineLvl w:val="9"/>
        <w:rPr>
          <w:rFonts w:hint="eastAsia" w:ascii="宋体" w:hAnsi="宋体" w:eastAsia="宋体" w:cs="宋体"/>
          <w:b w:val="0"/>
          <w:bCs w:val="0"/>
          <w:color w:val="auto"/>
          <w:sz w:val="21"/>
          <w:szCs w:val="21"/>
          <w:highlight w:val="none"/>
        </w:rPr>
      </w:pPr>
      <w:bookmarkStart w:id="94" w:name="_Toc26857"/>
      <w:bookmarkStart w:id="95" w:name="_Toc13685"/>
      <w:r>
        <w:rPr>
          <w:rFonts w:hint="eastAsia" w:ascii="宋体" w:hAnsi="宋体" w:eastAsia="宋体" w:cs="宋体"/>
          <w:b w:val="0"/>
          <w:bCs w:val="0"/>
          <w:color w:val="auto"/>
          <w:sz w:val="21"/>
          <w:szCs w:val="21"/>
          <w:highlight w:val="none"/>
        </w:rPr>
        <w:t>19.4</w:t>
      </w:r>
      <w:r>
        <w:rPr>
          <w:rFonts w:hint="eastAsia" w:ascii="宋体" w:hAnsi="宋体" w:eastAsia="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rPr>
        <w:t>投标文件的澄清</w:t>
      </w:r>
      <w:bookmarkEnd w:id="94"/>
    </w:p>
    <w:p w14:paraId="67250549">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19.4.1 在评标期间，评标委员会有权要求供应商对投标文件中含义不明确、对同类问题表述不一致或者有明显文字和计算错误等内容</w:t>
      </w:r>
      <w:r>
        <w:rPr>
          <w:rFonts w:hint="eastAsia" w:ascii="宋体" w:hAnsi="宋体" w:eastAsia="宋体" w:cs="宋体"/>
          <w:bCs/>
          <w:color w:val="auto"/>
          <w:sz w:val="21"/>
          <w:szCs w:val="21"/>
          <w:highlight w:val="none"/>
          <w:lang w:eastAsia="zh-CN"/>
        </w:rPr>
        <w:t>做必要</w:t>
      </w:r>
      <w:r>
        <w:rPr>
          <w:rFonts w:hint="eastAsia" w:ascii="宋体" w:hAnsi="宋体" w:eastAsia="宋体" w:cs="宋体"/>
          <w:bCs/>
          <w:color w:val="auto"/>
          <w:sz w:val="21"/>
          <w:szCs w:val="21"/>
          <w:highlight w:val="none"/>
        </w:rPr>
        <w:t>的澄清、说明或者补正。需要供应商进行澄清、说明和补正的，</w:t>
      </w:r>
      <w:r>
        <w:rPr>
          <w:rFonts w:hint="eastAsia" w:ascii="宋体" w:hAnsi="宋体" w:eastAsia="宋体" w:cs="宋体"/>
          <w:bCs/>
          <w:color w:val="auto"/>
          <w:sz w:val="21"/>
          <w:szCs w:val="21"/>
          <w:highlight w:val="none"/>
          <w:lang w:eastAsia="zh-CN"/>
        </w:rPr>
        <w:t>评标委员会</w:t>
      </w:r>
      <w:r>
        <w:rPr>
          <w:rFonts w:hint="eastAsia" w:ascii="宋体" w:hAnsi="宋体" w:eastAsia="宋体" w:cs="宋体"/>
          <w:bCs/>
          <w:color w:val="auto"/>
          <w:sz w:val="21"/>
          <w:szCs w:val="21"/>
          <w:highlight w:val="none"/>
        </w:rPr>
        <w:t>将通过苏采云系统向供应商发出“澄清要求函”，接到“澄清要求函”的投标人应当按照要求在苏采云系统中提交“澄清响应函”并加盖CA电子公章。澄清、说明和补正的内容作为投标文件的补充部分。如果供应商出现同类问题，评标委员会应当给予供应商均等的澄清机会。</w:t>
      </w:r>
    </w:p>
    <w:p w14:paraId="2E43A038">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19.4.2 评标委员会应当通过“苏采云”系统要求投标人作出澄清、说明或者补正，并规定回复时间。投标人回复应当采用通过“苏采云”系统（使用“CA数字证书”</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rPr>
        <w:t>加盖电子签章）形式，将作为投标文件内容的一部分。</w:t>
      </w:r>
    </w:p>
    <w:p w14:paraId="48D1900E">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19.4.3</w:t>
      </w:r>
      <w:r>
        <w:rPr>
          <w:rFonts w:hint="eastAsia" w:ascii="宋体" w:hAnsi="宋体" w:eastAsia="宋体" w:cs="宋体"/>
          <w:bCs/>
          <w:color w:val="auto"/>
          <w:sz w:val="21"/>
          <w:szCs w:val="21"/>
          <w:highlight w:val="none"/>
          <w:lang w:val="en-US" w:eastAsia="zh-CN"/>
        </w:rPr>
        <w:t xml:space="preserve"> </w:t>
      </w:r>
      <w:r>
        <w:rPr>
          <w:rFonts w:hint="eastAsia" w:ascii="宋体" w:hAnsi="宋体" w:eastAsia="宋体" w:cs="宋体"/>
          <w:bCs/>
          <w:color w:val="auto"/>
          <w:sz w:val="21"/>
          <w:szCs w:val="21"/>
          <w:highlight w:val="none"/>
        </w:rPr>
        <w:t>供应商澄清、说明或者补正不得超出投标文件的范围或者改变投标文件的实质性内容。供应商拒不按照要求对投标文件进行澄清、说明或者补正的，视其放弃该项权利。</w:t>
      </w:r>
    </w:p>
    <w:bookmarkEnd w:id="95"/>
    <w:p w14:paraId="79EC08DA">
      <w:pPr>
        <w:keepLines w:val="0"/>
        <w:pageBreakBefore w:val="0"/>
        <w:tabs>
          <w:tab w:val="left" w:pos="1365"/>
        </w:tabs>
        <w:kinsoku/>
        <w:wordWrap/>
        <w:overflowPunct/>
        <w:topLinePunct w:val="0"/>
        <w:bidi w:val="0"/>
        <w:spacing w:line="360" w:lineRule="auto"/>
        <w:ind w:left="0" w:leftChars="0" w:firstLine="420" w:firstLineChars="20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19.5</w:t>
      </w:r>
      <w:r>
        <w:rPr>
          <w:rFonts w:hint="eastAsia" w:ascii="宋体" w:hAnsi="宋体" w:eastAsia="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rPr>
        <w:t>比较与评价</w:t>
      </w:r>
    </w:p>
    <w:p w14:paraId="45717C34">
      <w:pPr>
        <w:keepLines w:val="0"/>
        <w:pageBreakBefore w:val="0"/>
        <w:tabs>
          <w:tab w:val="left" w:pos="1365"/>
        </w:tabs>
        <w:kinsoku/>
        <w:wordWrap/>
        <w:overflowPunct/>
        <w:topLinePunct w:val="0"/>
        <w:bidi w:val="0"/>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19.5.1</w:t>
      </w:r>
      <w:r>
        <w:rPr>
          <w:rFonts w:hint="eastAsia" w:ascii="宋体" w:hAnsi="宋体" w:eastAsia="宋体" w:cs="宋体"/>
          <w:bCs/>
          <w:color w:val="auto"/>
          <w:sz w:val="21"/>
          <w:szCs w:val="21"/>
          <w:highlight w:val="none"/>
          <w:lang w:val="en-US" w:eastAsia="zh-CN"/>
        </w:rPr>
        <w:t xml:space="preserve"> </w:t>
      </w:r>
      <w:r>
        <w:rPr>
          <w:rFonts w:hint="eastAsia" w:ascii="宋体" w:hAnsi="宋体" w:eastAsia="宋体" w:cs="宋体"/>
          <w:bCs/>
          <w:color w:val="auto"/>
          <w:sz w:val="21"/>
          <w:szCs w:val="21"/>
          <w:highlight w:val="none"/>
        </w:rPr>
        <w:t>投标文件资格性检查和符合性检查结束后，凡属于“无效投标文件确认”的投标文件不进入比较与评价程序。</w:t>
      </w:r>
    </w:p>
    <w:p w14:paraId="3D2716B5">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19.5.2</w:t>
      </w:r>
      <w:r>
        <w:rPr>
          <w:rFonts w:hint="eastAsia" w:ascii="宋体" w:hAnsi="宋体" w:eastAsia="宋体" w:cs="宋体"/>
          <w:bCs/>
          <w:color w:val="auto"/>
          <w:sz w:val="21"/>
          <w:szCs w:val="21"/>
          <w:highlight w:val="none"/>
          <w:lang w:val="en-US" w:eastAsia="zh-CN"/>
        </w:rPr>
        <w:t xml:space="preserve"> </w:t>
      </w:r>
      <w:r>
        <w:rPr>
          <w:rFonts w:hint="eastAsia" w:ascii="宋体" w:hAnsi="宋体" w:eastAsia="宋体" w:cs="宋体"/>
          <w:bCs/>
          <w:color w:val="auto"/>
          <w:sz w:val="21"/>
          <w:szCs w:val="21"/>
          <w:highlight w:val="none"/>
        </w:rPr>
        <w:t>评标委员会应当按照招标文件中规定的评标方法和标准，对符合性审查合格的投标文件进行商务和技术评估，综合比较与评价。</w:t>
      </w:r>
    </w:p>
    <w:p w14:paraId="016BC848">
      <w:pPr>
        <w:keepLines w:val="0"/>
        <w:pageBreakBefore w:val="0"/>
        <w:widowControl/>
        <w:shd w:val="clear" w:color="auto" w:fill="FFFFFF"/>
        <w:kinsoku/>
        <w:wordWrap/>
        <w:overflowPunct/>
        <w:topLinePunct w:val="0"/>
        <w:bidi w:val="0"/>
        <w:spacing w:line="360" w:lineRule="auto"/>
        <w:ind w:left="0" w:leftChars="0" w:firstLine="420" w:firstLineChars="200"/>
        <w:jc w:val="left"/>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19.5.3</w:t>
      </w:r>
      <w:r>
        <w:rPr>
          <w:rFonts w:hint="eastAsia" w:ascii="宋体" w:hAnsi="宋体" w:eastAsia="宋体" w:cs="宋体"/>
          <w:bCs/>
          <w:color w:val="auto"/>
          <w:sz w:val="21"/>
          <w:szCs w:val="21"/>
          <w:highlight w:val="none"/>
          <w:lang w:val="en-US" w:eastAsia="zh-CN"/>
        </w:rPr>
        <w:t xml:space="preserve"> </w:t>
      </w:r>
      <w:r>
        <w:rPr>
          <w:rFonts w:hint="eastAsia" w:ascii="宋体" w:hAnsi="宋体" w:eastAsia="宋体" w:cs="宋体"/>
          <w:bCs/>
          <w:color w:val="auto"/>
          <w:sz w:val="21"/>
          <w:szCs w:val="21"/>
          <w:highlight w:val="none"/>
        </w:rPr>
        <w:t>除评标方法和评标标准另有规定外，评标采用综合评分法。即投标文件满足招标文件全部实质性要求，且按照评审因素的量化指标评审得分最高的供应商为中标候选供应商的评标方法。</w:t>
      </w:r>
      <w:r>
        <w:rPr>
          <w:rFonts w:hint="eastAsia" w:ascii="宋体" w:hAnsi="宋体" w:eastAsia="宋体" w:cs="宋体"/>
          <w:color w:val="auto"/>
          <w:sz w:val="21"/>
          <w:szCs w:val="21"/>
          <w:highlight w:val="none"/>
        </w:rPr>
        <w:t>评标时，评标委员会各成员应当独立对每个投标人的投标文件进行评价，并汇总每个投标人的得分。</w:t>
      </w:r>
    </w:p>
    <w:p w14:paraId="3320157A">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19.5.4</w:t>
      </w:r>
      <w:r>
        <w:rPr>
          <w:rFonts w:hint="eastAsia" w:ascii="宋体" w:hAnsi="宋体" w:eastAsia="宋体" w:cs="宋体"/>
          <w:bCs/>
          <w:color w:val="auto"/>
          <w:sz w:val="21"/>
          <w:szCs w:val="21"/>
          <w:highlight w:val="none"/>
          <w:lang w:val="en-US" w:eastAsia="zh-CN"/>
        </w:rPr>
        <w:t xml:space="preserve"> </w:t>
      </w:r>
      <w:r>
        <w:rPr>
          <w:rFonts w:hint="eastAsia" w:ascii="宋体" w:hAnsi="宋体" w:eastAsia="宋体" w:cs="宋体"/>
          <w:bCs/>
          <w:color w:val="auto"/>
          <w:sz w:val="21"/>
          <w:szCs w:val="21"/>
          <w:highlight w:val="none"/>
        </w:rPr>
        <w:t>评审因素包括投标报价、技术</w:t>
      </w:r>
      <w:r>
        <w:rPr>
          <w:rFonts w:hint="eastAsia" w:ascii="宋体" w:hAnsi="宋体" w:eastAsia="宋体" w:cs="宋体"/>
          <w:bCs/>
          <w:color w:val="auto"/>
          <w:sz w:val="21"/>
          <w:szCs w:val="21"/>
          <w:highlight w:val="none"/>
          <w:lang w:eastAsia="zh-CN"/>
        </w:rPr>
        <w:t>或</w:t>
      </w:r>
      <w:r>
        <w:rPr>
          <w:rFonts w:hint="eastAsia" w:ascii="宋体" w:hAnsi="宋体" w:eastAsia="宋体" w:cs="宋体"/>
          <w:bCs/>
          <w:color w:val="auto"/>
          <w:sz w:val="21"/>
          <w:szCs w:val="21"/>
          <w:highlight w:val="none"/>
        </w:rPr>
        <w:t>服务水平、履约能力、售后服务等。</w:t>
      </w:r>
    </w:p>
    <w:p w14:paraId="43D4D583">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19.5.5</w:t>
      </w:r>
      <w:r>
        <w:rPr>
          <w:rFonts w:hint="eastAsia" w:ascii="宋体" w:hAnsi="宋体" w:eastAsia="宋体" w:cs="宋体"/>
          <w:bCs/>
          <w:color w:val="auto"/>
          <w:sz w:val="21"/>
          <w:szCs w:val="21"/>
          <w:highlight w:val="none"/>
          <w:lang w:val="en-US" w:eastAsia="zh-CN"/>
        </w:rPr>
        <w:t xml:space="preserve"> </w:t>
      </w:r>
      <w:r>
        <w:rPr>
          <w:rFonts w:hint="eastAsia" w:ascii="宋体" w:hAnsi="宋体" w:eastAsia="宋体" w:cs="宋体"/>
          <w:bCs/>
          <w:color w:val="auto"/>
          <w:sz w:val="21"/>
          <w:szCs w:val="21"/>
          <w:highlight w:val="none"/>
        </w:rPr>
        <w:t>评标方法和评标标准详见文件第三章。</w:t>
      </w:r>
    </w:p>
    <w:p w14:paraId="64AD02A4">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使用综合评分法的采购项目，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或采取随机抽取方式确定，其他同品牌供应商不作为中标候选人。</w:t>
      </w:r>
    </w:p>
    <w:p w14:paraId="059C92A9">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非单一产品采购项目，采购人根据采购项目技术构成、产品价格比重等合理确定核心产品，并在招标文件中载明。多家供应商提供的核心产品品牌相同的，按前述规定处理。</w:t>
      </w:r>
    </w:p>
    <w:p w14:paraId="4F3C8DCD">
      <w:pPr>
        <w:keepLines w:val="0"/>
        <w:pageBreakBefore w:val="0"/>
        <w:tabs>
          <w:tab w:val="left" w:pos="1365"/>
        </w:tabs>
        <w:kinsoku/>
        <w:wordWrap/>
        <w:overflowPunct/>
        <w:topLinePunct w:val="0"/>
        <w:bidi w:val="0"/>
        <w:spacing w:line="360" w:lineRule="auto"/>
        <w:ind w:left="0" w:leftChars="0" w:firstLine="422"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19.6</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投标供应商存在下列情况之一的，其投标无效：</w:t>
      </w:r>
    </w:p>
    <w:p w14:paraId="5F0AF049">
      <w:pPr>
        <w:keepLines w:val="0"/>
        <w:pageBreakBefore w:val="0"/>
        <w:widowControl/>
        <w:shd w:val="clear" w:color="auto" w:fill="FFFFFF"/>
        <w:tabs>
          <w:tab w:val="left" w:pos="767"/>
        </w:tabs>
        <w:kinsoku/>
        <w:wordWrap/>
        <w:overflowPunct/>
        <w:topLinePunct w:val="0"/>
        <w:bidi w:val="0"/>
        <w:spacing w:line="360" w:lineRule="auto"/>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（1）投标人在苏采云系统规定的时间内未成功解密电子投标文件的。</w:t>
      </w:r>
    </w:p>
    <w:p w14:paraId="1917A98E">
      <w:pPr>
        <w:keepLines w:val="0"/>
        <w:pageBreakBefore w:val="0"/>
        <w:widowControl/>
        <w:shd w:val="clear" w:color="auto" w:fill="FFFFFF"/>
        <w:tabs>
          <w:tab w:val="left" w:pos="767"/>
        </w:tabs>
        <w:kinsoku/>
        <w:wordWrap/>
        <w:overflowPunct/>
        <w:topLinePunct w:val="0"/>
        <w:bidi w:val="0"/>
        <w:spacing w:line="360" w:lineRule="auto"/>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（2）</w:t>
      </w:r>
      <w:r>
        <w:rPr>
          <w:rFonts w:hint="eastAsia" w:ascii="宋体" w:hAnsi="宋体" w:eastAsia="宋体" w:cs="宋体"/>
          <w:color w:val="auto"/>
          <w:sz w:val="21"/>
          <w:szCs w:val="21"/>
          <w:highlight w:val="none"/>
        </w:rPr>
        <w:t>投标人未按照招标文件要求上传电子投标文件的。</w:t>
      </w:r>
    </w:p>
    <w:p w14:paraId="5695E6FD">
      <w:pPr>
        <w:keepLines w:val="0"/>
        <w:pageBreakBefore w:val="0"/>
        <w:widowControl/>
        <w:shd w:val="clear" w:color="auto" w:fill="FFFFFF"/>
        <w:kinsoku/>
        <w:wordWrap/>
        <w:overflowPunct/>
        <w:topLinePunct w:val="0"/>
        <w:bidi w:val="0"/>
        <w:spacing w:line="360" w:lineRule="auto"/>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（3）供应商不具备招标文件中规定资格要求的</w:t>
      </w:r>
      <w:r>
        <w:rPr>
          <w:rFonts w:hint="eastAsia" w:ascii="宋体" w:hAnsi="宋体" w:eastAsia="宋体" w:cs="宋体"/>
          <w:color w:val="auto"/>
          <w:sz w:val="21"/>
          <w:szCs w:val="21"/>
          <w:highlight w:val="none"/>
        </w:rPr>
        <w:t>；</w:t>
      </w:r>
    </w:p>
    <w:p w14:paraId="393AB7F3">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（4）供应商在报价时采用选择性报价；</w:t>
      </w:r>
    </w:p>
    <w:p w14:paraId="3106E084">
      <w:pPr>
        <w:keepLines w:val="0"/>
        <w:pageBreakBefore w:val="0"/>
        <w:widowControl/>
        <w:shd w:val="clear" w:color="auto" w:fill="FFFFFF"/>
        <w:kinsoku/>
        <w:wordWrap/>
        <w:overflowPunct/>
        <w:topLinePunct w:val="0"/>
        <w:bidi w:val="0"/>
        <w:spacing w:line="360" w:lineRule="auto"/>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bCs/>
          <w:color w:val="auto"/>
          <w:sz w:val="21"/>
          <w:szCs w:val="21"/>
          <w:highlight w:val="none"/>
        </w:rPr>
        <w:t>5</w:t>
      </w:r>
      <w:r>
        <w:rPr>
          <w:rFonts w:hint="eastAsia" w:ascii="宋体" w:hAnsi="宋体" w:eastAsia="宋体" w:cs="宋体"/>
          <w:color w:val="auto"/>
          <w:sz w:val="21"/>
          <w:szCs w:val="21"/>
          <w:highlight w:val="none"/>
        </w:rPr>
        <w:t>）报价超过招标文件中规定的预算金额或者最高限价的；</w:t>
      </w:r>
    </w:p>
    <w:p w14:paraId="02B53840">
      <w:pPr>
        <w:keepLines w:val="0"/>
        <w:pageBreakBefore w:val="0"/>
        <w:widowControl/>
        <w:shd w:val="clear" w:color="auto" w:fill="FFFFFF"/>
        <w:kinsoku/>
        <w:wordWrap/>
        <w:overflowPunct/>
        <w:topLinePunct w:val="0"/>
        <w:bidi w:val="0"/>
        <w:spacing w:line="360" w:lineRule="auto"/>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（6）投标文件含有采购人不能接受的附加条件的；</w:t>
      </w:r>
    </w:p>
    <w:p w14:paraId="6EF6F5C9">
      <w:pPr>
        <w:keepLines w:val="0"/>
        <w:pageBreakBefore w:val="0"/>
        <w:widowControl/>
        <w:shd w:val="clear" w:color="auto" w:fill="FFFFFF"/>
        <w:kinsoku/>
        <w:wordWrap/>
        <w:overflowPunct/>
        <w:topLinePunct w:val="0"/>
        <w:bidi w:val="0"/>
        <w:spacing w:line="360" w:lineRule="auto"/>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bCs/>
          <w:color w:val="auto"/>
          <w:sz w:val="21"/>
          <w:szCs w:val="21"/>
          <w:highlight w:val="none"/>
        </w:rPr>
        <w:t>7</w:t>
      </w:r>
      <w:r>
        <w:rPr>
          <w:rFonts w:hint="eastAsia" w:ascii="宋体" w:hAnsi="宋体" w:eastAsia="宋体" w:cs="宋体"/>
          <w:color w:val="auto"/>
          <w:sz w:val="21"/>
          <w:szCs w:val="21"/>
          <w:highlight w:val="none"/>
        </w:rPr>
        <w:t>）不同供应商的投标文件由同一单位或者个人编制；</w:t>
      </w:r>
    </w:p>
    <w:p w14:paraId="55F4D2A1">
      <w:pPr>
        <w:keepLines w:val="0"/>
        <w:pageBreakBefore w:val="0"/>
        <w:widowControl/>
        <w:shd w:val="clear" w:color="auto" w:fill="FFFFFF"/>
        <w:kinsoku/>
        <w:wordWrap/>
        <w:overflowPunct/>
        <w:topLinePunct w:val="0"/>
        <w:bidi w:val="0"/>
        <w:spacing w:line="360" w:lineRule="auto"/>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（8）不同供应商委托同一单位或者个人办理投标事宜；</w:t>
      </w:r>
    </w:p>
    <w:p w14:paraId="27008E0B">
      <w:pPr>
        <w:keepLines w:val="0"/>
        <w:pageBreakBefore w:val="0"/>
        <w:widowControl/>
        <w:shd w:val="clear" w:color="auto" w:fill="FFFFFF"/>
        <w:kinsoku/>
        <w:wordWrap/>
        <w:overflowPunct/>
        <w:topLinePunct w:val="0"/>
        <w:bidi w:val="0"/>
        <w:spacing w:line="360" w:lineRule="auto"/>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（9）不同供应商的投标文件载明的项目管理成员或联系人员为同一人；</w:t>
      </w:r>
    </w:p>
    <w:p w14:paraId="719A0315">
      <w:pPr>
        <w:keepLines w:val="0"/>
        <w:pageBreakBefore w:val="0"/>
        <w:widowControl/>
        <w:shd w:val="clear" w:color="auto" w:fill="FFFFFF"/>
        <w:kinsoku/>
        <w:wordWrap/>
        <w:overflowPunct/>
        <w:topLinePunct w:val="0"/>
        <w:bidi w:val="0"/>
        <w:spacing w:line="360" w:lineRule="auto"/>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（10）不同供应商的投标文件异常一致或者投标报价呈规律性差异；</w:t>
      </w:r>
    </w:p>
    <w:p w14:paraId="02FFBC45">
      <w:pPr>
        <w:keepLines w:val="0"/>
        <w:pageBreakBefore w:val="0"/>
        <w:widowControl/>
        <w:shd w:val="clear" w:color="auto" w:fill="FFFFFF"/>
        <w:kinsoku/>
        <w:wordWrap/>
        <w:overflowPunct/>
        <w:topLinePunct w:val="0"/>
        <w:bidi w:val="0"/>
        <w:spacing w:line="360" w:lineRule="auto"/>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（11）不同供应商的投标文件相互混装；</w:t>
      </w:r>
    </w:p>
    <w:p w14:paraId="45F2C835">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（12）不同供应商的负责人为同一人或者存在控股、管理关系的；</w:t>
      </w:r>
    </w:p>
    <w:p w14:paraId="3FCA0CEF">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（13）不同供应商的委托代理人</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rPr>
        <w:t>或法定代表人、项目经理、项目总监、项目负责人等</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rPr>
        <w:t>在招标文件发布日上月至投标截止日当月在同一单位缴纳社会保险的；</w:t>
      </w:r>
    </w:p>
    <w:p w14:paraId="0C566755">
      <w:pPr>
        <w:keepLines w:val="0"/>
        <w:pageBreakBefore w:val="0"/>
        <w:widowControl/>
        <w:shd w:val="clear" w:color="auto" w:fill="FFFFFF"/>
        <w:kinsoku/>
        <w:wordWrap/>
        <w:overflowPunct/>
        <w:topLinePunct w:val="0"/>
        <w:bidi w:val="0"/>
        <w:spacing w:line="360" w:lineRule="auto"/>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bCs/>
          <w:color w:val="auto"/>
          <w:sz w:val="21"/>
          <w:szCs w:val="21"/>
          <w:highlight w:val="none"/>
        </w:rPr>
        <w:t>14</w:t>
      </w:r>
      <w:r>
        <w:rPr>
          <w:rFonts w:hint="eastAsia" w:ascii="宋体" w:hAnsi="宋体" w:eastAsia="宋体" w:cs="宋体"/>
          <w:color w:val="auto"/>
          <w:sz w:val="21"/>
          <w:szCs w:val="21"/>
          <w:highlight w:val="none"/>
        </w:rPr>
        <w:t>）提供虚假材料的（包括工商营业执照、财务报表、资格证明文件等）；</w:t>
      </w:r>
    </w:p>
    <w:p w14:paraId="29CD9971">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（15）未通过符合性检查的；</w:t>
      </w:r>
    </w:p>
    <w:p w14:paraId="3CBE97F5">
      <w:pPr>
        <w:keepLines w:val="0"/>
        <w:pageBreakBefore w:val="0"/>
        <w:widowControl/>
        <w:shd w:val="clear" w:color="auto" w:fill="FFFFFF"/>
        <w:kinsoku/>
        <w:wordWrap/>
        <w:overflowPunct/>
        <w:topLinePunct w:val="0"/>
        <w:bidi w:val="0"/>
        <w:spacing w:line="360" w:lineRule="auto"/>
        <w:ind w:left="0" w:leftChars="0" w:firstLine="420" w:firstLineChars="200"/>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16）评标委员会认定投标人的报价明显低于其他通过符合性审查投标人的报价，有可能影响服务质量或者不能诚信履约，且投标人不能应评标委员会要求在规定的回复时间内通过“苏采云”系统作出必要的说明证明其报价合理性的；</w:t>
      </w:r>
    </w:p>
    <w:p w14:paraId="2CBA206F">
      <w:pPr>
        <w:keepLines w:val="0"/>
        <w:pageBreakBefore w:val="0"/>
        <w:widowControl/>
        <w:shd w:val="clear" w:color="auto" w:fill="FFFFFF"/>
        <w:kinsoku/>
        <w:wordWrap/>
        <w:overflowPunct/>
        <w:topLinePunct w:val="0"/>
        <w:bidi w:val="0"/>
        <w:spacing w:line="360" w:lineRule="auto"/>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bCs/>
          <w:color w:val="auto"/>
          <w:sz w:val="21"/>
          <w:szCs w:val="21"/>
          <w:highlight w:val="none"/>
        </w:rPr>
        <w:t>17</w:t>
      </w:r>
      <w:r>
        <w:rPr>
          <w:rFonts w:hint="eastAsia" w:ascii="宋体" w:hAnsi="宋体" w:eastAsia="宋体" w:cs="宋体"/>
          <w:color w:val="auto"/>
          <w:sz w:val="21"/>
          <w:szCs w:val="21"/>
          <w:highlight w:val="none"/>
        </w:rPr>
        <w:t>）不符合招标文件中规定的</w:t>
      </w:r>
      <w:r>
        <w:rPr>
          <w:rFonts w:hint="eastAsia" w:ascii="宋体" w:hAnsi="宋体" w:eastAsia="宋体" w:cs="宋体"/>
          <w:color w:val="auto"/>
          <w:sz w:val="21"/>
          <w:szCs w:val="21"/>
          <w:highlight w:val="none"/>
          <w:lang w:eastAsia="zh-CN"/>
        </w:rPr>
        <w:t>其他</w:t>
      </w:r>
      <w:r>
        <w:rPr>
          <w:rFonts w:hint="eastAsia" w:ascii="宋体" w:hAnsi="宋体" w:eastAsia="宋体" w:cs="宋体"/>
          <w:color w:val="auto"/>
          <w:sz w:val="21"/>
          <w:szCs w:val="21"/>
          <w:highlight w:val="none"/>
        </w:rPr>
        <w:t>实质性要求的；</w:t>
      </w:r>
    </w:p>
    <w:p w14:paraId="06AA5CE1">
      <w:pPr>
        <w:keepLines w:val="0"/>
        <w:pageBreakBefore w:val="0"/>
        <w:widowControl/>
        <w:shd w:val="clear" w:color="auto" w:fill="FFFFFF"/>
        <w:kinsoku/>
        <w:wordWrap/>
        <w:overflowPunct/>
        <w:topLinePunct w:val="0"/>
        <w:bidi w:val="0"/>
        <w:spacing w:line="360" w:lineRule="auto"/>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bCs/>
          <w:color w:val="auto"/>
          <w:sz w:val="21"/>
          <w:szCs w:val="21"/>
          <w:highlight w:val="none"/>
        </w:rPr>
        <w:t>18</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法律法规</w:t>
      </w:r>
      <w:r>
        <w:rPr>
          <w:rFonts w:hint="eastAsia" w:ascii="宋体" w:hAnsi="宋体" w:eastAsia="宋体" w:cs="宋体"/>
          <w:color w:val="auto"/>
          <w:sz w:val="21"/>
          <w:szCs w:val="21"/>
          <w:highlight w:val="none"/>
        </w:rPr>
        <w:t>和招标文件规定的其他无效情形。</w:t>
      </w:r>
    </w:p>
    <w:p w14:paraId="74FB01BB">
      <w:pPr>
        <w:keepLines w:val="0"/>
        <w:pageBreakBefore w:val="0"/>
        <w:widowControl/>
        <w:shd w:val="clear" w:color="auto" w:fill="FFFFFF"/>
        <w:kinsoku/>
        <w:wordWrap/>
        <w:overflowPunct/>
        <w:topLinePunct w:val="0"/>
        <w:bidi w:val="0"/>
        <w:spacing w:line="360" w:lineRule="auto"/>
        <w:ind w:left="0" w:leftChars="0" w:firstLine="422" w:firstLineChars="200"/>
        <w:textAlignment w:val="auto"/>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rPr>
        <w:t>19.7</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color w:val="auto"/>
          <w:sz w:val="21"/>
          <w:szCs w:val="21"/>
          <w:highlight w:val="none"/>
        </w:rPr>
        <w:t>出现下列情形之一的，应予废标：</w:t>
      </w:r>
    </w:p>
    <w:p w14:paraId="5CF395C2">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（1）符合专业条件的供应商或者对招标文件作实质响应的供应商不足三家的；</w:t>
      </w:r>
    </w:p>
    <w:p w14:paraId="3F38E143">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（2）出现影响采购公正的违法、违规行为的；</w:t>
      </w:r>
    </w:p>
    <w:p w14:paraId="0DE63743">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（3）因重大变故，采购任务取消的；</w:t>
      </w:r>
    </w:p>
    <w:p w14:paraId="088251A9">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（4）评标委员会认定招标文件存在歧义、重大缺陷导致评审工作无法进行的，或者招标文件内容违反国家有关强制性规定的。</w:t>
      </w:r>
    </w:p>
    <w:p w14:paraId="7893C241">
      <w:pPr>
        <w:keepLines w:val="0"/>
        <w:pageBreakBefore w:val="0"/>
        <w:widowControl/>
        <w:shd w:val="clear" w:color="auto" w:fill="FFFFFF"/>
        <w:kinsoku/>
        <w:wordWrap/>
        <w:overflowPunct/>
        <w:topLinePunct w:val="0"/>
        <w:bidi w:val="0"/>
        <w:spacing w:line="360" w:lineRule="auto"/>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在评标期间，通过资格审查或符合性审查的投标人不足3家情形的，比照</w:t>
      </w:r>
      <w:r>
        <w:rPr>
          <w:rFonts w:hint="eastAsia" w:ascii="宋体" w:hAnsi="宋体" w:eastAsia="宋体" w:cs="宋体"/>
          <w:b/>
          <w:bCs/>
          <w:color w:val="auto"/>
          <w:sz w:val="21"/>
          <w:szCs w:val="21"/>
          <w:highlight w:val="none"/>
        </w:rPr>
        <w:t>19.3.5</w:t>
      </w:r>
      <w:r>
        <w:rPr>
          <w:rFonts w:hint="eastAsia" w:ascii="宋体" w:hAnsi="宋体" w:eastAsia="宋体" w:cs="宋体"/>
          <w:color w:val="auto"/>
          <w:sz w:val="21"/>
          <w:szCs w:val="21"/>
          <w:highlight w:val="none"/>
        </w:rPr>
        <w:t>款执行。</w:t>
      </w:r>
    </w:p>
    <w:bookmarkEnd w:id="89"/>
    <w:bookmarkEnd w:id="90"/>
    <w:bookmarkEnd w:id="91"/>
    <w:bookmarkEnd w:id="92"/>
    <w:p w14:paraId="4C213A81">
      <w:pPr>
        <w:keepLines w:val="0"/>
        <w:pageBreakBefore w:val="0"/>
        <w:widowControl/>
        <w:shd w:val="clear" w:color="auto" w:fill="FFFFFF"/>
        <w:kinsoku/>
        <w:wordWrap/>
        <w:overflowPunct/>
        <w:topLinePunct w:val="0"/>
        <w:bidi w:val="0"/>
        <w:spacing w:line="360" w:lineRule="auto"/>
        <w:ind w:left="0" w:leftChars="0" w:firstLine="422" w:firstLineChars="200"/>
        <w:textAlignment w:val="auto"/>
        <w:outlineLvl w:val="1"/>
        <w:rPr>
          <w:rFonts w:hint="eastAsia" w:ascii="宋体" w:hAnsi="宋体" w:eastAsia="宋体" w:cs="宋体"/>
          <w:b/>
          <w:bCs/>
          <w:color w:val="auto"/>
          <w:sz w:val="21"/>
          <w:szCs w:val="21"/>
          <w:highlight w:val="none"/>
        </w:rPr>
      </w:pPr>
      <w:bookmarkStart w:id="96" w:name="_Toc18327"/>
      <w:bookmarkStart w:id="97" w:name="_Toc12294"/>
      <w:r>
        <w:rPr>
          <w:rFonts w:hint="eastAsia" w:ascii="宋体" w:hAnsi="宋体" w:eastAsia="宋体" w:cs="宋体"/>
          <w:b/>
          <w:bCs/>
          <w:color w:val="auto"/>
          <w:sz w:val="21"/>
          <w:szCs w:val="21"/>
          <w:highlight w:val="none"/>
        </w:rPr>
        <w:t>六、授标</w:t>
      </w:r>
      <w:bookmarkEnd w:id="96"/>
      <w:bookmarkEnd w:id="97"/>
    </w:p>
    <w:p w14:paraId="5F399079">
      <w:pPr>
        <w:pStyle w:val="447"/>
        <w:keepLines w:val="0"/>
        <w:pageBreakBefore w:val="0"/>
        <w:kinsoku/>
        <w:wordWrap/>
        <w:overflowPunct/>
        <w:topLinePunct w:val="0"/>
        <w:bidi w:val="0"/>
        <w:spacing w:line="360" w:lineRule="auto"/>
        <w:ind w:left="0" w:leftChars="0" w:firstLine="422" w:firstLineChars="200"/>
        <w:jc w:val="both"/>
        <w:textAlignment w:val="auto"/>
        <w:outlineLvl w:val="9"/>
        <w:rPr>
          <w:rFonts w:hint="eastAsia" w:ascii="宋体" w:hAnsi="宋体" w:eastAsia="宋体" w:cs="宋体"/>
          <w:b/>
          <w:bCs/>
          <w:color w:val="auto"/>
          <w:sz w:val="21"/>
          <w:szCs w:val="21"/>
          <w:highlight w:val="none"/>
        </w:rPr>
      </w:pPr>
      <w:bookmarkStart w:id="98" w:name="_Toc28693"/>
      <w:bookmarkStart w:id="99" w:name="_Toc27522"/>
      <w:r>
        <w:rPr>
          <w:rFonts w:hint="eastAsia" w:ascii="宋体" w:hAnsi="宋体" w:eastAsia="宋体" w:cs="宋体"/>
          <w:b/>
          <w:bCs/>
          <w:color w:val="auto"/>
          <w:sz w:val="21"/>
          <w:szCs w:val="21"/>
          <w:highlight w:val="none"/>
        </w:rPr>
        <w:t>20.确定中标</w:t>
      </w:r>
      <w:bookmarkEnd w:id="98"/>
      <w:r>
        <w:rPr>
          <w:rFonts w:hint="eastAsia" w:ascii="宋体" w:hAnsi="宋体" w:eastAsia="宋体" w:cs="宋体"/>
          <w:b/>
          <w:bCs/>
          <w:color w:val="auto"/>
          <w:sz w:val="21"/>
          <w:szCs w:val="21"/>
          <w:highlight w:val="none"/>
        </w:rPr>
        <w:t>供应商</w:t>
      </w:r>
      <w:bookmarkEnd w:id="99"/>
      <w:bookmarkStart w:id="100" w:name="_Toc7377"/>
    </w:p>
    <w:p w14:paraId="6AB6AB83">
      <w:pPr>
        <w:keepLines w:val="0"/>
        <w:pageBreakBefore w:val="0"/>
        <w:widowControl/>
        <w:shd w:val="clear" w:color="auto" w:fill="FFFFFF"/>
        <w:kinsoku/>
        <w:wordWrap/>
        <w:overflowPunct/>
        <w:topLinePunct w:val="0"/>
        <w:bidi w:val="0"/>
        <w:spacing w:line="360" w:lineRule="auto"/>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20.1</w:t>
      </w:r>
      <w:r>
        <w:rPr>
          <w:rFonts w:hint="eastAsia" w:ascii="宋体" w:hAnsi="宋体" w:eastAsia="宋体" w:cs="宋体"/>
          <w:color w:val="auto"/>
          <w:sz w:val="21"/>
          <w:szCs w:val="21"/>
          <w:highlight w:val="none"/>
          <w:lang w:val="en-US" w:eastAsia="zh-CN"/>
        </w:rPr>
        <w:t xml:space="preserve"> 评标委员会仅对确定为实质上响应招标文件要求的投标文件进行评价和比较。综合评分法，是指投标文件满足招标文件全部实质性要求，且按照评审因素的量化指标评审得分最高的投标人为</w:t>
      </w:r>
      <w:r>
        <w:rPr>
          <w:rFonts w:hint="eastAsia" w:ascii="宋体" w:hAnsi="宋体" w:eastAsia="宋体" w:cs="宋体"/>
          <w:color w:val="auto"/>
          <w:sz w:val="21"/>
          <w:szCs w:val="21"/>
          <w:highlight w:val="none"/>
        </w:rPr>
        <w:t>中标候选人的评标方法</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在满足招标文件要求的条件下，评标委员会根据评分细则进行评审，按得分由高到低的顺序推荐中标候选人。如果得分相同，按服务优劣顺序排列；如果服务评分再次相同，报价低者优先；服务、报价得分均相同的情况下，抽签确定。</w:t>
      </w:r>
      <w:r>
        <w:rPr>
          <w:rFonts w:hint="eastAsia" w:ascii="宋体" w:hAnsi="宋体" w:eastAsia="宋体" w:cs="宋体"/>
          <w:color w:val="auto"/>
          <w:sz w:val="21"/>
          <w:szCs w:val="21"/>
          <w:highlight w:val="none"/>
        </w:rPr>
        <w:t>最低投标价等任何单项因素的最优不是中标的必要条件。</w:t>
      </w:r>
    </w:p>
    <w:p w14:paraId="593BCF58">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20.2</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中标人确定后，在江苏政府采购网上公告中标结果，中标公告期为1个工作日，公告的同时向中标供应商发出中标通知书。</w:t>
      </w:r>
    </w:p>
    <w:p w14:paraId="4C50412C">
      <w:pPr>
        <w:keepLines w:val="0"/>
        <w:pageBreakBefore w:val="0"/>
        <w:widowControl/>
        <w:shd w:val="clear" w:color="auto" w:fill="FFFFFF"/>
        <w:kinsoku/>
        <w:wordWrap/>
        <w:overflowPunct/>
        <w:topLinePunct w:val="0"/>
        <w:bidi w:val="0"/>
        <w:spacing w:line="360" w:lineRule="auto"/>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20.3</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中标供应商在收到中标通知书后，应郑重保证履行中标供应商应履行的，含招标代理服务费在内的一切义务和责任。</w:t>
      </w:r>
    </w:p>
    <w:p w14:paraId="4E175ABD">
      <w:pPr>
        <w:keepLines w:val="0"/>
        <w:pageBreakBefore w:val="0"/>
        <w:widowControl/>
        <w:shd w:val="clear" w:color="auto" w:fill="FFFFFF"/>
        <w:kinsoku/>
        <w:wordWrap/>
        <w:overflowPunct/>
        <w:topLinePunct w:val="0"/>
        <w:bidi w:val="0"/>
        <w:spacing w:line="360" w:lineRule="auto"/>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20.4</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中标通知书对采购人和中标供应商具有同等法律效力。</w:t>
      </w:r>
    </w:p>
    <w:p w14:paraId="1D47CB45">
      <w:pPr>
        <w:keepLines w:val="0"/>
        <w:pageBreakBefore w:val="0"/>
        <w:widowControl/>
        <w:shd w:val="clear" w:color="auto" w:fill="FFFFFF"/>
        <w:kinsoku/>
        <w:wordWrap/>
        <w:overflowPunct/>
        <w:topLinePunct w:val="0"/>
        <w:bidi w:val="0"/>
        <w:spacing w:line="360" w:lineRule="auto"/>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20.5</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中标通知书发出后，中标或者成交后无正当理由拒不与采购人签订政府采购合同的</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情节严重的，由财政部门将其列入不良行为记录名单，在一至三年内禁止参加政府采购活动，并予以通报。</w:t>
      </w:r>
    </w:p>
    <w:p w14:paraId="1624A093">
      <w:pPr>
        <w:keepLines w:val="0"/>
        <w:pageBreakBefore w:val="0"/>
        <w:widowControl/>
        <w:shd w:val="clear" w:color="auto" w:fill="FFFFFF"/>
        <w:kinsoku/>
        <w:wordWrap/>
        <w:overflowPunct/>
        <w:topLinePunct w:val="0"/>
        <w:bidi w:val="0"/>
        <w:spacing w:line="360" w:lineRule="auto"/>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20.6 若评标委员会发现供应商的投标文件中有弄虚作假行为，则该供应商将失去中标资格。</w:t>
      </w:r>
    </w:p>
    <w:p w14:paraId="678FD924">
      <w:pPr>
        <w:keepLines w:val="0"/>
        <w:pageBreakBefore w:val="0"/>
        <w:widowControl/>
        <w:shd w:val="clear" w:color="auto" w:fill="FFFFFF"/>
        <w:kinsoku/>
        <w:wordWrap/>
        <w:overflowPunct/>
        <w:topLinePunct w:val="0"/>
        <w:bidi w:val="0"/>
        <w:spacing w:line="360" w:lineRule="auto"/>
        <w:ind w:left="0" w:leftChars="0" w:firstLine="422" w:firstLineChars="200"/>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21.评标过程的保密性</w:t>
      </w:r>
    </w:p>
    <w:p w14:paraId="157AEF30">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21.1 采购人和采购代理机构将采取必要措施，保证评标在严格保密的情况下进行。</w:t>
      </w:r>
    </w:p>
    <w:p w14:paraId="5C0F0F82">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21.2 任何单位和个人不得非法干预、影响评标办法的确定，以及评标过程和结果。</w:t>
      </w:r>
    </w:p>
    <w:p w14:paraId="75613EF3">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21.3 凡是与审查、澄清、评价和比较投标的有关资料等，均不向投标人及与评标无关的其他人员透露。</w:t>
      </w:r>
    </w:p>
    <w:p w14:paraId="273E6486">
      <w:pPr>
        <w:keepLines w:val="0"/>
        <w:pageBreakBefore w:val="0"/>
        <w:widowControl/>
        <w:shd w:val="clear" w:color="auto" w:fill="FFFFFF"/>
        <w:kinsoku/>
        <w:wordWrap/>
        <w:overflowPunct/>
        <w:topLinePunct w:val="0"/>
        <w:bidi w:val="0"/>
        <w:spacing w:line="360" w:lineRule="auto"/>
        <w:ind w:left="0" w:leftChars="0" w:firstLine="422" w:firstLineChars="200"/>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22.签订合同</w:t>
      </w:r>
    </w:p>
    <w:p w14:paraId="719560FD">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22.1</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采购人应当自中标通知书发出之日起三十日内，按照招标文件和中标供应商投标文件的约定，与中标供应商签订书面合同。所签订的合同不得对招标文件和中标供应商投标文件作实质性修改。</w:t>
      </w:r>
    </w:p>
    <w:p w14:paraId="36864A90">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22.2</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招标文件、中标供应商的投标文件及评标过程中有关澄清、说明或者补正文件均应作为合同附件。</w:t>
      </w:r>
    </w:p>
    <w:p w14:paraId="0EE88011">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22.3</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采购人不得向中标人提出任何不合理的要求作为签订合同的条件。</w:t>
      </w:r>
    </w:p>
    <w:p w14:paraId="0ED475B0">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22.4</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中标供应商因不可抗力或者自身原因不能履行采购合同的，采购人可以与排位在中标供应商之后第一位的中标候选供应商签订采购合同，以此类推；采购人也可以重新开展采购活动。</w:t>
      </w:r>
    </w:p>
    <w:p w14:paraId="30EA1FC7">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22.5</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政府采购合同履行中，采购人需追加与合同标的相同的货物、工程或者服务的，在不改变合同其他条款的前提下，可以与供应商协商签订补充合同，但所有补充合同的采购金额不得超过原合同采购金额的百分之十。</w:t>
      </w:r>
    </w:p>
    <w:p w14:paraId="336FB0D7">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sz w:val="21"/>
          <w:szCs w:val="21"/>
          <w:highlight w:val="none"/>
        </w:rPr>
        <w:t>22.6</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采购人与中标人应当根据合同的约定依法履行合同义务。</w:t>
      </w:r>
      <w:bookmarkEnd w:id="100"/>
      <w:bookmarkStart w:id="101" w:name="_Toc15509"/>
      <w:bookmarkStart w:id="102" w:name="_Toc415"/>
    </w:p>
    <w:p w14:paraId="349F80FB">
      <w:pPr>
        <w:pStyle w:val="447"/>
        <w:keepLines w:val="0"/>
        <w:pageBreakBefore w:val="0"/>
        <w:kinsoku/>
        <w:wordWrap/>
        <w:overflowPunct/>
        <w:topLinePunct w:val="0"/>
        <w:bidi w:val="0"/>
        <w:spacing w:line="360" w:lineRule="auto"/>
        <w:ind w:left="0" w:leftChars="0" w:firstLine="422" w:firstLineChars="200"/>
        <w:jc w:val="both"/>
        <w:textAlignment w:val="auto"/>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23.招标代理服务费</w:t>
      </w:r>
      <w:bookmarkEnd w:id="101"/>
      <w:bookmarkEnd w:id="102"/>
    </w:p>
    <w:p w14:paraId="2AD052E6">
      <w:pPr>
        <w:keepLines w:val="0"/>
        <w:pageBreakBefore w:val="0"/>
        <w:widowControl/>
        <w:shd w:val="clear" w:color="auto" w:fill="FFFFFF"/>
        <w:kinsoku/>
        <w:wordWrap/>
        <w:overflowPunct/>
        <w:topLinePunct w:val="0"/>
        <w:bidi w:val="0"/>
        <w:spacing w:line="360" w:lineRule="auto"/>
        <w:ind w:left="0" w:leftChars="0" w:firstLine="420" w:firstLineChars="200"/>
        <w:textAlignment w:val="auto"/>
        <w:outlineLvl w:val="1"/>
        <w:rPr>
          <w:rFonts w:hint="eastAsia" w:ascii="宋体" w:hAnsi="宋体" w:eastAsia="宋体" w:cs="宋体"/>
          <w:b w:val="0"/>
          <w:bCs w:val="0"/>
          <w:color w:val="auto"/>
          <w:sz w:val="21"/>
          <w:szCs w:val="21"/>
          <w:highlight w:val="none"/>
        </w:rPr>
      </w:pPr>
      <w:bookmarkStart w:id="103" w:name="_Toc5784"/>
      <w:r>
        <w:rPr>
          <w:rFonts w:hint="eastAsia" w:ascii="宋体" w:hAnsi="宋体" w:eastAsia="宋体" w:cs="宋体"/>
          <w:b w:val="0"/>
          <w:bCs w:val="0"/>
          <w:color w:val="auto"/>
          <w:sz w:val="21"/>
          <w:szCs w:val="21"/>
          <w:highlight w:val="none"/>
          <w:lang w:val="en-US" w:eastAsia="zh-CN"/>
        </w:rPr>
        <w:t>23.1</w:t>
      </w:r>
      <w:r>
        <w:rPr>
          <w:rFonts w:hint="eastAsia" w:ascii="宋体" w:hAnsi="宋体" w:eastAsia="宋体" w:cs="宋体"/>
          <w:b w:val="0"/>
          <w:bCs w:val="0"/>
          <w:color w:val="auto"/>
          <w:sz w:val="21"/>
          <w:szCs w:val="21"/>
          <w:highlight w:val="none"/>
        </w:rPr>
        <w:t>根据江苏省财政厅《关于进一步规范政府采购活动相关费用管理的通知》（苏财规〔2026〕1号）相关要求，为提高采购效率、简化资金支付流程，本项目代理费由中标供应商在领取中标通知书时，一次性支付至采购代理机构。代理费参照国家计委《招标代理服务收费管理暂行办法》（计价格〔2002〕1980号）取费标准的70%计取，计费基准为各分包最终成交价格。</w:t>
      </w:r>
    </w:p>
    <w:p w14:paraId="257C6A8E">
      <w:pPr>
        <w:keepLines w:val="0"/>
        <w:pageBreakBefore w:val="0"/>
        <w:widowControl/>
        <w:shd w:val="clear" w:color="auto" w:fill="FFFFFF"/>
        <w:kinsoku/>
        <w:wordWrap/>
        <w:overflowPunct/>
        <w:topLinePunct w:val="0"/>
        <w:bidi w:val="0"/>
        <w:spacing w:line="360" w:lineRule="auto"/>
        <w:ind w:left="0" w:leftChars="0" w:firstLine="420" w:firstLineChars="200"/>
        <w:textAlignment w:val="auto"/>
        <w:outlineLvl w:val="1"/>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23.2</w:t>
      </w:r>
      <w:r>
        <w:rPr>
          <w:rFonts w:hint="eastAsia" w:ascii="宋体" w:hAnsi="宋体" w:eastAsia="宋体" w:cs="宋体"/>
          <w:b w:val="0"/>
          <w:bCs w:val="0"/>
          <w:color w:val="auto"/>
          <w:sz w:val="21"/>
          <w:szCs w:val="21"/>
          <w:highlight w:val="none"/>
        </w:rPr>
        <w:t>本项费用已综合包含在供应商响应报价内，不单独列项、不另行结算。各供应商在编制报价文件时，须足额测算、统筹将该项代理费纳入成本综合考量，因未合理预估该项费用所产生的损失与风险，均由供应商自行承担。</w:t>
      </w:r>
    </w:p>
    <w:p w14:paraId="0AC24872">
      <w:pPr>
        <w:keepLines w:val="0"/>
        <w:pageBreakBefore w:val="0"/>
        <w:widowControl/>
        <w:shd w:val="clear" w:color="auto" w:fill="FFFFFF"/>
        <w:kinsoku/>
        <w:wordWrap/>
        <w:overflowPunct/>
        <w:topLinePunct w:val="0"/>
        <w:bidi w:val="0"/>
        <w:spacing w:line="360" w:lineRule="auto"/>
        <w:ind w:left="0" w:leftChars="0" w:firstLine="422" w:firstLineChars="200"/>
        <w:textAlignment w:val="auto"/>
        <w:outlineLvl w:val="1"/>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七、质疑</w:t>
      </w:r>
      <w:bookmarkEnd w:id="103"/>
      <w:r>
        <w:rPr>
          <w:rFonts w:hint="eastAsia" w:ascii="宋体" w:hAnsi="宋体" w:eastAsia="宋体" w:cs="宋体"/>
          <w:b/>
          <w:bCs/>
          <w:color w:val="auto"/>
          <w:sz w:val="21"/>
          <w:szCs w:val="21"/>
          <w:highlight w:val="none"/>
        </w:rPr>
        <w:t>和投诉</w:t>
      </w:r>
    </w:p>
    <w:p w14:paraId="228E8E08">
      <w:pPr>
        <w:keepLines w:val="0"/>
        <w:pageBreakBefore w:val="0"/>
        <w:widowControl/>
        <w:shd w:val="clear" w:color="auto" w:fill="FFFFFF"/>
        <w:kinsoku/>
        <w:wordWrap/>
        <w:overflowPunct/>
        <w:topLinePunct w:val="0"/>
        <w:bidi w:val="0"/>
        <w:spacing w:line="360" w:lineRule="auto"/>
        <w:ind w:left="0" w:leftChars="0" w:firstLine="422" w:firstLineChars="200"/>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24.质疑</w:t>
      </w:r>
    </w:p>
    <w:p w14:paraId="18914C06">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24</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供应商对招标活动事项有疑问的，可以向采购代理机构提出询问，采购代理机构将依法作出答复，但答复的内容不涉及商业秘密</w:t>
      </w:r>
      <w:r>
        <w:rPr>
          <w:rFonts w:hint="eastAsia" w:ascii="宋体" w:hAnsi="宋体" w:eastAsia="宋体" w:cs="宋体"/>
          <w:b/>
          <w:bCs/>
          <w:color w:val="auto"/>
          <w:sz w:val="21"/>
          <w:szCs w:val="21"/>
          <w:highlight w:val="none"/>
        </w:rPr>
        <w:t>。</w:t>
      </w:r>
    </w:p>
    <w:p w14:paraId="09363F7B">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24</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供应商认为招标文件、采购过程和中标结果使自己的合法权益受到损害的，可以在知道或者应知其权益受到损害之日起七个工作日内，将质疑文件原件送达采购人或采购代理机构。</w:t>
      </w:r>
    </w:p>
    <w:p w14:paraId="2007D9D5">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供应商应知其权益受到损害之日，是指：</w:t>
      </w:r>
    </w:p>
    <w:p w14:paraId="3472CAA7">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（一）对可以质疑的招标文件提出质疑的，为收到招标文件之日或者招标文件公告期限届满之日；</w:t>
      </w:r>
    </w:p>
    <w:p w14:paraId="210A0D7C">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（二）对采购过程提出质疑的，为各采购程序环节结束之日；</w:t>
      </w:r>
    </w:p>
    <w:p w14:paraId="588B8A4B">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（三）对中标或者成交结果提出质疑的，为中标或者成交结果公告期限届满之日。</w:t>
      </w:r>
    </w:p>
    <w:p w14:paraId="63490FEF">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24</w:t>
      </w:r>
      <w:r>
        <w:rPr>
          <w:rFonts w:hint="eastAsia" w:ascii="宋体" w:hAnsi="宋体" w:eastAsia="宋体" w:cs="宋体"/>
          <w:color w:val="auto"/>
          <w:sz w:val="21"/>
          <w:szCs w:val="21"/>
          <w:highlight w:val="none"/>
        </w:rPr>
        <w:t>.3 质疑人必须是直接参加所质疑采购项目政府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提交至采购代理机构联系人处，提交时应出示有效身份证明。未按上述要求提交质疑书的，质疑不予受理。</w:t>
      </w:r>
    </w:p>
    <w:p w14:paraId="7A390F4C">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采购代理机构将在一定范围内公开质疑人的名称、质疑事项、质疑处理结果，供有关采购人、财政部门、行业协会查询。</w:t>
      </w:r>
    </w:p>
    <w:p w14:paraId="04B41390">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24</w:t>
      </w:r>
      <w:r>
        <w:rPr>
          <w:rFonts w:hint="eastAsia" w:ascii="宋体" w:hAnsi="宋体" w:eastAsia="宋体" w:cs="宋体"/>
          <w:color w:val="auto"/>
          <w:sz w:val="21"/>
          <w:szCs w:val="21"/>
          <w:highlight w:val="none"/>
        </w:rPr>
        <w:t>.4 质疑文件应包括以下主要内容，并按照“谁主张、谁举证”的原则，附上相关证明材料。否则，采购代理机构不予受理：</w:t>
      </w:r>
    </w:p>
    <w:p w14:paraId="3CEAE234">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（1）质疑项目名称、项目编号、包号、招标公告发布时间、开标时间；</w:t>
      </w:r>
    </w:p>
    <w:p w14:paraId="6565D53C">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（2）具体的质疑事项及法律依据（具体条款）；</w:t>
      </w:r>
    </w:p>
    <w:p w14:paraId="2D6A721A">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（3）质疑相关证明文件或证明材料，如果</w:t>
      </w:r>
      <w:r>
        <w:rPr>
          <w:rFonts w:hint="eastAsia" w:ascii="宋体" w:hAnsi="宋体" w:eastAsia="宋体" w:cs="宋体"/>
          <w:color w:val="auto"/>
          <w:sz w:val="21"/>
          <w:szCs w:val="21"/>
          <w:highlight w:val="none"/>
          <w:lang w:eastAsia="zh-CN"/>
        </w:rPr>
        <w:t>涉及</w:t>
      </w:r>
      <w:r>
        <w:rPr>
          <w:rFonts w:hint="eastAsia" w:ascii="宋体" w:hAnsi="宋体" w:eastAsia="宋体" w:cs="宋体"/>
          <w:color w:val="auto"/>
          <w:sz w:val="21"/>
          <w:szCs w:val="21"/>
          <w:highlight w:val="none"/>
        </w:rPr>
        <w:t>产品功能或技术指标的，应出具相关制造商的证明文件（友情提示：供应商全部产品线中没有满足技术需求要求的产品才可以对招标产品提出质疑，并提出</w:t>
      </w:r>
      <w:r>
        <w:rPr>
          <w:rFonts w:hint="eastAsia" w:ascii="宋体" w:hAnsi="宋体" w:eastAsia="宋体" w:cs="宋体"/>
          <w:b/>
          <w:bCs/>
          <w:color w:val="auto"/>
          <w:sz w:val="21"/>
          <w:szCs w:val="21"/>
          <w:highlight w:val="none"/>
        </w:rPr>
        <w:t>修改理由</w:t>
      </w:r>
      <w:r>
        <w:rPr>
          <w:rFonts w:hint="eastAsia" w:ascii="宋体" w:hAnsi="宋体" w:eastAsia="宋体" w:cs="宋体"/>
          <w:color w:val="auto"/>
          <w:sz w:val="21"/>
          <w:szCs w:val="21"/>
          <w:highlight w:val="none"/>
        </w:rPr>
        <w:t>和</w:t>
      </w:r>
      <w:r>
        <w:rPr>
          <w:rFonts w:hint="eastAsia" w:ascii="宋体" w:hAnsi="宋体" w:eastAsia="宋体" w:cs="宋体"/>
          <w:b/>
          <w:bCs/>
          <w:color w:val="auto"/>
          <w:sz w:val="21"/>
          <w:szCs w:val="21"/>
          <w:highlight w:val="none"/>
        </w:rPr>
        <w:t>修改建议</w:t>
      </w:r>
      <w:r>
        <w:rPr>
          <w:rFonts w:hint="eastAsia" w:ascii="宋体" w:hAnsi="宋体" w:eastAsia="宋体" w:cs="宋体"/>
          <w:color w:val="auto"/>
          <w:sz w:val="21"/>
          <w:szCs w:val="21"/>
          <w:highlight w:val="none"/>
        </w:rPr>
        <w:t>）；</w:t>
      </w:r>
    </w:p>
    <w:p w14:paraId="2F6033AA">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（4）质疑供应商名称、地址、联系方式（包括手机、传真号码）；</w:t>
      </w:r>
    </w:p>
    <w:p w14:paraId="3CE57D6A">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（5）法定代表人签署本人姓名或印盖本人姓名章并加盖单位公章，或法定代表人授权委托代理人加盖单位公章，并由参加采购项目的授权委托代理人签署本人姓名或印盖本人姓名章等。</w:t>
      </w:r>
    </w:p>
    <w:p w14:paraId="5AE03A30">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24</w:t>
      </w:r>
      <w:r>
        <w:rPr>
          <w:rFonts w:hint="eastAsia" w:ascii="宋体" w:hAnsi="宋体" w:eastAsia="宋体" w:cs="宋体"/>
          <w:color w:val="auto"/>
          <w:sz w:val="21"/>
          <w:szCs w:val="21"/>
          <w:highlight w:val="none"/>
        </w:rPr>
        <w:t xml:space="preserve">.5 </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不得虚假质疑和恶意质疑，并对质疑内容的真实性承担责任。</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或者其他利害关系人通过捏造事实、伪造证明材料等方式提出异议或投诉，阻碍招投标活动正常进行的，属于严重不良行为，代理机构将提请财政部门将其列入不良行为记录名单，并依法予以处罚。</w:t>
      </w:r>
    </w:p>
    <w:p w14:paraId="1FB8AD3C">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24</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采购代理机构在收到投标商的书面质疑后将及时组织调查核实，在</w:t>
      </w:r>
      <w:r>
        <w:rPr>
          <w:rFonts w:hint="eastAsia" w:ascii="宋体" w:hAnsi="宋体" w:eastAsia="宋体" w:cs="宋体"/>
          <w:b/>
          <w:bCs/>
          <w:color w:val="auto"/>
          <w:sz w:val="21"/>
          <w:szCs w:val="21"/>
          <w:highlight w:val="none"/>
        </w:rPr>
        <w:t>七个工作日内</w:t>
      </w:r>
      <w:r>
        <w:rPr>
          <w:rFonts w:hint="eastAsia" w:ascii="宋体" w:hAnsi="宋体" w:eastAsia="宋体" w:cs="宋体"/>
          <w:color w:val="auto"/>
          <w:sz w:val="21"/>
          <w:szCs w:val="21"/>
          <w:highlight w:val="none"/>
        </w:rPr>
        <w:t>作出答复，并以书面或在网站公告形式通知质疑投标商和其他有关投标商，答复的内容不涉及商业秘密。代理机构遵循“谁过错谁负担”的原则，有过错的一方承担调查论证费用。</w:t>
      </w:r>
    </w:p>
    <w:p w14:paraId="2A3A92D9">
      <w:pPr>
        <w:keepLines w:val="0"/>
        <w:pageBreakBefore w:val="0"/>
        <w:widowControl/>
        <w:shd w:val="clear" w:color="auto" w:fill="FFFFFF"/>
        <w:kinsoku/>
        <w:wordWrap/>
        <w:overflowPunct/>
        <w:topLinePunct w:val="0"/>
        <w:bidi w:val="0"/>
        <w:spacing w:line="360" w:lineRule="auto"/>
        <w:ind w:left="0" w:leftChars="0" w:firstLine="422" w:firstLineChars="20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25.投诉</w:t>
      </w:r>
    </w:p>
    <w:p w14:paraId="6EB8D39E">
      <w:pPr>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对代理机构的答复不满意，或代理机构未在规定的时间内作出答复的，可以在答复期满后</w:t>
      </w:r>
      <w:r>
        <w:rPr>
          <w:rFonts w:hint="eastAsia" w:ascii="宋体" w:hAnsi="宋体" w:eastAsia="宋体" w:cs="宋体"/>
          <w:b/>
          <w:bCs/>
          <w:color w:val="auto"/>
          <w:sz w:val="21"/>
          <w:szCs w:val="21"/>
          <w:highlight w:val="none"/>
        </w:rPr>
        <w:t>十五个工作日内</w:t>
      </w:r>
      <w:r>
        <w:rPr>
          <w:rFonts w:hint="eastAsia" w:ascii="宋体" w:hAnsi="宋体" w:eastAsia="宋体" w:cs="宋体"/>
          <w:color w:val="auto"/>
          <w:sz w:val="21"/>
          <w:szCs w:val="21"/>
          <w:highlight w:val="none"/>
        </w:rPr>
        <w:t>向采购人同级财政部门投诉。</w:t>
      </w:r>
    </w:p>
    <w:p w14:paraId="17A60BCE">
      <w:pPr>
        <w:snapToGrid w:val="0"/>
        <w:spacing w:line="288" w:lineRule="auto"/>
        <w:jc w:val="center"/>
        <w:outlineLvl w:val="0"/>
        <w:rPr>
          <w:rFonts w:ascii="黑体" w:hAnsi="宋体" w:eastAsia="黑体"/>
          <w:color w:val="auto"/>
          <w:spacing w:val="-10"/>
          <w:sz w:val="36"/>
          <w:szCs w:val="36"/>
          <w:highlight w:val="none"/>
        </w:rPr>
      </w:pPr>
      <w:r>
        <w:rPr>
          <w:rFonts w:ascii="宋体" w:hAnsi="宋体"/>
          <w:color w:val="auto"/>
          <w:szCs w:val="21"/>
          <w:highlight w:val="none"/>
        </w:rPr>
        <w:br w:type="page"/>
      </w:r>
      <w:bookmarkStart w:id="104" w:name="_Toc9142"/>
      <w:r>
        <w:rPr>
          <w:rFonts w:hint="eastAsia" w:ascii="黑体" w:hAnsi="宋体" w:eastAsia="黑体"/>
          <w:color w:val="auto"/>
          <w:spacing w:val="-10"/>
          <w:sz w:val="36"/>
          <w:szCs w:val="36"/>
          <w:highlight w:val="none"/>
        </w:rPr>
        <w:t>第三章 评标标准</w:t>
      </w:r>
      <w:bookmarkEnd w:id="104"/>
    </w:p>
    <w:p w14:paraId="79F9534D">
      <w:pPr>
        <w:pStyle w:val="450"/>
        <w:keepNext w:val="0"/>
        <w:keepLines w:val="0"/>
        <w:pageBreakBefore w:val="0"/>
        <w:widowControl w:val="0"/>
        <w:kinsoku/>
        <w:wordWrap/>
        <w:overflowPunct/>
        <w:topLinePunct w:val="0"/>
        <w:autoSpaceDE/>
        <w:autoSpaceDN/>
        <w:bidi w:val="0"/>
        <w:adjustRightInd w:val="0"/>
        <w:snapToGrid/>
        <w:spacing w:before="0" w:after="0" w:line="360" w:lineRule="auto"/>
        <w:ind w:left="0" w:leftChars="0" w:firstLine="420" w:firstLineChars="200"/>
        <w:textAlignment w:val="baseline"/>
        <w:rPr>
          <w:rFonts w:ascii="宋体" w:hAnsi="宋体" w:cs="宋体"/>
          <w:color w:val="auto"/>
          <w:kern w:val="2"/>
          <w:highlight w:val="none"/>
        </w:rPr>
      </w:pPr>
      <w:r>
        <w:rPr>
          <w:rFonts w:hint="eastAsia" w:ascii="宋体" w:hAnsi="宋体" w:eastAsia="宋体" w:cs="宋体"/>
          <w:color w:val="auto"/>
          <w:sz w:val="21"/>
          <w:szCs w:val="21"/>
          <w:highlight w:val="none"/>
        </w:rPr>
        <w:t>评标委员会将对确定为实质性响应招标文件要求的投标文件进行评分，评审采用综合评分法，总分为100分，分值保留小数点后2位。按评审后得分由高到低顺序排列，得分相同的，按报价由低到高顺序排列，得分且报价相同的，按评审因素的量化指标得分顺序排列。本项目由评标委员会推荐评审得分最高的供应商为中标候选人。最低投标价等任何单项因素的最优不是中标的必要条件。具体打分办法如下：</w:t>
      </w:r>
    </w:p>
    <w:tbl>
      <w:tblPr>
        <w:tblStyle w:val="59"/>
        <w:tblW w:w="98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4"/>
        <w:gridCol w:w="1233"/>
        <w:gridCol w:w="7233"/>
        <w:gridCol w:w="837"/>
      </w:tblGrid>
      <w:tr w14:paraId="35E72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594" w:type="dxa"/>
            <w:tcBorders>
              <w:bottom w:val="single" w:color="auto" w:sz="4" w:space="0"/>
            </w:tcBorders>
            <w:noWrap w:val="0"/>
            <w:vAlign w:val="center"/>
          </w:tcPr>
          <w:p w14:paraId="6E5A1C65">
            <w:pPr>
              <w:widowControl/>
              <w:jc w:val="cente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序号</w:t>
            </w:r>
          </w:p>
        </w:tc>
        <w:tc>
          <w:tcPr>
            <w:tcW w:w="1233" w:type="dxa"/>
            <w:tcBorders>
              <w:bottom w:val="single" w:color="auto" w:sz="4" w:space="0"/>
            </w:tcBorders>
            <w:noWrap w:val="0"/>
            <w:vAlign w:val="center"/>
          </w:tcPr>
          <w:p w14:paraId="0E4026EB">
            <w:pPr>
              <w:widowControl/>
              <w:jc w:val="cente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评审因素</w:t>
            </w:r>
          </w:p>
        </w:tc>
        <w:tc>
          <w:tcPr>
            <w:tcW w:w="7233" w:type="dxa"/>
            <w:tcBorders>
              <w:bottom w:val="single" w:color="auto" w:sz="4" w:space="0"/>
            </w:tcBorders>
            <w:noWrap w:val="0"/>
            <w:vAlign w:val="center"/>
          </w:tcPr>
          <w:p w14:paraId="4943BC26">
            <w:pPr>
              <w:widowControl/>
              <w:jc w:val="cente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评审细则</w:t>
            </w:r>
          </w:p>
        </w:tc>
        <w:tc>
          <w:tcPr>
            <w:tcW w:w="837" w:type="dxa"/>
            <w:tcBorders>
              <w:bottom w:val="single" w:color="auto" w:sz="4" w:space="0"/>
            </w:tcBorders>
            <w:noWrap w:val="0"/>
            <w:vAlign w:val="center"/>
          </w:tcPr>
          <w:p w14:paraId="79202F27">
            <w:pPr>
              <w:widowControl/>
              <w:jc w:val="cente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分值</w:t>
            </w:r>
          </w:p>
        </w:tc>
      </w:tr>
      <w:tr w14:paraId="28171C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9897" w:type="dxa"/>
            <w:gridSpan w:val="4"/>
            <w:tcBorders>
              <w:top w:val="single" w:color="auto" w:sz="4" w:space="0"/>
              <w:left w:val="single" w:color="auto" w:sz="4" w:space="0"/>
              <w:bottom w:val="single" w:color="auto" w:sz="4" w:space="0"/>
              <w:right w:val="single" w:color="auto" w:sz="4" w:space="0"/>
            </w:tcBorders>
            <w:noWrap w:val="0"/>
            <w:vAlign w:val="center"/>
          </w:tcPr>
          <w:p w14:paraId="54841754">
            <w:pPr>
              <w:widowControl/>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一、价格分（</w:t>
            </w:r>
            <w:r>
              <w:rPr>
                <w:rFonts w:hint="eastAsia" w:ascii="宋体" w:hAnsi="宋体" w:eastAsia="宋体" w:cs="宋体"/>
                <w:b/>
                <w:bCs/>
                <w:color w:val="auto"/>
                <w:sz w:val="21"/>
                <w:szCs w:val="21"/>
                <w:highlight w:val="none"/>
                <w:lang w:val="en-US" w:eastAsia="zh-CN"/>
              </w:rPr>
              <w:t>3</w:t>
            </w:r>
            <w:r>
              <w:rPr>
                <w:rFonts w:hint="eastAsia" w:ascii="宋体" w:hAnsi="宋体" w:eastAsia="宋体" w:cs="宋体"/>
                <w:b/>
                <w:bCs/>
                <w:color w:val="auto"/>
                <w:sz w:val="21"/>
                <w:szCs w:val="21"/>
                <w:highlight w:val="none"/>
                <w:lang w:eastAsia="zh-CN"/>
              </w:rPr>
              <w:t>0</w:t>
            </w:r>
            <w:r>
              <w:rPr>
                <w:rFonts w:hint="eastAsia" w:ascii="宋体" w:hAnsi="宋体" w:eastAsia="宋体" w:cs="宋体"/>
                <w:b/>
                <w:bCs/>
                <w:color w:val="auto"/>
                <w:sz w:val="21"/>
                <w:szCs w:val="21"/>
                <w:highlight w:val="none"/>
              </w:rPr>
              <w:t>分）</w:t>
            </w:r>
          </w:p>
        </w:tc>
      </w:tr>
      <w:tr w14:paraId="5A5525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1" w:hRule="atLeast"/>
          <w:jc w:val="center"/>
        </w:trPr>
        <w:tc>
          <w:tcPr>
            <w:tcW w:w="594" w:type="dxa"/>
            <w:tcBorders>
              <w:top w:val="single" w:color="auto" w:sz="4" w:space="0"/>
              <w:left w:val="single" w:color="auto" w:sz="4" w:space="0"/>
              <w:bottom w:val="single" w:color="auto" w:sz="4" w:space="0"/>
              <w:right w:val="single" w:color="auto" w:sz="4" w:space="0"/>
            </w:tcBorders>
            <w:noWrap w:val="0"/>
            <w:vAlign w:val="center"/>
          </w:tcPr>
          <w:p w14:paraId="07798E2D">
            <w:pPr>
              <w:widowControl/>
              <w:jc w:val="cente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w:t>
            </w:r>
          </w:p>
        </w:tc>
        <w:tc>
          <w:tcPr>
            <w:tcW w:w="1233" w:type="dxa"/>
            <w:tcBorders>
              <w:top w:val="single" w:color="auto" w:sz="4" w:space="0"/>
              <w:left w:val="single" w:color="auto" w:sz="4" w:space="0"/>
              <w:bottom w:val="single" w:color="auto" w:sz="4" w:space="0"/>
              <w:right w:val="single" w:color="auto" w:sz="4" w:space="0"/>
            </w:tcBorders>
            <w:noWrap w:val="0"/>
            <w:vAlign w:val="center"/>
          </w:tcPr>
          <w:p w14:paraId="23C1B40C">
            <w:pPr>
              <w:widowControl/>
              <w:jc w:val="center"/>
              <w:rPr>
                <w:rFonts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报价</w:t>
            </w:r>
          </w:p>
        </w:tc>
        <w:tc>
          <w:tcPr>
            <w:tcW w:w="7233" w:type="dxa"/>
            <w:tcBorders>
              <w:top w:val="single" w:color="auto" w:sz="4" w:space="0"/>
              <w:left w:val="single" w:color="auto" w:sz="4" w:space="0"/>
              <w:bottom w:val="single" w:color="auto" w:sz="4" w:space="0"/>
              <w:right w:val="single" w:color="auto" w:sz="4" w:space="0"/>
            </w:tcBorders>
            <w:noWrap w:val="0"/>
            <w:vAlign w:val="center"/>
          </w:tcPr>
          <w:p w14:paraId="025506CD">
            <w:pPr>
              <w:spacing w:line="360" w:lineRule="auto"/>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价格分采用低价优先法计算，即满足招标文件要求且报价最低的供应商报价为评标基准价，价格分统一按照以下公式计算：投标报价得分=（评标基准价/该投标人的投标报价）×</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0分。分值保留小数点后2位。</w:t>
            </w:r>
          </w:p>
        </w:tc>
        <w:tc>
          <w:tcPr>
            <w:tcW w:w="837" w:type="dxa"/>
            <w:tcBorders>
              <w:top w:val="single" w:color="auto" w:sz="4" w:space="0"/>
              <w:left w:val="single" w:color="auto" w:sz="4" w:space="0"/>
              <w:bottom w:val="single" w:color="auto" w:sz="4" w:space="0"/>
              <w:right w:val="single" w:color="auto" w:sz="4" w:space="0"/>
            </w:tcBorders>
            <w:noWrap w:val="0"/>
            <w:vAlign w:val="center"/>
          </w:tcPr>
          <w:p w14:paraId="2B5EEB3C">
            <w:pPr>
              <w:widowControl/>
              <w:jc w:val="cente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3</w:t>
            </w:r>
            <w:r>
              <w:rPr>
                <w:rFonts w:hint="eastAsia" w:ascii="宋体" w:hAnsi="宋体" w:eastAsia="宋体" w:cs="宋体"/>
                <w:b/>
                <w:bCs/>
                <w:color w:val="auto"/>
                <w:sz w:val="21"/>
                <w:szCs w:val="21"/>
                <w:highlight w:val="none"/>
                <w:lang w:eastAsia="zh-CN"/>
              </w:rPr>
              <w:t>0</w:t>
            </w:r>
            <w:r>
              <w:rPr>
                <w:rFonts w:hint="eastAsia" w:ascii="宋体" w:hAnsi="宋体" w:eastAsia="宋体" w:cs="宋体"/>
                <w:b/>
                <w:bCs/>
                <w:color w:val="auto"/>
                <w:sz w:val="21"/>
                <w:szCs w:val="21"/>
                <w:highlight w:val="none"/>
              </w:rPr>
              <w:t>分</w:t>
            </w:r>
          </w:p>
        </w:tc>
      </w:tr>
      <w:tr w14:paraId="6B278A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9897" w:type="dxa"/>
            <w:gridSpan w:val="4"/>
            <w:tcBorders>
              <w:top w:val="single" w:color="auto" w:sz="4" w:space="0"/>
              <w:left w:val="single" w:color="auto" w:sz="4" w:space="0"/>
              <w:bottom w:val="single" w:color="auto" w:sz="4" w:space="0"/>
              <w:right w:val="single" w:color="auto" w:sz="4" w:space="0"/>
            </w:tcBorders>
            <w:noWrap w:val="0"/>
            <w:vAlign w:val="center"/>
          </w:tcPr>
          <w:p w14:paraId="164932DE">
            <w:pPr>
              <w:widowControl/>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二、</w:t>
            </w:r>
            <w:r>
              <w:rPr>
                <w:rFonts w:hint="eastAsia" w:ascii="宋体" w:hAnsi="宋体" w:eastAsia="宋体" w:cs="宋体"/>
                <w:b/>
                <w:bCs/>
                <w:color w:val="auto"/>
                <w:sz w:val="21"/>
                <w:szCs w:val="21"/>
                <w:highlight w:val="none"/>
                <w:lang w:val="en-US" w:eastAsia="zh-CN"/>
              </w:rPr>
              <w:t>服务实施方案</w:t>
            </w:r>
            <w:r>
              <w:rPr>
                <w:rFonts w:hint="eastAsia" w:ascii="宋体" w:hAnsi="宋体" w:eastAsia="宋体" w:cs="宋体"/>
                <w:b/>
                <w:bCs/>
                <w:color w:val="auto"/>
                <w:sz w:val="21"/>
                <w:szCs w:val="21"/>
                <w:highlight w:val="none"/>
              </w:rPr>
              <w:t>部分（</w:t>
            </w:r>
            <w:r>
              <w:rPr>
                <w:rFonts w:hint="eastAsia" w:ascii="宋体" w:hAnsi="宋体" w:eastAsia="宋体" w:cs="宋体"/>
                <w:b/>
                <w:bCs/>
                <w:color w:val="auto"/>
                <w:sz w:val="21"/>
                <w:szCs w:val="21"/>
                <w:highlight w:val="none"/>
                <w:lang w:val="en-US" w:eastAsia="zh-CN"/>
              </w:rPr>
              <w:t>50</w:t>
            </w:r>
            <w:r>
              <w:rPr>
                <w:rFonts w:hint="eastAsia" w:ascii="宋体" w:hAnsi="宋体" w:eastAsia="宋体" w:cs="宋体"/>
                <w:b/>
                <w:bCs/>
                <w:color w:val="auto"/>
                <w:sz w:val="21"/>
                <w:szCs w:val="21"/>
                <w:highlight w:val="none"/>
              </w:rPr>
              <w:t>分）</w:t>
            </w:r>
          </w:p>
        </w:tc>
      </w:tr>
      <w:tr w14:paraId="6E1BE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8" w:hRule="atLeast"/>
          <w:jc w:val="center"/>
        </w:trPr>
        <w:tc>
          <w:tcPr>
            <w:tcW w:w="594" w:type="dxa"/>
            <w:tcBorders>
              <w:top w:val="single" w:color="auto" w:sz="4" w:space="0"/>
              <w:left w:val="single" w:color="auto" w:sz="4" w:space="0"/>
              <w:right w:val="single" w:color="auto" w:sz="4" w:space="0"/>
            </w:tcBorders>
            <w:noWrap w:val="0"/>
            <w:vAlign w:val="center"/>
          </w:tcPr>
          <w:p w14:paraId="45A627DC">
            <w:pPr>
              <w:widowControl/>
              <w:jc w:val="center"/>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t>2.1</w:t>
            </w:r>
          </w:p>
        </w:tc>
        <w:tc>
          <w:tcPr>
            <w:tcW w:w="1233" w:type="dxa"/>
            <w:tcBorders>
              <w:top w:val="single" w:color="auto" w:sz="4" w:space="0"/>
              <w:left w:val="single" w:color="auto" w:sz="4" w:space="0"/>
              <w:right w:val="single" w:color="auto" w:sz="4" w:space="0"/>
            </w:tcBorders>
            <w:noWrap w:val="0"/>
            <w:vAlign w:val="center"/>
          </w:tcPr>
          <w:p w14:paraId="38DAA13D">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休养活动总体服务方案</w:t>
            </w:r>
          </w:p>
        </w:tc>
        <w:tc>
          <w:tcPr>
            <w:tcW w:w="7233" w:type="dxa"/>
            <w:tcBorders>
              <w:top w:val="single" w:color="auto" w:sz="4" w:space="0"/>
              <w:left w:val="single" w:color="auto" w:sz="4" w:space="0"/>
              <w:bottom w:val="single" w:color="auto" w:sz="4" w:space="0"/>
              <w:right w:val="single" w:color="auto" w:sz="4" w:space="0"/>
            </w:tcBorders>
            <w:noWrap w:val="0"/>
            <w:vAlign w:val="center"/>
          </w:tcPr>
          <w:p w14:paraId="1426E5A1">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根据投标人提供的休养活动总体服务方案（包括但不限于项目理解、总体规划）进行评分：</w:t>
            </w:r>
          </w:p>
          <w:p w14:paraId="3966C9C0">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方案内容全面、合理、有针对性，不低于项目需求得</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lang w:eastAsia="zh-CN"/>
              </w:rPr>
              <w:t>分；</w:t>
            </w:r>
          </w:p>
          <w:p w14:paraId="4613FB2F">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方案内容较全面、较合理、较有针对性，基本符合项目需求得</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分；</w:t>
            </w:r>
          </w:p>
          <w:p w14:paraId="4018AE7E">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方案内容有缺漏、欠合理、针对性有欠缺，部分符合项目需求得</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分；</w:t>
            </w:r>
          </w:p>
          <w:p w14:paraId="0CD29C9F">
            <w:pPr>
              <w:spacing w:line="360" w:lineRule="auto"/>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lang w:eastAsia="zh-CN"/>
              </w:rPr>
              <w:t>方案内容不全、不合理、没有针对性，不能满足项目需求或不提供得0分。</w:t>
            </w:r>
          </w:p>
        </w:tc>
        <w:tc>
          <w:tcPr>
            <w:tcW w:w="837" w:type="dxa"/>
            <w:tcBorders>
              <w:top w:val="single" w:color="auto" w:sz="4" w:space="0"/>
              <w:left w:val="single" w:color="auto" w:sz="4" w:space="0"/>
              <w:bottom w:val="single" w:color="auto" w:sz="4" w:space="0"/>
              <w:right w:val="single" w:color="auto" w:sz="4" w:space="0"/>
            </w:tcBorders>
            <w:noWrap w:val="0"/>
            <w:vAlign w:val="center"/>
          </w:tcPr>
          <w:p w14:paraId="0B67C80C">
            <w:pPr>
              <w:widowControl/>
              <w:jc w:val="cente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5</w:t>
            </w:r>
            <w:r>
              <w:rPr>
                <w:rFonts w:hint="eastAsia" w:ascii="宋体" w:hAnsi="宋体" w:eastAsia="宋体" w:cs="宋体"/>
                <w:b/>
                <w:bCs/>
                <w:color w:val="auto"/>
                <w:sz w:val="21"/>
                <w:szCs w:val="21"/>
                <w:highlight w:val="none"/>
              </w:rPr>
              <w:t>分</w:t>
            </w:r>
          </w:p>
        </w:tc>
      </w:tr>
      <w:tr w14:paraId="61355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8" w:hRule="atLeast"/>
          <w:jc w:val="center"/>
        </w:trPr>
        <w:tc>
          <w:tcPr>
            <w:tcW w:w="594" w:type="dxa"/>
            <w:tcBorders>
              <w:top w:val="single" w:color="auto" w:sz="4" w:space="0"/>
              <w:left w:val="single" w:color="auto" w:sz="4" w:space="0"/>
              <w:right w:val="single" w:color="auto" w:sz="4" w:space="0"/>
            </w:tcBorders>
            <w:noWrap w:val="0"/>
            <w:vAlign w:val="center"/>
          </w:tcPr>
          <w:p w14:paraId="09BB8C15">
            <w:pPr>
              <w:widowControl/>
              <w:jc w:val="center"/>
              <w:rPr>
                <w:rFonts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2</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eastAsia="zh-CN"/>
              </w:rPr>
              <w:t>2</w:t>
            </w:r>
          </w:p>
        </w:tc>
        <w:tc>
          <w:tcPr>
            <w:tcW w:w="1233" w:type="dxa"/>
            <w:tcBorders>
              <w:top w:val="single" w:color="auto" w:sz="4" w:space="0"/>
              <w:left w:val="single" w:color="auto" w:sz="4" w:space="0"/>
              <w:right w:val="single" w:color="auto" w:sz="4" w:space="0"/>
            </w:tcBorders>
            <w:noWrap w:val="0"/>
            <w:vAlign w:val="center"/>
          </w:tcPr>
          <w:p w14:paraId="732C0B69">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交通安排方案</w:t>
            </w:r>
          </w:p>
        </w:tc>
        <w:tc>
          <w:tcPr>
            <w:tcW w:w="7233" w:type="dxa"/>
            <w:tcBorders>
              <w:top w:val="single" w:color="auto" w:sz="4" w:space="0"/>
              <w:left w:val="single" w:color="auto" w:sz="4" w:space="0"/>
              <w:bottom w:val="single" w:color="auto" w:sz="4" w:space="0"/>
              <w:right w:val="single" w:color="auto" w:sz="4" w:space="0"/>
            </w:tcBorders>
            <w:noWrap w:val="0"/>
            <w:vAlign w:val="center"/>
          </w:tcPr>
          <w:p w14:paraId="27422EEF">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根据投标人提供的交通安排方案（包括但不限于每条线路的往返交通选择、当地外出车辆标准、交通方式的合理性）进行评分：</w:t>
            </w:r>
          </w:p>
          <w:p w14:paraId="4DAADFEA">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方案内容全面、合理、有针对性，不低于项目需求得</w:t>
            </w: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lang w:eastAsia="zh-CN"/>
              </w:rPr>
              <w:t>分；</w:t>
            </w:r>
          </w:p>
          <w:p w14:paraId="6561F93F">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方案内容较全面、较合理、较有针对性，基本符合项目需求得</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lang w:eastAsia="zh-CN"/>
              </w:rPr>
              <w:t>分；</w:t>
            </w:r>
          </w:p>
          <w:p w14:paraId="26F8B493">
            <w:pPr>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3）方案内容一般，有缺漏、针对性一般，大部分符合项目需求得4分；</w:t>
            </w:r>
          </w:p>
          <w:p w14:paraId="67A7B3EF">
            <w:pPr>
              <w:numPr>
                <w:ilvl w:val="0"/>
                <w:numId w:val="0"/>
              </w:num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SA"/>
              </w:rPr>
              <w:t>4）</w:t>
            </w:r>
            <w:r>
              <w:rPr>
                <w:rFonts w:hint="eastAsia" w:ascii="宋体" w:hAnsi="宋体" w:eastAsia="宋体" w:cs="宋体"/>
                <w:color w:val="auto"/>
                <w:sz w:val="21"/>
                <w:szCs w:val="21"/>
                <w:highlight w:val="none"/>
                <w:lang w:eastAsia="zh-CN"/>
              </w:rPr>
              <w:t>方案内容不合理、针对性</w:t>
            </w:r>
            <w:r>
              <w:rPr>
                <w:rFonts w:hint="eastAsia" w:ascii="宋体" w:hAnsi="宋体" w:eastAsia="宋体" w:cs="宋体"/>
                <w:color w:val="auto"/>
                <w:sz w:val="21"/>
                <w:szCs w:val="21"/>
                <w:highlight w:val="none"/>
                <w:lang w:val="en-US" w:eastAsia="zh-CN"/>
              </w:rPr>
              <w:t>不足</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少部分满足</w:t>
            </w:r>
            <w:r>
              <w:rPr>
                <w:rFonts w:hint="eastAsia" w:ascii="宋体" w:hAnsi="宋体" w:eastAsia="宋体" w:cs="宋体"/>
                <w:color w:val="auto"/>
                <w:sz w:val="21"/>
                <w:szCs w:val="21"/>
                <w:highlight w:val="none"/>
                <w:lang w:eastAsia="zh-CN"/>
              </w:rPr>
              <w:t>项目需求</w:t>
            </w:r>
            <w:r>
              <w:rPr>
                <w:rFonts w:hint="eastAsia" w:ascii="宋体" w:hAnsi="宋体" w:eastAsia="宋体" w:cs="宋体"/>
                <w:color w:val="auto"/>
                <w:sz w:val="21"/>
                <w:szCs w:val="21"/>
                <w:highlight w:val="none"/>
                <w:lang w:val="en-US" w:eastAsia="zh-CN"/>
              </w:rPr>
              <w:t>得1分</w:t>
            </w:r>
          </w:p>
          <w:p w14:paraId="71637545">
            <w:pPr>
              <w:numPr>
                <w:ilvl w:val="0"/>
                <w:numId w:val="0"/>
              </w:numPr>
              <w:spacing w:line="360" w:lineRule="auto"/>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SA"/>
              </w:rPr>
              <w:t>5</w:t>
            </w:r>
            <w:r>
              <w:rPr>
                <w:rFonts w:ascii="宋体" w:hAnsi="宋体" w:eastAsia="宋体" w:cs="宋体"/>
                <w:color w:val="auto"/>
                <w:sz w:val="21"/>
                <w:szCs w:val="21"/>
                <w:highlight w:val="none"/>
                <w:lang w:val="en-US" w:eastAsia="zh-CN" w:bidi="ar-SA"/>
              </w:rPr>
              <w:t>）</w:t>
            </w:r>
            <w:r>
              <w:rPr>
                <w:rFonts w:hint="eastAsia" w:ascii="宋体" w:hAnsi="宋体" w:eastAsia="宋体" w:cs="宋体"/>
                <w:color w:val="auto"/>
                <w:sz w:val="21"/>
                <w:szCs w:val="21"/>
                <w:highlight w:val="none"/>
                <w:lang w:eastAsia="zh-CN"/>
              </w:rPr>
              <w:t>不提供得</w:t>
            </w:r>
            <w:r>
              <w:rPr>
                <w:rFonts w:hint="eastAsia" w:ascii="宋体" w:hAnsi="宋体" w:eastAsia="宋体" w:cs="宋体"/>
                <w:color w:val="auto"/>
                <w:sz w:val="21"/>
                <w:szCs w:val="21"/>
                <w:highlight w:val="none"/>
                <w:lang w:val="en-US" w:eastAsia="zh-CN"/>
              </w:rPr>
              <w:t>0</w:t>
            </w:r>
            <w:r>
              <w:rPr>
                <w:rFonts w:hint="eastAsia" w:ascii="宋体" w:hAnsi="宋体" w:eastAsia="宋体" w:cs="宋体"/>
                <w:color w:val="auto"/>
                <w:sz w:val="21"/>
                <w:szCs w:val="21"/>
                <w:highlight w:val="none"/>
                <w:lang w:eastAsia="zh-CN"/>
              </w:rPr>
              <w:t>分。</w:t>
            </w:r>
          </w:p>
        </w:tc>
        <w:tc>
          <w:tcPr>
            <w:tcW w:w="837" w:type="dxa"/>
            <w:tcBorders>
              <w:top w:val="single" w:color="auto" w:sz="4" w:space="0"/>
              <w:left w:val="single" w:color="auto" w:sz="4" w:space="0"/>
              <w:bottom w:val="single" w:color="auto" w:sz="4" w:space="0"/>
              <w:right w:val="single" w:color="auto" w:sz="4" w:space="0"/>
            </w:tcBorders>
            <w:noWrap w:val="0"/>
            <w:vAlign w:val="center"/>
          </w:tcPr>
          <w:p w14:paraId="64542471">
            <w:pPr>
              <w:widowControl/>
              <w:jc w:val="cente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10</w:t>
            </w:r>
            <w:r>
              <w:rPr>
                <w:rFonts w:hint="eastAsia" w:ascii="宋体" w:hAnsi="宋体" w:eastAsia="宋体" w:cs="宋体"/>
                <w:b/>
                <w:bCs/>
                <w:color w:val="auto"/>
                <w:sz w:val="21"/>
                <w:szCs w:val="21"/>
                <w:highlight w:val="none"/>
              </w:rPr>
              <w:t>分</w:t>
            </w:r>
          </w:p>
        </w:tc>
      </w:tr>
      <w:tr w14:paraId="305FEA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3" w:hRule="atLeast"/>
          <w:jc w:val="center"/>
        </w:trPr>
        <w:tc>
          <w:tcPr>
            <w:tcW w:w="594" w:type="dxa"/>
            <w:tcBorders>
              <w:top w:val="single" w:color="auto" w:sz="4" w:space="0"/>
              <w:left w:val="single" w:color="auto" w:sz="4" w:space="0"/>
              <w:right w:val="single" w:color="auto" w:sz="4" w:space="0"/>
            </w:tcBorders>
            <w:noWrap w:val="0"/>
            <w:vAlign w:val="center"/>
          </w:tcPr>
          <w:p w14:paraId="211E2CC2">
            <w:pPr>
              <w:widowControl/>
              <w:jc w:val="center"/>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2.3</w:t>
            </w:r>
          </w:p>
        </w:tc>
        <w:tc>
          <w:tcPr>
            <w:tcW w:w="1233" w:type="dxa"/>
            <w:tcBorders>
              <w:top w:val="single" w:color="auto" w:sz="4" w:space="0"/>
              <w:left w:val="single" w:color="auto" w:sz="4" w:space="0"/>
              <w:right w:val="single" w:color="auto" w:sz="4" w:space="0"/>
            </w:tcBorders>
            <w:noWrap w:val="0"/>
            <w:vAlign w:val="center"/>
          </w:tcPr>
          <w:p w14:paraId="230CDEAC">
            <w:pPr>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路线安排方案</w:t>
            </w:r>
          </w:p>
        </w:tc>
        <w:tc>
          <w:tcPr>
            <w:tcW w:w="7233" w:type="dxa"/>
            <w:tcBorders>
              <w:top w:val="single" w:color="auto" w:sz="4" w:space="0"/>
              <w:left w:val="single" w:color="auto" w:sz="4" w:space="0"/>
              <w:bottom w:val="single" w:color="auto" w:sz="4" w:space="0"/>
              <w:right w:val="single" w:color="auto" w:sz="4" w:space="0"/>
            </w:tcBorders>
            <w:noWrap w:val="0"/>
            <w:vAlign w:val="center"/>
          </w:tcPr>
          <w:p w14:paraId="2D5DB594">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根据投标人提供的路线安排方案（包括但不限于每条线路中的红色教育学习点、当地具有代表性的特色参观点等相关信息）进行综合评分：</w:t>
            </w:r>
          </w:p>
          <w:p w14:paraId="5E5B67B6">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1）方案内容全面，规划设计合理，对项目需求的针对性强，超出项目预期要求，得</w:t>
            </w: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lang w:eastAsia="zh-CN"/>
              </w:rPr>
              <w:t>分；</w:t>
            </w:r>
          </w:p>
          <w:p w14:paraId="739C161D">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2）方案内容较全面，整体较合理，具备一定的针对性，基本能够契合项目的各项需求，得</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lang w:eastAsia="zh-CN"/>
              </w:rPr>
              <w:t>分；</w:t>
            </w:r>
          </w:p>
          <w:p w14:paraId="178BBD70">
            <w:pPr>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3）</w:t>
            </w:r>
            <w:r>
              <w:rPr>
                <w:rFonts w:hint="eastAsia" w:ascii="宋体" w:hAnsi="宋体" w:eastAsia="宋体" w:cs="宋体"/>
                <w:color w:val="auto"/>
                <w:sz w:val="21"/>
                <w:szCs w:val="21"/>
                <w:highlight w:val="none"/>
                <w:lang w:val="en-US" w:eastAsia="zh-CN"/>
              </w:rPr>
              <w:t>方案内容一般，有缺漏、</w:t>
            </w:r>
            <w:r>
              <w:rPr>
                <w:rFonts w:hint="eastAsia" w:ascii="宋体" w:hAnsi="宋体" w:eastAsia="宋体" w:cs="宋体"/>
                <w:color w:val="auto"/>
                <w:sz w:val="21"/>
                <w:szCs w:val="21"/>
                <w:highlight w:val="none"/>
                <w:lang w:eastAsia="zh-CN"/>
              </w:rPr>
              <w:t>欠合理、针对性</w:t>
            </w:r>
            <w:r>
              <w:rPr>
                <w:rFonts w:hint="eastAsia" w:ascii="宋体" w:hAnsi="宋体" w:eastAsia="宋体" w:cs="宋体"/>
                <w:color w:val="auto"/>
                <w:sz w:val="21"/>
                <w:szCs w:val="21"/>
                <w:highlight w:val="none"/>
                <w:lang w:val="en-US" w:eastAsia="zh-CN"/>
              </w:rPr>
              <w:t>一般，大部分满足项目需求，得4分；</w:t>
            </w:r>
          </w:p>
          <w:p w14:paraId="2F65114A">
            <w:pPr>
              <w:numPr>
                <w:ilvl w:val="0"/>
                <w:numId w:val="0"/>
              </w:num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SA"/>
              </w:rPr>
              <w:t>4）</w:t>
            </w:r>
            <w:r>
              <w:rPr>
                <w:rFonts w:hint="eastAsia" w:ascii="宋体" w:hAnsi="宋体" w:eastAsia="宋体" w:cs="宋体"/>
                <w:color w:val="auto"/>
                <w:sz w:val="21"/>
                <w:szCs w:val="21"/>
                <w:highlight w:val="none"/>
                <w:lang w:eastAsia="zh-CN"/>
              </w:rPr>
              <w:t>方案内容不完整、不合理，针对性</w:t>
            </w:r>
            <w:r>
              <w:rPr>
                <w:rFonts w:hint="eastAsia" w:ascii="宋体" w:hAnsi="宋体" w:eastAsia="宋体" w:cs="宋体"/>
                <w:color w:val="auto"/>
                <w:sz w:val="21"/>
                <w:szCs w:val="21"/>
                <w:highlight w:val="none"/>
                <w:lang w:val="en-US" w:eastAsia="zh-CN"/>
              </w:rPr>
              <w:t>不足</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少部分满足</w:t>
            </w:r>
            <w:r>
              <w:rPr>
                <w:rFonts w:hint="eastAsia" w:ascii="宋体" w:hAnsi="宋体" w:eastAsia="宋体" w:cs="宋体"/>
                <w:color w:val="auto"/>
                <w:sz w:val="21"/>
                <w:szCs w:val="21"/>
                <w:highlight w:val="none"/>
                <w:lang w:eastAsia="zh-CN"/>
              </w:rPr>
              <w:t>项目基本需求，得</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分。</w:t>
            </w:r>
          </w:p>
          <w:p w14:paraId="1D9678F2">
            <w:pPr>
              <w:numPr>
                <w:ilvl w:val="0"/>
                <w:numId w:val="0"/>
              </w:num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SA"/>
              </w:rPr>
              <w:t>5）</w:t>
            </w:r>
            <w:r>
              <w:rPr>
                <w:rFonts w:hint="eastAsia" w:ascii="宋体" w:hAnsi="宋体" w:eastAsia="宋体" w:cs="宋体"/>
                <w:color w:val="auto"/>
                <w:sz w:val="21"/>
                <w:szCs w:val="21"/>
                <w:highlight w:val="none"/>
                <w:lang w:eastAsia="zh-CN"/>
              </w:rPr>
              <w:t>不提供得</w:t>
            </w:r>
            <w:r>
              <w:rPr>
                <w:rFonts w:hint="eastAsia" w:ascii="宋体" w:hAnsi="宋体" w:eastAsia="宋体" w:cs="宋体"/>
                <w:color w:val="auto"/>
                <w:sz w:val="21"/>
                <w:szCs w:val="21"/>
                <w:highlight w:val="none"/>
                <w:lang w:val="en-US" w:eastAsia="zh-CN"/>
              </w:rPr>
              <w:t>0</w:t>
            </w:r>
            <w:r>
              <w:rPr>
                <w:rFonts w:hint="eastAsia" w:ascii="宋体" w:hAnsi="宋体" w:eastAsia="宋体" w:cs="宋体"/>
                <w:color w:val="auto"/>
                <w:sz w:val="21"/>
                <w:szCs w:val="21"/>
                <w:highlight w:val="none"/>
                <w:lang w:eastAsia="zh-CN"/>
              </w:rPr>
              <w:t>分。</w:t>
            </w:r>
          </w:p>
        </w:tc>
        <w:tc>
          <w:tcPr>
            <w:tcW w:w="837" w:type="dxa"/>
            <w:tcBorders>
              <w:top w:val="single" w:color="auto" w:sz="4" w:space="0"/>
              <w:left w:val="single" w:color="auto" w:sz="4" w:space="0"/>
              <w:bottom w:val="single" w:color="auto" w:sz="4" w:space="0"/>
              <w:right w:val="single" w:color="auto" w:sz="4" w:space="0"/>
            </w:tcBorders>
            <w:noWrap w:val="0"/>
            <w:vAlign w:val="center"/>
          </w:tcPr>
          <w:p w14:paraId="7D7BC7DF">
            <w:pPr>
              <w:widowControl/>
              <w:jc w:val="center"/>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10分</w:t>
            </w:r>
          </w:p>
        </w:tc>
      </w:tr>
      <w:tr w14:paraId="4C912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3" w:hRule="atLeast"/>
          <w:jc w:val="center"/>
        </w:trPr>
        <w:tc>
          <w:tcPr>
            <w:tcW w:w="594" w:type="dxa"/>
            <w:tcBorders>
              <w:left w:val="single" w:color="auto" w:sz="4" w:space="0"/>
              <w:right w:val="single" w:color="auto" w:sz="4" w:space="0"/>
            </w:tcBorders>
            <w:noWrap w:val="0"/>
            <w:vAlign w:val="center"/>
          </w:tcPr>
          <w:p w14:paraId="1F47E039">
            <w:pPr>
              <w:widowControl/>
              <w:jc w:val="center"/>
              <w:rPr>
                <w:rFonts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2</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en-US" w:eastAsia="zh-CN"/>
              </w:rPr>
              <w:t>4</w:t>
            </w:r>
          </w:p>
        </w:tc>
        <w:tc>
          <w:tcPr>
            <w:tcW w:w="1233" w:type="dxa"/>
            <w:tcBorders>
              <w:left w:val="single" w:color="auto" w:sz="4" w:space="0"/>
              <w:right w:val="single" w:color="auto" w:sz="4" w:space="0"/>
            </w:tcBorders>
            <w:noWrap w:val="0"/>
            <w:vAlign w:val="center"/>
          </w:tcPr>
          <w:p w14:paraId="049CA3E7">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住宿安排方案</w:t>
            </w:r>
          </w:p>
        </w:tc>
        <w:tc>
          <w:tcPr>
            <w:tcW w:w="7233" w:type="dxa"/>
            <w:tcBorders>
              <w:top w:val="single" w:color="auto" w:sz="4" w:space="0"/>
              <w:left w:val="single" w:color="auto" w:sz="4" w:space="0"/>
              <w:bottom w:val="single" w:color="auto" w:sz="4" w:space="0"/>
              <w:right w:val="single" w:color="auto" w:sz="4" w:space="0"/>
            </w:tcBorders>
            <w:noWrap w:val="0"/>
            <w:vAlign w:val="center"/>
          </w:tcPr>
          <w:p w14:paraId="6F54CADD">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根据投标人提供的住宿安排方案（包括但不限于每条线路的住宿标准、酒店知名度、酒店便捷性）进行评分：</w:t>
            </w:r>
          </w:p>
          <w:p w14:paraId="789A9CD9">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方案内容全面、合理、有针对性，不低于项目需求得</w:t>
            </w: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lang w:eastAsia="zh-CN"/>
              </w:rPr>
              <w:t>分；</w:t>
            </w:r>
          </w:p>
          <w:p w14:paraId="139A09CD">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方案内容较全面、较合理、较有针对性，基本符合项目需求得</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lang w:eastAsia="zh-CN"/>
              </w:rPr>
              <w:t>分；</w:t>
            </w:r>
          </w:p>
          <w:p w14:paraId="0587D0EE">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3）方案内容</w:t>
            </w:r>
            <w:r>
              <w:rPr>
                <w:rFonts w:hint="eastAsia" w:ascii="宋体" w:hAnsi="宋体" w:eastAsia="宋体" w:cs="宋体"/>
                <w:color w:val="auto"/>
                <w:sz w:val="21"/>
                <w:szCs w:val="21"/>
                <w:highlight w:val="none"/>
                <w:lang w:val="en-US" w:eastAsia="zh-CN"/>
              </w:rPr>
              <w:t>一般，有</w:t>
            </w:r>
            <w:r>
              <w:rPr>
                <w:rFonts w:hint="eastAsia" w:ascii="宋体" w:hAnsi="宋体" w:eastAsia="宋体" w:cs="宋体"/>
                <w:color w:val="auto"/>
                <w:sz w:val="21"/>
                <w:szCs w:val="21"/>
                <w:highlight w:val="none"/>
                <w:lang w:eastAsia="zh-CN"/>
              </w:rPr>
              <w:t>缺漏、欠合理、针对性</w:t>
            </w:r>
            <w:r>
              <w:rPr>
                <w:rFonts w:hint="eastAsia" w:ascii="宋体" w:hAnsi="宋体" w:eastAsia="宋体" w:cs="宋体"/>
                <w:color w:val="auto"/>
                <w:sz w:val="21"/>
                <w:szCs w:val="21"/>
                <w:highlight w:val="none"/>
                <w:lang w:val="en-US" w:eastAsia="zh-CN"/>
              </w:rPr>
              <w:t>一般</w:t>
            </w:r>
            <w:r>
              <w:rPr>
                <w:rFonts w:hint="eastAsia" w:ascii="宋体" w:hAnsi="宋体" w:eastAsia="宋体" w:cs="宋体"/>
                <w:color w:val="auto"/>
                <w:sz w:val="21"/>
                <w:szCs w:val="21"/>
                <w:highlight w:val="none"/>
                <w:lang w:eastAsia="zh-CN"/>
              </w:rPr>
              <w:t>，部分符合项目需求得</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lang w:eastAsia="zh-CN"/>
              </w:rPr>
              <w:t>分；</w:t>
            </w:r>
          </w:p>
          <w:p w14:paraId="27A8EDD1">
            <w:pPr>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lang w:eastAsia="zh-CN"/>
              </w:rPr>
              <w:t>方案内容不完整、不合理，针对性</w:t>
            </w:r>
            <w:r>
              <w:rPr>
                <w:rFonts w:hint="eastAsia" w:ascii="宋体" w:hAnsi="宋体" w:eastAsia="宋体" w:cs="宋体"/>
                <w:color w:val="auto"/>
                <w:sz w:val="21"/>
                <w:szCs w:val="21"/>
                <w:highlight w:val="none"/>
                <w:lang w:val="en-US" w:eastAsia="zh-CN"/>
              </w:rPr>
              <w:t>不足</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少部分满足</w:t>
            </w:r>
            <w:r>
              <w:rPr>
                <w:rFonts w:hint="eastAsia" w:ascii="宋体" w:hAnsi="宋体" w:eastAsia="宋体" w:cs="宋体"/>
                <w:color w:val="auto"/>
                <w:sz w:val="21"/>
                <w:szCs w:val="21"/>
                <w:highlight w:val="none"/>
                <w:lang w:eastAsia="zh-CN"/>
              </w:rPr>
              <w:t>项目基本需求，得</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分；</w:t>
            </w:r>
          </w:p>
          <w:p w14:paraId="3946A0BD">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lang w:eastAsia="zh-CN"/>
              </w:rPr>
              <w:t>不提供得0分。</w:t>
            </w:r>
          </w:p>
        </w:tc>
        <w:tc>
          <w:tcPr>
            <w:tcW w:w="837" w:type="dxa"/>
            <w:tcBorders>
              <w:top w:val="single" w:color="auto" w:sz="4" w:space="0"/>
              <w:left w:val="single" w:color="auto" w:sz="4" w:space="0"/>
              <w:bottom w:val="single" w:color="auto" w:sz="4" w:space="0"/>
              <w:right w:val="single" w:color="auto" w:sz="4" w:space="0"/>
            </w:tcBorders>
            <w:noWrap w:val="0"/>
            <w:vAlign w:val="center"/>
          </w:tcPr>
          <w:p w14:paraId="6A27CC2C">
            <w:pPr>
              <w:widowControl/>
              <w:jc w:val="cente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10</w:t>
            </w:r>
            <w:r>
              <w:rPr>
                <w:rFonts w:hint="eastAsia" w:ascii="宋体" w:hAnsi="宋体" w:eastAsia="宋体" w:cs="宋体"/>
                <w:b/>
                <w:bCs/>
                <w:color w:val="auto"/>
                <w:sz w:val="21"/>
                <w:szCs w:val="21"/>
                <w:highlight w:val="none"/>
              </w:rPr>
              <w:t>分</w:t>
            </w:r>
          </w:p>
        </w:tc>
      </w:tr>
      <w:tr w14:paraId="564EE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3" w:hRule="atLeast"/>
          <w:jc w:val="center"/>
        </w:trPr>
        <w:tc>
          <w:tcPr>
            <w:tcW w:w="594" w:type="dxa"/>
            <w:tcBorders>
              <w:left w:val="single" w:color="auto" w:sz="4" w:space="0"/>
              <w:right w:val="single" w:color="auto" w:sz="4" w:space="0"/>
            </w:tcBorders>
            <w:noWrap w:val="0"/>
            <w:vAlign w:val="center"/>
          </w:tcPr>
          <w:p w14:paraId="3E3EAF78">
            <w:pPr>
              <w:widowControl/>
              <w:jc w:val="center"/>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2.</w:t>
            </w:r>
            <w:r>
              <w:rPr>
                <w:rFonts w:hint="eastAsia" w:ascii="宋体" w:hAnsi="宋体" w:eastAsia="宋体" w:cs="宋体"/>
                <w:b/>
                <w:bCs/>
                <w:color w:val="auto"/>
                <w:sz w:val="21"/>
                <w:szCs w:val="21"/>
                <w:highlight w:val="none"/>
                <w:lang w:val="en-US" w:eastAsia="zh-CN"/>
              </w:rPr>
              <w:t>5</w:t>
            </w:r>
          </w:p>
        </w:tc>
        <w:tc>
          <w:tcPr>
            <w:tcW w:w="1233" w:type="dxa"/>
            <w:tcBorders>
              <w:left w:val="single" w:color="auto" w:sz="4" w:space="0"/>
              <w:right w:val="single" w:color="auto" w:sz="4" w:space="0"/>
            </w:tcBorders>
            <w:noWrap w:val="0"/>
            <w:vAlign w:val="center"/>
          </w:tcPr>
          <w:p w14:paraId="7DA084BA">
            <w:pPr>
              <w:jc w:val="center"/>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餐饮安排方案</w:t>
            </w:r>
          </w:p>
        </w:tc>
        <w:tc>
          <w:tcPr>
            <w:tcW w:w="7233" w:type="dxa"/>
            <w:tcBorders>
              <w:top w:val="single" w:color="auto" w:sz="4" w:space="0"/>
              <w:left w:val="single" w:color="auto" w:sz="4" w:space="0"/>
              <w:bottom w:val="single" w:color="auto" w:sz="4" w:space="0"/>
              <w:right w:val="single" w:color="auto" w:sz="4" w:space="0"/>
            </w:tcBorders>
            <w:noWrap w:val="0"/>
            <w:vAlign w:val="center"/>
          </w:tcPr>
          <w:p w14:paraId="55EBC41B">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根据投标人提供的餐饮安排方案（包括但不限于每条线路的餐饮标准（早餐使用酒店自助餐；中晚餐使用酒店自助餐或统一安排桌餐，按照每人每餐不低于100元标准）、特色饮食、调配方案）进行评分：</w:t>
            </w:r>
          </w:p>
          <w:p w14:paraId="52F5050F">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方案内容全面、合理、有针对性，不低于项目需求得</w:t>
            </w: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lang w:eastAsia="zh-CN"/>
              </w:rPr>
              <w:t>分；</w:t>
            </w:r>
          </w:p>
          <w:p w14:paraId="076ED443">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方案内容较全面、较合理、较有针对性，基本符合项目需求得</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lang w:eastAsia="zh-CN"/>
              </w:rPr>
              <w:t>分；</w:t>
            </w:r>
          </w:p>
          <w:p w14:paraId="3A2B7AA7">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方案内容</w:t>
            </w:r>
            <w:r>
              <w:rPr>
                <w:rFonts w:hint="eastAsia" w:ascii="宋体" w:hAnsi="宋体" w:eastAsia="宋体" w:cs="宋体"/>
                <w:color w:val="auto"/>
                <w:sz w:val="21"/>
                <w:szCs w:val="21"/>
                <w:highlight w:val="none"/>
                <w:lang w:val="en-US" w:eastAsia="zh-CN"/>
              </w:rPr>
              <w:t>一般，</w:t>
            </w:r>
            <w:r>
              <w:rPr>
                <w:rFonts w:hint="eastAsia" w:ascii="宋体" w:hAnsi="宋体" w:eastAsia="宋体" w:cs="宋体"/>
                <w:color w:val="auto"/>
                <w:sz w:val="21"/>
                <w:szCs w:val="21"/>
                <w:highlight w:val="none"/>
                <w:lang w:eastAsia="zh-CN"/>
              </w:rPr>
              <w:t>有缺漏、欠合理、针对性</w:t>
            </w:r>
            <w:r>
              <w:rPr>
                <w:rFonts w:hint="eastAsia" w:ascii="宋体" w:hAnsi="宋体" w:eastAsia="宋体" w:cs="宋体"/>
                <w:color w:val="auto"/>
                <w:sz w:val="21"/>
                <w:szCs w:val="21"/>
                <w:highlight w:val="none"/>
                <w:lang w:val="en-US" w:eastAsia="zh-CN"/>
              </w:rPr>
              <w:t>一般</w:t>
            </w:r>
            <w:r>
              <w:rPr>
                <w:rFonts w:hint="eastAsia" w:ascii="宋体" w:hAnsi="宋体" w:eastAsia="宋体" w:cs="宋体"/>
                <w:color w:val="auto"/>
                <w:sz w:val="21"/>
                <w:szCs w:val="21"/>
                <w:highlight w:val="none"/>
                <w:lang w:eastAsia="zh-CN"/>
              </w:rPr>
              <w:t>，部分符合项目需求得</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lang w:eastAsia="zh-CN"/>
              </w:rPr>
              <w:t>分；</w:t>
            </w:r>
          </w:p>
          <w:p w14:paraId="3B7C9463">
            <w:pPr>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lang w:eastAsia="zh-CN"/>
              </w:rPr>
              <w:t>方案内容不完整、不合理，针对性</w:t>
            </w:r>
            <w:r>
              <w:rPr>
                <w:rFonts w:hint="eastAsia" w:ascii="宋体" w:hAnsi="宋体" w:eastAsia="宋体" w:cs="宋体"/>
                <w:color w:val="auto"/>
                <w:sz w:val="21"/>
                <w:szCs w:val="21"/>
                <w:highlight w:val="none"/>
                <w:lang w:val="en-US" w:eastAsia="zh-CN"/>
              </w:rPr>
              <w:t>不足</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少部分满足</w:t>
            </w:r>
            <w:r>
              <w:rPr>
                <w:rFonts w:hint="eastAsia" w:ascii="宋体" w:hAnsi="宋体" w:eastAsia="宋体" w:cs="宋体"/>
                <w:color w:val="auto"/>
                <w:sz w:val="21"/>
                <w:szCs w:val="21"/>
                <w:highlight w:val="none"/>
                <w:lang w:eastAsia="zh-CN"/>
              </w:rPr>
              <w:t>项目基本需求，得</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分</w:t>
            </w:r>
            <w:r>
              <w:rPr>
                <w:rFonts w:hint="eastAsia" w:ascii="宋体" w:hAnsi="宋体" w:eastAsia="宋体" w:cs="宋体"/>
                <w:color w:val="auto"/>
                <w:sz w:val="21"/>
                <w:szCs w:val="21"/>
                <w:highlight w:val="none"/>
                <w:lang w:val="en-US" w:eastAsia="zh-CN"/>
              </w:rPr>
              <w:t>；</w:t>
            </w:r>
          </w:p>
          <w:p w14:paraId="1F8D86A5">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lang w:eastAsia="zh-CN"/>
              </w:rPr>
              <w:t>不提供得0分。</w:t>
            </w:r>
          </w:p>
        </w:tc>
        <w:tc>
          <w:tcPr>
            <w:tcW w:w="837" w:type="dxa"/>
            <w:tcBorders>
              <w:top w:val="single" w:color="auto" w:sz="4" w:space="0"/>
              <w:left w:val="single" w:color="auto" w:sz="4" w:space="0"/>
              <w:bottom w:val="single" w:color="auto" w:sz="4" w:space="0"/>
              <w:right w:val="single" w:color="auto" w:sz="4" w:space="0"/>
            </w:tcBorders>
            <w:noWrap w:val="0"/>
            <w:vAlign w:val="center"/>
          </w:tcPr>
          <w:p w14:paraId="69E95056">
            <w:pPr>
              <w:widowControl/>
              <w:jc w:val="center"/>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10</w:t>
            </w:r>
            <w:r>
              <w:rPr>
                <w:rFonts w:hint="eastAsia" w:ascii="宋体" w:hAnsi="宋体" w:eastAsia="宋体" w:cs="宋体"/>
                <w:b/>
                <w:bCs/>
                <w:color w:val="auto"/>
                <w:sz w:val="21"/>
                <w:szCs w:val="21"/>
                <w:highlight w:val="none"/>
              </w:rPr>
              <w:t>分</w:t>
            </w:r>
          </w:p>
        </w:tc>
      </w:tr>
      <w:tr w14:paraId="427E5B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7" w:hRule="atLeast"/>
          <w:jc w:val="center"/>
        </w:trPr>
        <w:tc>
          <w:tcPr>
            <w:tcW w:w="594" w:type="dxa"/>
            <w:tcBorders>
              <w:left w:val="single" w:color="auto" w:sz="4" w:space="0"/>
              <w:right w:val="single" w:color="auto" w:sz="4" w:space="0"/>
            </w:tcBorders>
            <w:noWrap w:val="0"/>
            <w:vAlign w:val="center"/>
          </w:tcPr>
          <w:p w14:paraId="250C3EAB">
            <w:pPr>
              <w:widowControl/>
              <w:jc w:val="center"/>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eastAsia="zh-CN"/>
              </w:rPr>
              <w:t>2.</w:t>
            </w:r>
            <w:r>
              <w:rPr>
                <w:rFonts w:hint="eastAsia" w:ascii="宋体" w:hAnsi="宋体" w:eastAsia="宋体" w:cs="宋体"/>
                <w:b/>
                <w:bCs/>
                <w:color w:val="auto"/>
                <w:sz w:val="21"/>
                <w:szCs w:val="21"/>
                <w:highlight w:val="none"/>
                <w:lang w:val="en-US" w:eastAsia="zh-CN"/>
              </w:rPr>
              <w:t>6</w:t>
            </w:r>
          </w:p>
        </w:tc>
        <w:tc>
          <w:tcPr>
            <w:tcW w:w="1233" w:type="dxa"/>
            <w:tcBorders>
              <w:left w:val="single" w:color="auto" w:sz="4" w:space="0"/>
              <w:right w:val="single" w:color="auto" w:sz="4" w:space="0"/>
            </w:tcBorders>
            <w:noWrap w:val="0"/>
            <w:vAlign w:val="center"/>
          </w:tcPr>
          <w:p w14:paraId="3C5F8CD2">
            <w:pPr>
              <w:jc w:val="center"/>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t>应急危机处理机制</w:t>
            </w:r>
          </w:p>
        </w:tc>
        <w:tc>
          <w:tcPr>
            <w:tcW w:w="7233" w:type="dxa"/>
            <w:tcBorders>
              <w:top w:val="single" w:color="auto" w:sz="4" w:space="0"/>
              <w:left w:val="single" w:color="auto" w:sz="4" w:space="0"/>
              <w:bottom w:val="single" w:color="auto" w:sz="4" w:space="0"/>
              <w:right w:val="single" w:color="auto" w:sz="4" w:space="0"/>
            </w:tcBorders>
            <w:noWrap w:val="0"/>
            <w:vAlign w:val="center"/>
          </w:tcPr>
          <w:p w14:paraId="6F975E83">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根据</w:t>
            </w:r>
            <w:r>
              <w:rPr>
                <w:rFonts w:hint="eastAsia" w:ascii="宋体" w:hAnsi="宋体" w:eastAsia="宋体" w:cs="宋体"/>
                <w:color w:val="auto"/>
                <w:sz w:val="21"/>
                <w:szCs w:val="21"/>
                <w:highlight w:val="none"/>
                <w:lang w:val="en-US" w:eastAsia="zh-CN"/>
              </w:rPr>
              <w:t>投标人</w:t>
            </w:r>
            <w:r>
              <w:rPr>
                <w:rFonts w:hint="eastAsia" w:ascii="宋体" w:hAnsi="宋体" w:eastAsia="宋体" w:cs="宋体"/>
                <w:color w:val="auto"/>
                <w:sz w:val="21"/>
                <w:szCs w:val="21"/>
                <w:highlight w:val="none"/>
                <w:lang w:eastAsia="zh-CN"/>
              </w:rPr>
              <w:t>提供</w:t>
            </w:r>
            <w:r>
              <w:rPr>
                <w:rFonts w:hint="eastAsia" w:ascii="宋体" w:hAnsi="宋体" w:eastAsia="宋体" w:cs="宋体"/>
                <w:color w:val="auto"/>
                <w:sz w:val="21"/>
                <w:szCs w:val="21"/>
                <w:highlight w:val="none"/>
                <w:lang w:val="en-US" w:eastAsia="zh-CN"/>
              </w:rPr>
              <w:t>的应急危机处理机制（包括但不限于突发疾病、人员安全、交通事故等突发状况的预防措施和应急处理方案）进行评分：</w:t>
            </w:r>
          </w:p>
          <w:p w14:paraId="274EBE68">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方案内容全面、合理、</w:t>
            </w:r>
            <w:r>
              <w:rPr>
                <w:rFonts w:hint="eastAsia" w:ascii="宋体" w:hAnsi="宋体" w:eastAsia="宋体" w:cs="宋体"/>
                <w:color w:val="auto"/>
                <w:sz w:val="21"/>
                <w:szCs w:val="21"/>
                <w:highlight w:val="none"/>
                <w:lang w:val="en-US" w:eastAsia="zh-CN"/>
              </w:rPr>
              <w:t>有</w:t>
            </w:r>
            <w:r>
              <w:rPr>
                <w:rFonts w:hint="eastAsia" w:ascii="宋体" w:hAnsi="宋体" w:eastAsia="宋体" w:cs="宋体"/>
                <w:color w:val="auto"/>
                <w:sz w:val="21"/>
                <w:szCs w:val="21"/>
                <w:highlight w:val="none"/>
                <w:lang w:eastAsia="zh-CN"/>
              </w:rPr>
              <w:t>针对性得</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lang w:eastAsia="zh-CN"/>
              </w:rPr>
              <w:t>分；</w:t>
            </w:r>
          </w:p>
          <w:p w14:paraId="3B557BC5">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方案内容</w:t>
            </w:r>
            <w:r>
              <w:rPr>
                <w:rFonts w:hint="eastAsia" w:ascii="宋体" w:hAnsi="宋体" w:eastAsia="宋体" w:cs="宋体"/>
                <w:color w:val="auto"/>
                <w:sz w:val="21"/>
                <w:szCs w:val="21"/>
                <w:highlight w:val="none"/>
                <w:lang w:val="en-US" w:eastAsia="zh-CN"/>
              </w:rPr>
              <w:t>较</w:t>
            </w:r>
            <w:r>
              <w:rPr>
                <w:rFonts w:hint="eastAsia" w:ascii="宋体" w:hAnsi="宋体" w:eastAsia="宋体" w:cs="宋体"/>
                <w:color w:val="auto"/>
                <w:sz w:val="21"/>
                <w:szCs w:val="21"/>
                <w:highlight w:val="none"/>
                <w:lang w:eastAsia="zh-CN"/>
              </w:rPr>
              <w:t>全面、</w:t>
            </w:r>
            <w:r>
              <w:rPr>
                <w:rFonts w:hint="eastAsia" w:ascii="宋体" w:hAnsi="宋体" w:eastAsia="宋体" w:cs="宋体"/>
                <w:color w:val="auto"/>
                <w:sz w:val="21"/>
                <w:szCs w:val="21"/>
                <w:highlight w:val="none"/>
                <w:lang w:val="en-US" w:eastAsia="zh-CN"/>
              </w:rPr>
              <w:t>较</w:t>
            </w:r>
            <w:r>
              <w:rPr>
                <w:rFonts w:hint="eastAsia" w:ascii="宋体" w:hAnsi="宋体" w:eastAsia="宋体" w:cs="宋体"/>
                <w:color w:val="auto"/>
                <w:sz w:val="21"/>
                <w:szCs w:val="21"/>
                <w:highlight w:val="none"/>
                <w:lang w:eastAsia="zh-CN"/>
              </w:rPr>
              <w:t>合理、</w:t>
            </w:r>
            <w:r>
              <w:rPr>
                <w:rFonts w:hint="eastAsia" w:ascii="宋体" w:hAnsi="宋体" w:eastAsia="宋体" w:cs="宋体"/>
                <w:color w:val="auto"/>
                <w:sz w:val="21"/>
                <w:szCs w:val="21"/>
                <w:highlight w:val="none"/>
                <w:lang w:val="en-US" w:eastAsia="zh-CN"/>
              </w:rPr>
              <w:t>较有</w:t>
            </w:r>
            <w:r>
              <w:rPr>
                <w:rFonts w:hint="eastAsia" w:ascii="宋体" w:hAnsi="宋体" w:eastAsia="宋体" w:cs="宋体"/>
                <w:color w:val="auto"/>
                <w:sz w:val="21"/>
                <w:szCs w:val="21"/>
                <w:highlight w:val="none"/>
                <w:lang w:eastAsia="zh-CN"/>
              </w:rPr>
              <w:t>针对性</w:t>
            </w:r>
            <w:r>
              <w:rPr>
                <w:rFonts w:hint="eastAsia" w:ascii="宋体" w:hAnsi="宋体" w:eastAsia="宋体" w:cs="宋体"/>
                <w:color w:val="auto"/>
                <w:sz w:val="21"/>
                <w:szCs w:val="21"/>
                <w:highlight w:val="none"/>
                <w:lang w:val="en-US" w:eastAsia="zh-CN"/>
              </w:rPr>
              <w:t>得3</w:t>
            </w:r>
            <w:r>
              <w:rPr>
                <w:rFonts w:hint="eastAsia" w:ascii="宋体" w:hAnsi="宋体" w:eastAsia="宋体" w:cs="宋体"/>
                <w:color w:val="auto"/>
                <w:sz w:val="21"/>
                <w:szCs w:val="21"/>
                <w:highlight w:val="none"/>
                <w:lang w:eastAsia="zh-CN"/>
              </w:rPr>
              <w:t>分；</w:t>
            </w:r>
          </w:p>
          <w:p w14:paraId="7DA5F147">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方案内容</w:t>
            </w:r>
            <w:r>
              <w:rPr>
                <w:rFonts w:hint="eastAsia" w:ascii="宋体" w:hAnsi="宋体" w:eastAsia="宋体" w:cs="宋体"/>
                <w:color w:val="auto"/>
                <w:sz w:val="21"/>
                <w:szCs w:val="21"/>
                <w:highlight w:val="none"/>
                <w:lang w:val="en-US" w:eastAsia="zh-CN"/>
              </w:rPr>
              <w:t>有缺漏</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欠合理</w:t>
            </w:r>
            <w:r>
              <w:rPr>
                <w:rFonts w:hint="eastAsia" w:ascii="宋体" w:hAnsi="宋体" w:eastAsia="宋体" w:cs="宋体"/>
                <w:color w:val="auto"/>
                <w:sz w:val="21"/>
                <w:szCs w:val="21"/>
                <w:highlight w:val="none"/>
                <w:lang w:eastAsia="zh-CN"/>
              </w:rPr>
              <w:t>、针对性</w:t>
            </w:r>
            <w:r>
              <w:rPr>
                <w:rFonts w:hint="eastAsia" w:ascii="宋体" w:hAnsi="宋体" w:eastAsia="宋体" w:cs="宋体"/>
                <w:color w:val="auto"/>
                <w:sz w:val="21"/>
                <w:szCs w:val="21"/>
                <w:highlight w:val="none"/>
                <w:lang w:val="en-US" w:eastAsia="zh-CN"/>
              </w:rPr>
              <w:t>有欠缺</w:t>
            </w:r>
            <w:r>
              <w:rPr>
                <w:rFonts w:hint="eastAsia" w:ascii="宋体" w:hAnsi="宋体" w:eastAsia="宋体" w:cs="宋体"/>
                <w:color w:val="auto"/>
                <w:sz w:val="21"/>
                <w:szCs w:val="21"/>
                <w:highlight w:val="none"/>
                <w:lang w:eastAsia="zh-CN"/>
              </w:rPr>
              <w:t>得</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分；</w:t>
            </w:r>
          </w:p>
          <w:p w14:paraId="1B43CA22">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4）方案内容不全、不合理、没有针对性或不提供得0分。</w:t>
            </w:r>
          </w:p>
        </w:tc>
        <w:tc>
          <w:tcPr>
            <w:tcW w:w="837" w:type="dxa"/>
            <w:tcBorders>
              <w:top w:val="single" w:color="auto" w:sz="4" w:space="0"/>
              <w:left w:val="single" w:color="auto" w:sz="4" w:space="0"/>
              <w:bottom w:val="single" w:color="auto" w:sz="4" w:space="0"/>
              <w:right w:val="single" w:color="auto" w:sz="4" w:space="0"/>
            </w:tcBorders>
            <w:noWrap w:val="0"/>
            <w:vAlign w:val="center"/>
          </w:tcPr>
          <w:p w14:paraId="01FA8228">
            <w:pPr>
              <w:jc w:val="center"/>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5</w:t>
            </w:r>
            <w:r>
              <w:rPr>
                <w:rFonts w:hint="eastAsia" w:ascii="宋体" w:hAnsi="宋体" w:eastAsia="宋体" w:cs="宋体"/>
                <w:b/>
                <w:bCs/>
                <w:color w:val="auto"/>
                <w:sz w:val="21"/>
                <w:szCs w:val="21"/>
                <w:highlight w:val="none"/>
                <w:lang w:eastAsia="zh-CN"/>
              </w:rPr>
              <w:t>分</w:t>
            </w:r>
          </w:p>
        </w:tc>
      </w:tr>
      <w:tr w14:paraId="75B81F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9897" w:type="dxa"/>
            <w:gridSpan w:val="4"/>
            <w:tcBorders>
              <w:left w:val="single" w:color="auto" w:sz="4" w:space="0"/>
              <w:bottom w:val="single" w:color="auto" w:sz="4" w:space="0"/>
              <w:right w:val="single" w:color="auto" w:sz="4" w:space="0"/>
            </w:tcBorders>
            <w:noWrap w:val="0"/>
            <w:vAlign w:val="center"/>
          </w:tcPr>
          <w:p w14:paraId="5F02CA42">
            <w:pPr>
              <w:widowControl/>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三、商务部分（</w:t>
            </w:r>
            <w:r>
              <w:rPr>
                <w:rFonts w:hint="eastAsia" w:ascii="宋体" w:hAnsi="宋体" w:eastAsia="宋体" w:cs="宋体"/>
                <w:b/>
                <w:bCs/>
                <w:color w:val="auto"/>
                <w:sz w:val="21"/>
                <w:szCs w:val="21"/>
                <w:highlight w:val="none"/>
                <w:lang w:val="en-US" w:eastAsia="zh-CN"/>
              </w:rPr>
              <w:t>20</w:t>
            </w:r>
            <w:r>
              <w:rPr>
                <w:rFonts w:hint="eastAsia" w:ascii="宋体" w:hAnsi="宋体" w:eastAsia="宋体" w:cs="宋体"/>
                <w:b/>
                <w:bCs/>
                <w:color w:val="auto"/>
                <w:sz w:val="21"/>
                <w:szCs w:val="21"/>
                <w:highlight w:val="none"/>
              </w:rPr>
              <w:t>分）</w:t>
            </w:r>
          </w:p>
        </w:tc>
      </w:tr>
      <w:tr w14:paraId="430CDE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51" w:hRule="atLeast"/>
          <w:jc w:val="center"/>
        </w:trPr>
        <w:tc>
          <w:tcPr>
            <w:tcW w:w="594" w:type="dxa"/>
            <w:tcBorders>
              <w:left w:val="single" w:color="auto" w:sz="4" w:space="0"/>
              <w:bottom w:val="single" w:color="auto" w:sz="4" w:space="0"/>
              <w:right w:val="single" w:color="auto" w:sz="4" w:space="0"/>
            </w:tcBorders>
            <w:noWrap w:val="0"/>
            <w:vAlign w:val="center"/>
          </w:tcPr>
          <w:p w14:paraId="64DDEF13">
            <w:pPr>
              <w:widowControl/>
              <w:jc w:val="center"/>
              <w:rPr>
                <w:rFonts w:hint="default"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lang w:eastAsia="zh-CN"/>
              </w:rPr>
              <w:t>3</w:t>
            </w:r>
            <w:r>
              <w:rPr>
                <w:rFonts w:hint="eastAsia" w:ascii="宋体" w:hAnsi="宋体" w:eastAsia="宋体" w:cs="宋体"/>
                <w:b/>
                <w:bCs/>
                <w:color w:val="auto"/>
                <w:sz w:val="21"/>
                <w:szCs w:val="21"/>
                <w:highlight w:val="none"/>
                <w:lang w:val="en-US" w:eastAsia="zh-CN"/>
              </w:rPr>
              <w:t>.1</w:t>
            </w:r>
          </w:p>
        </w:tc>
        <w:tc>
          <w:tcPr>
            <w:tcW w:w="1233" w:type="dxa"/>
            <w:tcBorders>
              <w:left w:val="single" w:color="auto" w:sz="4" w:space="0"/>
              <w:right w:val="single" w:color="auto" w:sz="4" w:space="0"/>
            </w:tcBorders>
            <w:noWrap w:val="0"/>
            <w:vAlign w:val="center"/>
          </w:tcPr>
          <w:p w14:paraId="76D94E15">
            <w:pPr>
              <w:jc w:val="center"/>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投标人履约能力</w:t>
            </w:r>
          </w:p>
        </w:tc>
        <w:tc>
          <w:tcPr>
            <w:tcW w:w="7233" w:type="dxa"/>
            <w:tcBorders>
              <w:top w:val="single" w:color="auto" w:sz="4" w:space="0"/>
              <w:left w:val="single" w:color="auto" w:sz="4" w:space="0"/>
              <w:bottom w:val="single" w:color="auto" w:sz="4" w:space="0"/>
              <w:right w:val="single" w:color="auto" w:sz="4" w:space="0"/>
            </w:tcBorders>
            <w:noWrap w:val="0"/>
            <w:vAlign w:val="center"/>
          </w:tcPr>
          <w:p w14:paraId="50986B21">
            <w:pPr>
              <w:numPr>
                <w:ilvl w:val="0"/>
                <w:numId w:val="9"/>
              </w:num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根据投标人拟投入本项目（</w:t>
            </w:r>
            <w:r>
              <w:rPr>
                <w:rFonts w:hint="eastAsia" w:ascii="宋体" w:hAnsi="宋体" w:eastAsia="宋体" w:cs="宋体"/>
                <w:color w:val="auto"/>
                <w:sz w:val="21"/>
                <w:szCs w:val="21"/>
                <w:highlight w:val="none"/>
                <w:lang w:val="en-US" w:eastAsia="zh-CN"/>
              </w:rPr>
              <w:t>除项目负责人外）</w:t>
            </w:r>
            <w:r>
              <w:rPr>
                <w:rFonts w:hint="eastAsia" w:ascii="宋体" w:hAnsi="宋体" w:eastAsia="宋体" w:cs="宋体"/>
                <w:color w:val="auto"/>
                <w:sz w:val="21"/>
                <w:szCs w:val="21"/>
                <w:highlight w:val="none"/>
                <w:lang w:eastAsia="zh-CN"/>
              </w:rPr>
              <w:t>的全程导游进行评分：</w:t>
            </w:r>
          </w:p>
          <w:p w14:paraId="4AF42108">
            <w:pPr>
              <w:spacing w:line="360" w:lineRule="auto"/>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w:t>
            </w:r>
            <w:r>
              <w:rPr>
                <w:rFonts w:hint="eastAsia" w:ascii="宋体" w:hAnsi="宋体" w:eastAsia="宋体" w:cs="宋体"/>
                <w:color w:val="auto"/>
                <w:sz w:val="21"/>
                <w:szCs w:val="21"/>
                <w:highlight w:val="none"/>
                <w:lang w:val="en-US" w:eastAsia="zh-CN"/>
              </w:rPr>
              <w:t>各批次</w:t>
            </w:r>
            <w:r>
              <w:rPr>
                <w:rFonts w:hint="eastAsia" w:ascii="宋体" w:hAnsi="宋体" w:eastAsia="宋体" w:cs="宋体"/>
                <w:color w:val="auto"/>
                <w:sz w:val="21"/>
                <w:szCs w:val="21"/>
                <w:highlight w:val="none"/>
                <w:lang w:eastAsia="zh-CN"/>
              </w:rPr>
              <w:t>行程配备的全程导游具有类似健康休养服务经历的，每提供1</w:t>
            </w:r>
            <w:r>
              <w:rPr>
                <w:rFonts w:hint="eastAsia" w:ascii="宋体" w:hAnsi="宋体" w:eastAsia="宋体" w:cs="宋体"/>
                <w:color w:val="auto"/>
                <w:sz w:val="21"/>
                <w:szCs w:val="21"/>
                <w:highlight w:val="none"/>
                <w:lang w:val="en-US" w:eastAsia="zh-CN"/>
              </w:rPr>
              <w:t>人</w:t>
            </w:r>
            <w:r>
              <w:rPr>
                <w:rFonts w:hint="eastAsia" w:ascii="宋体" w:hAnsi="宋体" w:eastAsia="宋体" w:cs="宋体"/>
                <w:color w:val="auto"/>
                <w:sz w:val="21"/>
                <w:szCs w:val="21"/>
                <w:highlight w:val="none"/>
                <w:lang w:eastAsia="zh-CN"/>
              </w:rPr>
              <w:t>得</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分，本项最高为</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lang w:eastAsia="zh-CN"/>
              </w:rPr>
              <w:t>分；</w:t>
            </w:r>
          </w:p>
          <w:p w14:paraId="4E54B6E3">
            <w:pPr>
              <w:spacing w:line="360" w:lineRule="auto"/>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w:t>
            </w:r>
            <w:r>
              <w:rPr>
                <w:rFonts w:hint="eastAsia" w:ascii="宋体" w:hAnsi="宋体" w:eastAsia="宋体" w:cs="宋体"/>
                <w:color w:val="auto"/>
                <w:sz w:val="21"/>
                <w:szCs w:val="21"/>
                <w:highlight w:val="none"/>
                <w:lang w:val="en-US" w:eastAsia="zh-CN"/>
              </w:rPr>
              <w:t>各</w:t>
            </w:r>
            <w:r>
              <w:rPr>
                <w:rFonts w:hint="eastAsia" w:ascii="宋体" w:hAnsi="宋体" w:eastAsia="宋体" w:cs="宋体"/>
                <w:color w:val="auto"/>
                <w:sz w:val="21"/>
                <w:szCs w:val="21"/>
                <w:highlight w:val="none"/>
                <w:lang w:eastAsia="zh-CN"/>
              </w:rPr>
              <w:t>批次行程配备的全程导游具有中级及以上导游证书的，每有1人得</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分，本项最高为</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lang w:eastAsia="zh-CN"/>
              </w:rPr>
              <w:t>分。</w:t>
            </w:r>
          </w:p>
          <w:p w14:paraId="34AF1105">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（以上提供人员配备表（格式</w:t>
            </w:r>
            <w:r>
              <w:rPr>
                <w:rFonts w:hint="eastAsia" w:ascii="宋体" w:hAnsi="宋体" w:eastAsia="宋体" w:cs="宋体"/>
                <w:color w:val="auto"/>
                <w:sz w:val="21"/>
                <w:szCs w:val="21"/>
                <w:highlight w:val="none"/>
                <w:lang w:val="en-US" w:eastAsia="zh-CN"/>
              </w:rPr>
              <w:t>可</w:t>
            </w:r>
            <w:r>
              <w:rPr>
                <w:rFonts w:hint="eastAsia" w:ascii="宋体" w:hAnsi="宋体" w:eastAsia="宋体" w:cs="宋体"/>
                <w:color w:val="auto"/>
                <w:sz w:val="21"/>
                <w:szCs w:val="21"/>
                <w:highlight w:val="none"/>
                <w:lang w:eastAsia="zh-CN"/>
              </w:rPr>
              <w:t>自拟）、类似服务经历的证明材料、导游证书复印件加盖公章，</w:t>
            </w:r>
            <w:r>
              <w:rPr>
                <w:rFonts w:hint="eastAsia" w:ascii="宋体" w:hAnsi="宋体" w:eastAsia="宋体" w:cs="宋体"/>
                <w:color w:val="auto"/>
                <w:sz w:val="21"/>
                <w:szCs w:val="21"/>
                <w:highlight w:val="none"/>
                <w:lang w:val="en-US" w:eastAsia="zh-CN"/>
              </w:rPr>
              <w:t>以及在本单位缴纳的近六个月（不含开标当月）内任意三个月的社保证明材料。</w:t>
            </w:r>
            <w:r>
              <w:rPr>
                <w:rFonts w:hint="eastAsia" w:ascii="宋体" w:hAnsi="宋体" w:eastAsia="宋体" w:cs="宋体"/>
                <w:color w:val="auto"/>
                <w:sz w:val="21"/>
                <w:szCs w:val="21"/>
                <w:highlight w:val="none"/>
                <w:lang w:eastAsia="zh-CN"/>
              </w:rPr>
              <w:t>信息材料缺项或未提供的不得分。）</w:t>
            </w:r>
          </w:p>
          <w:p w14:paraId="7EDB4DCD">
            <w:pPr>
              <w:spacing w:line="36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注：不同批次可重复</w:t>
            </w:r>
            <w:r>
              <w:rPr>
                <w:rFonts w:hint="eastAsia" w:ascii="宋体" w:hAnsi="宋体" w:eastAsia="宋体" w:cs="宋体"/>
                <w:b/>
                <w:bCs/>
                <w:color w:val="auto"/>
                <w:sz w:val="21"/>
                <w:szCs w:val="21"/>
                <w:highlight w:val="none"/>
                <w:lang w:val="en-US" w:eastAsia="zh-CN"/>
              </w:rPr>
              <w:t>配备</w:t>
            </w:r>
            <w:r>
              <w:rPr>
                <w:rFonts w:hint="eastAsia" w:ascii="宋体" w:hAnsi="宋体" w:eastAsia="宋体" w:cs="宋体"/>
                <w:b/>
                <w:bCs/>
                <w:color w:val="auto"/>
                <w:sz w:val="21"/>
                <w:szCs w:val="21"/>
                <w:highlight w:val="none"/>
                <w:lang w:eastAsia="zh-CN"/>
              </w:rPr>
              <w:t>同一人，</w:t>
            </w:r>
            <w:r>
              <w:rPr>
                <w:rFonts w:hint="eastAsia" w:ascii="宋体" w:hAnsi="宋体" w:eastAsia="宋体" w:cs="宋体"/>
                <w:b/>
                <w:bCs/>
                <w:color w:val="auto"/>
                <w:sz w:val="21"/>
                <w:szCs w:val="21"/>
                <w:highlight w:val="none"/>
                <w:lang w:val="en-US" w:eastAsia="zh-CN"/>
              </w:rPr>
              <w:t>但不可重复得分</w:t>
            </w:r>
            <w:r>
              <w:rPr>
                <w:rFonts w:hint="eastAsia" w:ascii="宋体" w:hAnsi="宋体" w:eastAsia="宋体" w:cs="宋体"/>
                <w:b/>
                <w:bCs/>
                <w:color w:val="auto"/>
                <w:sz w:val="21"/>
                <w:szCs w:val="21"/>
                <w:highlight w:val="none"/>
                <w:lang w:eastAsia="zh-CN"/>
              </w:rPr>
              <w:t>。以上评分项目中证明材料原件采购人有权在中标后合同签订前核查，如有虚假，按虚假投标处理。</w:t>
            </w:r>
          </w:p>
          <w:p w14:paraId="50028BED">
            <w:pPr>
              <w:numPr>
                <w:ilvl w:val="0"/>
                <w:numId w:val="0"/>
              </w:numPr>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2、项目负责人具有5年及以上工作经验的，得3分；3年（含）-5年（不含）工作经验的，得2分，3年（不含）以下工作经验的，得1分</w:t>
            </w:r>
            <w:r>
              <w:rPr>
                <w:rFonts w:hint="eastAsia" w:ascii="宋体" w:hAnsi="宋体" w:eastAsia="宋体" w:cs="宋体"/>
                <w:b/>
                <w:bCs/>
                <w:color w:val="auto"/>
                <w:sz w:val="21"/>
                <w:szCs w:val="21"/>
                <w:highlight w:val="none"/>
                <w:lang w:val="en-US" w:eastAsia="zh-CN"/>
              </w:rPr>
              <w:t>（需提供在本单位缴纳的近六个月</w:t>
            </w:r>
            <w:r>
              <w:rPr>
                <w:rFonts w:hint="eastAsia" w:ascii="宋体" w:hAnsi="宋体" w:eastAsia="宋体" w:cs="宋体"/>
                <w:color w:val="auto"/>
                <w:sz w:val="21"/>
                <w:szCs w:val="21"/>
                <w:highlight w:val="none"/>
                <w:lang w:val="en-US" w:eastAsia="zh-CN"/>
              </w:rPr>
              <w:t>（不含开标当月）</w:t>
            </w:r>
            <w:r>
              <w:rPr>
                <w:rFonts w:hint="eastAsia" w:ascii="宋体" w:hAnsi="宋体" w:eastAsia="宋体" w:cs="宋体"/>
                <w:b/>
                <w:bCs/>
                <w:color w:val="auto"/>
                <w:sz w:val="21"/>
                <w:szCs w:val="21"/>
                <w:highlight w:val="none"/>
                <w:lang w:val="en-US" w:eastAsia="zh-CN"/>
              </w:rPr>
              <w:t>内任意三个月的社保证明材料、工作经验证明材料，</w:t>
            </w:r>
            <w:r>
              <w:rPr>
                <w:rFonts w:hint="eastAsia" w:ascii="宋体" w:hAnsi="宋体" w:eastAsia="宋体" w:cs="宋体"/>
                <w:b/>
                <w:bCs/>
                <w:color w:val="auto"/>
                <w:sz w:val="21"/>
                <w:szCs w:val="21"/>
                <w:highlight w:val="none"/>
                <w:lang w:eastAsia="zh-CN"/>
              </w:rPr>
              <w:t>未按要求提供不得分</w:t>
            </w:r>
            <w:r>
              <w:rPr>
                <w:rFonts w:hint="eastAsia" w:ascii="宋体" w:hAnsi="宋体" w:eastAsia="宋体" w:cs="宋体"/>
                <w:b/>
                <w:bCs/>
                <w:color w:val="auto"/>
                <w:sz w:val="21"/>
                <w:szCs w:val="21"/>
                <w:highlight w:val="none"/>
                <w:lang w:val="en-US" w:eastAsia="zh-CN"/>
              </w:rPr>
              <w:t>）。</w:t>
            </w:r>
          </w:p>
          <w:p w14:paraId="67771CE9">
            <w:pPr>
              <w:numPr>
                <w:ilvl w:val="0"/>
                <w:numId w:val="0"/>
              </w:numPr>
              <w:spacing w:line="360" w:lineRule="auto"/>
              <w:rPr>
                <w:rFonts w:hint="eastAsia" w:ascii="宋体" w:hAnsi="宋体" w:eastAsia="宋体" w:cs="宋体"/>
                <w:b/>
                <w:bCs/>
                <w:color w:val="auto"/>
                <w:sz w:val="21"/>
                <w:szCs w:val="21"/>
                <w:highlight w:val="none"/>
                <w:lang w:eastAsia="zh-CN"/>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投标人近三年（自202</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年</w:t>
            </w:r>
            <w:r>
              <w:rPr>
                <w:rFonts w:hint="eastAsia" w:ascii="宋体" w:hAnsi="宋体" w:eastAsia="宋体" w:cs="宋体"/>
                <w:color w:val="auto"/>
                <w:sz w:val="21"/>
                <w:szCs w:val="21"/>
                <w:highlight w:val="none"/>
                <w:lang w:val="en-US" w:eastAsia="zh-CN"/>
              </w:rPr>
              <w:t>1月1日</w:t>
            </w:r>
            <w:r>
              <w:rPr>
                <w:rFonts w:hint="eastAsia" w:ascii="宋体" w:hAnsi="宋体" w:eastAsia="宋体" w:cs="宋体"/>
                <w:color w:val="auto"/>
                <w:sz w:val="21"/>
                <w:szCs w:val="21"/>
                <w:highlight w:val="none"/>
                <w:lang w:eastAsia="zh-CN"/>
              </w:rPr>
              <w:t>（含）以来，时间以合同签订时间为准）</w:t>
            </w:r>
            <w:r>
              <w:rPr>
                <w:rFonts w:hint="eastAsia" w:ascii="宋体" w:hAnsi="宋体" w:eastAsia="宋体" w:cs="宋体"/>
                <w:color w:val="auto"/>
                <w:sz w:val="21"/>
                <w:szCs w:val="21"/>
                <w:highlight w:val="none"/>
                <w:lang w:val="en-US" w:eastAsia="zh-CN"/>
              </w:rPr>
              <w:t>具</w:t>
            </w:r>
            <w:r>
              <w:rPr>
                <w:rFonts w:hint="eastAsia" w:ascii="宋体" w:hAnsi="宋体" w:eastAsia="宋体" w:cs="宋体"/>
                <w:color w:val="auto"/>
                <w:sz w:val="21"/>
                <w:szCs w:val="21"/>
                <w:highlight w:val="none"/>
                <w:shd w:val="clear" w:color="auto"/>
                <w:lang w:val="en-US" w:eastAsia="zh-CN"/>
              </w:rPr>
              <w:t>有</w:t>
            </w:r>
            <w:r>
              <w:rPr>
                <w:rFonts w:ascii="Segoe UI" w:hAnsi="Segoe UI" w:eastAsia="Segoe UI" w:cs="Segoe UI"/>
                <w:i w:val="0"/>
                <w:iCs w:val="0"/>
                <w:caps w:val="0"/>
                <w:color w:val="auto"/>
                <w:spacing w:val="0"/>
                <w:sz w:val="21"/>
                <w:szCs w:val="21"/>
                <w:highlight w:val="none"/>
                <w:shd w:val="clear" w:color="auto"/>
              </w:rPr>
              <w:t>职工疗养</w:t>
            </w:r>
            <w:r>
              <w:rPr>
                <w:rFonts w:hint="eastAsia" w:ascii="Segoe UI" w:hAnsi="Segoe UI" w:eastAsia="宋体" w:cs="Segoe UI"/>
                <w:i w:val="0"/>
                <w:iCs w:val="0"/>
                <w:caps w:val="0"/>
                <w:color w:val="auto"/>
                <w:spacing w:val="0"/>
                <w:sz w:val="21"/>
                <w:szCs w:val="21"/>
                <w:highlight w:val="none"/>
                <w:shd w:val="clear" w:color="auto"/>
                <w:lang w:val="en-US" w:eastAsia="zh-CN"/>
              </w:rPr>
              <w:t>或</w:t>
            </w:r>
            <w:r>
              <w:rPr>
                <w:rFonts w:ascii="Segoe UI" w:hAnsi="Segoe UI" w:eastAsia="Segoe UI" w:cs="Segoe UI"/>
                <w:i w:val="0"/>
                <w:iCs w:val="0"/>
                <w:caps w:val="0"/>
                <w:color w:val="auto"/>
                <w:spacing w:val="0"/>
                <w:sz w:val="21"/>
                <w:szCs w:val="21"/>
                <w:highlight w:val="none"/>
                <w:shd w:val="clear" w:color="auto"/>
              </w:rPr>
              <w:t>健康休养</w:t>
            </w:r>
            <w:r>
              <w:rPr>
                <w:rFonts w:hint="eastAsia" w:ascii="Segoe UI" w:hAnsi="Segoe UI" w:eastAsia="宋体" w:cs="Segoe UI"/>
                <w:i w:val="0"/>
                <w:iCs w:val="0"/>
                <w:caps w:val="0"/>
                <w:color w:val="auto"/>
                <w:spacing w:val="0"/>
                <w:sz w:val="21"/>
                <w:szCs w:val="21"/>
                <w:highlight w:val="none"/>
                <w:shd w:val="clear" w:color="auto"/>
                <w:lang w:val="en-US" w:eastAsia="zh-CN"/>
              </w:rPr>
              <w:t>或</w:t>
            </w:r>
            <w:r>
              <w:rPr>
                <w:rFonts w:ascii="Segoe UI" w:hAnsi="Segoe UI" w:eastAsia="Segoe UI" w:cs="Segoe UI"/>
                <w:i w:val="0"/>
                <w:iCs w:val="0"/>
                <w:caps w:val="0"/>
                <w:color w:val="auto"/>
                <w:spacing w:val="0"/>
                <w:sz w:val="21"/>
                <w:szCs w:val="21"/>
                <w:highlight w:val="none"/>
                <w:shd w:val="clear" w:color="auto"/>
              </w:rPr>
              <w:t>素质拓展等</w:t>
            </w:r>
            <w:r>
              <w:rPr>
                <w:rFonts w:hint="eastAsia" w:ascii="Segoe UI" w:hAnsi="Segoe UI" w:eastAsia="宋体" w:cs="Segoe UI"/>
                <w:i w:val="0"/>
                <w:iCs w:val="0"/>
                <w:caps w:val="0"/>
                <w:color w:val="auto"/>
                <w:spacing w:val="0"/>
                <w:sz w:val="21"/>
                <w:szCs w:val="21"/>
                <w:highlight w:val="none"/>
                <w:shd w:val="clear" w:color="auto"/>
                <w:lang w:val="en-US" w:eastAsia="zh-CN"/>
              </w:rPr>
              <w:t>类似</w:t>
            </w:r>
            <w:r>
              <w:rPr>
                <w:rFonts w:ascii="Segoe UI" w:hAnsi="Segoe UI" w:eastAsia="Segoe UI" w:cs="Segoe UI"/>
                <w:i w:val="0"/>
                <w:iCs w:val="0"/>
                <w:caps w:val="0"/>
                <w:color w:val="auto"/>
                <w:spacing w:val="0"/>
                <w:sz w:val="21"/>
                <w:szCs w:val="21"/>
                <w:highlight w:val="none"/>
                <w:shd w:val="clear" w:color="auto"/>
              </w:rPr>
              <w:t>团体服务项目</w:t>
            </w:r>
            <w:r>
              <w:rPr>
                <w:rFonts w:hint="eastAsia" w:ascii="宋体" w:hAnsi="宋体" w:eastAsia="宋体" w:cs="宋体"/>
                <w:color w:val="auto"/>
                <w:sz w:val="21"/>
                <w:szCs w:val="21"/>
                <w:highlight w:val="none"/>
                <w:shd w:val="clear" w:color="auto"/>
                <w:lang w:eastAsia="zh-CN"/>
              </w:rPr>
              <w:t>业绩。</w:t>
            </w:r>
            <w:r>
              <w:rPr>
                <w:rFonts w:hint="eastAsia" w:ascii="宋体" w:hAnsi="宋体" w:eastAsia="宋体" w:cs="宋体"/>
                <w:color w:val="auto"/>
                <w:sz w:val="21"/>
                <w:szCs w:val="21"/>
                <w:highlight w:val="none"/>
                <w:lang w:eastAsia="zh-CN"/>
              </w:rPr>
              <w:t>每提供一个业绩证明得</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分，本项最高得</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lang w:eastAsia="zh-CN"/>
              </w:rPr>
              <w:t>分。</w:t>
            </w:r>
            <w:r>
              <w:rPr>
                <w:rFonts w:hint="eastAsia" w:ascii="宋体" w:hAnsi="宋体" w:eastAsia="宋体" w:cs="宋体"/>
                <w:b/>
                <w:bCs/>
                <w:color w:val="auto"/>
                <w:sz w:val="21"/>
                <w:szCs w:val="21"/>
                <w:highlight w:val="none"/>
                <w:lang w:eastAsia="zh-CN"/>
              </w:rPr>
              <w:t>（须提供合同关键页</w:t>
            </w:r>
            <w:r>
              <w:rPr>
                <w:rFonts w:hint="eastAsia" w:ascii="宋体" w:hAnsi="宋体" w:eastAsia="宋体" w:cs="宋体"/>
                <w:b/>
                <w:bCs/>
                <w:color w:val="auto"/>
                <w:sz w:val="21"/>
                <w:szCs w:val="21"/>
                <w:highlight w:val="none"/>
                <w:lang w:val="en-US" w:eastAsia="zh-CN"/>
              </w:rPr>
              <w:t>及结算发票复印件加盖公章</w:t>
            </w:r>
            <w:r>
              <w:rPr>
                <w:rFonts w:hint="eastAsia" w:ascii="宋体" w:hAnsi="宋体" w:eastAsia="宋体" w:cs="宋体"/>
                <w:b/>
                <w:bCs/>
                <w:color w:val="auto"/>
                <w:sz w:val="21"/>
                <w:szCs w:val="21"/>
                <w:highlight w:val="none"/>
                <w:lang w:eastAsia="zh-CN"/>
              </w:rPr>
              <w:t>。其中合同关键页要能体现合同甲乙双方、项目名称、项目内容、签订时间、甲乙双方签章的关键信息；未按要求提供不得分）。</w:t>
            </w:r>
          </w:p>
          <w:p w14:paraId="6BFBFD41">
            <w:pPr>
              <w:numPr>
                <w:ilvl w:val="0"/>
                <w:numId w:val="0"/>
              </w:numPr>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eastAsia="zh-CN"/>
              </w:rPr>
              <w:t>注：以上评分项目中证明材料原件采购人有权在中标后合同签订前核查，如有虚假，按虚假投标处理。</w:t>
            </w:r>
          </w:p>
        </w:tc>
        <w:tc>
          <w:tcPr>
            <w:tcW w:w="837" w:type="dxa"/>
            <w:tcBorders>
              <w:top w:val="single" w:color="auto" w:sz="4" w:space="0"/>
              <w:left w:val="single" w:color="auto" w:sz="4" w:space="0"/>
              <w:bottom w:val="single" w:color="auto" w:sz="4" w:space="0"/>
              <w:right w:val="single" w:color="auto" w:sz="4" w:space="0"/>
            </w:tcBorders>
            <w:noWrap w:val="0"/>
            <w:vAlign w:val="center"/>
          </w:tcPr>
          <w:p w14:paraId="35BA8D90">
            <w:pPr>
              <w:widowControl/>
              <w:jc w:val="cente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18</w:t>
            </w:r>
            <w:r>
              <w:rPr>
                <w:rFonts w:hint="eastAsia" w:ascii="宋体" w:hAnsi="宋体" w:eastAsia="宋体" w:cs="宋体"/>
                <w:b/>
                <w:bCs/>
                <w:color w:val="auto"/>
                <w:sz w:val="21"/>
                <w:szCs w:val="21"/>
                <w:highlight w:val="none"/>
              </w:rPr>
              <w:t>分</w:t>
            </w:r>
          </w:p>
        </w:tc>
      </w:tr>
      <w:tr w14:paraId="669A36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5" w:hRule="atLeast"/>
          <w:jc w:val="center"/>
        </w:trPr>
        <w:tc>
          <w:tcPr>
            <w:tcW w:w="594" w:type="dxa"/>
            <w:tcBorders>
              <w:left w:val="single" w:color="auto" w:sz="4" w:space="0"/>
              <w:bottom w:val="single" w:color="auto" w:sz="4" w:space="0"/>
              <w:right w:val="single" w:color="auto" w:sz="4" w:space="0"/>
            </w:tcBorders>
            <w:noWrap w:val="0"/>
            <w:vAlign w:val="center"/>
          </w:tcPr>
          <w:p w14:paraId="691A012B">
            <w:pPr>
              <w:widowControl/>
              <w:jc w:val="center"/>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3.2</w:t>
            </w:r>
          </w:p>
        </w:tc>
        <w:tc>
          <w:tcPr>
            <w:tcW w:w="1233" w:type="dxa"/>
            <w:tcBorders>
              <w:left w:val="single" w:color="auto" w:sz="4" w:space="0"/>
              <w:right w:val="single" w:color="auto" w:sz="4" w:space="0"/>
            </w:tcBorders>
            <w:noWrap w:val="0"/>
            <w:vAlign w:val="center"/>
          </w:tcPr>
          <w:p w14:paraId="5C287E8B">
            <w:pPr>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其他</w:t>
            </w:r>
          </w:p>
        </w:tc>
        <w:tc>
          <w:tcPr>
            <w:tcW w:w="7233" w:type="dxa"/>
            <w:tcBorders>
              <w:top w:val="single" w:color="auto" w:sz="4" w:space="0"/>
              <w:left w:val="single" w:color="auto" w:sz="4" w:space="0"/>
              <w:bottom w:val="single" w:color="auto" w:sz="4" w:space="0"/>
              <w:right w:val="single" w:color="auto" w:sz="4" w:space="0"/>
            </w:tcBorders>
            <w:noWrap w:val="0"/>
            <w:vAlign w:val="center"/>
          </w:tcPr>
          <w:p w14:paraId="44689B77">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根据投标人为本次休养活动每个人</w:t>
            </w:r>
            <w:r>
              <w:rPr>
                <w:rFonts w:hint="eastAsia" w:ascii="宋体" w:hAnsi="宋体" w:eastAsia="宋体" w:cs="宋体"/>
                <w:color w:val="auto"/>
                <w:sz w:val="21"/>
                <w:szCs w:val="21"/>
                <w:highlight w:val="none"/>
                <w:lang w:eastAsia="zh-CN"/>
              </w:rPr>
              <w:t>购买意外保险保额</w:t>
            </w:r>
            <w:r>
              <w:rPr>
                <w:rFonts w:hint="eastAsia" w:ascii="宋体" w:hAnsi="宋体" w:eastAsia="宋体" w:cs="宋体"/>
                <w:color w:val="auto"/>
                <w:sz w:val="21"/>
                <w:szCs w:val="21"/>
                <w:highlight w:val="none"/>
                <w:lang w:val="en-US" w:eastAsia="zh-CN"/>
              </w:rPr>
              <w:t>的情况进行评分：</w:t>
            </w:r>
          </w:p>
          <w:p w14:paraId="01F3DDFC">
            <w:pPr>
              <w:numPr>
                <w:ilvl w:val="0"/>
                <w:numId w:val="0"/>
              </w:num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SA"/>
              </w:rPr>
              <w:t>1）</w:t>
            </w:r>
            <w:r>
              <w:rPr>
                <w:rFonts w:hint="eastAsia" w:ascii="宋体" w:hAnsi="宋体" w:eastAsia="宋体" w:cs="宋体"/>
                <w:color w:val="auto"/>
                <w:sz w:val="21"/>
                <w:szCs w:val="21"/>
                <w:highlight w:val="none"/>
                <w:lang w:val="en-US" w:eastAsia="zh-CN"/>
              </w:rPr>
              <w:t>单批次行程每人意外保险保额在10万元-20万元（不含），得1分；</w:t>
            </w:r>
          </w:p>
          <w:p w14:paraId="32CBC020">
            <w:pPr>
              <w:pStyle w:val="5"/>
              <w:numPr>
                <w:ilvl w:val="0"/>
                <w:numId w:val="0"/>
              </w:numPr>
              <w:ind w:left="0" w:firstLine="0"/>
              <w:rPr>
                <w:rFonts w:hint="eastAsia" w:ascii="宋体" w:hAnsi="宋体" w:eastAsia="宋体" w:cs="宋体"/>
                <w:b w:val="0"/>
                <w:color w:val="auto"/>
                <w:sz w:val="21"/>
                <w:szCs w:val="21"/>
                <w:highlight w:val="none"/>
                <w:lang w:val="en-US" w:eastAsia="zh-CN" w:bidi="ar-SA"/>
              </w:rPr>
            </w:pPr>
            <w:r>
              <w:rPr>
                <w:rFonts w:hint="eastAsia" w:ascii="宋体" w:hAnsi="宋体" w:eastAsia="宋体" w:cs="宋体"/>
                <w:b w:val="0"/>
                <w:color w:val="auto"/>
                <w:sz w:val="21"/>
                <w:szCs w:val="21"/>
                <w:highlight w:val="none"/>
                <w:lang w:val="en-US" w:eastAsia="zh-CN" w:bidi="ar-SA"/>
              </w:rPr>
              <w:t>2）单批次行程每人意外保险保额在20万及以上得2分；</w:t>
            </w:r>
          </w:p>
          <w:p w14:paraId="6C5974D4">
            <w:pPr>
              <w:numPr>
                <w:ilvl w:val="0"/>
                <w:numId w:val="0"/>
              </w:numPr>
              <w:ind w:left="0" w:firstLine="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SA"/>
              </w:rPr>
              <w:t>3）</w:t>
            </w:r>
            <w:r>
              <w:rPr>
                <w:rFonts w:hint="eastAsia" w:ascii="宋体" w:hAnsi="宋体" w:eastAsia="宋体" w:cs="宋体"/>
                <w:color w:val="auto"/>
                <w:sz w:val="21"/>
                <w:szCs w:val="21"/>
                <w:highlight w:val="none"/>
                <w:lang w:val="en-US" w:eastAsia="zh-CN"/>
              </w:rPr>
              <w:t>其他不得分。</w:t>
            </w:r>
          </w:p>
          <w:p w14:paraId="3DDB230C">
            <w:pPr>
              <w:numPr>
                <w:ilvl w:val="0"/>
                <w:numId w:val="0"/>
              </w:numP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（需提供书面承诺书。）</w:t>
            </w:r>
          </w:p>
        </w:tc>
        <w:tc>
          <w:tcPr>
            <w:tcW w:w="837" w:type="dxa"/>
            <w:tcBorders>
              <w:top w:val="single" w:color="auto" w:sz="4" w:space="0"/>
              <w:left w:val="single" w:color="auto" w:sz="4" w:space="0"/>
              <w:bottom w:val="single" w:color="auto" w:sz="4" w:space="0"/>
              <w:right w:val="single" w:color="auto" w:sz="4" w:space="0"/>
            </w:tcBorders>
            <w:noWrap w:val="0"/>
            <w:vAlign w:val="center"/>
          </w:tcPr>
          <w:p w14:paraId="120F8F8C">
            <w:pPr>
              <w:widowControl/>
              <w:jc w:val="center"/>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2分</w:t>
            </w:r>
          </w:p>
        </w:tc>
      </w:tr>
      <w:tr w14:paraId="2363F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1827" w:type="dxa"/>
            <w:gridSpan w:val="2"/>
            <w:tcBorders>
              <w:top w:val="single" w:color="auto" w:sz="4" w:space="0"/>
              <w:left w:val="single" w:color="auto" w:sz="4" w:space="0"/>
              <w:bottom w:val="single" w:color="auto" w:sz="4" w:space="0"/>
              <w:right w:val="single" w:color="auto" w:sz="4" w:space="0"/>
            </w:tcBorders>
            <w:noWrap w:val="0"/>
            <w:vAlign w:val="center"/>
          </w:tcPr>
          <w:p w14:paraId="39DF06CE">
            <w:pPr>
              <w:widowControl/>
              <w:jc w:val="cente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合计</w:t>
            </w:r>
          </w:p>
        </w:tc>
        <w:tc>
          <w:tcPr>
            <w:tcW w:w="7233" w:type="dxa"/>
            <w:tcBorders>
              <w:top w:val="single" w:color="auto" w:sz="4" w:space="0"/>
              <w:left w:val="single" w:color="auto" w:sz="4" w:space="0"/>
              <w:bottom w:val="single" w:color="auto" w:sz="4" w:space="0"/>
              <w:right w:val="single" w:color="auto" w:sz="4" w:space="0"/>
            </w:tcBorders>
            <w:noWrap w:val="0"/>
            <w:vAlign w:val="center"/>
          </w:tcPr>
          <w:p w14:paraId="39D7D525">
            <w:pPr>
              <w:widowControl/>
              <w:jc w:val="center"/>
              <w:rPr>
                <w:rFonts w:ascii="宋体" w:hAnsi="宋体" w:eastAsia="宋体" w:cs="宋体"/>
                <w:b/>
                <w:bCs/>
                <w:color w:val="auto"/>
                <w:sz w:val="21"/>
                <w:szCs w:val="21"/>
                <w:highlight w:val="none"/>
              </w:rPr>
            </w:pPr>
          </w:p>
        </w:tc>
        <w:tc>
          <w:tcPr>
            <w:tcW w:w="837" w:type="dxa"/>
            <w:tcBorders>
              <w:top w:val="single" w:color="auto" w:sz="4" w:space="0"/>
              <w:left w:val="single" w:color="auto" w:sz="4" w:space="0"/>
              <w:bottom w:val="single" w:color="auto" w:sz="4" w:space="0"/>
              <w:right w:val="single" w:color="auto" w:sz="4" w:space="0"/>
            </w:tcBorders>
            <w:noWrap w:val="0"/>
            <w:vAlign w:val="center"/>
          </w:tcPr>
          <w:p w14:paraId="28272CE3">
            <w:pPr>
              <w:widowControl/>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100</w:t>
            </w:r>
            <w:r>
              <w:rPr>
                <w:rFonts w:hint="eastAsia" w:ascii="宋体" w:hAnsi="宋体" w:eastAsia="宋体" w:cs="宋体"/>
                <w:b/>
                <w:bCs/>
                <w:color w:val="auto"/>
                <w:sz w:val="21"/>
                <w:szCs w:val="21"/>
                <w:highlight w:val="none"/>
                <w:lang w:val="en-US" w:eastAsia="zh-CN"/>
              </w:rPr>
              <w:t>分</w:t>
            </w:r>
          </w:p>
        </w:tc>
      </w:tr>
    </w:tbl>
    <w:p w14:paraId="388E35D5">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p>
    <w:p w14:paraId="53CDAF49">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根据《政府采购促进中小企业发展管理办法》，在政府采购活动中，供应商提供的货物、工程或者服务符合下列情形的，享受本办法规定的中小企业扶持政策：（一）在货物采购项目中，货物由中小企业制造，即货物由中小企业生产且使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p>
    <w:p w14:paraId="7B6850B9">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p>
    <w:p w14:paraId="4D03EAD7">
      <w:pPr>
        <w:keepLines w:val="0"/>
        <w:pageBreakBefore w:val="0"/>
        <w:kinsoku/>
        <w:wordWrap/>
        <w:overflowPunct/>
        <w:topLinePunct w:val="0"/>
        <w:bidi w:val="0"/>
        <w:spacing w:line="360" w:lineRule="auto"/>
        <w:ind w:left="0" w:leftChars="0" w:firstLine="420" w:firstLineChars="200"/>
        <w:textAlignment w:val="auto"/>
        <w:rPr>
          <w:rFonts w:hint="eastAsia" w:ascii="黑体" w:hAnsi="宋体" w:eastAsia="黑体"/>
          <w:color w:val="auto"/>
          <w:spacing w:val="-10"/>
          <w:sz w:val="36"/>
          <w:szCs w:val="36"/>
          <w:highlight w:val="none"/>
        </w:rPr>
      </w:pPr>
      <w:r>
        <w:rPr>
          <w:rFonts w:hint="eastAsia" w:ascii="宋体" w:hAnsi="宋体" w:eastAsia="宋体" w:cs="宋体"/>
          <w:bCs/>
          <w:color w:val="auto"/>
          <w:sz w:val="21"/>
          <w:szCs w:val="21"/>
          <w:highlight w:val="none"/>
        </w:rPr>
        <w:t>（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hint="eastAsia" w:ascii="黑体" w:hAnsi="宋体" w:eastAsia="黑体"/>
          <w:color w:val="auto"/>
          <w:spacing w:val="-10"/>
          <w:sz w:val="36"/>
          <w:szCs w:val="36"/>
          <w:highlight w:val="none"/>
        </w:rPr>
        <w:br w:type="page"/>
      </w:r>
    </w:p>
    <w:p w14:paraId="572965F3">
      <w:pPr>
        <w:snapToGrid w:val="0"/>
        <w:spacing w:line="288" w:lineRule="auto"/>
        <w:jc w:val="center"/>
        <w:outlineLvl w:val="0"/>
        <w:rPr>
          <w:rFonts w:hint="eastAsia" w:eastAsia="黑体"/>
          <w:color w:val="auto"/>
          <w:highlight w:val="none"/>
          <w:lang w:val="en-US" w:eastAsia="zh-CN"/>
        </w:rPr>
      </w:pPr>
      <w:bookmarkStart w:id="105" w:name="_Toc949"/>
      <w:r>
        <w:rPr>
          <w:rFonts w:hint="eastAsia" w:ascii="黑体" w:hAnsi="宋体" w:eastAsia="黑体"/>
          <w:color w:val="auto"/>
          <w:spacing w:val="-10"/>
          <w:sz w:val="36"/>
          <w:szCs w:val="36"/>
          <w:highlight w:val="none"/>
        </w:rPr>
        <w:t xml:space="preserve">第四章 </w:t>
      </w:r>
      <w:bookmarkStart w:id="106" w:name="_Toc150538845"/>
      <w:r>
        <w:rPr>
          <w:rFonts w:hint="eastAsia" w:ascii="黑体" w:hAnsi="宋体" w:eastAsia="黑体"/>
          <w:color w:val="auto"/>
          <w:spacing w:val="-10"/>
          <w:sz w:val="36"/>
          <w:szCs w:val="36"/>
          <w:highlight w:val="none"/>
        </w:rPr>
        <w:t>服务</w:t>
      </w:r>
      <w:bookmarkEnd w:id="105"/>
      <w:bookmarkEnd w:id="106"/>
      <w:r>
        <w:rPr>
          <w:rFonts w:hint="eastAsia" w:ascii="黑体" w:hAnsi="宋体" w:eastAsia="黑体"/>
          <w:color w:val="auto"/>
          <w:spacing w:val="-10"/>
          <w:sz w:val="36"/>
          <w:szCs w:val="36"/>
          <w:highlight w:val="none"/>
          <w:lang w:val="en-US" w:eastAsia="zh-CN"/>
        </w:rPr>
        <w:t>需求</w:t>
      </w:r>
    </w:p>
    <w:p w14:paraId="7445CD99">
      <w:pPr>
        <w:pStyle w:val="73"/>
        <w:pageBreakBefore w:val="0"/>
        <w:numPr>
          <w:ilvl w:val="0"/>
          <w:numId w:val="0"/>
        </w:numPr>
        <w:tabs>
          <w:tab w:val="left" w:pos="0"/>
        </w:tabs>
        <w:kinsoku/>
        <w:wordWrap/>
        <w:overflowPunct/>
        <w:topLinePunct w:val="0"/>
        <w:autoSpaceDE/>
        <w:autoSpaceDN/>
        <w:bidi w:val="0"/>
        <w:adjustRightInd/>
        <w:snapToGrid w:val="0"/>
        <w:spacing w:line="360" w:lineRule="auto"/>
        <w:ind w:left="0" w:leftChars="0" w:firstLine="420" w:firstLineChars="200"/>
        <w:jc w:val="left"/>
        <w:textAlignment w:val="auto"/>
        <w:rPr>
          <w:rFonts w:hint="eastAsia" w:ascii="宋体" w:hAnsi="宋体" w:eastAsia="宋体" w:cs="宋体"/>
          <w:b w:val="0"/>
          <w:color w:val="auto"/>
          <w:kern w:val="2"/>
          <w:sz w:val="21"/>
          <w:szCs w:val="21"/>
          <w:highlight w:val="none"/>
          <w:lang w:eastAsia="zh-CN"/>
        </w:rPr>
      </w:pPr>
    </w:p>
    <w:p w14:paraId="057E91EF">
      <w:pPr>
        <w:pStyle w:val="73"/>
        <w:pageBreakBefore w:val="0"/>
        <w:numPr>
          <w:ilvl w:val="0"/>
          <w:numId w:val="0"/>
        </w:numPr>
        <w:tabs>
          <w:tab w:val="left" w:pos="0"/>
        </w:tabs>
        <w:kinsoku/>
        <w:wordWrap/>
        <w:overflowPunct/>
        <w:topLinePunct w:val="0"/>
        <w:autoSpaceDE/>
        <w:autoSpaceDN/>
        <w:bidi w:val="0"/>
        <w:adjustRightInd/>
        <w:snapToGrid w:val="0"/>
        <w:spacing w:line="360" w:lineRule="auto"/>
        <w:ind w:left="0" w:leftChars="0" w:firstLine="420" w:firstLineChars="200"/>
        <w:jc w:val="left"/>
        <w:textAlignment w:val="auto"/>
        <w:rPr>
          <w:rFonts w:hint="eastAsia" w:ascii="宋体" w:hAnsi="宋体" w:eastAsia="宋体" w:cs="宋体"/>
          <w:b w:val="0"/>
          <w:bCs w:val="0"/>
          <w:color w:val="auto"/>
          <w:kern w:val="2"/>
          <w:sz w:val="21"/>
          <w:szCs w:val="21"/>
          <w:highlight w:val="none"/>
          <w:lang w:eastAsia="zh-CN"/>
        </w:rPr>
      </w:pPr>
      <w:r>
        <w:rPr>
          <w:rFonts w:hint="eastAsia" w:ascii="宋体" w:hAnsi="宋体" w:eastAsia="宋体" w:cs="宋体"/>
          <w:b w:val="0"/>
          <w:bCs w:val="0"/>
          <w:color w:val="auto"/>
          <w:kern w:val="2"/>
          <w:sz w:val="21"/>
          <w:szCs w:val="21"/>
          <w:highlight w:val="none"/>
          <w:lang w:eastAsia="zh-CN"/>
        </w:rPr>
        <w:t>此次休养活动坚持从严从简、勤俭办事的原则，在充分体现尊重、爱护、关心和保证人身安全的基础上，切实压降沿途非必要活动成本，坚决杜绝超出休养范围的各项经费支出，具体招标需求如下：</w:t>
      </w:r>
    </w:p>
    <w:p w14:paraId="67082A30">
      <w:pPr>
        <w:pStyle w:val="73"/>
        <w:pageBreakBefore w:val="0"/>
        <w:numPr>
          <w:ilvl w:val="0"/>
          <w:numId w:val="0"/>
        </w:numPr>
        <w:tabs>
          <w:tab w:val="left" w:pos="0"/>
        </w:tabs>
        <w:kinsoku/>
        <w:wordWrap/>
        <w:overflowPunct/>
        <w:topLinePunct w:val="0"/>
        <w:autoSpaceDE/>
        <w:autoSpaceDN/>
        <w:bidi w:val="0"/>
        <w:adjustRightInd/>
        <w:snapToGrid w:val="0"/>
        <w:spacing w:line="360" w:lineRule="auto"/>
        <w:ind w:left="0" w:leftChars="0" w:firstLine="422" w:firstLineChars="200"/>
        <w:jc w:val="left"/>
        <w:textAlignment w:val="auto"/>
        <w:rPr>
          <w:rFonts w:hint="eastAsia" w:ascii="宋体" w:hAnsi="宋体" w:eastAsia="宋体" w:cs="宋体"/>
          <w:b/>
          <w:bCs/>
          <w:color w:val="auto"/>
          <w:kern w:val="2"/>
          <w:sz w:val="21"/>
          <w:szCs w:val="21"/>
          <w:highlight w:val="none"/>
          <w:lang w:eastAsia="zh-CN"/>
        </w:rPr>
      </w:pPr>
      <w:r>
        <w:rPr>
          <w:rFonts w:hint="eastAsia" w:ascii="宋体" w:hAnsi="宋体" w:eastAsia="宋体" w:cs="宋体"/>
          <w:b/>
          <w:bCs/>
          <w:color w:val="auto"/>
          <w:kern w:val="2"/>
          <w:sz w:val="21"/>
          <w:szCs w:val="21"/>
          <w:highlight w:val="none"/>
          <w:lang w:eastAsia="zh-CN"/>
        </w:rPr>
        <w:t>一、行程安排</w:t>
      </w:r>
    </w:p>
    <w:p w14:paraId="5A463040">
      <w:pPr>
        <w:pStyle w:val="73"/>
        <w:pageBreakBefore w:val="0"/>
        <w:numPr>
          <w:ilvl w:val="0"/>
          <w:numId w:val="0"/>
        </w:numPr>
        <w:tabs>
          <w:tab w:val="left" w:pos="0"/>
        </w:tabs>
        <w:kinsoku/>
        <w:wordWrap/>
        <w:overflowPunct/>
        <w:topLinePunct w:val="0"/>
        <w:autoSpaceDE/>
        <w:autoSpaceDN/>
        <w:bidi w:val="0"/>
        <w:adjustRightInd/>
        <w:snapToGrid w:val="0"/>
        <w:spacing w:line="360" w:lineRule="auto"/>
        <w:ind w:left="0" w:leftChars="0" w:firstLine="420" w:firstLineChars="200"/>
        <w:jc w:val="left"/>
        <w:textAlignment w:val="auto"/>
        <w:rPr>
          <w:rFonts w:hint="eastAsia" w:ascii="宋体" w:hAnsi="宋体" w:eastAsia="宋体" w:cs="宋体"/>
          <w:b w:val="0"/>
          <w:color w:val="auto"/>
          <w:kern w:val="2"/>
          <w:sz w:val="21"/>
          <w:szCs w:val="21"/>
          <w:highlight w:val="none"/>
          <w:lang w:eastAsia="zh-CN"/>
        </w:rPr>
      </w:pPr>
      <w:r>
        <w:rPr>
          <w:rFonts w:hint="eastAsia" w:ascii="宋体" w:hAnsi="宋体" w:eastAsia="宋体" w:cs="宋体"/>
          <w:b w:val="0"/>
          <w:color w:val="auto"/>
          <w:kern w:val="2"/>
          <w:sz w:val="21"/>
          <w:szCs w:val="21"/>
          <w:highlight w:val="none"/>
          <w:lang w:eastAsia="zh-CN"/>
        </w:rPr>
        <w:t>省内和贵州2个方向。其中，考虑到季节和气候等因素，前3批次安排省内南京高淳、宿迁三台山两个疗休养基地，第4批次安排贵州方向。</w:t>
      </w:r>
    </w:p>
    <w:p w14:paraId="1C35F25A">
      <w:pPr>
        <w:pStyle w:val="73"/>
        <w:pageBreakBefore w:val="0"/>
        <w:numPr>
          <w:ilvl w:val="0"/>
          <w:numId w:val="0"/>
        </w:numPr>
        <w:tabs>
          <w:tab w:val="left" w:pos="0"/>
        </w:tabs>
        <w:kinsoku/>
        <w:wordWrap/>
        <w:overflowPunct/>
        <w:topLinePunct w:val="0"/>
        <w:autoSpaceDE/>
        <w:autoSpaceDN/>
        <w:bidi w:val="0"/>
        <w:adjustRightInd/>
        <w:snapToGrid w:val="0"/>
        <w:spacing w:line="360" w:lineRule="auto"/>
        <w:ind w:left="0" w:leftChars="0" w:firstLine="422" w:firstLineChars="200"/>
        <w:jc w:val="left"/>
        <w:textAlignment w:val="auto"/>
        <w:rPr>
          <w:rFonts w:hint="eastAsia" w:ascii="宋体" w:hAnsi="宋体" w:eastAsia="宋体" w:cs="宋体"/>
          <w:b/>
          <w:bCs/>
          <w:color w:val="auto"/>
          <w:kern w:val="2"/>
          <w:sz w:val="21"/>
          <w:szCs w:val="21"/>
          <w:highlight w:val="none"/>
          <w:lang w:eastAsia="zh-CN"/>
        </w:rPr>
      </w:pPr>
      <w:r>
        <w:rPr>
          <w:rFonts w:hint="eastAsia" w:ascii="宋体" w:hAnsi="宋体" w:eastAsia="宋体" w:cs="宋体"/>
          <w:b/>
          <w:bCs/>
          <w:color w:val="auto"/>
          <w:kern w:val="2"/>
          <w:sz w:val="21"/>
          <w:szCs w:val="21"/>
          <w:highlight w:val="none"/>
          <w:lang w:eastAsia="zh-CN"/>
        </w:rPr>
        <w:t>二、时间计划</w:t>
      </w:r>
    </w:p>
    <w:p w14:paraId="3365EA3C">
      <w:pPr>
        <w:pStyle w:val="73"/>
        <w:pageBreakBefore w:val="0"/>
        <w:numPr>
          <w:ilvl w:val="0"/>
          <w:numId w:val="0"/>
        </w:numPr>
        <w:tabs>
          <w:tab w:val="left" w:pos="0"/>
        </w:tabs>
        <w:kinsoku/>
        <w:wordWrap/>
        <w:overflowPunct/>
        <w:topLinePunct w:val="0"/>
        <w:autoSpaceDE/>
        <w:autoSpaceDN/>
        <w:bidi w:val="0"/>
        <w:adjustRightInd/>
        <w:snapToGrid w:val="0"/>
        <w:spacing w:line="360" w:lineRule="auto"/>
        <w:ind w:left="0" w:leftChars="0" w:firstLine="420" w:firstLineChars="200"/>
        <w:jc w:val="left"/>
        <w:textAlignment w:val="auto"/>
        <w:rPr>
          <w:rFonts w:hint="eastAsia" w:ascii="宋体" w:hAnsi="宋体" w:eastAsia="宋体" w:cs="宋体"/>
          <w:b w:val="0"/>
          <w:color w:val="auto"/>
          <w:kern w:val="2"/>
          <w:sz w:val="21"/>
          <w:szCs w:val="21"/>
          <w:highlight w:val="none"/>
          <w:lang w:eastAsia="zh-CN"/>
        </w:rPr>
      </w:pPr>
      <w:r>
        <w:rPr>
          <w:rFonts w:hint="eastAsia" w:ascii="宋体" w:hAnsi="宋体" w:eastAsia="宋体" w:cs="宋体"/>
          <w:b w:val="0"/>
          <w:color w:val="auto"/>
          <w:kern w:val="2"/>
          <w:sz w:val="21"/>
          <w:szCs w:val="21"/>
          <w:highlight w:val="none"/>
          <w:lang w:val="en-US" w:eastAsia="zh-CN"/>
        </w:rPr>
        <w:t>8</w:t>
      </w:r>
      <w:r>
        <w:rPr>
          <w:rFonts w:hint="eastAsia" w:ascii="宋体" w:hAnsi="宋体" w:eastAsia="宋体" w:cs="宋体"/>
          <w:b w:val="0"/>
          <w:color w:val="auto"/>
          <w:kern w:val="2"/>
          <w:sz w:val="21"/>
          <w:szCs w:val="21"/>
          <w:highlight w:val="none"/>
          <w:lang w:eastAsia="zh-CN"/>
        </w:rPr>
        <w:t>月</w:t>
      </w:r>
      <w:r>
        <w:rPr>
          <w:rFonts w:hint="eastAsia" w:ascii="宋体" w:hAnsi="宋体" w:eastAsia="宋体" w:cs="宋体"/>
          <w:b w:val="0"/>
          <w:color w:val="auto"/>
          <w:kern w:val="2"/>
          <w:sz w:val="21"/>
          <w:szCs w:val="21"/>
          <w:highlight w:val="none"/>
          <w:lang w:val="en-US" w:eastAsia="zh-CN"/>
        </w:rPr>
        <w:t>上</w:t>
      </w:r>
      <w:r>
        <w:rPr>
          <w:rFonts w:hint="eastAsia" w:ascii="宋体" w:hAnsi="宋体" w:eastAsia="宋体" w:cs="宋体"/>
          <w:b w:val="0"/>
          <w:color w:val="auto"/>
          <w:kern w:val="2"/>
          <w:sz w:val="21"/>
          <w:szCs w:val="21"/>
          <w:highlight w:val="none"/>
          <w:lang w:eastAsia="zh-CN"/>
        </w:rPr>
        <w:t>旬至</w:t>
      </w:r>
      <w:r>
        <w:rPr>
          <w:rFonts w:hint="eastAsia" w:ascii="宋体" w:hAnsi="宋体" w:eastAsia="宋体" w:cs="宋体"/>
          <w:b w:val="0"/>
          <w:color w:val="auto"/>
          <w:kern w:val="2"/>
          <w:sz w:val="21"/>
          <w:szCs w:val="21"/>
          <w:highlight w:val="none"/>
          <w:lang w:val="en-US" w:eastAsia="zh-CN"/>
        </w:rPr>
        <w:t>11</w:t>
      </w:r>
      <w:r>
        <w:rPr>
          <w:rFonts w:hint="eastAsia" w:ascii="宋体" w:hAnsi="宋体" w:eastAsia="宋体" w:cs="宋体"/>
          <w:b w:val="0"/>
          <w:color w:val="auto"/>
          <w:kern w:val="2"/>
          <w:sz w:val="21"/>
          <w:szCs w:val="21"/>
          <w:highlight w:val="none"/>
          <w:lang w:eastAsia="zh-CN"/>
        </w:rPr>
        <w:t>月</w:t>
      </w:r>
      <w:r>
        <w:rPr>
          <w:rFonts w:hint="eastAsia" w:ascii="宋体" w:hAnsi="宋体" w:eastAsia="宋体" w:cs="宋体"/>
          <w:b w:val="0"/>
          <w:color w:val="auto"/>
          <w:kern w:val="2"/>
          <w:sz w:val="21"/>
          <w:szCs w:val="21"/>
          <w:highlight w:val="none"/>
          <w:lang w:val="en-US" w:eastAsia="zh-CN"/>
        </w:rPr>
        <w:t>上</w:t>
      </w:r>
      <w:r>
        <w:rPr>
          <w:rFonts w:hint="eastAsia" w:ascii="宋体" w:hAnsi="宋体" w:eastAsia="宋体" w:cs="宋体"/>
          <w:b w:val="0"/>
          <w:color w:val="auto"/>
          <w:kern w:val="2"/>
          <w:sz w:val="21"/>
          <w:szCs w:val="21"/>
          <w:highlight w:val="none"/>
          <w:lang w:eastAsia="zh-CN"/>
        </w:rPr>
        <w:t>旬</w:t>
      </w:r>
      <w:r>
        <w:rPr>
          <w:rFonts w:hint="eastAsia" w:ascii="宋体" w:hAnsi="宋体" w:eastAsia="宋体" w:cs="宋体"/>
          <w:b w:val="0"/>
          <w:color w:val="auto"/>
          <w:kern w:val="2"/>
          <w:sz w:val="21"/>
          <w:szCs w:val="21"/>
          <w:highlight w:val="none"/>
          <w:lang w:eastAsia="zh-CN"/>
        </w:rPr>
        <w:t>（具体以合同签订时间为准），每批安排7天（含往返时间，前往南京高淳和宿迁三台山疗休养基地的，两个疗休养点各安排3天左右行程），按顺序分批次出发，原则上待上一批结束后，下一批再行出发。</w:t>
      </w:r>
    </w:p>
    <w:p w14:paraId="27EA0681">
      <w:pPr>
        <w:pStyle w:val="73"/>
        <w:pageBreakBefore w:val="0"/>
        <w:numPr>
          <w:ilvl w:val="0"/>
          <w:numId w:val="0"/>
        </w:numPr>
        <w:tabs>
          <w:tab w:val="left" w:pos="0"/>
        </w:tabs>
        <w:kinsoku/>
        <w:wordWrap/>
        <w:overflowPunct/>
        <w:topLinePunct w:val="0"/>
        <w:autoSpaceDE/>
        <w:autoSpaceDN/>
        <w:bidi w:val="0"/>
        <w:adjustRightInd/>
        <w:snapToGrid w:val="0"/>
        <w:spacing w:line="360" w:lineRule="auto"/>
        <w:ind w:left="0" w:leftChars="0" w:firstLine="422" w:firstLineChars="200"/>
        <w:jc w:val="left"/>
        <w:textAlignment w:val="auto"/>
        <w:rPr>
          <w:rFonts w:hint="eastAsia" w:ascii="宋体" w:hAnsi="宋体" w:eastAsia="宋体" w:cs="宋体"/>
          <w:b/>
          <w:bCs/>
          <w:color w:val="auto"/>
          <w:kern w:val="2"/>
          <w:sz w:val="21"/>
          <w:szCs w:val="21"/>
          <w:highlight w:val="none"/>
          <w:lang w:eastAsia="zh-CN"/>
        </w:rPr>
      </w:pPr>
      <w:r>
        <w:rPr>
          <w:rFonts w:hint="eastAsia" w:ascii="宋体" w:hAnsi="宋体" w:eastAsia="宋体" w:cs="宋体"/>
          <w:b/>
          <w:bCs/>
          <w:color w:val="auto"/>
          <w:kern w:val="2"/>
          <w:sz w:val="21"/>
          <w:szCs w:val="21"/>
          <w:highlight w:val="none"/>
          <w:lang w:eastAsia="zh-CN"/>
        </w:rPr>
        <w:t>三、批次和人数</w:t>
      </w:r>
    </w:p>
    <w:p w14:paraId="45341A1E">
      <w:pPr>
        <w:pStyle w:val="73"/>
        <w:pageBreakBefore w:val="0"/>
        <w:numPr>
          <w:ilvl w:val="0"/>
          <w:numId w:val="0"/>
        </w:numPr>
        <w:tabs>
          <w:tab w:val="left" w:pos="0"/>
        </w:tabs>
        <w:kinsoku/>
        <w:wordWrap/>
        <w:overflowPunct/>
        <w:topLinePunct w:val="0"/>
        <w:autoSpaceDE/>
        <w:autoSpaceDN/>
        <w:bidi w:val="0"/>
        <w:adjustRightInd/>
        <w:snapToGrid w:val="0"/>
        <w:spacing w:line="360" w:lineRule="auto"/>
        <w:ind w:left="0" w:leftChars="0" w:firstLine="420" w:firstLineChars="200"/>
        <w:jc w:val="left"/>
        <w:textAlignment w:val="auto"/>
        <w:rPr>
          <w:rFonts w:hint="eastAsia" w:ascii="宋体" w:hAnsi="宋体" w:eastAsia="宋体" w:cs="宋体"/>
          <w:b w:val="0"/>
          <w:color w:val="auto"/>
          <w:kern w:val="2"/>
          <w:sz w:val="21"/>
          <w:szCs w:val="21"/>
          <w:highlight w:val="none"/>
          <w:lang w:eastAsia="zh-CN"/>
        </w:rPr>
      </w:pPr>
      <w:r>
        <w:rPr>
          <w:rFonts w:hint="eastAsia" w:ascii="宋体" w:hAnsi="宋体" w:eastAsia="宋体" w:cs="宋体"/>
          <w:b w:val="0"/>
          <w:color w:val="auto"/>
          <w:kern w:val="2"/>
          <w:sz w:val="21"/>
          <w:szCs w:val="21"/>
          <w:highlight w:val="none"/>
          <w:lang w:eastAsia="zh-CN"/>
        </w:rPr>
        <w:t>第1批安排厅机关功模代表，共50人左右，前往南京高淳和宿迁三台山疗休养基地。后3批安排设区市局功模代表，每批45人左右，共135人左右，其中，第2批和第3批前往南京高淳和宿迁三台山疗休养基地，第4批前往贵州方向。另外，贵州方向安排2名负责全程服务保障</w:t>
      </w:r>
      <w:r>
        <w:rPr>
          <w:rFonts w:hint="eastAsia" w:ascii="宋体" w:hAnsi="宋体" w:eastAsia="宋体" w:cs="宋体"/>
          <w:b w:val="0"/>
          <w:color w:val="auto"/>
          <w:kern w:val="2"/>
          <w:sz w:val="21"/>
          <w:szCs w:val="21"/>
          <w:highlight w:val="none"/>
          <w:lang w:val="en-US" w:eastAsia="zh-CN"/>
        </w:rPr>
        <w:t>人员</w:t>
      </w:r>
      <w:r>
        <w:rPr>
          <w:rFonts w:hint="eastAsia" w:ascii="宋体" w:hAnsi="宋体" w:eastAsia="宋体" w:cs="宋体"/>
          <w:b w:val="0"/>
          <w:color w:val="auto"/>
          <w:kern w:val="2"/>
          <w:sz w:val="21"/>
          <w:szCs w:val="21"/>
          <w:highlight w:val="none"/>
          <w:lang w:eastAsia="zh-CN"/>
        </w:rPr>
        <w:t>和1名随队保障医生。上述共188人。</w:t>
      </w:r>
    </w:p>
    <w:p w14:paraId="38F7A4C1">
      <w:pPr>
        <w:pStyle w:val="73"/>
        <w:pageBreakBefore w:val="0"/>
        <w:numPr>
          <w:ilvl w:val="0"/>
          <w:numId w:val="0"/>
        </w:numPr>
        <w:tabs>
          <w:tab w:val="left" w:pos="0"/>
        </w:tabs>
        <w:kinsoku/>
        <w:wordWrap/>
        <w:overflowPunct/>
        <w:topLinePunct w:val="0"/>
        <w:autoSpaceDE/>
        <w:autoSpaceDN/>
        <w:bidi w:val="0"/>
        <w:adjustRightInd/>
        <w:snapToGrid w:val="0"/>
        <w:spacing w:line="360" w:lineRule="auto"/>
        <w:ind w:left="0" w:leftChars="0" w:firstLine="422" w:firstLineChars="200"/>
        <w:jc w:val="left"/>
        <w:textAlignment w:val="auto"/>
        <w:rPr>
          <w:rFonts w:hint="eastAsia" w:ascii="宋体" w:hAnsi="宋体" w:eastAsia="宋体" w:cs="宋体"/>
          <w:b/>
          <w:bCs/>
          <w:color w:val="auto"/>
          <w:kern w:val="2"/>
          <w:sz w:val="21"/>
          <w:szCs w:val="21"/>
          <w:highlight w:val="none"/>
          <w:lang w:eastAsia="zh-CN"/>
        </w:rPr>
      </w:pPr>
      <w:r>
        <w:rPr>
          <w:rFonts w:hint="eastAsia" w:ascii="宋体" w:hAnsi="宋体" w:eastAsia="宋体" w:cs="宋体"/>
          <w:b/>
          <w:bCs/>
          <w:color w:val="auto"/>
          <w:kern w:val="2"/>
          <w:sz w:val="21"/>
          <w:szCs w:val="21"/>
          <w:highlight w:val="none"/>
          <w:lang w:eastAsia="zh-CN"/>
        </w:rPr>
        <w:t>四、交通工具</w:t>
      </w:r>
    </w:p>
    <w:p w14:paraId="7EA55542">
      <w:pPr>
        <w:pStyle w:val="73"/>
        <w:pageBreakBefore w:val="0"/>
        <w:numPr>
          <w:ilvl w:val="0"/>
          <w:numId w:val="0"/>
        </w:numPr>
        <w:tabs>
          <w:tab w:val="left" w:pos="0"/>
        </w:tabs>
        <w:kinsoku/>
        <w:wordWrap/>
        <w:overflowPunct/>
        <w:topLinePunct w:val="0"/>
        <w:autoSpaceDE/>
        <w:autoSpaceDN/>
        <w:bidi w:val="0"/>
        <w:adjustRightInd/>
        <w:snapToGrid w:val="0"/>
        <w:spacing w:line="360" w:lineRule="auto"/>
        <w:ind w:left="0" w:leftChars="0" w:firstLine="420" w:firstLineChars="200"/>
        <w:jc w:val="left"/>
        <w:textAlignment w:val="auto"/>
        <w:rPr>
          <w:rFonts w:hint="eastAsia" w:ascii="宋体" w:hAnsi="宋体" w:eastAsia="宋体" w:cs="宋体"/>
          <w:b w:val="0"/>
          <w:color w:val="auto"/>
          <w:kern w:val="2"/>
          <w:sz w:val="21"/>
          <w:szCs w:val="21"/>
          <w:highlight w:val="none"/>
          <w:lang w:eastAsia="zh-CN"/>
        </w:rPr>
      </w:pPr>
      <w:r>
        <w:rPr>
          <w:rFonts w:hint="eastAsia" w:ascii="宋体" w:hAnsi="宋体" w:eastAsia="宋体" w:cs="宋体"/>
          <w:b w:val="0"/>
          <w:color w:val="auto"/>
          <w:kern w:val="2"/>
          <w:sz w:val="21"/>
          <w:szCs w:val="21"/>
          <w:highlight w:val="none"/>
          <w:lang w:eastAsia="zh-CN"/>
        </w:rPr>
        <w:t>结合往返各地交通状况，兼顾便捷性和安全性，全体参加休养人员统一从南京市区出发，其中，前往南京高淳和宿迁三台山疗休养基地的3批休养人员，集中乘坐中标公司安排的大巴出行；前往贵州方向的1批休养人员，往返均乘坐飞机，在贵州当地外出原则上集中乘坐中标公司安排的大巴（中短途可采取高铁、动车等方式集中出行）。</w:t>
      </w:r>
    </w:p>
    <w:p w14:paraId="5711883F">
      <w:pPr>
        <w:pStyle w:val="73"/>
        <w:pageBreakBefore w:val="0"/>
        <w:numPr>
          <w:ilvl w:val="0"/>
          <w:numId w:val="0"/>
        </w:numPr>
        <w:tabs>
          <w:tab w:val="left" w:pos="0"/>
        </w:tabs>
        <w:kinsoku/>
        <w:wordWrap/>
        <w:overflowPunct/>
        <w:topLinePunct w:val="0"/>
        <w:autoSpaceDE/>
        <w:autoSpaceDN/>
        <w:bidi w:val="0"/>
        <w:adjustRightInd/>
        <w:snapToGrid w:val="0"/>
        <w:spacing w:line="360" w:lineRule="auto"/>
        <w:ind w:left="0" w:leftChars="0" w:firstLine="422" w:firstLineChars="200"/>
        <w:jc w:val="left"/>
        <w:textAlignment w:val="auto"/>
        <w:rPr>
          <w:rFonts w:hint="eastAsia" w:ascii="宋体" w:hAnsi="宋体" w:eastAsia="宋体" w:cs="宋体"/>
          <w:b w:val="0"/>
          <w:color w:val="auto"/>
          <w:kern w:val="2"/>
          <w:sz w:val="21"/>
          <w:szCs w:val="21"/>
          <w:highlight w:val="none"/>
          <w:lang w:eastAsia="zh-CN"/>
        </w:rPr>
      </w:pPr>
      <w:r>
        <w:rPr>
          <w:rFonts w:hint="eastAsia" w:ascii="宋体" w:hAnsi="宋体" w:eastAsia="宋体" w:cs="宋体"/>
          <w:b/>
          <w:bCs/>
          <w:color w:val="auto"/>
          <w:kern w:val="2"/>
          <w:sz w:val="21"/>
          <w:szCs w:val="21"/>
          <w:highlight w:val="none"/>
          <w:lang w:eastAsia="zh-CN"/>
        </w:rPr>
        <w:t>五、休养路线</w:t>
      </w:r>
      <w:r>
        <w:rPr>
          <w:rFonts w:hint="eastAsia" w:ascii="宋体" w:hAnsi="宋体" w:eastAsia="宋体" w:cs="宋体"/>
          <w:b w:val="0"/>
          <w:color w:val="auto"/>
          <w:kern w:val="2"/>
          <w:sz w:val="21"/>
          <w:szCs w:val="21"/>
          <w:highlight w:val="none"/>
          <w:lang w:eastAsia="zh-CN"/>
        </w:rPr>
        <w:t>（供参考，具体线路安排拟会同中标公司和南京高淳、宿迁三台山疗休养基地主管部门商定，采取深度游模式，每个方向均包含红色资源参观学习点）</w:t>
      </w:r>
    </w:p>
    <w:p w14:paraId="47FC94B0">
      <w:pPr>
        <w:pStyle w:val="73"/>
        <w:pageBreakBefore w:val="0"/>
        <w:numPr>
          <w:ilvl w:val="0"/>
          <w:numId w:val="0"/>
        </w:numPr>
        <w:tabs>
          <w:tab w:val="left" w:pos="0"/>
        </w:tabs>
        <w:kinsoku/>
        <w:wordWrap/>
        <w:overflowPunct/>
        <w:topLinePunct w:val="0"/>
        <w:autoSpaceDE/>
        <w:autoSpaceDN/>
        <w:bidi w:val="0"/>
        <w:adjustRightInd/>
        <w:snapToGrid w:val="0"/>
        <w:spacing w:line="360" w:lineRule="auto"/>
        <w:ind w:left="0" w:leftChars="0" w:firstLine="420" w:firstLineChars="200"/>
        <w:jc w:val="left"/>
        <w:textAlignment w:val="auto"/>
        <w:rPr>
          <w:rFonts w:hint="eastAsia" w:ascii="宋体" w:hAnsi="宋体" w:eastAsia="宋体" w:cs="宋体"/>
          <w:b w:val="0"/>
          <w:color w:val="auto"/>
          <w:kern w:val="2"/>
          <w:sz w:val="21"/>
          <w:szCs w:val="21"/>
          <w:highlight w:val="none"/>
          <w:lang w:eastAsia="zh-CN"/>
        </w:rPr>
      </w:pPr>
      <w:r>
        <w:rPr>
          <w:rFonts w:hint="eastAsia" w:ascii="宋体" w:hAnsi="宋体" w:eastAsia="宋体" w:cs="宋体"/>
          <w:b w:val="0"/>
          <w:color w:val="auto"/>
          <w:kern w:val="2"/>
          <w:sz w:val="21"/>
          <w:szCs w:val="21"/>
          <w:highlight w:val="none"/>
          <w:lang w:eastAsia="zh-CN"/>
        </w:rPr>
        <w:t>（一）省内方向：西舍红色文化陈列馆、宿北大战三台山战场公园、高淳老街、三台山国家森林公园等。</w:t>
      </w:r>
    </w:p>
    <w:p w14:paraId="3C20837A">
      <w:pPr>
        <w:pStyle w:val="73"/>
        <w:pageBreakBefore w:val="0"/>
        <w:numPr>
          <w:ilvl w:val="0"/>
          <w:numId w:val="0"/>
        </w:numPr>
        <w:tabs>
          <w:tab w:val="left" w:pos="0"/>
        </w:tabs>
        <w:kinsoku/>
        <w:wordWrap/>
        <w:overflowPunct/>
        <w:topLinePunct w:val="0"/>
        <w:autoSpaceDE/>
        <w:autoSpaceDN/>
        <w:bidi w:val="0"/>
        <w:adjustRightInd/>
        <w:snapToGrid w:val="0"/>
        <w:spacing w:line="360" w:lineRule="auto"/>
        <w:ind w:left="0" w:leftChars="0" w:firstLine="420" w:firstLineChars="200"/>
        <w:jc w:val="left"/>
        <w:textAlignment w:val="auto"/>
        <w:rPr>
          <w:rFonts w:hint="eastAsia" w:ascii="宋体" w:hAnsi="宋体" w:eastAsia="宋体" w:cs="宋体"/>
          <w:b w:val="0"/>
          <w:color w:val="auto"/>
          <w:kern w:val="2"/>
          <w:sz w:val="21"/>
          <w:szCs w:val="21"/>
          <w:highlight w:val="none"/>
          <w:lang w:eastAsia="zh-CN"/>
        </w:rPr>
      </w:pPr>
      <w:r>
        <w:rPr>
          <w:rFonts w:hint="eastAsia" w:ascii="宋体" w:hAnsi="宋体" w:eastAsia="宋体" w:cs="宋体"/>
          <w:b w:val="0"/>
          <w:color w:val="auto"/>
          <w:kern w:val="2"/>
          <w:sz w:val="21"/>
          <w:szCs w:val="21"/>
          <w:highlight w:val="none"/>
          <w:lang w:eastAsia="zh-CN"/>
        </w:rPr>
        <w:t>（二）贵州方向：遵义会议会址、娄山关景区、四渡赤水纪念馆、西江镇远古城、普安茶文化生态旅游景区等。</w:t>
      </w:r>
    </w:p>
    <w:p w14:paraId="1E55F013">
      <w:pPr>
        <w:pStyle w:val="73"/>
        <w:pageBreakBefore w:val="0"/>
        <w:numPr>
          <w:ilvl w:val="0"/>
          <w:numId w:val="0"/>
        </w:numPr>
        <w:tabs>
          <w:tab w:val="left" w:pos="0"/>
        </w:tabs>
        <w:kinsoku/>
        <w:wordWrap/>
        <w:overflowPunct/>
        <w:topLinePunct w:val="0"/>
        <w:autoSpaceDE/>
        <w:autoSpaceDN/>
        <w:bidi w:val="0"/>
        <w:adjustRightInd/>
        <w:snapToGrid w:val="0"/>
        <w:spacing w:line="360" w:lineRule="auto"/>
        <w:ind w:left="0" w:leftChars="0" w:firstLine="422" w:firstLineChars="200"/>
        <w:jc w:val="left"/>
        <w:textAlignment w:val="auto"/>
        <w:rPr>
          <w:rFonts w:hint="eastAsia" w:ascii="宋体" w:hAnsi="宋体" w:eastAsia="宋体" w:cs="宋体"/>
          <w:b/>
          <w:bCs/>
          <w:color w:val="auto"/>
          <w:kern w:val="2"/>
          <w:sz w:val="21"/>
          <w:szCs w:val="21"/>
          <w:highlight w:val="none"/>
          <w:lang w:eastAsia="zh-CN"/>
        </w:rPr>
      </w:pPr>
      <w:r>
        <w:rPr>
          <w:rFonts w:hint="eastAsia" w:ascii="宋体" w:hAnsi="宋体" w:eastAsia="宋体" w:cs="宋体"/>
          <w:b/>
          <w:bCs/>
          <w:color w:val="auto"/>
          <w:kern w:val="2"/>
          <w:sz w:val="21"/>
          <w:szCs w:val="21"/>
          <w:highlight w:val="none"/>
          <w:lang w:eastAsia="zh-CN"/>
        </w:rPr>
        <w:t>六、食宿安排</w:t>
      </w:r>
    </w:p>
    <w:p w14:paraId="2DCEC117">
      <w:pPr>
        <w:pStyle w:val="73"/>
        <w:pageBreakBefore w:val="0"/>
        <w:numPr>
          <w:ilvl w:val="0"/>
          <w:numId w:val="0"/>
        </w:numPr>
        <w:tabs>
          <w:tab w:val="left" w:pos="0"/>
        </w:tabs>
        <w:kinsoku/>
        <w:wordWrap/>
        <w:overflowPunct/>
        <w:topLinePunct w:val="0"/>
        <w:autoSpaceDE/>
        <w:autoSpaceDN/>
        <w:bidi w:val="0"/>
        <w:adjustRightInd/>
        <w:snapToGrid w:val="0"/>
        <w:spacing w:line="360" w:lineRule="auto"/>
        <w:ind w:left="0" w:leftChars="0" w:firstLine="420" w:firstLineChars="200"/>
        <w:jc w:val="left"/>
        <w:textAlignment w:val="auto"/>
        <w:rPr>
          <w:rFonts w:hint="eastAsia" w:ascii="宋体" w:hAnsi="宋体" w:eastAsia="宋体" w:cs="宋体"/>
          <w:b w:val="0"/>
          <w:color w:val="auto"/>
          <w:kern w:val="2"/>
          <w:sz w:val="21"/>
          <w:szCs w:val="21"/>
          <w:highlight w:val="none"/>
          <w:lang w:eastAsia="zh-CN"/>
        </w:rPr>
      </w:pPr>
      <w:r>
        <w:rPr>
          <w:rFonts w:hint="eastAsia" w:ascii="宋体" w:hAnsi="宋体" w:eastAsia="宋体" w:cs="宋体"/>
          <w:b w:val="0"/>
          <w:color w:val="auto"/>
          <w:kern w:val="2"/>
          <w:sz w:val="21"/>
          <w:szCs w:val="21"/>
          <w:highlight w:val="none"/>
          <w:lang w:eastAsia="zh-CN"/>
        </w:rPr>
        <w:t>为保证休养活动效果，达到放松身心、舒缓压力的目的，要在预算范围内为休养人员提供较好食宿行安排（同等竞标价格中综合考虑食宿行保障和路线安排合理性等因素，参照近年来组织的疗休养活动，全程选择当地四星级</w:t>
      </w:r>
      <w:r>
        <w:rPr>
          <w:rFonts w:hint="eastAsia" w:ascii="宋体" w:hAnsi="宋体" w:eastAsia="宋体" w:cs="宋体"/>
          <w:b w:val="0"/>
          <w:color w:val="auto"/>
          <w:kern w:val="2"/>
          <w:sz w:val="21"/>
          <w:szCs w:val="21"/>
          <w:highlight w:val="none"/>
          <w:lang w:val="en-US" w:eastAsia="zh-CN"/>
        </w:rPr>
        <w:t>及</w:t>
      </w:r>
      <w:r>
        <w:rPr>
          <w:rFonts w:hint="eastAsia" w:ascii="宋体" w:hAnsi="宋体" w:eastAsia="宋体" w:cs="宋体"/>
          <w:b w:val="0"/>
          <w:color w:val="auto"/>
          <w:kern w:val="2"/>
          <w:sz w:val="21"/>
          <w:szCs w:val="21"/>
          <w:highlight w:val="none"/>
          <w:lang w:eastAsia="zh-CN"/>
        </w:rPr>
        <w:t>以上酒店，其中，省内疗休养路线</w:t>
      </w:r>
      <w:r>
        <w:rPr>
          <w:rFonts w:hint="eastAsia" w:ascii="宋体" w:hAnsi="宋体" w:eastAsia="宋体" w:cs="宋体"/>
          <w:b w:val="0"/>
          <w:color w:val="auto"/>
          <w:kern w:val="2"/>
          <w:sz w:val="21"/>
          <w:szCs w:val="21"/>
          <w:highlight w:val="none"/>
          <w:lang w:val="en-US" w:eastAsia="zh-CN"/>
        </w:rPr>
        <w:t>建议</w:t>
      </w:r>
      <w:r>
        <w:rPr>
          <w:rFonts w:hint="eastAsia" w:ascii="宋体" w:hAnsi="宋体" w:eastAsia="宋体" w:cs="宋体"/>
          <w:b w:val="0"/>
          <w:color w:val="auto"/>
          <w:kern w:val="2"/>
          <w:sz w:val="21"/>
          <w:szCs w:val="21"/>
          <w:highlight w:val="none"/>
          <w:lang w:eastAsia="zh-CN"/>
        </w:rPr>
        <w:t>统一安排入住高淳枕松云居酒店和宿迁三台山职工疗养院），早餐使用酒店自助餐；中晚餐使用酒店自助餐或统一安排桌餐，按照每人每餐100元左右标准。</w:t>
      </w:r>
    </w:p>
    <w:p w14:paraId="6452CCFC">
      <w:pPr>
        <w:pStyle w:val="73"/>
        <w:pageBreakBefore w:val="0"/>
        <w:numPr>
          <w:ilvl w:val="0"/>
          <w:numId w:val="0"/>
        </w:numPr>
        <w:tabs>
          <w:tab w:val="left" w:pos="0"/>
        </w:tabs>
        <w:kinsoku/>
        <w:wordWrap/>
        <w:overflowPunct/>
        <w:topLinePunct w:val="0"/>
        <w:autoSpaceDE/>
        <w:autoSpaceDN/>
        <w:bidi w:val="0"/>
        <w:adjustRightInd/>
        <w:snapToGrid w:val="0"/>
        <w:spacing w:line="360" w:lineRule="auto"/>
        <w:ind w:left="0" w:leftChars="0" w:firstLine="422" w:firstLineChars="200"/>
        <w:jc w:val="left"/>
        <w:textAlignment w:val="auto"/>
        <w:rPr>
          <w:rFonts w:hint="eastAsia" w:ascii="宋体" w:hAnsi="宋体" w:eastAsia="宋体" w:cs="宋体"/>
          <w:b/>
          <w:bCs/>
          <w:color w:val="auto"/>
          <w:kern w:val="2"/>
          <w:sz w:val="21"/>
          <w:szCs w:val="21"/>
          <w:highlight w:val="none"/>
          <w:lang w:eastAsia="zh-CN"/>
        </w:rPr>
      </w:pPr>
      <w:r>
        <w:rPr>
          <w:rFonts w:hint="eastAsia" w:ascii="宋体" w:hAnsi="宋体" w:eastAsia="宋体" w:cs="宋体"/>
          <w:b/>
          <w:bCs/>
          <w:color w:val="auto"/>
          <w:kern w:val="2"/>
          <w:sz w:val="21"/>
          <w:szCs w:val="21"/>
          <w:highlight w:val="none"/>
          <w:lang w:eastAsia="zh-CN"/>
        </w:rPr>
        <w:t>七、其他</w:t>
      </w:r>
    </w:p>
    <w:p w14:paraId="20CB872C">
      <w:pPr>
        <w:pStyle w:val="73"/>
        <w:pageBreakBefore w:val="0"/>
        <w:numPr>
          <w:ilvl w:val="0"/>
          <w:numId w:val="0"/>
        </w:numPr>
        <w:tabs>
          <w:tab w:val="left" w:pos="0"/>
        </w:tabs>
        <w:kinsoku/>
        <w:wordWrap/>
        <w:overflowPunct/>
        <w:topLinePunct w:val="0"/>
        <w:autoSpaceDE/>
        <w:autoSpaceDN/>
        <w:bidi w:val="0"/>
        <w:adjustRightInd/>
        <w:snapToGrid w:val="0"/>
        <w:spacing w:line="360" w:lineRule="auto"/>
        <w:ind w:left="0" w:leftChars="0" w:firstLine="420" w:firstLineChars="200"/>
        <w:jc w:val="left"/>
        <w:textAlignment w:val="auto"/>
        <w:rPr>
          <w:rFonts w:hint="eastAsia" w:ascii="宋体" w:hAnsi="宋体" w:eastAsia="宋体" w:cs="宋体"/>
          <w:b w:val="0"/>
          <w:color w:val="auto"/>
          <w:kern w:val="2"/>
          <w:sz w:val="21"/>
          <w:szCs w:val="21"/>
          <w:highlight w:val="none"/>
          <w:lang w:eastAsia="zh-CN"/>
        </w:rPr>
      </w:pPr>
      <w:r>
        <w:rPr>
          <w:rFonts w:hint="eastAsia" w:ascii="宋体" w:hAnsi="宋体" w:eastAsia="宋体" w:cs="宋体"/>
          <w:b w:val="0"/>
          <w:color w:val="auto"/>
          <w:kern w:val="2"/>
          <w:sz w:val="21"/>
          <w:szCs w:val="21"/>
          <w:highlight w:val="none"/>
          <w:lang w:eastAsia="zh-CN"/>
        </w:rPr>
        <w:t>所有参观点门票、内部交通、游船、环保车、索道缆车、观光电梯、空调旅游车、保险以及在宁期间车辆保障等费用均由中标单位承担。中标单位同时提供全程陪同和讲解服务等，不得指定具体购物场所、不得安排购物等活动。费用根据实际参加休养人数和招标确定的价格</w:t>
      </w:r>
      <w:r>
        <w:rPr>
          <w:rFonts w:hint="eastAsia" w:ascii="宋体" w:hAnsi="宋体" w:eastAsia="宋体" w:cs="宋体"/>
          <w:b w:val="0"/>
          <w:color w:val="auto"/>
          <w:kern w:val="2"/>
          <w:sz w:val="21"/>
          <w:szCs w:val="21"/>
          <w:highlight w:val="none"/>
          <w:lang w:val="en-US" w:eastAsia="zh-CN"/>
        </w:rPr>
        <w:t>结算</w:t>
      </w:r>
      <w:r>
        <w:rPr>
          <w:rFonts w:hint="eastAsia" w:ascii="宋体" w:hAnsi="宋体" w:eastAsia="宋体" w:cs="宋体"/>
          <w:b w:val="0"/>
          <w:color w:val="auto"/>
          <w:kern w:val="2"/>
          <w:sz w:val="21"/>
          <w:szCs w:val="21"/>
          <w:highlight w:val="none"/>
          <w:lang w:eastAsia="zh-CN"/>
        </w:rPr>
        <w:t>。</w:t>
      </w:r>
    </w:p>
    <w:p w14:paraId="26EC3527">
      <w:pPr>
        <w:pStyle w:val="73"/>
        <w:pageBreakBefore w:val="0"/>
        <w:numPr>
          <w:ilvl w:val="0"/>
          <w:numId w:val="0"/>
        </w:numPr>
        <w:tabs>
          <w:tab w:val="left" w:pos="0"/>
        </w:tabs>
        <w:kinsoku/>
        <w:wordWrap/>
        <w:overflowPunct/>
        <w:topLinePunct w:val="0"/>
        <w:autoSpaceDE/>
        <w:autoSpaceDN/>
        <w:bidi w:val="0"/>
        <w:adjustRightInd/>
        <w:snapToGrid w:val="0"/>
        <w:spacing w:line="360" w:lineRule="auto"/>
        <w:ind w:left="0" w:leftChars="0" w:firstLine="422" w:firstLineChars="200"/>
        <w:jc w:val="left"/>
        <w:textAlignment w:val="auto"/>
        <w:rPr>
          <w:rFonts w:hint="eastAsia" w:ascii="宋体" w:hAnsi="宋体" w:eastAsia="宋体" w:cs="宋体"/>
          <w:b/>
          <w:bCs/>
          <w:color w:val="auto"/>
          <w:kern w:val="2"/>
          <w:sz w:val="21"/>
          <w:szCs w:val="21"/>
          <w:highlight w:val="none"/>
          <w:lang w:val="en-US" w:eastAsia="zh-CN"/>
        </w:rPr>
      </w:pPr>
      <w:r>
        <w:rPr>
          <w:rFonts w:hint="eastAsia" w:ascii="宋体" w:hAnsi="宋体" w:eastAsia="宋体" w:cs="宋体"/>
          <w:b/>
          <w:bCs/>
          <w:color w:val="auto"/>
          <w:kern w:val="2"/>
          <w:sz w:val="21"/>
          <w:szCs w:val="21"/>
          <w:highlight w:val="none"/>
          <w:lang w:val="en-US" w:eastAsia="zh-CN"/>
        </w:rPr>
        <w:t>八、商务要求</w:t>
      </w:r>
    </w:p>
    <w:p w14:paraId="2710D699">
      <w:pPr>
        <w:keepNext w:val="0"/>
        <w:keepLines w:val="0"/>
        <w:pageBreakBefore w:val="0"/>
        <w:spacing w:line="360" w:lineRule="auto"/>
        <w:ind w:firstLine="482"/>
        <w:outlineLvl w:val="0"/>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★（一）付款方式</w:t>
      </w:r>
    </w:p>
    <w:p w14:paraId="0CF3BC6D">
      <w:pPr>
        <w:keepNext w:val="0"/>
        <w:keepLines w:val="0"/>
        <w:pageBreakBefore w:val="0"/>
        <w:numPr>
          <w:ilvl w:val="0"/>
          <w:numId w:val="0"/>
        </w:numPr>
        <w:spacing w:line="360" w:lineRule="auto"/>
        <w:ind w:firstLine="480"/>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甲方分期向乙方支付合同约定的费用：</w:t>
      </w:r>
    </w:p>
    <w:p w14:paraId="1CB47C14">
      <w:pPr>
        <w:keepNext w:val="0"/>
        <w:keepLines w:val="0"/>
        <w:pageBreakBefore w:val="0"/>
        <w:numPr>
          <w:ilvl w:val="0"/>
          <w:numId w:val="0"/>
        </w:numPr>
        <w:spacing w:line="360" w:lineRule="auto"/>
        <w:ind w:firstLine="480"/>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首付款：在本合同签订并生效，且收到乙方开具的相应金额的、符合国家规定的增值税发票后[30]日内，甲方向乙方支付本合同费用总额的30％。</w:t>
      </w:r>
    </w:p>
    <w:p w14:paraId="13C930CA">
      <w:pPr>
        <w:keepNext w:val="0"/>
        <w:keepLines w:val="0"/>
        <w:pageBreakBefore w:val="0"/>
        <w:widowControl/>
        <w:numPr>
          <w:ilvl w:val="0"/>
          <w:numId w:val="0"/>
        </w:numPr>
        <w:spacing w:before="0" w:after="0" w:line="360" w:lineRule="auto"/>
        <w:ind w:left="0" w:right="0" w:firstLine="480"/>
        <w:jc w:val="left"/>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尾款：乙方完成本合同约定的全部服务内容并根据甲方实际使用情况及考核情况据实结算，经甲方收到乙方开具的相应金额的、符合国家规定的增值税发票后[30]日内，甲方向乙方付清剩余款项。</w:t>
      </w:r>
    </w:p>
    <w:p w14:paraId="26496C5F">
      <w:pPr>
        <w:keepNext w:val="0"/>
        <w:keepLines w:val="0"/>
        <w:pageBreakBefore w:val="0"/>
        <w:widowControl/>
        <w:numPr>
          <w:ilvl w:val="0"/>
          <w:numId w:val="0"/>
        </w:numPr>
        <w:spacing w:before="0" w:after="0" w:line="360" w:lineRule="auto"/>
        <w:ind w:left="0" w:right="0" w:firstLine="480"/>
        <w:jc w:val="left"/>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如因财政资金拨付不到位等原因，双方可协调延迟付款，甲方不承担违约责任。</w:t>
      </w:r>
    </w:p>
    <w:p w14:paraId="3A7A7B8A">
      <w:pPr>
        <w:keepNext w:val="0"/>
        <w:keepLines w:val="0"/>
        <w:pageBreakBefore w:val="0"/>
        <w:widowControl w:val="0"/>
        <w:numPr>
          <w:ilvl w:val="0"/>
          <w:numId w:val="0"/>
        </w:numPr>
        <w:spacing w:before="0" w:after="0" w:line="360" w:lineRule="auto"/>
        <w:ind w:left="0" w:right="0" w:firstLine="482"/>
        <w:jc w:val="both"/>
        <w:outlineLvl w:val="9"/>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w:t>
      </w:r>
      <w:r>
        <w:rPr>
          <w:rFonts w:hint="eastAsia" w:ascii="宋体" w:hAnsi="宋体" w:eastAsia="宋体" w:cs="宋体"/>
          <w:b/>
          <w:bCs/>
          <w:color w:val="auto"/>
          <w:sz w:val="21"/>
          <w:szCs w:val="21"/>
          <w:highlight w:val="none"/>
          <w:lang w:val="en-US" w:eastAsia="zh-CN" w:bidi="ar-SA"/>
        </w:rPr>
        <w:t>（二）</w:t>
      </w:r>
      <w:r>
        <w:rPr>
          <w:rFonts w:hint="eastAsia" w:ascii="宋体" w:hAnsi="宋体" w:eastAsia="宋体" w:cs="宋体"/>
          <w:b/>
          <w:bCs/>
          <w:color w:val="auto"/>
          <w:sz w:val="21"/>
          <w:szCs w:val="21"/>
          <w:highlight w:val="none"/>
          <w:lang w:val="en-US" w:eastAsia="zh-CN"/>
        </w:rPr>
        <w:t>报价要求</w:t>
      </w:r>
    </w:p>
    <w:p w14:paraId="7E08C07E">
      <w:pPr>
        <w:keepNext w:val="0"/>
        <w:keepLines w:val="0"/>
        <w:pageBreakBefore w:val="0"/>
        <w:widowControl w:val="0"/>
        <w:numPr>
          <w:ilvl w:val="0"/>
          <w:numId w:val="0"/>
        </w:numPr>
        <w:spacing w:before="0" w:after="0" w:line="360" w:lineRule="auto"/>
        <w:ind w:left="0" w:right="0" w:firstLine="480"/>
        <w:jc w:val="both"/>
        <w:outlineLvl w:val="9"/>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投标人投标报价金额以人民币报价，报价应包括完成该项目所需的人工费、材料费、服务费（餐饮、住宿、交通、参观点门票等）、管理费、人员培训、保险（意外保险额每人不低于10万元，包含10万元）、利润、税金、撰写策划方案、法律咨询、政策性文件规定及合同包含的所有风险、责任等各项应有费用。</w:t>
      </w:r>
    </w:p>
    <w:p w14:paraId="001CFF28">
      <w:pPr>
        <w:keepNext w:val="0"/>
        <w:keepLines w:val="0"/>
        <w:pageBreakBefore w:val="0"/>
        <w:widowControl w:val="0"/>
        <w:numPr>
          <w:ilvl w:val="0"/>
          <w:numId w:val="0"/>
        </w:numPr>
        <w:spacing w:before="0" w:after="0" w:line="360" w:lineRule="auto"/>
        <w:ind w:left="0" w:right="0" w:firstLine="480"/>
        <w:jc w:val="both"/>
        <w:outlineLvl w:val="9"/>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2.部分景点对持警察证或退役军人证的人员实行免票或门票优惠政策，实际结算时应予以扣减。</w:t>
      </w:r>
    </w:p>
    <w:p w14:paraId="0B0BCF09">
      <w:pPr>
        <w:keepNext w:val="0"/>
        <w:keepLines w:val="0"/>
        <w:pageBreakBefore w:val="0"/>
        <w:widowControl w:val="0"/>
        <w:numPr>
          <w:ilvl w:val="0"/>
          <w:numId w:val="0"/>
        </w:numPr>
        <w:spacing w:before="0" w:after="0" w:line="360" w:lineRule="auto"/>
        <w:ind w:left="0" w:right="0" w:firstLine="480"/>
        <w:jc w:val="both"/>
        <w:outlineLvl w:val="9"/>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投标人报价包含完成本项目的一切费用，不接受选择性报价；除非因特殊原因并经采购人及投标人双方协商同意，投标人不得再要求追加任何费用。同时，除非合同条款中另有规定，否则投标人所报价格在合同实施期间不因市场变化因素而变动。</w:t>
      </w:r>
    </w:p>
    <w:p w14:paraId="60134CA7">
      <w:pPr>
        <w:keepNext w:val="0"/>
        <w:keepLines w:val="0"/>
        <w:pageBreakBefore w:val="0"/>
        <w:widowControl w:val="0"/>
        <w:spacing w:before="0" w:after="0" w:line="360" w:lineRule="auto"/>
        <w:ind w:left="0" w:right="0" w:firstLine="480"/>
        <w:jc w:val="both"/>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4.</w:t>
      </w:r>
      <w:r>
        <w:rPr>
          <w:rFonts w:hint="eastAsia" w:ascii="宋体" w:hAnsi="宋体" w:eastAsia="宋体" w:cs="宋体"/>
          <w:color w:val="auto"/>
          <w:sz w:val="21"/>
          <w:szCs w:val="21"/>
          <w:highlight w:val="none"/>
          <w:lang w:val="en-US" w:eastAsia="zh-CN"/>
        </w:rPr>
        <w:t>旅行路线人均限价：</w:t>
      </w:r>
    </w:p>
    <w:p w14:paraId="4E3C9F91">
      <w:pPr>
        <w:keepNext w:val="0"/>
        <w:keepLines w:val="0"/>
        <w:pageBreakBefore w:val="0"/>
        <w:widowControl w:val="0"/>
        <w:spacing w:before="0" w:after="0" w:line="360" w:lineRule="auto"/>
        <w:ind w:left="0" w:right="0" w:firstLine="480"/>
        <w:jc w:val="both"/>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4.1</w:t>
      </w:r>
      <w:r>
        <w:rPr>
          <w:rFonts w:hint="eastAsia" w:ascii="宋体" w:hAnsi="宋体" w:eastAsia="宋体" w:cs="宋体"/>
          <w:color w:val="auto"/>
          <w:sz w:val="21"/>
          <w:szCs w:val="21"/>
          <w:highlight w:val="none"/>
          <w:lang w:eastAsia="zh-CN"/>
        </w:rPr>
        <w:t>贵州方向：</w:t>
      </w:r>
      <w:r>
        <w:rPr>
          <w:rFonts w:hint="eastAsia" w:ascii="宋体" w:hAnsi="宋体" w:eastAsia="宋体" w:cs="宋体"/>
          <w:color w:val="auto"/>
          <w:sz w:val="21"/>
          <w:szCs w:val="21"/>
          <w:highlight w:val="none"/>
          <w:lang w:val="en-US" w:eastAsia="zh-CN"/>
        </w:rPr>
        <w:t>人均不得超过9000元，人均报价超过最高限价的为无效投标</w:t>
      </w:r>
      <w:r>
        <w:rPr>
          <w:rFonts w:hint="eastAsia" w:ascii="宋体" w:hAnsi="宋体" w:eastAsia="宋体" w:cs="宋体"/>
          <w:color w:val="auto"/>
          <w:sz w:val="21"/>
          <w:szCs w:val="21"/>
          <w:highlight w:val="none"/>
          <w:lang w:eastAsia="zh-CN"/>
        </w:rPr>
        <w:t>。</w:t>
      </w:r>
    </w:p>
    <w:p w14:paraId="64E51044">
      <w:pPr>
        <w:keepNext w:val="0"/>
        <w:keepLines w:val="0"/>
        <w:pageBreakBefore w:val="0"/>
        <w:widowControl w:val="0"/>
        <w:spacing w:before="0" w:after="0" w:line="360" w:lineRule="auto"/>
        <w:ind w:left="0" w:right="0" w:firstLine="480"/>
        <w:jc w:val="both"/>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4.2高淳和宿迁</w:t>
      </w:r>
      <w:r>
        <w:rPr>
          <w:rFonts w:hint="eastAsia" w:ascii="宋体" w:hAnsi="宋体" w:eastAsia="宋体" w:cs="宋体"/>
          <w:color w:val="auto"/>
          <w:sz w:val="21"/>
          <w:szCs w:val="21"/>
          <w:highlight w:val="none"/>
          <w:lang w:eastAsia="zh-CN"/>
        </w:rPr>
        <w:t>方向：</w:t>
      </w:r>
      <w:r>
        <w:rPr>
          <w:rFonts w:hint="eastAsia" w:ascii="宋体" w:hAnsi="宋体" w:eastAsia="宋体" w:cs="宋体"/>
          <w:color w:val="auto"/>
          <w:sz w:val="21"/>
          <w:szCs w:val="21"/>
          <w:highlight w:val="none"/>
          <w:lang w:val="en-US" w:eastAsia="zh-CN"/>
        </w:rPr>
        <w:t>人均不得超过5000元，人均报价超过最高限价的为无效投标</w:t>
      </w:r>
      <w:r>
        <w:rPr>
          <w:rFonts w:hint="eastAsia" w:ascii="宋体" w:hAnsi="宋体" w:eastAsia="宋体" w:cs="宋体"/>
          <w:color w:val="auto"/>
          <w:sz w:val="21"/>
          <w:szCs w:val="21"/>
          <w:highlight w:val="none"/>
          <w:lang w:eastAsia="zh-CN"/>
        </w:rPr>
        <w:t>。</w:t>
      </w:r>
    </w:p>
    <w:p w14:paraId="61E01FCB">
      <w:pPr>
        <w:keepNext w:val="0"/>
        <w:keepLines w:val="0"/>
        <w:pageBreakBefore w:val="0"/>
        <w:widowControl w:val="0"/>
        <w:numPr>
          <w:ilvl w:val="0"/>
          <w:numId w:val="0"/>
        </w:numPr>
        <w:spacing w:before="0" w:after="0" w:line="360" w:lineRule="auto"/>
        <w:ind w:left="0" w:right="0" w:firstLine="482"/>
        <w:jc w:val="both"/>
        <w:outlineLvl w:val="9"/>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（三）人员要求</w:t>
      </w:r>
    </w:p>
    <w:p w14:paraId="1D2BD184">
      <w:pPr>
        <w:keepNext w:val="0"/>
        <w:keepLines w:val="0"/>
        <w:pageBreakBefore w:val="0"/>
        <w:widowControl w:val="0"/>
        <w:numPr>
          <w:ilvl w:val="0"/>
          <w:numId w:val="0"/>
        </w:numPr>
        <w:spacing w:before="0" w:after="0" w:line="360" w:lineRule="auto"/>
        <w:ind w:left="0" w:right="0" w:firstLine="482"/>
        <w:jc w:val="both"/>
        <w:outlineLvl w:val="9"/>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★每批行程配备的导游人员均须具有有效的导游证。</w:t>
      </w:r>
    </w:p>
    <w:p w14:paraId="5695E7A9">
      <w:pPr>
        <w:keepNext w:val="0"/>
        <w:keepLines w:val="0"/>
        <w:pageBreakBefore w:val="0"/>
        <w:widowControl w:val="0"/>
        <w:numPr>
          <w:ilvl w:val="0"/>
          <w:numId w:val="0"/>
        </w:numPr>
        <w:spacing w:before="0" w:after="0" w:line="360" w:lineRule="auto"/>
        <w:ind w:left="0" w:right="0" w:firstLine="482"/>
        <w:jc w:val="both"/>
        <w:outlineLvl w:val="9"/>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（四）服务标准</w:t>
      </w:r>
    </w:p>
    <w:p w14:paraId="046238E6">
      <w:pPr>
        <w:keepNext w:val="0"/>
        <w:keepLines w:val="0"/>
        <w:pageBreakBefore w:val="0"/>
        <w:widowControl w:val="0"/>
        <w:numPr>
          <w:ilvl w:val="0"/>
          <w:numId w:val="0"/>
        </w:numPr>
        <w:spacing w:before="0" w:after="0" w:line="360" w:lineRule="auto"/>
        <w:ind w:left="0" w:right="0" w:firstLine="480"/>
        <w:jc w:val="both"/>
        <w:outlineLvl w:val="9"/>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投标人提供的服务均应符合国家法律法规、部门规章，国家、行业、地方标准的要求。</w:t>
      </w:r>
    </w:p>
    <w:p w14:paraId="2AE9079D">
      <w:pPr>
        <w:keepNext w:val="0"/>
        <w:keepLines w:val="0"/>
        <w:pageBreakBefore w:val="0"/>
        <w:widowControl w:val="0"/>
        <w:numPr>
          <w:ilvl w:val="0"/>
          <w:numId w:val="0"/>
        </w:numPr>
        <w:spacing w:before="0" w:after="0" w:line="360" w:lineRule="auto"/>
        <w:ind w:left="0" w:right="0" w:firstLine="482"/>
        <w:jc w:val="both"/>
        <w:outlineLvl w:val="9"/>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（五）考核管理</w:t>
      </w:r>
    </w:p>
    <w:p w14:paraId="15160788">
      <w:pPr>
        <w:keepNext w:val="0"/>
        <w:keepLines w:val="0"/>
        <w:pageBreakBefore w:val="0"/>
        <w:widowControl w:val="0"/>
        <w:numPr>
          <w:ilvl w:val="0"/>
          <w:numId w:val="0"/>
        </w:numPr>
        <w:spacing w:before="0" w:after="0" w:line="360" w:lineRule="auto"/>
        <w:ind w:left="0" w:right="0" w:firstLine="480"/>
        <w:jc w:val="both"/>
        <w:outlineLvl w:val="9"/>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1.为规范对中标人的管理，采购人将依据相关法律法规制定相应的管理制度，实行动态管理方式，中标人须接受项目采购人的监督。</w:t>
      </w:r>
    </w:p>
    <w:p w14:paraId="6B24944B">
      <w:pPr>
        <w:keepNext w:val="0"/>
        <w:keepLines w:val="0"/>
        <w:pageBreakBefore w:val="0"/>
        <w:widowControl w:val="0"/>
        <w:numPr>
          <w:ilvl w:val="0"/>
          <w:numId w:val="0"/>
        </w:numPr>
        <w:spacing w:before="0" w:after="0" w:line="360" w:lineRule="auto"/>
        <w:ind w:left="0" w:right="0" w:firstLine="480"/>
        <w:jc w:val="both"/>
        <w:outlineLvl w:val="9"/>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每批次活动完成后，采购人发放实名制《满意度反馈表》，出行人员对本次出行计划、酒店、就餐等情况进行满意度评分并填写《满意度反馈表》（调查表选项填写不全或赋分不在设定范围的无效），满意度调查结果由采购人反馈给中标人，采购人将根据满意度反馈表平均分确认当批次费用。</w:t>
      </w:r>
    </w:p>
    <w:p w14:paraId="6363BAE4">
      <w:pPr>
        <w:keepNext w:val="0"/>
        <w:keepLines w:val="0"/>
        <w:pageBreakBefore w:val="0"/>
        <w:widowControl w:val="0"/>
        <w:numPr>
          <w:ilvl w:val="0"/>
          <w:numId w:val="0"/>
        </w:numPr>
        <w:spacing w:before="0" w:after="0" w:line="360" w:lineRule="auto"/>
        <w:ind w:left="0" w:right="0" w:firstLine="480"/>
        <w:jc w:val="both"/>
        <w:outlineLvl w:val="9"/>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考核标准：当次满意度平均分高于85分（含），支付当批次费用的100%；当次满意度平均分高于75分（含）低于85分，扣减当批次费用的5%；当次满意度平均分低于75分，扣减当批次费用的10%。</w:t>
      </w:r>
    </w:p>
    <w:tbl>
      <w:tblPr>
        <w:tblStyle w:val="454"/>
        <w:tblW w:w="506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527"/>
        <w:gridCol w:w="4000"/>
        <w:gridCol w:w="972"/>
        <w:gridCol w:w="972"/>
        <w:gridCol w:w="972"/>
        <w:gridCol w:w="981"/>
      </w:tblGrid>
      <w:tr w14:paraId="7E83E6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5" w:hRule="atLeast"/>
        </w:trPr>
        <w:tc>
          <w:tcPr>
            <w:tcW w:w="5000" w:type="pct"/>
            <w:gridSpan w:val="6"/>
            <w:noWrap w:val="0"/>
            <w:vAlign w:val="center"/>
          </w:tcPr>
          <w:p w14:paraId="4CE3385E">
            <w:pPr>
              <w:keepNext w:val="0"/>
              <w:keepLines w:val="0"/>
              <w:pageBreakBefore w:val="0"/>
              <w:widowControl w:val="0"/>
              <w:spacing w:line="240" w:lineRule="auto"/>
              <w:ind w:left="0" w:right="0" w:firstLine="0"/>
              <w:jc w:val="center"/>
              <w:rPr>
                <w:rFonts w:hint="eastAsia" w:ascii="宋体" w:hAnsi="宋体" w:eastAsia="宋体" w:cs="宋体"/>
                <w:color w:val="auto"/>
                <w:spacing w:val="0"/>
                <w:sz w:val="21"/>
                <w:szCs w:val="21"/>
                <w:highlight w:val="none"/>
              </w:rPr>
            </w:pPr>
            <w:r>
              <w:rPr>
                <w:rFonts w:hint="eastAsia" w:ascii="宋体" w:hAnsi="宋体" w:eastAsia="宋体" w:cs="宋体"/>
                <w:b/>
                <w:bCs/>
                <w:color w:val="auto"/>
                <w:spacing w:val="0"/>
                <w:sz w:val="21"/>
                <w:szCs w:val="21"/>
                <w:highlight w:val="none"/>
              </w:rPr>
              <w:t>2026年度功模代表休养活动满意度反馈表</w:t>
            </w:r>
          </w:p>
        </w:tc>
      </w:tr>
      <w:tr w14:paraId="44E35E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9" w:hRule="atLeast"/>
        </w:trPr>
        <w:tc>
          <w:tcPr>
            <w:tcW w:w="5000" w:type="pct"/>
            <w:gridSpan w:val="6"/>
            <w:noWrap w:val="0"/>
            <w:vAlign w:val="center"/>
          </w:tcPr>
          <w:p w14:paraId="4C13A144">
            <w:pPr>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感谢您对旅行社的服务情况进行评分反馈。希望您能认真、详实地填写。同时为耽误您的宝贵时间表示歉意。</w:t>
            </w:r>
          </w:p>
        </w:tc>
      </w:tr>
      <w:tr w14:paraId="5A53B4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5000" w:type="pct"/>
            <w:gridSpan w:val="6"/>
            <w:noWrap w:val="0"/>
            <w:vAlign w:val="center"/>
          </w:tcPr>
          <w:p w14:paraId="4A074590">
            <w:pPr>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为您服务的旅行社名称：               </w:t>
            </w:r>
            <w:r>
              <w:rPr>
                <w:rFonts w:hint="eastAsia" w:ascii="宋体" w:hAnsi="宋体" w:eastAsia="宋体" w:cs="宋体"/>
                <w:color w:val="auto"/>
                <w:spacing w:val="0"/>
                <w:sz w:val="21"/>
                <w:szCs w:val="21"/>
                <w:highlight w:val="none"/>
                <w:lang w:val="en-US" w:eastAsia="zh-CN"/>
              </w:rPr>
              <w:t xml:space="preserve">         </w:t>
            </w:r>
            <w:r>
              <w:rPr>
                <w:rFonts w:hint="eastAsia" w:ascii="宋体" w:hAnsi="宋体" w:eastAsia="宋体" w:cs="宋体"/>
                <w:color w:val="auto"/>
                <w:spacing w:val="0"/>
                <w:sz w:val="21"/>
                <w:szCs w:val="21"/>
                <w:highlight w:val="none"/>
                <w:u w:val="none"/>
              </w:rPr>
              <w:t>休养线路：</w:t>
            </w:r>
          </w:p>
        </w:tc>
      </w:tr>
      <w:tr w14:paraId="7F4DC3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7" w:hRule="atLeast"/>
        </w:trPr>
        <w:tc>
          <w:tcPr>
            <w:tcW w:w="5000" w:type="pct"/>
            <w:gridSpan w:val="6"/>
            <w:noWrap w:val="0"/>
            <w:vAlign w:val="center"/>
          </w:tcPr>
          <w:p w14:paraId="460EC89A">
            <w:pPr>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请根据您的实际感受对以下各项进行评分：</w:t>
            </w:r>
          </w:p>
        </w:tc>
      </w:tr>
      <w:tr w14:paraId="16AE52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9" w:hRule="atLeast"/>
        </w:trPr>
        <w:tc>
          <w:tcPr>
            <w:tcW w:w="2687" w:type="pct"/>
            <w:gridSpan w:val="2"/>
            <w:vMerge w:val="restart"/>
            <w:noWrap w:val="0"/>
            <w:vAlign w:val="center"/>
          </w:tcPr>
          <w:p w14:paraId="1313D139">
            <w:pPr>
              <w:keepNext w:val="0"/>
              <w:keepLines w:val="0"/>
              <w:pageBreakBefore w:val="0"/>
              <w:widowControl w:val="0"/>
              <w:spacing w:line="240" w:lineRule="auto"/>
              <w:ind w:left="0" w:right="0" w:firstLine="0"/>
              <w:jc w:val="center"/>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评价内容</w:t>
            </w:r>
          </w:p>
        </w:tc>
        <w:tc>
          <w:tcPr>
            <w:tcW w:w="2312" w:type="pct"/>
            <w:gridSpan w:val="4"/>
            <w:noWrap w:val="0"/>
            <w:vAlign w:val="center"/>
          </w:tcPr>
          <w:p w14:paraId="7002A945">
            <w:pPr>
              <w:keepNext w:val="0"/>
              <w:keepLines w:val="0"/>
              <w:pageBreakBefore w:val="0"/>
              <w:widowControl w:val="0"/>
              <w:spacing w:line="240" w:lineRule="auto"/>
              <w:ind w:left="0" w:right="0" w:firstLine="0"/>
              <w:jc w:val="center"/>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满意度评分(0-100分)</w:t>
            </w:r>
          </w:p>
        </w:tc>
      </w:tr>
      <w:tr w14:paraId="240AE3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2687" w:type="pct"/>
            <w:gridSpan w:val="2"/>
            <w:vMerge w:val="continue"/>
            <w:noWrap w:val="0"/>
            <w:vAlign w:val="center"/>
          </w:tcPr>
          <w:p w14:paraId="18AE474F">
            <w:pPr>
              <w:pStyle w:val="455"/>
              <w:keepNext w:val="0"/>
              <w:keepLines w:val="0"/>
              <w:pageBreakBefore w:val="0"/>
              <w:widowControl w:val="0"/>
              <w:spacing w:line="240" w:lineRule="auto"/>
              <w:ind w:left="0" w:right="0" w:firstLine="0"/>
              <w:jc w:val="center"/>
              <w:rPr>
                <w:rFonts w:hint="eastAsia" w:ascii="宋体" w:hAnsi="宋体" w:eastAsia="宋体" w:cs="宋体"/>
                <w:color w:val="auto"/>
                <w:spacing w:val="0"/>
                <w:sz w:val="21"/>
                <w:szCs w:val="21"/>
                <w:highlight w:val="none"/>
              </w:rPr>
            </w:pPr>
          </w:p>
        </w:tc>
        <w:tc>
          <w:tcPr>
            <w:tcW w:w="577" w:type="pct"/>
            <w:noWrap w:val="0"/>
            <w:vAlign w:val="center"/>
          </w:tcPr>
          <w:p w14:paraId="4D435196">
            <w:pPr>
              <w:keepNext w:val="0"/>
              <w:keepLines w:val="0"/>
              <w:pageBreakBefore w:val="0"/>
              <w:widowControl w:val="0"/>
              <w:spacing w:line="240" w:lineRule="auto"/>
              <w:ind w:left="0" w:right="0" w:firstLine="0"/>
              <w:jc w:val="center"/>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非常满意</w:t>
            </w:r>
          </w:p>
        </w:tc>
        <w:tc>
          <w:tcPr>
            <w:tcW w:w="577" w:type="pct"/>
            <w:noWrap w:val="0"/>
            <w:vAlign w:val="center"/>
          </w:tcPr>
          <w:p w14:paraId="7B50D2F3">
            <w:pPr>
              <w:keepNext w:val="0"/>
              <w:keepLines w:val="0"/>
              <w:pageBreakBefore w:val="0"/>
              <w:widowControl w:val="0"/>
              <w:spacing w:line="240" w:lineRule="auto"/>
              <w:ind w:left="0" w:right="0" w:firstLine="0"/>
              <w:jc w:val="center"/>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满意</w:t>
            </w:r>
          </w:p>
        </w:tc>
        <w:tc>
          <w:tcPr>
            <w:tcW w:w="577" w:type="pct"/>
            <w:noWrap w:val="0"/>
            <w:vAlign w:val="center"/>
          </w:tcPr>
          <w:p w14:paraId="59E7162B">
            <w:pPr>
              <w:keepNext w:val="0"/>
              <w:keepLines w:val="0"/>
              <w:pageBreakBefore w:val="0"/>
              <w:widowControl w:val="0"/>
              <w:spacing w:line="240" w:lineRule="auto"/>
              <w:ind w:left="0" w:right="0" w:firstLine="0"/>
              <w:jc w:val="center"/>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一般</w:t>
            </w:r>
          </w:p>
        </w:tc>
        <w:tc>
          <w:tcPr>
            <w:tcW w:w="581" w:type="pct"/>
            <w:noWrap w:val="0"/>
            <w:vAlign w:val="center"/>
          </w:tcPr>
          <w:p w14:paraId="51F360B4">
            <w:pPr>
              <w:keepNext w:val="0"/>
              <w:keepLines w:val="0"/>
              <w:pageBreakBefore w:val="0"/>
              <w:widowControl w:val="0"/>
              <w:spacing w:line="240" w:lineRule="auto"/>
              <w:ind w:left="0" w:right="0" w:firstLine="0"/>
              <w:jc w:val="center"/>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不满意</w:t>
            </w:r>
          </w:p>
        </w:tc>
      </w:tr>
      <w:tr w14:paraId="5F686D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trPr>
        <w:tc>
          <w:tcPr>
            <w:tcW w:w="2687" w:type="pct"/>
            <w:gridSpan w:val="2"/>
            <w:noWrap w:val="0"/>
            <w:vAlign w:val="center"/>
          </w:tcPr>
          <w:p w14:paraId="6565053D">
            <w:pPr>
              <w:keepNext w:val="0"/>
              <w:keepLines w:val="0"/>
              <w:pageBreakBefore w:val="0"/>
              <w:widowControl w:val="0"/>
              <w:spacing w:line="240" w:lineRule="auto"/>
              <w:ind w:left="0" w:right="0" w:firstLine="0"/>
              <w:jc w:val="center"/>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分值</w:t>
            </w:r>
          </w:p>
        </w:tc>
        <w:tc>
          <w:tcPr>
            <w:tcW w:w="577" w:type="pct"/>
            <w:noWrap w:val="0"/>
            <w:vAlign w:val="center"/>
          </w:tcPr>
          <w:p w14:paraId="14C8DA13">
            <w:pPr>
              <w:keepNext w:val="0"/>
              <w:keepLines w:val="0"/>
              <w:pageBreakBefore w:val="0"/>
              <w:widowControl w:val="0"/>
              <w:spacing w:line="240" w:lineRule="auto"/>
              <w:ind w:left="0" w:right="0" w:firstLine="0"/>
              <w:jc w:val="center"/>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5</w:t>
            </w:r>
          </w:p>
        </w:tc>
        <w:tc>
          <w:tcPr>
            <w:tcW w:w="577" w:type="pct"/>
            <w:noWrap w:val="0"/>
            <w:vAlign w:val="center"/>
          </w:tcPr>
          <w:p w14:paraId="59C14E36">
            <w:pPr>
              <w:keepNext w:val="0"/>
              <w:keepLines w:val="0"/>
              <w:pageBreakBefore w:val="0"/>
              <w:widowControl w:val="0"/>
              <w:spacing w:line="240" w:lineRule="auto"/>
              <w:ind w:left="0" w:right="0" w:firstLine="0"/>
              <w:jc w:val="center"/>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4</w:t>
            </w:r>
          </w:p>
        </w:tc>
        <w:tc>
          <w:tcPr>
            <w:tcW w:w="577" w:type="pct"/>
            <w:noWrap w:val="0"/>
            <w:vAlign w:val="center"/>
          </w:tcPr>
          <w:p w14:paraId="17B1A55C">
            <w:pPr>
              <w:keepNext w:val="0"/>
              <w:keepLines w:val="0"/>
              <w:pageBreakBefore w:val="0"/>
              <w:widowControl w:val="0"/>
              <w:spacing w:line="240" w:lineRule="auto"/>
              <w:ind w:left="0" w:right="0" w:firstLine="0"/>
              <w:jc w:val="center"/>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3</w:t>
            </w:r>
          </w:p>
        </w:tc>
        <w:tc>
          <w:tcPr>
            <w:tcW w:w="581" w:type="pct"/>
            <w:noWrap w:val="0"/>
            <w:vAlign w:val="center"/>
          </w:tcPr>
          <w:p w14:paraId="2BF68EDF">
            <w:pPr>
              <w:keepNext w:val="0"/>
              <w:keepLines w:val="0"/>
              <w:pageBreakBefore w:val="0"/>
              <w:widowControl w:val="0"/>
              <w:spacing w:line="240" w:lineRule="auto"/>
              <w:ind w:left="0" w:right="0" w:firstLine="0"/>
              <w:jc w:val="center"/>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0</w:t>
            </w:r>
          </w:p>
        </w:tc>
      </w:tr>
      <w:tr w14:paraId="68AF66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trPr>
        <w:tc>
          <w:tcPr>
            <w:tcW w:w="313" w:type="pct"/>
            <w:vMerge w:val="restart"/>
            <w:noWrap w:val="0"/>
            <w:vAlign w:val="center"/>
          </w:tcPr>
          <w:p w14:paraId="7E363845">
            <w:pPr>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交通 安排</w:t>
            </w:r>
          </w:p>
        </w:tc>
        <w:tc>
          <w:tcPr>
            <w:tcW w:w="2373" w:type="pct"/>
            <w:noWrap w:val="0"/>
            <w:vAlign w:val="center"/>
          </w:tcPr>
          <w:p w14:paraId="40C5C0EF">
            <w:pPr>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车况及性能</w:t>
            </w:r>
          </w:p>
        </w:tc>
        <w:tc>
          <w:tcPr>
            <w:tcW w:w="577" w:type="pct"/>
            <w:noWrap w:val="0"/>
            <w:vAlign w:val="center"/>
          </w:tcPr>
          <w:p w14:paraId="7CB69ABF">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577" w:type="pct"/>
            <w:noWrap w:val="0"/>
            <w:vAlign w:val="center"/>
          </w:tcPr>
          <w:p w14:paraId="3DD6ABE3">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577" w:type="pct"/>
            <w:noWrap w:val="0"/>
            <w:vAlign w:val="center"/>
          </w:tcPr>
          <w:p w14:paraId="3C861C34">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581" w:type="pct"/>
            <w:noWrap w:val="0"/>
            <w:vAlign w:val="center"/>
          </w:tcPr>
          <w:p w14:paraId="7C3E9964">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r>
      <w:tr w14:paraId="76A73B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trPr>
        <w:tc>
          <w:tcPr>
            <w:tcW w:w="313" w:type="pct"/>
            <w:vMerge w:val="continue"/>
            <w:noWrap w:val="0"/>
            <w:vAlign w:val="center"/>
          </w:tcPr>
          <w:p w14:paraId="72676C32">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2373" w:type="pct"/>
            <w:noWrap w:val="0"/>
            <w:vAlign w:val="center"/>
          </w:tcPr>
          <w:p w14:paraId="23B13C1A">
            <w:pPr>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到点准时</w:t>
            </w:r>
          </w:p>
        </w:tc>
        <w:tc>
          <w:tcPr>
            <w:tcW w:w="577" w:type="pct"/>
            <w:noWrap w:val="0"/>
            <w:vAlign w:val="center"/>
          </w:tcPr>
          <w:p w14:paraId="093E4DDA">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577" w:type="pct"/>
            <w:noWrap w:val="0"/>
            <w:vAlign w:val="center"/>
          </w:tcPr>
          <w:p w14:paraId="794D9CDD">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577" w:type="pct"/>
            <w:noWrap w:val="0"/>
            <w:vAlign w:val="center"/>
          </w:tcPr>
          <w:p w14:paraId="620BB2E2">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581" w:type="pct"/>
            <w:noWrap w:val="0"/>
            <w:vAlign w:val="center"/>
          </w:tcPr>
          <w:p w14:paraId="2186C6DB">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r>
      <w:tr w14:paraId="35763E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trPr>
        <w:tc>
          <w:tcPr>
            <w:tcW w:w="313" w:type="pct"/>
            <w:vMerge w:val="continue"/>
            <w:noWrap w:val="0"/>
            <w:vAlign w:val="center"/>
          </w:tcPr>
          <w:p w14:paraId="5C9DD78D">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2373" w:type="pct"/>
            <w:noWrap w:val="0"/>
            <w:vAlign w:val="center"/>
          </w:tcPr>
          <w:p w14:paraId="453C9AEB">
            <w:pPr>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司机态度及技术</w:t>
            </w:r>
          </w:p>
        </w:tc>
        <w:tc>
          <w:tcPr>
            <w:tcW w:w="577" w:type="pct"/>
            <w:noWrap w:val="0"/>
            <w:vAlign w:val="center"/>
          </w:tcPr>
          <w:p w14:paraId="2FACCDCF">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577" w:type="pct"/>
            <w:noWrap w:val="0"/>
            <w:vAlign w:val="center"/>
          </w:tcPr>
          <w:p w14:paraId="0A790494">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577" w:type="pct"/>
            <w:noWrap w:val="0"/>
            <w:vAlign w:val="center"/>
          </w:tcPr>
          <w:p w14:paraId="39C002E3">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581" w:type="pct"/>
            <w:noWrap w:val="0"/>
            <w:vAlign w:val="center"/>
          </w:tcPr>
          <w:p w14:paraId="6F0F2716">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r>
      <w:tr w14:paraId="6BFB98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trPr>
        <w:tc>
          <w:tcPr>
            <w:tcW w:w="313" w:type="pct"/>
            <w:vMerge w:val="continue"/>
            <w:noWrap w:val="0"/>
            <w:vAlign w:val="center"/>
          </w:tcPr>
          <w:p w14:paraId="6CF3124C">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2373" w:type="pct"/>
            <w:noWrap w:val="0"/>
            <w:vAlign w:val="center"/>
          </w:tcPr>
          <w:p w14:paraId="61A19279">
            <w:pPr>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全程交通衔接及总体满意程度</w:t>
            </w:r>
          </w:p>
        </w:tc>
        <w:tc>
          <w:tcPr>
            <w:tcW w:w="577" w:type="pct"/>
            <w:noWrap w:val="0"/>
            <w:vAlign w:val="center"/>
          </w:tcPr>
          <w:p w14:paraId="7DC90AA4">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577" w:type="pct"/>
            <w:noWrap w:val="0"/>
            <w:vAlign w:val="center"/>
          </w:tcPr>
          <w:p w14:paraId="59D9C3B6">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577" w:type="pct"/>
            <w:noWrap w:val="0"/>
            <w:vAlign w:val="center"/>
          </w:tcPr>
          <w:p w14:paraId="4DC525B4">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581" w:type="pct"/>
            <w:noWrap w:val="0"/>
            <w:vAlign w:val="center"/>
          </w:tcPr>
          <w:p w14:paraId="55DFF502">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r>
      <w:tr w14:paraId="251997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trPr>
        <w:tc>
          <w:tcPr>
            <w:tcW w:w="313" w:type="pct"/>
            <w:vMerge w:val="restart"/>
            <w:noWrap w:val="0"/>
            <w:vAlign w:val="center"/>
          </w:tcPr>
          <w:p w14:paraId="508D3C81">
            <w:pPr>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住宿 安排</w:t>
            </w:r>
          </w:p>
        </w:tc>
        <w:tc>
          <w:tcPr>
            <w:tcW w:w="2373" w:type="pct"/>
            <w:noWrap w:val="0"/>
            <w:vAlign w:val="center"/>
          </w:tcPr>
          <w:p w14:paraId="488F8829">
            <w:pPr>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周边环境安全，客房卫生整洁</w:t>
            </w:r>
          </w:p>
        </w:tc>
        <w:tc>
          <w:tcPr>
            <w:tcW w:w="577" w:type="pct"/>
            <w:noWrap w:val="0"/>
            <w:vAlign w:val="center"/>
          </w:tcPr>
          <w:p w14:paraId="7D8E05C3">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577" w:type="pct"/>
            <w:noWrap w:val="0"/>
            <w:vAlign w:val="center"/>
          </w:tcPr>
          <w:p w14:paraId="6A1A68C0">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577" w:type="pct"/>
            <w:noWrap w:val="0"/>
            <w:vAlign w:val="center"/>
          </w:tcPr>
          <w:p w14:paraId="3FD1A012">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581" w:type="pct"/>
            <w:noWrap w:val="0"/>
            <w:vAlign w:val="center"/>
          </w:tcPr>
          <w:p w14:paraId="3F6340F8">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r>
      <w:tr w14:paraId="2C2AC0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trPr>
        <w:tc>
          <w:tcPr>
            <w:tcW w:w="313" w:type="pct"/>
            <w:vMerge w:val="continue"/>
            <w:noWrap w:val="0"/>
            <w:vAlign w:val="center"/>
          </w:tcPr>
          <w:p w14:paraId="29671369">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2373" w:type="pct"/>
            <w:noWrap w:val="0"/>
            <w:vAlign w:val="center"/>
          </w:tcPr>
          <w:p w14:paraId="3818F876">
            <w:pPr>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住宿地点交通便捷</w:t>
            </w:r>
          </w:p>
        </w:tc>
        <w:tc>
          <w:tcPr>
            <w:tcW w:w="577" w:type="pct"/>
            <w:noWrap w:val="0"/>
            <w:vAlign w:val="center"/>
          </w:tcPr>
          <w:p w14:paraId="6A0EFF9F">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577" w:type="pct"/>
            <w:noWrap w:val="0"/>
            <w:vAlign w:val="center"/>
          </w:tcPr>
          <w:p w14:paraId="0E8C6B70">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577" w:type="pct"/>
            <w:noWrap w:val="0"/>
            <w:vAlign w:val="center"/>
          </w:tcPr>
          <w:p w14:paraId="7DC4B39C">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581" w:type="pct"/>
            <w:noWrap w:val="0"/>
            <w:vAlign w:val="center"/>
          </w:tcPr>
          <w:p w14:paraId="129C3B8D">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r>
      <w:tr w14:paraId="4CD761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trPr>
        <w:tc>
          <w:tcPr>
            <w:tcW w:w="313" w:type="pct"/>
            <w:vMerge w:val="continue"/>
            <w:noWrap w:val="0"/>
            <w:vAlign w:val="center"/>
          </w:tcPr>
          <w:p w14:paraId="228F451A">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2373" w:type="pct"/>
            <w:noWrap w:val="0"/>
            <w:vAlign w:val="center"/>
          </w:tcPr>
          <w:p w14:paraId="18C1F992">
            <w:pPr>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宾馆设施及使用性能</w:t>
            </w:r>
          </w:p>
        </w:tc>
        <w:tc>
          <w:tcPr>
            <w:tcW w:w="577" w:type="pct"/>
            <w:noWrap w:val="0"/>
            <w:vAlign w:val="center"/>
          </w:tcPr>
          <w:p w14:paraId="00A34904">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577" w:type="pct"/>
            <w:noWrap w:val="0"/>
            <w:vAlign w:val="center"/>
          </w:tcPr>
          <w:p w14:paraId="5F4B2F32">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577" w:type="pct"/>
            <w:noWrap w:val="0"/>
            <w:vAlign w:val="center"/>
          </w:tcPr>
          <w:p w14:paraId="0DB073AB">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581" w:type="pct"/>
            <w:noWrap w:val="0"/>
            <w:vAlign w:val="center"/>
          </w:tcPr>
          <w:p w14:paraId="057BBA7E">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r>
      <w:tr w14:paraId="043ACD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trPr>
        <w:tc>
          <w:tcPr>
            <w:tcW w:w="313" w:type="pct"/>
            <w:vMerge w:val="continue"/>
            <w:noWrap w:val="0"/>
            <w:vAlign w:val="center"/>
          </w:tcPr>
          <w:p w14:paraId="5B4464B6">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2373" w:type="pct"/>
            <w:noWrap w:val="0"/>
            <w:vAlign w:val="center"/>
          </w:tcPr>
          <w:p w14:paraId="0B8CD6E2">
            <w:pPr>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服务水平及态度</w:t>
            </w:r>
          </w:p>
        </w:tc>
        <w:tc>
          <w:tcPr>
            <w:tcW w:w="577" w:type="pct"/>
            <w:noWrap w:val="0"/>
            <w:vAlign w:val="center"/>
          </w:tcPr>
          <w:p w14:paraId="4C4C2A99">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577" w:type="pct"/>
            <w:noWrap w:val="0"/>
            <w:vAlign w:val="center"/>
          </w:tcPr>
          <w:p w14:paraId="2D039792">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577" w:type="pct"/>
            <w:noWrap w:val="0"/>
            <w:vAlign w:val="center"/>
          </w:tcPr>
          <w:p w14:paraId="0EE56842">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581" w:type="pct"/>
            <w:noWrap w:val="0"/>
            <w:vAlign w:val="center"/>
          </w:tcPr>
          <w:p w14:paraId="386B0693">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r>
      <w:tr w14:paraId="29D09F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trPr>
        <w:tc>
          <w:tcPr>
            <w:tcW w:w="313" w:type="pct"/>
            <w:vMerge w:val="continue"/>
            <w:noWrap w:val="0"/>
            <w:vAlign w:val="center"/>
          </w:tcPr>
          <w:p w14:paraId="1F74B2B4">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2373" w:type="pct"/>
            <w:noWrap w:val="0"/>
            <w:vAlign w:val="center"/>
          </w:tcPr>
          <w:p w14:paraId="58938A83">
            <w:pPr>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住宿安排总体满意程度</w:t>
            </w:r>
          </w:p>
        </w:tc>
        <w:tc>
          <w:tcPr>
            <w:tcW w:w="577" w:type="pct"/>
            <w:noWrap w:val="0"/>
            <w:vAlign w:val="center"/>
          </w:tcPr>
          <w:p w14:paraId="364F62AA">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577" w:type="pct"/>
            <w:noWrap w:val="0"/>
            <w:vAlign w:val="center"/>
          </w:tcPr>
          <w:p w14:paraId="6CF46E81">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577" w:type="pct"/>
            <w:noWrap w:val="0"/>
            <w:vAlign w:val="center"/>
          </w:tcPr>
          <w:p w14:paraId="73F07B07">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581" w:type="pct"/>
            <w:noWrap w:val="0"/>
            <w:vAlign w:val="center"/>
          </w:tcPr>
          <w:p w14:paraId="376C4DC9">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r>
      <w:tr w14:paraId="56A833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trPr>
        <w:tc>
          <w:tcPr>
            <w:tcW w:w="313" w:type="pct"/>
            <w:vMerge w:val="restart"/>
            <w:noWrap w:val="0"/>
            <w:vAlign w:val="center"/>
          </w:tcPr>
          <w:p w14:paraId="30546AA7">
            <w:pPr>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餐饮 安排</w:t>
            </w:r>
          </w:p>
        </w:tc>
        <w:tc>
          <w:tcPr>
            <w:tcW w:w="2373" w:type="pct"/>
            <w:noWrap w:val="0"/>
            <w:vAlign w:val="center"/>
          </w:tcPr>
          <w:p w14:paraId="1E0F29C7">
            <w:pPr>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就餐环境</w:t>
            </w:r>
          </w:p>
        </w:tc>
        <w:tc>
          <w:tcPr>
            <w:tcW w:w="577" w:type="pct"/>
            <w:noWrap w:val="0"/>
            <w:vAlign w:val="center"/>
          </w:tcPr>
          <w:p w14:paraId="5EAEC22B">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577" w:type="pct"/>
            <w:noWrap w:val="0"/>
            <w:vAlign w:val="center"/>
          </w:tcPr>
          <w:p w14:paraId="6479B05A">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577" w:type="pct"/>
            <w:noWrap w:val="0"/>
            <w:vAlign w:val="center"/>
          </w:tcPr>
          <w:p w14:paraId="1DDCDB29">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581" w:type="pct"/>
            <w:noWrap w:val="0"/>
            <w:vAlign w:val="center"/>
          </w:tcPr>
          <w:p w14:paraId="35F80C7D">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r>
      <w:tr w14:paraId="66FF1F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trPr>
        <w:tc>
          <w:tcPr>
            <w:tcW w:w="313" w:type="pct"/>
            <w:vMerge w:val="continue"/>
            <w:noWrap w:val="0"/>
            <w:vAlign w:val="center"/>
          </w:tcPr>
          <w:p w14:paraId="7389406F">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2373" w:type="pct"/>
            <w:noWrap w:val="0"/>
            <w:vAlign w:val="center"/>
          </w:tcPr>
          <w:p w14:paraId="02217CF3">
            <w:pPr>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菜肴卫生</w:t>
            </w:r>
          </w:p>
        </w:tc>
        <w:tc>
          <w:tcPr>
            <w:tcW w:w="577" w:type="pct"/>
            <w:noWrap w:val="0"/>
            <w:vAlign w:val="center"/>
          </w:tcPr>
          <w:p w14:paraId="017078E4">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577" w:type="pct"/>
            <w:noWrap w:val="0"/>
            <w:vAlign w:val="center"/>
          </w:tcPr>
          <w:p w14:paraId="2CCCAC8F">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577" w:type="pct"/>
            <w:noWrap w:val="0"/>
            <w:vAlign w:val="center"/>
          </w:tcPr>
          <w:p w14:paraId="343B2CCC">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581" w:type="pct"/>
            <w:noWrap w:val="0"/>
            <w:vAlign w:val="center"/>
          </w:tcPr>
          <w:p w14:paraId="027802D5">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r>
      <w:tr w14:paraId="1CCEC5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trPr>
        <w:tc>
          <w:tcPr>
            <w:tcW w:w="313" w:type="pct"/>
            <w:vMerge w:val="continue"/>
            <w:noWrap w:val="0"/>
            <w:vAlign w:val="center"/>
          </w:tcPr>
          <w:p w14:paraId="67982CF2">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2373" w:type="pct"/>
            <w:noWrap w:val="0"/>
            <w:vAlign w:val="center"/>
          </w:tcPr>
          <w:p w14:paraId="29023E61">
            <w:pPr>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餐饮安排总体满意程度</w:t>
            </w:r>
          </w:p>
        </w:tc>
        <w:tc>
          <w:tcPr>
            <w:tcW w:w="577" w:type="pct"/>
            <w:noWrap w:val="0"/>
            <w:vAlign w:val="center"/>
          </w:tcPr>
          <w:p w14:paraId="624490B1">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577" w:type="pct"/>
            <w:noWrap w:val="0"/>
            <w:vAlign w:val="center"/>
          </w:tcPr>
          <w:p w14:paraId="47C488EE">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577" w:type="pct"/>
            <w:noWrap w:val="0"/>
            <w:vAlign w:val="center"/>
          </w:tcPr>
          <w:p w14:paraId="06955AF4">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581" w:type="pct"/>
            <w:noWrap w:val="0"/>
            <w:vAlign w:val="center"/>
          </w:tcPr>
          <w:p w14:paraId="02A1540F">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r>
      <w:tr w14:paraId="32F002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trPr>
        <w:tc>
          <w:tcPr>
            <w:tcW w:w="313" w:type="pct"/>
            <w:vMerge w:val="restart"/>
            <w:noWrap w:val="0"/>
            <w:vAlign w:val="center"/>
          </w:tcPr>
          <w:p w14:paraId="5C80BFA2">
            <w:pPr>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景点 安排</w:t>
            </w:r>
          </w:p>
        </w:tc>
        <w:tc>
          <w:tcPr>
            <w:tcW w:w="2373" w:type="pct"/>
            <w:noWrap w:val="0"/>
            <w:vAlign w:val="center"/>
          </w:tcPr>
          <w:p w14:paraId="1D35636F">
            <w:pPr>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景点地方特色</w:t>
            </w:r>
          </w:p>
        </w:tc>
        <w:tc>
          <w:tcPr>
            <w:tcW w:w="577" w:type="pct"/>
            <w:noWrap w:val="0"/>
            <w:vAlign w:val="center"/>
          </w:tcPr>
          <w:p w14:paraId="5D7298B3">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577" w:type="pct"/>
            <w:noWrap w:val="0"/>
            <w:vAlign w:val="center"/>
          </w:tcPr>
          <w:p w14:paraId="09E6B1CD">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577" w:type="pct"/>
            <w:noWrap w:val="0"/>
            <w:vAlign w:val="center"/>
          </w:tcPr>
          <w:p w14:paraId="14BDC7FC">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581" w:type="pct"/>
            <w:noWrap w:val="0"/>
            <w:vAlign w:val="center"/>
          </w:tcPr>
          <w:p w14:paraId="65F41D00">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r>
      <w:tr w14:paraId="221DD8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trPr>
        <w:tc>
          <w:tcPr>
            <w:tcW w:w="313" w:type="pct"/>
            <w:vMerge w:val="continue"/>
            <w:noWrap w:val="0"/>
            <w:vAlign w:val="center"/>
          </w:tcPr>
          <w:p w14:paraId="3203AF12">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2373" w:type="pct"/>
            <w:noWrap w:val="0"/>
            <w:vAlign w:val="center"/>
          </w:tcPr>
          <w:p w14:paraId="1894A60A">
            <w:pPr>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讲解内容完整</w:t>
            </w:r>
          </w:p>
        </w:tc>
        <w:tc>
          <w:tcPr>
            <w:tcW w:w="577" w:type="pct"/>
            <w:noWrap w:val="0"/>
            <w:vAlign w:val="center"/>
          </w:tcPr>
          <w:p w14:paraId="23785D03">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577" w:type="pct"/>
            <w:noWrap w:val="0"/>
            <w:vAlign w:val="center"/>
          </w:tcPr>
          <w:p w14:paraId="2D0A4541">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577" w:type="pct"/>
            <w:noWrap w:val="0"/>
            <w:vAlign w:val="center"/>
          </w:tcPr>
          <w:p w14:paraId="3799FBC5">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581" w:type="pct"/>
            <w:noWrap w:val="0"/>
            <w:vAlign w:val="center"/>
          </w:tcPr>
          <w:p w14:paraId="523585D0">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r>
      <w:tr w14:paraId="51FADF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trPr>
        <w:tc>
          <w:tcPr>
            <w:tcW w:w="313" w:type="pct"/>
            <w:vMerge w:val="continue"/>
            <w:noWrap w:val="0"/>
            <w:vAlign w:val="center"/>
          </w:tcPr>
          <w:p w14:paraId="4850F47C">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2373" w:type="pct"/>
            <w:noWrap w:val="0"/>
            <w:vAlign w:val="center"/>
          </w:tcPr>
          <w:p w14:paraId="100704AD">
            <w:pPr>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讲解语言美感</w:t>
            </w:r>
          </w:p>
        </w:tc>
        <w:tc>
          <w:tcPr>
            <w:tcW w:w="577" w:type="pct"/>
            <w:noWrap w:val="0"/>
            <w:vAlign w:val="center"/>
          </w:tcPr>
          <w:p w14:paraId="42815D9C">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577" w:type="pct"/>
            <w:noWrap w:val="0"/>
            <w:vAlign w:val="center"/>
          </w:tcPr>
          <w:p w14:paraId="0F82DA01">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577" w:type="pct"/>
            <w:noWrap w:val="0"/>
            <w:vAlign w:val="center"/>
          </w:tcPr>
          <w:p w14:paraId="43FC2901">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581" w:type="pct"/>
            <w:noWrap w:val="0"/>
            <w:vAlign w:val="center"/>
          </w:tcPr>
          <w:p w14:paraId="65476FD6">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r>
      <w:tr w14:paraId="30C11A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trPr>
        <w:tc>
          <w:tcPr>
            <w:tcW w:w="313" w:type="pct"/>
            <w:vMerge w:val="continue"/>
            <w:noWrap w:val="0"/>
            <w:vAlign w:val="center"/>
          </w:tcPr>
          <w:p w14:paraId="401BAB70">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2373" w:type="pct"/>
            <w:noWrap w:val="0"/>
            <w:vAlign w:val="center"/>
          </w:tcPr>
          <w:p w14:paraId="5785B3F2">
            <w:pPr>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景点内时间安排合理</w:t>
            </w:r>
          </w:p>
        </w:tc>
        <w:tc>
          <w:tcPr>
            <w:tcW w:w="577" w:type="pct"/>
            <w:noWrap w:val="0"/>
            <w:vAlign w:val="center"/>
          </w:tcPr>
          <w:p w14:paraId="60854D7C">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577" w:type="pct"/>
            <w:noWrap w:val="0"/>
            <w:vAlign w:val="center"/>
          </w:tcPr>
          <w:p w14:paraId="751042AF">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577" w:type="pct"/>
            <w:noWrap w:val="0"/>
            <w:vAlign w:val="center"/>
          </w:tcPr>
          <w:p w14:paraId="4F197E33">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581" w:type="pct"/>
            <w:noWrap w:val="0"/>
            <w:vAlign w:val="center"/>
          </w:tcPr>
          <w:p w14:paraId="0DD77049">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r>
      <w:tr w14:paraId="280885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trPr>
        <w:tc>
          <w:tcPr>
            <w:tcW w:w="313" w:type="pct"/>
            <w:vMerge w:val="restart"/>
            <w:noWrap w:val="0"/>
            <w:vAlign w:val="center"/>
          </w:tcPr>
          <w:p w14:paraId="251217EC">
            <w:pPr>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导游 服务</w:t>
            </w:r>
          </w:p>
        </w:tc>
        <w:tc>
          <w:tcPr>
            <w:tcW w:w="2373" w:type="pct"/>
            <w:noWrap w:val="0"/>
            <w:vAlign w:val="center"/>
          </w:tcPr>
          <w:p w14:paraId="7CEA34DB">
            <w:pPr>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eastAsia="zh-CN"/>
              </w:rPr>
              <w:t>佩戴有效证件</w:t>
            </w:r>
            <w:r>
              <w:rPr>
                <w:rFonts w:hint="eastAsia" w:ascii="宋体" w:hAnsi="宋体" w:eastAsia="宋体" w:cs="宋体"/>
                <w:color w:val="auto"/>
                <w:spacing w:val="0"/>
                <w:sz w:val="21"/>
                <w:szCs w:val="21"/>
                <w:highlight w:val="none"/>
              </w:rPr>
              <w:t>上岗，全程服务不迟到早退</w:t>
            </w:r>
          </w:p>
        </w:tc>
        <w:tc>
          <w:tcPr>
            <w:tcW w:w="577" w:type="pct"/>
            <w:noWrap w:val="0"/>
            <w:vAlign w:val="center"/>
          </w:tcPr>
          <w:p w14:paraId="30C51257">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577" w:type="pct"/>
            <w:noWrap w:val="0"/>
            <w:vAlign w:val="center"/>
          </w:tcPr>
          <w:p w14:paraId="5151861B">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577" w:type="pct"/>
            <w:noWrap w:val="0"/>
            <w:vAlign w:val="center"/>
          </w:tcPr>
          <w:p w14:paraId="1432E7A6">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581" w:type="pct"/>
            <w:noWrap w:val="0"/>
            <w:vAlign w:val="center"/>
          </w:tcPr>
          <w:p w14:paraId="6B12492F">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r>
      <w:tr w14:paraId="42AA91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trPr>
        <w:tc>
          <w:tcPr>
            <w:tcW w:w="313" w:type="pct"/>
            <w:vMerge w:val="continue"/>
            <w:noWrap w:val="0"/>
            <w:vAlign w:val="center"/>
          </w:tcPr>
          <w:p w14:paraId="1DDE12A0">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2373" w:type="pct"/>
            <w:noWrap w:val="0"/>
            <w:vAlign w:val="center"/>
          </w:tcPr>
          <w:p w14:paraId="31718D9E">
            <w:pPr>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无擅自增减旅游项目</w:t>
            </w:r>
            <w:r>
              <w:rPr>
                <w:rFonts w:hint="eastAsia" w:ascii="宋体" w:hAnsi="宋体" w:eastAsia="宋体" w:cs="宋体"/>
                <w:color w:val="auto"/>
                <w:spacing w:val="0"/>
                <w:sz w:val="21"/>
                <w:szCs w:val="21"/>
                <w:highlight w:val="none"/>
                <w:lang w:eastAsia="zh-CN"/>
              </w:rPr>
              <w:t>、</w:t>
            </w:r>
            <w:r>
              <w:rPr>
                <w:rFonts w:hint="eastAsia" w:ascii="宋体" w:hAnsi="宋体" w:eastAsia="宋体" w:cs="宋体"/>
                <w:color w:val="auto"/>
                <w:spacing w:val="0"/>
                <w:sz w:val="21"/>
                <w:szCs w:val="21"/>
                <w:highlight w:val="none"/>
                <w:lang w:val="en-US" w:eastAsia="zh-CN"/>
              </w:rPr>
              <w:t>无</w:t>
            </w:r>
            <w:r>
              <w:rPr>
                <w:rFonts w:hint="eastAsia" w:ascii="宋体" w:hAnsi="宋体" w:eastAsia="宋体" w:cs="宋体"/>
                <w:color w:val="auto"/>
                <w:spacing w:val="0"/>
                <w:sz w:val="21"/>
                <w:szCs w:val="21"/>
                <w:highlight w:val="none"/>
              </w:rPr>
              <w:t>擅自终止导游活动</w:t>
            </w:r>
            <w:r>
              <w:rPr>
                <w:rFonts w:hint="eastAsia" w:ascii="宋体" w:hAnsi="宋体" w:eastAsia="宋体" w:cs="宋体"/>
                <w:color w:val="auto"/>
                <w:spacing w:val="0"/>
                <w:sz w:val="21"/>
                <w:szCs w:val="21"/>
                <w:highlight w:val="none"/>
                <w:lang w:eastAsia="zh-CN"/>
              </w:rPr>
              <w:t>、</w:t>
            </w:r>
            <w:r>
              <w:rPr>
                <w:rFonts w:hint="eastAsia" w:ascii="宋体" w:hAnsi="宋体" w:eastAsia="宋体" w:cs="宋体"/>
                <w:color w:val="auto"/>
                <w:spacing w:val="0"/>
                <w:sz w:val="21"/>
                <w:szCs w:val="21"/>
                <w:highlight w:val="none"/>
              </w:rPr>
              <w:t>无推销产品</w:t>
            </w:r>
          </w:p>
        </w:tc>
        <w:tc>
          <w:tcPr>
            <w:tcW w:w="577" w:type="pct"/>
            <w:noWrap w:val="0"/>
            <w:vAlign w:val="center"/>
          </w:tcPr>
          <w:p w14:paraId="73B83B8A">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577" w:type="pct"/>
            <w:noWrap w:val="0"/>
            <w:vAlign w:val="center"/>
          </w:tcPr>
          <w:p w14:paraId="2D10903D">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577" w:type="pct"/>
            <w:noWrap w:val="0"/>
            <w:vAlign w:val="center"/>
          </w:tcPr>
          <w:p w14:paraId="75B16460">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581" w:type="pct"/>
            <w:noWrap w:val="0"/>
            <w:vAlign w:val="center"/>
          </w:tcPr>
          <w:p w14:paraId="1992BD0D">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r>
      <w:tr w14:paraId="739016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trPr>
        <w:tc>
          <w:tcPr>
            <w:tcW w:w="313" w:type="pct"/>
            <w:vMerge w:val="continue"/>
            <w:noWrap w:val="0"/>
            <w:vAlign w:val="center"/>
          </w:tcPr>
          <w:p w14:paraId="1C8560DD">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2373" w:type="pct"/>
            <w:noWrap w:val="0"/>
            <w:vAlign w:val="center"/>
          </w:tcPr>
          <w:p w14:paraId="24464076">
            <w:pPr>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对可预见的情况有警示说明及防范措施</w:t>
            </w:r>
          </w:p>
        </w:tc>
        <w:tc>
          <w:tcPr>
            <w:tcW w:w="577" w:type="pct"/>
            <w:noWrap w:val="0"/>
            <w:vAlign w:val="center"/>
          </w:tcPr>
          <w:p w14:paraId="3F12E61A">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577" w:type="pct"/>
            <w:noWrap w:val="0"/>
            <w:vAlign w:val="center"/>
          </w:tcPr>
          <w:p w14:paraId="3DED0898">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577" w:type="pct"/>
            <w:noWrap w:val="0"/>
            <w:vAlign w:val="center"/>
          </w:tcPr>
          <w:p w14:paraId="14883F40">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581" w:type="pct"/>
            <w:noWrap w:val="0"/>
            <w:vAlign w:val="center"/>
          </w:tcPr>
          <w:p w14:paraId="3DC362C5">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r>
      <w:tr w14:paraId="005B6A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trPr>
        <w:tc>
          <w:tcPr>
            <w:tcW w:w="313" w:type="pct"/>
            <w:vMerge w:val="continue"/>
            <w:noWrap w:val="0"/>
            <w:vAlign w:val="center"/>
          </w:tcPr>
          <w:p w14:paraId="5AEF3927">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2373" w:type="pct"/>
            <w:noWrap w:val="0"/>
            <w:vAlign w:val="center"/>
          </w:tcPr>
          <w:p w14:paraId="1187DB02">
            <w:pPr>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语言表达能力、沟通能力及专业知识掌握</w:t>
            </w:r>
          </w:p>
        </w:tc>
        <w:tc>
          <w:tcPr>
            <w:tcW w:w="577" w:type="pct"/>
            <w:noWrap w:val="0"/>
            <w:vAlign w:val="center"/>
          </w:tcPr>
          <w:p w14:paraId="10EB2F8B">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577" w:type="pct"/>
            <w:noWrap w:val="0"/>
            <w:vAlign w:val="center"/>
          </w:tcPr>
          <w:p w14:paraId="6847D643">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577" w:type="pct"/>
            <w:noWrap w:val="0"/>
            <w:vAlign w:val="center"/>
          </w:tcPr>
          <w:p w14:paraId="74F37FE2">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581" w:type="pct"/>
            <w:noWrap w:val="0"/>
            <w:vAlign w:val="center"/>
          </w:tcPr>
          <w:p w14:paraId="1C350624">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r>
      <w:tr w14:paraId="6507DB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trPr>
        <w:tc>
          <w:tcPr>
            <w:tcW w:w="2687" w:type="pct"/>
            <w:gridSpan w:val="2"/>
            <w:noWrap w:val="0"/>
            <w:vAlign w:val="center"/>
          </w:tcPr>
          <w:p w14:paraId="0CB27533">
            <w:pPr>
              <w:keepNext w:val="0"/>
              <w:keepLines w:val="0"/>
              <w:pageBreakBefore w:val="0"/>
              <w:widowControl w:val="0"/>
              <w:spacing w:line="240" w:lineRule="auto"/>
              <w:ind w:left="0" w:right="0" w:firstLine="0"/>
              <w:jc w:val="center"/>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合计</w:t>
            </w:r>
          </w:p>
        </w:tc>
        <w:tc>
          <w:tcPr>
            <w:tcW w:w="577" w:type="pct"/>
            <w:noWrap w:val="0"/>
            <w:vAlign w:val="center"/>
          </w:tcPr>
          <w:p w14:paraId="3973099A">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577" w:type="pct"/>
            <w:noWrap w:val="0"/>
            <w:vAlign w:val="center"/>
          </w:tcPr>
          <w:p w14:paraId="44A389AD">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577" w:type="pct"/>
            <w:noWrap w:val="0"/>
            <w:vAlign w:val="center"/>
          </w:tcPr>
          <w:p w14:paraId="37ED330B">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581" w:type="pct"/>
            <w:noWrap w:val="0"/>
            <w:vAlign w:val="center"/>
          </w:tcPr>
          <w:p w14:paraId="651DE635">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r>
      <w:tr w14:paraId="516701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4" w:hRule="atLeast"/>
        </w:trPr>
        <w:tc>
          <w:tcPr>
            <w:tcW w:w="5000" w:type="pct"/>
            <w:gridSpan w:val="6"/>
            <w:noWrap w:val="0"/>
            <w:vAlign w:val="center"/>
          </w:tcPr>
          <w:p w14:paraId="03E27F98">
            <w:pPr>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您需要补充的意见和建议：</w:t>
            </w:r>
          </w:p>
          <w:p w14:paraId="3A6FB63A">
            <w:pPr>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p w14:paraId="708E93BF">
            <w:pPr>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p w14:paraId="4C10262C">
            <w:pPr>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p w14:paraId="6EADB0EB">
            <w:pPr>
              <w:keepNext w:val="0"/>
              <w:keepLines w:val="0"/>
              <w:pageBreakBefore w:val="0"/>
              <w:widowControl w:val="0"/>
              <w:spacing w:line="240" w:lineRule="auto"/>
              <w:ind w:left="0" w:right="0" w:firstLine="0"/>
              <w:jc w:val="right"/>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填表人：                  </w:t>
            </w:r>
          </w:p>
        </w:tc>
      </w:tr>
    </w:tbl>
    <w:p w14:paraId="3AFC5950">
      <w:pPr>
        <w:keepNext w:val="0"/>
        <w:keepLines w:val="0"/>
        <w:pageBreakBefore w:val="0"/>
        <w:widowControl w:val="0"/>
        <w:numPr>
          <w:ilvl w:val="0"/>
          <w:numId w:val="0"/>
        </w:numPr>
        <w:spacing w:before="0" w:after="0" w:line="360" w:lineRule="auto"/>
        <w:ind w:left="0" w:right="0" w:firstLine="480"/>
        <w:jc w:val="both"/>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SA"/>
        </w:rPr>
        <w:t>2.</w:t>
      </w:r>
      <w:r>
        <w:rPr>
          <w:rFonts w:hint="eastAsia" w:ascii="宋体" w:hAnsi="宋体" w:eastAsia="宋体" w:cs="宋体"/>
          <w:color w:val="auto"/>
          <w:sz w:val="21"/>
          <w:szCs w:val="21"/>
          <w:highlight w:val="none"/>
          <w:lang w:val="en-US" w:eastAsia="zh-CN"/>
        </w:rPr>
        <w:t>违约责任：中标人发生</w:t>
      </w:r>
      <w:r>
        <w:rPr>
          <w:rFonts w:hint="eastAsia" w:ascii="宋体" w:hAnsi="宋体" w:eastAsia="宋体" w:cs="宋体"/>
          <w:b w:val="0"/>
          <w:bCs w:val="0"/>
          <w:color w:val="auto"/>
          <w:sz w:val="21"/>
          <w:szCs w:val="21"/>
          <w:highlight w:val="none"/>
          <w:lang w:val="en-US" w:eastAsia="zh-CN"/>
        </w:rPr>
        <w:t>住宿或</w:t>
      </w:r>
      <w:r>
        <w:rPr>
          <w:rFonts w:hint="eastAsia" w:ascii="宋体" w:hAnsi="宋体" w:eastAsia="宋体" w:cs="宋体"/>
          <w:color w:val="auto"/>
          <w:sz w:val="21"/>
          <w:szCs w:val="21"/>
          <w:highlight w:val="none"/>
          <w:lang w:val="en-US" w:eastAsia="zh-CN"/>
        </w:rPr>
        <w:t>餐饮回扣现象按照</w:t>
      </w:r>
      <w:r>
        <w:rPr>
          <w:rFonts w:hint="eastAsia" w:ascii="宋体" w:hAnsi="宋体" w:eastAsia="宋体" w:cs="宋体"/>
          <w:b w:val="0"/>
          <w:bCs w:val="0"/>
          <w:color w:val="auto"/>
          <w:sz w:val="21"/>
          <w:szCs w:val="21"/>
          <w:highlight w:val="none"/>
          <w:lang w:val="en-US" w:eastAsia="zh-CN"/>
        </w:rPr>
        <w:t>当批次住宿或</w:t>
      </w:r>
      <w:r>
        <w:rPr>
          <w:rFonts w:hint="eastAsia" w:ascii="宋体" w:hAnsi="宋体" w:eastAsia="宋体" w:cs="宋体"/>
          <w:color w:val="auto"/>
          <w:sz w:val="21"/>
          <w:szCs w:val="21"/>
          <w:highlight w:val="none"/>
          <w:lang w:val="en-US" w:eastAsia="zh-CN"/>
        </w:rPr>
        <w:t>餐费金额的2倍处罚。发生私自删除景点行程的，按</w:t>
      </w:r>
      <w:r>
        <w:rPr>
          <w:rFonts w:hint="eastAsia" w:ascii="宋体" w:hAnsi="宋体" w:eastAsia="宋体" w:cs="宋体"/>
          <w:b w:val="0"/>
          <w:bCs w:val="0"/>
          <w:color w:val="auto"/>
          <w:sz w:val="21"/>
          <w:szCs w:val="21"/>
          <w:highlight w:val="none"/>
          <w:lang w:val="en-US" w:eastAsia="zh-CN"/>
        </w:rPr>
        <w:t>当批次</w:t>
      </w:r>
      <w:r>
        <w:rPr>
          <w:rFonts w:hint="eastAsia" w:ascii="宋体" w:hAnsi="宋体" w:eastAsia="宋体" w:cs="宋体"/>
          <w:color w:val="auto"/>
          <w:sz w:val="21"/>
          <w:szCs w:val="21"/>
          <w:highlight w:val="none"/>
          <w:lang w:val="en-US" w:eastAsia="zh-CN"/>
        </w:rPr>
        <w:t>原景点门票金额的2倍处罚。发生增加购物点的情况，按</w:t>
      </w:r>
      <w:r>
        <w:rPr>
          <w:rFonts w:hint="eastAsia" w:ascii="宋体" w:hAnsi="宋体" w:eastAsia="宋体" w:cs="宋体"/>
          <w:b w:val="0"/>
          <w:bCs w:val="0"/>
          <w:color w:val="auto"/>
          <w:sz w:val="21"/>
          <w:szCs w:val="21"/>
          <w:highlight w:val="none"/>
          <w:lang w:val="en-US" w:eastAsia="zh-CN"/>
        </w:rPr>
        <w:t>当批次</w:t>
      </w:r>
      <w:r>
        <w:rPr>
          <w:rFonts w:hint="eastAsia" w:ascii="宋体" w:hAnsi="宋体" w:eastAsia="宋体" w:cs="宋体"/>
          <w:color w:val="auto"/>
          <w:sz w:val="21"/>
          <w:szCs w:val="21"/>
          <w:highlight w:val="none"/>
          <w:lang w:val="en-US" w:eastAsia="zh-CN"/>
        </w:rPr>
        <w:t>休养费用的10%进行处罚。未经采购人同意在具体项目实施中擅自更换投标配备人员的，按当批次休养费用的20%进行处罚，如因特殊原因经采购人书面同意更换的，更换后人员资质条件不得低于原服务人员。</w:t>
      </w:r>
    </w:p>
    <w:p w14:paraId="143CB2DA">
      <w:pPr>
        <w:keepNext w:val="0"/>
        <w:keepLines w:val="0"/>
        <w:pageBreakBefore w:val="0"/>
        <w:widowControl w:val="0"/>
        <w:numPr>
          <w:ilvl w:val="0"/>
          <w:numId w:val="0"/>
        </w:numPr>
        <w:spacing w:before="0" w:after="0" w:line="360" w:lineRule="auto"/>
        <w:ind w:left="0" w:right="0" w:firstLine="480"/>
        <w:jc w:val="both"/>
        <w:outlineLvl w:val="9"/>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（六）其他</w:t>
      </w:r>
    </w:p>
    <w:p w14:paraId="156F878C">
      <w:pPr>
        <w:keepNext w:val="0"/>
        <w:keepLines w:val="0"/>
        <w:pageBreakBefore w:val="0"/>
        <w:widowControl w:val="0"/>
        <w:numPr>
          <w:ilvl w:val="0"/>
          <w:numId w:val="0"/>
        </w:numPr>
        <w:spacing w:before="0" w:after="0" w:line="360" w:lineRule="auto"/>
        <w:ind w:left="0" w:right="0" w:firstLine="482"/>
        <w:jc w:val="both"/>
        <w:outlineLvl w:val="9"/>
        <w:rPr>
          <w:rFonts w:hint="eastAsia" w:ascii="宋体" w:hAnsi="宋体" w:eastAsia="宋体" w:cs="宋体"/>
          <w:color w:val="auto"/>
          <w:sz w:val="21"/>
          <w:szCs w:val="21"/>
          <w:highlight w:val="none"/>
          <w:u w:val="single"/>
          <w:lang w:val="en-US" w:eastAsia="zh-CN"/>
        </w:rPr>
      </w:pPr>
      <w:r>
        <w:rPr>
          <w:rFonts w:hint="eastAsia" w:ascii="宋体" w:hAnsi="宋体" w:eastAsia="宋体" w:cs="宋体"/>
          <w:b/>
          <w:bCs/>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1.保障服务：设有服务热线电话和服务质量投诉电话，并指定专人负责本项目业务，负责迅速处理同行接待人员不能解决的问题，对所反映的任何服务问题在30分钟之内做出及时响应，在2小时之内解决问题。若问题在2小时后仍无法解决，乙方应在6小时内免费提供服务的补偿、替换方案，保障项目顺利进行。</w:t>
      </w:r>
      <w:r>
        <w:rPr>
          <w:rFonts w:hint="eastAsia" w:ascii="宋体" w:hAnsi="宋体" w:eastAsia="宋体" w:cs="宋体"/>
          <w:color w:val="auto"/>
          <w:sz w:val="21"/>
          <w:szCs w:val="21"/>
          <w:highlight w:val="none"/>
          <w:u w:val="single"/>
          <w:lang w:val="en-US" w:eastAsia="zh-CN"/>
        </w:rPr>
        <w:t>（提供承诺书及保障服务详细的人员名单，包括姓名、职务、联系方式）</w:t>
      </w:r>
    </w:p>
    <w:p w14:paraId="4BDCD2E8">
      <w:pPr>
        <w:keepNext w:val="0"/>
        <w:keepLines w:val="0"/>
        <w:pageBreakBefore w:val="0"/>
        <w:widowControl w:val="0"/>
        <w:numPr>
          <w:ilvl w:val="0"/>
          <w:numId w:val="0"/>
        </w:numPr>
        <w:spacing w:before="0" w:after="0" w:line="360" w:lineRule="auto"/>
        <w:ind w:left="0" w:right="0" w:firstLine="480"/>
        <w:jc w:val="both"/>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2.采购人可以对本次项目活动方案进行协商更改。</w:t>
      </w:r>
    </w:p>
    <w:p w14:paraId="743E6448">
      <w:pPr>
        <w:keepNext w:val="0"/>
        <w:keepLines w:val="0"/>
        <w:pageBreakBefore w:val="0"/>
        <w:widowControl w:val="0"/>
        <w:numPr>
          <w:ilvl w:val="0"/>
          <w:numId w:val="0"/>
        </w:numPr>
        <w:spacing w:before="0" w:after="0" w:line="360" w:lineRule="auto"/>
        <w:ind w:left="0" w:right="0" w:firstLine="480"/>
        <w:jc w:val="both"/>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3.如遇不可抗力因素，中标人应配合采购人对行程进行调整或取消。</w:t>
      </w:r>
    </w:p>
    <w:p w14:paraId="5EDBF961">
      <w:pPr>
        <w:keepNext w:val="0"/>
        <w:keepLines w:val="0"/>
        <w:pageBreakBefore w:val="0"/>
        <w:widowControl w:val="0"/>
        <w:numPr>
          <w:ilvl w:val="0"/>
          <w:numId w:val="0"/>
        </w:numPr>
        <w:spacing w:before="0" w:after="0" w:line="360" w:lineRule="auto"/>
        <w:ind w:left="0" w:right="0" w:firstLine="480"/>
        <w:jc w:val="both"/>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4.安全与保密：本项目所产生的一切数据、资料等均须严格保密，中标人应严格执行保密的相关规定，不得以任何方式向任何第三方提供与本项目相关的一切数据信息。</w:t>
      </w:r>
    </w:p>
    <w:p w14:paraId="43EBF3E7">
      <w:pPr>
        <w:keepNext w:val="0"/>
        <w:keepLines w:val="0"/>
        <w:pageBreakBefore w:val="0"/>
        <w:widowControl w:val="0"/>
        <w:numPr>
          <w:ilvl w:val="0"/>
          <w:numId w:val="0"/>
        </w:numPr>
        <w:spacing w:before="0" w:after="0" w:line="360" w:lineRule="auto"/>
        <w:ind w:left="0" w:right="0" w:firstLine="480"/>
        <w:jc w:val="both"/>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中标后，采购人将与中标人按线路优化确定每条线路具体的服务方案、合同价格并签订合同；本次招标的中标价格为合同最高限价，采购人可以根据每条线路的实际参加人数、行程安排等与承办商就实际价格在合同最高限价以下进行协商确定。</w:t>
      </w:r>
    </w:p>
    <w:p w14:paraId="381F8576">
      <w:pPr>
        <w:keepNext w:val="0"/>
        <w:keepLines w:val="0"/>
        <w:pageBreakBefore w:val="0"/>
        <w:widowControl w:val="0"/>
        <w:numPr>
          <w:ilvl w:val="0"/>
          <w:numId w:val="0"/>
        </w:numPr>
        <w:spacing w:before="0" w:after="0" w:line="360" w:lineRule="auto"/>
        <w:ind w:left="0" w:right="0" w:firstLine="480"/>
        <w:jc w:val="both"/>
        <w:outlineLvl w:val="9"/>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（上述要求投标人应在投标文件《技术条款偏离表》或《商务条款偏离表》中进行响应应答。实质性要求不接受负偏离，否则作为无效文件。如有疑问请与采购代理联系。）</w:t>
      </w:r>
    </w:p>
    <w:p w14:paraId="04F60AB4">
      <w:pPr>
        <w:pStyle w:val="73"/>
        <w:pageBreakBefore w:val="0"/>
        <w:numPr>
          <w:ilvl w:val="0"/>
          <w:numId w:val="0"/>
        </w:numPr>
        <w:tabs>
          <w:tab w:val="left" w:pos="0"/>
        </w:tabs>
        <w:kinsoku/>
        <w:wordWrap/>
        <w:overflowPunct/>
        <w:topLinePunct w:val="0"/>
        <w:autoSpaceDE/>
        <w:autoSpaceDN/>
        <w:bidi w:val="0"/>
        <w:adjustRightInd/>
        <w:snapToGrid w:val="0"/>
        <w:spacing w:line="360" w:lineRule="auto"/>
        <w:ind w:left="0" w:leftChars="0" w:firstLine="422" w:firstLineChars="200"/>
        <w:jc w:val="left"/>
        <w:textAlignment w:val="auto"/>
        <w:rPr>
          <w:rFonts w:hint="default" w:ascii="宋体" w:hAnsi="宋体" w:eastAsia="宋体" w:cs="宋体"/>
          <w:b/>
          <w:bCs/>
          <w:color w:val="auto"/>
          <w:kern w:val="2"/>
          <w:sz w:val="21"/>
          <w:szCs w:val="21"/>
          <w:highlight w:val="none"/>
          <w:lang w:val="en-US" w:eastAsia="zh-CN"/>
        </w:rPr>
        <w:sectPr>
          <w:headerReference r:id="rId8" w:type="default"/>
          <w:footerReference r:id="rId9" w:type="default"/>
          <w:pgSz w:w="11906" w:h="16838"/>
          <w:pgMar w:top="1440" w:right="1800" w:bottom="1440" w:left="1800" w:header="851" w:footer="992" w:gutter="0"/>
          <w:cols w:space="425" w:num="1"/>
          <w:docGrid w:type="lines" w:linePitch="312" w:charSpace="0"/>
        </w:sectPr>
      </w:pPr>
    </w:p>
    <w:p w14:paraId="25CE9B17">
      <w:pPr>
        <w:snapToGrid w:val="0"/>
        <w:spacing w:line="288" w:lineRule="auto"/>
        <w:jc w:val="center"/>
        <w:outlineLvl w:val="0"/>
        <w:rPr>
          <w:rFonts w:ascii="黑体" w:eastAsia="黑体"/>
          <w:color w:val="auto"/>
          <w:sz w:val="36"/>
          <w:szCs w:val="36"/>
          <w:highlight w:val="none"/>
        </w:rPr>
      </w:pPr>
      <w:bookmarkStart w:id="107" w:name="_Toc21359"/>
      <w:r>
        <w:rPr>
          <w:rFonts w:hint="eastAsia" w:ascii="黑体" w:eastAsia="黑体"/>
          <w:color w:val="auto"/>
          <w:sz w:val="36"/>
          <w:szCs w:val="36"/>
          <w:highlight w:val="none"/>
        </w:rPr>
        <w:t>第五章 合同草案条款</w:t>
      </w:r>
      <w:bookmarkEnd w:id="107"/>
    </w:p>
    <w:p w14:paraId="70FAB539">
      <w:pPr>
        <w:spacing w:line="500" w:lineRule="exact"/>
        <w:jc w:val="center"/>
        <w:rPr>
          <w:rFonts w:hint="eastAsia" w:ascii="宋体" w:hAnsi="宋体" w:eastAsia="宋体" w:cs="宋体"/>
          <w:snapToGrid w:val="0"/>
          <w:color w:val="auto"/>
          <w:sz w:val="21"/>
          <w:szCs w:val="21"/>
          <w:highlight w:val="none"/>
        </w:rPr>
      </w:pPr>
      <w:bookmarkStart w:id="108" w:name="_Toc6085"/>
      <w:bookmarkStart w:id="109" w:name="_Toc16938559"/>
      <w:bookmarkStart w:id="110" w:name="_Toc20823315"/>
      <w:bookmarkStart w:id="111" w:name="_Toc513029243"/>
      <w:r>
        <w:rPr>
          <w:rFonts w:hint="eastAsia" w:ascii="宋体" w:hAnsi="宋体" w:eastAsia="宋体" w:cs="宋体"/>
          <w:b/>
          <w:color w:val="auto"/>
          <w:sz w:val="21"/>
          <w:szCs w:val="21"/>
          <w:highlight w:val="none"/>
        </w:rPr>
        <w:t>（参考格式，本合同内容条款在正式签署前可具体补充细化，仅作参考，最终合同以采购人审查通过的版本为准）</w:t>
      </w:r>
      <w:bookmarkEnd w:id="108"/>
    </w:p>
    <w:p w14:paraId="5D67285D">
      <w:pPr>
        <w:spacing w:line="360" w:lineRule="auto"/>
        <w:rPr>
          <w:rFonts w:hint="eastAsia" w:ascii="宋体"/>
          <w:color w:val="auto"/>
          <w:sz w:val="21"/>
          <w:szCs w:val="21"/>
          <w:highlight w:val="none"/>
        </w:rPr>
      </w:pPr>
    </w:p>
    <w:bookmarkEnd w:id="109"/>
    <w:bookmarkEnd w:id="110"/>
    <w:bookmarkEnd w:id="111"/>
    <w:p w14:paraId="0485B273">
      <w:pPr>
        <w:widowControl/>
        <w:spacing w:line="336" w:lineRule="auto"/>
        <w:ind w:firstLine="480"/>
        <w:rPr>
          <w:rFonts w:hint="eastAsia" w:ascii="Times New Roman" w:hAnsi="Times New Roman" w:eastAsia="宋体" w:cs="Times New Roman"/>
          <w:color w:val="auto"/>
          <w:sz w:val="21"/>
          <w:szCs w:val="21"/>
          <w:highlight w:val="none"/>
          <w:lang w:eastAsia="zh-CN"/>
        </w:rPr>
      </w:pPr>
      <w:bookmarkStart w:id="112" w:name="_Toc479684884"/>
      <w:bookmarkStart w:id="113" w:name="_Toc479684885"/>
      <w:bookmarkStart w:id="114" w:name="_Toc476063953"/>
      <w:bookmarkStart w:id="115" w:name="_Toc476063952"/>
      <w:bookmarkStart w:id="116" w:name="_Toc489655320"/>
      <w:bookmarkStart w:id="117" w:name="_Toc489275683"/>
      <w:bookmarkStart w:id="118" w:name="_Toc489275682"/>
      <w:r>
        <w:rPr>
          <w:rFonts w:hint="eastAsia" w:ascii="Times New Roman" w:hAnsi="Times New Roman" w:eastAsia="宋体" w:cs="Times New Roman"/>
          <w:color w:val="auto"/>
          <w:sz w:val="21"/>
          <w:szCs w:val="21"/>
          <w:highlight w:val="none"/>
          <w:lang w:eastAsia="zh-CN"/>
        </w:rPr>
        <w:t xml:space="preserve">项目名称：                    </w:t>
      </w:r>
    </w:p>
    <w:p w14:paraId="2CFBFFBB">
      <w:pPr>
        <w:widowControl/>
        <w:spacing w:line="336" w:lineRule="auto"/>
        <w:ind w:firstLine="480"/>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eastAsia="zh-CN"/>
        </w:rPr>
        <w:t xml:space="preserve">项目编号：  </w:t>
      </w:r>
    </w:p>
    <w:p w14:paraId="075BBE7E">
      <w:pPr>
        <w:widowControl/>
        <w:spacing w:line="336" w:lineRule="auto"/>
        <w:ind w:firstLine="480"/>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eastAsia="zh-CN"/>
        </w:rPr>
        <w:t xml:space="preserve">合同编号：         </w:t>
      </w:r>
    </w:p>
    <w:p w14:paraId="05278973">
      <w:pPr>
        <w:widowControl/>
        <w:spacing w:line="336" w:lineRule="auto"/>
        <w:ind w:firstLine="480"/>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eastAsia="zh-CN"/>
        </w:rPr>
        <w:t>甲方：（买方/采购人）_________</w:t>
      </w:r>
    </w:p>
    <w:p w14:paraId="769AD4AE">
      <w:pPr>
        <w:widowControl/>
        <w:spacing w:line="336" w:lineRule="auto"/>
        <w:ind w:firstLine="480"/>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eastAsia="zh-CN"/>
        </w:rPr>
        <w:t>乙方：（卖方/中标供应商）_________</w:t>
      </w:r>
    </w:p>
    <w:p w14:paraId="3C316C53">
      <w:pPr>
        <w:widowControl/>
        <w:spacing w:line="336" w:lineRule="auto"/>
        <w:ind w:firstLine="480"/>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val="en-US" w:eastAsia="zh-CN"/>
        </w:rPr>
        <w:t>甲</w:t>
      </w:r>
      <w:r>
        <w:rPr>
          <w:rFonts w:hint="eastAsia" w:ascii="Times New Roman" w:hAnsi="Times New Roman" w:eastAsia="宋体" w:cs="Times New Roman"/>
          <w:color w:val="auto"/>
          <w:sz w:val="21"/>
          <w:szCs w:val="21"/>
          <w:highlight w:val="none"/>
          <w:lang w:eastAsia="zh-CN"/>
        </w:rPr>
        <w:t>乙双方根据</w:t>
      </w:r>
      <w:r>
        <w:rPr>
          <w:rFonts w:hint="eastAsia" w:ascii="Times New Roman" w:hAnsi="Times New Roman" w:eastAsia="宋体" w:cs="Times New Roman"/>
          <w:color w:val="auto"/>
          <w:sz w:val="21"/>
          <w:szCs w:val="21"/>
          <w:highlight w:val="none"/>
          <w:lang w:val="en-US" w:eastAsia="zh-CN"/>
        </w:rPr>
        <w:t>江苏金永诚建设投资管理咨询有限公司</w:t>
      </w:r>
      <w:r>
        <w:rPr>
          <w:rFonts w:hint="eastAsia" w:ascii="Times New Roman" w:hAnsi="Times New Roman" w:eastAsia="宋体" w:cs="Times New Roman"/>
          <w:color w:val="auto"/>
          <w:sz w:val="21"/>
          <w:szCs w:val="21"/>
          <w:highlight w:val="none"/>
          <w:lang w:eastAsia="zh-CN"/>
        </w:rPr>
        <w:t>（招标代理机构）</w:t>
      </w:r>
      <w:r>
        <w:rPr>
          <w:rFonts w:hint="eastAsia" w:ascii="Times New Roman" w:hAnsi="Times New Roman" w:eastAsia="宋体" w:cs="Times New Roman"/>
          <w:color w:val="auto"/>
          <w:sz w:val="21"/>
          <w:szCs w:val="21"/>
          <w:highlight w:val="none"/>
          <w:u w:val="single"/>
          <w:lang w:val="en-US" w:eastAsia="zh-CN"/>
        </w:rPr>
        <w:t xml:space="preserve">       </w:t>
      </w:r>
      <w:r>
        <w:rPr>
          <w:rFonts w:hint="eastAsia" w:ascii="Times New Roman" w:hAnsi="Times New Roman" w:eastAsia="宋体" w:cs="Times New Roman"/>
          <w:color w:val="auto"/>
          <w:sz w:val="21"/>
          <w:szCs w:val="21"/>
          <w:highlight w:val="none"/>
          <w:lang w:eastAsia="zh-CN"/>
        </w:rPr>
        <w:t>项目公开招标的结果，签署本合同。</w:t>
      </w:r>
    </w:p>
    <w:p w14:paraId="51865A5B">
      <w:pPr>
        <w:widowControl/>
        <w:spacing w:line="336" w:lineRule="auto"/>
        <w:ind w:firstLine="480"/>
        <w:rPr>
          <w:rFonts w:hint="eastAsia" w:ascii="Times New Roman" w:hAnsi="Times New Roman" w:eastAsia="宋体" w:cs="Times New Roman"/>
          <w:b/>
          <w:bCs/>
          <w:color w:val="auto"/>
          <w:sz w:val="21"/>
          <w:szCs w:val="21"/>
          <w:highlight w:val="none"/>
          <w:lang w:eastAsia="zh-CN"/>
        </w:rPr>
      </w:pPr>
      <w:r>
        <w:rPr>
          <w:rFonts w:hint="eastAsia" w:ascii="Times New Roman" w:hAnsi="Times New Roman" w:eastAsia="宋体" w:cs="Times New Roman"/>
          <w:b/>
          <w:bCs/>
          <w:color w:val="auto"/>
          <w:sz w:val="21"/>
          <w:szCs w:val="21"/>
          <w:highlight w:val="none"/>
          <w:lang w:eastAsia="zh-CN"/>
        </w:rPr>
        <w:t>一、合同内容</w:t>
      </w:r>
    </w:p>
    <w:p w14:paraId="3BB04C2F">
      <w:pPr>
        <w:widowControl/>
        <w:spacing w:line="336" w:lineRule="auto"/>
        <w:ind w:firstLine="480"/>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eastAsia="zh-CN"/>
        </w:rPr>
        <w:t>1.1 标的名称：2026年度功模代表休养活动，具体服务内容、要求、质量等详见招标文件、中标人的投标文件及采购过程中的有关澄清、承诺文件。</w:t>
      </w:r>
    </w:p>
    <w:p w14:paraId="6AD53CBD">
      <w:pPr>
        <w:widowControl/>
        <w:spacing w:line="336" w:lineRule="auto"/>
        <w:ind w:firstLine="480"/>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eastAsia="zh-CN"/>
        </w:rPr>
        <w:t>1.</w:t>
      </w:r>
      <w:r>
        <w:rPr>
          <w:rFonts w:hint="eastAsia" w:ascii="Times New Roman" w:hAnsi="Times New Roman" w:eastAsia="宋体" w:cs="Times New Roman"/>
          <w:color w:val="auto"/>
          <w:sz w:val="21"/>
          <w:szCs w:val="21"/>
          <w:highlight w:val="none"/>
          <w:lang w:val="en-US" w:eastAsia="zh-CN"/>
        </w:rPr>
        <w:t>2</w:t>
      </w:r>
      <w:r>
        <w:rPr>
          <w:rFonts w:hint="eastAsia" w:ascii="Times New Roman" w:hAnsi="Times New Roman" w:eastAsia="宋体" w:cs="Times New Roman"/>
          <w:color w:val="auto"/>
          <w:sz w:val="21"/>
          <w:szCs w:val="21"/>
          <w:highlight w:val="none"/>
          <w:lang w:eastAsia="zh-CN"/>
        </w:rPr>
        <w:t xml:space="preserve"> 履行时间（期限）： 自  年  月   日至  年  月   日，具体以甲方要求为准。</w:t>
      </w:r>
    </w:p>
    <w:p w14:paraId="1E350800">
      <w:pPr>
        <w:widowControl/>
        <w:spacing w:line="336" w:lineRule="auto"/>
        <w:ind w:firstLine="480"/>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eastAsia="zh-CN"/>
        </w:rPr>
        <w:t>本项目采购文件、成交供应商的响应文件及采购过程中有关澄清、承诺文件均为本合同有效附件，是本合同不可分割的组成部分，与本合同具有同等法律效力。</w:t>
      </w:r>
    </w:p>
    <w:p w14:paraId="78D39B94">
      <w:pPr>
        <w:widowControl/>
        <w:spacing w:line="336" w:lineRule="auto"/>
        <w:ind w:firstLine="480"/>
        <w:rPr>
          <w:rFonts w:hint="eastAsia" w:ascii="Times New Roman" w:hAnsi="Times New Roman" w:eastAsia="宋体" w:cs="Times New Roman"/>
          <w:b/>
          <w:bCs/>
          <w:color w:val="auto"/>
          <w:sz w:val="21"/>
          <w:szCs w:val="21"/>
          <w:highlight w:val="none"/>
          <w:lang w:eastAsia="zh-CN"/>
        </w:rPr>
      </w:pPr>
      <w:r>
        <w:rPr>
          <w:rFonts w:hint="eastAsia" w:ascii="Times New Roman" w:hAnsi="Times New Roman" w:eastAsia="宋体" w:cs="Times New Roman"/>
          <w:b/>
          <w:bCs/>
          <w:color w:val="auto"/>
          <w:sz w:val="21"/>
          <w:szCs w:val="21"/>
          <w:highlight w:val="none"/>
          <w:lang w:eastAsia="zh-CN"/>
        </w:rPr>
        <w:t>二、合同金额</w:t>
      </w:r>
    </w:p>
    <w:p w14:paraId="68565FC3">
      <w:pPr>
        <w:pStyle w:val="28"/>
        <w:keepNext w:val="0"/>
        <w:keepLines w:val="0"/>
        <w:pageBreakBefore w:val="0"/>
        <w:widowControl w:val="0"/>
        <w:spacing w:line="360" w:lineRule="auto"/>
        <w:ind w:firstLine="480"/>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eastAsia="zh-CN"/>
        </w:rPr>
        <w:t>2.1 本合同金额为（大写）：________万元（小写________万元）人民币。具体价格详见附件</w:t>
      </w:r>
      <w:r>
        <w:rPr>
          <w:rFonts w:hint="eastAsia" w:ascii="Times New Roman" w:hAnsi="Times New Roman" w:eastAsia="宋体" w:cs="Times New Roman"/>
          <w:color w:val="auto"/>
          <w:sz w:val="21"/>
          <w:szCs w:val="21"/>
          <w:highlight w:val="none"/>
          <w:lang w:val="en-US" w:eastAsia="zh-CN"/>
        </w:rPr>
        <w:t>分项报价单。</w:t>
      </w:r>
    </w:p>
    <w:p w14:paraId="197D2638">
      <w:pPr>
        <w:pStyle w:val="28"/>
        <w:keepNext w:val="0"/>
        <w:keepLines w:val="0"/>
        <w:pageBreakBefore w:val="0"/>
        <w:widowControl w:val="0"/>
        <w:spacing w:line="360" w:lineRule="auto"/>
        <w:ind w:firstLine="480"/>
        <w:rPr>
          <w:rFonts w:hint="eastAsia" w:ascii="宋体" w:hAnsi="宋体" w:eastAsia="宋体" w:cs="宋体"/>
          <w:color w:val="auto"/>
          <w:sz w:val="21"/>
          <w:szCs w:val="21"/>
          <w:highlight w:val="none"/>
        </w:rPr>
      </w:pPr>
      <w:r>
        <w:rPr>
          <w:rFonts w:hint="eastAsia" w:ascii="Times New Roman" w:hAnsi="Times New Roman" w:eastAsia="宋体" w:cs="Times New Roman"/>
          <w:color w:val="auto"/>
          <w:sz w:val="21"/>
          <w:szCs w:val="21"/>
          <w:highlight w:val="none"/>
          <w:lang w:eastAsia="zh-CN"/>
        </w:rPr>
        <w:t>上述金额包括</w:t>
      </w:r>
      <w:r>
        <w:rPr>
          <w:rFonts w:hint="eastAsia" w:ascii="宋体" w:hAnsi="宋体" w:eastAsia="宋体" w:cs="宋体"/>
          <w:color w:val="auto"/>
          <w:sz w:val="21"/>
          <w:szCs w:val="21"/>
          <w:highlight w:val="none"/>
        </w:rPr>
        <w:t>完成项目所需的人工费、材料费、服务费（餐饮、住宿、交通、游览景点门票等）、管理费、人员培训、保险（</w:t>
      </w:r>
      <w:r>
        <w:rPr>
          <w:rFonts w:hint="eastAsia" w:hAnsi="宋体" w:cs="宋体"/>
          <w:color w:val="auto"/>
          <w:sz w:val="21"/>
          <w:szCs w:val="21"/>
          <w:highlight w:val="none"/>
          <w:lang w:val="en-US" w:eastAsia="zh-CN"/>
        </w:rPr>
        <w:t>意外</w:t>
      </w:r>
      <w:r>
        <w:rPr>
          <w:rFonts w:hint="eastAsia" w:ascii="宋体" w:hAnsi="宋体" w:eastAsia="宋体" w:cs="宋体"/>
          <w:color w:val="auto"/>
          <w:sz w:val="21"/>
          <w:szCs w:val="21"/>
          <w:highlight w:val="none"/>
        </w:rPr>
        <w:t>保险额每人不低于10万元</w:t>
      </w:r>
      <w:r>
        <w:rPr>
          <w:rFonts w:hint="default" w:ascii="Times New Roman" w:hAnsi="Times New Roman" w:eastAsia="宋体" w:cs="Times New Roman"/>
          <w:color w:val="auto"/>
          <w:sz w:val="21"/>
          <w:szCs w:val="21"/>
          <w:highlight w:val="none"/>
          <w:lang w:val="en-US" w:eastAsia="zh-CN"/>
        </w:rPr>
        <w:t>，</w:t>
      </w:r>
      <w:r>
        <w:rPr>
          <w:rFonts w:hint="eastAsia" w:ascii="Times New Roman" w:hAnsi="Times New Roman" w:eastAsia="宋体" w:cs="Times New Roman"/>
          <w:color w:val="auto"/>
          <w:sz w:val="21"/>
          <w:szCs w:val="21"/>
          <w:highlight w:val="none"/>
          <w:lang w:val="en-US" w:eastAsia="zh-CN"/>
        </w:rPr>
        <w:t>实际根据中标人投标文件确定</w:t>
      </w:r>
      <w:r>
        <w:rPr>
          <w:rFonts w:hint="eastAsia" w:hAnsi="宋体" w:cs="宋体"/>
          <w:color w:val="auto"/>
          <w:sz w:val="21"/>
          <w:szCs w:val="21"/>
          <w:highlight w:val="none"/>
          <w:lang w:eastAsia="zh-CN"/>
        </w:rPr>
        <w:t>）</w:t>
      </w:r>
      <w:r>
        <w:rPr>
          <w:rFonts w:hint="eastAsia" w:ascii="宋体" w:hAnsi="宋体" w:eastAsia="宋体" w:cs="宋体"/>
          <w:color w:val="auto"/>
          <w:sz w:val="21"/>
          <w:szCs w:val="21"/>
          <w:highlight w:val="none"/>
        </w:rPr>
        <w:t>、利润、税金、撰写策划方案、法律咨询、政策性文件规定及合同包含的所有风险、责任等各项应有费用。</w:t>
      </w:r>
    </w:p>
    <w:p w14:paraId="6533D9E5">
      <w:pPr>
        <w:pStyle w:val="28"/>
        <w:keepNext w:val="0"/>
        <w:keepLines w:val="0"/>
        <w:pageBreakBefore w:val="0"/>
        <w:widowControl w:val="0"/>
        <w:spacing w:line="360" w:lineRule="auto"/>
        <w:ind w:firstLine="48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2.2中标后，甲方将与乙方按线路优化确定每条线路具体的服务方案、合同价格并签订合同；本次招标的中标价格为合同最高限价，采购人可以根据每条线路的实际参加人数、行程安排等与承办商就实际价格在合同最高限价以下进行协商确定。</w:t>
      </w:r>
    </w:p>
    <w:p w14:paraId="534826BC">
      <w:pPr>
        <w:widowControl/>
        <w:numPr>
          <w:ilvl w:val="0"/>
          <w:numId w:val="10"/>
        </w:numPr>
        <w:spacing w:line="336" w:lineRule="auto"/>
        <w:ind w:firstLine="480"/>
        <w:rPr>
          <w:rFonts w:hint="eastAsia"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eastAsia="zh-CN"/>
        </w:rPr>
        <w:t>履约保证</w:t>
      </w:r>
    </w:p>
    <w:p w14:paraId="7B6F9008">
      <w:pPr>
        <w:widowControl/>
        <w:spacing w:line="336" w:lineRule="auto"/>
        <w:ind w:firstLine="480"/>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3.1</w:t>
      </w:r>
      <w:r>
        <w:rPr>
          <w:rFonts w:hint="default" w:ascii="Times New Roman" w:hAnsi="Times New Roman" w:eastAsia="宋体" w:cs="Times New Roman"/>
          <w:color w:val="auto"/>
          <w:sz w:val="21"/>
          <w:szCs w:val="21"/>
          <w:highlight w:val="none"/>
          <w:lang w:val="en-US" w:eastAsia="zh-CN"/>
        </w:rPr>
        <w:t>服务过程中，乙方必须采取周密的安全措施，以避免对人身和财产的损害。如因乙方原因而造成人身伤害或财产损失的，由乙方承担全部责任。</w:t>
      </w:r>
    </w:p>
    <w:p w14:paraId="7BAB513B">
      <w:pPr>
        <w:widowControl/>
        <w:spacing w:line="336" w:lineRule="auto"/>
        <w:ind w:firstLine="480"/>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3.2</w:t>
      </w:r>
      <w:r>
        <w:rPr>
          <w:rFonts w:hint="default" w:ascii="Times New Roman" w:hAnsi="Times New Roman" w:eastAsia="宋体" w:cs="Times New Roman"/>
          <w:color w:val="auto"/>
          <w:sz w:val="21"/>
          <w:szCs w:val="21"/>
          <w:highlight w:val="none"/>
          <w:lang w:val="en-US" w:eastAsia="zh-CN"/>
        </w:rPr>
        <w:t>乙方对服务质量和结果承担最终责任。确因乙方的过失，致使回访结果与采购需求不符的，乙方应承担甲方的直接损失和间接损失。</w:t>
      </w:r>
    </w:p>
    <w:p w14:paraId="63EE6BCD">
      <w:pPr>
        <w:widowControl/>
        <w:spacing w:line="336" w:lineRule="auto"/>
        <w:ind w:firstLine="480"/>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3.3</w:t>
      </w:r>
      <w:r>
        <w:rPr>
          <w:rFonts w:hint="default" w:ascii="Times New Roman" w:hAnsi="Times New Roman" w:eastAsia="宋体" w:cs="Times New Roman"/>
          <w:color w:val="auto"/>
          <w:sz w:val="21"/>
          <w:szCs w:val="21"/>
          <w:highlight w:val="none"/>
          <w:lang w:val="en-US" w:eastAsia="zh-CN"/>
        </w:rPr>
        <w:t>乙方应配合甲方进行跟踪服务，确保回访过程或记录可查询、可追溯。</w:t>
      </w:r>
    </w:p>
    <w:p w14:paraId="08C64834">
      <w:pPr>
        <w:widowControl/>
        <w:spacing w:line="336" w:lineRule="auto"/>
        <w:ind w:firstLine="480"/>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3.4</w:t>
      </w:r>
      <w:r>
        <w:rPr>
          <w:rFonts w:hint="default" w:ascii="Times New Roman" w:hAnsi="Times New Roman" w:eastAsia="宋体" w:cs="Times New Roman"/>
          <w:color w:val="auto"/>
          <w:sz w:val="21"/>
          <w:szCs w:val="21"/>
          <w:highlight w:val="none"/>
          <w:lang w:val="en-US" w:eastAsia="zh-CN"/>
        </w:rPr>
        <w:t>乙方须为甲方成员购买旅游意外险（意外保险额每人不低于10万元，</w:t>
      </w:r>
      <w:r>
        <w:rPr>
          <w:rFonts w:hint="eastAsia" w:ascii="Times New Roman" w:hAnsi="Times New Roman" w:eastAsia="宋体" w:cs="Times New Roman"/>
          <w:color w:val="auto"/>
          <w:sz w:val="21"/>
          <w:szCs w:val="21"/>
          <w:highlight w:val="none"/>
          <w:lang w:val="en-US" w:eastAsia="zh-CN"/>
        </w:rPr>
        <w:t>实际根据中标人投标文件确定</w:t>
      </w:r>
      <w:r>
        <w:rPr>
          <w:rFonts w:hint="default" w:ascii="Times New Roman" w:hAnsi="Times New Roman" w:eastAsia="宋体" w:cs="Times New Roman"/>
          <w:color w:val="auto"/>
          <w:sz w:val="21"/>
          <w:szCs w:val="21"/>
          <w:highlight w:val="none"/>
          <w:lang w:val="en-US" w:eastAsia="zh-CN"/>
        </w:rPr>
        <w:t>），费用由乙方承担。</w:t>
      </w:r>
    </w:p>
    <w:p w14:paraId="57A12BDF">
      <w:pPr>
        <w:widowControl/>
        <w:spacing w:line="336" w:lineRule="auto"/>
        <w:ind w:firstLine="480"/>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3.5</w:t>
      </w:r>
      <w:r>
        <w:rPr>
          <w:rFonts w:hint="default" w:ascii="Times New Roman" w:hAnsi="Times New Roman" w:eastAsia="宋体" w:cs="Times New Roman"/>
          <w:color w:val="auto"/>
          <w:sz w:val="21"/>
          <w:szCs w:val="21"/>
          <w:highlight w:val="none"/>
          <w:lang w:val="en-US" w:eastAsia="zh-CN"/>
        </w:rPr>
        <w:t>乙方应提前告知甲方成员具体行程安排和有关具体事项，具体事项包括但不限于所到目的地的重要规定、风俗习惯；休养活动中的安全注意事项和安全避险措施；应急联络方式及其他应告知的事项。</w:t>
      </w:r>
    </w:p>
    <w:p w14:paraId="2625BBFE">
      <w:pPr>
        <w:widowControl/>
        <w:spacing w:line="336" w:lineRule="auto"/>
        <w:ind w:firstLine="480"/>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3.6</w:t>
      </w:r>
      <w:r>
        <w:rPr>
          <w:rFonts w:hint="default" w:ascii="Times New Roman" w:hAnsi="Times New Roman" w:eastAsia="宋体" w:cs="Times New Roman"/>
          <w:color w:val="auto"/>
          <w:sz w:val="21"/>
          <w:szCs w:val="21"/>
          <w:highlight w:val="none"/>
          <w:lang w:val="en-US" w:eastAsia="zh-CN"/>
        </w:rPr>
        <w:t>乙方应根据投标文件内容建立应急危机处理机制，甲方成员人身、财产受到损害时，应当采取合理必要的保护和救助措施。</w:t>
      </w:r>
    </w:p>
    <w:p w14:paraId="7737CCB2">
      <w:pPr>
        <w:widowControl/>
        <w:spacing w:line="336" w:lineRule="auto"/>
        <w:ind w:firstLine="480"/>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3.7</w:t>
      </w:r>
      <w:r>
        <w:rPr>
          <w:rFonts w:hint="default" w:ascii="Times New Roman" w:hAnsi="Times New Roman" w:eastAsia="宋体" w:cs="Times New Roman"/>
          <w:color w:val="auto"/>
          <w:sz w:val="21"/>
          <w:szCs w:val="21"/>
          <w:highlight w:val="none"/>
          <w:lang w:val="en-US" w:eastAsia="zh-CN"/>
        </w:rPr>
        <w:t>乙方全程选择当地四星级及以上酒店</w:t>
      </w:r>
      <w:r>
        <w:rPr>
          <w:rFonts w:hint="eastAsia" w:ascii="Times New Roman" w:hAnsi="Times New Roman" w:eastAsia="宋体" w:cs="Times New Roman"/>
          <w:color w:val="auto"/>
          <w:sz w:val="21"/>
          <w:szCs w:val="21"/>
          <w:highlight w:val="none"/>
          <w:lang w:val="en-US" w:eastAsia="zh-CN"/>
        </w:rPr>
        <w:t>（包含四星级）</w:t>
      </w:r>
      <w:r>
        <w:rPr>
          <w:rFonts w:hint="default" w:ascii="Times New Roman" w:hAnsi="Times New Roman" w:eastAsia="宋体" w:cs="Times New Roman"/>
          <w:color w:val="auto"/>
          <w:sz w:val="21"/>
          <w:szCs w:val="21"/>
          <w:highlight w:val="none"/>
          <w:lang w:val="en-US" w:eastAsia="zh-CN"/>
        </w:rPr>
        <w:t>，每人一间。早餐使用酒店自助餐，中晚餐使用酒店自助餐或统一安排桌餐，按照每人每餐不低于100元标准。</w:t>
      </w:r>
    </w:p>
    <w:p w14:paraId="2A99F655">
      <w:pPr>
        <w:widowControl/>
        <w:spacing w:line="336" w:lineRule="auto"/>
        <w:ind w:firstLine="480"/>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3.8</w:t>
      </w:r>
      <w:r>
        <w:rPr>
          <w:rFonts w:hint="default" w:ascii="Times New Roman" w:hAnsi="Times New Roman" w:eastAsia="宋体" w:cs="Times New Roman"/>
          <w:color w:val="auto"/>
          <w:sz w:val="21"/>
          <w:szCs w:val="21"/>
          <w:highlight w:val="none"/>
          <w:lang w:val="en-US" w:eastAsia="zh-CN"/>
        </w:rPr>
        <w:t>乙方不得指定具体购物场所、不得安排购物等活动，休养期间所有景点门票、景区交通、游船、环保车、索道缆车、观光电梯、空调旅游车以及歌舞表演项目等费用均由乙方承担，无额外需甲方成员个人支付的费用。</w:t>
      </w:r>
    </w:p>
    <w:p w14:paraId="74ED0DBA">
      <w:pPr>
        <w:widowControl/>
        <w:spacing w:line="336" w:lineRule="auto"/>
        <w:ind w:firstLine="480"/>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3.9严格遵守中央八项规定精神，严禁安排甲方成员饮酒，严禁组织迷信活动，或与甲方成员身份不符的娱乐活动。</w:t>
      </w:r>
    </w:p>
    <w:p w14:paraId="776A827E">
      <w:pPr>
        <w:widowControl/>
        <w:spacing w:line="336" w:lineRule="auto"/>
        <w:ind w:firstLine="480"/>
        <w:rPr>
          <w:rFonts w:hint="eastAsia" w:ascii="Times New Roman" w:hAnsi="Times New Roman" w:eastAsia="宋体" w:cs="Times New Roman"/>
          <w:b/>
          <w:bCs/>
          <w:color w:val="auto"/>
          <w:sz w:val="21"/>
          <w:szCs w:val="21"/>
          <w:highlight w:val="none"/>
          <w:lang w:eastAsia="zh-CN"/>
        </w:rPr>
      </w:pPr>
      <w:r>
        <w:rPr>
          <w:rFonts w:hint="eastAsia" w:ascii="Times New Roman" w:hAnsi="Times New Roman" w:eastAsia="宋体" w:cs="Times New Roman"/>
          <w:b/>
          <w:bCs/>
          <w:color w:val="auto"/>
          <w:sz w:val="21"/>
          <w:szCs w:val="21"/>
          <w:highlight w:val="none"/>
          <w:lang w:val="en-US" w:eastAsia="zh-CN"/>
        </w:rPr>
        <w:t>四</w:t>
      </w:r>
      <w:r>
        <w:rPr>
          <w:rFonts w:hint="eastAsia" w:ascii="Times New Roman" w:hAnsi="Times New Roman" w:eastAsia="宋体" w:cs="Times New Roman"/>
          <w:b/>
          <w:bCs/>
          <w:color w:val="auto"/>
          <w:sz w:val="21"/>
          <w:szCs w:val="21"/>
          <w:highlight w:val="none"/>
          <w:lang w:eastAsia="zh-CN"/>
        </w:rPr>
        <w:t>、合同转包或分包</w:t>
      </w:r>
    </w:p>
    <w:p w14:paraId="4B4DD132">
      <w:pPr>
        <w:widowControl/>
        <w:spacing w:line="336" w:lineRule="auto"/>
        <w:ind w:firstLine="480"/>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val="en-US" w:eastAsia="zh-CN"/>
        </w:rPr>
        <w:t>4</w:t>
      </w:r>
      <w:r>
        <w:rPr>
          <w:rFonts w:hint="eastAsia" w:ascii="Times New Roman" w:hAnsi="Times New Roman" w:eastAsia="宋体" w:cs="Times New Roman"/>
          <w:color w:val="auto"/>
          <w:sz w:val="21"/>
          <w:szCs w:val="21"/>
          <w:highlight w:val="none"/>
          <w:lang w:eastAsia="zh-CN"/>
        </w:rPr>
        <w:t>.1乙方不得将合同标的转包给他人履行。</w:t>
      </w:r>
    </w:p>
    <w:p w14:paraId="3DAF7D5B">
      <w:pPr>
        <w:widowControl/>
        <w:spacing w:line="336" w:lineRule="auto"/>
        <w:ind w:firstLine="480"/>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val="en-US" w:eastAsia="zh-CN"/>
        </w:rPr>
        <w:t>4</w:t>
      </w:r>
      <w:r>
        <w:rPr>
          <w:rFonts w:hint="eastAsia" w:ascii="Times New Roman" w:hAnsi="Times New Roman" w:eastAsia="宋体" w:cs="Times New Roman"/>
          <w:color w:val="auto"/>
          <w:sz w:val="21"/>
          <w:szCs w:val="21"/>
          <w:highlight w:val="none"/>
          <w:lang w:eastAsia="zh-CN"/>
        </w:rPr>
        <w:t>.2乙方不得将合同标的分包给他人履行。</w:t>
      </w:r>
    </w:p>
    <w:p w14:paraId="25CE197F">
      <w:pPr>
        <w:widowControl/>
        <w:spacing w:line="336" w:lineRule="auto"/>
        <w:ind w:firstLine="480"/>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val="en-US" w:eastAsia="zh-CN"/>
        </w:rPr>
        <w:t>4</w:t>
      </w:r>
      <w:r>
        <w:rPr>
          <w:rFonts w:hint="eastAsia" w:ascii="Times New Roman" w:hAnsi="Times New Roman" w:eastAsia="宋体" w:cs="Times New Roman"/>
          <w:color w:val="auto"/>
          <w:sz w:val="21"/>
          <w:szCs w:val="21"/>
          <w:highlight w:val="none"/>
          <w:lang w:eastAsia="zh-CN"/>
        </w:rPr>
        <w:t>.3乙方如有转包或分包行为，甲方有权解除合同。同时，乙方应当立即退回已收取的全部款项并向甲方支付本合同总价款30%的违约金，该违约金不足以弥补甲方损失的，乙方应赔偿甲方的所有损失。</w:t>
      </w:r>
    </w:p>
    <w:p w14:paraId="7A28E425">
      <w:pPr>
        <w:widowControl/>
        <w:spacing w:line="336" w:lineRule="auto"/>
        <w:ind w:firstLine="480"/>
        <w:rPr>
          <w:rFonts w:hint="eastAsia" w:ascii="Times New Roman" w:hAnsi="Times New Roman" w:eastAsia="宋体" w:cs="Times New Roman"/>
          <w:b/>
          <w:bCs/>
          <w:color w:val="auto"/>
          <w:sz w:val="21"/>
          <w:szCs w:val="21"/>
          <w:highlight w:val="none"/>
          <w:lang w:eastAsia="zh-CN"/>
        </w:rPr>
      </w:pPr>
      <w:r>
        <w:rPr>
          <w:rFonts w:hint="eastAsia" w:ascii="Times New Roman" w:hAnsi="Times New Roman" w:eastAsia="宋体" w:cs="Times New Roman"/>
          <w:b/>
          <w:bCs/>
          <w:color w:val="auto"/>
          <w:sz w:val="21"/>
          <w:szCs w:val="21"/>
          <w:highlight w:val="none"/>
          <w:lang w:val="en-US" w:eastAsia="zh-CN"/>
        </w:rPr>
        <w:t>五</w:t>
      </w:r>
      <w:r>
        <w:rPr>
          <w:rFonts w:hint="eastAsia" w:ascii="Times New Roman" w:hAnsi="Times New Roman" w:eastAsia="宋体" w:cs="Times New Roman"/>
          <w:b/>
          <w:bCs/>
          <w:color w:val="auto"/>
          <w:sz w:val="21"/>
          <w:szCs w:val="21"/>
          <w:highlight w:val="none"/>
          <w:lang w:eastAsia="zh-CN"/>
        </w:rPr>
        <w:t>、合同款项支付</w:t>
      </w:r>
    </w:p>
    <w:p w14:paraId="50E25B46">
      <w:pPr>
        <w:keepNext w:val="0"/>
        <w:keepLines w:val="0"/>
        <w:pageBreakBefore w:val="0"/>
        <w:numPr>
          <w:ilvl w:val="0"/>
          <w:numId w:val="0"/>
        </w:numPr>
        <w:spacing w:line="360" w:lineRule="auto"/>
        <w:ind w:firstLine="480"/>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（1）甲方分期向乙方支付合同约定的费用：</w:t>
      </w:r>
    </w:p>
    <w:p w14:paraId="013593D0">
      <w:pPr>
        <w:keepNext w:val="0"/>
        <w:keepLines w:val="0"/>
        <w:pageBreakBefore w:val="0"/>
        <w:numPr>
          <w:ilvl w:val="0"/>
          <w:numId w:val="0"/>
        </w:numPr>
        <w:spacing w:line="360" w:lineRule="auto"/>
        <w:ind w:firstLine="480"/>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首付款：在本合同签订并生效，且收到乙方开具的相应金额的、符合国家规定的增值税发票后[30]日内，甲方向乙方支付本合同费用总额的30％。</w:t>
      </w:r>
    </w:p>
    <w:p w14:paraId="38F7561C">
      <w:pPr>
        <w:keepNext w:val="0"/>
        <w:keepLines w:val="0"/>
        <w:pageBreakBefore w:val="0"/>
        <w:widowControl/>
        <w:numPr>
          <w:ilvl w:val="0"/>
          <w:numId w:val="0"/>
        </w:numPr>
        <w:spacing w:before="0" w:after="0" w:line="360" w:lineRule="auto"/>
        <w:ind w:left="0" w:right="0" w:firstLine="480"/>
        <w:jc w:val="left"/>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尾款：乙方完成本合同约定的全部服务内容并根据甲方实际使用情况及考核情况据实结算</w:t>
      </w:r>
      <w:r>
        <w:rPr>
          <w:rFonts w:hint="eastAsia" w:eastAsia="宋体"/>
          <w:color w:val="auto"/>
          <w:sz w:val="21"/>
          <w:szCs w:val="21"/>
          <w:highlight w:val="none"/>
          <w:lang w:eastAsia="zh-CN"/>
        </w:rPr>
        <w:t>（</w:t>
      </w:r>
      <w:r>
        <w:rPr>
          <w:rFonts w:hint="eastAsia" w:ascii="宋体" w:hAnsi="宋体" w:eastAsia="宋体" w:cs="宋体"/>
          <w:b w:val="0"/>
          <w:bCs w:val="0"/>
          <w:color w:val="auto"/>
          <w:sz w:val="21"/>
          <w:szCs w:val="21"/>
          <w:highlight w:val="none"/>
          <w:lang w:val="en-US" w:eastAsia="zh-CN"/>
        </w:rPr>
        <w:t>部分景点对持警察证或退役军人证的人员实行免票或门票优惠政策，实际结算时应予以扣减）</w:t>
      </w:r>
      <w:r>
        <w:rPr>
          <w:rFonts w:hint="eastAsia" w:ascii="宋体" w:hAnsi="宋体" w:eastAsia="宋体" w:cs="宋体"/>
          <w:color w:val="auto"/>
          <w:sz w:val="21"/>
          <w:szCs w:val="21"/>
          <w:highlight w:val="none"/>
          <w:lang w:val="en-US" w:eastAsia="zh-CN"/>
        </w:rPr>
        <w:t>。经</w:t>
      </w:r>
      <w:r>
        <w:rPr>
          <w:rFonts w:hint="eastAsia" w:ascii="宋体" w:hAnsi="宋体" w:cs="宋体"/>
          <w:color w:val="auto"/>
          <w:sz w:val="21"/>
          <w:szCs w:val="21"/>
          <w:highlight w:val="none"/>
          <w:lang w:val="en-US" w:eastAsia="zh-CN"/>
        </w:rPr>
        <w:t>甲方</w:t>
      </w:r>
      <w:r>
        <w:rPr>
          <w:rFonts w:hint="eastAsia" w:ascii="宋体" w:hAnsi="宋体" w:eastAsia="宋体" w:cs="宋体"/>
          <w:color w:val="auto"/>
          <w:sz w:val="21"/>
          <w:szCs w:val="21"/>
          <w:highlight w:val="none"/>
          <w:lang w:val="en-US" w:eastAsia="zh-CN"/>
        </w:rPr>
        <w:t>收到乙方开具的相应金额的、符合国家规定的增值税发票后[30]日内，甲方向乙方付清剩余款项。</w:t>
      </w:r>
    </w:p>
    <w:p w14:paraId="7CA441FE">
      <w:pPr>
        <w:keepNext w:val="0"/>
        <w:keepLines w:val="0"/>
        <w:pageBreakBefore w:val="0"/>
        <w:widowControl/>
        <w:numPr>
          <w:ilvl w:val="0"/>
          <w:numId w:val="0"/>
        </w:numPr>
        <w:spacing w:before="0" w:after="0" w:line="360" w:lineRule="auto"/>
        <w:ind w:left="0" w:right="0" w:firstLine="480"/>
        <w:jc w:val="left"/>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如因财政资金拨付不到位等原因，双方可协调延迟付款，甲方不承担违约责任。</w:t>
      </w:r>
    </w:p>
    <w:p w14:paraId="0B9203E3">
      <w:pPr>
        <w:pStyle w:val="28"/>
        <w:keepNext w:val="0"/>
        <w:keepLines w:val="0"/>
        <w:pageBreakBefore w:val="0"/>
        <w:widowControl w:val="0"/>
        <w:spacing w:line="360" w:lineRule="auto"/>
        <w:ind w:firstLine="48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（2）考核管理</w:t>
      </w:r>
    </w:p>
    <w:p w14:paraId="04175EAE">
      <w:pPr>
        <w:pStyle w:val="28"/>
        <w:keepNext w:val="0"/>
        <w:keepLines w:val="0"/>
        <w:pageBreakBefore w:val="0"/>
        <w:widowControl w:val="0"/>
        <w:spacing w:line="360" w:lineRule="auto"/>
        <w:ind w:firstLine="48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1.为规范对乙方的管理，甲方将依据相关法律法规制定相应的管理制度，实行动态管理方式，乙方须接受项目采购人的监督。</w:t>
      </w:r>
    </w:p>
    <w:p w14:paraId="5F822AB3">
      <w:pPr>
        <w:pStyle w:val="28"/>
        <w:keepNext w:val="0"/>
        <w:keepLines w:val="0"/>
        <w:pageBreakBefore w:val="0"/>
        <w:widowControl w:val="0"/>
        <w:spacing w:line="360" w:lineRule="auto"/>
        <w:ind w:firstLine="48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每批次活动完成后，甲方发放实名制《满意度反馈表》（见附件），出行人员对本次出行计划、酒店、就餐等情况进行满意度评分并填写《满意度反馈表》（调查表选项填写不全或赋分不在设定范围的无效），满意度调查结果由甲方反馈给乙方，甲方将根据满意度反馈表平均分确认当批次费用。</w:t>
      </w:r>
    </w:p>
    <w:p w14:paraId="208C7AB3">
      <w:pPr>
        <w:pStyle w:val="28"/>
        <w:keepNext w:val="0"/>
        <w:keepLines w:val="0"/>
        <w:pageBreakBefore w:val="0"/>
        <w:widowControl w:val="0"/>
        <w:spacing w:line="360" w:lineRule="auto"/>
        <w:ind w:firstLine="48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考核标准：当次满意度平均分高于85分（含），支付当批次费用的100%；当次满意度平均分高于75分（含）低于85分，扣减当批次费用的5%；当次满意度平均分低于75分，扣减当批次费用的10%。</w:t>
      </w:r>
    </w:p>
    <w:p w14:paraId="08F9E724">
      <w:pPr>
        <w:widowControl/>
        <w:spacing w:line="336" w:lineRule="auto"/>
        <w:ind w:firstLine="480"/>
        <w:rPr>
          <w:rFonts w:hint="eastAsia" w:ascii="Times New Roman" w:hAnsi="Times New Roman" w:eastAsia="宋体" w:cs="Times New Roman"/>
          <w:b/>
          <w:bCs/>
          <w:color w:val="auto"/>
          <w:sz w:val="21"/>
          <w:szCs w:val="21"/>
          <w:highlight w:val="none"/>
          <w:lang w:eastAsia="zh-CN"/>
        </w:rPr>
      </w:pPr>
      <w:r>
        <w:rPr>
          <w:rFonts w:hint="eastAsia" w:ascii="Times New Roman" w:hAnsi="Times New Roman" w:eastAsia="宋体" w:cs="Times New Roman"/>
          <w:b/>
          <w:bCs/>
          <w:color w:val="auto"/>
          <w:sz w:val="21"/>
          <w:szCs w:val="21"/>
          <w:highlight w:val="none"/>
          <w:lang w:val="en-US" w:eastAsia="zh-CN"/>
        </w:rPr>
        <w:t>六</w:t>
      </w:r>
      <w:r>
        <w:rPr>
          <w:rFonts w:hint="eastAsia" w:ascii="Times New Roman" w:hAnsi="Times New Roman" w:eastAsia="宋体" w:cs="Times New Roman"/>
          <w:b/>
          <w:bCs/>
          <w:color w:val="auto"/>
          <w:sz w:val="21"/>
          <w:szCs w:val="21"/>
          <w:highlight w:val="none"/>
          <w:lang w:eastAsia="zh-CN"/>
        </w:rPr>
        <w:t>、税费</w:t>
      </w:r>
    </w:p>
    <w:p w14:paraId="169EED5E">
      <w:pPr>
        <w:widowControl/>
        <w:spacing w:line="336" w:lineRule="auto"/>
        <w:ind w:firstLine="480"/>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val="en-US" w:eastAsia="zh-CN"/>
        </w:rPr>
        <w:t>6</w:t>
      </w:r>
      <w:r>
        <w:rPr>
          <w:rFonts w:hint="eastAsia" w:ascii="Times New Roman" w:hAnsi="Times New Roman" w:eastAsia="宋体" w:cs="Times New Roman"/>
          <w:color w:val="auto"/>
          <w:sz w:val="21"/>
          <w:szCs w:val="21"/>
          <w:highlight w:val="none"/>
          <w:lang w:eastAsia="zh-CN"/>
        </w:rPr>
        <w:t>.1本合同执行中相关的一切税费均由乙方负担。</w:t>
      </w:r>
    </w:p>
    <w:p w14:paraId="36477C1C">
      <w:pPr>
        <w:widowControl/>
        <w:spacing w:line="336" w:lineRule="auto"/>
        <w:ind w:firstLine="480"/>
        <w:rPr>
          <w:rFonts w:hint="eastAsia" w:ascii="Times New Roman" w:hAnsi="Times New Roman" w:eastAsia="宋体" w:cs="Times New Roman"/>
          <w:b/>
          <w:bCs/>
          <w:color w:val="auto"/>
          <w:sz w:val="21"/>
          <w:szCs w:val="21"/>
          <w:highlight w:val="none"/>
          <w:lang w:eastAsia="zh-CN"/>
        </w:rPr>
      </w:pPr>
      <w:r>
        <w:rPr>
          <w:rFonts w:hint="eastAsia" w:ascii="Times New Roman" w:hAnsi="Times New Roman" w:eastAsia="宋体" w:cs="Times New Roman"/>
          <w:b/>
          <w:bCs/>
          <w:color w:val="auto"/>
          <w:sz w:val="21"/>
          <w:szCs w:val="21"/>
          <w:highlight w:val="none"/>
          <w:lang w:val="en-US" w:eastAsia="zh-CN"/>
        </w:rPr>
        <w:t>七</w:t>
      </w:r>
      <w:r>
        <w:rPr>
          <w:rFonts w:hint="eastAsia" w:ascii="Times New Roman" w:hAnsi="Times New Roman" w:eastAsia="宋体" w:cs="Times New Roman"/>
          <w:b/>
          <w:bCs/>
          <w:color w:val="auto"/>
          <w:sz w:val="21"/>
          <w:szCs w:val="21"/>
          <w:highlight w:val="none"/>
          <w:lang w:eastAsia="zh-CN"/>
        </w:rPr>
        <w:t>、违约责任（</w:t>
      </w:r>
      <w:r>
        <w:rPr>
          <w:rFonts w:hint="eastAsia" w:ascii="Times New Roman" w:hAnsi="Times New Roman" w:eastAsia="宋体" w:cs="Times New Roman"/>
          <w:b/>
          <w:bCs/>
          <w:color w:val="auto"/>
          <w:sz w:val="21"/>
          <w:szCs w:val="21"/>
          <w:highlight w:val="none"/>
          <w:lang w:val="en-US" w:eastAsia="zh-CN"/>
        </w:rPr>
        <w:t>采购人</w:t>
      </w:r>
      <w:r>
        <w:rPr>
          <w:rFonts w:hint="eastAsia" w:ascii="Times New Roman" w:hAnsi="Times New Roman" w:eastAsia="宋体" w:cs="Times New Roman"/>
          <w:b/>
          <w:bCs/>
          <w:color w:val="auto"/>
          <w:sz w:val="21"/>
          <w:szCs w:val="21"/>
          <w:highlight w:val="none"/>
          <w:lang w:eastAsia="zh-CN"/>
        </w:rPr>
        <w:t>可根据实际项目情况增加）</w:t>
      </w:r>
    </w:p>
    <w:p w14:paraId="23B335F9">
      <w:pPr>
        <w:widowControl/>
        <w:spacing w:line="336" w:lineRule="auto"/>
        <w:ind w:firstLine="480"/>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val="en-US" w:eastAsia="zh-CN"/>
        </w:rPr>
        <w:t>7</w:t>
      </w:r>
      <w:r>
        <w:rPr>
          <w:rFonts w:hint="eastAsia" w:ascii="Times New Roman" w:hAnsi="Times New Roman" w:eastAsia="宋体" w:cs="Times New Roman"/>
          <w:color w:val="auto"/>
          <w:sz w:val="21"/>
          <w:szCs w:val="21"/>
          <w:highlight w:val="none"/>
          <w:lang w:eastAsia="zh-CN"/>
        </w:rPr>
        <w:t>.1 甲方无正当理由拒绝接受乙方提供服务的，甲方向乙方偿付拒绝接受服务合同价款总值</w:t>
      </w:r>
      <w:r>
        <w:rPr>
          <w:rFonts w:hint="eastAsia" w:ascii="Times New Roman" w:hAnsi="Times New Roman" w:eastAsia="宋体" w:cs="Times New Roman"/>
          <w:color w:val="auto"/>
          <w:sz w:val="21"/>
          <w:szCs w:val="21"/>
          <w:highlight w:val="none"/>
          <w:u w:val="single"/>
          <w:lang w:eastAsia="zh-CN"/>
        </w:rPr>
        <w:t xml:space="preserve"> 百分之</w:t>
      </w:r>
      <w:r>
        <w:rPr>
          <w:rFonts w:hint="eastAsia" w:ascii="Times New Roman" w:hAnsi="Times New Roman" w:eastAsia="宋体" w:cs="Times New Roman"/>
          <w:color w:val="auto"/>
          <w:sz w:val="21"/>
          <w:szCs w:val="21"/>
          <w:highlight w:val="none"/>
          <w:u w:val="single"/>
          <w:lang w:val="en-US" w:eastAsia="zh-CN"/>
        </w:rPr>
        <w:t>十</w:t>
      </w:r>
      <w:r>
        <w:rPr>
          <w:rFonts w:hint="eastAsia" w:ascii="Times New Roman" w:hAnsi="Times New Roman" w:eastAsia="宋体" w:cs="Times New Roman"/>
          <w:color w:val="auto"/>
          <w:sz w:val="21"/>
          <w:szCs w:val="21"/>
          <w:highlight w:val="none"/>
          <w:u w:val="single"/>
          <w:lang w:eastAsia="zh-CN"/>
        </w:rPr>
        <w:t xml:space="preserve"> </w:t>
      </w:r>
      <w:r>
        <w:rPr>
          <w:rFonts w:hint="eastAsia" w:ascii="Times New Roman" w:hAnsi="Times New Roman" w:eastAsia="宋体" w:cs="Times New Roman"/>
          <w:color w:val="auto"/>
          <w:sz w:val="21"/>
          <w:szCs w:val="21"/>
          <w:highlight w:val="none"/>
          <w:lang w:eastAsia="zh-CN"/>
        </w:rPr>
        <w:t xml:space="preserve"> 的违约金。</w:t>
      </w:r>
    </w:p>
    <w:p w14:paraId="63CBEF85">
      <w:pPr>
        <w:widowControl/>
        <w:spacing w:line="336" w:lineRule="auto"/>
        <w:ind w:firstLine="480"/>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val="en-US" w:eastAsia="zh-CN"/>
        </w:rPr>
        <w:t>7</w:t>
      </w:r>
      <w:r>
        <w:rPr>
          <w:rFonts w:hint="eastAsia" w:ascii="Times New Roman" w:hAnsi="Times New Roman" w:eastAsia="宋体" w:cs="Times New Roman"/>
          <w:color w:val="auto"/>
          <w:sz w:val="21"/>
          <w:szCs w:val="21"/>
          <w:highlight w:val="none"/>
          <w:lang w:eastAsia="zh-CN"/>
        </w:rPr>
        <w:t xml:space="preserve">.2 乙方逾期提供服务的，乙方应根据逾期天数，每日按合同总额万分之五向甲方支付违约金，由甲方从待付合同款项中扣除。逾期超过约定日期10个工作日不能提供服务的，甲方可解除本合同。乙方因逾期提供服务或因其他违约行为导致甲方解除合同的，乙方应向甲方支付合同价款总额10%的违约金，如造成甲方损失超过违约金的，超出部分由乙方继续承担赔偿责任。 </w:t>
      </w:r>
    </w:p>
    <w:p w14:paraId="5122523B">
      <w:pPr>
        <w:pStyle w:val="28"/>
        <w:keepNext w:val="0"/>
        <w:keepLines w:val="0"/>
        <w:pageBreakBefore w:val="0"/>
        <w:widowControl w:val="0"/>
        <w:spacing w:line="360" w:lineRule="auto"/>
        <w:ind w:firstLine="480"/>
        <w:rPr>
          <w:rFonts w:hint="eastAsia" w:ascii="Times New Roman" w:hAnsi="Times New Roman" w:eastAsia="宋体" w:cs="Times New Roman"/>
          <w:color w:val="auto"/>
          <w:sz w:val="21"/>
          <w:szCs w:val="21"/>
          <w:highlight w:val="none"/>
          <w:lang w:eastAsia="zh-CN"/>
        </w:rPr>
      </w:pPr>
      <w:r>
        <w:rPr>
          <w:rFonts w:hint="eastAsia" w:ascii="Times New Roman" w:hAnsi="Times New Roman" w:cs="Times New Roman"/>
          <w:color w:val="auto"/>
          <w:sz w:val="21"/>
          <w:szCs w:val="21"/>
          <w:highlight w:val="none"/>
          <w:lang w:val="en-US" w:eastAsia="zh-CN"/>
        </w:rPr>
        <w:t>7</w:t>
      </w:r>
      <w:r>
        <w:rPr>
          <w:rFonts w:hint="eastAsia" w:ascii="Times New Roman" w:hAnsi="Times New Roman" w:eastAsia="宋体" w:cs="Times New Roman"/>
          <w:color w:val="auto"/>
          <w:sz w:val="21"/>
          <w:szCs w:val="21"/>
          <w:highlight w:val="none"/>
          <w:lang w:eastAsia="zh-CN"/>
        </w:rPr>
        <w:t xml:space="preserve">.3 </w:t>
      </w:r>
      <w:r>
        <w:rPr>
          <w:rFonts w:hint="eastAsia" w:ascii="宋体" w:hAnsi="宋体" w:eastAsia="宋体" w:cs="宋体"/>
          <w:color w:val="auto"/>
          <w:sz w:val="21"/>
          <w:szCs w:val="21"/>
          <w:highlight w:val="none"/>
          <w:lang w:val="en-US" w:eastAsia="zh-CN"/>
        </w:rPr>
        <w:t>乙方发生住宿或餐饮回扣现象按照当批次住宿或餐费金额的2倍处罚。发生私自删除景点行程的，按当批次原景点门票金额的2倍处罚。发生增加购物点的情况，按当批次休养费用的10%进行处罚。未经甲方同意在具体项目实施中擅自更换投标配备人员的，按当批次休养费用的20%进行处罚，如因特殊原因经采购人书面同意更换的，更换后人员资质条件不得低于原服务人员。</w:t>
      </w:r>
    </w:p>
    <w:p w14:paraId="50B178F6">
      <w:pPr>
        <w:widowControl/>
        <w:spacing w:line="336" w:lineRule="auto"/>
        <w:ind w:firstLine="480"/>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val="en-US" w:eastAsia="zh-CN"/>
        </w:rPr>
        <w:t>7</w:t>
      </w:r>
      <w:r>
        <w:rPr>
          <w:rFonts w:hint="eastAsia" w:ascii="Times New Roman" w:hAnsi="Times New Roman" w:eastAsia="宋体" w:cs="Times New Roman"/>
          <w:color w:val="auto"/>
          <w:sz w:val="21"/>
          <w:szCs w:val="21"/>
          <w:highlight w:val="none"/>
          <w:lang w:eastAsia="zh-CN"/>
        </w:rPr>
        <w:t>.4 中标后，中标人投标文件中承诺的人员或服务事项不能兑现的，甲方有权决定是否继续履行合同。若甲方决定解除合同，在采购人未招标确定下一家供应商之前，该中标人应继续按原约定标准进行服务。</w:t>
      </w:r>
    </w:p>
    <w:p w14:paraId="73D9A1F2">
      <w:pPr>
        <w:widowControl/>
        <w:spacing w:line="336" w:lineRule="auto"/>
        <w:ind w:firstLine="480"/>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val="en-US" w:eastAsia="zh-CN"/>
        </w:rPr>
        <w:t>7</w:t>
      </w:r>
      <w:r>
        <w:rPr>
          <w:rFonts w:hint="eastAsia" w:ascii="Times New Roman" w:hAnsi="Times New Roman" w:eastAsia="宋体" w:cs="Times New Roman"/>
          <w:color w:val="auto"/>
          <w:sz w:val="21"/>
          <w:szCs w:val="21"/>
          <w:highlight w:val="none"/>
          <w:lang w:eastAsia="zh-CN"/>
        </w:rPr>
        <w:t>.5乙方在服务过程中向甲方提交虚假材料，不如实告知服务具体情况，致使甲方产生损失的，甲方有权终止本合同，</w:t>
      </w:r>
      <w:r>
        <w:rPr>
          <w:rFonts w:hint="eastAsia" w:ascii="Times New Roman" w:hAnsi="Times New Roman" w:eastAsia="宋体" w:cs="Times New Roman"/>
          <w:color w:val="auto"/>
          <w:sz w:val="21"/>
          <w:szCs w:val="21"/>
          <w:highlight w:val="none"/>
          <w:lang w:val="en-US" w:eastAsia="zh-CN"/>
        </w:rPr>
        <w:t>乙方</w:t>
      </w:r>
      <w:r>
        <w:rPr>
          <w:rFonts w:hint="eastAsia" w:ascii="Times New Roman" w:hAnsi="Times New Roman" w:eastAsia="宋体" w:cs="Times New Roman"/>
          <w:color w:val="auto"/>
          <w:sz w:val="21"/>
          <w:szCs w:val="21"/>
          <w:highlight w:val="none"/>
          <w:lang w:eastAsia="zh-CN"/>
        </w:rPr>
        <w:t>还应向甲方支付本合同总价款30%的违约金，违约金不足以弥补甲方损失的，乙方应</w:t>
      </w:r>
      <w:r>
        <w:rPr>
          <w:rFonts w:hint="eastAsia" w:ascii="Times New Roman" w:hAnsi="Times New Roman" w:eastAsia="宋体" w:cs="Times New Roman"/>
          <w:color w:val="auto"/>
          <w:sz w:val="21"/>
          <w:szCs w:val="21"/>
          <w:highlight w:val="none"/>
          <w:lang w:val="en-US" w:eastAsia="zh-CN"/>
        </w:rPr>
        <w:t>继续承担赔偿责任</w:t>
      </w:r>
      <w:r>
        <w:rPr>
          <w:rFonts w:hint="eastAsia" w:ascii="Times New Roman" w:hAnsi="Times New Roman" w:eastAsia="宋体" w:cs="Times New Roman"/>
          <w:color w:val="auto"/>
          <w:sz w:val="21"/>
          <w:szCs w:val="21"/>
          <w:highlight w:val="none"/>
          <w:lang w:eastAsia="zh-CN"/>
        </w:rPr>
        <w:t>。</w:t>
      </w:r>
    </w:p>
    <w:p w14:paraId="68FF412B">
      <w:pPr>
        <w:widowControl/>
        <w:spacing w:line="336" w:lineRule="auto"/>
        <w:ind w:firstLine="480"/>
        <w:rPr>
          <w:rFonts w:hint="eastAsia" w:ascii="Times New Roman" w:hAnsi="Times New Roman" w:eastAsia="宋体" w:cs="Times New Roman"/>
          <w:b/>
          <w:bCs/>
          <w:color w:val="auto"/>
          <w:sz w:val="21"/>
          <w:szCs w:val="21"/>
          <w:highlight w:val="none"/>
          <w:lang w:eastAsia="zh-CN"/>
        </w:rPr>
      </w:pPr>
      <w:r>
        <w:rPr>
          <w:rFonts w:hint="eastAsia" w:ascii="Times New Roman" w:hAnsi="Times New Roman" w:eastAsia="宋体" w:cs="Times New Roman"/>
          <w:b/>
          <w:bCs/>
          <w:color w:val="auto"/>
          <w:sz w:val="21"/>
          <w:szCs w:val="21"/>
          <w:highlight w:val="none"/>
          <w:lang w:val="en-US" w:eastAsia="zh-CN"/>
        </w:rPr>
        <w:t>八</w:t>
      </w:r>
      <w:r>
        <w:rPr>
          <w:rFonts w:hint="eastAsia" w:ascii="Times New Roman" w:hAnsi="Times New Roman" w:eastAsia="宋体" w:cs="Times New Roman"/>
          <w:b/>
          <w:bCs/>
          <w:color w:val="auto"/>
          <w:sz w:val="21"/>
          <w:szCs w:val="21"/>
          <w:highlight w:val="none"/>
          <w:lang w:eastAsia="zh-CN"/>
        </w:rPr>
        <w:t>、廉政廉洁条款</w:t>
      </w:r>
    </w:p>
    <w:p w14:paraId="7D9CEFB2">
      <w:pPr>
        <w:widowControl/>
        <w:spacing w:line="336" w:lineRule="auto"/>
        <w:ind w:firstLine="480"/>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val="en-US" w:eastAsia="zh-CN"/>
        </w:rPr>
        <w:t>8</w:t>
      </w:r>
      <w:r>
        <w:rPr>
          <w:rFonts w:hint="eastAsia" w:ascii="Times New Roman" w:hAnsi="Times New Roman" w:eastAsia="宋体" w:cs="Times New Roman"/>
          <w:color w:val="auto"/>
          <w:sz w:val="21"/>
          <w:szCs w:val="21"/>
          <w:highlight w:val="none"/>
          <w:lang w:eastAsia="zh-CN"/>
        </w:rPr>
        <w:t>.1采购过程中如发现乙方围标、串标，或向甲方行贿等违法违规行为的，一经查实，甲方有权终止合同，并不再支付乙方剩余合同款，乙方退回已支付合同款，同时，承诺不再参加甲方后三年组织的政府采购活动。</w:t>
      </w:r>
    </w:p>
    <w:p w14:paraId="78E99E8F">
      <w:pPr>
        <w:widowControl/>
        <w:spacing w:line="336" w:lineRule="auto"/>
        <w:ind w:firstLine="480"/>
        <w:rPr>
          <w:rFonts w:hint="eastAsia" w:ascii="Times New Roman" w:hAnsi="Times New Roman" w:eastAsia="宋体" w:cs="Times New Roman"/>
          <w:b/>
          <w:bCs/>
          <w:color w:val="auto"/>
          <w:sz w:val="21"/>
          <w:szCs w:val="21"/>
          <w:highlight w:val="none"/>
          <w:lang w:eastAsia="zh-CN"/>
        </w:rPr>
      </w:pPr>
      <w:r>
        <w:rPr>
          <w:rFonts w:hint="eastAsia" w:ascii="Times New Roman" w:hAnsi="Times New Roman" w:eastAsia="宋体" w:cs="Times New Roman"/>
          <w:b/>
          <w:bCs/>
          <w:color w:val="auto"/>
          <w:sz w:val="21"/>
          <w:szCs w:val="21"/>
          <w:highlight w:val="none"/>
          <w:lang w:val="en-US" w:eastAsia="zh-CN"/>
        </w:rPr>
        <w:t>九</w:t>
      </w:r>
      <w:r>
        <w:rPr>
          <w:rFonts w:hint="eastAsia" w:ascii="Times New Roman" w:hAnsi="Times New Roman" w:eastAsia="宋体" w:cs="Times New Roman"/>
          <w:b/>
          <w:bCs/>
          <w:color w:val="auto"/>
          <w:sz w:val="21"/>
          <w:szCs w:val="21"/>
          <w:highlight w:val="none"/>
          <w:lang w:eastAsia="zh-CN"/>
        </w:rPr>
        <w:t>、保密条款</w:t>
      </w:r>
    </w:p>
    <w:p w14:paraId="7EAEE782">
      <w:pPr>
        <w:widowControl/>
        <w:spacing w:line="336" w:lineRule="auto"/>
        <w:ind w:firstLine="480"/>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val="en-US" w:eastAsia="zh-CN"/>
        </w:rPr>
        <w:t>9</w:t>
      </w:r>
      <w:r>
        <w:rPr>
          <w:rFonts w:hint="eastAsia" w:ascii="Times New Roman" w:hAnsi="Times New Roman" w:eastAsia="宋体" w:cs="Times New Roman"/>
          <w:color w:val="auto"/>
          <w:sz w:val="21"/>
          <w:szCs w:val="21"/>
          <w:highlight w:val="none"/>
          <w:lang w:eastAsia="zh-CN"/>
        </w:rPr>
        <w:t>.1甲乙双方在合作过程中知悉的对方一切秘密，包括但不限于有关本合同双方的内部资料、</w:t>
      </w:r>
      <w:r>
        <w:rPr>
          <w:rFonts w:hint="eastAsia" w:ascii="Times New Roman" w:hAnsi="Times New Roman" w:eastAsia="宋体" w:cs="Times New Roman"/>
          <w:color w:val="auto"/>
          <w:sz w:val="21"/>
          <w:szCs w:val="21"/>
          <w:highlight w:val="none"/>
          <w:lang w:val="en-US" w:eastAsia="zh-CN"/>
        </w:rPr>
        <w:t>个人信息、</w:t>
      </w:r>
      <w:r>
        <w:rPr>
          <w:rFonts w:hint="eastAsia" w:ascii="Times New Roman" w:hAnsi="Times New Roman" w:eastAsia="宋体" w:cs="Times New Roman"/>
          <w:color w:val="auto"/>
          <w:sz w:val="21"/>
          <w:szCs w:val="21"/>
          <w:highlight w:val="none"/>
          <w:lang w:eastAsia="zh-CN"/>
        </w:rPr>
        <w:t>业务信息、技术资料及本合同项下的服务价格、合作条件等书面或口头信息，双方承诺严格遵守对上述信息的保密约定。未经对方书面同意，任何一方均不得泄露、使用或许可给第三方使用上述保密信息。若乙方未能遵守本合同约定的保密义务，造成失泄密的，应当承担所有经济、法律责任。且乙方应当按本合同总金额30%的标准向甲方支付泄密违约金，并向甲方及其关联主体赔偿因此受到的全部损失。此外，还将依法追究乙方的刑事责任。</w:t>
      </w:r>
    </w:p>
    <w:p w14:paraId="322D29A5">
      <w:pPr>
        <w:widowControl/>
        <w:spacing w:line="336" w:lineRule="auto"/>
        <w:ind w:firstLine="480"/>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val="en-US" w:eastAsia="zh-CN"/>
        </w:rPr>
        <w:t>9</w:t>
      </w:r>
      <w:r>
        <w:rPr>
          <w:rFonts w:hint="eastAsia" w:ascii="Times New Roman" w:hAnsi="Times New Roman" w:eastAsia="宋体" w:cs="Times New Roman"/>
          <w:color w:val="auto"/>
          <w:sz w:val="21"/>
          <w:szCs w:val="21"/>
          <w:highlight w:val="none"/>
          <w:lang w:eastAsia="zh-CN"/>
        </w:rPr>
        <w:t>.2无论本合同是否变更、解除或终止，合同的保密条款不受其限制而继续有效，双方都应继续承担保密条款约定的保密义务。保密义务的期限为永久。</w:t>
      </w:r>
    </w:p>
    <w:p w14:paraId="5819B588">
      <w:pPr>
        <w:widowControl/>
        <w:spacing w:line="336" w:lineRule="auto"/>
        <w:ind w:firstLine="480"/>
        <w:rPr>
          <w:rFonts w:hint="eastAsia" w:ascii="Times New Roman" w:hAnsi="Times New Roman" w:eastAsia="宋体" w:cs="Times New Roman"/>
          <w:b/>
          <w:bCs/>
          <w:color w:val="auto"/>
          <w:sz w:val="21"/>
          <w:szCs w:val="21"/>
          <w:highlight w:val="none"/>
          <w:lang w:eastAsia="zh-CN"/>
        </w:rPr>
      </w:pPr>
      <w:r>
        <w:rPr>
          <w:rFonts w:hint="eastAsia" w:ascii="Times New Roman" w:hAnsi="Times New Roman" w:eastAsia="宋体" w:cs="Times New Roman"/>
          <w:b/>
          <w:bCs/>
          <w:color w:val="auto"/>
          <w:sz w:val="21"/>
          <w:szCs w:val="21"/>
          <w:highlight w:val="none"/>
          <w:lang w:val="en-US" w:eastAsia="zh-CN"/>
        </w:rPr>
        <w:t>十</w:t>
      </w:r>
      <w:r>
        <w:rPr>
          <w:rFonts w:hint="eastAsia" w:ascii="Times New Roman" w:hAnsi="Times New Roman" w:eastAsia="宋体" w:cs="Times New Roman"/>
          <w:b/>
          <w:bCs/>
          <w:color w:val="auto"/>
          <w:sz w:val="21"/>
          <w:szCs w:val="21"/>
          <w:highlight w:val="none"/>
          <w:lang w:eastAsia="zh-CN"/>
        </w:rPr>
        <w:t>、不可抗力事件处理</w:t>
      </w:r>
    </w:p>
    <w:p w14:paraId="61AE9FE3">
      <w:pPr>
        <w:widowControl/>
        <w:spacing w:line="336" w:lineRule="auto"/>
        <w:ind w:firstLine="480"/>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eastAsia="zh-CN"/>
        </w:rPr>
        <w:t>1</w:t>
      </w:r>
      <w:r>
        <w:rPr>
          <w:rFonts w:hint="eastAsia" w:ascii="Times New Roman" w:hAnsi="Times New Roman" w:eastAsia="宋体" w:cs="Times New Roman"/>
          <w:color w:val="auto"/>
          <w:sz w:val="21"/>
          <w:szCs w:val="21"/>
          <w:highlight w:val="none"/>
          <w:lang w:val="en-US" w:eastAsia="zh-CN"/>
        </w:rPr>
        <w:t>0</w:t>
      </w:r>
      <w:r>
        <w:rPr>
          <w:rFonts w:hint="eastAsia" w:ascii="Times New Roman" w:hAnsi="Times New Roman" w:eastAsia="宋体" w:cs="Times New Roman"/>
          <w:color w:val="auto"/>
          <w:sz w:val="21"/>
          <w:szCs w:val="21"/>
          <w:highlight w:val="none"/>
          <w:lang w:eastAsia="zh-CN"/>
        </w:rPr>
        <w:t>.1 在合同有效期内，任何一方因不可抗力事件导致不能履行合同，则合同履行期可延长，其延长期与不可抗力影响期相同。</w:t>
      </w:r>
    </w:p>
    <w:p w14:paraId="350156F8">
      <w:pPr>
        <w:widowControl/>
        <w:spacing w:line="336" w:lineRule="auto"/>
        <w:ind w:firstLine="480"/>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eastAsia="zh-CN"/>
        </w:rPr>
        <w:t>1</w:t>
      </w:r>
      <w:r>
        <w:rPr>
          <w:rFonts w:hint="eastAsia" w:ascii="Times New Roman" w:hAnsi="Times New Roman" w:eastAsia="宋体" w:cs="Times New Roman"/>
          <w:color w:val="auto"/>
          <w:sz w:val="21"/>
          <w:szCs w:val="21"/>
          <w:highlight w:val="none"/>
          <w:lang w:val="en-US" w:eastAsia="zh-CN"/>
        </w:rPr>
        <w:t>0</w:t>
      </w:r>
      <w:r>
        <w:rPr>
          <w:rFonts w:hint="eastAsia" w:ascii="Times New Roman" w:hAnsi="Times New Roman" w:eastAsia="宋体" w:cs="Times New Roman"/>
          <w:color w:val="auto"/>
          <w:sz w:val="21"/>
          <w:szCs w:val="21"/>
          <w:highlight w:val="none"/>
          <w:lang w:eastAsia="zh-CN"/>
        </w:rPr>
        <w:t>.2 不可抗力事件发生后，应立即通知对方，并寄送有关权威机构出具的证明。</w:t>
      </w:r>
    </w:p>
    <w:p w14:paraId="124E11CD">
      <w:pPr>
        <w:widowControl/>
        <w:spacing w:line="336" w:lineRule="auto"/>
        <w:ind w:firstLine="480"/>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eastAsia="zh-CN"/>
        </w:rPr>
        <w:t>1</w:t>
      </w:r>
      <w:r>
        <w:rPr>
          <w:rFonts w:hint="eastAsia" w:ascii="Times New Roman" w:hAnsi="Times New Roman" w:eastAsia="宋体" w:cs="Times New Roman"/>
          <w:color w:val="auto"/>
          <w:sz w:val="21"/>
          <w:szCs w:val="21"/>
          <w:highlight w:val="none"/>
          <w:lang w:val="en-US" w:eastAsia="zh-CN"/>
        </w:rPr>
        <w:t>0</w:t>
      </w:r>
      <w:r>
        <w:rPr>
          <w:rFonts w:hint="eastAsia" w:ascii="Times New Roman" w:hAnsi="Times New Roman" w:eastAsia="宋体" w:cs="Times New Roman"/>
          <w:color w:val="auto"/>
          <w:sz w:val="21"/>
          <w:szCs w:val="21"/>
          <w:highlight w:val="none"/>
          <w:lang w:eastAsia="zh-CN"/>
        </w:rPr>
        <w:t>.3 不可抗力事件延续120天以上，双方应通过友好协商，确定是否继续履行合同。</w:t>
      </w:r>
    </w:p>
    <w:p w14:paraId="4CB06D84">
      <w:pPr>
        <w:widowControl/>
        <w:spacing w:line="336" w:lineRule="auto"/>
        <w:ind w:firstLine="480"/>
        <w:rPr>
          <w:rFonts w:hint="eastAsia" w:ascii="Times New Roman" w:hAnsi="Times New Roman" w:eastAsia="宋体" w:cs="Times New Roman"/>
          <w:b/>
          <w:bCs/>
          <w:color w:val="auto"/>
          <w:sz w:val="21"/>
          <w:szCs w:val="21"/>
          <w:highlight w:val="none"/>
          <w:lang w:eastAsia="zh-CN"/>
        </w:rPr>
      </w:pPr>
      <w:r>
        <w:rPr>
          <w:rFonts w:hint="eastAsia" w:ascii="Times New Roman" w:hAnsi="Times New Roman" w:eastAsia="宋体" w:cs="Times New Roman"/>
          <w:b/>
          <w:bCs/>
          <w:color w:val="auto"/>
          <w:sz w:val="21"/>
          <w:szCs w:val="21"/>
          <w:highlight w:val="none"/>
          <w:lang w:eastAsia="zh-CN"/>
        </w:rPr>
        <w:t>十</w:t>
      </w:r>
      <w:r>
        <w:rPr>
          <w:rFonts w:hint="eastAsia" w:ascii="Times New Roman" w:hAnsi="Times New Roman" w:eastAsia="宋体" w:cs="Times New Roman"/>
          <w:b/>
          <w:bCs/>
          <w:color w:val="auto"/>
          <w:sz w:val="21"/>
          <w:szCs w:val="21"/>
          <w:highlight w:val="none"/>
          <w:lang w:val="en-US" w:eastAsia="zh-CN"/>
        </w:rPr>
        <w:t>一</w:t>
      </w:r>
      <w:r>
        <w:rPr>
          <w:rFonts w:hint="eastAsia" w:ascii="Times New Roman" w:hAnsi="Times New Roman" w:eastAsia="宋体" w:cs="Times New Roman"/>
          <w:b/>
          <w:bCs/>
          <w:color w:val="auto"/>
          <w:sz w:val="21"/>
          <w:szCs w:val="21"/>
          <w:highlight w:val="none"/>
          <w:lang w:eastAsia="zh-CN"/>
        </w:rPr>
        <w:t>、解决争议的方法</w:t>
      </w:r>
    </w:p>
    <w:p w14:paraId="4360C955">
      <w:pPr>
        <w:widowControl/>
        <w:spacing w:line="336" w:lineRule="auto"/>
        <w:ind w:firstLine="480"/>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eastAsia="zh-CN"/>
        </w:rPr>
        <w:t>1</w:t>
      </w:r>
      <w:r>
        <w:rPr>
          <w:rFonts w:hint="eastAsia" w:ascii="Times New Roman" w:hAnsi="Times New Roman" w:eastAsia="宋体" w:cs="Times New Roman"/>
          <w:color w:val="auto"/>
          <w:sz w:val="21"/>
          <w:szCs w:val="21"/>
          <w:highlight w:val="none"/>
          <w:lang w:val="en-US" w:eastAsia="zh-CN"/>
        </w:rPr>
        <w:t>1</w:t>
      </w:r>
      <w:r>
        <w:rPr>
          <w:rFonts w:hint="eastAsia" w:ascii="Times New Roman" w:hAnsi="Times New Roman" w:eastAsia="宋体" w:cs="Times New Roman"/>
          <w:color w:val="auto"/>
          <w:sz w:val="21"/>
          <w:szCs w:val="21"/>
          <w:highlight w:val="none"/>
          <w:lang w:eastAsia="zh-CN"/>
        </w:rPr>
        <w:t>.1双方在签订、履行合同中所发生的一切争议，应通过友好协商解决。如协商不成，由甲方住所地人民法院管辖。</w:t>
      </w:r>
    </w:p>
    <w:p w14:paraId="3BA22297">
      <w:pPr>
        <w:widowControl/>
        <w:spacing w:line="336" w:lineRule="auto"/>
        <w:ind w:firstLine="480"/>
        <w:rPr>
          <w:rFonts w:hint="eastAsia" w:ascii="Times New Roman" w:hAnsi="Times New Roman" w:eastAsia="宋体" w:cs="Times New Roman"/>
          <w:b/>
          <w:bCs/>
          <w:color w:val="auto"/>
          <w:sz w:val="21"/>
          <w:szCs w:val="21"/>
          <w:highlight w:val="none"/>
          <w:lang w:eastAsia="zh-CN"/>
        </w:rPr>
      </w:pPr>
      <w:r>
        <w:rPr>
          <w:rFonts w:hint="eastAsia" w:ascii="Times New Roman" w:hAnsi="Times New Roman" w:eastAsia="宋体" w:cs="Times New Roman"/>
          <w:b/>
          <w:bCs/>
          <w:color w:val="auto"/>
          <w:sz w:val="21"/>
          <w:szCs w:val="21"/>
          <w:highlight w:val="none"/>
          <w:lang w:eastAsia="zh-CN"/>
        </w:rPr>
        <w:t>十</w:t>
      </w:r>
      <w:r>
        <w:rPr>
          <w:rFonts w:hint="eastAsia" w:ascii="Times New Roman" w:hAnsi="Times New Roman" w:eastAsia="宋体" w:cs="Times New Roman"/>
          <w:b/>
          <w:bCs/>
          <w:color w:val="auto"/>
          <w:sz w:val="21"/>
          <w:szCs w:val="21"/>
          <w:highlight w:val="none"/>
          <w:lang w:val="en-US" w:eastAsia="zh-CN"/>
        </w:rPr>
        <w:t>二</w:t>
      </w:r>
      <w:r>
        <w:rPr>
          <w:rFonts w:hint="eastAsia" w:ascii="Times New Roman" w:hAnsi="Times New Roman" w:eastAsia="宋体" w:cs="Times New Roman"/>
          <w:b/>
          <w:bCs/>
          <w:color w:val="auto"/>
          <w:sz w:val="21"/>
          <w:szCs w:val="21"/>
          <w:highlight w:val="none"/>
          <w:lang w:eastAsia="zh-CN"/>
        </w:rPr>
        <w:t>、合同生效及其它</w:t>
      </w:r>
    </w:p>
    <w:p w14:paraId="6EBCB2E8">
      <w:pPr>
        <w:widowControl/>
        <w:spacing w:line="336" w:lineRule="auto"/>
        <w:ind w:firstLine="480"/>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eastAsia="zh-CN"/>
        </w:rPr>
        <w:t>1</w:t>
      </w:r>
      <w:r>
        <w:rPr>
          <w:rFonts w:hint="eastAsia" w:ascii="Times New Roman" w:hAnsi="Times New Roman" w:eastAsia="宋体" w:cs="Times New Roman"/>
          <w:color w:val="auto"/>
          <w:sz w:val="21"/>
          <w:szCs w:val="21"/>
          <w:highlight w:val="none"/>
          <w:lang w:val="en-US" w:eastAsia="zh-CN"/>
        </w:rPr>
        <w:t>2</w:t>
      </w:r>
      <w:r>
        <w:rPr>
          <w:rFonts w:hint="eastAsia" w:ascii="Times New Roman" w:hAnsi="Times New Roman" w:eastAsia="宋体" w:cs="Times New Roman"/>
          <w:color w:val="auto"/>
          <w:sz w:val="21"/>
          <w:szCs w:val="21"/>
          <w:highlight w:val="none"/>
          <w:lang w:eastAsia="zh-CN"/>
        </w:rPr>
        <w:t>.1 合同经双方法定代表人或授权代表签字并加盖单位公章后生效。</w:t>
      </w:r>
    </w:p>
    <w:p w14:paraId="0D455A15">
      <w:pPr>
        <w:widowControl/>
        <w:spacing w:line="336" w:lineRule="auto"/>
        <w:ind w:firstLine="480"/>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eastAsia="zh-CN"/>
        </w:rPr>
        <w:t>1</w:t>
      </w:r>
      <w:r>
        <w:rPr>
          <w:rFonts w:hint="eastAsia" w:ascii="Times New Roman" w:hAnsi="Times New Roman" w:eastAsia="宋体" w:cs="Times New Roman"/>
          <w:color w:val="auto"/>
          <w:sz w:val="21"/>
          <w:szCs w:val="21"/>
          <w:highlight w:val="none"/>
          <w:lang w:val="en-US" w:eastAsia="zh-CN"/>
        </w:rPr>
        <w:t>2</w:t>
      </w:r>
      <w:r>
        <w:rPr>
          <w:rFonts w:hint="eastAsia" w:ascii="Times New Roman" w:hAnsi="Times New Roman" w:eastAsia="宋体" w:cs="Times New Roman"/>
          <w:color w:val="auto"/>
          <w:sz w:val="21"/>
          <w:szCs w:val="21"/>
          <w:highlight w:val="none"/>
          <w:lang w:eastAsia="zh-CN"/>
        </w:rPr>
        <w:t>.2未经双方书面协商一致，乙方不得擅自变更收款账户信息，也不得转让债权；未经甲方书面同意的债权转让对甲方不发生法律效力，甲方仍有权按照合同约定账户支付费用。若乙方将对甲方的债权擅自转让给第三人，则乙方承担转让债权金额10%的违约金，同时甲方有权单方面解除本合同。第三人因债权转让起诉的，甲方因此次诉讼而产生的案件诉讼费、第三人主张的违约金、利息损失、律师费、保全费、保函费、鉴定费等均由乙方承担。</w:t>
      </w:r>
    </w:p>
    <w:p w14:paraId="0781962D">
      <w:pPr>
        <w:widowControl/>
        <w:spacing w:line="336" w:lineRule="auto"/>
        <w:ind w:firstLine="480"/>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eastAsia="zh-CN"/>
        </w:rPr>
        <w:t>1</w:t>
      </w:r>
      <w:r>
        <w:rPr>
          <w:rFonts w:hint="eastAsia" w:ascii="Times New Roman" w:hAnsi="Times New Roman" w:eastAsia="宋体" w:cs="Times New Roman"/>
          <w:color w:val="auto"/>
          <w:sz w:val="21"/>
          <w:szCs w:val="21"/>
          <w:highlight w:val="none"/>
          <w:lang w:val="en-US" w:eastAsia="zh-CN"/>
        </w:rPr>
        <w:t>2</w:t>
      </w:r>
      <w:r>
        <w:rPr>
          <w:rFonts w:hint="eastAsia" w:ascii="Times New Roman" w:hAnsi="Times New Roman" w:eastAsia="宋体" w:cs="Times New Roman"/>
          <w:color w:val="auto"/>
          <w:sz w:val="21"/>
          <w:szCs w:val="21"/>
          <w:highlight w:val="none"/>
          <w:lang w:eastAsia="zh-CN"/>
        </w:rPr>
        <w:t>.3本合同未尽事宜，</w:t>
      </w:r>
      <w:r>
        <w:rPr>
          <w:rFonts w:hint="eastAsia" w:ascii="Times New Roman" w:hAnsi="Times New Roman" w:eastAsia="宋体" w:cs="Times New Roman"/>
          <w:color w:val="auto"/>
          <w:sz w:val="21"/>
          <w:szCs w:val="21"/>
          <w:highlight w:val="none"/>
          <w:lang w:val="en-US" w:eastAsia="zh-CN"/>
        </w:rPr>
        <w:t>由双方友好协商并</w:t>
      </w:r>
      <w:r>
        <w:rPr>
          <w:rFonts w:hint="eastAsia" w:ascii="Times New Roman" w:hAnsi="Times New Roman" w:eastAsia="宋体" w:cs="Times New Roman"/>
          <w:color w:val="auto"/>
          <w:sz w:val="21"/>
          <w:szCs w:val="21"/>
          <w:highlight w:val="none"/>
          <w:lang w:eastAsia="zh-CN"/>
        </w:rPr>
        <w:t>遵照中华人民共和国现行法律法规有关条文执行。</w:t>
      </w:r>
    </w:p>
    <w:p w14:paraId="133F440A">
      <w:pPr>
        <w:widowControl/>
        <w:spacing w:line="336" w:lineRule="auto"/>
        <w:ind w:firstLine="480"/>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eastAsia="zh-CN"/>
        </w:rPr>
        <w:t>1</w:t>
      </w:r>
      <w:r>
        <w:rPr>
          <w:rFonts w:hint="eastAsia" w:ascii="Times New Roman" w:hAnsi="Times New Roman" w:eastAsia="宋体" w:cs="Times New Roman"/>
          <w:color w:val="auto"/>
          <w:sz w:val="21"/>
          <w:szCs w:val="21"/>
          <w:highlight w:val="none"/>
          <w:lang w:val="en-US" w:eastAsia="zh-CN"/>
        </w:rPr>
        <w:t>2</w:t>
      </w:r>
      <w:r>
        <w:rPr>
          <w:rFonts w:hint="eastAsia" w:ascii="Times New Roman" w:hAnsi="Times New Roman" w:eastAsia="宋体" w:cs="Times New Roman"/>
          <w:color w:val="auto"/>
          <w:sz w:val="21"/>
          <w:szCs w:val="21"/>
          <w:highlight w:val="none"/>
          <w:lang w:eastAsia="zh-CN"/>
        </w:rPr>
        <w:t>.4 本合同正本一式</w:t>
      </w:r>
      <w:r>
        <w:rPr>
          <w:rFonts w:hint="eastAsia" w:ascii="Times New Roman" w:hAnsi="Times New Roman" w:eastAsia="宋体" w:cs="Times New Roman"/>
          <w:color w:val="auto"/>
          <w:sz w:val="21"/>
          <w:szCs w:val="21"/>
          <w:highlight w:val="none"/>
          <w:lang w:val="en-US" w:eastAsia="zh-CN"/>
        </w:rPr>
        <w:t>肆</w:t>
      </w:r>
      <w:r>
        <w:rPr>
          <w:rFonts w:hint="eastAsia" w:ascii="Times New Roman" w:hAnsi="Times New Roman" w:eastAsia="宋体" w:cs="Times New Roman"/>
          <w:color w:val="auto"/>
          <w:sz w:val="21"/>
          <w:szCs w:val="21"/>
          <w:highlight w:val="none"/>
          <w:lang w:eastAsia="zh-CN"/>
        </w:rPr>
        <w:t>份，具有同等法律效力，甲方、乙方各执</w:t>
      </w:r>
      <w:r>
        <w:rPr>
          <w:rFonts w:hint="eastAsia" w:ascii="Times New Roman" w:hAnsi="Times New Roman" w:eastAsia="宋体" w:cs="Times New Roman"/>
          <w:color w:val="auto"/>
          <w:sz w:val="21"/>
          <w:szCs w:val="21"/>
          <w:highlight w:val="none"/>
          <w:lang w:val="en-US" w:eastAsia="zh-CN"/>
        </w:rPr>
        <w:t>贰</w:t>
      </w:r>
      <w:r>
        <w:rPr>
          <w:rFonts w:hint="eastAsia" w:ascii="Times New Roman" w:hAnsi="Times New Roman" w:eastAsia="宋体" w:cs="Times New Roman"/>
          <w:color w:val="auto"/>
          <w:sz w:val="21"/>
          <w:szCs w:val="21"/>
          <w:highlight w:val="none"/>
          <w:lang w:eastAsia="zh-CN"/>
        </w:rPr>
        <w:t>份。</w:t>
      </w:r>
    </w:p>
    <w:p w14:paraId="665E7E42">
      <w:pPr>
        <w:widowControl/>
        <w:spacing w:line="336" w:lineRule="auto"/>
        <w:ind w:firstLine="480"/>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eastAsia="zh-CN"/>
        </w:rPr>
        <w:t>1</w:t>
      </w:r>
      <w:r>
        <w:rPr>
          <w:rFonts w:hint="eastAsia" w:ascii="Times New Roman" w:hAnsi="Times New Roman" w:eastAsia="宋体" w:cs="Times New Roman"/>
          <w:color w:val="auto"/>
          <w:sz w:val="21"/>
          <w:szCs w:val="21"/>
          <w:highlight w:val="none"/>
          <w:lang w:val="en-US" w:eastAsia="zh-CN"/>
        </w:rPr>
        <w:t>2</w:t>
      </w:r>
      <w:r>
        <w:rPr>
          <w:rFonts w:hint="eastAsia" w:ascii="Times New Roman" w:hAnsi="Times New Roman" w:eastAsia="宋体" w:cs="Times New Roman"/>
          <w:color w:val="auto"/>
          <w:sz w:val="21"/>
          <w:szCs w:val="21"/>
          <w:highlight w:val="none"/>
          <w:lang w:eastAsia="zh-CN"/>
        </w:rPr>
        <w:t>.5 进场前乙方应配合甲方对所有人员进行背景审查。</w:t>
      </w:r>
    </w:p>
    <w:p w14:paraId="7C9F343A">
      <w:pPr>
        <w:widowControl/>
        <w:spacing w:line="336" w:lineRule="auto"/>
        <w:ind w:firstLine="480"/>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eastAsia="zh-CN"/>
        </w:rPr>
        <w:t>1</w:t>
      </w:r>
      <w:r>
        <w:rPr>
          <w:rFonts w:hint="eastAsia" w:ascii="Times New Roman" w:hAnsi="Times New Roman" w:eastAsia="宋体" w:cs="Times New Roman"/>
          <w:color w:val="auto"/>
          <w:sz w:val="21"/>
          <w:szCs w:val="21"/>
          <w:highlight w:val="none"/>
          <w:lang w:val="en-US" w:eastAsia="zh-CN"/>
        </w:rPr>
        <w:t>2</w:t>
      </w:r>
      <w:r>
        <w:rPr>
          <w:rFonts w:hint="eastAsia" w:ascii="Times New Roman" w:hAnsi="Times New Roman" w:eastAsia="宋体" w:cs="Times New Roman"/>
          <w:color w:val="auto"/>
          <w:sz w:val="21"/>
          <w:szCs w:val="21"/>
          <w:highlight w:val="none"/>
          <w:lang w:eastAsia="zh-CN"/>
        </w:rPr>
        <w:t>.6 如发生安全事故由乙方承担全部责任。</w:t>
      </w:r>
    </w:p>
    <w:p w14:paraId="0ED3A50C">
      <w:pPr>
        <w:widowControl/>
        <w:spacing w:line="336" w:lineRule="auto"/>
        <w:ind w:firstLine="480"/>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eastAsia="zh-CN"/>
        </w:rPr>
        <w:t xml:space="preserve">  </w:t>
      </w:r>
    </w:p>
    <w:p w14:paraId="6F71F25D">
      <w:pPr>
        <w:widowControl/>
        <w:spacing w:line="336" w:lineRule="auto"/>
        <w:ind w:firstLine="420" w:firstLineChars="200"/>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eastAsia="zh-CN"/>
        </w:rPr>
        <w:t xml:space="preserve">甲方：                       </w:t>
      </w:r>
      <w:r>
        <w:rPr>
          <w:rFonts w:hint="eastAsia" w:ascii="Times New Roman" w:hAnsi="Times New Roman" w:eastAsia="宋体" w:cs="Times New Roman"/>
          <w:color w:val="auto"/>
          <w:sz w:val="21"/>
          <w:szCs w:val="21"/>
          <w:highlight w:val="none"/>
          <w:lang w:val="en-US" w:eastAsia="zh-CN"/>
        </w:rPr>
        <w:t xml:space="preserve">           </w:t>
      </w:r>
      <w:r>
        <w:rPr>
          <w:rFonts w:hint="eastAsia" w:ascii="Times New Roman" w:hAnsi="Times New Roman" w:eastAsia="宋体" w:cs="Times New Roman"/>
          <w:color w:val="auto"/>
          <w:sz w:val="21"/>
          <w:szCs w:val="21"/>
          <w:highlight w:val="none"/>
          <w:lang w:eastAsia="zh-CN"/>
        </w:rPr>
        <w:t xml:space="preserve"> 乙方： </w:t>
      </w:r>
    </w:p>
    <w:p w14:paraId="58403AF5">
      <w:pPr>
        <w:widowControl/>
        <w:spacing w:line="336" w:lineRule="auto"/>
        <w:ind w:firstLine="420" w:firstLineChars="200"/>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eastAsia="zh-CN"/>
        </w:rPr>
        <w:t xml:space="preserve">地址：                        </w:t>
      </w:r>
      <w:r>
        <w:rPr>
          <w:rFonts w:hint="eastAsia" w:ascii="Times New Roman" w:hAnsi="Times New Roman" w:eastAsia="宋体" w:cs="Times New Roman"/>
          <w:color w:val="auto"/>
          <w:sz w:val="21"/>
          <w:szCs w:val="21"/>
          <w:highlight w:val="none"/>
          <w:lang w:val="en-US" w:eastAsia="zh-CN"/>
        </w:rPr>
        <w:t xml:space="preserve">           </w:t>
      </w:r>
      <w:r>
        <w:rPr>
          <w:rFonts w:hint="eastAsia" w:ascii="Times New Roman" w:hAnsi="Times New Roman" w:eastAsia="宋体" w:cs="Times New Roman"/>
          <w:color w:val="auto"/>
          <w:sz w:val="21"/>
          <w:szCs w:val="21"/>
          <w:highlight w:val="none"/>
          <w:lang w:eastAsia="zh-CN"/>
        </w:rPr>
        <w:t xml:space="preserve">地址： </w:t>
      </w:r>
    </w:p>
    <w:p w14:paraId="59372360">
      <w:pPr>
        <w:widowControl/>
        <w:spacing w:line="336" w:lineRule="auto"/>
        <w:ind w:firstLine="420" w:firstLineChars="200"/>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eastAsia="zh-CN"/>
        </w:rPr>
        <w:t xml:space="preserve">法定代表人或授权代表：        </w:t>
      </w:r>
      <w:r>
        <w:rPr>
          <w:rFonts w:hint="eastAsia" w:ascii="Times New Roman" w:hAnsi="Times New Roman" w:eastAsia="宋体" w:cs="Times New Roman"/>
          <w:color w:val="auto"/>
          <w:sz w:val="21"/>
          <w:szCs w:val="21"/>
          <w:highlight w:val="none"/>
          <w:lang w:val="en-US" w:eastAsia="zh-CN"/>
        </w:rPr>
        <w:t xml:space="preserve">           </w:t>
      </w:r>
      <w:r>
        <w:rPr>
          <w:rFonts w:hint="eastAsia" w:ascii="Times New Roman" w:hAnsi="Times New Roman" w:eastAsia="宋体" w:cs="Times New Roman"/>
          <w:color w:val="auto"/>
          <w:sz w:val="21"/>
          <w:szCs w:val="21"/>
          <w:highlight w:val="none"/>
          <w:lang w:eastAsia="zh-CN"/>
        </w:rPr>
        <w:t>法定代表人或授权代表：</w:t>
      </w:r>
    </w:p>
    <w:p w14:paraId="4475970F">
      <w:pPr>
        <w:widowControl/>
        <w:spacing w:line="336" w:lineRule="auto"/>
        <w:ind w:firstLine="420" w:firstLineChars="200"/>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eastAsia="zh-CN"/>
        </w:rPr>
        <w:t xml:space="preserve">联系电话：                    </w:t>
      </w:r>
      <w:r>
        <w:rPr>
          <w:rFonts w:hint="eastAsia" w:ascii="Times New Roman" w:hAnsi="Times New Roman" w:eastAsia="宋体" w:cs="Times New Roman"/>
          <w:color w:val="auto"/>
          <w:sz w:val="21"/>
          <w:szCs w:val="21"/>
          <w:highlight w:val="none"/>
          <w:lang w:val="en-US" w:eastAsia="zh-CN"/>
        </w:rPr>
        <w:t xml:space="preserve">           </w:t>
      </w:r>
      <w:r>
        <w:rPr>
          <w:rFonts w:hint="eastAsia" w:ascii="Times New Roman" w:hAnsi="Times New Roman" w:eastAsia="宋体" w:cs="Times New Roman"/>
          <w:color w:val="auto"/>
          <w:sz w:val="21"/>
          <w:szCs w:val="21"/>
          <w:highlight w:val="none"/>
          <w:lang w:eastAsia="zh-CN"/>
        </w:rPr>
        <w:t xml:space="preserve">联系电话：          </w:t>
      </w:r>
    </w:p>
    <w:p w14:paraId="66E73179">
      <w:pPr>
        <w:widowControl/>
        <w:spacing w:line="336" w:lineRule="auto"/>
        <w:ind w:firstLine="480"/>
        <w:jc w:val="right"/>
        <w:rPr>
          <w:rFonts w:hint="eastAsia" w:ascii="Times New Roman" w:hAnsi="Times New Roman" w:eastAsia="宋体" w:cs="Times New Roman"/>
          <w:color w:val="auto"/>
          <w:sz w:val="21"/>
          <w:szCs w:val="21"/>
          <w:highlight w:val="none"/>
          <w:lang w:eastAsia="zh-CN"/>
        </w:rPr>
      </w:pPr>
    </w:p>
    <w:p w14:paraId="38B6E137">
      <w:pPr>
        <w:widowControl/>
        <w:spacing w:line="336" w:lineRule="auto"/>
        <w:ind w:firstLine="480"/>
        <w:jc w:val="right"/>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eastAsia="zh-CN"/>
        </w:rPr>
        <w:t>签订日期：      年    月   日</w:t>
      </w:r>
    </w:p>
    <w:p w14:paraId="24905453">
      <w:pPr>
        <w:rPr>
          <w:rFonts w:hint="eastAsia" w:cs="宋体"/>
          <w:color w:val="auto"/>
          <w:sz w:val="21"/>
          <w:szCs w:val="21"/>
          <w:highlight w:val="none"/>
          <w:lang w:val="en-US" w:eastAsia="zh-CN"/>
        </w:rPr>
      </w:pPr>
      <w:r>
        <w:rPr>
          <w:rFonts w:hint="eastAsia" w:cs="宋体"/>
          <w:color w:val="auto"/>
          <w:sz w:val="21"/>
          <w:szCs w:val="21"/>
          <w:highlight w:val="none"/>
          <w:lang w:val="en-US" w:eastAsia="zh-CN"/>
        </w:rPr>
        <w:br w:type="page"/>
      </w:r>
    </w:p>
    <w:p w14:paraId="44117EEB">
      <w:pPr>
        <w:pStyle w:val="23"/>
        <w:ind w:left="0" w:firstLine="0"/>
        <w:rPr>
          <w:rFonts w:hint="default" w:cs="宋体"/>
          <w:b/>
          <w:bCs/>
          <w:color w:val="auto"/>
          <w:sz w:val="21"/>
          <w:szCs w:val="21"/>
          <w:highlight w:val="none"/>
          <w:lang w:val="en-US" w:eastAsia="zh-CN"/>
        </w:rPr>
      </w:pPr>
      <w:r>
        <w:rPr>
          <w:rFonts w:hint="eastAsia" w:cs="宋体"/>
          <w:b/>
          <w:bCs/>
          <w:color w:val="auto"/>
          <w:sz w:val="21"/>
          <w:szCs w:val="21"/>
          <w:highlight w:val="none"/>
          <w:lang w:val="en-US" w:eastAsia="zh-CN"/>
        </w:rPr>
        <w:t>附件一、2026年度功模代表休养活动满意度反馈表</w:t>
      </w:r>
    </w:p>
    <w:tbl>
      <w:tblPr>
        <w:tblStyle w:val="454"/>
        <w:tblW w:w="506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619"/>
        <w:gridCol w:w="4694"/>
        <w:gridCol w:w="1141"/>
        <w:gridCol w:w="1141"/>
        <w:gridCol w:w="1141"/>
        <w:gridCol w:w="1151"/>
      </w:tblGrid>
      <w:tr w14:paraId="46B541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5" w:hRule="atLeast"/>
        </w:trPr>
        <w:tc>
          <w:tcPr>
            <w:tcW w:w="5000" w:type="pct"/>
            <w:gridSpan w:val="6"/>
            <w:noWrap w:val="0"/>
            <w:vAlign w:val="center"/>
          </w:tcPr>
          <w:p w14:paraId="2A462142">
            <w:pPr>
              <w:keepNext w:val="0"/>
              <w:keepLines w:val="0"/>
              <w:pageBreakBefore w:val="0"/>
              <w:widowControl w:val="0"/>
              <w:spacing w:line="240" w:lineRule="auto"/>
              <w:ind w:left="0" w:right="0" w:firstLine="0"/>
              <w:jc w:val="center"/>
              <w:rPr>
                <w:rFonts w:hint="eastAsia" w:ascii="宋体" w:hAnsi="宋体" w:eastAsia="宋体" w:cs="宋体"/>
                <w:color w:val="auto"/>
                <w:spacing w:val="0"/>
                <w:sz w:val="21"/>
                <w:szCs w:val="21"/>
                <w:highlight w:val="none"/>
              </w:rPr>
            </w:pPr>
            <w:r>
              <w:rPr>
                <w:rFonts w:hint="eastAsia" w:ascii="宋体" w:hAnsi="宋体" w:eastAsia="宋体" w:cs="宋体"/>
                <w:b/>
                <w:bCs/>
                <w:color w:val="auto"/>
                <w:spacing w:val="0"/>
                <w:sz w:val="21"/>
                <w:szCs w:val="21"/>
                <w:highlight w:val="none"/>
              </w:rPr>
              <w:t>2026年度功模代表休养活动满意度反馈表</w:t>
            </w:r>
          </w:p>
        </w:tc>
      </w:tr>
      <w:tr w14:paraId="12EACA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9" w:hRule="atLeast"/>
        </w:trPr>
        <w:tc>
          <w:tcPr>
            <w:tcW w:w="5000" w:type="pct"/>
            <w:gridSpan w:val="6"/>
            <w:noWrap w:val="0"/>
            <w:vAlign w:val="center"/>
          </w:tcPr>
          <w:p w14:paraId="36143729">
            <w:pPr>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感谢您对旅行社的服务情况进行评分反馈。希望您能认真、详实地填写。同时为耽误您的宝贵时间表示歉意。</w:t>
            </w:r>
          </w:p>
        </w:tc>
      </w:tr>
      <w:tr w14:paraId="2CBA15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5000" w:type="pct"/>
            <w:gridSpan w:val="6"/>
            <w:noWrap w:val="0"/>
            <w:vAlign w:val="center"/>
          </w:tcPr>
          <w:p w14:paraId="1D8CC01E">
            <w:pPr>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为您服务的旅行社名称：               </w:t>
            </w:r>
            <w:r>
              <w:rPr>
                <w:rFonts w:hint="eastAsia" w:ascii="宋体" w:hAnsi="宋体" w:eastAsia="宋体" w:cs="宋体"/>
                <w:color w:val="auto"/>
                <w:spacing w:val="0"/>
                <w:sz w:val="21"/>
                <w:szCs w:val="21"/>
                <w:highlight w:val="none"/>
                <w:lang w:val="en-US" w:eastAsia="zh-CN"/>
              </w:rPr>
              <w:t xml:space="preserve">         </w:t>
            </w:r>
            <w:r>
              <w:rPr>
                <w:rFonts w:hint="eastAsia" w:ascii="宋体" w:hAnsi="宋体" w:eastAsia="宋体" w:cs="宋体"/>
                <w:color w:val="auto"/>
                <w:spacing w:val="0"/>
                <w:sz w:val="21"/>
                <w:szCs w:val="21"/>
                <w:highlight w:val="none"/>
                <w:u w:val="none"/>
              </w:rPr>
              <w:t>休养线路：</w:t>
            </w:r>
          </w:p>
        </w:tc>
      </w:tr>
      <w:tr w14:paraId="2B02EA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0" w:hRule="atLeast"/>
        </w:trPr>
        <w:tc>
          <w:tcPr>
            <w:tcW w:w="5000" w:type="pct"/>
            <w:gridSpan w:val="6"/>
            <w:noWrap w:val="0"/>
            <w:vAlign w:val="center"/>
          </w:tcPr>
          <w:p w14:paraId="1F753F7D">
            <w:pPr>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请根据您的实际感受对以下各项进行评分：</w:t>
            </w:r>
          </w:p>
        </w:tc>
      </w:tr>
      <w:tr w14:paraId="1FD371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9" w:hRule="atLeast"/>
        </w:trPr>
        <w:tc>
          <w:tcPr>
            <w:tcW w:w="2687" w:type="pct"/>
            <w:gridSpan w:val="2"/>
            <w:vMerge w:val="restart"/>
            <w:noWrap w:val="0"/>
            <w:vAlign w:val="center"/>
          </w:tcPr>
          <w:p w14:paraId="082BE3D8">
            <w:pPr>
              <w:keepNext w:val="0"/>
              <w:keepLines w:val="0"/>
              <w:pageBreakBefore w:val="0"/>
              <w:widowControl w:val="0"/>
              <w:spacing w:line="240" w:lineRule="auto"/>
              <w:ind w:left="0" w:right="0" w:firstLine="0"/>
              <w:jc w:val="center"/>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评价内容</w:t>
            </w:r>
          </w:p>
        </w:tc>
        <w:tc>
          <w:tcPr>
            <w:tcW w:w="2312" w:type="pct"/>
            <w:gridSpan w:val="4"/>
            <w:noWrap w:val="0"/>
            <w:vAlign w:val="center"/>
          </w:tcPr>
          <w:p w14:paraId="19134D2D">
            <w:pPr>
              <w:keepNext w:val="0"/>
              <w:keepLines w:val="0"/>
              <w:pageBreakBefore w:val="0"/>
              <w:widowControl w:val="0"/>
              <w:spacing w:line="240" w:lineRule="auto"/>
              <w:ind w:left="0" w:right="0" w:firstLine="0"/>
              <w:jc w:val="center"/>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满意度评分(0-100分)</w:t>
            </w:r>
          </w:p>
        </w:tc>
      </w:tr>
      <w:tr w14:paraId="444731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2687" w:type="pct"/>
            <w:gridSpan w:val="2"/>
            <w:vMerge w:val="continue"/>
            <w:noWrap w:val="0"/>
            <w:vAlign w:val="center"/>
          </w:tcPr>
          <w:p w14:paraId="3FD6EBB1">
            <w:pPr>
              <w:pStyle w:val="455"/>
              <w:keepNext w:val="0"/>
              <w:keepLines w:val="0"/>
              <w:pageBreakBefore w:val="0"/>
              <w:widowControl w:val="0"/>
              <w:spacing w:line="240" w:lineRule="auto"/>
              <w:ind w:left="0" w:right="0" w:firstLine="0"/>
              <w:jc w:val="center"/>
              <w:rPr>
                <w:rFonts w:hint="eastAsia" w:ascii="宋体" w:hAnsi="宋体" w:eastAsia="宋体" w:cs="宋体"/>
                <w:color w:val="auto"/>
                <w:spacing w:val="0"/>
                <w:sz w:val="21"/>
                <w:szCs w:val="21"/>
                <w:highlight w:val="none"/>
              </w:rPr>
            </w:pPr>
          </w:p>
        </w:tc>
        <w:tc>
          <w:tcPr>
            <w:tcW w:w="577" w:type="pct"/>
            <w:noWrap w:val="0"/>
            <w:vAlign w:val="center"/>
          </w:tcPr>
          <w:p w14:paraId="19FEA834">
            <w:pPr>
              <w:keepNext w:val="0"/>
              <w:keepLines w:val="0"/>
              <w:pageBreakBefore w:val="0"/>
              <w:widowControl w:val="0"/>
              <w:spacing w:line="240" w:lineRule="auto"/>
              <w:ind w:left="0" w:right="0" w:firstLine="0"/>
              <w:jc w:val="center"/>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非常满意</w:t>
            </w:r>
          </w:p>
        </w:tc>
        <w:tc>
          <w:tcPr>
            <w:tcW w:w="577" w:type="pct"/>
            <w:noWrap w:val="0"/>
            <w:vAlign w:val="center"/>
          </w:tcPr>
          <w:p w14:paraId="3B7629CC">
            <w:pPr>
              <w:keepNext w:val="0"/>
              <w:keepLines w:val="0"/>
              <w:pageBreakBefore w:val="0"/>
              <w:widowControl w:val="0"/>
              <w:spacing w:line="240" w:lineRule="auto"/>
              <w:ind w:left="0" w:right="0" w:firstLine="0"/>
              <w:jc w:val="center"/>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满意</w:t>
            </w:r>
          </w:p>
        </w:tc>
        <w:tc>
          <w:tcPr>
            <w:tcW w:w="577" w:type="pct"/>
            <w:noWrap w:val="0"/>
            <w:vAlign w:val="center"/>
          </w:tcPr>
          <w:p w14:paraId="49086408">
            <w:pPr>
              <w:keepNext w:val="0"/>
              <w:keepLines w:val="0"/>
              <w:pageBreakBefore w:val="0"/>
              <w:widowControl w:val="0"/>
              <w:spacing w:line="240" w:lineRule="auto"/>
              <w:ind w:left="0" w:right="0" w:firstLine="0"/>
              <w:jc w:val="center"/>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一般</w:t>
            </w:r>
          </w:p>
        </w:tc>
        <w:tc>
          <w:tcPr>
            <w:tcW w:w="581" w:type="pct"/>
            <w:noWrap w:val="0"/>
            <w:vAlign w:val="center"/>
          </w:tcPr>
          <w:p w14:paraId="4F7E5823">
            <w:pPr>
              <w:keepNext w:val="0"/>
              <w:keepLines w:val="0"/>
              <w:pageBreakBefore w:val="0"/>
              <w:widowControl w:val="0"/>
              <w:spacing w:line="240" w:lineRule="auto"/>
              <w:ind w:left="0" w:right="0" w:firstLine="0"/>
              <w:jc w:val="center"/>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不满意</w:t>
            </w:r>
          </w:p>
        </w:tc>
      </w:tr>
      <w:tr w14:paraId="738067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trPr>
        <w:tc>
          <w:tcPr>
            <w:tcW w:w="2687" w:type="pct"/>
            <w:gridSpan w:val="2"/>
            <w:noWrap w:val="0"/>
            <w:vAlign w:val="center"/>
          </w:tcPr>
          <w:p w14:paraId="55A4C4DE">
            <w:pPr>
              <w:keepNext w:val="0"/>
              <w:keepLines w:val="0"/>
              <w:pageBreakBefore w:val="0"/>
              <w:widowControl w:val="0"/>
              <w:spacing w:line="240" w:lineRule="auto"/>
              <w:ind w:left="0" w:right="0" w:firstLine="0"/>
              <w:jc w:val="center"/>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分值</w:t>
            </w:r>
          </w:p>
        </w:tc>
        <w:tc>
          <w:tcPr>
            <w:tcW w:w="577" w:type="pct"/>
            <w:noWrap w:val="0"/>
            <w:vAlign w:val="center"/>
          </w:tcPr>
          <w:p w14:paraId="43578E2E">
            <w:pPr>
              <w:keepNext w:val="0"/>
              <w:keepLines w:val="0"/>
              <w:pageBreakBefore w:val="0"/>
              <w:widowControl w:val="0"/>
              <w:spacing w:line="240" w:lineRule="auto"/>
              <w:ind w:left="0" w:right="0" w:firstLine="0"/>
              <w:jc w:val="center"/>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5</w:t>
            </w:r>
          </w:p>
        </w:tc>
        <w:tc>
          <w:tcPr>
            <w:tcW w:w="577" w:type="pct"/>
            <w:noWrap w:val="0"/>
            <w:vAlign w:val="center"/>
          </w:tcPr>
          <w:p w14:paraId="368D688F">
            <w:pPr>
              <w:keepNext w:val="0"/>
              <w:keepLines w:val="0"/>
              <w:pageBreakBefore w:val="0"/>
              <w:widowControl w:val="0"/>
              <w:spacing w:line="240" w:lineRule="auto"/>
              <w:ind w:left="0" w:right="0" w:firstLine="0"/>
              <w:jc w:val="center"/>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4</w:t>
            </w:r>
          </w:p>
        </w:tc>
        <w:tc>
          <w:tcPr>
            <w:tcW w:w="577" w:type="pct"/>
            <w:noWrap w:val="0"/>
            <w:vAlign w:val="center"/>
          </w:tcPr>
          <w:p w14:paraId="07DB1EF0">
            <w:pPr>
              <w:keepNext w:val="0"/>
              <w:keepLines w:val="0"/>
              <w:pageBreakBefore w:val="0"/>
              <w:widowControl w:val="0"/>
              <w:spacing w:line="240" w:lineRule="auto"/>
              <w:ind w:left="0" w:right="0" w:firstLine="0"/>
              <w:jc w:val="center"/>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3</w:t>
            </w:r>
          </w:p>
        </w:tc>
        <w:tc>
          <w:tcPr>
            <w:tcW w:w="581" w:type="pct"/>
            <w:noWrap w:val="0"/>
            <w:vAlign w:val="center"/>
          </w:tcPr>
          <w:p w14:paraId="2B3F32D7">
            <w:pPr>
              <w:keepNext w:val="0"/>
              <w:keepLines w:val="0"/>
              <w:pageBreakBefore w:val="0"/>
              <w:widowControl w:val="0"/>
              <w:spacing w:line="240" w:lineRule="auto"/>
              <w:ind w:left="0" w:right="0" w:firstLine="0"/>
              <w:jc w:val="center"/>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0</w:t>
            </w:r>
          </w:p>
        </w:tc>
      </w:tr>
      <w:tr w14:paraId="122841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trPr>
        <w:tc>
          <w:tcPr>
            <w:tcW w:w="313" w:type="pct"/>
            <w:vMerge w:val="restart"/>
            <w:noWrap w:val="0"/>
            <w:vAlign w:val="center"/>
          </w:tcPr>
          <w:p w14:paraId="428B65F6">
            <w:pPr>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交通 安排</w:t>
            </w:r>
          </w:p>
        </w:tc>
        <w:tc>
          <w:tcPr>
            <w:tcW w:w="2373" w:type="pct"/>
            <w:noWrap w:val="0"/>
            <w:vAlign w:val="center"/>
          </w:tcPr>
          <w:p w14:paraId="486A5929">
            <w:pPr>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车况及性能</w:t>
            </w:r>
          </w:p>
        </w:tc>
        <w:tc>
          <w:tcPr>
            <w:tcW w:w="577" w:type="pct"/>
            <w:noWrap w:val="0"/>
            <w:vAlign w:val="center"/>
          </w:tcPr>
          <w:p w14:paraId="40027061">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577" w:type="pct"/>
            <w:noWrap w:val="0"/>
            <w:vAlign w:val="center"/>
          </w:tcPr>
          <w:p w14:paraId="20174A3C">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577" w:type="pct"/>
            <w:noWrap w:val="0"/>
            <w:vAlign w:val="center"/>
          </w:tcPr>
          <w:p w14:paraId="64AD12F5">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581" w:type="pct"/>
            <w:noWrap w:val="0"/>
            <w:vAlign w:val="center"/>
          </w:tcPr>
          <w:p w14:paraId="34736C9D">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r>
      <w:tr w14:paraId="00E382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trPr>
        <w:tc>
          <w:tcPr>
            <w:tcW w:w="313" w:type="pct"/>
            <w:vMerge w:val="continue"/>
            <w:noWrap w:val="0"/>
            <w:vAlign w:val="center"/>
          </w:tcPr>
          <w:p w14:paraId="1A1FE53A">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2373" w:type="pct"/>
            <w:noWrap w:val="0"/>
            <w:vAlign w:val="center"/>
          </w:tcPr>
          <w:p w14:paraId="45F9FAFF">
            <w:pPr>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到点准时</w:t>
            </w:r>
          </w:p>
        </w:tc>
        <w:tc>
          <w:tcPr>
            <w:tcW w:w="577" w:type="pct"/>
            <w:noWrap w:val="0"/>
            <w:vAlign w:val="center"/>
          </w:tcPr>
          <w:p w14:paraId="68BF057C">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577" w:type="pct"/>
            <w:noWrap w:val="0"/>
            <w:vAlign w:val="center"/>
          </w:tcPr>
          <w:p w14:paraId="0C810E01">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577" w:type="pct"/>
            <w:noWrap w:val="0"/>
            <w:vAlign w:val="center"/>
          </w:tcPr>
          <w:p w14:paraId="08F7E9EF">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581" w:type="pct"/>
            <w:noWrap w:val="0"/>
            <w:vAlign w:val="center"/>
          </w:tcPr>
          <w:p w14:paraId="7C7C19C5">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r>
      <w:tr w14:paraId="5987B1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trPr>
        <w:tc>
          <w:tcPr>
            <w:tcW w:w="313" w:type="pct"/>
            <w:vMerge w:val="continue"/>
            <w:noWrap w:val="0"/>
            <w:vAlign w:val="center"/>
          </w:tcPr>
          <w:p w14:paraId="3B968389">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2373" w:type="pct"/>
            <w:noWrap w:val="0"/>
            <w:vAlign w:val="center"/>
          </w:tcPr>
          <w:p w14:paraId="65B5FE06">
            <w:pPr>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司机态度及技术</w:t>
            </w:r>
          </w:p>
        </w:tc>
        <w:tc>
          <w:tcPr>
            <w:tcW w:w="577" w:type="pct"/>
            <w:noWrap w:val="0"/>
            <w:vAlign w:val="center"/>
          </w:tcPr>
          <w:p w14:paraId="104896B0">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577" w:type="pct"/>
            <w:noWrap w:val="0"/>
            <w:vAlign w:val="center"/>
          </w:tcPr>
          <w:p w14:paraId="5A423AA9">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577" w:type="pct"/>
            <w:noWrap w:val="0"/>
            <w:vAlign w:val="center"/>
          </w:tcPr>
          <w:p w14:paraId="4293228F">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581" w:type="pct"/>
            <w:noWrap w:val="0"/>
            <w:vAlign w:val="center"/>
          </w:tcPr>
          <w:p w14:paraId="65CC3555">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r>
      <w:tr w14:paraId="0C0481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trPr>
        <w:tc>
          <w:tcPr>
            <w:tcW w:w="313" w:type="pct"/>
            <w:vMerge w:val="continue"/>
            <w:noWrap w:val="0"/>
            <w:vAlign w:val="center"/>
          </w:tcPr>
          <w:p w14:paraId="40689958">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2373" w:type="pct"/>
            <w:noWrap w:val="0"/>
            <w:vAlign w:val="center"/>
          </w:tcPr>
          <w:p w14:paraId="66F4FAF4">
            <w:pPr>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全程交通衔接及总体满意程度</w:t>
            </w:r>
          </w:p>
        </w:tc>
        <w:tc>
          <w:tcPr>
            <w:tcW w:w="577" w:type="pct"/>
            <w:noWrap w:val="0"/>
            <w:vAlign w:val="center"/>
          </w:tcPr>
          <w:p w14:paraId="34392584">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577" w:type="pct"/>
            <w:noWrap w:val="0"/>
            <w:vAlign w:val="center"/>
          </w:tcPr>
          <w:p w14:paraId="32F8D5FC">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577" w:type="pct"/>
            <w:noWrap w:val="0"/>
            <w:vAlign w:val="center"/>
          </w:tcPr>
          <w:p w14:paraId="13E77883">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581" w:type="pct"/>
            <w:noWrap w:val="0"/>
            <w:vAlign w:val="center"/>
          </w:tcPr>
          <w:p w14:paraId="218892C0">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r>
      <w:tr w14:paraId="236874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trPr>
        <w:tc>
          <w:tcPr>
            <w:tcW w:w="313" w:type="pct"/>
            <w:vMerge w:val="restart"/>
            <w:noWrap w:val="0"/>
            <w:vAlign w:val="center"/>
          </w:tcPr>
          <w:p w14:paraId="13A037C6">
            <w:pPr>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住宿 安排</w:t>
            </w:r>
          </w:p>
        </w:tc>
        <w:tc>
          <w:tcPr>
            <w:tcW w:w="2373" w:type="pct"/>
            <w:noWrap w:val="0"/>
            <w:vAlign w:val="center"/>
          </w:tcPr>
          <w:p w14:paraId="58B41664">
            <w:pPr>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周边环境安全，客房卫生整洁</w:t>
            </w:r>
          </w:p>
        </w:tc>
        <w:tc>
          <w:tcPr>
            <w:tcW w:w="577" w:type="pct"/>
            <w:noWrap w:val="0"/>
            <w:vAlign w:val="center"/>
          </w:tcPr>
          <w:p w14:paraId="7FEC110A">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577" w:type="pct"/>
            <w:noWrap w:val="0"/>
            <w:vAlign w:val="center"/>
          </w:tcPr>
          <w:p w14:paraId="7A37071B">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577" w:type="pct"/>
            <w:noWrap w:val="0"/>
            <w:vAlign w:val="center"/>
          </w:tcPr>
          <w:p w14:paraId="2E6F5FBC">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581" w:type="pct"/>
            <w:noWrap w:val="0"/>
            <w:vAlign w:val="center"/>
          </w:tcPr>
          <w:p w14:paraId="480EA700">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r>
      <w:tr w14:paraId="01A0BF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trPr>
        <w:tc>
          <w:tcPr>
            <w:tcW w:w="313" w:type="pct"/>
            <w:vMerge w:val="continue"/>
            <w:noWrap w:val="0"/>
            <w:vAlign w:val="center"/>
          </w:tcPr>
          <w:p w14:paraId="625F7130">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2373" w:type="pct"/>
            <w:noWrap w:val="0"/>
            <w:vAlign w:val="center"/>
          </w:tcPr>
          <w:p w14:paraId="2E1875DD">
            <w:pPr>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住宿地点交通便捷</w:t>
            </w:r>
          </w:p>
        </w:tc>
        <w:tc>
          <w:tcPr>
            <w:tcW w:w="577" w:type="pct"/>
            <w:noWrap w:val="0"/>
            <w:vAlign w:val="center"/>
          </w:tcPr>
          <w:p w14:paraId="1BD594DB">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577" w:type="pct"/>
            <w:noWrap w:val="0"/>
            <w:vAlign w:val="center"/>
          </w:tcPr>
          <w:p w14:paraId="51295A2F">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577" w:type="pct"/>
            <w:noWrap w:val="0"/>
            <w:vAlign w:val="center"/>
          </w:tcPr>
          <w:p w14:paraId="5A3753E4">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581" w:type="pct"/>
            <w:noWrap w:val="0"/>
            <w:vAlign w:val="center"/>
          </w:tcPr>
          <w:p w14:paraId="2A2F2A75">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r>
      <w:tr w14:paraId="112DBB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trPr>
        <w:tc>
          <w:tcPr>
            <w:tcW w:w="313" w:type="pct"/>
            <w:vMerge w:val="continue"/>
            <w:noWrap w:val="0"/>
            <w:vAlign w:val="center"/>
          </w:tcPr>
          <w:p w14:paraId="1C02F3D0">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2373" w:type="pct"/>
            <w:noWrap w:val="0"/>
            <w:vAlign w:val="center"/>
          </w:tcPr>
          <w:p w14:paraId="009DEC5D">
            <w:pPr>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宾馆设施及使用性能</w:t>
            </w:r>
          </w:p>
        </w:tc>
        <w:tc>
          <w:tcPr>
            <w:tcW w:w="577" w:type="pct"/>
            <w:noWrap w:val="0"/>
            <w:vAlign w:val="center"/>
          </w:tcPr>
          <w:p w14:paraId="364FEEF2">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577" w:type="pct"/>
            <w:noWrap w:val="0"/>
            <w:vAlign w:val="center"/>
          </w:tcPr>
          <w:p w14:paraId="1735CB0B">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577" w:type="pct"/>
            <w:noWrap w:val="0"/>
            <w:vAlign w:val="center"/>
          </w:tcPr>
          <w:p w14:paraId="1F331CB5">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581" w:type="pct"/>
            <w:noWrap w:val="0"/>
            <w:vAlign w:val="center"/>
          </w:tcPr>
          <w:p w14:paraId="1084C24B">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r>
      <w:tr w14:paraId="43468A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trPr>
        <w:tc>
          <w:tcPr>
            <w:tcW w:w="313" w:type="pct"/>
            <w:vMerge w:val="continue"/>
            <w:noWrap w:val="0"/>
            <w:vAlign w:val="center"/>
          </w:tcPr>
          <w:p w14:paraId="6252C279">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2373" w:type="pct"/>
            <w:noWrap w:val="0"/>
            <w:vAlign w:val="center"/>
          </w:tcPr>
          <w:p w14:paraId="3C216DCC">
            <w:pPr>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服务水平及态度</w:t>
            </w:r>
          </w:p>
        </w:tc>
        <w:tc>
          <w:tcPr>
            <w:tcW w:w="577" w:type="pct"/>
            <w:noWrap w:val="0"/>
            <w:vAlign w:val="center"/>
          </w:tcPr>
          <w:p w14:paraId="57C933F2">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577" w:type="pct"/>
            <w:noWrap w:val="0"/>
            <w:vAlign w:val="center"/>
          </w:tcPr>
          <w:p w14:paraId="27567204">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577" w:type="pct"/>
            <w:noWrap w:val="0"/>
            <w:vAlign w:val="center"/>
          </w:tcPr>
          <w:p w14:paraId="0F03B860">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581" w:type="pct"/>
            <w:noWrap w:val="0"/>
            <w:vAlign w:val="center"/>
          </w:tcPr>
          <w:p w14:paraId="4D7EEE98">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r>
      <w:tr w14:paraId="05C2A1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10" w:hRule="atLeast"/>
        </w:trPr>
        <w:tc>
          <w:tcPr>
            <w:tcW w:w="313" w:type="pct"/>
            <w:vMerge w:val="continue"/>
            <w:noWrap w:val="0"/>
            <w:vAlign w:val="center"/>
          </w:tcPr>
          <w:p w14:paraId="674B5C5F">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2373" w:type="pct"/>
            <w:noWrap w:val="0"/>
            <w:vAlign w:val="center"/>
          </w:tcPr>
          <w:p w14:paraId="2576A743">
            <w:pPr>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住宿安排总体满意程度</w:t>
            </w:r>
          </w:p>
        </w:tc>
        <w:tc>
          <w:tcPr>
            <w:tcW w:w="577" w:type="pct"/>
            <w:noWrap w:val="0"/>
            <w:vAlign w:val="center"/>
          </w:tcPr>
          <w:p w14:paraId="6AEEB1F1">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577" w:type="pct"/>
            <w:noWrap w:val="0"/>
            <w:vAlign w:val="center"/>
          </w:tcPr>
          <w:p w14:paraId="547EC889">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577" w:type="pct"/>
            <w:noWrap w:val="0"/>
            <w:vAlign w:val="center"/>
          </w:tcPr>
          <w:p w14:paraId="782C290F">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581" w:type="pct"/>
            <w:noWrap w:val="0"/>
            <w:vAlign w:val="center"/>
          </w:tcPr>
          <w:p w14:paraId="048959FA">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r>
      <w:tr w14:paraId="3FB52C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trPr>
        <w:tc>
          <w:tcPr>
            <w:tcW w:w="313" w:type="pct"/>
            <w:vMerge w:val="restart"/>
            <w:noWrap w:val="0"/>
            <w:vAlign w:val="center"/>
          </w:tcPr>
          <w:p w14:paraId="5156FB34">
            <w:pPr>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餐饮 安排</w:t>
            </w:r>
          </w:p>
        </w:tc>
        <w:tc>
          <w:tcPr>
            <w:tcW w:w="2373" w:type="pct"/>
            <w:noWrap w:val="0"/>
            <w:vAlign w:val="center"/>
          </w:tcPr>
          <w:p w14:paraId="0AA6E52F">
            <w:pPr>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就餐环境</w:t>
            </w:r>
          </w:p>
        </w:tc>
        <w:tc>
          <w:tcPr>
            <w:tcW w:w="577" w:type="pct"/>
            <w:noWrap w:val="0"/>
            <w:vAlign w:val="center"/>
          </w:tcPr>
          <w:p w14:paraId="52C4F2DD">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577" w:type="pct"/>
            <w:noWrap w:val="0"/>
            <w:vAlign w:val="center"/>
          </w:tcPr>
          <w:p w14:paraId="2D71D89F">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577" w:type="pct"/>
            <w:noWrap w:val="0"/>
            <w:vAlign w:val="center"/>
          </w:tcPr>
          <w:p w14:paraId="556EBD94">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581" w:type="pct"/>
            <w:noWrap w:val="0"/>
            <w:vAlign w:val="center"/>
          </w:tcPr>
          <w:p w14:paraId="7B0AC44F">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r>
      <w:tr w14:paraId="6DB199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trPr>
        <w:tc>
          <w:tcPr>
            <w:tcW w:w="313" w:type="pct"/>
            <w:vMerge w:val="continue"/>
            <w:noWrap w:val="0"/>
            <w:vAlign w:val="center"/>
          </w:tcPr>
          <w:p w14:paraId="770402B9">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2373" w:type="pct"/>
            <w:noWrap w:val="0"/>
            <w:vAlign w:val="center"/>
          </w:tcPr>
          <w:p w14:paraId="4BFF53C9">
            <w:pPr>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菜肴卫生</w:t>
            </w:r>
          </w:p>
        </w:tc>
        <w:tc>
          <w:tcPr>
            <w:tcW w:w="577" w:type="pct"/>
            <w:noWrap w:val="0"/>
            <w:vAlign w:val="center"/>
          </w:tcPr>
          <w:p w14:paraId="75F280DE">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577" w:type="pct"/>
            <w:noWrap w:val="0"/>
            <w:vAlign w:val="center"/>
          </w:tcPr>
          <w:p w14:paraId="69A3AF0E">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577" w:type="pct"/>
            <w:noWrap w:val="0"/>
            <w:vAlign w:val="center"/>
          </w:tcPr>
          <w:p w14:paraId="26FF3F81">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581" w:type="pct"/>
            <w:noWrap w:val="0"/>
            <w:vAlign w:val="center"/>
          </w:tcPr>
          <w:p w14:paraId="3D3A06CF">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r>
      <w:tr w14:paraId="10E338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trPr>
        <w:tc>
          <w:tcPr>
            <w:tcW w:w="313" w:type="pct"/>
            <w:vMerge w:val="continue"/>
            <w:noWrap w:val="0"/>
            <w:vAlign w:val="center"/>
          </w:tcPr>
          <w:p w14:paraId="10046EB9">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2373" w:type="pct"/>
            <w:noWrap w:val="0"/>
            <w:vAlign w:val="center"/>
          </w:tcPr>
          <w:p w14:paraId="4025AA8B">
            <w:pPr>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餐饮安排总体满意程度</w:t>
            </w:r>
          </w:p>
        </w:tc>
        <w:tc>
          <w:tcPr>
            <w:tcW w:w="577" w:type="pct"/>
            <w:noWrap w:val="0"/>
            <w:vAlign w:val="center"/>
          </w:tcPr>
          <w:p w14:paraId="3F4D4118">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577" w:type="pct"/>
            <w:noWrap w:val="0"/>
            <w:vAlign w:val="center"/>
          </w:tcPr>
          <w:p w14:paraId="590ACB5D">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577" w:type="pct"/>
            <w:noWrap w:val="0"/>
            <w:vAlign w:val="center"/>
          </w:tcPr>
          <w:p w14:paraId="7355FA9F">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581" w:type="pct"/>
            <w:noWrap w:val="0"/>
            <w:vAlign w:val="center"/>
          </w:tcPr>
          <w:p w14:paraId="4326E52A">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r>
      <w:tr w14:paraId="297E2B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trPr>
        <w:tc>
          <w:tcPr>
            <w:tcW w:w="313" w:type="pct"/>
            <w:vMerge w:val="restart"/>
            <w:noWrap w:val="0"/>
            <w:vAlign w:val="center"/>
          </w:tcPr>
          <w:p w14:paraId="61C68865">
            <w:pPr>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景点 安排</w:t>
            </w:r>
          </w:p>
        </w:tc>
        <w:tc>
          <w:tcPr>
            <w:tcW w:w="2373" w:type="pct"/>
            <w:noWrap w:val="0"/>
            <w:vAlign w:val="center"/>
          </w:tcPr>
          <w:p w14:paraId="5D63F379">
            <w:pPr>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景点地方特色</w:t>
            </w:r>
          </w:p>
        </w:tc>
        <w:tc>
          <w:tcPr>
            <w:tcW w:w="577" w:type="pct"/>
            <w:noWrap w:val="0"/>
            <w:vAlign w:val="center"/>
          </w:tcPr>
          <w:p w14:paraId="6B12F8D9">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577" w:type="pct"/>
            <w:noWrap w:val="0"/>
            <w:vAlign w:val="center"/>
          </w:tcPr>
          <w:p w14:paraId="0C3C734E">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577" w:type="pct"/>
            <w:noWrap w:val="0"/>
            <w:vAlign w:val="center"/>
          </w:tcPr>
          <w:p w14:paraId="7F3A2F2E">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581" w:type="pct"/>
            <w:noWrap w:val="0"/>
            <w:vAlign w:val="center"/>
          </w:tcPr>
          <w:p w14:paraId="15B686A0">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r>
      <w:tr w14:paraId="7B828C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trPr>
        <w:tc>
          <w:tcPr>
            <w:tcW w:w="313" w:type="pct"/>
            <w:vMerge w:val="continue"/>
            <w:noWrap w:val="0"/>
            <w:vAlign w:val="center"/>
          </w:tcPr>
          <w:p w14:paraId="1B8D3C1A">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2373" w:type="pct"/>
            <w:noWrap w:val="0"/>
            <w:vAlign w:val="center"/>
          </w:tcPr>
          <w:p w14:paraId="13D6A387">
            <w:pPr>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讲解内容完整</w:t>
            </w:r>
          </w:p>
        </w:tc>
        <w:tc>
          <w:tcPr>
            <w:tcW w:w="577" w:type="pct"/>
            <w:noWrap w:val="0"/>
            <w:vAlign w:val="center"/>
          </w:tcPr>
          <w:p w14:paraId="6791746E">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577" w:type="pct"/>
            <w:noWrap w:val="0"/>
            <w:vAlign w:val="center"/>
          </w:tcPr>
          <w:p w14:paraId="2D0A7866">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577" w:type="pct"/>
            <w:noWrap w:val="0"/>
            <w:vAlign w:val="center"/>
          </w:tcPr>
          <w:p w14:paraId="437F9874">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581" w:type="pct"/>
            <w:noWrap w:val="0"/>
            <w:vAlign w:val="center"/>
          </w:tcPr>
          <w:p w14:paraId="45F5CAC8">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r>
      <w:tr w14:paraId="6B1DE9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trPr>
        <w:tc>
          <w:tcPr>
            <w:tcW w:w="313" w:type="pct"/>
            <w:vMerge w:val="continue"/>
            <w:noWrap w:val="0"/>
            <w:vAlign w:val="center"/>
          </w:tcPr>
          <w:p w14:paraId="06ECDB40">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2373" w:type="pct"/>
            <w:noWrap w:val="0"/>
            <w:vAlign w:val="center"/>
          </w:tcPr>
          <w:p w14:paraId="70A44E6B">
            <w:pPr>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讲解语言美感</w:t>
            </w:r>
          </w:p>
        </w:tc>
        <w:tc>
          <w:tcPr>
            <w:tcW w:w="577" w:type="pct"/>
            <w:noWrap w:val="0"/>
            <w:vAlign w:val="center"/>
          </w:tcPr>
          <w:p w14:paraId="7EBAB286">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577" w:type="pct"/>
            <w:noWrap w:val="0"/>
            <w:vAlign w:val="center"/>
          </w:tcPr>
          <w:p w14:paraId="6B632FA0">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577" w:type="pct"/>
            <w:noWrap w:val="0"/>
            <w:vAlign w:val="center"/>
          </w:tcPr>
          <w:p w14:paraId="79064F72">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581" w:type="pct"/>
            <w:noWrap w:val="0"/>
            <w:vAlign w:val="center"/>
          </w:tcPr>
          <w:p w14:paraId="3792A415">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r>
      <w:tr w14:paraId="7AC0B4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trPr>
        <w:tc>
          <w:tcPr>
            <w:tcW w:w="313" w:type="pct"/>
            <w:vMerge w:val="continue"/>
            <w:noWrap w:val="0"/>
            <w:vAlign w:val="center"/>
          </w:tcPr>
          <w:p w14:paraId="625A3954">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2373" w:type="pct"/>
            <w:noWrap w:val="0"/>
            <w:vAlign w:val="center"/>
          </w:tcPr>
          <w:p w14:paraId="3CE1B3A2">
            <w:pPr>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景点内时间安排合理</w:t>
            </w:r>
          </w:p>
        </w:tc>
        <w:tc>
          <w:tcPr>
            <w:tcW w:w="577" w:type="pct"/>
            <w:noWrap w:val="0"/>
            <w:vAlign w:val="center"/>
          </w:tcPr>
          <w:p w14:paraId="1A9C90C3">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577" w:type="pct"/>
            <w:noWrap w:val="0"/>
            <w:vAlign w:val="center"/>
          </w:tcPr>
          <w:p w14:paraId="1FAC13CE">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577" w:type="pct"/>
            <w:noWrap w:val="0"/>
            <w:vAlign w:val="center"/>
          </w:tcPr>
          <w:p w14:paraId="08CF6D74">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581" w:type="pct"/>
            <w:noWrap w:val="0"/>
            <w:vAlign w:val="center"/>
          </w:tcPr>
          <w:p w14:paraId="340FC119">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r>
      <w:tr w14:paraId="4AD455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trPr>
        <w:tc>
          <w:tcPr>
            <w:tcW w:w="313" w:type="pct"/>
            <w:vMerge w:val="restart"/>
            <w:noWrap w:val="0"/>
            <w:vAlign w:val="center"/>
          </w:tcPr>
          <w:p w14:paraId="679A5DF3">
            <w:pPr>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导游 服务</w:t>
            </w:r>
          </w:p>
        </w:tc>
        <w:tc>
          <w:tcPr>
            <w:tcW w:w="2373" w:type="pct"/>
            <w:noWrap w:val="0"/>
            <w:vAlign w:val="center"/>
          </w:tcPr>
          <w:p w14:paraId="4F748056">
            <w:pPr>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eastAsia="zh-CN"/>
              </w:rPr>
              <w:t>佩戴有效证件</w:t>
            </w:r>
            <w:r>
              <w:rPr>
                <w:rFonts w:hint="eastAsia" w:ascii="宋体" w:hAnsi="宋体" w:eastAsia="宋体" w:cs="宋体"/>
                <w:color w:val="auto"/>
                <w:spacing w:val="0"/>
                <w:sz w:val="21"/>
                <w:szCs w:val="21"/>
                <w:highlight w:val="none"/>
              </w:rPr>
              <w:t>上岗，全程服务不迟到早退</w:t>
            </w:r>
          </w:p>
        </w:tc>
        <w:tc>
          <w:tcPr>
            <w:tcW w:w="577" w:type="pct"/>
            <w:noWrap w:val="0"/>
            <w:vAlign w:val="center"/>
          </w:tcPr>
          <w:p w14:paraId="47FC060E">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577" w:type="pct"/>
            <w:noWrap w:val="0"/>
            <w:vAlign w:val="center"/>
          </w:tcPr>
          <w:p w14:paraId="15FBC6D4">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577" w:type="pct"/>
            <w:noWrap w:val="0"/>
            <w:vAlign w:val="center"/>
          </w:tcPr>
          <w:p w14:paraId="3E4F6202">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581" w:type="pct"/>
            <w:noWrap w:val="0"/>
            <w:vAlign w:val="center"/>
          </w:tcPr>
          <w:p w14:paraId="6337CB19">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r>
      <w:tr w14:paraId="0E33D0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trPr>
        <w:tc>
          <w:tcPr>
            <w:tcW w:w="313" w:type="pct"/>
            <w:vMerge w:val="continue"/>
            <w:noWrap w:val="0"/>
            <w:vAlign w:val="center"/>
          </w:tcPr>
          <w:p w14:paraId="09B310F1">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2373" w:type="pct"/>
            <w:noWrap w:val="0"/>
            <w:vAlign w:val="center"/>
          </w:tcPr>
          <w:p w14:paraId="4FABFFBA">
            <w:pPr>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无擅自增减旅游项目</w:t>
            </w:r>
            <w:r>
              <w:rPr>
                <w:rFonts w:hint="eastAsia" w:ascii="宋体" w:hAnsi="宋体" w:eastAsia="宋体" w:cs="宋体"/>
                <w:color w:val="auto"/>
                <w:spacing w:val="0"/>
                <w:sz w:val="21"/>
                <w:szCs w:val="21"/>
                <w:highlight w:val="none"/>
                <w:lang w:eastAsia="zh-CN"/>
              </w:rPr>
              <w:t>、</w:t>
            </w:r>
            <w:r>
              <w:rPr>
                <w:rFonts w:hint="eastAsia" w:ascii="宋体" w:hAnsi="宋体" w:eastAsia="宋体" w:cs="宋体"/>
                <w:color w:val="auto"/>
                <w:spacing w:val="0"/>
                <w:sz w:val="21"/>
                <w:szCs w:val="21"/>
                <w:highlight w:val="none"/>
                <w:lang w:val="en-US" w:eastAsia="zh-CN"/>
              </w:rPr>
              <w:t>无</w:t>
            </w:r>
            <w:r>
              <w:rPr>
                <w:rFonts w:hint="eastAsia" w:ascii="宋体" w:hAnsi="宋体" w:eastAsia="宋体" w:cs="宋体"/>
                <w:color w:val="auto"/>
                <w:spacing w:val="0"/>
                <w:sz w:val="21"/>
                <w:szCs w:val="21"/>
                <w:highlight w:val="none"/>
              </w:rPr>
              <w:t>擅自终止导游活动</w:t>
            </w:r>
            <w:r>
              <w:rPr>
                <w:rFonts w:hint="eastAsia" w:ascii="宋体" w:hAnsi="宋体" w:eastAsia="宋体" w:cs="宋体"/>
                <w:color w:val="auto"/>
                <w:spacing w:val="0"/>
                <w:sz w:val="21"/>
                <w:szCs w:val="21"/>
                <w:highlight w:val="none"/>
                <w:lang w:eastAsia="zh-CN"/>
              </w:rPr>
              <w:t>、</w:t>
            </w:r>
            <w:r>
              <w:rPr>
                <w:rFonts w:hint="eastAsia" w:ascii="宋体" w:hAnsi="宋体" w:eastAsia="宋体" w:cs="宋体"/>
                <w:color w:val="auto"/>
                <w:spacing w:val="0"/>
                <w:sz w:val="21"/>
                <w:szCs w:val="21"/>
                <w:highlight w:val="none"/>
              </w:rPr>
              <w:t>无推销产品</w:t>
            </w:r>
          </w:p>
        </w:tc>
        <w:tc>
          <w:tcPr>
            <w:tcW w:w="577" w:type="pct"/>
            <w:noWrap w:val="0"/>
            <w:vAlign w:val="center"/>
          </w:tcPr>
          <w:p w14:paraId="2FDE396E">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577" w:type="pct"/>
            <w:noWrap w:val="0"/>
            <w:vAlign w:val="center"/>
          </w:tcPr>
          <w:p w14:paraId="203CB8E6">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577" w:type="pct"/>
            <w:noWrap w:val="0"/>
            <w:vAlign w:val="center"/>
          </w:tcPr>
          <w:p w14:paraId="4D9A2271">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581" w:type="pct"/>
            <w:noWrap w:val="0"/>
            <w:vAlign w:val="center"/>
          </w:tcPr>
          <w:p w14:paraId="1FADABCA">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r>
      <w:tr w14:paraId="78C245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trPr>
        <w:tc>
          <w:tcPr>
            <w:tcW w:w="313" w:type="pct"/>
            <w:vMerge w:val="continue"/>
            <w:noWrap w:val="0"/>
            <w:vAlign w:val="center"/>
          </w:tcPr>
          <w:p w14:paraId="7E029DC6">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2373" w:type="pct"/>
            <w:noWrap w:val="0"/>
            <w:vAlign w:val="center"/>
          </w:tcPr>
          <w:p w14:paraId="5BF4C47C">
            <w:pPr>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对可预见的情况有警示说明及防范措施</w:t>
            </w:r>
          </w:p>
        </w:tc>
        <w:tc>
          <w:tcPr>
            <w:tcW w:w="577" w:type="pct"/>
            <w:noWrap w:val="0"/>
            <w:vAlign w:val="center"/>
          </w:tcPr>
          <w:p w14:paraId="793712DB">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577" w:type="pct"/>
            <w:noWrap w:val="0"/>
            <w:vAlign w:val="center"/>
          </w:tcPr>
          <w:p w14:paraId="22C386A1">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577" w:type="pct"/>
            <w:noWrap w:val="0"/>
            <w:vAlign w:val="center"/>
          </w:tcPr>
          <w:p w14:paraId="1E79EF2B">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581" w:type="pct"/>
            <w:noWrap w:val="0"/>
            <w:vAlign w:val="center"/>
          </w:tcPr>
          <w:p w14:paraId="4C8CC3C8">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r>
      <w:tr w14:paraId="5F5D22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trPr>
        <w:tc>
          <w:tcPr>
            <w:tcW w:w="313" w:type="pct"/>
            <w:vMerge w:val="continue"/>
            <w:noWrap w:val="0"/>
            <w:vAlign w:val="center"/>
          </w:tcPr>
          <w:p w14:paraId="59CA9DA5">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2373" w:type="pct"/>
            <w:noWrap w:val="0"/>
            <w:vAlign w:val="center"/>
          </w:tcPr>
          <w:p w14:paraId="37DBB192">
            <w:pPr>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语言表达能力、沟通能力及专业知识掌握</w:t>
            </w:r>
          </w:p>
        </w:tc>
        <w:tc>
          <w:tcPr>
            <w:tcW w:w="577" w:type="pct"/>
            <w:noWrap w:val="0"/>
            <w:vAlign w:val="center"/>
          </w:tcPr>
          <w:p w14:paraId="25B71943">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577" w:type="pct"/>
            <w:noWrap w:val="0"/>
            <w:vAlign w:val="center"/>
          </w:tcPr>
          <w:p w14:paraId="64F3D0A7">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577" w:type="pct"/>
            <w:noWrap w:val="0"/>
            <w:vAlign w:val="center"/>
          </w:tcPr>
          <w:p w14:paraId="41D0E3CA">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581" w:type="pct"/>
            <w:noWrap w:val="0"/>
            <w:vAlign w:val="center"/>
          </w:tcPr>
          <w:p w14:paraId="6A1DA891">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r>
      <w:tr w14:paraId="7915F6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trPr>
        <w:tc>
          <w:tcPr>
            <w:tcW w:w="2687" w:type="pct"/>
            <w:gridSpan w:val="2"/>
            <w:noWrap w:val="0"/>
            <w:vAlign w:val="center"/>
          </w:tcPr>
          <w:p w14:paraId="768EBA75">
            <w:pPr>
              <w:keepNext w:val="0"/>
              <w:keepLines w:val="0"/>
              <w:pageBreakBefore w:val="0"/>
              <w:widowControl w:val="0"/>
              <w:spacing w:line="240" w:lineRule="auto"/>
              <w:ind w:left="0" w:right="0" w:firstLine="0"/>
              <w:jc w:val="center"/>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合计</w:t>
            </w:r>
          </w:p>
        </w:tc>
        <w:tc>
          <w:tcPr>
            <w:tcW w:w="577" w:type="pct"/>
            <w:noWrap w:val="0"/>
            <w:vAlign w:val="center"/>
          </w:tcPr>
          <w:p w14:paraId="0FA35879">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577" w:type="pct"/>
            <w:noWrap w:val="0"/>
            <w:vAlign w:val="center"/>
          </w:tcPr>
          <w:p w14:paraId="6D8EB655">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577" w:type="pct"/>
            <w:noWrap w:val="0"/>
            <w:vAlign w:val="center"/>
          </w:tcPr>
          <w:p w14:paraId="50D51501">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c>
          <w:tcPr>
            <w:tcW w:w="581" w:type="pct"/>
            <w:noWrap w:val="0"/>
            <w:vAlign w:val="center"/>
          </w:tcPr>
          <w:p w14:paraId="53F4BD63">
            <w:pPr>
              <w:pStyle w:val="455"/>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tc>
      </w:tr>
      <w:tr w14:paraId="1F2C3C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4" w:hRule="atLeast"/>
        </w:trPr>
        <w:tc>
          <w:tcPr>
            <w:tcW w:w="5000" w:type="pct"/>
            <w:gridSpan w:val="6"/>
            <w:noWrap w:val="0"/>
            <w:vAlign w:val="center"/>
          </w:tcPr>
          <w:p w14:paraId="01EA20CD">
            <w:pPr>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您需要补充的意见和建议：</w:t>
            </w:r>
          </w:p>
          <w:p w14:paraId="16F501F0">
            <w:pPr>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p w14:paraId="1C642B0A">
            <w:pPr>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p w14:paraId="2140B140">
            <w:pPr>
              <w:keepNext w:val="0"/>
              <w:keepLines w:val="0"/>
              <w:pageBreakBefore w:val="0"/>
              <w:widowControl w:val="0"/>
              <w:spacing w:line="240" w:lineRule="auto"/>
              <w:ind w:left="0" w:right="0" w:firstLine="0"/>
              <w:rPr>
                <w:rFonts w:hint="eastAsia" w:ascii="宋体" w:hAnsi="宋体" w:eastAsia="宋体" w:cs="宋体"/>
                <w:color w:val="auto"/>
                <w:spacing w:val="0"/>
                <w:sz w:val="21"/>
                <w:szCs w:val="21"/>
                <w:highlight w:val="none"/>
              </w:rPr>
            </w:pPr>
          </w:p>
          <w:p w14:paraId="19F5AF9D">
            <w:pPr>
              <w:keepNext w:val="0"/>
              <w:keepLines w:val="0"/>
              <w:pageBreakBefore w:val="0"/>
              <w:widowControl w:val="0"/>
              <w:spacing w:line="240" w:lineRule="auto"/>
              <w:ind w:left="0" w:right="0" w:firstLine="0"/>
              <w:jc w:val="right"/>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填表人：                  </w:t>
            </w:r>
          </w:p>
        </w:tc>
      </w:tr>
    </w:tbl>
    <w:p w14:paraId="07CA4F34">
      <w:pPr>
        <w:rPr>
          <w:rFonts w:hint="eastAsia" w:ascii="宋体" w:hAnsi="宋体" w:eastAsia="宋体" w:cs="宋体"/>
          <w:color w:val="auto"/>
          <w:sz w:val="21"/>
          <w:szCs w:val="21"/>
          <w:highlight w:val="none"/>
          <w:lang w:eastAsia="zh-CN"/>
        </w:rPr>
      </w:pPr>
    </w:p>
    <w:p w14:paraId="1A6F83C9">
      <w:pPr>
        <w:rPr>
          <w:rFonts w:hint="eastAsia" w:ascii="宋体" w:hAnsi="宋体" w:eastAsia="宋体" w:cs="宋体"/>
          <w:color w:val="auto"/>
          <w:sz w:val="21"/>
          <w:szCs w:val="21"/>
          <w:highlight w:val="none"/>
          <w:lang w:eastAsia="zh-CN"/>
        </w:rPr>
      </w:pPr>
    </w:p>
    <w:p w14:paraId="190FC7F6">
      <w:pPr>
        <w:rPr>
          <w:rFonts w:hint="eastAsia" w:ascii="宋体" w:hAnsi="宋体" w:eastAsia="宋体" w:cs="宋体"/>
          <w:color w:val="auto"/>
          <w:sz w:val="21"/>
          <w:szCs w:val="21"/>
          <w:highlight w:val="none"/>
          <w:lang w:eastAsia="zh-CN"/>
        </w:rPr>
      </w:pPr>
    </w:p>
    <w:p w14:paraId="4EFBC6C4">
      <w:pPr>
        <w:rPr>
          <w:rFonts w:hint="eastAsia" w:ascii="宋体" w:hAnsi="宋体" w:eastAsia="宋体" w:cs="宋体"/>
          <w:color w:val="auto"/>
          <w:sz w:val="21"/>
          <w:szCs w:val="21"/>
          <w:highlight w:val="none"/>
          <w:lang w:eastAsia="zh-CN"/>
        </w:rPr>
      </w:pPr>
    </w:p>
    <w:p w14:paraId="66F3A10A">
      <w:pPr>
        <w:rPr>
          <w:rFonts w:hint="eastAsia" w:ascii="宋体" w:hAnsi="宋体" w:eastAsia="宋体" w:cs="宋体"/>
          <w:color w:val="auto"/>
          <w:sz w:val="21"/>
          <w:szCs w:val="21"/>
          <w:highlight w:val="none"/>
          <w:lang w:eastAsia="zh-CN"/>
        </w:rPr>
      </w:pPr>
    </w:p>
    <w:p w14:paraId="274A5E06">
      <w:pPr>
        <w:rPr>
          <w:rFonts w:hint="eastAsia" w:ascii="宋体" w:hAnsi="宋体" w:eastAsia="宋体" w:cs="宋体"/>
          <w:color w:val="auto"/>
          <w:sz w:val="21"/>
          <w:szCs w:val="21"/>
          <w:highlight w:val="none"/>
          <w:lang w:eastAsia="zh-CN"/>
        </w:rPr>
      </w:pPr>
    </w:p>
    <w:p w14:paraId="6B7E6177">
      <w:pPr>
        <w:rPr>
          <w:rFonts w:hint="eastAsia" w:ascii="宋体" w:hAnsi="宋体" w:eastAsia="宋体" w:cs="宋体"/>
          <w:color w:val="auto"/>
          <w:sz w:val="21"/>
          <w:szCs w:val="21"/>
          <w:highlight w:val="none"/>
          <w:lang w:eastAsia="zh-CN"/>
        </w:rPr>
      </w:pPr>
    </w:p>
    <w:p w14:paraId="5B1376B5">
      <w:pPr>
        <w:spacing w:line="360" w:lineRule="auto"/>
        <w:rPr>
          <w:rFonts w:hint="eastAsia" w:ascii="宋体" w:hAnsi="宋体" w:eastAsia="宋体" w:cs="宋体"/>
          <w:b/>
          <w:color w:val="auto"/>
          <w:sz w:val="21"/>
          <w:szCs w:val="21"/>
          <w:highlight w:val="none"/>
          <w:lang w:eastAsia="zh-CN"/>
        </w:rPr>
      </w:pPr>
    </w:p>
    <w:p w14:paraId="5B47CC70">
      <w:pPr>
        <w:spacing w:line="360" w:lineRule="auto"/>
        <w:rPr>
          <w:rFonts w:hint="eastAsia" w:ascii="宋体" w:hAnsi="宋体" w:eastAsia="宋体" w:cs="宋体"/>
          <w:b/>
          <w:color w:val="auto"/>
          <w:sz w:val="21"/>
          <w:szCs w:val="21"/>
          <w:highlight w:val="none"/>
          <w:lang w:eastAsia="zh-CN"/>
        </w:rPr>
      </w:pPr>
    </w:p>
    <w:p w14:paraId="7F1B65FB">
      <w:pPr>
        <w:spacing w:line="360" w:lineRule="auto"/>
        <w:rPr>
          <w:rFonts w:hint="eastAsia" w:ascii="宋体" w:hAnsi="宋体" w:eastAsia="宋体" w:cs="宋体"/>
          <w:b/>
          <w:color w:val="auto"/>
          <w:sz w:val="21"/>
          <w:szCs w:val="21"/>
          <w:highlight w:val="none"/>
          <w:lang w:eastAsia="zh-CN"/>
        </w:rPr>
      </w:pPr>
    </w:p>
    <w:p w14:paraId="70C68BD6">
      <w:pPr>
        <w:spacing w:line="360" w:lineRule="auto"/>
        <w:rPr>
          <w:rFonts w:hint="eastAsia" w:ascii="宋体" w:hAnsi="宋体" w:eastAsia="宋体" w:cs="宋体"/>
          <w:b/>
          <w:color w:val="auto"/>
          <w:sz w:val="21"/>
          <w:szCs w:val="21"/>
          <w:highlight w:val="none"/>
          <w:lang w:eastAsia="zh-CN"/>
        </w:rPr>
      </w:pPr>
    </w:p>
    <w:p w14:paraId="23E44512">
      <w:pPr>
        <w:spacing w:line="360" w:lineRule="auto"/>
        <w:rPr>
          <w:rFonts w:hint="eastAsia" w:ascii="宋体" w:hAnsi="宋体" w:eastAsia="宋体" w:cs="宋体"/>
          <w:b/>
          <w:color w:val="auto"/>
          <w:sz w:val="21"/>
          <w:szCs w:val="21"/>
          <w:highlight w:val="none"/>
          <w:lang w:eastAsia="zh-CN"/>
        </w:rPr>
      </w:pPr>
    </w:p>
    <w:p w14:paraId="3A6DF100">
      <w:pPr>
        <w:spacing w:line="360" w:lineRule="auto"/>
        <w:rPr>
          <w:rFonts w:hint="eastAsia" w:ascii="宋体" w:hAnsi="宋体" w:eastAsia="宋体" w:cs="宋体"/>
          <w:b/>
          <w:color w:val="auto"/>
          <w:sz w:val="21"/>
          <w:szCs w:val="21"/>
          <w:highlight w:val="none"/>
          <w:lang w:eastAsia="zh-CN"/>
        </w:rPr>
      </w:pPr>
    </w:p>
    <w:p w14:paraId="69C06646">
      <w:pPr>
        <w:spacing w:line="360" w:lineRule="auto"/>
        <w:rPr>
          <w:rFonts w:hint="eastAsia" w:ascii="宋体" w:hAnsi="宋体" w:eastAsia="宋体" w:cs="宋体"/>
          <w:b/>
          <w:color w:val="auto"/>
          <w:sz w:val="21"/>
          <w:szCs w:val="21"/>
          <w:highlight w:val="none"/>
          <w:lang w:eastAsia="zh-CN"/>
        </w:rPr>
      </w:pPr>
    </w:p>
    <w:p w14:paraId="0C9B6322">
      <w:pPr>
        <w:spacing w:line="360" w:lineRule="auto"/>
        <w:rPr>
          <w:rFonts w:hint="eastAsia" w:ascii="宋体" w:hAnsi="宋体" w:eastAsia="宋体" w:cs="宋体"/>
          <w:b/>
          <w:color w:val="auto"/>
          <w:sz w:val="21"/>
          <w:szCs w:val="21"/>
          <w:highlight w:val="none"/>
          <w:lang w:eastAsia="zh-CN"/>
        </w:rPr>
      </w:pPr>
    </w:p>
    <w:p w14:paraId="070C71A2">
      <w:pPr>
        <w:spacing w:line="360" w:lineRule="auto"/>
        <w:rPr>
          <w:rFonts w:hint="eastAsia" w:ascii="宋体" w:hAnsi="宋体" w:eastAsia="宋体" w:cs="宋体"/>
          <w:b/>
          <w:color w:val="auto"/>
          <w:sz w:val="21"/>
          <w:szCs w:val="21"/>
          <w:highlight w:val="none"/>
          <w:lang w:eastAsia="zh-CN"/>
        </w:rPr>
      </w:pPr>
    </w:p>
    <w:p w14:paraId="7F909AE7">
      <w:pPr>
        <w:spacing w:line="360" w:lineRule="auto"/>
        <w:rPr>
          <w:rFonts w:hint="eastAsia" w:ascii="宋体" w:hAnsi="宋体" w:eastAsia="宋体" w:cs="宋体"/>
          <w:b/>
          <w:color w:val="auto"/>
          <w:sz w:val="21"/>
          <w:szCs w:val="21"/>
          <w:highlight w:val="none"/>
          <w:lang w:eastAsia="zh-CN"/>
        </w:rPr>
      </w:pPr>
    </w:p>
    <w:p w14:paraId="385BC4A7">
      <w:pPr>
        <w:spacing w:line="360" w:lineRule="auto"/>
        <w:rPr>
          <w:rFonts w:hint="eastAsia" w:ascii="宋体" w:hAnsi="宋体" w:eastAsia="宋体" w:cs="宋体"/>
          <w:b/>
          <w:color w:val="auto"/>
          <w:sz w:val="21"/>
          <w:szCs w:val="21"/>
          <w:highlight w:val="none"/>
          <w:lang w:eastAsia="zh-CN"/>
        </w:rPr>
      </w:pPr>
    </w:p>
    <w:p w14:paraId="44ABC82F">
      <w:pPr>
        <w:spacing w:line="360" w:lineRule="auto"/>
        <w:rPr>
          <w:rFonts w:hint="eastAsia" w:ascii="宋体" w:hAnsi="宋体" w:eastAsia="宋体" w:cs="宋体"/>
          <w:b/>
          <w:color w:val="auto"/>
          <w:sz w:val="21"/>
          <w:szCs w:val="21"/>
          <w:highlight w:val="none"/>
          <w:lang w:eastAsia="zh-CN"/>
        </w:rPr>
      </w:pPr>
    </w:p>
    <w:p w14:paraId="362A495E">
      <w:pPr>
        <w:spacing w:line="360" w:lineRule="auto"/>
        <w:rPr>
          <w:rFonts w:hint="eastAsia" w:ascii="宋体" w:hAnsi="宋体" w:eastAsia="宋体" w:cs="宋体"/>
          <w:b/>
          <w:color w:val="auto"/>
          <w:sz w:val="21"/>
          <w:szCs w:val="21"/>
          <w:highlight w:val="none"/>
          <w:lang w:eastAsia="zh-CN"/>
        </w:rPr>
      </w:pPr>
    </w:p>
    <w:p w14:paraId="649595D4">
      <w:pPr>
        <w:spacing w:line="360" w:lineRule="auto"/>
        <w:rPr>
          <w:rFonts w:hint="eastAsia" w:ascii="宋体" w:hAnsi="宋体" w:eastAsia="宋体" w:cs="宋体"/>
          <w:b/>
          <w:color w:val="auto"/>
          <w:sz w:val="21"/>
          <w:szCs w:val="21"/>
          <w:highlight w:val="none"/>
          <w:lang w:eastAsia="zh-CN"/>
        </w:rPr>
      </w:pPr>
    </w:p>
    <w:p w14:paraId="480E8A11">
      <w:pPr>
        <w:spacing w:line="360" w:lineRule="auto"/>
        <w:rPr>
          <w:rFonts w:hint="eastAsia" w:ascii="宋体" w:hAnsi="宋体" w:eastAsia="宋体" w:cs="宋体"/>
          <w:b/>
          <w:color w:val="auto"/>
          <w:sz w:val="21"/>
          <w:szCs w:val="21"/>
          <w:highlight w:val="none"/>
          <w:lang w:eastAsia="zh-CN"/>
        </w:rPr>
      </w:pPr>
    </w:p>
    <w:p w14:paraId="4AC1E7FF">
      <w:pPr>
        <w:spacing w:line="360" w:lineRule="auto"/>
        <w:rPr>
          <w:rFonts w:hint="eastAsia" w:ascii="宋体" w:hAnsi="宋体" w:eastAsia="宋体" w:cs="宋体"/>
          <w:b/>
          <w:color w:val="auto"/>
          <w:sz w:val="21"/>
          <w:szCs w:val="21"/>
          <w:highlight w:val="none"/>
          <w:lang w:eastAsia="zh-CN"/>
        </w:rPr>
      </w:pPr>
    </w:p>
    <w:p w14:paraId="1D89DFA4">
      <w:pPr>
        <w:spacing w:line="360" w:lineRule="auto"/>
        <w:rPr>
          <w:rFonts w:hint="eastAsia" w:ascii="宋体" w:hAnsi="宋体" w:eastAsia="宋体" w:cs="宋体"/>
          <w:b/>
          <w:color w:val="auto"/>
          <w:sz w:val="21"/>
          <w:szCs w:val="21"/>
          <w:highlight w:val="none"/>
          <w:lang w:eastAsia="zh-CN"/>
        </w:rPr>
      </w:pPr>
    </w:p>
    <w:p w14:paraId="5AE4C068">
      <w:pPr>
        <w:spacing w:line="360" w:lineRule="auto"/>
        <w:rPr>
          <w:rFonts w:hint="eastAsia" w:ascii="宋体" w:hAnsi="宋体" w:eastAsia="宋体" w:cs="宋体"/>
          <w:b/>
          <w:color w:val="auto"/>
          <w:sz w:val="21"/>
          <w:szCs w:val="21"/>
          <w:highlight w:val="none"/>
          <w:lang w:eastAsia="zh-CN"/>
        </w:rPr>
      </w:pPr>
    </w:p>
    <w:p w14:paraId="344D338D">
      <w:pPr>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br w:type="page"/>
      </w:r>
    </w:p>
    <w:p w14:paraId="4B15EBF2">
      <w:pPr>
        <w:spacing w:line="360" w:lineRule="auto"/>
        <w:rPr>
          <w:rFonts w:ascii="Times New Roman" w:hAnsi="Times New Roman"/>
          <w:color w:val="auto"/>
          <w:sz w:val="21"/>
          <w:szCs w:val="21"/>
          <w:highlight w:val="none"/>
          <w:lang w:val="zh-CN" w:eastAsia="zh-CN"/>
        </w:rPr>
      </w:pPr>
      <w:r>
        <w:rPr>
          <w:rFonts w:hint="eastAsia" w:ascii="宋体" w:hAnsi="宋体" w:eastAsia="宋体" w:cs="宋体"/>
          <w:b/>
          <w:color w:val="auto"/>
          <w:sz w:val="21"/>
          <w:szCs w:val="21"/>
          <w:highlight w:val="none"/>
          <w:lang w:eastAsia="zh-CN"/>
        </w:rPr>
        <w:t>附</w:t>
      </w:r>
      <w:r>
        <w:rPr>
          <w:rFonts w:ascii="Times New Roman" w:hAnsi="Times New Roman"/>
          <w:b/>
          <w:color w:val="auto"/>
          <w:sz w:val="21"/>
          <w:szCs w:val="21"/>
          <w:highlight w:val="none"/>
          <w:lang w:eastAsia="zh-CN"/>
        </w:rPr>
        <w:t>件</w:t>
      </w:r>
      <w:r>
        <w:rPr>
          <w:rFonts w:hint="eastAsia" w:ascii="Times New Roman" w:hAnsi="Times New Roman"/>
          <w:b/>
          <w:color w:val="auto"/>
          <w:sz w:val="21"/>
          <w:szCs w:val="21"/>
          <w:highlight w:val="none"/>
          <w:lang w:val="en-US" w:eastAsia="zh-CN"/>
        </w:rPr>
        <w:t>二</w:t>
      </w:r>
      <w:r>
        <w:rPr>
          <w:rFonts w:ascii="Times New Roman" w:hAnsi="Times New Roman"/>
          <w:b/>
          <w:color w:val="auto"/>
          <w:sz w:val="21"/>
          <w:szCs w:val="21"/>
          <w:highlight w:val="none"/>
          <w:lang w:eastAsia="zh-CN"/>
        </w:rPr>
        <w:t>、保密承诺书</w:t>
      </w:r>
    </w:p>
    <w:p w14:paraId="6D190737">
      <w:pPr>
        <w:spacing w:line="360" w:lineRule="auto"/>
        <w:rPr>
          <w:rFonts w:ascii="Times New Roman" w:hAnsi="Times New Roman"/>
          <w:color w:val="auto"/>
          <w:sz w:val="21"/>
          <w:szCs w:val="21"/>
          <w:highlight w:val="none"/>
          <w:lang w:val="zh-CN" w:eastAsia="zh-CN"/>
        </w:rPr>
      </w:pPr>
    </w:p>
    <w:p w14:paraId="6163ABAA">
      <w:pPr>
        <w:spacing w:line="360" w:lineRule="auto"/>
        <w:ind w:firstLine="482"/>
        <w:jc w:val="center"/>
        <w:rPr>
          <w:rFonts w:ascii="Times New Roman" w:hAnsi="Times New Roman"/>
          <w:b/>
          <w:bCs/>
          <w:color w:val="auto"/>
          <w:spacing w:val="15"/>
          <w:sz w:val="21"/>
          <w:szCs w:val="21"/>
          <w:highlight w:val="none"/>
          <w:lang w:eastAsia="zh-CN"/>
        </w:rPr>
      </w:pPr>
      <w:r>
        <w:rPr>
          <w:rFonts w:ascii="Times New Roman" w:hAnsi="Times New Roman"/>
          <w:b/>
          <w:bCs/>
          <w:color w:val="auto"/>
          <w:spacing w:val="15"/>
          <w:sz w:val="21"/>
          <w:szCs w:val="21"/>
          <w:highlight w:val="none"/>
          <w:lang w:eastAsia="zh-CN"/>
        </w:rPr>
        <w:t>保 密 承 诺 书</w:t>
      </w:r>
    </w:p>
    <w:p w14:paraId="5FD8ACC6">
      <w:pPr>
        <w:spacing w:line="360" w:lineRule="auto"/>
        <w:ind w:firstLine="420"/>
        <w:rPr>
          <w:rFonts w:ascii="Times New Roman" w:hAnsi="Times New Roman" w:eastAsia="宋体"/>
          <w:b/>
          <w:bCs/>
          <w:color w:val="auto"/>
          <w:sz w:val="21"/>
          <w:szCs w:val="21"/>
          <w:highlight w:val="none"/>
          <w:u w:val="single"/>
          <w:lang w:val="zh-CN" w:eastAsia="zh-CN"/>
        </w:rPr>
      </w:pPr>
      <w:r>
        <w:rPr>
          <w:rFonts w:ascii="Times New Roman" w:hAnsi="Times New Roman" w:eastAsia="宋体"/>
          <w:b/>
          <w:bCs/>
          <w:color w:val="auto"/>
          <w:sz w:val="21"/>
          <w:szCs w:val="21"/>
          <w:highlight w:val="none"/>
          <w:u w:val="single"/>
          <w:lang w:val="zh-CN" w:eastAsia="zh-CN"/>
        </w:rPr>
        <w:t>江苏省公安厅：</w:t>
      </w:r>
    </w:p>
    <w:p w14:paraId="53608616">
      <w:pPr>
        <w:spacing w:line="360" w:lineRule="auto"/>
        <w:ind w:firstLine="420"/>
        <w:rPr>
          <w:rFonts w:ascii="Times New Roman" w:hAnsi="Times New Roman" w:eastAsia="宋体"/>
          <w:color w:val="auto"/>
          <w:sz w:val="21"/>
          <w:szCs w:val="21"/>
          <w:highlight w:val="none"/>
          <w:lang w:val="zh-CN" w:eastAsia="zh-CN"/>
        </w:rPr>
      </w:pPr>
      <w:r>
        <w:rPr>
          <w:rFonts w:ascii="Times New Roman" w:hAnsi="Times New Roman" w:eastAsia="宋体"/>
          <w:color w:val="auto"/>
          <w:sz w:val="21"/>
          <w:szCs w:val="21"/>
          <w:highlight w:val="none"/>
          <w:lang w:val="zh-CN" w:eastAsia="zh-CN"/>
        </w:rPr>
        <w:t>我公司现向贵</w:t>
      </w:r>
      <w:r>
        <w:rPr>
          <w:rFonts w:hint="eastAsia" w:ascii="Times New Roman" w:hAnsi="Times New Roman" w:eastAsia="宋体"/>
          <w:color w:val="auto"/>
          <w:sz w:val="21"/>
          <w:szCs w:val="21"/>
          <w:highlight w:val="none"/>
          <w:lang w:val="en-US" w:eastAsia="zh-CN"/>
        </w:rPr>
        <w:t>单位</w:t>
      </w:r>
      <w:r>
        <w:rPr>
          <w:rFonts w:ascii="Times New Roman" w:hAnsi="Times New Roman" w:eastAsia="宋体"/>
          <w:color w:val="auto"/>
          <w:sz w:val="21"/>
          <w:szCs w:val="21"/>
          <w:highlight w:val="none"/>
          <w:lang w:val="zh-CN" w:eastAsia="zh-CN"/>
        </w:rPr>
        <w:t>承诺，我公司在</w:t>
      </w:r>
      <w:r>
        <w:rPr>
          <w:rFonts w:hint="eastAsia" w:ascii="Times New Roman" w:hAnsi="Times New Roman" w:eastAsia="宋体"/>
          <w:color w:val="auto"/>
          <w:sz w:val="21"/>
          <w:szCs w:val="21"/>
          <w:highlight w:val="none"/>
          <w:lang w:val="zh-CN" w:eastAsia="zh-CN"/>
        </w:rPr>
        <w:t>2026年度功模代表休养活动</w:t>
      </w:r>
      <w:r>
        <w:rPr>
          <w:rFonts w:ascii="Times New Roman" w:hAnsi="Times New Roman" w:eastAsia="宋体"/>
          <w:color w:val="auto"/>
          <w:sz w:val="21"/>
          <w:szCs w:val="21"/>
          <w:highlight w:val="none"/>
          <w:lang w:val="zh-CN" w:eastAsia="zh-CN"/>
        </w:rPr>
        <w:t>项目实施过程中，保证按国家法律法规要求做好保密工作，并依法承担相关责任。</w:t>
      </w:r>
    </w:p>
    <w:p w14:paraId="2E74F924">
      <w:pPr>
        <w:spacing w:line="360" w:lineRule="auto"/>
        <w:ind w:firstLine="420"/>
        <w:rPr>
          <w:rFonts w:ascii="Times New Roman" w:hAnsi="Times New Roman" w:eastAsia="宋体"/>
          <w:color w:val="auto"/>
          <w:sz w:val="21"/>
          <w:szCs w:val="21"/>
          <w:highlight w:val="none"/>
          <w:lang w:val="zh-CN" w:eastAsia="zh-CN"/>
        </w:rPr>
      </w:pPr>
    </w:p>
    <w:p w14:paraId="40CA3A13">
      <w:pPr>
        <w:spacing w:line="360" w:lineRule="auto"/>
        <w:ind w:firstLine="420"/>
        <w:rPr>
          <w:rFonts w:ascii="Times New Roman" w:hAnsi="Times New Roman" w:eastAsia="宋体"/>
          <w:color w:val="auto"/>
          <w:sz w:val="21"/>
          <w:szCs w:val="21"/>
          <w:highlight w:val="none"/>
          <w:lang w:val="zh-CN" w:eastAsia="zh-CN"/>
        </w:rPr>
      </w:pPr>
      <w:r>
        <w:rPr>
          <w:rFonts w:ascii="Times New Roman" w:hAnsi="Times New Roman" w:eastAsia="宋体"/>
          <w:color w:val="auto"/>
          <w:sz w:val="21"/>
          <w:szCs w:val="21"/>
          <w:highlight w:val="none"/>
          <w:lang w:val="zh-CN" w:eastAsia="zh-CN"/>
        </w:rPr>
        <w:t>承诺单位（公章）</w:t>
      </w:r>
    </w:p>
    <w:p w14:paraId="4C018D2F">
      <w:pPr>
        <w:spacing w:line="360" w:lineRule="auto"/>
        <w:ind w:firstLine="420"/>
        <w:rPr>
          <w:rFonts w:ascii="Times New Roman" w:hAnsi="Times New Roman" w:eastAsia="宋体"/>
          <w:color w:val="auto"/>
          <w:sz w:val="21"/>
          <w:szCs w:val="21"/>
          <w:highlight w:val="none"/>
          <w:lang w:val="zh-CN" w:eastAsia="zh-CN"/>
        </w:rPr>
      </w:pPr>
      <w:r>
        <w:rPr>
          <w:rFonts w:ascii="Times New Roman" w:hAnsi="Times New Roman" w:eastAsia="宋体"/>
          <w:color w:val="auto"/>
          <w:sz w:val="21"/>
          <w:szCs w:val="21"/>
          <w:highlight w:val="none"/>
          <w:lang w:val="zh-CN" w:eastAsia="zh-CN"/>
        </w:rPr>
        <w:t>法定代表人（签字或盖章）</w:t>
      </w:r>
    </w:p>
    <w:p w14:paraId="6D4BE590">
      <w:pPr>
        <w:spacing w:line="360" w:lineRule="auto"/>
        <w:ind w:firstLine="420"/>
        <w:rPr>
          <w:rFonts w:ascii="Times New Roman" w:hAnsi="Times New Roman" w:eastAsia="宋体"/>
          <w:color w:val="auto"/>
          <w:sz w:val="21"/>
          <w:szCs w:val="21"/>
          <w:highlight w:val="none"/>
          <w:lang w:val="zh-CN" w:eastAsia="zh-CN"/>
        </w:rPr>
      </w:pPr>
      <w:r>
        <w:rPr>
          <w:rFonts w:ascii="Times New Roman" w:hAnsi="Times New Roman" w:eastAsia="宋体"/>
          <w:color w:val="auto"/>
          <w:sz w:val="21"/>
          <w:szCs w:val="21"/>
          <w:highlight w:val="none"/>
          <w:lang w:val="zh-CN" w:eastAsia="zh-CN"/>
        </w:rPr>
        <w:t>代理人（签字或盖章）</w:t>
      </w:r>
    </w:p>
    <w:p w14:paraId="1A7A2C26">
      <w:pPr>
        <w:spacing w:before="0" w:after="0"/>
        <w:ind w:firstLineChars="0"/>
        <w:jc w:val="center"/>
        <w:rPr>
          <w:rFonts w:ascii="Times New Roman"/>
          <w:color w:val="auto"/>
          <w:sz w:val="21"/>
          <w:szCs w:val="21"/>
          <w:highlight w:val="none"/>
        </w:rPr>
      </w:pPr>
      <w:r>
        <w:rPr>
          <w:rFonts w:ascii="Times New Roman" w:hAnsi="Times New Roman" w:eastAsia="宋体"/>
          <w:color w:val="auto"/>
          <w:sz w:val="21"/>
          <w:szCs w:val="21"/>
          <w:highlight w:val="none"/>
          <w:lang w:val="zh-CN" w:eastAsia="zh-CN"/>
        </w:rPr>
        <w:t>日期：</w:t>
      </w:r>
      <w:r>
        <w:rPr>
          <w:rFonts w:ascii="Times New Roman"/>
          <w:color w:val="auto"/>
          <w:sz w:val="21"/>
          <w:szCs w:val="21"/>
          <w:highlight w:val="none"/>
        </w:rPr>
        <w:br w:type="page"/>
      </w:r>
    </w:p>
    <w:p w14:paraId="4D8C6F32">
      <w:pPr>
        <w:pStyle w:val="2"/>
        <w:spacing w:before="290" w:after="290"/>
        <w:ind w:firstLine="0" w:firstLineChars="0"/>
        <w:jc w:val="center"/>
        <w:rPr>
          <w:color w:val="auto"/>
          <w:kern w:val="0"/>
          <w:sz w:val="44"/>
          <w:szCs w:val="44"/>
          <w:highlight w:val="none"/>
        </w:rPr>
      </w:pPr>
      <w:bookmarkStart w:id="119" w:name="_Toc3856"/>
      <w:r>
        <w:rPr>
          <w:rFonts w:ascii="Times New Roman"/>
          <w:color w:val="auto"/>
          <w:sz w:val="44"/>
          <w:szCs w:val="44"/>
          <w:highlight w:val="none"/>
          <w:lang w:val="zh-CN"/>
        </w:rPr>
        <w:t>第六章</w:t>
      </w:r>
      <w:r>
        <w:rPr>
          <w:rFonts w:hint="eastAsia" w:ascii="Times New Roman"/>
          <w:color w:val="auto"/>
          <w:sz w:val="44"/>
          <w:szCs w:val="44"/>
          <w:highlight w:val="none"/>
          <w:lang w:val="en-US" w:eastAsia="zh-CN"/>
        </w:rPr>
        <w:t xml:space="preserve"> </w:t>
      </w:r>
      <w:r>
        <w:rPr>
          <w:rFonts w:hint="eastAsia"/>
          <w:color w:val="auto"/>
          <w:kern w:val="0"/>
          <w:sz w:val="44"/>
          <w:szCs w:val="44"/>
          <w:highlight w:val="none"/>
        </w:rPr>
        <w:t>投标文件格式</w:t>
      </w:r>
      <w:bookmarkEnd w:id="119"/>
    </w:p>
    <w:p w14:paraId="4512F9C1">
      <w:pPr>
        <w:widowControl/>
        <w:adjustRightInd w:val="0"/>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注：请供应商按照以下文件的要求格式、内容，顺序制作投标文件。</w:t>
      </w:r>
    </w:p>
    <w:p w14:paraId="3413C3C7">
      <w:pPr>
        <w:spacing w:line="440" w:lineRule="exact"/>
        <w:rPr>
          <w:rFonts w:eastAsia="黑体"/>
          <w:color w:val="auto"/>
          <w:highlight w:val="none"/>
        </w:rPr>
      </w:pPr>
    </w:p>
    <w:p w14:paraId="3C357963">
      <w:pPr>
        <w:spacing w:line="440" w:lineRule="exact"/>
        <w:rPr>
          <w:rFonts w:eastAsia="黑体"/>
          <w:color w:val="auto"/>
          <w:highlight w:val="none"/>
        </w:rPr>
      </w:pPr>
    </w:p>
    <w:p w14:paraId="0AD89D8C">
      <w:pPr>
        <w:spacing w:line="440" w:lineRule="exact"/>
        <w:rPr>
          <w:rFonts w:eastAsia="黑体"/>
          <w:color w:val="auto"/>
          <w:highlight w:val="none"/>
        </w:rPr>
      </w:pPr>
    </w:p>
    <w:p w14:paraId="5E46C834">
      <w:pPr>
        <w:spacing w:line="440" w:lineRule="exact"/>
        <w:rPr>
          <w:rFonts w:eastAsia="黑体"/>
          <w:color w:val="auto"/>
          <w:highlight w:val="none"/>
        </w:rPr>
      </w:pPr>
    </w:p>
    <w:p w14:paraId="21607150">
      <w:pPr>
        <w:spacing w:line="440" w:lineRule="exact"/>
        <w:rPr>
          <w:rFonts w:eastAsia="黑体"/>
          <w:color w:val="auto"/>
          <w:highlight w:val="none"/>
        </w:rPr>
      </w:pPr>
    </w:p>
    <w:p w14:paraId="25CD32EC">
      <w:pPr>
        <w:spacing w:line="440" w:lineRule="exact"/>
        <w:rPr>
          <w:rFonts w:eastAsia="黑体"/>
          <w:color w:val="auto"/>
          <w:highlight w:val="none"/>
        </w:rPr>
      </w:pPr>
    </w:p>
    <w:p w14:paraId="1AC4F2FD">
      <w:pPr>
        <w:jc w:val="left"/>
        <w:rPr>
          <w:rFonts w:ascii="宋体" w:hAnsi="宋体"/>
          <w:b/>
          <w:color w:val="auto"/>
          <w:sz w:val="30"/>
          <w:szCs w:val="30"/>
          <w:highlight w:val="none"/>
        </w:rPr>
      </w:pPr>
      <w:r>
        <w:rPr>
          <w:rFonts w:hint="eastAsia" w:ascii="宋体" w:hAnsi="宋体"/>
          <w:b/>
          <w:color w:val="auto"/>
          <w:sz w:val="30"/>
          <w:szCs w:val="30"/>
          <w:highlight w:val="none"/>
        </w:rPr>
        <w:br w:type="page"/>
      </w:r>
    </w:p>
    <w:p w14:paraId="526001F3">
      <w:pPr>
        <w:pStyle w:val="3"/>
        <w:keepNext w:val="0"/>
        <w:keepLines w:val="0"/>
        <w:spacing w:line="400" w:lineRule="exact"/>
        <w:rPr>
          <w:rFonts w:cs="宋体"/>
          <w:color w:val="auto"/>
          <w:szCs w:val="21"/>
          <w:highlight w:val="none"/>
          <w:u w:val="single"/>
        </w:rPr>
      </w:pPr>
      <w:bookmarkStart w:id="120" w:name="_Toc401840461"/>
      <w:bookmarkStart w:id="121" w:name="_Toc450570279"/>
      <w:bookmarkStart w:id="122" w:name="_Toc289873233"/>
      <w:r>
        <w:rPr>
          <w:rFonts w:hint="eastAsia" w:cs="宋体"/>
          <w:color w:val="auto"/>
          <w:szCs w:val="21"/>
          <w:highlight w:val="none"/>
        </w:rPr>
        <w:t>一、投标函、投标报价及项目相关文件</w:t>
      </w:r>
    </w:p>
    <w:p w14:paraId="165F9F23">
      <w:pPr>
        <w:pStyle w:val="4"/>
        <w:keepNext w:val="0"/>
        <w:keepLines w:val="0"/>
        <w:spacing w:line="400" w:lineRule="exact"/>
        <w:jc w:val="center"/>
        <w:rPr>
          <w:rFonts w:cs="宋体"/>
          <w:color w:val="auto"/>
          <w:highlight w:val="none"/>
        </w:rPr>
      </w:pPr>
      <w:r>
        <w:rPr>
          <w:rFonts w:hint="eastAsia" w:cs="宋体"/>
          <w:color w:val="auto"/>
          <w:highlight w:val="none"/>
        </w:rPr>
        <w:t>1.投标函</w:t>
      </w:r>
    </w:p>
    <w:p w14:paraId="54FF9D6D">
      <w:pPr>
        <w:snapToGrid w:val="0"/>
        <w:spacing w:before="19"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江苏省公安厅</w:t>
      </w:r>
      <w:r>
        <w:rPr>
          <w:rFonts w:hint="eastAsia" w:ascii="宋体" w:hAnsi="宋体" w:eastAsia="宋体" w:cs="宋体"/>
          <w:color w:val="auto"/>
          <w:sz w:val="21"/>
          <w:szCs w:val="21"/>
          <w:highlight w:val="none"/>
        </w:rPr>
        <w:t>：</w:t>
      </w:r>
    </w:p>
    <w:p w14:paraId="2AEC1189">
      <w:pPr>
        <w:snapToGrid w:val="0"/>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贵</w:t>
      </w:r>
      <w:r>
        <w:rPr>
          <w:rFonts w:hint="eastAsia" w:ascii="宋体" w:hAnsi="宋体" w:eastAsia="宋体" w:cs="宋体"/>
          <w:color w:val="auto"/>
          <w:sz w:val="21"/>
          <w:szCs w:val="21"/>
          <w:highlight w:val="none"/>
          <w:lang w:eastAsia="zh-CN"/>
        </w:rPr>
        <w:t>单位</w:t>
      </w:r>
      <w:r>
        <w:rPr>
          <w:rFonts w:hint="eastAsia" w:ascii="宋体" w:hAnsi="宋体" w:eastAsia="宋体" w:cs="宋体"/>
          <w:color w:val="auto"/>
          <w:sz w:val="21"/>
          <w:szCs w:val="21"/>
          <w:highlight w:val="none"/>
        </w:rPr>
        <w:t>招标文件（包括更正通知，如果有的话）收悉，我们经详细审阅和研究，现决定参加投标。</w:t>
      </w:r>
    </w:p>
    <w:p w14:paraId="5190E08C">
      <w:pPr>
        <w:snapToGrid w:val="0"/>
        <w:spacing w:before="19"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1.</w:t>
      </w:r>
      <w:r>
        <w:rPr>
          <w:rFonts w:hint="eastAsia" w:ascii="宋体" w:hAnsi="宋体" w:eastAsia="宋体" w:cs="宋体"/>
          <w:color w:val="auto"/>
          <w:sz w:val="21"/>
          <w:szCs w:val="21"/>
          <w:highlight w:val="none"/>
        </w:rPr>
        <w:t>我们郑重承诺：我们是符合《中华人民共和国政府采购法》第二十二条规定的供应商，并严格遵守《中华人民共和国政府采购法》的规定。</w:t>
      </w:r>
    </w:p>
    <w:p w14:paraId="67008CC0">
      <w:pPr>
        <w:snapToGrid w:val="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eastAsia="zh-CN"/>
        </w:rPr>
        <w:t>2.</w:t>
      </w:r>
      <w:r>
        <w:rPr>
          <w:rFonts w:hint="eastAsia" w:ascii="宋体" w:hAnsi="宋体" w:eastAsia="宋体" w:cs="宋体"/>
          <w:color w:val="auto"/>
          <w:sz w:val="21"/>
          <w:szCs w:val="21"/>
          <w:highlight w:val="none"/>
        </w:rPr>
        <w:t>我们接受招标文件的</w:t>
      </w:r>
      <w:r>
        <w:rPr>
          <w:rFonts w:hint="eastAsia" w:ascii="宋体" w:hAnsi="宋体" w:eastAsia="宋体" w:cs="宋体"/>
          <w:color w:val="auto"/>
          <w:sz w:val="21"/>
          <w:szCs w:val="21"/>
          <w:highlight w:val="none"/>
          <w:lang w:eastAsia="zh-CN"/>
        </w:rPr>
        <w:t>所有</w:t>
      </w:r>
      <w:r>
        <w:rPr>
          <w:rFonts w:hint="eastAsia" w:ascii="宋体" w:hAnsi="宋体" w:eastAsia="宋体" w:cs="宋体"/>
          <w:color w:val="auto"/>
          <w:sz w:val="21"/>
          <w:szCs w:val="21"/>
          <w:highlight w:val="none"/>
        </w:rPr>
        <w:t>条款和规定。</w:t>
      </w:r>
    </w:p>
    <w:p w14:paraId="378E34A8">
      <w:pPr>
        <w:snapToGrid w:val="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eastAsia="zh-CN"/>
        </w:rPr>
        <w:t>3.</w:t>
      </w:r>
      <w:r>
        <w:rPr>
          <w:rFonts w:hint="eastAsia" w:ascii="宋体" w:hAnsi="宋体" w:eastAsia="宋体" w:cs="宋体"/>
          <w:color w:val="auto"/>
          <w:sz w:val="21"/>
          <w:szCs w:val="21"/>
          <w:highlight w:val="none"/>
        </w:rPr>
        <w:t>我们同意按照招标文件第</w:t>
      </w:r>
      <w:r>
        <w:rPr>
          <w:rFonts w:hint="eastAsia" w:ascii="宋体" w:hAnsi="宋体" w:eastAsia="宋体" w:cs="宋体"/>
          <w:color w:val="auto"/>
          <w:sz w:val="21"/>
          <w:szCs w:val="21"/>
          <w:highlight w:val="none"/>
          <w:lang w:val="en-US"/>
        </w:rPr>
        <w:t>二</w:t>
      </w:r>
      <w:r>
        <w:rPr>
          <w:rFonts w:hint="eastAsia" w:ascii="宋体" w:hAnsi="宋体" w:eastAsia="宋体" w:cs="宋体"/>
          <w:color w:val="auto"/>
          <w:sz w:val="21"/>
          <w:szCs w:val="21"/>
          <w:highlight w:val="none"/>
        </w:rPr>
        <w:t>章“</w:t>
      </w:r>
      <w:r>
        <w:rPr>
          <w:rFonts w:hint="eastAsia" w:ascii="宋体" w:hAnsi="宋体" w:eastAsia="宋体" w:cs="宋体"/>
          <w:color w:val="auto"/>
          <w:sz w:val="21"/>
          <w:szCs w:val="21"/>
          <w:highlight w:val="none"/>
          <w:lang w:val="en-US"/>
        </w:rPr>
        <w:t>投标人</w:t>
      </w:r>
      <w:r>
        <w:rPr>
          <w:rFonts w:hint="eastAsia" w:ascii="宋体" w:hAnsi="宋体" w:eastAsia="宋体" w:cs="宋体"/>
          <w:color w:val="auto"/>
          <w:sz w:val="21"/>
          <w:szCs w:val="21"/>
          <w:highlight w:val="none"/>
        </w:rPr>
        <w:t>须知”第</w:t>
      </w:r>
      <w:r>
        <w:rPr>
          <w:rFonts w:hint="eastAsia" w:ascii="宋体" w:hAnsi="宋体" w:eastAsia="宋体" w:cs="宋体"/>
          <w:color w:val="auto"/>
          <w:sz w:val="21"/>
          <w:szCs w:val="21"/>
          <w:highlight w:val="none"/>
          <w:lang w:val="en-US"/>
        </w:rPr>
        <w:t>1</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条的规定，本投标文件的有效期为从投标截止日期起计算的九十天，在此期间，本投标文件将始终对我们具有约束力，并可随时被接受。如果我们中标，本投标文件在此期间之后将继续保持有效。</w:t>
      </w:r>
    </w:p>
    <w:p w14:paraId="7345A98D">
      <w:pPr>
        <w:snapToGrid w:val="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eastAsia="zh-CN"/>
        </w:rPr>
        <w:t>4.</w:t>
      </w:r>
      <w:r>
        <w:rPr>
          <w:rFonts w:hint="eastAsia" w:ascii="宋体" w:hAnsi="宋体" w:eastAsia="宋体" w:cs="宋体"/>
          <w:color w:val="auto"/>
          <w:sz w:val="21"/>
          <w:szCs w:val="21"/>
          <w:highlight w:val="none"/>
        </w:rPr>
        <w:t>我们同意提供采购人要求的有关本次招标的所有资料。</w:t>
      </w:r>
    </w:p>
    <w:p w14:paraId="2B5F5157">
      <w:pPr>
        <w:snapToGrid w:val="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eastAsia="zh-CN"/>
        </w:rPr>
        <w:t>5.</w:t>
      </w:r>
      <w:r>
        <w:rPr>
          <w:rFonts w:hint="eastAsia" w:ascii="宋体" w:hAnsi="宋体" w:eastAsia="宋体" w:cs="宋体"/>
          <w:color w:val="auto"/>
          <w:sz w:val="21"/>
          <w:szCs w:val="21"/>
          <w:highlight w:val="none"/>
        </w:rPr>
        <w:t>我们理解，贵</w:t>
      </w:r>
      <w:r>
        <w:rPr>
          <w:rFonts w:hint="eastAsia" w:ascii="宋体" w:hAnsi="宋体" w:eastAsia="宋体" w:cs="宋体"/>
          <w:color w:val="auto"/>
          <w:sz w:val="21"/>
          <w:szCs w:val="21"/>
          <w:highlight w:val="none"/>
          <w:lang w:val="en-US" w:eastAsia="zh-CN"/>
        </w:rPr>
        <w:t>单位</w:t>
      </w:r>
      <w:r>
        <w:rPr>
          <w:rFonts w:hint="eastAsia" w:ascii="宋体" w:hAnsi="宋体" w:eastAsia="宋体" w:cs="宋体"/>
          <w:color w:val="auto"/>
          <w:sz w:val="21"/>
          <w:szCs w:val="21"/>
          <w:highlight w:val="none"/>
        </w:rPr>
        <w:t>无义务必须接受投标价最低的投标，并有权拒绝所有的投标。同时也理解贵</w:t>
      </w:r>
      <w:r>
        <w:rPr>
          <w:rFonts w:hint="eastAsia" w:ascii="宋体" w:hAnsi="宋体" w:eastAsia="宋体" w:cs="宋体"/>
          <w:color w:val="auto"/>
          <w:sz w:val="21"/>
          <w:szCs w:val="21"/>
          <w:highlight w:val="none"/>
          <w:lang w:val="en-US" w:eastAsia="zh-CN"/>
        </w:rPr>
        <w:t>单位</w:t>
      </w:r>
      <w:r>
        <w:rPr>
          <w:rFonts w:hint="eastAsia" w:ascii="宋体" w:hAnsi="宋体" w:eastAsia="宋体" w:cs="宋体"/>
          <w:color w:val="auto"/>
          <w:sz w:val="21"/>
          <w:szCs w:val="21"/>
          <w:highlight w:val="none"/>
        </w:rPr>
        <w:t>不承担我们本次投标的费用。</w:t>
      </w:r>
    </w:p>
    <w:p w14:paraId="6FA86A23">
      <w:pPr>
        <w:snapToGrid w:val="0"/>
        <w:spacing w:line="40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6.</w:t>
      </w:r>
      <w:r>
        <w:rPr>
          <w:rFonts w:hint="eastAsia" w:ascii="宋体" w:hAnsi="宋体" w:eastAsia="宋体" w:cs="宋体"/>
          <w:color w:val="auto"/>
          <w:sz w:val="21"/>
          <w:szCs w:val="21"/>
          <w:highlight w:val="none"/>
        </w:rPr>
        <w:t>如果我们中标，我们将按照招标文件的规定向</w:t>
      </w:r>
      <w:r>
        <w:rPr>
          <w:rFonts w:hint="eastAsia" w:ascii="宋体" w:hAnsi="宋体" w:eastAsia="宋体" w:cs="宋体"/>
          <w:color w:val="auto"/>
          <w:sz w:val="21"/>
          <w:szCs w:val="21"/>
          <w:highlight w:val="none"/>
          <w:lang w:val="en-US" w:eastAsia="zh-CN"/>
        </w:rPr>
        <w:t>招标代理公司</w:t>
      </w:r>
      <w:r>
        <w:rPr>
          <w:rFonts w:hint="eastAsia" w:ascii="宋体" w:hAnsi="宋体" w:eastAsia="宋体" w:cs="宋体"/>
          <w:color w:val="auto"/>
          <w:sz w:val="21"/>
          <w:szCs w:val="21"/>
          <w:highlight w:val="none"/>
        </w:rPr>
        <w:t>支付招标代理服务费及其他相关费用；为执行合同，我们将按</w:t>
      </w:r>
      <w:r>
        <w:rPr>
          <w:rFonts w:hint="eastAsia" w:ascii="宋体" w:hAnsi="宋体" w:eastAsia="宋体" w:cs="宋体"/>
          <w:color w:val="auto"/>
          <w:sz w:val="21"/>
          <w:szCs w:val="21"/>
          <w:highlight w:val="none"/>
          <w:lang w:val="en-US"/>
        </w:rPr>
        <w:t>投标人须知</w:t>
      </w:r>
      <w:r>
        <w:rPr>
          <w:rFonts w:hint="eastAsia" w:ascii="宋体" w:hAnsi="宋体" w:eastAsia="宋体" w:cs="宋体"/>
          <w:color w:val="auto"/>
          <w:sz w:val="21"/>
          <w:szCs w:val="21"/>
          <w:highlight w:val="none"/>
        </w:rPr>
        <w:t>有关要求提供必要的履约保证。</w:t>
      </w:r>
    </w:p>
    <w:p w14:paraId="1D598EE3">
      <w:pPr>
        <w:snapToGrid w:val="0"/>
        <w:spacing w:line="400" w:lineRule="exact"/>
        <w:ind w:firstLine="420"/>
        <w:rPr>
          <w:rFonts w:hAnsi="宋体"/>
          <w:color w:val="auto"/>
          <w:sz w:val="21"/>
          <w:szCs w:val="21"/>
          <w:highlight w:val="none"/>
        </w:rPr>
      </w:pPr>
    </w:p>
    <w:p w14:paraId="0805556E">
      <w:pPr>
        <w:snapToGrid w:val="0"/>
        <w:spacing w:line="400" w:lineRule="exact"/>
        <w:ind w:firstLine="420"/>
        <w:rPr>
          <w:rFonts w:hAnsi="宋体"/>
          <w:color w:val="auto"/>
          <w:sz w:val="21"/>
          <w:szCs w:val="21"/>
          <w:highlight w:val="none"/>
        </w:rPr>
      </w:pPr>
    </w:p>
    <w:p w14:paraId="3084A44C">
      <w:pPr>
        <w:snapToGrid w:val="0"/>
        <w:spacing w:line="400" w:lineRule="exact"/>
        <w:rPr>
          <w:rFonts w:hAnsi="宋体"/>
          <w:color w:val="auto"/>
          <w:sz w:val="21"/>
          <w:szCs w:val="21"/>
          <w:highlight w:val="none"/>
        </w:rPr>
      </w:pPr>
      <w:r>
        <w:rPr>
          <w:rFonts w:hint="eastAsia" w:hAnsi="宋体"/>
          <w:color w:val="auto"/>
          <w:sz w:val="21"/>
          <w:szCs w:val="21"/>
          <w:highlight w:val="none"/>
        </w:rPr>
        <w:t xml:space="preserve">                        供应商名称：</w:t>
      </w:r>
      <w:r>
        <w:rPr>
          <w:rFonts w:hint="eastAsia" w:hAnsi="宋体"/>
          <w:color w:val="auto"/>
          <w:sz w:val="21"/>
          <w:szCs w:val="21"/>
          <w:highlight w:val="none"/>
          <w:u w:val="single"/>
        </w:rPr>
        <w:t xml:space="preserve">              （公章）</w:t>
      </w:r>
    </w:p>
    <w:p w14:paraId="1C0DF318">
      <w:pPr>
        <w:snapToGrid w:val="0"/>
        <w:spacing w:line="400" w:lineRule="exact"/>
        <w:rPr>
          <w:rFonts w:hAnsi="宋体"/>
          <w:color w:val="auto"/>
          <w:sz w:val="21"/>
          <w:szCs w:val="21"/>
          <w:highlight w:val="none"/>
          <w:u w:val="single"/>
        </w:rPr>
      </w:pPr>
      <w:r>
        <w:rPr>
          <w:rFonts w:hint="eastAsia" w:hAnsi="宋体"/>
          <w:color w:val="auto"/>
          <w:sz w:val="21"/>
          <w:szCs w:val="21"/>
          <w:highlight w:val="none"/>
        </w:rPr>
        <w:t xml:space="preserve">                        地址：邮编：</w:t>
      </w:r>
    </w:p>
    <w:p w14:paraId="4377675B">
      <w:pPr>
        <w:snapToGrid w:val="0"/>
        <w:spacing w:line="400" w:lineRule="exact"/>
        <w:rPr>
          <w:rFonts w:hAnsi="宋体"/>
          <w:color w:val="auto"/>
          <w:sz w:val="21"/>
          <w:szCs w:val="21"/>
          <w:highlight w:val="none"/>
          <w:u w:val="single"/>
        </w:rPr>
      </w:pPr>
      <w:r>
        <w:rPr>
          <w:rFonts w:hint="eastAsia" w:hAnsi="宋体"/>
          <w:color w:val="auto"/>
          <w:sz w:val="21"/>
          <w:szCs w:val="21"/>
          <w:highlight w:val="none"/>
        </w:rPr>
        <w:t xml:space="preserve">                        电话：传真：</w:t>
      </w:r>
    </w:p>
    <w:p w14:paraId="79747056">
      <w:pPr>
        <w:snapToGrid w:val="0"/>
        <w:spacing w:line="400" w:lineRule="exact"/>
        <w:rPr>
          <w:rFonts w:hAnsi="宋体"/>
          <w:color w:val="auto"/>
          <w:sz w:val="21"/>
          <w:szCs w:val="21"/>
          <w:highlight w:val="none"/>
          <w:u w:val="single"/>
        </w:rPr>
      </w:pPr>
      <w:r>
        <w:rPr>
          <w:rFonts w:hint="eastAsia" w:hAnsi="宋体"/>
          <w:color w:val="auto"/>
          <w:sz w:val="21"/>
          <w:szCs w:val="21"/>
          <w:highlight w:val="none"/>
        </w:rPr>
        <w:t xml:space="preserve">                        授权代表签字：</w:t>
      </w:r>
    </w:p>
    <w:p w14:paraId="64B78932">
      <w:pPr>
        <w:snapToGrid w:val="0"/>
        <w:spacing w:line="400" w:lineRule="exact"/>
        <w:rPr>
          <w:rFonts w:hAnsi="宋体"/>
          <w:color w:val="auto"/>
          <w:sz w:val="21"/>
          <w:szCs w:val="21"/>
          <w:highlight w:val="none"/>
          <w:u w:val="single"/>
        </w:rPr>
      </w:pPr>
      <w:r>
        <w:rPr>
          <w:rFonts w:hint="eastAsia" w:hAnsi="宋体"/>
          <w:color w:val="auto"/>
          <w:sz w:val="21"/>
          <w:szCs w:val="21"/>
          <w:highlight w:val="none"/>
        </w:rPr>
        <w:t xml:space="preserve">                        职务：</w:t>
      </w:r>
    </w:p>
    <w:p w14:paraId="5C8F1A7C">
      <w:pPr>
        <w:snapToGrid w:val="0"/>
        <w:spacing w:line="400" w:lineRule="exact"/>
        <w:rPr>
          <w:rFonts w:hAnsi="宋体"/>
          <w:color w:val="auto"/>
          <w:sz w:val="21"/>
          <w:szCs w:val="21"/>
          <w:highlight w:val="none"/>
          <w:u w:val="single"/>
        </w:rPr>
      </w:pPr>
      <w:r>
        <w:rPr>
          <w:rFonts w:hint="eastAsia" w:hAnsi="宋体"/>
          <w:color w:val="auto"/>
          <w:sz w:val="21"/>
          <w:szCs w:val="21"/>
          <w:highlight w:val="none"/>
        </w:rPr>
        <w:t xml:space="preserve">                        日期：</w:t>
      </w:r>
    </w:p>
    <w:p w14:paraId="0CE94E68">
      <w:pPr>
        <w:topLinePunct/>
        <w:spacing w:before="4" w:line="400" w:lineRule="exact"/>
        <w:rPr>
          <w:rFonts w:hAnsi="宋体"/>
          <w:color w:val="auto"/>
          <w:sz w:val="21"/>
          <w:szCs w:val="21"/>
          <w:highlight w:val="none"/>
        </w:rPr>
      </w:pPr>
      <w:r>
        <w:rPr>
          <w:rFonts w:hint="eastAsia" w:hAnsi="宋体"/>
          <w:color w:val="auto"/>
          <w:sz w:val="21"/>
          <w:szCs w:val="21"/>
          <w:highlight w:val="none"/>
        </w:rPr>
        <w:br w:type="page"/>
      </w:r>
    </w:p>
    <w:p w14:paraId="0799F57C">
      <w:pPr>
        <w:pStyle w:val="4"/>
        <w:keepNext w:val="0"/>
        <w:keepLines w:val="0"/>
        <w:spacing w:line="400" w:lineRule="exact"/>
        <w:jc w:val="center"/>
        <w:rPr>
          <w:rStyle w:val="435"/>
          <w:rFonts w:ascii="宋体" w:hAnsi="宋体" w:eastAsia="宋体" w:cs="宋体"/>
          <w:b/>
          <w:color w:val="auto"/>
          <w:sz w:val="21"/>
          <w:szCs w:val="21"/>
          <w:highlight w:val="none"/>
        </w:rPr>
      </w:pPr>
      <w:r>
        <w:rPr>
          <w:rFonts w:hint="eastAsia" w:cs="宋体"/>
          <w:color w:val="auto"/>
          <w:highlight w:val="none"/>
        </w:rPr>
        <w:t>2.开标一览表</w:t>
      </w:r>
    </w:p>
    <w:p w14:paraId="3AAC6BB6">
      <w:pPr>
        <w:spacing w:line="400" w:lineRule="exact"/>
        <w:rPr>
          <w:rFonts w:hAnsi="宋体"/>
          <w:color w:val="auto"/>
          <w:sz w:val="21"/>
          <w:szCs w:val="21"/>
          <w:highlight w:val="none"/>
        </w:rPr>
      </w:pPr>
      <w:r>
        <w:rPr>
          <w:rFonts w:hint="eastAsia" w:hAnsi="宋体"/>
          <w:color w:val="auto"/>
          <w:sz w:val="21"/>
          <w:szCs w:val="21"/>
          <w:highlight w:val="none"/>
        </w:rPr>
        <w:tab/>
      </w:r>
      <w:r>
        <w:rPr>
          <w:rFonts w:hint="eastAsia" w:hAnsi="宋体"/>
          <w:color w:val="auto"/>
          <w:sz w:val="21"/>
          <w:szCs w:val="21"/>
          <w:highlight w:val="none"/>
        </w:rPr>
        <w:tab/>
      </w:r>
      <w:r>
        <w:rPr>
          <w:rFonts w:hint="eastAsia" w:hAnsi="宋体"/>
          <w:color w:val="auto"/>
          <w:sz w:val="21"/>
          <w:szCs w:val="21"/>
          <w:highlight w:val="none"/>
        </w:rPr>
        <w:tab/>
      </w:r>
      <w:r>
        <w:rPr>
          <w:rFonts w:hint="eastAsia" w:hAnsi="宋体"/>
          <w:color w:val="auto"/>
          <w:sz w:val="21"/>
          <w:szCs w:val="21"/>
          <w:highlight w:val="none"/>
        </w:rPr>
        <w:tab/>
      </w:r>
      <w:r>
        <w:rPr>
          <w:rFonts w:hint="eastAsia" w:hAnsi="宋体"/>
          <w:color w:val="auto"/>
          <w:sz w:val="21"/>
          <w:szCs w:val="21"/>
          <w:highlight w:val="none"/>
        </w:rPr>
        <w:tab/>
      </w:r>
      <w:r>
        <w:rPr>
          <w:rFonts w:hint="eastAsia" w:hAnsi="宋体"/>
          <w:color w:val="auto"/>
          <w:sz w:val="21"/>
          <w:szCs w:val="21"/>
          <w:highlight w:val="none"/>
        </w:rPr>
        <w:tab/>
      </w:r>
      <w:r>
        <w:rPr>
          <w:rFonts w:hint="eastAsia" w:hAnsi="宋体"/>
          <w:color w:val="auto"/>
          <w:sz w:val="21"/>
          <w:szCs w:val="21"/>
          <w:highlight w:val="none"/>
        </w:rPr>
        <w:tab/>
      </w:r>
      <w:r>
        <w:rPr>
          <w:rFonts w:hint="eastAsia" w:hAnsi="宋体"/>
          <w:color w:val="auto"/>
          <w:sz w:val="21"/>
          <w:szCs w:val="21"/>
          <w:highlight w:val="none"/>
        </w:rPr>
        <w:tab/>
      </w:r>
      <w:r>
        <w:rPr>
          <w:rFonts w:hint="eastAsia" w:hAnsi="宋体"/>
          <w:color w:val="auto"/>
          <w:sz w:val="21"/>
          <w:szCs w:val="21"/>
          <w:highlight w:val="none"/>
        </w:rPr>
        <w:tab/>
      </w:r>
      <w:r>
        <w:rPr>
          <w:rFonts w:hint="eastAsia" w:hAnsi="宋体"/>
          <w:color w:val="auto"/>
          <w:sz w:val="21"/>
          <w:szCs w:val="21"/>
          <w:highlight w:val="none"/>
        </w:rPr>
        <w:tab/>
      </w:r>
    </w:p>
    <w:tbl>
      <w:tblPr>
        <w:tblStyle w:val="59"/>
        <w:tblW w:w="492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93"/>
        <w:gridCol w:w="7126"/>
      </w:tblGrid>
      <w:tr w14:paraId="61A2C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jc w:val="center"/>
        </w:trPr>
        <w:tc>
          <w:tcPr>
            <w:tcW w:w="1371" w:type="pct"/>
            <w:tcBorders>
              <w:top w:val="single" w:color="auto" w:sz="12" w:space="0"/>
              <w:left w:val="single" w:color="auto" w:sz="12" w:space="0"/>
            </w:tcBorders>
            <w:vAlign w:val="center"/>
          </w:tcPr>
          <w:p w14:paraId="46744854">
            <w:pPr>
              <w:spacing w:line="36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项目名称</w:t>
            </w:r>
          </w:p>
        </w:tc>
        <w:tc>
          <w:tcPr>
            <w:tcW w:w="3628" w:type="pct"/>
            <w:tcBorders>
              <w:top w:val="single" w:color="auto" w:sz="12" w:space="0"/>
              <w:right w:val="single" w:color="auto" w:sz="12" w:space="0"/>
            </w:tcBorders>
            <w:vAlign w:val="center"/>
          </w:tcPr>
          <w:p w14:paraId="4E911D29">
            <w:pPr>
              <w:spacing w:line="360" w:lineRule="auto"/>
              <w:jc w:val="both"/>
              <w:rPr>
                <w:rFonts w:hint="eastAsia" w:ascii="宋体" w:hAnsi="宋体" w:eastAsia="宋体" w:cs="宋体"/>
                <w:color w:val="auto"/>
                <w:sz w:val="21"/>
                <w:szCs w:val="21"/>
                <w:highlight w:val="none"/>
              </w:rPr>
            </w:pPr>
          </w:p>
        </w:tc>
      </w:tr>
      <w:tr w14:paraId="3A737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jc w:val="center"/>
        </w:trPr>
        <w:tc>
          <w:tcPr>
            <w:tcW w:w="1371" w:type="pct"/>
            <w:tcBorders>
              <w:top w:val="single" w:color="auto" w:sz="12" w:space="0"/>
              <w:left w:val="single" w:color="auto" w:sz="12" w:space="0"/>
            </w:tcBorders>
            <w:vAlign w:val="center"/>
          </w:tcPr>
          <w:p w14:paraId="1388C5B3">
            <w:pPr>
              <w:spacing w:line="36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项目编号</w:t>
            </w:r>
          </w:p>
        </w:tc>
        <w:tc>
          <w:tcPr>
            <w:tcW w:w="3628" w:type="pct"/>
            <w:tcBorders>
              <w:top w:val="single" w:color="auto" w:sz="12" w:space="0"/>
              <w:right w:val="single" w:color="auto" w:sz="12" w:space="0"/>
            </w:tcBorders>
            <w:vAlign w:val="center"/>
          </w:tcPr>
          <w:p w14:paraId="16F56030">
            <w:pPr>
              <w:spacing w:line="360" w:lineRule="auto"/>
              <w:jc w:val="both"/>
              <w:rPr>
                <w:rFonts w:hint="eastAsia" w:ascii="宋体" w:hAnsi="宋体" w:eastAsia="宋体" w:cs="宋体"/>
                <w:color w:val="auto"/>
                <w:sz w:val="21"/>
                <w:szCs w:val="21"/>
                <w:highlight w:val="none"/>
              </w:rPr>
            </w:pPr>
          </w:p>
        </w:tc>
      </w:tr>
      <w:tr w14:paraId="5A47F8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1371" w:type="pct"/>
            <w:tcBorders>
              <w:left w:val="single" w:color="auto" w:sz="12" w:space="0"/>
            </w:tcBorders>
            <w:vAlign w:val="center"/>
          </w:tcPr>
          <w:p w14:paraId="41010C13">
            <w:pPr>
              <w:spacing w:line="360" w:lineRule="auto"/>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投标总价</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人民币</w:t>
            </w:r>
            <w:r>
              <w:rPr>
                <w:rFonts w:hint="eastAsia" w:ascii="宋体" w:hAnsi="宋体" w:eastAsia="宋体" w:cs="宋体"/>
                <w:color w:val="auto"/>
                <w:sz w:val="21"/>
                <w:szCs w:val="21"/>
                <w:highlight w:val="none"/>
                <w:lang w:eastAsia="zh-CN"/>
              </w:rPr>
              <w:t>）</w:t>
            </w:r>
          </w:p>
        </w:tc>
        <w:tc>
          <w:tcPr>
            <w:tcW w:w="3628" w:type="pct"/>
            <w:tcBorders>
              <w:right w:val="single" w:color="auto" w:sz="12" w:space="0"/>
            </w:tcBorders>
            <w:vAlign w:val="center"/>
          </w:tcPr>
          <w:p w14:paraId="64498F14">
            <w:pPr>
              <w:spacing w:line="360" w:lineRule="auto"/>
              <w:jc w:val="both"/>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u w:val="single"/>
                <w:lang w:val="en-US" w:eastAsia="zh-CN"/>
              </w:rPr>
              <w:t xml:space="preserve">          元</w:t>
            </w:r>
          </w:p>
        </w:tc>
      </w:tr>
      <w:tr w14:paraId="19FE3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1371" w:type="pct"/>
            <w:tcBorders>
              <w:left w:val="single" w:color="auto" w:sz="12" w:space="0"/>
            </w:tcBorders>
            <w:vAlign w:val="center"/>
          </w:tcPr>
          <w:p w14:paraId="700D4018">
            <w:pPr>
              <w:spacing w:line="36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合同履行期限</w:t>
            </w:r>
          </w:p>
        </w:tc>
        <w:tc>
          <w:tcPr>
            <w:tcW w:w="3628" w:type="pct"/>
            <w:tcBorders>
              <w:right w:val="single" w:color="auto" w:sz="12" w:space="0"/>
            </w:tcBorders>
            <w:vAlign w:val="center"/>
          </w:tcPr>
          <w:p w14:paraId="22A5AE67">
            <w:pPr>
              <w:spacing w:line="360" w:lineRule="auto"/>
              <w:jc w:val="both"/>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满足招标文件要求。</w:t>
            </w:r>
          </w:p>
        </w:tc>
      </w:tr>
      <w:tr w14:paraId="36BF8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jc w:val="center"/>
        </w:trPr>
        <w:tc>
          <w:tcPr>
            <w:tcW w:w="1371" w:type="pct"/>
            <w:tcBorders>
              <w:left w:val="single" w:color="auto" w:sz="12" w:space="0"/>
            </w:tcBorders>
            <w:vAlign w:val="center"/>
          </w:tcPr>
          <w:p w14:paraId="4183B3CF">
            <w:pPr>
              <w:spacing w:line="360" w:lineRule="auto"/>
              <w:jc w:val="both"/>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是否属于小微企业</w:t>
            </w:r>
          </w:p>
          <w:p w14:paraId="164DF2C8">
            <w:pPr>
              <w:spacing w:line="360" w:lineRule="auto"/>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请打√</w:t>
            </w:r>
            <w:r>
              <w:rPr>
                <w:rFonts w:hint="eastAsia" w:ascii="宋体" w:hAnsi="宋体" w:eastAsia="宋体" w:cs="宋体"/>
                <w:color w:val="auto"/>
                <w:sz w:val="21"/>
                <w:szCs w:val="21"/>
                <w:highlight w:val="none"/>
                <w:lang w:eastAsia="zh-CN"/>
              </w:rPr>
              <w:t>）</w:t>
            </w:r>
          </w:p>
        </w:tc>
        <w:tc>
          <w:tcPr>
            <w:tcW w:w="3628" w:type="pct"/>
            <w:tcBorders>
              <w:right w:val="single" w:color="auto" w:sz="12" w:space="0"/>
            </w:tcBorders>
            <w:vAlign w:val="center"/>
          </w:tcPr>
          <w:p w14:paraId="3B4B73D3">
            <w:pPr>
              <w:spacing w:line="36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rPr>
              <w:t>是</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rPr>
              <w:t>否</w:t>
            </w:r>
          </w:p>
        </w:tc>
      </w:tr>
      <w:tr w14:paraId="62455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2" w:hRule="atLeast"/>
          <w:jc w:val="center"/>
        </w:trPr>
        <w:tc>
          <w:tcPr>
            <w:tcW w:w="1371" w:type="pct"/>
            <w:tcBorders>
              <w:left w:val="single" w:color="auto" w:sz="12" w:space="0"/>
            </w:tcBorders>
            <w:vAlign w:val="center"/>
          </w:tcPr>
          <w:p w14:paraId="1CFD7EEB">
            <w:pPr>
              <w:spacing w:line="360" w:lineRule="auto"/>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是否属于残疾人福利性单位</w:t>
            </w:r>
          </w:p>
        </w:tc>
        <w:tc>
          <w:tcPr>
            <w:tcW w:w="3628" w:type="pct"/>
            <w:tcBorders>
              <w:right w:val="single" w:color="auto" w:sz="12" w:space="0"/>
            </w:tcBorders>
            <w:vAlign w:val="center"/>
          </w:tcPr>
          <w:p w14:paraId="552AD390">
            <w:pPr>
              <w:spacing w:line="36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rPr>
              <w:t>是</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rPr>
              <w:t>否</w:t>
            </w:r>
          </w:p>
        </w:tc>
      </w:tr>
      <w:tr w14:paraId="126A50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5" w:hRule="atLeast"/>
          <w:jc w:val="center"/>
        </w:trPr>
        <w:tc>
          <w:tcPr>
            <w:tcW w:w="1371" w:type="pct"/>
            <w:tcBorders>
              <w:left w:val="single" w:color="auto" w:sz="12" w:space="0"/>
              <w:bottom w:val="single" w:color="auto" w:sz="12" w:space="0"/>
            </w:tcBorders>
            <w:vAlign w:val="center"/>
          </w:tcPr>
          <w:p w14:paraId="41C637B6">
            <w:pPr>
              <w:spacing w:line="360" w:lineRule="auto"/>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是否属于监狱企业</w:t>
            </w:r>
          </w:p>
        </w:tc>
        <w:tc>
          <w:tcPr>
            <w:tcW w:w="3628" w:type="pct"/>
            <w:tcBorders>
              <w:bottom w:val="single" w:color="auto" w:sz="12" w:space="0"/>
              <w:right w:val="single" w:color="auto" w:sz="12" w:space="0"/>
            </w:tcBorders>
            <w:vAlign w:val="center"/>
          </w:tcPr>
          <w:p w14:paraId="19A23BD1">
            <w:pPr>
              <w:spacing w:line="36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rPr>
              <w:t>是</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rPr>
              <w:t>否</w:t>
            </w:r>
          </w:p>
        </w:tc>
      </w:tr>
    </w:tbl>
    <w:p w14:paraId="041A8875">
      <w:pPr>
        <w:spacing w:line="400" w:lineRule="exact"/>
        <w:rPr>
          <w:rFonts w:hAnsi="宋体"/>
          <w:color w:val="auto"/>
          <w:sz w:val="21"/>
          <w:szCs w:val="21"/>
          <w:highlight w:val="none"/>
        </w:rPr>
      </w:pPr>
    </w:p>
    <w:p w14:paraId="74A3A42C">
      <w:pPr>
        <w:spacing w:line="400" w:lineRule="exact"/>
        <w:rPr>
          <w:rFonts w:hAnsi="宋体"/>
          <w:color w:val="auto"/>
          <w:sz w:val="21"/>
          <w:szCs w:val="21"/>
          <w:highlight w:val="none"/>
        </w:rPr>
      </w:pPr>
    </w:p>
    <w:p w14:paraId="2D978544">
      <w:pPr>
        <w:spacing w:line="400" w:lineRule="exact"/>
        <w:rPr>
          <w:rFonts w:hAnsi="宋体"/>
          <w:color w:val="auto"/>
          <w:sz w:val="21"/>
          <w:szCs w:val="21"/>
          <w:highlight w:val="none"/>
        </w:rPr>
      </w:pPr>
      <w:r>
        <w:rPr>
          <w:rFonts w:hint="eastAsia" w:hAnsi="宋体"/>
          <w:color w:val="auto"/>
          <w:sz w:val="21"/>
          <w:szCs w:val="21"/>
          <w:highlight w:val="none"/>
        </w:rPr>
        <w:t>供应商名称：</w:t>
      </w:r>
    </w:p>
    <w:p w14:paraId="2F671F8D">
      <w:pPr>
        <w:spacing w:line="400" w:lineRule="exact"/>
        <w:rPr>
          <w:rFonts w:hAnsi="宋体"/>
          <w:color w:val="auto"/>
          <w:sz w:val="21"/>
          <w:szCs w:val="21"/>
          <w:highlight w:val="none"/>
        </w:rPr>
      </w:pPr>
      <w:r>
        <w:rPr>
          <w:rFonts w:hint="eastAsia" w:hAnsi="宋体"/>
          <w:color w:val="auto"/>
          <w:sz w:val="21"/>
          <w:szCs w:val="21"/>
          <w:highlight w:val="none"/>
        </w:rPr>
        <w:t>供应商公章</w:t>
      </w:r>
      <w:r>
        <w:rPr>
          <w:rFonts w:hint="eastAsia" w:hAnsi="宋体" w:eastAsia="宋体"/>
          <w:color w:val="auto"/>
          <w:sz w:val="21"/>
          <w:szCs w:val="21"/>
          <w:highlight w:val="none"/>
          <w:lang w:eastAsia="zh-CN"/>
        </w:rPr>
        <w:t>：</w:t>
      </w:r>
    </w:p>
    <w:p w14:paraId="6CA88EBF">
      <w:pPr>
        <w:spacing w:line="400" w:lineRule="exact"/>
        <w:rPr>
          <w:rFonts w:hAnsi="宋体"/>
          <w:color w:val="auto"/>
          <w:sz w:val="21"/>
          <w:szCs w:val="21"/>
          <w:highlight w:val="none"/>
        </w:rPr>
      </w:pPr>
      <w:r>
        <w:rPr>
          <w:rFonts w:hint="eastAsia" w:hAnsi="宋体"/>
          <w:color w:val="auto"/>
          <w:sz w:val="21"/>
          <w:szCs w:val="21"/>
          <w:highlight w:val="none"/>
        </w:rPr>
        <w:t>授权代表</w:t>
      </w:r>
      <w:r>
        <w:rPr>
          <w:rFonts w:hint="eastAsia" w:hAnsi="宋体" w:eastAsia="宋体"/>
          <w:color w:val="auto"/>
          <w:sz w:val="21"/>
          <w:szCs w:val="21"/>
          <w:highlight w:val="none"/>
          <w:lang w:eastAsia="zh-CN"/>
        </w:rPr>
        <w:t>（</w:t>
      </w:r>
      <w:r>
        <w:rPr>
          <w:rFonts w:hint="eastAsia" w:hAnsi="宋体"/>
          <w:color w:val="auto"/>
          <w:sz w:val="21"/>
          <w:szCs w:val="21"/>
          <w:highlight w:val="none"/>
        </w:rPr>
        <w:t>签字</w:t>
      </w:r>
      <w:r>
        <w:rPr>
          <w:rFonts w:hint="eastAsia" w:hAnsi="宋体" w:eastAsia="宋体"/>
          <w:color w:val="auto"/>
          <w:sz w:val="21"/>
          <w:szCs w:val="21"/>
          <w:highlight w:val="none"/>
          <w:lang w:eastAsia="zh-CN"/>
        </w:rPr>
        <w:t>）：</w:t>
      </w:r>
    </w:p>
    <w:p w14:paraId="1DD3659F">
      <w:pPr>
        <w:spacing w:line="400" w:lineRule="exact"/>
        <w:rPr>
          <w:rFonts w:hint="eastAsia" w:hAnsi="宋体"/>
          <w:color w:val="auto"/>
          <w:sz w:val="21"/>
          <w:szCs w:val="21"/>
          <w:highlight w:val="none"/>
        </w:rPr>
      </w:pPr>
      <w:r>
        <w:rPr>
          <w:rFonts w:hint="eastAsia" w:hAnsi="宋体"/>
          <w:color w:val="auto"/>
          <w:sz w:val="21"/>
          <w:szCs w:val="21"/>
          <w:highlight w:val="none"/>
        </w:rPr>
        <w:t>日期：</w:t>
      </w:r>
      <w:bookmarkStart w:id="123" w:name="_Toc450570282"/>
    </w:p>
    <w:p w14:paraId="780FE4B4">
      <w:pPr>
        <w:rPr>
          <w:rFonts w:hint="eastAsia"/>
          <w:color w:val="auto"/>
          <w:highlight w:val="none"/>
        </w:rPr>
      </w:pPr>
      <w:r>
        <w:rPr>
          <w:rFonts w:hint="eastAsia"/>
          <w:color w:val="auto"/>
          <w:highlight w:val="none"/>
        </w:rPr>
        <w:br w:type="page"/>
      </w:r>
    </w:p>
    <w:p w14:paraId="1DBCCE1D">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3.分项报价表</w:t>
      </w:r>
    </w:p>
    <w:p w14:paraId="4B93D367">
      <w:pPr>
        <w:jc w:val="center"/>
        <w:outlineLvl w:val="2"/>
        <w:rPr>
          <w:rFonts w:hint="eastAsia" w:ascii="宋体" w:hAnsi="宋体" w:eastAsia="宋体" w:cs="宋体"/>
          <w:b/>
          <w:color w:val="auto"/>
          <w:kern w:val="2"/>
          <w:sz w:val="21"/>
          <w:szCs w:val="21"/>
          <w:highlight w:val="none"/>
          <w:lang w:val="zh-CN" w:eastAsia="zh-CN" w:bidi="ar-SA"/>
        </w:rPr>
      </w:pPr>
      <w:r>
        <w:rPr>
          <w:rFonts w:hint="eastAsia" w:ascii="宋体" w:hAnsi="宋体" w:eastAsia="宋体" w:cs="宋体"/>
          <w:b/>
          <w:color w:val="auto"/>
          <w:kern w:val="2"/>
          <w:sz w:val="21"/>
          <w:szCs w:val="21"/>
          <w:highlight w:val="none"/>
          <w:lang w:val="en-US" w:eastAsia="zh-CN" w:bidi="ar-SA"/>
        </w:rPr>
        <w:t>3.</w:t>
      </w:r>
      <w:r>
        <w:rPr>
          <w:rFonts w:hint="eastAsia" w:ascii="宋体" w:hAnsi="宋体" w:eastAsia="宋体" w:cs="宋体"/>
          <w:b/>
          <w:color w:val="auto"/>
          <w:kern w:val="2"/>
          <w:sz w:val="21"/>
          <w:szCs w:val="21"/>
          <w:highlight w:val="none"/>
          <w:lang w:val="zh-CN" w:eastAsia="zh-CN" w:bidi="ar-SA"/>
        </w:rPr>
        <w:t>分项报价表（</w:t>
      </w:r>
      <w:r>
        <w:rPr>
          <w:rFonts w:hint="eastAsia" w:ascii="宋体" w:hAnsi="宋体" w:eastAsia="宋体" w:cs="宋体"/>
          <w:b/>
          <w:color w:val="auto"/>
          <w:kern w:val="2"/>
          <w:sz w:val="21"/>
          <w:szCs w:val="21"/>
          <w:highlight w:val="none"/>
          <w:lang w:val="en-US" w:eastAsia="zh-CN" w:bidi="ar-SA"/>
        </w:rPr>
        <w:t>自行提供</w:t>
      </w:r>
      <w:r>
        <w:rPr>
          <w:rFonts w:hint="eastAsia" w:ascii="宋体" w:hAnsi="宋体" w:eastAsia="宋体" w:cs="宋体"/>
          <w:b/>
          <w:color w:val="auto"/>
          <w:kern w:val="2"/>
          <w:sz w:val="21"/>
          <w:szCs w:val="21"/>
          <w:highlight w:val="none"/>
          <w:lang w:val="zh-CN" w:eastAsia="zh-CN" w:bidi="ar-SA"/>
        </w:rPr>
        <w:t>）</w:t>
      </w:r>
    </w:p>
    <w:bookmarkEnd w:id="123"/>
    <w:p w14:paraId="78904BB9">
      <w:pPr>
        <w:rPr>
          <w:rFonts w:hAnsi="宋体"/>
          <w:color w:val="auto"/>
          <w:spacing w:val="20"/>
          <w:sz w:val="21"/>
          <w:szCs w:val="21"/>
          <w:highlight w:val="none"/>
        </w:rPr>
      </w:pPr>
    </w:p>
    <w:tbl>
      <w:tblPr>
        <w:tblStyle w:val="59"/>
        <w:tblW w:w="497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5"/>
        <w:gridCol w:w="2017"/>
        <w:gridCol w:w="1100"/>
        <w:gridCol w:w="629"/>
        <w:gridCol w:w="1122"/>
        <w:gridCol w:w="1394"/>
        <w:gridCol w:w="1219"/>
        <w:gridCol w:w="1368"/>
      </w:tblGrid>
      <w:tr w14:paraId="657682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558" w:type="pct"/>
            <w:gridSpan w:val="2"/>
            <w:tcBorders>
              <w:top w:val="nil"/>
              <w:left w:val="nil"/>
              <w:bottom w:val="nil"/>
              <w:right w:val="nil"/>
            </w:tcBorders>
            <w:noWrap w:val="0"/>
            <w:vAlign w:val="center"/>
          </w:tcPr>
          <w:p w14:paraId="4BF6E7EE">
            <w:pPr>
              <w:keepNext w:val="0"/>
              <w:keepLines w:val="0"/>
              <w:pageBreakBefore w:val="0"/>
              <w:widowControl w:val="0"/>
              <w:spacing w:line="240" w:lineRule="auto"/>
              <w:ind w:firstLine="0"/>
              <w:jc w:val="left"/>
              <w:rPr>
                <w:rFonts w:ascii="宋体" w:hAnsi="宋体" w:cs="宋体"/>
                <w:color w:val="auto"/>
                <w:szCs w:val="21"/>
                <w:highlight w:val="none"/>
                <w:lang w:val="zh-CN"/>
              </w:rPr>
            </w:pPr>
            <w:r>
              <w:rPr>
                <w:rFonts w:hint="eastAsia" w:ascii="宋体" w:hAnsi="宋体" w:cs="宋体"/>
                <w:color w:val="auto"/>
                <w:szCs w:val="21"/>
                <w:highlight w:val="none"/>
                <w:lang w:val="zh-CN"/>
              </w:rPr>
              <w:t>项目名称：</w:t>
            </w:r>
          </w:p>
        </w:tc>
        <w:tc>
          <w:tcPr>
            <w:tcW w:w="554" w:type="pct"/>
            <w:tcBorders>
              <w:top w:val="nil"/>
              <w:left w:val="nil"/>
              <w:bottom w:val="nil"/>
              <w:right w:val="nil"/>
            </w:tcBorders>
            <w:noWrap w:val="0"/>
            <w:vAlign w:val="center"/>
          </w:tcPr>
          <w:p w14:paraId="5C397F9C">
            <w:pPr>
              <w:keepNext w:val="0"/>
              <w:keepLines w:val="0"/>
              <w:pageBreakBefore w:val="0"/>
              <w:widowControl w:val="0"/>
              <w:spacing w:line="240" w:lineRule="auto"/>
              <w:ind w:firstLine="0"/>
              <w:jc w:val="left"/>
              <w:rPr>
                <w:rFonts w:ascii="宋体" w:hAnsi="宋体" w:cs="宋体"/>
                <w:color w:val="auto"/>
                <w:szCs w:val="21"/>
                <w:highlight w:val="none"/>
                <w:lang w:val="zh-CN"/>
              </w:rPr>
            </w:pPr>
          </w:p>
        </w:tc>
        <w:tc>
          <w:tcPr>
            <w:tcW w:w="2197" w:type="pct"/>
            <w:gridSpan w:val="4"/>
            <w:tcBorders>
              <w:top w:val="nil"/>
              <w:left w:val="nil"/>
              <w:bottom w:val="nil"/>
              <w:right w:val="nil"/>
            </w:tcBorders>
            <w:noWrap w:val="0"/>
            <w:vAlign w:val="center"/>
          </w:tcPr>
          <w:p w14:paraId="29C57BFD">
            <w:pPr>
              <w:keepNext w:val="0"/>
              <w:keepLines w:val="0"/>
              <w:pageBreakBefore w:val="0"/>
              <w:widowControl w:val="0"/>
              <w:spacing w:line="240" w:lineRule="auto"/>
              <w:ind w:firstLine="0"/>
              <w:jc w:val="left"/>
              <w:rPr>
                <w:rFonts w:hint="eastAsia" w:ascii="宋体" w:hAnsi="宋体" w:cs="宋体"/>
                <w:color w:val="auto"/>
                <w:szCs w:val="21"/>
                <w:highlight w:val="none"/>
                <w:lang w:val="zh-CN"/>
              </w:rPr>
            </w:pPr>
          </w:p>
        </w:tc>
        <w:tc>
          <w:tcPr>
            <w:tcW w:w="689" w:type="pct"/>
            <w:tcBorders>
              <w:top w:val="nil"/>
              <w:left w:val="nil"/>
              <w:bottom w:val="nil"/>
              <w:right w:val="nil"/>
            </w:tcBorders>
            <w:noWrap w:val="0"/>
            <w:vAlign w:val="center"/>
          </w:tcPr>
          <w:p w14:paraId="65A6A07A">
            <w:pPr>
              <w:keepNext w:val="0"/>
              <w:keepLines w:val="0"/>
              <w:pageBreakBefore w:val="0"/>
              <w:widowControl w:val="0"/>
              <w:spacing w:line="240" w:lineRule="auto"/>
              <w:ind w:firstLine="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项目编号：</w:t>
            </w:r>
          </w:p>
        </w:tc>
      </w:tr>
      <w:tr w14:paraId="6F16B8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542" w:type="pct"/>
            <w:noWrap w:val="0"/>
            <w:vAlign w:val="center"/>
          </w:tcPr>
          <w:p w14:paraId="05CB95E3">
            <w:pPr>
              <w:spacing w:line="240" w:lineRule="auto"/>
              <w:jc w:val="center"/>
              <w:rPr>
                <w:rFonts w:hint="default" w:ascii="宋体" w:hAnsi="宋体" w:eastAsia="宋体" w:cs="宋体"/>
                <w:b/>
                <w:color w:val="auto"/>
                <w:szCs w:val="21"/>
                <w:highlight w:val="none"/>
                <w:lang w:val="en-US" w:eastAsia="zh-CN"/>
              </w:rPr>
            </w:pPr>
            <w:r>
              <w:rPr>
                <w:rFonts w:hint="eastAsia" w:ascii="宋体" w:hAnsi="宋体" w:cs="宋体"/>
                <w:b/>
                <w:color w:val="auto"/>
                <w:szCs w:val="21"/>
                <w:highlight w:val="none"/>
                <w:lang w:val="en-US" w:eastAsia="zh-CN"/>
              </w:rPr>
              <w:t>休养类型</w:t>
            </w:r>
          </w:p>
        </w:tc>
        <w:tc>
          <w:tcPr>
            <w:tcW w:w="1015" w:type="pct"/>
            <w:noWrap w:val="0"/>
            <w:vAlign w:val="center"/>
          </w:tcPr>
          <w:p w14:paraId="099C4BAC">
            <w:pPr>
              <w:spacing w:line="240" w:lineRule="auto"/>
              <w:jc w:val="center"/>
              <w:rPr>
                <w:rFonts w:hint="eastAsia" w:ascii="宋体" w:hAnsi="宋体" w:eastAsia="宋体" w:cs="宋体"/>
                <w:b/>
                <w:color w:val="auto"/>
                <w:szCs w:val="21"/>
                <w:highlight w:val="none"/>
                <w:lang w:val="zh-CN" w:eastAsia="zh-CN"/>
              </w:rPr>
            </w:pPr>
            <w:r>
              <w:rPr>
                <w:rFonts w:hint="eastAsia" w:ascii="宋体" w:hAnsi="宋体" w:cs="宋体"/>
                <w:b/>
                <w:color w:val="auto"/>
                <w:szCs w:val="21"/>
                <w:highlight w:val="none"/>
                <w:lang w:val="en-US" w:eastAsia="zh-CN"/>
              </w:rPr>
              <w:t>批次</w:t>
            </w:r>
          </w:p>
        </w:tc>
        <w:tc>
          <w:tcPr>
            <w:tcW w:w="871" w:type="pct"/>
            <w:gridSpan w:val="2"/>
            <w:noWrap w:val="0"/>
            <w:vAlign w:val="center"/>
          </w:tcPr>
          <w:p w14:paraId="7B53FF92">
            <w:pPr>
              <w:spacing w:line="240" w:lineRule="auto"/>
              <w:jc w:val="center"/>
              <w:rPr>
                <w:rFonts w:ascii="宋体" w:hAnsi="宋体" w:cs="宋体"/>
                <w:b/>
                <w:color w:val="auto"/>
                <w:szCs w:val="21"/>
                <w:highlight w:val="none"/>
                <w:lang w:val="zh-CN"/>
              </w:rPr>
            </w:pPr>
            <w:r>
              <w:rPr>
                <w:rFonts w:hint="eastAsia" w:ascii="宋体" w:hAnsi="宋体" w:cs="宋体"/>
                <w:b/>
                <w:color w:val="auto"/>
                <w:szCs w:val="21"/>
                <w:highlight w:val="none"/>
                <w:lang w:val="en-US" w:eastAsia="zh-CN"/>
              </w:rPr>
              <w:t>行程安排</w:t>
            </w:r>
          </w:p>
        </w:tc>
        <w:tc>
          <w:tcPr>
            <w:tcW w:w="565" w:type="pct"/>
            <w:noWrap w:val="0"/>
            <w:vAlign w:val="center"/>
          </w:tcPr>
          <w:p w14:paraId="594564E5">
            <w:pPr>
              <w:spacing w:line="240" w:lineRule="auto"/>
              <w:jc w:val="center"/>
              <w:rPr>
                <w:rFonts w:hint="eastAsia" w:ascii="宋体" w:hAnsi="宋体" w:eastAsia="宋体" w:cs="宋体"/>
                <w:b/>
                <w:color w:val="auto"/>
                <w:szCs w:val="21"/>
                <w:highlight w:val="none"/>
                <w:lang w:val="zh-CN" w:eastAsia="zh-CN"/>
              </w:rPr>
            </w:pPr>
            <w:r>
              <w:rPr>
                <w:rFonts w:hint="eastAsia" w:ascii="宋体" w:hAnsi="宋体" w:cs="宋体"/>
                <w:b/>
                <w:color w:val="auto"/>
                <w:szCs w:val="21"/>
                <w:highlight w:val="none"/>
                <w:lang w:val="en-US" w:eastAsia="zh-CN"/>
              </w:rPr>
              <w:t>人数</w:t>
            </w:r>
          </w:p>
        </w:tc>
        <w:tc>
          <w:tcPr>
            <w:tcW w:w="702" w:type="pct"/>
            <w:noWrap w:val="0"/>
            <w:vAlign w:val="center"/>
          </w:tcPr>
          <w:p w14:paraId="5B6E3A65">
            <w:pPr>
              <w:spacing w:line="240" w:lineRule="auto"/>
              <w:jc w:val="center"/>
              <w:rPr>
                <w:rFonts w:hint="default" w:ascii="宋体" w:hAnsi="宋体" w:eastAsia="宋体" w:cs="宋体"/>
                <w:b/>
                <w:color w:val="auto"/>
                <w:szCs w:val="21"/>
                <w:highlight w:val="none"/>
                <w:lang w:val="en-US" w:eastAsia="zh-CN"/>
              </w:rPr>
            </w:pPr>
            <w:r>
              <w:rPr>
                <w:rFonts w:hint="eastAsia" w:ascii="宋体" w:hAnsi="宋体" w:cs="宋体"/>
                <w:b/>
                <w:color w:val="auto"/>
                <w:szCs w:val="21"/>
                <w:highlight w:val="none"/>
                <w:lang w:val="en-US" w:eastAsia="zh-CN"/>
              </w:rPr>
              <w:t>人均单价</w:t>
            </w:r>
            <w:r>
              <w:rPr>
                <w:rFonts w:hint="eastAsia" w:ascii="宋体" w:hAnsi="宋体" w:cs="宋体"/>
                <w:b/>
                <w:color w:val="auto"/>
                <w:szCs w:val="21"/>
                <w:highlight w:val="none"/>
                <w:lang w:val="zh-CN"/>
              </w:rPr>
              <w:t>（元</w:t>
            </w:r>
            <w:r>
              <w:rPr>
                <w:rFonts w:hint="eastAsia" w:ascii="宋体" w:hAnsi="宋体" w:cs="宋体"/>
                <w:b/>
                <w:color w:val="auto"/>
                <w:szCs w:val="21"/>
                <w:highlight w:val="none"/>
                <w:lang w:val="en-US" w:eastAsia="zh-CN"/>
              </w:rPr>
              <w:t>/人</w:t>
            </w:r>
            <w:r>
              <w:rPr>
                <w:rFonts w:hint="eastAsia" w:ascii="宋体" w:hAnsi="宋体" w:cs="宋体"/>
                <w:b/>
                <w:color w:val="auto"/>
                <w:szCs w:val="21"/>
                <w:highlight w:val="none"/>
                <w:lang w:val="zh-CN"/>
              </w:rPr>
              <w:t>）</w:t>
            </w:r>
          </w:p>
        </w:tc>
        <w:tc>
          <w:tcPr>
            <w:tcW w:w="612" w:type="pct"/>
            <w:noWrap w:val="0"/>
            <w:vAlign w:val="center"/>
          </w:tcPr>
          <w:p w14:paraId="494F2C4B">
            <w:pPr>
              <w:spacing w:line="240" w:lineRule="auto"/>
              <w:jc w:val="center"/>
              <w:rPr>
                <w:rFonts w:hint="eastAsia" w:ascii="宋体" w:hAnsi="宋体" w:cs="宋体"/>
                <w:b/>
                <w:color w:val="auto"/>
                <w:szCs w:val="21"/>
                <w:highlight w:val="none"/>
              </w:rPr>
            </w:pPr>
            <w:r>
              <w:rPr>
                <w:rFonts w:hint="eastAsia" w:ascii="宋体" w:hAnsi="宋体" w:cs="宋体"/>
                <w:b/>
                <w:color w:val="auto"/>
                <w:szCs w:val="21"/>
                <w:highlight w:val="none"/>
                <w:lang w:val="en-US" w:eastAsia="zh-CN"/>
              </w:rPr>
              <w:t>总价（元）</w:t>
            </w:r>
          </w:p>
        </w:tc>
        <w:tc>
          <w:tcPr>
            <w:tcW w:w="689" w:type="pct"/>
            <w:noWrap w:val="0"/>
            <w:vAlign w:val="center"/>
          </w:tcPr>
          <w:p w14:paraId="6BA52FFA">
            <w:pPr>
              <w:spacing w:line="240" w:lineRule="auto"/>
              <w:jc w:val="center"/>
              <w:rPr>
                <w:rFonts w:hint="default" w:ascii="宋体" w:hAnsi="宋体" w:eastAsia="宋体" w:cs="宋体"/>
                <w:b/>
                <w:color w:val="auto"/>
                <w:szCs w:val="21"/>
                <w:highlight w:val="none"/>
                <w:lang w:val="en-US" w:eastAsia="zh-CN"/>
              </w:rPr>
            </w:pPr>
            <w:r>
              <w:rPr>
                <w:rFonts w:hint="default" w:ascii="宋体" w:hAnsi="宋体" w:eastAsia="宋体" w:cs="宋体"/>
                <w:b/>
                <w:color w:val="auto"/>
                <w:szCs w:val="21"/>
                <w:highlight w:val="none"/>
                <w:lang w:val="en-US" w:eastAsia="zh-CN"/>
              </w:rPr>
              <w:t>是否属于小微型企业提供的服务</w:t>
            </w:r>
          </w:p>
        </w:tc>
      </w:tr>
      <w:tr w14:paraId="1D0AF7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jc w:val="center"/>
        </w:trPr>
        <w:tc>
          <w:tcPr>
            <w:tcW w:w="542" w:type="pct"/>
            <w:vMerge w:val="restart"/>
            <w:noWrap w:val="0"/>
            <w:vAlign w:val="top"/>
          </w:tcPr>
          <w:p w14:paraId="0E20B45E">
            <w:pPr>
              <w:spacing w:line="240" w:lineRule="auto"/>
              <w:jc w:val="center"/>
              <w:rPr>
                <w:rFonts w:ascii="宋体" w:hAnsi="宋体" w:cs="宋体"/>
                <w:color w:val="auto"/>
                <w:szCs w:val="21"/>
                <w:highlight w:val="none"/>
                <w:lang w:val="zh-CN"/>
              </w:rPr>
            </w:pPr>
          </w:p>
        </w:tc>
        <w:tc>
          <w:tcPr>
            <w:tcW w:w="1015" w:type="pct"/>
            <w:noWrap w:val="0"/>
            <w:vAlign w:val="top"/>
          </w:tcPr>
          <w:p w14:paraId="5CEEBAD6">
            <w:pPr>
              <w:spacing w:line="240" w:lineRule="auto"/>
              <w:jc w:val="center"/>
              <w:rPr>
                <w:rFonts w:hint="default" w:ascii="宋体" w:hAnsi="宋体" w:eastAsia="宋体" w:cs="宋体"/>
                <w:color w:val="auto"/>
                <w:szCs w:val="21"/>
                <w:highlight w:val="none"/>
                <w:lang w:val="en-US" w:eastAsia="zh-CN"/>
              </w:rPr>
            </w:pPr>
          </w:p>
        </w:tc>
        <w:tc>
          <w:tcPr>
            <w:tcW w:w="871" w:type="pct"/>
            <w:gridSpan w:val="2"/>
            <w:noWrap w:val="0"/>
            <w:vAlign w:val="top"/>
          </w:tcPr>
          <w:p w14:paraId="45E29EA2">
            <w:pPr>
              <w:spacing w:line="240" w:lineRule="auto"/>
              <w:jc w:val="center"/>
              <w:rPr>
                <w:rFonts w:ascii="宋体" w:hAnsi="宋体" w:cs="宋体"/>
                <w:color w:val="auto"/>
                <w:szCs w:val="21"/>
                <w:highlight w:val="none"/>
                <w:lang w:val="zh-CN"/>
              </w:rPr>
            </w:pPr>
          </w:p>
        </w:tc>
        <w:tc>
          <w:tcPr>
            <w:tcW w:w="565" w:type="pct"/>
            <w:noWrap w:val="0"/>
            <w:vAlign w:val="top"/>
          </w:tcPr>
          <w:p w14:paraId="5F37B74B">
            <w:pPr>
              <w:spacing w:line="240" w:lineRule="auto"/>
              <w:jc w:val="center"/>
              <w:rPr>
                <w:rFonts w:hint="default" w:ascii="宋体" w:hAnsi="宋体" w:eastAsia="宋体" w:cs="宋体"/>
                <w:color w:val="auto"/>
                <w:szCs w:val="21"/>
                <w:highlight w:val="none"/>
                <w:lang w:val="en-US" w:eastAsia="zh-CN"/>
              </w:rPr>
            </w:pPr>
          </w:p>
        </w:tc>
        <w:tc>
          <w:tcPr>
            <w:tcW w:w="702" w:type="pct"/>
            <w:noWrap w:val="0"/>
            <w:vAlign w:val="top"/>
          </w:tcPr>
          <w:p w14:paraId="3F1D422F">
            <w:pPr>
              <w:spacing w:line="240" w:lineRule="auto"/>
              <w:jc w:val="left"/>
              <w:rPr>
                <w:rFonts w:ascii="宋体" w:hAnsi="宋体" w:cs="宋体"/>
                <w:color w:val="auto"/>
                <w:szCs w:val="21"/>
                <w:highlight w:val="none"/>
                <w:lang w:val="zh-CN"/>
              </w:rPr>
            </w:pPr>
          </w:p>
        </w:tc>
        <w:tc>
          <w:tcPr>
            <w:tcW w:w="612" w:type="pct"/>
            <w:noWrap w:val="0"/>
            <w:vAlign w:val="top"/>
          </w:tcPr>
          <w:p w14:paraId="02A1B687">
            <w:pPr>
              <w:spacing w:line="240" w:lineRule="auto"/>
              <w:jc w:val="left"/>
              <w:rPr>
                <w:rFonts w:ascii="宋体" w:hAnsi="宋体" w:cs="宋体"/>
                <w:color w:val="auto"/>
                <w:szCs w:val="21"/>
                <w:highlight w:val="none"/>
                <w:lang w:val="zh-CN"/>
              </w:rPr>
            </w:pPr>
          </w:p>
        </w:tc>
        <w:tc>
          <w:tcPr>
            <w:tcW w:w="689" w:type="pct"/>
            <w:noWrap w:val="0"/>
            <w:vAlign w:val="top"/>
          </w:tcPr>
          <w:p w14:paraId="797A29A6">
            <w:pPr>
              <w:spacing w:line="240" w:lineRule="auto"/>
              <w:jc w:val="left"/>
              <w:rPr>
                <w:rFonts w:ascii="宋体" w:hAnsi="宋体" w:cs="宋体"/>
                <w:color w:val="auto"/>
                <w:szCs w:val="21"/>
                <w:highlight w:val="none"/>
                <w:lang w:val="zh-CN"/>
              </w:rPr>
            </w:pPr>
          </w:p>
        </w:tc>
      </w:tr>
      <w:tr w14:paraId="6D806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542" w:type="pct"/>
            <w:vMerge w:val="continue"/>
            <w:noWrap w:val="0"/>
            <w:vAlign w:val="top"/>
          </w:tcPr>
          <w:p w14:paraId="2ABA4C6C">
            <w:pPr>
              <w:spacing w:line="240" w:lineRule="auto"/>
              <w:jc w:val="center"/>
              <w:rPr>
                <w:rFonts w:ascii="宋体" w:hAnsi="宋体" w:cs="宋体"/>
                <w:color w:val="auto"/>
                <w:szCs w:val="21"/>
                <w:highlight w:val="none"/>
                <w:lang w:val="zh-CN"/>
              </w:rPr>
            </w:pPr>
          </w:p>
        </w:tc>
        <w:tc>
          <w:tcPr>
            <w:tcW w:w="1015" w:type="pct"/>
            <w:noWrap w:val="0"/>
            <w:vAlign w:val="top"/>
          </w:tcPr>
          <w:p w14:paraId="217C6290">
            <w:pPr>
              <w:spacing w:line="240" w:lineRule="auto"/>
              <w:jc w:val="center"/>
              <w:rPr>
                <w:rFonts w:ascii="宋体" w:hAnsi="宋体" w:cs="宋体"/>
                <w:color w:val="auto"/>
                <w:szCs w:val="21"/>
                <w:highlight w:val="none"/>
                <w:lang w:val="zh-CN"/>
              </w:rPr>
            </w:pPr>
          </w:p>
        </w:tc>
        <w:tc>
          <w:tcPr>
            <w:tcW w:w="871" w:type="pct"/>
            <w:gridSpan w:val="2"/>
            <w:noWrap w:val="0"/>
            <w:vAlign w:val="top"/>
          </w:tcPr>
          <w:p w14:paraId="70D661C0">
            <w:pPr>
              <w:spacing w:line="240" w:lineRule="auto"/>
              <w:jc w:val="center"/>
              <w:rPr>
                <w:rFonts w:ascii="宋体" w:hAnsi="宋体" w:cs="宋体"/>
                <w:color w:val="auto"/>
                <w:szCs w:val="21"/>
                <w:highlight w:val="none"/>
                <w:lang w:val="zh-CN"/>
              </w:rPr>
            </w:pPr>
          </w:p>
        </w:tc>
        <w:tc>
          <w:tcPr>
            <w:tcW w:w="565" w:type="pct"/>
            <w:noWrap w:val="0"/>
            <w:vAlign w:val="top"/>
          </w:tcPr>
          <w:p w14:paraId="5F066D02">
            <w:pPr>
              <w:spacing w:line="240" w:lineRule="auto"/>
              <w:jc w:val="center"/>
              <w:rPr>
                <w:rFonts w:hint="default" w:ascii="宋体" w:hAnsi="宋体" w:eastAsia="宋体" w:cs="宋体"/>
                <w:color w:val="auto"/>
                <w:szCs w:val="21"/>
                <w:highlight w:val="none"/>
                <w:lang w:val="en-US" w:eastAsia="zh-CN"/>
              </w:rPr>
            </w:pPr>
          </w:p>
        </w:tc>
        <w:tc>
          <w:tcPr>
            <w:tcW w:w="702" w:type="pct"/>
            <w:noWrap w:val="0"/>
            <w:vAlign w:val="top"/>
          </w:tcPr>
          <w:p w14:paraId="6BB6FC48">
            <w:pPr>
              <w:spacing w:line="240" w:lineRule="auto"/>
              <w:jc w:val="left"/>
              <w:rPr>
                <w:rFonts w:ascii="宋体" w:hAnsi="宋体" w:cs="宋体"/>
                <w:color w:val="auto"/>
                <w:szCs w:val="21"/>
                <w:highlight w:val="none"/>
                <w:lang w:val="zh-CN"/>
              </w:rPr>
            </w:pPr>
          </w:p>
        </w:tc>
        <w:tc>
          <w:tcPr>
            <w:tcW w:w="612" w:type="pct"/>
            <w:noWrap w:val="0"/>
            <w:vAlign w:val="top"/>
          </w:tcPr>
          <w:p w14:paraId="28823D73">
            <w:pPr>
              <w:spacing w:line="240" w:lineRule="auto"/>
              <w:jc w:val="left"/>
              <w:rPr>
                <w:rFonts w:ascii="宋体" w:hAnsi="宋体" w:cs="宋体"/>
                <w:color w:val="auto"/>
                <w:szCs w:val="21"/>
                <w:highlight w:val="none"/>
                <w:lang w:val="zh-CN"/>
              </w:rPr>
            </w:pPr>
          </w:p>
        </w:tc>
        <w:tc>
          <w:tcPr>
            <w:tcW w:w="689" w:type="pct"/>
            <w:noWrap w:val="0"/>
            <w:vAlign w:val="top"/>
          </w:tcPr>
          <w:p w14:paraId="4E459E45">
            <w:pPr>
              <w:spacing w:line="240" w:lineRule="auto"/>
              <w:jc w:val="left"/>
              <w:rPr>
                <w:rFonts w:ascii="宋体" w:hAnsi="宋体" w:cs="宋体"/>
                <w:color w:val="auto"/>
                <w:szCs w:val="21"/>
                <w:highlight w:val="none"/>
                <w:lang w:val="zh-CN"/>
              </w:rPr>
            </w:pPr>
          </w:p>
        </w:tc>
      </w:tr>
      <w:tr w14:paraId="1A41B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542" w:type="pct"/>
            <w:vMerge w:val="continue"/>
            <w:noWrap w:val="0"/>
            <w:vAlign w:val="top"/>
          </w:tcPr>
          <w:p w14:paraId="1FFB3EE8">
            <w:pPr>
              <w:spacing w:line="240" w:lineRule="auto"/>
              <w:jc w:val="center"/>
              <w:rPr>
                <w:rFonts w:ascii="宋体" w:hAnsi="宋体" w:cs="宋体"/>
                <w:color w:val="auto"/>
                <w:szCs w:val="21"/>
                <w:highlight w:val="none"/>
                <w:lang w:val="zh-CN"/>
              </w:rPr>
            </w:pPr>
          </w:p>
        </w:tc>
        <w:tc>
          <w:tcPr>
            <w:tcW w:w="1015" w:type="pct"/>
            <w:noWrap w:val="0"/>
            <w:vAlign w:val="top"/>
          </w:tcPr>
          <w:p w14:paraId="2694BC2B">
            <w:pPr>
              <w:spacing w:line="240" w:lineRule="auto"/>
              <w:jc w:val="center"/>
              <w:rPr>
                <w:rFonts w:ascii="宋体" w:hAnsi="宋体" w:cs="宋体"/>
                <w:color w:val="auto"/>
                <w:szCs w:val="21"/>
                <w:highlight w:val="none"/>
                <w:lang w:val="zh-CN"/>
              </w:rPr>
            </w:pPr>
          </w:p>
        </w:tc>
        <w:tc>
          <w:tcPr>
            <w:tcW w:w="871" w:type="pct"/>
            <w:gridSpan w:val="2"/>
            <w:noWrap w:val="0"/>
            <w:vAlign w:val="top"/>
          </w:tcPr>
          <w:p w14:paraId="020854E8">
            <w:pPr>
              <w:spacing w:line="240" w:lineRule="auto"/>
              <w:jc w:val="center"/>
              <w:rPr>
                <w:rFonts w:ascii="宋体" w:hAnsi="宋体" w:cs="宋体"/>
                <w:color w:val="auto"/>
                <w:szCs w:val="21"/>
                <w:highlight w:val="none"/>
                <w:lang w:val="zh-CN"/>
              </w:rPr>
            </w:pPr>
          </w:p>
        </w:tc>
        <w:tc>
          <w:tcPr>
            <w:tcW w:w="565" w:type="pct"/>
            <w:noWrap w:val="0"/>
            <w:vAlign w:val="top"/>
          </w:tcPr>
          <w:p w14:paraId="376F62B7">
            <w:pPr>
              <w:spacing w:line="240" w:lineRule="auto"/>
              <w:jc w:val="center"/>
              <w:rPr>
                <w:rFonts w:hint="default" w:ascii="宋体" w:hAnsi="宋体" w:eastAsia="宋体" w:cs="宋体"/>
                <w:color w:val="auto"/>
                <w:szCs w:val="21"/>
                <w:highlight w:val="none"/>
                <w:lang w:val="en-US" w:eastAsia="zh-CN"/>
              </w:rPr>
            </w:pPr>
          </w:p>
        </w:tc>
        <w:tc>
          <w:tcPr>
            <w:tcW w:w="702" w:type="pct"/>
            <w:noWrap w:val="0"/>
            <w:vAlign w:val="top"/>
          </w:tcPr>
          <w:p w14:paraId="44DEB008">
            <w:pPr>
              <w:spacing w:line="240" w:lineRule="auto"/>
              <w:jc w:val="left"/>
              <w:rPr>
                <w:rFonts w:ascii="宋体" w:hAnsi="宋体" w:cs="宋体"/>
                <w:color w:val="auto"/>
                <w:szCs w:val="21"/>
                <w:highlight w:val="none"/>
                <w:lang w:val="zh-CN"/>
              </w:rPr>
            </w:pPr>
          </w:p>
        </w:tc>
        <w:tc>
          <w:tcPr>
            <w:tcW w:w="612" w:type="pct"/>
            <w:noWrap w:val="0"/>
            <w:vAlign w:val="top"/>
          </w:tcPr>
          <w:p w14:paraId="7FEAE3F8">
            <w:pPr>
              <w:spacing w:line="240" w:lineRule="auto"/>
              <w:jc w:val="left"/>
              <w:rPr>
                <w:rFonts w:ascii="宋体" w:hAnsi="宋体" w:cs="宋体"/>
                <w:color w:val="auto"/>
                <w:szCs w:val="21"/>
                <w:highlight w:val="none"/>
                <w:lang w:val="zh-CN"/>
              </w:rPr>
            </w:pPr>
          </w:p>
        </w:tc>
        <w:tc>
          <w:tcPr>
            <w:tcW w:w="689" w:type="pct"/>
            <w:noWrap w:val="0"/>
            <w:vAlign w:val="top"/>
          </w:tcPr>
          <w:p w14:paraId="7DAFCD0D">
            <w:pPr>
              <w:spacing w:line="240" w:lineRule="auto"/>
              <w:jc w:val="left"/>
              <w:rPr>
                <w:rFonts w:ascii="宋体" w:hAnsi="宋体" w:cs="宋体"/>
                <w:color w:val="auto"/>
                <w:szCs w:val="21"/>
                <w:highlight w:val="none"/>
                <w:lang w:val="zh-CN"/>
              </w:rPr>
            </w:pPr>
          </w:p>
        </w:tc>
      </w:tr>
      <w:tr w14:paraId="49BD20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542" w:type="pct"/>
            <w:vMerge w:val="restart"/>
            <w:noWrap w:val="0"/>
            <w:vAlign w:val="top"/>
          </w:tcPr>
          <w:p w14:paraId="55B1532E">
            <w:pPr>
              <w:spacing w:line="240" w:lineRule="auto"/>
              <w:jc w:val="center"/>
              <w:rPr>
                <w:rFonts w:ascii="宋体" w:hAnsi="宋体" w:cs="宋体"/>
                <w:color w:val="auto"/>
                <w:szCs w:val="21"/>
                <w:highlight w:val="none"/>
                <w:lang w:val="zh-CN"/>
              </w:rPr>
            </w:pPr>
          </w:p>
        </w:tc>
        <w:tc>
          <w:tcPr>
            <w:tcW w:w="1015" w:type="pct"/>
            <w:noWrap w:val="0"/>
            <w:vAlign w:val="top"/>
          </w:tcPr>
          <w:p w14:paraId="32D7D739">
            <w:pPr>
              <w:spacing w:line="240" w:lineRule="auto"/>
              <w:jc w:val="center"/>
              <w:rPr>
                <w:rFonts w:ascii="宋体" w:hAnsi="宋体" w:cs="宋体"/>
                <w:color w:val="auto"/>
                <w:szCs w:val="21"/>
                <w:highlight w:val="none"/>
                <w:lang w:val="zh-CN"/>
              </w:rPr>
            </w:pPr>
          </w:p>
        </w:tc>
        <w:tc>
          <w:tcPr>
            <w:tcW w:w="871" w:type="pct"/>
            <w:gridSpan w:val="2"/>
            <w:noWrap w:val="0"/>
            <w:vAlign w:val="top"/>
          </w:tcPr>
          <w:p w14:paraId="75F35AEB">
            <w:pPr>
              <w:spacing w:line="240" w:lineRule="auto"/>
              <w:jc w:val="center"/>
              <w:rPr>
                <w:rFonts w:ascii="宋体" w:hAnsi="宋体" w:cs="宋体"/>
                <w:color w:val="auto"/>
                <w:szCs w:val="21"/>
                <w:highlight w:val="none"/>
                <w:lang w:val="zh-CN"/>
              </w:rPr>
            </w:pPr>
          </w:p>
        </w:tc>
        <w:tc>
          <w:tcPr>
            <w:tcW w:w="565" w:type="pct"/>
            <w:noWrap w:val="0"/>
            <w:vAlign w:val="top"/>
          </w:tcPr>
          <w:p w14:paraId="29F552B3">
            <w:pPr>
              <w:spacing w:line="240" w:lineRule="auto"/>
              <w:jc w:val="center"/>
              <w:rPr>
                <w:rFonts w:hint="default" w:ascii="宋体" w:hAnsi="宋体" w:eastAsia="宋体" w:cs="宋体"/>
                <w:color w:val="auto"/>
                <w:szCs w:val="21"/>
                <w:highlight w:val="none"/>
                <w:lang w:val="en-US" w:eastAsia="zh-CN"/>
              </w:rPr>
            </w:pPr>
          </w:p>
        </w:tc>
        <w:tc>
          <w:tcPr>
            <w:tcW w:w="702" w:type="pct"/>
            <w:noWrap w:val="0"/>
            <w:vAlign w:val="top"/>
          </w:tcPr>
          <w:p w14:paraId="23302FD7">
            <w:pPr>
              <w:spacing w:line="240" w:lineRule="auto"/>
              <w:jc w:val="left"/>
              <w:rPr>
                <w:rFonts w:ascii="宋体" w:hAnsi="宋体" w:cs="宋体"/>
                <w:color w:val="auto"/>
                <w:szCs w:val="21"/>
                <w:highlight w:val="none"/>
                <w:lang w:val="zh-CN"/>
              </w:rPr>
            </w:pPr>
          </w:p>
        </w:tc>
        <w:tc>
          <w:tcPr>
            <w:tcW w:w="612" w:type="pct"/>
            <w:noWrap w:val="0"/>
            <w:vAlign w:val="top"/>
          </w:tcPr>
          <w:p w14:paraId="0D31DF13">
            <w:pPr>
              <w:spacing w:line="240" w:lineRule="auto"/>
              <w:jc w:val="left"/>
              <w:rPr>
                <w:rFonts w:ascii="宋体" w:hAnsi="宋体" w:cs="宋体"/>
                <w:color w:val="auto"/>
                <w:szCs w:val="21"/>
                <w:highlight w:val="none"/>
                <w:lang w:val="zh-CN"/>
              </w:rPr>
            </w:pPr>
          </w:p>
        </w:tc>
        <w:tc>
          <w:tcPr>
            <w:tcW w:w="689" w:type="pct"/>
            <w:noWrap w:val="0"/>
            <w:vAlign w:val="top"/>
          </w:tcPr>
          <w:p w14:paraId="139BC96C">
            <w:pPr>
              <w:spacing w:line="240" w:lineRule="auto"/>
              <w:jc w:val="left"/>
              <w:rPr>
                <w:rFonts w:ascii="宋体" w:hAnsi="宋体" w:cs="宋体"/>
                <w:color w:val="auto"/>
                <w:szCs w:val="21"/>
                <w:highlight w:val="none"/>
                <w:lang w:val="zh-CN"/>
              </w:rPr>
            </w:pPr>
          </w:p>
        </w:tc>
      </w:tr>
      <w:tr w14:paraId="65DE9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542" w:type="pct"/>
            <w:vMerge w:val="continue"/>
            <w:noWrap w:val="0"/>
            <w:vAlign w:val="top"/>
          </w:tcPr>
          <w:p w14:paraId="67D007BB">
            <w:pPr>
              <w:spacing w:line="240" w:lineRule="auto"/>
              <w:jc w:val="center"/>
              <w:rPr>
                <w:rFonts w:ascii="宋体" w:hAnsi="宋体" w:cs="宋体"/>
                <w:color w:val="auto"/>
                <w:szCs w:val="21"/>
                <w:highlight w:val="none"/>
                <w:lang w:val="zh-CN"/>
              </w:rPr>
            </w:pPr>
          </w:p>
        </w:tc>
        <w:tc>
          <w:tcPr>
            <w:tcW w:w="1015" w:type="pct"/>
            <w:noWrap w:val="0"/>
            <w:vAlign w:val="top"/>
          </w:tcPr>
          <w:p w14:paraId="48839320">
            <w:pPr>
              <w:spacing w:line="240" w:lineRule="auto"/>
              <w:jc w:val="center"/>
              <w:rPr>
                <w:rFonts w:hint="default" w:ascii="宋体" w:hAnsi="宋体" w:eastAsia="宋体" w:cs="宋体"/>
                <w:color w:val="auto"/>
                <w:szCs w:val="21"/>
                <w:highlight w:val="none"/>
                <w:lang w:val="en-US" w:eastAsia="zh-CN"/>
              </w:rPr>
            </w:pPr>
          </w:p>
        </w:tc>
        <w:tc>
          <w:tcPr>
            <w:tcW w:w="871" w:type="pct"/>
            <w:gridSpan w:val="2"/>
            <w:noWrap w:val="0"/>
            <w:vAlign w:val="top"/>
          </w:tcPr>
          <w:p w14:paraId="131DEDA8">
            <w:pPr>
              <w:spacing w:line="240" w:lineRule="auto"/>
              <w:jc w:val="center"/>
              <w:rPr>
                <w:rFonts w:ascii="宋体" w:hAnsi="宋体" w:cs="宋体"/>
                <w:color w:val="auto"/>
                <w:szCs w:val="21"/>
                <w:highlight w:val="none"/>
                <w:lang w:val="zh-CN"/>
              </w:rPr>
            </w:pPr>
          </w:p>
        </w:tc>
        <w:tc>
          <w:tcPr>
            <w:tcW w:w="565" w:type="pct"/>
            <w:noWrap w:val="0"/>
            <w:vAlign w:val="top"/>
          </w:tcPr>
          <w:p w14:paraId="063C44B9">
            <w:pPr>
              <w:spacing w:line="240" w:lineRule="auto"/>
              <w:jc w:val="center"/>
              <w:rPr>
                <w:rFonts w:hint="default" w:ascii="宋体" w:hAnsi="宋体" w:eastAsia="宋体" w:cs="宋体"/>
                <w:color w:val="auto"/>
                <w:szCs w:val="21"/>
                <w:highlight w:val="none"/>
                <w:lang w:val="en-US" w:eastAsia="zh-CN"/>
              </w:rPr>
            </w:pPr>
          </w:p>
        </w:tc>
        <w:tc>
          <w:tcPr>
            <w:tcW w:w="702" w:type="pct"/>
            <w:noWrap w:val="0"/>
            <w:vAlign w:val="top"/>
          </w:tcPr>
          <w:p w14:paraId="5A42E8E2">
            <w:pPr>
              <w:spacing w:line="240" w:lineRule="auto"/>
              <w:jc w:val="left"/>
              <w:rPr>
                <w:rFonts w:ascii="宋体" w:hAnsi="宋体" w:cs="宋体"/>
                <w:color w:val="auto"/>
                <w:szCs w:val="21"/>
                <w:highlight w:val="none"/>
                <w:lang w:val="zh-CN"/>
              </w:rPr>
            </w:pPr>
          </w:p>
        </w:tc>
        <w:tc>
          <w:tcPr>
            <w:tcW w:w="612" w:type="pct"/>
            <w:noWrap w:val="0"/>
            <w:vAlign w:val="top"/>
          </w:tcPr>
          <w:p w14:paraId="53DAAC7B">
            <w:pPr>
              <w:spacing w:line="240" w:lineRule="auto"/>
              <w:jc w:val="left"/>
              <w:rPr>
                <w:rFonts w:ascii="宋体" w:hAnsi="宋体" w:cs="宋体"/>
                <w:color w:val="auto"/>
                <w:szCs w:val="21"/>
                <w:highlight w:val="none"/>
                <w:lang w:val="zh-CN"/>
              </w:rPr>
            </w:pPr>
          </w:p>
        </w:tc>
        <w:tc>
          <w:tcPr>
            <w:tcW w:w="689" w:type="pct"/>
            <w:noWrap w:val="0"/>
            <w:vAlign w:val="top"/>
          </w:tcPr>
          <w:p w14:paraId="03DB1DDC">
            <w:pPr>
              <w:spacing w:line="240" w:lineRule="auto"/>
              <w:jc w:val="left"/>
              <w:rPr>
                <w:rFonts w:ascii="宋体" w:hAnsi="宋体" w:cs="宋体"/>
                <w:color w:val="auto"/>
                <w:szCs w:val="21"/>
                <w:highlight w:val="none"/>
                <w:lang w:val="zh-CN"/>
              </w:rPr>
            </w:pPr>
          </w:p>
        </w:tc>
      </w:tr>
      <w:tr w14:paraId="215666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558" w:type="pct"/>
            <w:gridSpan w:val="2"/>
            <w:noWrap w:val="0"/>
            <w:vAlign w:val="center"/>
          </w:tcPr>
          <w:p w14:paraId="532B2BD0">
            <w:pPr>
              <w:spacing w:line="240" w:lineRule="auto"/>
              <w:jc w:val="left"/>
              <w:rPr>
                <w:rFonts w:ascii="宋体" w:hAnsi="宋体" w:cs="宋体"/>
                <w:color w:val="auto"/>
                <w:szCs w:val="21"/>
                <w:highlight w:val="none"/>
                <w:lang w:val="zh-CN"/>
              </w:rPr>
            </w:pPr>
            <w:r>
              <w:rPr>
                <w:rFonts w:hint="eastAsia" w:ascii="宋体" w:hAnsi="宋体" w:cs="宋体"/>
                <w:color w:val="auto"/>
                <w:szCs w:val="21"/>
                <w:highlight w:val="none"/>
                <w:lang w:val="zh-CN"/>
              </w:rPr>
              <w:t>总价</w:t>
            </w:r>
            <w:r>
              <w:rPr>
                <w:rFonts w:hint="eastAsia" w:ascii="宋体" w:hAnsi="宋体" w:cs="宋体"/>
                <w:color w:val="auto"/>
                <w:szCs w:val="21"/>
                <w:highlight w:val="none"/>
                <w:lang w:val="en-US" w:eastAsia="zh-CN"/>
              </w:rPr>
              <w:t>合</w:t>
            </w:r>
            <w:r>
              <w:rPr>
                <w:rFonts w:hint="eastAsia" w:ascii="宋体" w:hAnsi="宋体" w:cs="宋体"/>
                <w:color w:val="auto"/>
                <w:szCs w:val="21"/>
                <w:highlight w:val="none"/>
                <w:lang w:val="zh-CN"/>
              </w:rPr>
              <w:t>计：</w:t>
            </w:r>
          </w:p>
        </w:tc>
        <w:tc>
          <w:tcPr>
            <w:tcW w:w="2752" w:type="pct"/>
            <w:gridSpan w:val="5"/>
            <w:noWrap w:val="0"/>
            <w:vAlign w:val="top"/>
          </w:tcPr>
          <w:p w14:paraId="7CF9E363">
            <w:pPr>
              <w:spacing w:line="240" w:lineRule="auto"/>
              <w:jc w:val="left"/>
              <w:rPr>
                <w:rFonts w:ascii="宋体" w:hAnsi="宋体" w:cs="宋体"/>
                <w:color w:val="auto"/>
                <w:szCs w:val="21"/>
                <w:highlight w:val="none"/>
                <w:lang w:val="zh-CN"/>
              </w:rPr>
            </w:pPr>
          </w:p>
          <w:p w14:paraId="465601A6">
            <w:pPr>
              <w:rPr>
                <w:color w:val="auto"/>
                <w:highlight w:val="none"/>
              </w:rPr>
            </w:pPr>
          </w:p>
        </w:tc>
        <w:tc>
          <w:tcPr>
            <w:tcW w:w="689" w:type="pct"/>
            <w:noWrap w:val="0"/>
            <w:vAlign w:val="top"/>
          </w:tcPr>
          <w:p w14:paraId="3B3E0D45">
            <w:pPr>
              <w:spacing w:line="240" w:lineRule="auto"/>
              <w:jc w:val="left"/>
              <w:rPr>
                <w:rFonts w:ascii="宋体" w:hAnsi="宋体" w:cs="宋体"/>
                <w:color w:val="auto"/>
                <w:szCs w:val="21"/>
                <w:highlight w:val="none"/>
                <w:lang w:val="zh-CN"/>
              </w:rPr>
            </w:pPr>
          </w:p>
        </w:tc>
      </w:tr>
    </w:tbl>
    <w:p w14:paraId="652DB8BA">
      <w:pPr>
        <w:spacing w:line="400" w:lineRule="exact"/>
        <w:rPr>
          <w:rFonts w:hint="eastAsia" w:hAnsi="宋体"/>
          <w:b/>
          <w:color w:val="auto"/>
          <w:sz w:val="21"/>
          <w:szCs w:val="21"/>
          <w:highlight w:val="none"/>
        </w:rPr>
      </w:pPr>
    </w:p>
    <w:p w14:paraId="67E02463">
      <w:pPr>
        <w:spacing w:line="400" w:lineRule="exact"/>
        <w:rPr>
          <w:rFonts w:hAnsi="宋体"/>
          <w:color w:val="auto"/>
          <w:sz w:val="21"/>
          <w:szCs w:val="21"/>
          <w:highlight w:val="none"/>
        </w:rPr>
      </w:pPr>
      <w:r>
        <w:rPr>
          <w:rFonts w:hint="eastAsia" w:hAnsi="宋体"/>
          <w:color w:val="auto"/>
          <w:sz w:val="21"/>
          <w:szCs w:val="21"/>
          <w:highlight w:val="none"/>
        </w:rPr>
        <w:t>供应商名称：</w:t>
      </w:r>
    </w:p>
    <w:p w14:paraId="4497022E">
      <w:pPr>
        <w:spacing w:line="400" w:lineRule="exact"/>
        <w:rPr>
          <w:rFonts w:hAnsi="宋体"/>
          <w:color w:val="auto"/>
          <w:sz w:val="21"/>
          <w:szCs w:val="21"/>
          <w:highlight w:val="none"/>
        </w:rPr>
      </w:pPr>
      <w:r>
        <w:rPr>
          <w:rFonts w:hint="eastAsia" w:hAnsi="宋体"/>
          <w:color w:val="auto"/>
          <w:sz w:val="21"/>
          <w:szCs w:val="21"/>
          <w:highlight w:val="none"/>
        </w:rPr>
        <w:t>供应商公章</w:t>
      </w:r>
      <w:r>
        <w:rPr>
          <w:rFonts w:hint="eastAsia" w:hAnsi="宋体" w:eastAsia="宋体"/>
          <w:color w:val="auto"/>
          <w:sz w:val="21"/>
          <w:szCs w:val="21"/>
          <w:highlight w:val="none"/>
          <w:lang w:eastAsia="zh-CN"/>
        </w:rPr>
        <w:t>：</w:t>
      </w:r>
    </w:p>
    <w:p w14:paraId="17DB7C17">
      <w:pPr>
        <w:spacing w:line="400" w:lineRule="exact"/>
        <w:rPr>
          <w:rFonts w:hAnsi="宋体"/>
          <w:color w:val="auto"/>
          <w:sz w:val="21"/>
          <w:szCs w:val="21"/>
          <w:highlight w:val="none"/>
        </w:rPr>
      </w:pPr>
      <w:r>
        <w:rPr>
          <w:rFonts w:hint="eastAsia" w:hAnsi="宋体"/>
          <w:color w:val="auto"/>
          <w:sz w:val="21"/>
          <w:szCs w:val="21"/>
          <w:highlight w:val="none"/>
        </w:rPr>
        <w:t>授权代表</w:t>
      </w:r>
      <w:r>
        <w:rPr>
          <w:rFonts w:hint="eastAsia" w:hAnsi="宋体" w:eastAsia="宋体"/>
          <w:color w:val="auto"/>
          <w:sz w:val="21"/>
          <w:szCs w:val="21"/>
          <w:highlight w:val="none"/>
          <w:lang w:eastAsia="zh-CN"/>
        </w:rPr>
        <w:t>（</w:t>
      </w:r>
      <w:r>
        <w:rPr>
          <w:rFonts w:hint="eastAsia" w:hAnsi="宋体"/>
          <w:color w:val="auto"/>
          <w:sz w:val="21"/>
          <w:szCs w:val="21"/>
          <w:highlight w:val="none"/>
        </w:rPr>
        <w:t>签字</w:t>
      </w:r>
      <w:r>
        <w:rPr>
          <w:rFonts w:hint="eastAsia" w:hAnsi="宋体" w:eastAsia="宋体"/>
          <w:color w:val="auto"/>
          <w:sz w:val="21"/>
          <w:szCs w:val="21"/>
          <w:highlight w:val="none"/>
          <w:lang w:eastAsia="zh-CN"/>
        </w:rPr>
        <w:t>）：</w:t>
      </w:r>
    </w:p>
    <w:p w14:paraId="3A2F1404">
      <w:pPr>
        <w:spacing w:line="400" w:lineRule="exact"/>
        <w:rPr>
          <w:rFonts w:hint="eastAsia" w:hAnsi="宋体"/>
          <w:color w:val="auto"/>
          <w:sz w:val="21"/>
          <w:szCs w:val="21"/>
          <w:highlight w:val="none"/>
        </w:rPr>
      </w:pPr>
      <w:r>
        <w:rPr>
          <w:rFonts w:hint="eastAsia" w:hAnsi="宋体"/>
          <w:color w:val="auto"/>
          <w:sz w:val="21"/>
          <w:szCs w:val="21"/>
          <w:highlight w:val="none"/>
        </w:rPr>
        <w:t>日期：</w:t>
      </w:r>
    </w:p>
    <w:p w14:paraId="10625B07">
      <w:pPr>
        <w:snapToGrid w:val="0"/>
        <w:spacing w:line="400" w:lineRule="exact"/>
        <w:rPr>
          <w:rFonts w:hAnsi="宋体"/>
          <w:color w:val="auto"/>
          <w:sz w:val="21"/>
          <w:szCs w:val="21"/>
          <w:highlight w:val="none"/>
        </w:rPr>
      </w:pPr>
    </w:p>
    <w:p w14:paraId="316EC922">
      <w:pPr>
        <w:pStyle w:val="4"/>
        <w:keepNext w:val="0"/>
        <w:keepLines w:val="0"/>
        <w:spacing w:line="400" w:lineRule="exact"/>
        <w:jc w:val="center"/>
        <w:rPr>
          <w:rFonts w:hAnsi="宋体"/>
          <w:color w:val="auto"/>
          <w:sz w:val="21"/>
          <w:szCs w:val="21"/>
          <w:highlight w:val="none"/>
          <w:u w:val="single"/>
        </w:rPr>
      </w:pPr>
      <w:r>
        <w:rPr>
          <w:rFonts w:hint="eastAsia" w:cs="宋体"/>
          <w:color w:val="auto"/>
          <w:highlight w:val="none"/>
        </w:rPr>
        <w:br w:type="page"/>
      </w:r>
      <w:bookmarkStart w:id="124" w:name="_Toc168282804"/>
      <w:bookmarkStart w:id="125" w:name="_Toc450570284"/>
      <w:bookmarkStart w:id="126" w:name="_Toc289873237"/>
      <w:bookmarkStart w:id="127" w:name="_Toc401840465"/>
      <w:r>
        <w:rPr>
          <w:rFonts w:hint="eastAsia" w:cs="宋体"/>
          <w:color w:val="auto"/>
          <w:highlight w:val="none"/>
        </w:rPr>
        <w:t>4.</w:t>
      </w:r>
      <w:bookmarkEnd w:id="124"/>
      <w:r>
        <w:rPr>
          <w:rFonts w:hint="eastAsia" w:cs="宋体"/>
          <w:color w:val="auto"/>
          <w:highlight w:val="none"/>
        </w:rPr>
        <w:t>商务条款偏离表</w:t>
      </w:r>
      <w:bookmarkEnd w:id="125"/>
      <w:bookmarkEnd w:id="126"/>
      <w:bookmarkEnd w:id="127"/>
    </w:p>
    <w:tbl>
      <w:tblPr>
        <w:tblStyle w:val="59"/>
        <w:tblW w:w="4998"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2244"/>
        <w:gridCol w:w="2804"/>
        <w:gridCol w:w="2804"/>
        <w:gridCol w:w="1283"/>
      </w:tblGrid>
      <w:tr w14:paraId="2260C2C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1CC282CC">
            <w:pPr>
              <w:spacing w:before="240" w:after="240" w:line="400" w:lineRule="exact"/>
              <w:jc w:val="center"/>
              <w:rPr>
                <w:rFonts w:hAnsi="宋体"/>
                <w:color w:val="auto"/>
                <w:sz w:val="21"/>
                <w:szCs w:val="21"/>
                <w:highlight w:val="none"/>
              </w:rPr>
            </w:pPr>
            <w:r>
              <w:rPr>
                <w:rFonts w:hint="eastAsia" w:hAnsi="宋体"/>
                <w:color w:val="auto"/>
                <w:sz w:val="21"/>
                <w:szCs w:val="21"/>
                <w:highlight w:val="none"/>
              </w:rPr>
              <w:t>序号</w:t>
            </w:r>
          </w:p>
        </w:tc>
        <w:tc>
          <w:tcPr>
            <w:tcW w:w="1126" w:type="pct"/>
          </w:tcPr>
          <w:p w14:paraId="0A911AF6">
            <w:pPr>
              <w:spacing w:before="240" w:after="240" w:line="400" w:lineRule="exact"/>
              <w:jc w:val="center"/>
              <w:rPr>
                <w:rFonts w:hAnsi="宋体"/>
                <w:color w:val="auto"/>
                <w:sz w:val="21"/>
                <w:szCs w:val="21"/>
                <w:highlight w:val="none"/>
              </w:rPr>
            </w:pPr>
            <w:r>
              <w:rPr>
                <w:rFonts w:hint="eastAsia" w:hAnsi="宋体"/>
                <w:color w:val="auto"/>
                <w:sz w:val="21"/>
                <w:szCs w:val="21"/>
                <w:highlight w:val="none"/>
              </w:rPr>
              <w:t>招标文件条目号</w:t>
            </w:r>
          </w:p>
        </w:tc>
        <w:tc>
          <w:tcPr>
            <w:tcW w:w="1407" w:type="pct"/>
          </w:tcPr>
          <w:p w14:paraId="5F9AC0F9">
            <w:pPr>
              <w:spacing w:before="240" w:after="240" w:line="400" w:lineRule="exact"/>
              <w:jc w:val="center"/>
              <w:rPr>
                <w:rFonts w:hAnsi="宋体"/>
                <w:color w:val="auto"/>
                <w:sz w:val="21"/>
                <w:szCs w:val="21"/>
                <w:highlight w:val="none"/>
              </w:rPr>
            </w:pPr>
            <w:r>
              <w:rPr>
                <w:rFonts w:hint="eastAsia" w:hAnsi="宋体"/>
                <w:color w:val="auto"/>
                <w:sz w:val="21"/>
                <w:szCs w:val="21"/>
                <w:highlight w:val="none"/>
              </w:rPr>
              <w:t>招标文件的商务条款</w:t>
            </w:r>
          </w:p>
        </w:tc>
        <w:tc>
          <w:tcPr>
            <w:tcW w:w="1407" w:type="pct"/>
          </w:tcPr>
          <w:p w14:paraId="37C1C651">
            <w:pPr>
              <w:spacing w:before="240" w:after="240" w:line="400" w:lineRule="exact"/>
              <w:jc w:val="center"/>
              <w:rPr>
                <w:rFonts w:hAnsi="宋体"/>
                <w:color w:val="auto"/>
                <w:sz w:val="21"/>
                <w:szCs w:val="21"/>
                <w:highlight w:val="none"/>
              </w:rPr>
            </w:pPr>
            <w:r>
              <w:rPr>
                <w:rFonts w:hint="eastAsia" w:hAnsi="宋体"/>
                <w:color w:val="auto"/>
                <w:sz w:val="21"/>
                <w:szCs w:val="21"/>
                <w:highlight w:val="none"/>
              </w:rPr>
              <w:t>投标文件的商务条款</w:t>
            </w:r>
          </w:p>
        </w:tc>
        <w:tc>
          <w:tcPr>
            <w:tcW w:w="643" w:type="pct"/>
          </w:tcPr>
          <w:p w14:paraId="4E233C5C">
            <w:pPr>
              <w:spacing w:before="240" w:after="240" w:line="400" w:lineRule="exact"/>
              <w:jc w:val="center"/>
              <w:rPr>
                <w:rFonts w:hAnsi="宋体"/>
                <w:color w:val="auto"/>
                <w:sz w:val="21"/>
                <w:szCs w:val="21"/>
                <w:highlight w:val="none"/>
              </w:rPr>
            </w:pPr>
            <w:r>
              <w:rPr>
                <w:rFonts w:hint="eastAsia" w:hAnsi="宋体"/>
                <w:color w:val="auto"/>
                <w:sz w:val="21"/>
                <w:szCs w:val="21"/>
                <w:highlight w:val="none"/>
              </w:rPr>
              <w:t>说明</w:t>
            </w:r>
          </w:p>
        </w:tc>
      </w:tr>
      <w:tr w14:paraId="38313BE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0D9F0166">
            <w:pPr>
              <w:spacing w:before="240" w:after="240" w:line="400" w:lineRule="exact"/>
              <w:rPr>
                <w:rFonts w:hAnsi="宋体"/>
                <w:color w:val="auto"/>
                <w:sz w:val="21"/>
                <w:szCs w:val="21"/>
                <w:highlight w:val="none"/>
              </w:rPr>
            </w:pPr>
          </w:p>
        </w:tc>
        <w:tc>
          <w:tcPr>
            <w:tcW w:w="1126" w:type="pct"/>
          </w:tcPr>
          <w:p w14:paraId="72AA89F6">
            <w:pPr>
              <w:spacing w:before="240" w:after="240" w:line="400" w:lineRule="exact"/>
              <w:rPr>
                <w:rFonts w:hAnsi="宋体"/>
                <w:color w:val="auto"/>
                <w:sz w:val="21"/>
                <w:szCs w:val="21"/>
                <w:highlight w:val="none"/>
              </w:rPr>
            </w:pPr>
          </w:p>
        </w:tc>
        <w:tc>
          <w:tcPr>
            <w:tcW w:w="1407" w:type="pct"/>
          </w:tcPr>
          <w:p w14:paraId="38B88F63">
            <w:pPr>
              <w:spacing w:before="240" w:after="240" w:line="400" w:lineRule="exact"/>
              <w:rPr>
                <w:rFonts w:hint="eastAsia" w:hAnsi="宋体" w:eastAsia="宋体"/>
                <w:color w:val="auto"/>
                <w:sz w:val="21"/>
                <w:szCs w:val="21"/>
                <w:highlight w:val="none"/>
                <w:lang w:val="en-US" w:eastAsia="zh-CN"/>
              </w:rPr>
            </w:pPr>
            <w:r>
              <w:rPr>
                <w:rFonts w:hint="eastAsia" w:hAnsi="宋体"/>
                <w:color w:val="auto"/>
                <w:sz w:val="21"/>
                <w:szCs w:val="21"/>
                <w:highlight w:val="none"/>
                <w:lang w:val="en-US"/>
              </w:rPr>
              <w:t>合同履行期限</w:t>
            </w:r>
          </w:p>
        </w:tc>
        <w:tc>
          <w:tcPr>
            <w:tcW w:w="1407" w:type="pct"/>
          </w:tcPr>
          <w:p w14:paraId="0BBB57BA">
            <w:pPr>
              <w:spacing w:before="240" w:after="240" w:line="400" w:lineRule="exact"/>
              <w:rPr>
                <w:rFonts w:hAnsi="宋体"/>
                <w:color w:val="auto"/>
                <w:sz w:val="21"/>
                <w:szCs w:val="21"/>
                <w:highlight w:val="none"/>
              </w:rPr>
            </w:pPr>
          </w:p>
        </w:tc>
        <w:tc>
          <w:tcPr>
            <w:tcW w:w="643" w:type="pct"/>
          </w:tcPr>
          <w:p w14:paraId="25253AB2">
            <w:pPr>
              <w:spacing w:before="240" w:after="240" w:line="400" w:lineRule="exact"/>
              <w:rPr>
                <w:rFonts w:hAnsi="宋体"/>
                <w:color w:val="auto"/>
                <w:sz w:val="21"/>
                <w:szCs w:val="21"/>
                <w:highlight w:val="none"/>
              </w:rPr>
            </w:pPr>
          </w:p>
        </w:tc>
      </w:tr>
      <w:tr w14:paraId="5023CDD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5B9F0DDC">
            <w:pPr>
              <w:spacing w:before="240" w:after="240" w:line="400" w:lineRule="exact"/>
              <w:rPr>
                <w:rFonts w:hAnsi="宋体"/>
                <w:color w:val="auto"/>
                <w:sz w:val="21"/>
                <w:szCs w:val="21"/>
                <w:highlight w:val="none"/>
              </w:rPr>
            </w:pPr>
          </w:p>
        </w:tc>
        <w:tc>
          <w:tcPr>
            <w:tcW w:w="1126" w:type="pct"/>
          </w:tcPr>
          <w:p w14:paraId="152B4E72">
            <w:pPr>
              <w:spacing w:before="240" w:after="240" w:line="400" w:lineRule="exact"/>
              <w:rPr>
                <w:rFonts w:hAnsi="宋体"/>
                <w:color w:val="auto"/>
                <w:sz w:val="21"/>
                <w:szCs w:val="21"/>
                <w:highlight w:val="none"/>
              </w:rPr>
            </w:pPr>
          </w:p>
        </w:tc>
        <w:tc>
          <w:tcPr>
            <w:tcW w:w="1407" w:type="pct"/>
          </w:tcPr>
          <w:p w14:paraId="18E2BB93">
            <w:pPr>
              <w:spacing w:before="240" w:after="240" w:line="400" w:lineRule="exact"/>
              <w:rPr>
                <w:rFonts w:hAnsi="宋体" w:eastAsia="宋体"/>
                <w:color w:val="auto"/>
                <w:sz w:val="21"/>
                <w:szCs w:val="21"/>
                <w:highlight w:val="none"/>
                <w:lang w:val="en-US"/>
              </w:rPr>
            </w:pPr>
            <w:r>
              <w:rPr>
                <w:rFonts w:hint="eastAsia" w:hAnsi="宋体"/>
                <w:color w:val="auto"/>
                <w:sz w:val="21"/>
                <w:szCs w:val="21"/>
                <w:highlight w:val="none"/>
                <w:lang w:val="en-US"/>
              </w:rPr>
              <w:t>付款方式</w:t>
            </w:r>
          </w:p>
        </w:tc>
        <w:tc>
          <w:tcPr>
            <w:tcW w:w="1407" w:type="pct"/>
          </w:tcPr>
          <w:p w14:paraId="6E4A332A">
            <w:pPr>
              <w:spacing w:before="240" w:after="240" w:line="400" w:lineRule="exact"/>
              <w:rPr>
                <w:rFonts w:hAnsi="宋体"/>
                <w:color w:val="auto"/>
                <w:sz w:val="21"/>
                <w:szCs w:val="21"/>
                <w:highlight w:val="none"/>
              </w:rPr>
            </w:pPr>
          </w:p>
        </w:tc>
        <w:tc>
          <w:tcPr>
            <w:tcW w:w="643" w:type="pct"/>
          </w:tcPr>
          <w:p w14:paraId="644A8696">
            <w:pPr>
              <w:spacing w:before="240" w:after="240" w:line="400" w:lineRule="exact"/>
              <w:rPr>
                <w:rFonts w:hAnsi="宋体"/>
                <w:color w:val="auto"/>
                <w:sz w:val="21"/>
                <w:szCs w:val="21"/>
                <w:highlight w:val="none"/>
              </w:rPr>
            </w:pPr>
          </w:p>
        </w:tc>
      </w:tr>
      <w:tr w14:paraId="2A7674C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195ACDD2">
            <w:pPr>
              <w:spacing w:before="240" w:after="240" w:line="400" w:lineRule="exact"/>
              <w:rPr>
                <w:rFonts w:hAnsi="宋体"/>
                <w:color w:val="auto"/>
                <w:sz w:val="21"/>
                <w:szCs w:val="21"/>
                <w:highlight w:val="none"/>
              </w:rPr>
            </w:pPr>
          </w:p>
        </w:tc>
        <w:tc>
          <w:tcPr>
            <w:tcW w:w="1126" w:type="pct"/>
          </w:tcPr>
          <w:p w14:paraId="7E5D948D">
            <w:pPr>
              <w:spacing w:before="240" w:after="240" w:line="400" w:lineRule="exact"/>
              <w:rPr>
                <w:rFonts w:hAnsi="宋体"/>
                <w:color w:val="auto"/>
                <w:sz w:val="21"/>
                <w:szCs w:val="21"/>
                <w:highlight w:val="none"/>
              </w:rPr>
            </w:pPr>
          </w:p>
        </w:tc>
        <w:tc>
          <w:tcPr>
            <w:tcW w:w="1407" w:type="pct"/>
          </w:tcPr>
          <w:p w14:paraId="7B806A34">
            <w:pPr>
              <w:spacing w:before="240" w:after="240" w:line="400" w:lineRule="exact"/>
              <w:rPr>
                <w:rFonts w:hAnsi="宋体" w:eastAsia="宋体"/>
                <w:color w:val="auto"/>
                <w:sz w:val="21"/>
                <w:szCs w:val="21"/>
                <w:highlight w:val="none"/>
                <w:lang w:val="en-US"/>
              </w:rPr>
            </w:pPr>
            <w:r>
              <w:rPr>
                <w:rFonts w:hint="eastAsia" w:hAnsi="宋体" w:eastAsia="宋体"/>
                <w:color w:val="auto"/>
                <w:sz w:val="21"/>
                <w:szCs w:val="21"/>
                <w:highlight w:val="none"/>
                <w:lang w:val="en-US" w:eastAsia="zh-CN"/>
              </w:rPr>
              <w:t>……</w:t>
            </w:r>
          </w:p>
        </w:tc>
        <w:tc>
          <w:tcPr>
            <w:tcW w:w="1407" w:type="pct"/>
          </w:tcPr>
          <w:p w14:paraId="1AE65CB9">
            <w:pPr>
              <w:spacing w:before="240" w:after="240" w:line="400" w:lineRule="exact"/>
              <w:rPr>
                <w:rFonts w:hAnsi="宋体"/>
                <w:color w:val="auto"/>
                <w:sz w:val="21"/>
                <w:szCs w:val="21"/>
                <w:highlight w:val="none"/>
              </w:rPr>
            </w:pPr>
          </w:p>
        </w:tc>
        <w:tc>
          <w:tcPr>
            <w:tcW w:w="643" w:type="pct"/>
          </w:tcPr>
          <w:p w14:paraId="2A360FE8">
            <w:pPr>
              <w:spacing w:before="240" w:after="240" w:line="400" w:lineRule="exact"/>
              <w:rPr>
                <w:rFonts w:hAnsi="宋体"/>
                <w:color w:val="auto"/>
                <w:sz w:val="21"/>
                <w:szCs w:val="21"/>
                <w:highlight w:val="none"/>
              </w:rPr>
            </w:pPr>
          </w:p>
        </w:tc>
      </w:tr>
      <w:tr w14:paraId="4F12B05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36143C32">
            <w:pPr>
              <w:spacing w:before="240" w:after="240" w:line="400" w:lineRule="exact"/>
              <w:rPr>
                <w:rFonts w:hAnsi="宋体"/>
                <w:color w:val="auto"/>
                <w:sz w:val="21"/>
                <w:szCs w:val="21"/>
                <w:highlight w:val="none"/>
              </w:rPr>
            </w:pPr>
          </w:p>
        </w:tc>
        <w:tc>
          <w:tcPr>
            <w:tcW w:w="1126" w:type="pct"/>
          </w:tcPr>
          <w:p w14:paraId="171DFC31">
            <w:pPr>
              <w:spacing w:before="240" w:after="240" w:line="400" w:lineRule="exact"/>
              <w:rPr>
                <w:rFonts w:hAnsi="宋体"/>
                <w:color w:val="auto"/>
                <w:sz w:val="21"/>
                <w:szCs w:val="21"/>
                <w:highlight w:val="none"/>
              </w:rPr>
            </w:pPr>
          </w:p>
        </w:tc>
        <w:tc>
          <w:tcPr>
            <w:tcW w:w="1407" w:type="pct"/>
          </w:tcPr>
          <w:p w14:paraId="1B6A040A">
            <w:pPr>
              <w:spacing w:before="240" w:after="240" w:line="400" w:lineRule="exact"/>
              <w:rPr>
                <w:rFonts w:hAnsi="宋体"/>
                <w:color w:val="auto"/>
                <w:sz w:val="21"/>
                <w:szCs w:val="21"/>
                <w:highlight w:val="none"/>
              </w:rPr>
            </w:pPr>
          </w:p>
        </w:tc>
        <w:tc>
          <w:tcPr>
            <w:tcW w:w="1407" w:type="pct"/>
          </w:tcPr>
          <w:p w14:paraId="4C4CA556">
            <w:pPr>
              <w:spacing w:before="240" w:after="240" w:line="400" w:lineRule="exact"/>
              <w:rPr>
                <w:rFonts w:hAnsi="宋体"/>
                <w:color w:val="auto"/>
                <w:sz w:val="21"/>
                <w:szCs w:val="21"/>
                <w:highlight w:val="none"/>
              </w:rPr>
            </w:pPr>
          </w:p>
        </w:tc>
        <w:tc>
          <w:tcPr>
            <w:tcW w:w="643" w:type="pct"/>
          </w:tcPr>
          <w:p w14:paraId="5828B5E2">
            <w:pPr>
              <w:spacing w:before="240" w:after="240" w:line="400" w:lineRule="exact"/>
              <w:rPr>
                <w:rFonts w:hAnsi="宋体"/>
                <w:color w:val="auto"/>
                <w:sz w:val="21"/>
                <w:szCs w:val="21"/>
                <w:highlight w:val="none"/>
              </w:rPr>
            </w:pPr>
          </w:p>
        </w:tc>
      </w:tr>
      <w:tr w14:paraId="38863FB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547F6A05">
            <w:pPr>
              <w:spacing w:before="240" w:after="240" w:line="400" w:lineRule="exact"/>
              <w:rPr>
                <w:rFonts w:hAnsi="宋体"/>
                <w:color w:val="auto"/>
                <w:sz w:val="21"/>
                <w:szCs w:val="21"/>
                <w:highlight w:val="none"/>
              </w:rPr>
            </w:pPr>
          </w:p>
        </w:tc>
        <w:tc>
          <w:tcPr>
            <w:tcW w:w="1126" w:type="pct"/>
          </w:tcPr>
          <w:p w14:paraId="2757E407">
            <w:pPr>
              <w:spacing w:before="240" w:after="240" w:line="400" w:lineRule="exact"/>
              <w:rPr>
                <w:rFonts w:hAnsi="宋体"/>
                <w:color w:val="auto"/>
                <w:sz w:val="21"/>
                <w:szCs w:val="21"/>
                <w:highlight w:val="none"/>
              </w:rPr>
            </w:pPr>
          </w:p>
        </w:tc>
        <w:tc>
          <w:tcPr>
            <w:tcW w:w="1407" w:type="pct"/>
          </w:tcPr>
          <w:p w14:paraId="5154FCD5">
            <w:pPr>
              <w:spacing w:before="240" w:after="240" w:line="400" w:lineRule="exact"/>
              <w:rPr>
                <w:rFonts w:hAnsi="宋体"/>
                <w:color w:val="auto"/>
                <w:sz w:val="21"/>
                <w:szCs w:val="21"/>
                <w:highlight w:val="none"/>
              </w:rPr>
            </w:pPr>
          </w:p>
        </w:tc>
        <w:tc>
          <w:tcPr>
            <w:tcW w:w="1407" w:type="pct"/>
          </w:tcPr>
          <w:p w14:paraId="324AF810">
            <w:pPr>
              <w:spacing w:before="240" w:after="240" w:line="400" w:lineRule="exact"/>
              <w:rPr>
                <w:rFonts w:hAnsi="宋体"/>
                <w:color w:val="auto"/>
                <w:sz w:val="21"/>
                <w:szCs w:val="21"/>
                <w:highlight w:val="none"/>
              </w:rPr>
            </w:pPr>
          </w:p>
        </w:tc>
        <w:tc>
          <w:tcPr>
            <w:tcW w:w="643" w:type="pct"/>
          </w:tcPr>
          <w:p w14:paraId="3FE16D5F">
            <w:pPr>
              <w:spacing w:before="240" w:after="240" w:line="400" w:lineRule="exact"/>
              <w:rPr>
                <w:rFonts w:hAnsi="宋体"/>
                <w:color w:val="auto"/>
                <w:sz w:val="21"/>
                <w:szCs w:val="21"/>
                <w:highlight w:val="none"/>
              </w:rPr>
            </w:pPr>
          </w:p>
        </w:tc>
      </w:tr>
      <w:tr w14:paraId="63CBDB6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3D2F01E6">
            <w:pPr>
              <w:spacing w:before="240" w:after="240" w:line="400" w:lineRule="exact"/>
              <w:rPr>
                <w:rFonts w:hAnsi="宋体"/>
                <w:color w:val="auto"/>
                <w:sz w:val="21"/>
                <w:szCs w:val="21"/>
                <w:highlight w:val="none"/>
              </w:rPr>
            </w:pPr>
          </w:p>
        </w:tc>
        <w:tc>
          <w:tcPr>
            <w:tcW w:w="1126" w:type="pct"/>
          </w:tcPr>
          <w:p w14:paraId="1728B97F">
            <w:pPr>
              <w:spacing w:before="240" w:after="240" w:line="400" w:lineRule="exact"/>
              <w:rPr>
                <w:rFonts w:hAnsi="宋体"/>
                <w:color w:val="auto"/>
                <w:sz w:val="21"/>
                <w:szCs w:val="21"/>
                <w:highlight w:val="none"/>
              </w:rPr>
            </w:pPr>
          </w:p>
        </w:tc>
        <w:tc>
          <w:tcPr>
            <w:tcW w:w="1407" w:type="pct"/>
          </w:tcPr>
          <w:p w14:paraId="32D63BC6">
            <w:pPr>
              <w:spacing w:before="240" w:after="240" w:line="400" w:lineRule="exact"/>
              <w:rPr>
                <w:rFonts w:hAnsi="宋体"/>
                <w:color w:val="auto"/>
                <w:sz w:val="21"/>
                <w:szCs w:val="21"/>
                <w:highlight w:val="none"/>
              </w:rPr>
            </w:pPr>
          </w:p>
        </w:tc>
        <w:tc>
          <w:tcPr>
            <w:tcW w:w="1407" w:type="pct"/>
          </w:tcPr>
          <w:p w14:paraId="63E91CD2">
            <w:pPr>
              <w:spacing w:before="240" w:after="240" w:line="400" w:lineRule="exact"/>
              <w:rPr>
                <w:rFonts w:hAnsi="宋体"/>
                <w:color w:val="auto"/>
                <w:sz w:val="21"/>
                <w:szCs w:val="21"/>
                <w:highlight w:val="none"/>
              </w:rPr>
            </w:pPr>
          </w:p>
        </w:tc>
        <w:tc>
          <w:tcPr>
            <w:tcW w:w="643" w:type="pct"/>
          </w:tcPr>
          <w:p w14:paraId="363A3332">
            <w:pPr>
              <w:spacing w:before="240" w:after="240" w:line="400" w:lineRule="exact"/>
              <w:rPr>
                <w:rFonts w:hAnsi="宋体"/>
                <w:color w:val="auto"/>
                <w:sz w:val="21"/>
                <w:szCs w:val="21"/>
                <w:highlight w:val="none"/>
              </w:rPr>
            </w:pPr>
          </w:p>
        </w:tc>
      </w:tr>
      <w:tr w14:paraId="1FD363A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03E98404">
            <w:pPr>
              <w:spacing w:before="240" w:after="240" w:line="400" w:lineRule="exact"/>
              <w:rPr>
                <w:rFonts w:hAnsi="宋体"/>
                <w:color w:val="auto"/>
                <w:sz w:val="21"/>
                <w:szCs w:val="21"/>
                <w:highlight w:val="none"/>
              </w:rPr>
            </w:pPr>
          </w:p>
        </w:tc>
        <w:tc>
          <w:tcPr>
            <w:tcW w:w="1126" w:type="pct"/>
          </w:tcPr>
          <w:p w14:paraId="534E0ABB">
            <w:pPr>
              <w:spacing w:before="240" w:after="240" w:line="400" w:lineRule="exact"/>
              <w:rPr>
                <w:rFonts w:hAnsi="宋体"/>
                <w:color w:val="auto"/>
                <w:sz w:val="21"/>
                <w:szCs w:val="21"/>
                <w:highlight w:val="none"/>
              </w:rPr>
            </w:pPr>
          </w:p>
        </w:tc>
        <w:tc>
          <w:tcPr>
            <w:tcW w:w="1407" w:type="pct"/>
          </w:tcPr>
          <w:p w14:paraId="07EB0465">
            <w:pPr>
              <w:spacing w:before="240" w:after="240" w:line="400" w:lineRule="exact"/>
              <w:rPr>
                <w:rFonts w:hAnsi="宋体"/>
                <w:color w:val="auto"/>
                <w:sz w:val="21"/>
                <w:szCs w:val="21"/>
                <w:highlight w:val="none"/>
              </w:rPr>
            </w:pPr>
          </w:p>
        </w:tc>
        <w:tc>
          <w:tcPr>
            <w:tcW w:w="1407" w:type="pct"/>
          </w:tcPr>
          <w:p w14:paraId="219E1238">
            <w:pPr>
              <w:spacing w:before="240" w:after="240" w:line="400" w:lineRule="exact"/>
              <w:rPr>
                <w:rFonts w:hAnsi="宋体"/>
                <w:color w:val="auto"/>
                <w:sz w:val="21"/>
                <w:szCs w:val="21"/>
                <w:highlight w:val="none"/>
              </w:rPr>
            </w:pPr>
          </w:p>
        </w:tc>
        <w:tc>
          <w:tcPr>
            <w:tcW w:w="643" w:type="pct"/>
          </w:tcPr>
          <w:p w14:paraId="45221F54">
            <w:pPr>
              <w:spacing w:before="240" w:after="240" w:line="400" w:lineRule="exact"/>
              <w:rPr>
                <w:rFonts w:hAnsi="宋体"/>
                <w:color w:val="auto"/>
                <w:sz w:val="21"/>
                <w:szCs w:val="21"/>
                <w:highlight w:val="none"/>
              </w:rPr>
            </w:pPr>
          </w:p>
        </w:tc>
      </w:tr>
      <w:tr w14:paraId="1D122D2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21A9C1EE">
            <w:pPr>
              <w:spacing w:before="240" w:after="240" w:line="400" w:lineRule="exact"/>
              <w:rPr>
                <w:rFonts w:hAnsi="宋体"/>
                <w:color w:val="auto"/>
                <w:sz w:val="21"/>
                <w:szCs w:val="21"/>
                <w:highlight w:val="none"/>
              </w:rPr>
            </w:pPr>
          </w:p>
        </w:tc>
        <w:tc>
          <w:tcPr>
            <w:tcW w:w="1126" w:type="pct"/>
          </w:tcPr>
          <w:p w14:paraId="3F890DA6">
            <w:pPr>
              <w:spacing w:before="240" w:after="240" w:line="400" w:lineRule="exact"/>
              <w:rPr>
                <w:rFonts w:hAnsi="宋体"/>
                <w:color w:val="auto"/>
                <w:sz w:val="21"/>
                <w:szCs w:val="21"/>
                <w:highlight w:val="none"/>
              </w:rPr>
            </w:pPr>
          </w:p>
        </w:tc>
        <w:tc>
          <w:tcPr>
            <w:tcW w:w="1407" w:type="pct"/>
          </w:tcPr>
          <w:p w14:paraId="3F0F0F0B">
            <w:pPr>
              <w:spacing w:before="240" w:after="240" w:line="400" w:lineRule="exact"/>
              <w:rPr>
                <w:rFonts w:hAnsi="宋体"/>
                <w:color w:val="auto"/>
                <w:sz w:val="21"/>
                <w:szCs w:val="21"/>
                <w:highlight w:val="none"/>
              </w:rPr>
            </w:pPr>
          </w:p>
        </w:tc>
        <w:tc>
          <w:tcPr>
            <w:tcW w:w="1407" w:type="pct"/>
          </w:tcPr>
          <w:p w14:paraId="48D6A38C">
            <w:pPr>
              <w:spacing w:before="240" w:after="240" w:line="400" w:lineRule="exact"/>
              <w:rPr>
                <w:rFonts w:hAnsi="宋体"/>
                <w:color w:val="auto"/>
                <w:sz w:val="21"/>
                <w:szCs w:val="21"/>
                <w:highlight w:val="none"/>
              </w:rPr>
            </w:pPr>
          </w:p>
        </w:tc>
        <w:tc>
          <w:tcPr>
            <w:tcW w:w="643" w:type="pct"/>
          </w:tcPr>
          <w:p w14:paraId="4B57F149">
            <w:pPr>
              <w:spacing w:before="240" w:after="240" w:line="400" w:lineRule="exact"/>
              <w:rPr>
                <w:rFonts w:hAnsi="宋体"/>
                <w:color w:val="auto"/>
                <w:sz w:val="21"/>
                <w:szCs w:val="21"/>
                <w:highlight w:val="none"/>
              </w:rPr>
            </w:pPr>
          </w:p>
        </w:tc>
      </w:tr>
      <w:tr w14:paraId="51CD4D2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Borders>
              <w:bottom w:val="single" w:color="auto" w:sz="4" w:space="0"/>
            </w:tcBorders>
          </w:tcPr>
          <w:p w14:paraId="27029E73">
            <w:pPr>
              <w:spacing w:before="240" w:after="240" w:line="400" w:lineRule="exact"/>
              <w:rPr>
                <w:rFonts w:hAnsi="宋体"/>
                <w:color w:val="auto"/>
                <w:sz w:val="21"/>
                <w:szCs w:val="21"/>
                <w:highlight w:val="none"/>
              </w:rPr>
            </w:pPr>
          </w:p>
        </w:tc>
        <w:tc>
          <w:tcPr>
            <w:tcW w:w="1126" w:type="pct"/>
            <w:tcBorders>
              <w:bottom w:val="single" w:color="auto" w:sz="4" w:space="0"/>
            </w:tcBorders>
          </w:tcPr>
          <w:p w14:paraId="101BB8C0">
            <w:pPr>
              <w:spacing w:before="240" w:after="240" w:line="400" w:lineRule="exact"/>
              <w:rPr>
                <w:rFonts w:hAnsi="宋体"/>
                <w:color w:val="auto"/>
                <w:sz w:val="21"/>
                <w:szCs w:val="21"/>
                <w:highlight w:val="none"/>
              </w:rPr>
            </w:pPr>
          </w:p>
        </w:tc>
        <w:tc>
          <w:tcPr>
            <w:tcW w:w="1407" w:type="pct"/>
            <w:tcBorders>
              <w:bottom w:val="single" w:color="auto" w:sz="4" w:space="0"/>
            </w:tcBorders>
          </w:tcPr>
          <w:p w14:paraId="22E1D861">
            <w:pPr>
              <w:spacing w:before="240" w:after="240" w:line="400" w:lineRule="exact"/>
              <w:rPr>
                <w:rFonts w:hAnsi="宋体"/>
                <w:color w:val="auto"/>
                <w:sz w:val="21"/>
                <w:szCs w:val="21"/>
                <w:highlight w:val="none"/>
              </w:rPr>
            </w:pPr>
          </w:p>
        </w:tc>
        <w:tc>
          <w:tcPr>
            <w:tcW w:w="1407" w:type="pct"/>
            <w:tcBorders>
              <w:bottom w:val="single" w:color="auto" w:sz="4" w:space="0"/>
            </w:tcBorders>
          </w:tcPr>
          <w:p w14:paraId="5CF7C2EF">
            <w:pPr>
              <w:spacing w:before="240" w:after="240" w:line="400" w:lineRule="exact"/>
              <w:rPr>
                <w:rFonts w:hAnsi="宋体"/>
                <w:color w:val="auto"/>
                <w:sz w:val="21"/>
                <w:szCs w:val="21"/>
                <w:highlight w:val="none"/>
              </w:rPr>
            </w:pPr>
          </w:p>
        </w:tc>
        <w:tc>
          <w:tcPr>
            <w:tcW w:w="643" w:type="pct"/>
            <w:tcBorders>
              <w:bottom w:val="single" w:color="auto" w:sz="4" w:space="0"/>
            </w:tcBorders>
          </w:tcPr>
          <w:p w14:paraId="5F0532F8">
            <w:pPr>
              <w:spacing w:before="240" w:after="240" w:line="400" w:lineRule="exact"/>
              <w:rPr>
                <w:rFonts w:hAnsi="宋体"/>
                <w:color w:val="auto"/>
                <w:sz w:val="21"/>
                <w:szCs w:val="21"/>
                <w:highlight w:val="none"/>
              </w:rPr>
            </w:pPr>
          </w:p>
        </w:tc>
      </w:tr>
    </w:tbl>
    <w:p w14:paraId="723D3A97">
      <w:pPr>
        <w:spacing w:line="400" w:lineRule="exact"/>
        <w:rPr>
          <w:rFonts w:hint="eastAsia" w:hAnsi="宋体"/>
          <w:color w:val="auto"/>
          <w:sz w:val="21"/>
          <w:szCs w:val="21"/>
          <w:highlight w:val="none"/>
        </w:rPr>
      </w:pPr>
    </w:p>
    <w:p w14:paraId="3F0AAAF5">
      <w:pPr>
        <w:spacing w:line="400" w:lineRule="exact"/>
        <w:rPr>
          <w:rFonts w:hAnsi="宋体"/>
          <w:color w:val="auto"/>
          <w:sz w:val="21"/>
          <w:szCs w:val="21"/>
          <w:highlight w:val="none"/>
        </w:rPr>
      </w:pPr>
      <w:r>
        <w:rPr>
          <w:rFonts w:hint="eastAsia" w:hAnsi="宋体"/>
          <w:color w:val="auto"/>
          <w:sz w:val="21"/>
          <w:szCs w:val="21"/>
          <w:highlight w:val="none"/>
        </w:rPr>
        <w:t>供应商名称：</w:t>
      </w:r>
    </w:p>
    <w:p w14:paraId="5BC58212">
      <w:pPr>
        <w:spacing w:line="400" w:lineRule="exact"/>
        <w:rPr>
          <w:rFonts w:hAnsi="宋体"/>
          <w:color w:val="auto"/>
          <w:sz w:val="21"/>
          <w:szCs w:val="21"/>
          <w:highlight w:val="none"/>
        </w:rPr>
      </w:pPr>
      <w:r>
        <w:rPr>
          <w:rFonts w:hint="eastAsia" w:hAnsi="宋体"/>
          <w:color w:val="auto"/>
          <w:sz w:val="21"/>
          <w:szCs w:val="21"/>
          <w:highlight w:val="none"/>
        </w:rPr>
        <w:t>供应商公章</w:t>
      </w:r>
      <w:r>
        <w:rPr>
          <w:rFonts w:hint="eastAsia" w:hAnsi="宋体" w:eastAsia="宋体"/>
          <w:color w:val="auto"/>
          <w:sz w:val="21"/>
          <w:szCs w:val="21"/>
          <w:highlight w:val="none"/>
          <w:lang w:eastAsia="zh-CN"/>
        </w:rPr>
        <w:t>：</w:t>
      </w:r>
    </w:p>
    <w:p w14:paraId="5A069A5C">
      <w:pPr>
        <w:spacing w:line="400" w:lineRule="exact"/>
        <w:rPr>
          <w:rFonts w:hAnsi="宋体"/>
          <w:color w:val="auto"/>
          <w:sz w:val="21"/>
          <w:szCs w:val="21"/>
          <w:highlight w:val="none"/>
        </w:rPr>
      </w:pPr>
      <w:r>
        <w:rPr>
          <w:rFonts w:hint="eastAsia" w:hAnsi="宋体"/>
          <w:color w:val="auto"/>
          <w:sz w:val="21"/>
          <w:szCs w:val="21"/>
          <w:highlight w:val="none"/>
        </w:rPr>
        <w:t>授权代表</w:t>
      </w:r>
      <w:r>
        <w:rPr>
          <w:rFonts w:hint="eastAsia" w:hAnsi="宋体" w:eastAsia="宋体"/>
          <w:color w:val="auto"/>
          <w:sz w:val="21"/>
          <w:szCs w:val="21"/>
          <w:highlight w:val="none"/>
          <w:lang w:eastAsia="zh-CN"/>
        </w:rPr>
        <w:t>（</w:t>
      </w:r>
      <w:r>
        <w:rPr>
          <w:rFonts w:hint="eastAsia" w:hAnsi="宋体"/>
          <w:color w:val="auto"/>
          <w:sz w:val="21"/>
          <w:szCs w:val="21"/>
          <w:highlight w:val="none"/>
        </w:rPr>
        <w:t>签字</w:t>
      </w:r>
      <w:r>
        <w:rPr>
          <w:rFonts w:hint="eastAsia" w:hAnsi="宋体" w:eastAsia="宋体"/>
          <w:color w:val="auto"/>
          <w:sz w:val="21"/>
          <w:szCs w:val="21"/>
          <w:highlight w:val="none"/>
          <w:lang w:eastAsia="zh-CN"/>
        </w:rPr>
        <w:t>）：</w:t>
      </w:r>
    </w:p>
    <w:p w14:paraId="67C3AF01">
      <w:pPr>
        <w:spacing w:line="400" w:lineRule="exact"/>
        <w:rPr>
          <w:rFonts w:hint="eastAsia" w:hAnsi="宋体"/>
          <w:color w:val="auto"/>
          <w:sz w:val="21"/>
          <w:szCs w:val="21"/>
          <w:highlight w:val="none"/>
        </w:rPr>
      </w:pPr>
      <w:r>
        <w:rPr>
          <w:rFonts w:hint="eastAsia" w:hAnsi="宋体"/>
          <w:color w:val="auto"/>
          <w:sz w:val="21"/>
          <w:szCs w:val="21"/>
          <w:highlight w:val="none"/>
        </w:rPr>
        <w:t>日期：</w:t>
      </w:r>
    </w:p>
    <w:p w14:paraId="60A8CCBD">
      <w:pPr>
        <w:spacing w:line="400" w:lineRule="exact"/>
        <w:jc w:val="center"/>
        <w:rPr>
          <w:rFonts w:hAnsi="宋体"/>
          <w:b/>
          <w:color w:val="auto"/>
          <w:sz w:val="21"/>
          <w:szCs w:val="21"/>
          <w:highlight w:val="none"/>
          <w:u w:val="single"/>
        </w:rPr>
      </w:pPr>
    </w:p>
    <w:p w14:paraId="3B286BD0">
      <w:pPr>
        <w:spacing w:line="400" w:lineRule="exact"/>
        <w:rPr>
          <w:rFonts w:hAnsi="宋体"/>
          <w:color w:val="auto"/>
          <w:sz w:val="21"/>
          <w:szCs w:val="21"/>
          <w:highlight w:val="none"/>
        </w:rPr>
      </w:pPr>
    </w:p>
    <w:p w14:paraId="2C7C169D">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注：1. 如供应商无任何偏离，也需在响应表中注明并在投标文件中递交此表。</w:t>
      </w:r>
    </w:p>
    <w:p w14:paraId="571E179C">
      <w:pPr>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 偏离包括正、负偏离，正偏离指供应商的响应高于招标文件要求，负偏离指供应商的响应低于招标文件要求。</w:t>
      </w:r>
    </w:p>
    <w:p w14:paraId="49907055">
      <w:pPr>
        <w:spacing w:line="400" w:lineRule="exact"/>
        <w:rPr>
          <w:rFonts w:hAnsi="宋体"/>
          <w:color w:val="auto"/>
          <w:sz w:val="21"/>
          <w:szCs w:val="21"/>
          <w:highlight w:val="none"/>
        </w:rPr>
      </w:pPr>
    </w:p>
    <w:p w14:paraId="3C37CE54">
      <w:pPr>
        <w:pStyle w:val="4"/>
        <w:keepNext w:val="0"/>
        <w:keepLines w:val="0"/>
        <w:shd w:val="clear" w:color="auto" w:fill="FFFFFF"/>
        <w:spacing w:line="400" w:lineRule="exact"/>
        <w:jc w:val="center"/>
        <w:rPr>
          <w:rFonts w:hint="eastAsia" w:cs="宋体"/>
          <w:color w:val="auto"/>
          <w:highlight w:val="none"/>
        </w:rPr>
      </w:pPr>
      <w:bookmarkStart w:id="128" w:name="_Toc389553595"/>
      <w:bookmarkStart w:id="129" w:name="_Toc298404172"/>
      <w:bookmarkStart w:id="130" w:name="_Toc372563823"/>
      <w:bookmarkStart w:id="131" w:name="_Toc416784903"/>
      <w:bookmarkStart w:id="132" w:name="_Toc285637908"/>
      <w:bookmarkStart w:id="133" w:name="_Toc401840467"/>
      <w:bookmarkStart w:id="134" w:name="_Toc289873239"/>
      <w:r>
        <w:rPr>
          <w:rFonts w:hint="eastAsia" w:cs="宋体"/>
          <w:color w:val="auto"/>
          <w:highlight w:val="none"/>
        </w:rPr>
        <w:t>5</w:t>
      </w:r>
      <w:r>
        <w:rPr>
          <w:rFonts w:hint="eastAsia" w:cs="宋体"/>
          <w:color w:val="auto"/>
          <w:highlight w:val="none"/>
          <w:lang w:val="en-US"/>
        </w:rPr>
        <w:t>.</w:t>
      </w:r>
      <w:r>
        <w:rPr>
          <w:rFonts w:hint="eastAsia" w:cs="宋体"/>
          <w:color w:val="auto"/>
          <w:highlight w:val="none"/>
        </w:rPr>
        <w:t>技术</w:t>
      </w:r>
      <w:r>
        <w:rPr>
          <w:rFonts w:hint="eastAsia" w:cs="宋体"/>
          <w:color w:val="auto"/>
          <w:highlight w:val="none"/>
          <w:lang w:val="en-US" w:eastAsia="zh-CN"/>
        </w:rPr>
        <w:t>条款</w:t>
      </w:r>
      <w:r>
        <w:rPr>
          <w:rFonts w:hint="eastAsia" w:cs="宋体"/>
          <w:color w:val="auto"/>
          <w:highlight w:val="none"/>
        </w:rPr>
        <w:t>偏离表</w:t>
      </w:r>
      <w:bookmarkEnd w:id="128"/>
      <w:bookmarkEnd w:id="129"/>
      <w:bookmarkEnd w:id="130"/>
      <w:bookmarkEnd w:id="131"/>
      <w:bookmarkEnd w:id="132"/>
    </w:p>
    <w:tbl>
      <w:tblPr>
        <w:tblStyle w:val="59"/>
        <w:tblW w:w="4998"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28" w:type="dxa"/>
          <w:bottom w:w="0" w:type="dxa"/>
          <w:right w:w="28" w:type="dxa"/>
        </w:tblCellMar>
      </w:tblPr>
      <w:tblGrid>
        <w:gridCol w:w="2226"/>
        <w:gridCol w:w="2194"/>
        <w:gridCol w:w="2794"/>
        <w:gridCol w:w="1596"/>
        <w:gridCol w:w="992"/>
      </w:tblGrid>
      <w:tr w14:paraId="2C1B5D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67" w:hRule="atLeast"/>
        </w:trPr>
        <w:tc>
          <w:tcPr>
            <w:tcW w:w="1135" w:type="pct"/>
            <w:tcBorders>
              <w:top w:val="single" w:color="000000" w:sz="6" w:space="0"/>
              <w:left w:val="single" w:color="000000" w:sz="6" w:space="0"/>
              <w:bottom w:val="single" w:color="000000" w:sz="6" w:space="0"/>
              <w:right w:val="single" w:color="000000" w:sz="6" w:space="0"/>
            </w:tcBorders>
            <w:vAlign w:val="center"/>
          </w:tcPr>
          <w:p w14:paraId="1FCB330F">
            <w:pPr>
              <w:pStyle w:val="436"/>
              <w:adjustRightInd w:val="0"/>
              <w:spacing w:before="120" w:line="560" w:lineRule="exact"/>
              <w:jc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招标文件项目需求</w:t>
            </w:r>
            <w:r>
              <w:rPr>
                <w:rFonts w:hint="eastAsia" w:ascii="宋体" w:hAnsi="宋体" w:cs="宋体"/>
                <w:color w:val="auto"/>
                <w:szCs w:val="21"/>
                <w:highlight w:val="none"/>
                <w:lang w:val="en-US" w:eastAsia="zh-CN"/>
              </w:rPr>
              <w:t>中服务要求</w:t>
            </w:r>
          </w:p>
        </w:tc>
        <w:tc>
          <w:tcPr>
            <w:tcW w:w="1119" w:type="pct"/>
            <w:tcBorders>
              <w:top w:val="single" w:color="000000" w:sz="6" w:space="0"/>
              <w:left w:val="single" w:color="000000" w:sz="6" w:space="0"/>
              <w:bottom w:val="single" w:color="000000" w:sz="6" w:space="0"/>
              <w:right w:val="single" w:color="000000" w:sz="6" w:space="0"/>
            </w:tcBorders>
            <w:vAlign w:val="center"/>
          </w:tcPr>
          <w:p w14:paraId="5C7009CA">
            <w:pPr>
              <w:pStyle w:val="436"/>
              <w:spacing w:line="560" w:lineRule="exact"/>
              <w:jc w:val="center"/>
              <w:rPr>
                <w:rFonts w:ascii="宋体" w:hAnsi="宋体" w:cs="宋体"/>
                <w:color w:val="auto"/>
                <w:szCs w:val="21"/>
                <w:highlight w:val="none"/>
              </w:rPr>
            </w:pPr>
            <w:r>
              <w:rPr>
                <w:rFonts w:hint="eastAsia" w:ascii="宋体" w:hAnsi="宋体" w:cs="宋体"/>
                <w:color w:val="auto"/>
                <w:szCs w:val="21"/>
                <w:highlight w:val="none"/>
              </w:rPr>
              <w:t>招标文件</w:t>
            </w:r>
          </w:p>
          <w:p w14:paraId="2A4856FA">
            <w:pPr>
              <w:pStyle w:val="436"/>
              <w:adjustRightInd w:val="0"/>
              <w:spacing w:line="560" w:lineRule="exact"/>
              <w:jc w:val="center"/>
              <w:rPr>
                <w:rFonts w:ascii="宋体" w:hAnsi="宋体" w:cs="宋体"/>
                <w:color w:val="auto"/>
                <w:szCs w:val="21"/>
                <w:highlight w:val="none"/>
              </w:rPr>
            </w:pPr>
            <w:r>
              <w:rPr>
                <w:rFonts w:hint="eastAsia" w:ascii="宋体" w:hAnsi="宋体" w:cs="宋体"/>
                <w:color w:val="auto"/>
                <w:szCs w:val="21"/>
                <w:highlight w:val="none"/>
              </w:rPr>
              <w:t>要求</w:t>
            </w:r>
          </w:p>
        </w:tc>
        <w:tc>
          <w:tcPr>
            <w:tcW w:w="1425" w:type="pct"/>
            <w:tcBorders>
              <w:top w:val="single" w:color="000000" w:sz="6" w:space="0"/>
              <w:left w:val="single" w:color="000000" w:sz="6" w:space="0"/>
              <w:bottom w:val="single" w:color="000000" w:sz="6" w:space="0"/>
              <w:right w:val="single" w:color="000000" w:sz="6" w:space="0"/>
            </w:tcBorders>
            <w:vAlign w:val="center"/>
          </w:tcPr>
          <w:p w14:paraId="10294790">
            <w:pPr>
              <w:pStyle w:val="436"/>
              <w:spacing w:line="560" w:lineRule="exact"/>
              <w:jc w:val="center"/>
              <w:rPr>
                <w:rFonts w:ascii="宋体" w:hAnsi="宋体" w:cs="宋体"/>
                <w:color w:val="auto"/>
                <w:szCs w:val="21"/>
                <w:highlight w:val="none"/>
              </w:rPr>
            </w:pPr>
            <w:r>
              <w:rPr>
                <w:rFonts w:hint="eastAsia" w:ascii="宋体" w:hAnsi="宋体" w:cs="宋体"/>
                <w:color w:val="auto"/>
                <w:szCs w:val="21"/>
                <w:highlight w:val="none"/>
              </w:rPr>
              <w:t>投标文件</w:t>
            </w:r>
          </w:p>
          <w:p w14:paraId="58516440">
            <w:pPr>
              <w:pStyle w:val="436"/>
              <w:adjustRightInd w:val="0"/>
              <w:spacing w:line="560" w:lineRule="exact"/>
              <w:jc w:val="center"/>
              <w:rPr>
                <w:rFonts w:ascii="宋体" w:hAnsi="宋体" w:cs="宋体"/>
                <w:color w:val="auto"/>
                <w:szCs w:val="21"/>
                <w:highlight w:val="none"/>
              </w:rPr>
            </w:pPr>
            <w:r>
              <w:rPr>
                <w:rFonts w:hint="eastAsia" w:ascii="宋体" w:hAnsi="宋体" w:cs="宋体"/>
                <w:color w:val="auto"/>
                <w:szCs w:val="21"/>
                <w:highlight w:val="none"/>
              </w:rPr>
              <w:t>应答</w:t>
            </w:r>
          </w:p>
        </w:tc>
        <w:tc>
          <w:tcPr>
            <w:tcW w:w="814" w:type="pct"/>
            <w:tcBorders>
              <w:top w:val="single" w:color="000000" w:sz="6" w:space="0"/>
              <w:left w:val="single" w:color="000000" w:sz="6" w:space="0"/>
              <w:bottom w:val="single" w:color="000000" w:sz="6" w:space="0"/>
              <w:right w:val="single" w:color="000000" w:sz="6" w:space="0"/>
            </w:tcBorders>
            <w:vAlign w:val="center"/>
          </w:tcPr>
          <w:p w14:paraId="0211D963">
            <w:pPr>
              <w:pStyle w:val="436"/>
              <w:adjustRightInd w:val="0"/>
              <w:spacing w:before="120" w:line="560" w:lineRule="exact"/>
              <w:jc w:val="center"/>
              <w:rPr>
                <w:rFonts w:ascii="宋体" w:hAnsi="宋体" w:cs="宋体"/>
                <w:color w:val="auto"/>
                <w:szCs w:val="21"/>
                <w:highlight w:val="none"/>
              </w:rPr>
            </w:pPr>
            <w:r>
              <w:rPr>
                <w:rFonts w:hint="eastAsia" w:ascii="宋体" w:hAnsi="宋体" w:cs="宋体"/>
                <w:color w:val="auto"/>
                <w:szCs w:val="21"/>
                <w:highlight w:val="none"/>
              </w:rPr>
              <w:t>偏差</w:t>
            </w:r>
          </w:p>
        </w:tc>
        <w:tc>
          <w:tcPr>
            <w:tcW w:w="506" w:type="pct"/>
            <w:tcBorders>
              <w:top w:val="single" w:color="000000" w:sz="6" w:space="0"/>
              <w:left w:val="single" w:color="000000" w:sz="6" w:space="0"/>
              <w:bottom w:val="single" w:color="000000" w:sz="6" w:space="0"/>
              <w:right w:val="single" w:color="000000" w:sz="6" w:space="0"/>
            </w:tcBorders>
            <w:vAlign w:val="center"/>
          </w:tcPr>
          <w:p w14:paraId="5BA4F1EC">
            <w:pPr>
              <w:pStyle w:val="436"/>
              <w:adjustRightInd w:val="0"/>
              <w:spacing w:before="120" w:line="560" w:lineRule="exact"/>
              <w:jc w:val="center"/>
              <w:rPr>
                <w:rFonts w:ascii="宋体" w:hAnsi="宋体" w:cs="宋体"/>
                <w:color w:val="auto"/>
                <w:szCs w:val="21"/>
                <w:highlight w:val="none"/>
              </w:rPr>
            </w:pPr>
            <w:r>
              <w:rPr>
                <w:rFonts w:hint="eastAsia" w:ascii="宋体" w:hAnsi="宋体" w:cs="宋体"/>
                <w:color w:val="auto"/>
                <w:szCs w:val="21"/>
                <w:highlight w:val="none"/>
              </w:rPr>
              <w:t>备注</w:t>
            </w:r>
          </w:p>
        </w:tc>
      </w:tr>
      <w:tr w14:paraId="77B5F8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135" w:type="pct"/>
            <w:tcBorders>
              <w:top w:val="single" w:color="000000" w:sz="6" w:space="0"/>
              <w:left w:val="single" w:color="000000" w:sz="6" w:space="0"/>
              <w:bottom w:val="single" w:color="000000" w:sz="6" w:space="0"/>
              <w:right w:val="single" w:color="000000" w:sz="6" w:space="0"/>
            </w:tcBorders>
          </w:tcPr>
          <w:p w14:paraId="18B4C72A">
            <w:pPr>
              <w:pStyle w:val="436"/>
              <w:adjustRightInd w:val="0"/>
              <w:spacing w:line="560" w:lineRule="exact"/>
              <w:rPr>
                <w:rFonts w:ascii="宋体" w:hAnsi="宋体" w:cs="宋体"/>
                <w:color w:val="auto"/>
                <w:szCs w:val="21"/>
                <w:highlight w:val="none"/>
              </w:rPr>
            </w:pPr>
          </w:p>
        </w:tc>
        <w:tc>
          <w:tcPr>
            <w:tcW w:w="1119" w:type="pct"/>
            <w:tcBorders>
              <w:top w:val="single" w:color="000000" w:sz="6" w:space="0"/>
              <w:left w:val="single" w:color="000000" w:sz="6" w:space="0"/>
              <w:bottom w:val="single" w:color="000000" w:sz="6" w:space="0"/>
              <w:right w:val="single" w:color="000000" w:sz="6" w:space="0"/>
            </w:tcBorders>
          </w:tcPr>
          <w:p w14:paraId="00707653">
            <w:pPr>
              <w:pStyle w:val="436"/>
              <w:adjustRightInd w:val="0"/>
              <w:spacing w:line="560" w:lineRule="exact"/>
              <w:ind w:left="50" w:right="55"/>
              <w:rPr>
                <w:rFonts w:ascii="宋体" w:hAnsi="宋体" w:cs="宋体"/>
                <w:color w:val="auto"/>
                <w:szCs w:val="21"/>
                <w:highlight w:val="none"/>
              </w:rPr>
            </w:pPr>
          </w:p>
        </w:tc>
        <w:tc>
          <w:tcPr>
            <w:tcW w:w="1425" w:type="pct"/>
            <w:tcBorders>
              <w:top w:val="single" w:color="000000" w:sz="6" w:space="0"/>
              <w:left w:val="single" w:color="000000" w:sz="6" w:space="0"/>
              <w:bottom w:val="single" w:color="000000" w:sz="6" w:space="0"/>
              <w:right w:val="single" w:color="000000" w:sz="6" w:space="0"/>
            </w:tcBorders>
          </w:tcPr>
          <w:p w14:paraId="0C2E019E">
            <w:pPr>
              <w:pStyle w:val="436"/>
              <w:adjustRightInd w:val="0"/>
              <w:spacing w:line="560" w:lineRule="exact"/>
              <w:rPr>
                <w:rFonts w:ascii="宋体" w:hAnsi="宋体" w:cs="宋体"/>
                <w:color w:val="auto"/>
                <w:szCs w:val="21"/>
                <w:highlight w:val="none"/>
              </w:rPr>
            </w:pPr>
          </w:p>
        </w:tc>
        <w:tc>
          <w:tcPr>
            <w:tcW w:w="814" w:type="pct"/>
            <w:tcBorders>
              <w:top w:val="single" w:color="000000" w:sz="6" w:space="0"/>
              <w:left w:val="single" w:color="000000" w:sz="6" w:space="0"/>
              <w:bottom w:val="single" w:color="000000" w:sz="6" w:space="0"/>
              <w:right w:val="single" w:color="000000" w:sz="6" w:space="0"/>
            </w:tcBorders>
          </w:tcPr>
          <w:p w14:paraId="465C09AA">
            <w:pPr>
              <w:pStyle w:val="436"/>
              <w:adjustRightInd w:val="0"/>
              <w:spacing w:line="560" w:lineRule="exact"/>
              <w:rPr>
                <w:rFonts w:ascii="宋体" w:hAnsi="宋体" w:cs="宋体"/>
                <w:color w:val="auto"/>
                <w:szCs w:val="21"/>
                <w:highlight w:val="none"/>
              </w:rPr>
            </w:pPr>
          </w:p>
        </w:tc>
        <w:tc>
          <w:tcPr>
            <w:tcW w:w="506" w:type="pct"/>
            <w:tcBorders>
              <w:top w:val="single" w:color="000000" w:sz="6" w:space="0"/>
              <w:left w:val="single" w:color="000000" w:sz="6" w:space="0"/>
              <w:bottom w:val="single" w:color="000000" w:sz="6" w:space="0"/>
              <w:right w:val="single" w:color="000000" w:sz="6" w:space="0"/>
            </w:tcBorders>
          </w:tcPr>
          <w:p w14:paraId="6D40F4B8">
            <w:pPr>
              <w:pStyle w:val="436"/>
              <w:adjustRightInd w:val="0"/>
              <w:spacing w:line="560" w:lineRule="exact"/>
              <w:rPr>
                <w:rFonts w:ascii="宋体" w:hAnsi="宋体" w:cs="宋体"/>
                <w:color w:val="auto"/>
                <w:szCs w:val="21"/>
                <w:highlight w:val="none"/>
              </w:rPr>
            </w:pPr>
          </w:p>
        </w:tc>
      </w:tr>
      <w:tr w14:paraId="286C97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135" w:type="pct"/>
            <w:tcBorders>
              <w:top w:val="single" w:color="000000" w:sz="6" w:space="0"/>
              <w:left w:val="single" w:color="000000" w:sz="6" w:space="0"/>
              <w:bottom w:val="single" w:color="000000" w:sz="6" w:space="0"/>
              <w:right w:val="single" w:color="000000" w:sz="6" w:space="0"/>
            </w:tcBorders>
          </w:tcPr>
          <w:p w14:paraId="0B6BF076">
            <w:pPr>
              <w:pStyle w:val="436"/>
              <w:adjustRightInd w:val="0"/>
              <w:spacing w:line="560" w:lineRule="exact"/>
              <w:ind w:firstLine="480"/>
              <w:rPr>
                <w:rFonts w:ascii="宋体" w:hAnsi="宋体" w:cs="宋体"/>
                <w:color w:val="auto"/>
                <w:szCs w:val="21"/>
                <w:highlight w:val="none"/>
              </w:rPr>
            </w:pPr>
          </w:p>
        </w:tc>
        <w:tc>
          <w:tcPr>
            <w:tcW w:w="1119" w:type="pct"/>
            <w:tcBorders>
              <w:top w:val="single" w:color="000000" w:sz="6" w:space="0"/>
              <w:left w:val="single" w:color="000000" w:sz="6" w:space="0"/>
              <w:bottom w:val="single" w:color="000000" w:sz="6" w:space="0"/>
              <w:right w:val="single" w:color="000000" w:sz="6" w:space="0"/>
            </w:tcBorders>
          </w:tcPr>
          <w:p w14:paraId="682BED7A">
            <w:pPr>
              <w:pStyle w:val="436"/>
              <w:adjustRightInd w:val="0"/>
              <w:spacing w:line="560" w:lineRule="exact"/>
              <w:ind w:left="50" w:right="55"/>
              <w:rPr>
                <w:rFonts w:ascii="宋体" w:hAnsi="宋体" w:cs="宋体"/>
                <w:color w:val="auto"/>
                <w:szCs w:val="21"/>
                <w:highlight w:val="none"/>
              </w:rPr>
            </w:pPr>
          </w:p>
        </w:tc>
        <w:tc>
          <w:tcPr>
            <w:tcW w:w="1425" w:type="pct"/>
            <w:tcBorders>
              <w:top w:val="single" w:color="000000" w:sz="6" w:space="0"/>
              <w:left w:val="single" w:color="000000" w:sz="6" w:space="0"/>
              <w:bottom w:val="single" w:color="000000" w:sz="6" w:space="0"/>
              <w:right w:val="single" w:color="000000" w:sz="6" w:space="0"/>
            </w:tcBorders>
          </w:tcPr>
          <w:p w14:paraId="126D22C5">
            <w:pPr>
              <w:pStyle w:val="436"/>
              <w:adjustRightInd w:val="0"/>
              <w:spacing w:line="560" w:lineRule="exact"/>
              <w:rPr>
                <w:rFonts w:ascii="宋体" w:hAnsi="宋体" w:cs="宋体"/>
                <w:color w:val="auto"/>
                <w:szCs w:val="21"/>
                <w:highlight w:val="none"/>
              </w:rPr>
            </w:pPr>
          </w:p>
        </w:tc>
        <w:tc>
          <w:tcPr>
            <w:tcW w:w="814" w:type="pct"/>
            <w:tcBorders>
              <w:top w:val="single" w:color="000000" w:sz="6" w:space="0"/>
              <w:left w:val="single" w:color="000000" w:sz="6" w:space="0"/>
              <w:bottom w:val="single" w:color="000000" w:sz="6" w:space="0"/>
              <w:right w:val="single" w:color="000000" w:sz="6" w:space="0"/>
            </w:tcBorders>
          </w:tcPr>
          <w:p w14:paraId="30829359">
            <w:pPr>
              <w:pStyle w:val="436"/>
              <w:adjustRightInd w:val="0"/>
              <w:spacing w:line="560" w:lineRule="exact"/>
              <w:rPr>
                <w:rFonts w:ascii="宋体" w:hAnsi="宋体" w:cs="宋体"/>
                <w:color w:val="auto"/>
                <w:szCs w:val="21"/>
                <w:highlight w:val="none"/>
              </w:rPr>
            </w:pPr>
          </w:p>
        </w:tc>
        <w:tc>
          <w:tcPr>
            <w:tcW w:w="506" w:type="pct"/>
            <w:tcBorders>
              <w:top w:val="single" w:color="000000" w:sz="6" w:space="0"/>
              <w:left w:val="single" w:color="000000" w:sz="6" w:space="0"/>
              <w:bottom w:val="single" w:color="000000" w:sz="6" w:space="0"/>
              <w:right w:val="single" w:color="000000" w:sz="6" w:space="0"/>
            </w:tcBorders>
          </w:tcPr>
          <w:p w14:paraId="78CEE793">
            <w:pPr>
              <w:pStyle w:val="436"/>
              <w:adjustRightInd w:val="0"/>
              <w:spacing w:line="560" w:lineRule="exact"/>
              <w:rPr>
                <w:rFonts w:ascii="宋体" w:hAnsi="宋体" w:cs="宋体"/>
                <w:color w:val="auto"/>
                <w:szCs w:val="21"/>
                <w:highlight w:val="none"/>
              </w:rPr>
            </w:pPr>
          </w:p>
        </w:tc>
      </w:tr>
      <w:tr w14:paraId="1B43CA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135" w:type="pct"/>
            <w:tcBorders>
              <w:top w:val="single" w:color="000000" w:sz="6" w:space="0"/>
              <w:left w:val="single" w:color="000000" w:sz="6" w:space="0"/>
              <w:bottom w:val="single" w:color="000000" w:sz="6" w:space="0"/>
              <w:right w:val="single" w:color="000000" w:sz="6" w:space="0"/>
            </w:tcBorders>
          </w:tcPr>
          <w:p w14:paraId="162FF34D">
            <w:pPr>
              <w:pStyle w:val="436"/>
              <w:adjustRightInd w:val="0"/>
              <w:spacing w:line="560" w:lineRule="exact"/>
              <w:ind w:firstLine="480"/>
              <w:rPr>
                <w:rFonts w:ascii="宋体" w:hAnsi="宋体" w:cs="宋体"/>
                <w:color w:val="auto"/>
                <w:szCs w:val="21"/>
                <w:highlight w:val="none"/>
              </w:rPr>
            </w:pPr>
          </w:p>
        </w:tc>
        <w:tc>
          <w:tcPr>
            <w:tcW w:w="1119" w:type="pct"/>
            <w:tcBorders>
              <w:top w:val="single" w:color="000000" w:sz="6" w:space="0"/>
              <w:left w:val="single" w:color="000000" w:sz="6" w:space="0"/>
              <w:bottom w:val="single" w:color="000000" w:sz="6" w:space="0"/>
              <w:right w:val="single" w:color="000000" w:sz="6" w:space="0"/>
            </w:tcBorders>
          </w:tcPr>
          <w:p w14:paraId="534B9B48">
            <w:pPr>
              <w:pStyle w:val="436"/>
              <w:adjustRightInd w:val="0"/>
              <w:spacing w:line="560" w:lineRule="exact"/>
              <w:ind w:left="50" w:right="55"/>
              <w:rPr>
                <w:rFonts w:ascii="宋体" w:hAnsi="宋体" w:cs="宋体"/>
                <w:color w:val="auto"/>
                <w:szCs w:val="21"/>
                <w:highlight w:val="none"/>
              </w:rPr>
            </w:pPr>
          </w:p>
        </w:tc>
        <w:tc>
          <w:tcPr>
            <w:tcW w:w="1425" w:type="pct"/>
            <w:tcBorders>
              <w:top w:val="single" w:color="000000" w:sz="6" w:space="0"/>
              <w:left w:val="single" w:color="000000" w:sz="6" w:space="0"/>
              <w:bottom w:val="single" w:color="000000" w:sz="6" w:space="0"/>
              <w:right w:val="single" w:color="000000" w:sz="6" w:space="0"/>
            </w:tcBorders>
          </w:tcPr>
          <w:p w14:paraId="2A608CED">
            <w:pPr>
              <w:pStyle w:val="436"/>
              <w:adjustRightInd w:val="0"/>
              <w:spacing w:line="560" w:lineRule="exact"/>
              <w:rPr>
                <w:rFonts w:ascii="宋体" w:hAnsi="宋体" w:cs="宋体"/>
                <w:color w:val="auto"/>
                <w:szCs w:val="21"/>
                <w:highlight w:val="none"/>
              </w:rPr>
            </w:pPr>
          </w:p>
        </w:tc>
        <w:tc>
          <w:tcPr>
            <w:tcW w:w="814" w:type="pct"/>
            <w:tcBorders>
              <w:top w:val="single" w:color="000000" w:sz="6" w:space="0"/>
              <w:left w:val="single" w:color="000000" w:sz="6" w:space="0"/>
              <w:bottom w:val="single" w:color="000000" w:sz="6" w:space="0"/>
              <w:right w:val="single" w:color="000000" w:sz="6" w:space="0"/>
            </w:tcBorders>
          </w:tcPr>
          <w:p w14:paraId="498A34BF">
            <w:pPr>
              <w:pStyle w:val="436"/>
              <w:adjustRightInd w:val="0"/>
              <w:spacing w:line="560" w:lineRule="exact"/>
              <w:rPr>
                <w:rFonts w:ascii="宋体" w:hAnsi="宋体" w:cs="宋体"/>
                <w:color w:val="auto"/>
                <w:szCs w:val="21"/>
                <w:highlight w:val="none"/>
              </w:rPr>
            </w:pPr>
          </w:p>
        </w:tc>
        <w:tc>
          <w:tcPr>
            <w:tcW w:w="506" w:type="pct"/>
            <w:tcBorders>
              <w:top w:val="single" w:color="000000" w:sz="6" w:space="0"/>
              <w:left w:val="single" w:color="000000" w:sz="6" w:space="0"/>
              <w:bottom w:val="single" w:color="000000" w:sz="6" w:space="0"/>
              <w:right w:val="single" w:color="000000" w:sz="6" w:space="0"/>
            </w:tcBorders>
          </w:tcPr>
          <w:p w14:paraId="37C86EE8">
            <w:pPr>
              <w:pStyle w:val="436"/>
              <w:adjustRightInd w:val="0"/>
              <w:spacing w:line="560" w:lineRule="exact"/>
              <w:rPr>
                <w:rFonts w:ascii="宋体" w:hAnsi="宋体" w:cs="宋体"/>
                <w:color w:val="auto"/>
                <w:szCs w:val="21"/>
                <w:highlight w:val="none"/>
              </w:rPr>
            </w:pPr>
          </w:p>
        </w:tc>
      </w:tr>
      <w:tr w14:paraId="38C4E2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135" w:type="pct"/>
            <w:tcBorders>
              <w:top w:val="single" w:color="000000" w:sz="6" w:space="0"/>
              <w:left w:val="single" w:color="000000" w:sz="6" w:space="0"/>
              <w:bottom w:val="single" w:color="000000" w:sz="6" w:space="0"/>
              <w:right w:val="single" w:color="000000" w:sz="6" w:space="0"/>
            </w:tcBorders>
          </w:tcPr>
          <w:p w14:paraId="729B2B00">
            <w:pPr>
              <w:pStyle w:val="436"/>
              <w:adjustRightInd w:val="0"/>
              <w:spacing w:line="560" w:lineRule="exact"/>
              <w:ind w:firstLine="480"/>
              <w:rPr>
                <w:rFonts w:ascii="宋体" w:hAnsi="宋体" w:cs="宋体"/>
                <w:color w:val="auto"/>
                <w:szCs w:val="21"/>
                <w:highlight w:val="none"/>
              </w:rPr>
            </w:pPr>
          </w:p>
        </w:tc>
        <w:tc>
          <w:tcPr>
            <w:tcW w:w="1119" w:type="pct"/>
            <w:tcBorders>
              <w:top w:val="single" w:color="000000" w:sz="6" w:space="0"/>
              <w:left w:val="single" w:color="000000" w:sz="6" w:space="0"/>
              <w:bottom w:val="single" w:color="000000" w:sz="6" w:space="0"/>
              <w:right w:val="single" w:color="000000" w:sz="6" w:space="0"/>
            </w:tcBorders>
          </w:tcPr>
          <w:p w14:paraId="4FCF2020">
            <w:pPr>
              <w:pStyle w:val="436"/>
              <w:adjustRightInd w:val="0"/>
              <w:spacing w:line="560" w:lineRule="exact"/>
              <w:ind w:left="50" w:right="55"/>
              <w:rPr>
                <w:rFonts w:ascii="宋体" w:hAnsi="宋体" w:cs="宋体"/>
                <w:color w:val="auto"/>
                <w:szCs w:val="21"/>
                <w:highlight w:val="none"/>
              </w:rPr>
            </w:pPr>
          </w:p>
        </w:tc>
        <w:tc>
          <w:tcPr>
            <w:tcW w:w="1425" w:type="pct"/>
            <w:tcBorders>
              <w:top w:val="single" w:color="000000" w:sz="6" w:space="0"/>
              <w:left w:val="single" w:color="000000" w:sz="6" w:space="0"/>
              <w:bottom w:val="single" w:color="000000" w:sz="6" w:space="0"/>
              <w:right w:val="single" w:color="000000" w:sz="6" w:space="0"/>
            </w:tcBorders>
          </w:tcPr>
          <w:p w14:paraId="17239342">
            <w:pPr>
              <w:pStyle w:val="436"/>
              <w:adjustRightInd w:val="0"/>
              <w:spacing w:line="560" w:lineRule="exact"/>
              <w:rPr>
                <w:rFonts w:ascii="宋体" w:hAnsi="宋体" w:cs="宋体"/>
                <w:color w:val="auto"/>
                <w:szCs w:val="21"/>
                <w:highlight w:val="none"/>
              </w:rPr>
            </w:pPr>
          </w:p>
        </w:tc>
        <w:tc>
          <w:tcPr>
            <w:tcW w:w="814" w:type="pct"/>
            <w:tcBorders>
              <w:top w:val="single" w:color="000000" w:sz="6" w:space="0"/>
              <w:left w:val="single" w:color="000000" w:sz="6" w:space="0"/>
              <w:bottom w:val="single" w:color="000000" w:sz="6" w:space="0"/>
              <w:right w:val="single" w:color="000000" w:sz="6" w:space="0"/>
            </w:tcBorders>
          </w:tcPr>
          <w:p w14:paraId="07938849">
            <w:pPr>
              <w:pStyle w:val="436"/>
              <w:adjustRightInd w:val="0"/>
              <w:spacing w:line="560" w:lineRule="exact"/>
              <w:rPr>
                <w:rFonts w:ascii="宋体" w:hAnsi="宋体" w:cs="宋体"/>
                <w:color w:val="auto"/>
                <w:szCs w:val="21"/>
                <w:highlight w:val="none"/>
              </w:rPr>
            </w:pPr>
          </w:p>
        </w:tc>
        <w:tc>
          <w:tcPr>
            <w:tcW w:w="506" w:type="pct"/>
            <w:tcBorders>
              <w:top w:val="single" w:color="000000" w:sz="6" w:space="0"/>
              <w:left w:val="single" w:color="000000" w:sz="6" w:space="0"/>
              <w:bottom w:val="single" w:color="000000" w:sz="6" w:space="0"/>
              <w:right w:val="single" w:color="000000" w:sz="6" w:space="0"/>
            </w:tcBorders>
          </w:tcPr>
          <w:p w14:paraId="218FF917">
            <w:pPr>
              <w:pStyle w:val="436"/>
              <w:adjustRightInd w:val="0"/>
              <w:spacing w:line="560" w:lineRule="exact"/>
              <w:rPr>
                <w:rFonts w:ascii="宋体" w:hAnsi="宋体" w:cs="宋体"/>
                <w:color w:val="auto"/>
                <w:szCs w:val="21"/>
                <w:highlight w:val="none"/>
              </w:rPr>
            </w:pPr>
          </w:p>
        </w:tc>
      </w:tr>
      <w:tr w14:paraId="6717AF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135" w:type="pct"/>
            <w:tcBorders>
              <w:top w:val="single" w:color="000000" w:sz="6" w:space="0"/>
              <w:left w:val="single" w:color="000000" w:sz="6" w:space="0"/>
              <w:bottom w:val="single" w:color="000000" w:sz="6" w:space="0"/>
              <w:right w:val="single" w:color="000000" w:sz="6" w:space="0"/>
            </w:tcBorders>
          </w:tcPr>
          <w:p w14:paraId="47C94D57">
            <w:pPr>
              <w:pStyle w:val="436"/>
              <w:adjustRightInd w:val="0"/>
              <w:spacing w:line="560" w:lineRule="exact"/>
              <w:rPr>
                <w:rFonts w:ascii="宋体" w:hAnsi="宋体" w:cs="宋体"/>
                <w:color w:val="auto"/>
                <w:szCs w:val="21"/>
                <w:highlight w:val="none"/>
              </w:rPr>
            </w:pPr>
          </w:p>
        </w:tc>
        <w:tc>
          <w:tcPr>
            <w:tcW w:w="1119" w:type="pct"/>
            <w:tcBorders>
              <w:top w:val="single" w:color="000000" w:sz="6" w:space="0"/>
              <w:left w:val="single" w:color="000000" w:sz="6" w:space="0"/>
              <w:bottom w:val="single" w:color="000000" w:sz="6" w:space="0"/>
              <w:right w:val="single" w:color="000000" w:sz="6" w:space="0"/>
            </w:tcBorders>
          </w:tcPr>
          <w:p w14:paraId="7D7DCD18">
            <w:pPr>
              <w:pStyle w:val="436"/>
              <w:adjustRightInd w:val="0"/>
              <w:spacing w:line="560" w:lineRule="exact"/>
              <w:ind w:left="50" w:right="55"/>
              <w:rPr>
                <w:rFonts w:ascii="宋体" w:hAnsi="宋体" w:cs="宋体"/>
                <w:color w:val="auto"/>
                <w:szCs w:val="21"/>
                <w:highlight w:val="none"/>
              </w:rPr>
            </w:pPr>
          </w:p>
        </w:tc>
        <w:tc>
          <w:tcPr>
            <w:tcW w:w="1425" w:type="pct"/>
            <w:tcBorders>
              <w:top w:val="single" w:color="000000" w:sz="6" w:space="0"/>
              <w:left w:val="single" w:color="000000" w:sz="6" w:space="0"/>
              <w:bottom w:val="single" w:color="000000" w:sz="6" w:space="0"/>
              <w:right w:val="single" w:color="000000" w:sz="6" w:space="0"/>
            </w:tcBorders>
          </w:tcPr>
          <w:p w14:paraId="0034B865">
            <w:pPr>
              <w:pStyle w:val="436"/>
              <w:adjustRightInd w:val="0"/>
              <w:spacing w:line="560" w:lineRule="exact"/>
              <w:rPr>
                <w:rFonts w:ascii="宋体" w:hAnsi="宋体" w:cs="宋体"/>
                <w:color w:val="auto"/>
                <w:szCs w:val="21"/>
                <w:highlight w:val="none"/>
              </w:rPr>
            </w:pPr>
          </w:p>
        </w:tc>
        <w:tc>
          <w:tcPr>
            <w:tcW w:w="814" w:type="pct"/>
            <w:tcBorders>
              <w:top w:val="single" w:color="000000" w:sz="6" w:space="0"/>
              <w:left w:val="single" w:color="000000" w:sz="6" w:space="0"/>
              <w:bottom w:val="single" w:color="000000" w:sz="6" w:space="0"/>
              <w:right w:val="single" w:color="000000" w:sz="6" w:space="0"/>
            </w:tcBorders>
          </w:tcPr>
          <w:p w14:paraId="6832084E">
            <w:pPr>
              <w:pStyle w:val="436"/>
              <w:adjustRightInd w:val="0"/>
              <w:spacing w:line="560" w:lineRule="exact"/>
              <w:rPr>
                <w:rFonts w:ascii="宋体" w:hAnsi="宋体" w:cs="宋体"/>
                <w:color w:val="auto"/>
                <w:szCs w:val="21"/>
                <w:highlight w:val="none"/>
              </w:rPr>
            </w:pPr>
          </w:p>
        </w:tc>
        <w:tc>
          <w:tcPr>
            <w:tcW w:w="506" w:type="pct"/>
            <w:tcBorders>
              <w:top w:val="single" w:color="000000" w:sz="6" w:space="0"/>
              <w:left w:val="single" w:color="000000" w:sz="6" w:space="0"/>
              <w:bottom w:val="single" w:color="000000" w:sz="6" w:space="0"/>
              <w:right w:val="single" w:color="000000" w:sz="6" w:space="0"/>
            </w:tcBorders>
          </w:tcPr>
          <w:p w14:paraId="7CE40BBA">
            <w:pPr>
              <w:pStyle w:val="436"/>
              <w:adjustRightInd w:val="0"/>
              <w:spacing w:line="560" w:lineRule="exact"/>
              <w:rPr>
                <w:rFonts w:ascii="宋体" w:hAnsi="宋体" w:cs="宋体"/>
                <w:color w:val="auto"/>
                <w:szCs w:val="21"/>
                <w:highlight w:val="none"/>
              </w:rPr>
            </w:pPr>
          </w:p>
        </w:tc>
      </w:tr>
      <w:tr w14:paraId="3E0B6D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135" w:type="pct"/>
            <w:tcBorders>
              <w:top w:val="single" w:color="000000" w:sz="6" w:space="0"/>
              <w:left w:val="single" w:color="000000" w:sz="6" w:space="0"/>
              <w:bottom w:val="single" w:color="000000" w:sz="6" w:space="0"/>
              <w:right w:val="single" w:color="000000" w:sz="6" w:space="0"/>
            </w:tcBorders>
          </w:tcPr>
          <w:p w14:paraId="2279115F">
            <w:pPr>
              <w:pStyle w:val="436"/>
              <w:adjustRightInd w:val="0"/>
              <w:spacing w:line="560" w:lineRule="exact"/>
              <w:ind w:firstLine="480"/>
              <w:rPr>
                <w:rFonts w:ascii="宋体" w:hAnsi="宋体" w:cs="宋体"/>
                <w:color w:val="auto"/>
                <w:szCs w:val="21"/>
                <w:highlight w:val="none"/>
              </w:rPr>
            </w:pPr>
          </w:p>
        </w:tc>
        <w:tc>
          <w:tcPr>
            <w:tcW w:w="1119" w:type="pct"/>
            <w:tcBorders>
              <w:top w:val="single" w:color="000000" w:sz="6" w:space="0"/>
              <w:left w:val="single" w:color="000000" w:sz="6" w:space="0"/>
              <w:bottom w:val="single" w:color="000000" w:sz="6" w:space="0"/>
              <w:right w:val="single" w:color="000000" w:sz="6" w:space="0"/>
            </w:tcBorders>
          </w:tcPr>
          <w:p w14:paraId="4D26A8C5">
            <w:pPr>
              <w:pStyle w:val="436"/>
              <w:adjustRightInd w:val="0"/>
              <w:spacing w:line="560" w:lineRule="exact"/>
              <w:ind w:left="50" w:right="55"/>
              <w:rPr>
                <w:rFonts w:ascii="宋体" w:hAnsi="宋体" w:cs="宋体"/>
                <w:color w:val="auto"/>
                <w:szCs w:val="21"/>
                <w:highlight w:val="none"/>
              </w:rPr>
            </w:pPr>
          </w:p>
        </w:tc>
        <w:tc>
          <w:tcPr>
            <w:tcW w:w="1425" w:type="pct"/>
            <w:tcBorders>
              <w:top w:val="single" w:color="000000" w:sz="6" w:space="0"/>
              <w:left w:val="single" w:color="000000" w:sz="6" w:space="0"/>
              <w:bottom w:val="single" w:color="000000" w:sz="6" w:space="0"/>
              <w:right w:val="single" w:color="000000" w:sz="6" w:space="0"/>
            </w:tcBorders>
          </w:tcPr>
          <w:p w14:paraId="7AA736DE">
            <w:pPr>
              <w:pStyle w:val="436"/>
              <w:adjustRightInd w:val="0"/>
              <w:spacing w:line="560" w:lineRule="exact"/>
              <w:rPr>
                <w:rFonts w:ascii="宋体" w:hAnsi="宋体" w:cs="宋体"/>
                <w:color w:val="auto"/>
                <w:szCs w:val="21"/>
                <w:highlight w:val="none"/>
              </w:rPr>
            </w:pPr>
          </w:p>
        </w:tc>
        <w:tc>
          <w:tcPr>
            <w:tcW w:w="814" w:type="pct"/>
            <w:tcBorders>
              <w:top w:val="single" w:color="000000" w:sz="6" w:space="0"/>
              <w:left w:val="single" w:color="000000" w:sz="6" w:space="0"/>
              <w:bottom w:val="single" w:color="000000" w:sz="6" w:space="0"/>
              <w:right w:val="single" w:color="000000" w:sz="6" w:space="0"/>
            </w:tcBorders>
          </w:tcPr>
          <w:p w14:paraId="3007CE01">
            <w:pPr>
              <w:pStyle w:val="436"/>
              <w:adjustRightInd w:val="0"/>
              <w:spacing w:line="560" w:lineRule="exact"/>
              <w:rPr>
                <w:rFonts w:ascii="宋体" w:hAnsi="宋体" w:cs="宋体"/>
                <w:color w:val="auto"/>
                <w:szCs w:val="21"/>
                <w:highlight w:val="none"/>
              </w:rPr>
            </w:pPr>
          </w:p>
        </w:tc>
        <w:tc>
          <w:tcPr>
            <w:tcW w:w="506" w:type="pct"/>
            <w:tcBorders>
              <w:top w:val="single" w:color="000000" w:sz="6" w:space="0"/>
              <w:left w:val="single" w:color="000000" w:sz="6" w:space="0"/>
              <w:bottom w:val="single" w:color="000000" w:sz="6" w:space="0"/>
              <w:right w:val="single" w:color="000000" w:sz="6" w:space="0"/>
            </w:tcBorders>
          </w:tcPr>
          <w:p w14:paraId="5E7B8D6E">
            <w:pPr>
              <w:pStyle w:val="436"/>
              <w:adjustRightInd w:val="0"/>
              <w:spacing w:line="560" w:lineRule="exact"/>
              <w:rPr>
                <w:rFonts w:ascii="宋体" w:hAnsi="宋体" w:cs="宋体"/>
                <w:color w:val="auto"/>
                <w:szCs w:val="21"/>
                <w:highlight w:val="none"/>
              </w:rPr>
            </w:pPr>
          </w:p>
        </w:tc>
      </w:tr>
    </w:tbl>
    <w:p w14:paraId="75D7982A">
      <w:pPr>
        <w:wordWrap/>
        <w:spacing w:line="400" w:lineRule="exact"/>
        <w:jc w:val="center"/>
        <w:rPr>
          <w:rFonts w:hint="eastAsia" w:hAnsi="宋体"/>
          <w:b/>
          <w:color w:val="auto"/>
          <w:sz w:val="21"/>
          <w:szCs w:val="21"/>
          <w:highlight w:val="none"/>
        </w:rPr>
      </w:pPr>
    </w:p>
    <w:p w14:paraId="0882C2BB">
      <w:pPr>
        <w:spacing w:line="400" w:lineRule="exact"/>
        <w:rPr>
          <w:rFonts w:hAnsi="宋体"/>
          <w:color w:val="auto"/>
          <w:sz w:val="21"/>
          <w:szCs w:val="21"/>
          <w:highlight w:val="none"/>
        </w:rPr>
      </w:pPr>
      <w:r>
        <w:rPr>
          <w:rFonts w:hint="eastAsia" w:hAnsi="宋体"/>
          <w:color w:val="auto"/>
          <w:sz w:val="21"/>
          <w:szCs w:val="21"/>
          <w:highlight w:val="none"/>
        </w:rPr>
        <w:t>供应商名称：</w:t>
      </w:r>
    </w:p>
    <w:p w14:paraId="312B7D7D">
      <w:pPr>
        <w:spacing w:line="400" w:lineRule="exact"/>
        <w:rPr>
          <w:rFonts w:hAnsi="宋体"/>
          <w:color w:val="auto"/>
          <w:sz w:val="21"/>
          <w:szCs w:val="21"/>
          <w:highlight w:val="none"/>
        </w:rPr>
      </w:pPr>
      <w:r>
        <w:rPr>
          <w:rFonts w:hint="eastAsia" w:hAnsi="宋体"/>
          <w:color w:val="auto"/>
          <w:sz w:val="21"/>
          <w:szCs w:val="21"/>
          <w:highlight w:val="none"/>
        </w:rPr>
        <w:t>供应商公章</w:t>
      </w:r>
      <w:r>
        <w:rPr>
          <w:rFonts w:hint="eastAsia" w:hAnsi="宋体" w:eastAsia="宋体"/>
          <w:color w:val="auto"/>
          <w:sz w:val="21"/>
          <w:szCs w:val="21"/>
          <w:highlight w:val="none"/>
          <w:lang w:eastAsia="zh-CN"/>
        </w:rPr>
        <w:t>：</w:t>
      </w:r>
    </w:p>
    <w:p w14:paraId="08B5EF9A">
      <w:pPr>
        <w:spacing w:line="400" w:lineRule="exact"/>
        <w:rPr>
          <w:rFonts w:hAnsi="宋体"/>
          <w:color w:val="auto"/>
          <w:sz w:val="21"/>
          <w:szCs w:val="21"/>
          <w:highlight w:val="none"/>
        </w:rPr>
      </w:pPr>
      <w:r>
        <w:rPr>
          <w:rFonts w:hint="eastAsia" w:hAnsi="宋体"/>
          <w:color w:val="auto"/>
          <w:sz w:val="21"/>
          <w:szCs w:val="21"/>
          <w:highlight w:val="none"/>
        </w:rPr>
        <w:t>授权代表</w:t>
      </w:r>
      <w:r>
        <w:rPr>
          <w:rFonts w:hint="eastAsia" w:hAnsi="宋体" w:eastAsia="宋体"/>
          <w:color w:val="auto"/>
          <w:sz w:val="21"/>
          <w:szCs w:val="21"/>
          <w:highlight w:val="none"/>
          <w:lang w:eastAsia="zh-CN"/>
        </w:rPr>
        <w:t>（</w:t>
      </w:r>
      <w:r>
        <w:rPr>
          <w:rFonts w:hint="eastAsia" w:hAnsi="宋体"/>
          <w:color w:val="auto"/>
          <w:sz w:val="21"/>
          <w:szCs w:val="21"/>
          <w:highlight w:val="none"/>
        </w:rPr>
        <w:t>签字</w:t>
      </w:r>
      <w:r>
        <w:rPr>
          <w:rFonts w:hint="eastAsia" w:hAnsi="宋体" w:eastAsia="宋体"/>
          <w:color w:val="auto"/>
          <w:sz w:val="21"/>
          <w:szCs w:val="21"/>
          <w:highlight w:val="none"/>
          <w:lang w:eastAsia="zh-CN"/>
        </w:rPr>
        <w:t>）：</w:t>
      </w:r>
    </w:p>
    <w:p w14:paraId="1C386D1A">
      <w:pPr>
        <w:spacing w:line="400" w:lineRule="exact"/>
        <w:rPr>
          <w:rFonts w:hint="eastAsia" w:hAnsi="宋体"/>
          <w:color w:val="auto"/>
          <w:sz w:val="21"/>
          <w:szCs w:val="21"/>
          <w:highlight w:val="none"/>
        </w:rPr>
      </w:pPr>
      <w:r>
        <w:rPr>
          <w:rFonts w:hint="eastAsia" w:hAnsi="宋体"/>
          <w:color w:val="auto"/>
          <w:sz w:val="21"/>
          <w:szCs w:val="21"/>
          <w:highlight w:val="none"/>
        </w:rPr>
        <w:t>日期：</w:t>
      </w:r>
    </w:p>
    <w:p w14:paraId="679819E8">
      <w:pPr>
        <w:wordWrap/>
        <w:spacing w:line="400" w:lineRule="exact"/>
        <w:jc w:val="center"/>
        <w:rPr>
          <w:rFonts w:hAnsi="宋体" w:eastAsia="宋体"/>
          <w:b/>
          <w:color w:val="auto"/>
          <w:sz w:val="21"/>
          <w:szCs w:val="21"/>
          <w:highlight w:val="none"/>
          <w:u w:val="single"/>
          <w:lang w:val="en-US"/>
        </w:rPr>
      </w:pPr>
    </w:p>
    <w:p w14:paraId="037444C0">
      <w:pPr>
        <w:pStyle w:val="436"/>
        <w:spacing w:line="560" w:lineRule="exact"/>
        <w:rPr>
          <w:rFonts w:ascii="宋体" w:hAnsi="宋体" w:cs="宋体"/>
          <w:color w:val="auto"/>
          <w:sz w:val="24"/>
          <w:szCs w:val="24"/>
          <w:highlight w:val="none"/>
        </w:rPr>
      </w:pPr>
    </w:p>
    <w:p w14:paraId="2A40AE99">
      <w:pPr>
        <w:pStyle w:val="436"/>
        <w:spacing w:line="560" w:lineRule="exact"/>
        <w:rPr>
          <w:rFonts w:hint="eastAsia" w:ascii="宋体" w:hAnsi="宋体" w:eastAsia="宋体" w:cs="宋体"/>
          <w:b/>
          <w:color w:val="auto"/>
          <w:szCs w:val="21"/>
          <w:highlight w:val="none"/>
        </w:rPr>
      </w:pPr>
      <w:r>
        <w:rPr>
          <w:rFonts w:hint="eastAsia" w:ascii="宋体" w:hAnsi="宋体" w:cs="宋体"/>
          <w:color w:val="auto"/>
          <w:sz w:val="24"/>
          <w:szCs w:val="24"/>
          <w:highlight w:val="none"/>
        </w:rPr>
        <w:t>注：</w:t>
      </w: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按照招标文件中列明的服务要求进行如实逐条应答。</w:t>
      </w:r>
    </w:p>
    <w:p w14:paraId="25064485">
      <w:pPr>
        <w:spacing w:line="400" w:lineRule="exact"/>
        <w:ind w:firstLine="435"/>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对于那些可以用量化形式表示的条款，供应商必须明确回答，对于那些非量化的条款供应商应以功能描述回答，指出所报提供的货物和服务是否做出实质性响应</w:t>
      </w:r>
      <w:r>
        <w:rPr>
          <w:rFonts w:hint="eastAsia" w:ascii="宋体" w:hAnsi="宋体" w:eastAsia="宋体" w:cs="宋体"/>
          <w:color w:val="auto"/>
          <w:sz w:val="21"/>
          <w:szCs w:val="21"/>
          <w:highlight w:val="none"/>
          <w:lang w:eastAsia="zh-CN"/>
        </w:rPr>
        <w:t>。</w:t>
      </w:r>
      <w:bookmarkStart w:id="135" w:name="_Toc450570287"/>
    </w:p>
    <w:p w14:paraId="502DDB3F">
      <w:pPr>
        <w:rPr>
          <w:rFonts w:hint="eastAsia" w:hAnsi="宋体"/>
          <w:color w:val="auto"/>
          <w:sz w:val="21"/>
          <w:szCs w:val="21"/>
          <w:highlight w:val="none"/>
        </w:rPr>
      </w:pPr>
      <w:r>
        <w:rPr>
          <w:rFonts w:hint="eastAsia" w:hAnsi="宋体"/>
          <w:color w:val="auto"/>
          <w:sz w:val="21"/>
          <w:szCs w:val="21"/>
          <w:highlight w:val="none"/>
        </w:rPr>
        <w:br w:type="page"/>
      </w:r>
    </w:p>
    <w:p w14:paraId="6FBA0467">
      <w:pPr>
        <w:spacing w:line="400" w:lineRule="exact"/>
        <w:outlineLvl w:val="1"/>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二、资格证明文件</w:t>
      </w:r>
      <w:bookmarkEnd w:id="133"/>
      <w:bookmarkEnd w:id="134"/>
      <w:bookmarkEnd w:id="135"/>
    </w:p>
    <w:p w14:paraId="6D5EE31B">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highlight w:val="none"/>
        </w:rPr>
      </w:pPr>
      <w:bookmarkStart w:id="136" w:name="_Toc445897737"/>
      <w:bookmarkStart w:id="137" w:name="_Toc289873241"/>
      <w:bookmarkStart w:id="138" w:name="_Toc401840469"/>
      <w:r>
        <w:rPr>
          <w:rFonts w:hint="eastAsia" w:ascii="宋体" w:hAnsi="宋体" w:eastAsia="宋体" w:cs="宋体"/>
          <w:b/>
          <w:bCs/>
          <w:color w:val="auto"/>
          <w:sz w:val="21"/>
          <w:szCs w:val="21"/>
          <w:highlight w:val="none"/>
        </w:rPr>
        <w:t>2.1满足《中华人民共和国政府采购法》第二十二条规定：</w:t>
      </w:r>
    </w:p>
    <w:p w14:paraId="5328220F">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（1）具有独立承担民事责任的能力，提供法人或其他组织的营业执照等证明文件，</w:t>
      </w:r>
      <w:r>
        <w:rPr>
          <w:rFonts w:hint="eastAsia" w:ascii="宋体" w:hAnsi="宋体" w:eastAsia="宋体" w:cs="宋体"/>
          <w:color w:val="auto"/>
          <w:sz w:val="21"/>
          <w:szCs w:val="21"/>
          <w:highlight w:val="none"/>
          <w:lang w:eastAsia="zh-CN"/>
        </w:rPr>
        <w:t>扫描件</w:t>
      </w:r>
      <w:r>
        <w:rPr>
          <w:rFonts w:hint="eastAsia" w:ascii="宋体" w:hAnsi="宋体" w:eastAsia="宋体" w:cs="宋体"/>
          <w:color w:val="auto"/>
          <w:sz w:val="21"/>
          <w:szCs w:val="21"/>
          <w:highlight w:val="none"/>
        </w:rPr>
        <w:t>加盖公章；</w:t>
      </w:r>
    </w:p>
    <w:p w14:paraId="0E53F4E4">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（2）法人代表授权书（原件）及法定代表人、授权代表身份证</w:t>
      </w:r>
      <w:r>
        <w:rPr>
          <w:rFonts w:hint="eastAsia" w:ascii="宋体" w:hAnsi="宋体" w:eastAsia="宋体" w:cs="宋体"/>
          <w:color w:val="auto"/>
          <w:sz w:val="21"/>
          <w:szCs w:val="21"/>
          <w:highlight w:val="none"/>
          <w:lang w:eastAsia="zh-CN"/>
        </w:rPr>
        <w:t>扫描件</w:t>
      </w:r>
      <w:r>
        <w:rPr>
          <w:rFonts w:hint="eastAsia" w:ascii="宋体" w:hAnsi="宋体" w:eastAsia="宋体" w:cs="宋体"/>
          <w:color w:val="auto"/>
          <w:sz w:val="21"/>
          <w:szCs w:val="21"/>
          <w:highlight w:val="none"/>
        </w:rPr>
        <w:t>及</w:t>
      </w:r>
      <w:r>
        <w:rPr>
          <w:rFonts w:hint="eastAsia" w:ascii="宋体" w:hAnsi="宋体" w:eastAsia="宋体" w:cs="宋体"/>
          <w:b/>
          <w:color w:val="auto"/>
          <w:sz w:val="21"/>
          <w:szCs w:val="21"/>
          <w:highlight w:val="none"/>
          <w:lang w:val="en-US" w:eastAsia="zh-CN"/>
        </w:rPr>
        <w:t>开标前6个月（不含开标当月）</w:t>
      </w:r>
      <w:r>
        <w:rPr>
          <w:rFonts w:hint="eastAsia" w:ascii="宋体" w:hAnsi="宋体" w:eastAsia="宋体" w:cs="宋体"/>
          <w:bCs/>
          <w:color w:val="auto"/>
          <w:sz w:val="21"/>
          <w:szCs w:val="21"/>
          <w:highlight w:val="none"/>
        </w:rPr>
        <w:t>内任意一月投标单位为其缴纳的社保证明</w:t>
      </w:r>
      <w:r>
        <w:rPr>
          <w:rFonts w:hint="eastAsia" w:ascii="宋体" w:hAnsi="宋体" w:eastAsia="宋体" w:cs="宋体"/>
          <w:color w:val="auto"/>
          <w:sz w:val="21"/>
          <w:szCs w:val="21"/>
          <w:highlight w:val="none"/>
        </w:rPr>
        <w:t>（如果是法定代表人直接参与投标的可以不提供授权书）；</w:t>
      </w:r>
    </w:p>
    <w:p w14:paraId="0032DD18">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（3）具有良好的商业信誉和健全的财务会计制度，提供</w:t>
      </w:r>
      <w:r>
        <w:rPr>
          <w:rFonts w:hint="eastAsia" w:ascii="宋体" w:hAnsi="宋体" w:eastAsia="宋体" w:cs="宋体"/>
          <w:b/>
          <w:color w:val="auto"/>
          <w:sz w:val="21"/>
          <w:szCs w:val="21"/>
          <w:highlight w:val="none"/>
          <w:lang w:val="en-US" w:eastAsia="zh-CN"/>
        </w:rPr>
        <w:t>开标前6个月（不含开标当月）</w:t>
      </w:r>
      <w:r>
        <w:rPr>
          <w:rFonts w:hint="eastAsia" w:ascii="宋体" w:hAnsi="宋体" w:eastAsia="宋体" w:cs="宋体"/>
          <w:color w:val="auto"/>
          <w:sz w:val="21"/>
          <w:szCs w:val="21"/>
          <w:highlight w:val="none"/>
        </w:rPr>
        <w:t>内任意一月份的财务状况报告（至少包括资产负债表或利润表）（法人或者其他组织成立未满三个月的可以不提供），或其银行出具的资信证书（</w:t>
      </w:r>
      <w:r>
        <w:rPr>
          <w:rFonts w:hint="eastAsia" w:ascii="宋体" w:hAnsi="宋体" w:eastAsia="宋体" w:cs="宋体"/>
          <w:color w:val="auto"/>
          <w:sz w:val="21"/>
          <w:szCs w:val="21"/>
          <w:highlight w:val="none"/>
          <w:lang w:eastAsia="zh-CN"/>
        </w:rPr>
        <w:t>扫描件</w:t>
      </w:r>
      <w:r>
        <w:rPr>
          <w:rFonts w:hint="eastAsia" w:ascii="宋体" w:hAnsi="宋体" w:eastAsia="宋体" w:cs="宋体"/>
          <w:color w:val="auto"/>
          <w:sz w:val="21"/>
          <w:szCs w:val="21"/>
          <w:highlight w:val="none"/>
        </w:rPr>
        <w:t>）（</w:t>
      </w:r>
      <w:r>
        <w:rPr>
          <w:rFonts w:hint="eastAsia" w:ascii="宋体" w:hAnsi="宋体" w:eastAsia="宋体" w:cs="宋体"/>
          <w:b/>
          <w:color w:val="auto"/>
          <w:sz w:val="21"/>
          <w:szCs w:val="21"/>
          <w:highlight w:val="none"/>
          <w:lang w:val="en-US" w:eastAsia="zh-CN"/>
        </w:rPr>
        <w:t>开标前6个月（不含开标当月）</w:t>
      </w:r>
      <w:r>
        <w:rPr>
          <w:rFonts w:hint="eastAsia" w:ascii="宋体" w:hAnsi="宋体" w:eastAsia="宋体" w:cs="宋体"/>
          <w:color w:val="auto"/>
          <w:sz w:val="21"/>
          <w:szCs w:val="21"/>
          <w:highlight w:val="none"/>
        </w:rPr>
        <w:t>内），或2024</w:t>
      </w:r>
      <w:r>
        <w:rPr>
          <w:rFonts w:hint="eastAsia" w:ascii="宋体" w:hAnsi="宋体" w:eastAsia="宋体" w:cs="宋体"/>
          <w:color w:val="auto"/>
          <w:sz w:val="21"/>
          <w:szCs w:val="21"/>
          <w:highlight w:val="none"/>
          <w:lang w:val="en-US" w:eastAsia="zh-CN"/>
        </w:rPr>
        <w:t>或2025</w:t>
      </w:r>
      <w:r>
        <w:rPr>
          <w:rFonts w:hint="eastAsia" w:ascii="宋体" w:hAnsi="宋体" w:eastAsia="宋体" w:cs="宋体"/>
          <w:color w:val="auto"/>
          <w:sz w:val="21"/>
          <w:szCs w:val="21"/>
          <w:highlight w:val="none"/>
        </w:rPr>
        <w:t>年度经审计的财务报告</w:t>
      </w:r>
      <w:r>
        <w:rPr>
          <w:rFonts w:hint="eastAsia" w:ascii="宋体" w:hAnsi="宋体" w:eastAsia="宋体" w:cs="宋体"/>
          <w:color w:val="auto"/>
          <w:sz w:val="21"/>
          <w:szCs w:val="21"/>
          <w:highlight w:val="none"/>
          <w:lang w:eastAsia="zh-CN"/>
        </w:rPr>
        <w:t>扫描件</w:t>
      </w:r>
      <w:r>
        <w:rPr>
          <w:rFonts w:hint="eastAsia" w:ascii="宋体" w:hAnsi="宋体" w:eastAsia="宋体" w:cs="宋体"/>
          <w:color w:val="auto"/>
          <w:sz w:val="21"/>
          <w:szCs w:val="21"/>
          <w:highlight w:val="none"/>
        </w:rPr>
        <w:t>加盖公章；</w:t>
      </w:r>
    </w:p>
    <w:p w14:paraId="13129FD9">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（4）具有履行合同所必需的设备和专业技术能力（根据项目需求提供履行合同所必需的设备和专业技术能力的证明材料或相关加盖公章的承诺函，承诺函自行编写）；</w:t>
      </w:r>
    </w:p>
    <w:p w14:paraId="4E49F254">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参加政府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p>
    <w:p w14:paraId="66B5F393">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（6）有依法缴纳税收的良好记录，提供</w:t>
      </w:r>
      <w:r>
        <w:rPr>
          <w:rFonts w:hint="eastAsia" w:ascii="宋体" w:hAnsi="宋体" w:eastAsia="宋体" w:cs="宋体"/>
          <w:b/>
          <w:color w:val="auto"/>
          <w:sz w:val="21"/>
          <w:szCs w:val="21"/>
          <w:highlight w:val="none"/>
          <w:lang w:val="en-US" w:eastAsia="zh-CN"/>
        </w:rPr>
        <w:t>开标前6个月（不含开标当月）</w:t>
      </w:r>
      <w:r>
        <w:rPr>
          <w:rFonts w:hint="eastAsia" w:ascii="宋体" w:hAnsi="宋体" w:eastAsia="宋体" w:cs="宋体"/>
          <w:color w:val="auto"/>
          <w:sz w:val="21"/>
          <w:szCs w:val="21"/>
          <w:highlight w:val="none"/>
        </w:rPr>
        <w:t>内任意一月份的纳税凭据</w:t>
      </w:r>
      <w:r>
        <w:rPr>
          <w:rFonts w:hint="eastAsia" w:ascii="宋体" w:hAnsi="宋体" w:eastAsia="宋体" w:cs="宋体"/>
          <w:color w:val="auto"/>
          <w:sz w:val="21"/>
          <w:szCs w:val="21"/>
          <w:highlight w:val="none"/>
          <w:lang w:eastAsia="zh-CN"/>
        </w:rPr>
        <w:t>扫描件</w:t>
      </w:r>
      <w:r>
        <w:rPr>
          <w:rFonts w:hint="eastAsia" w:ascii="宋体" w:hAnsi="宋体" w:eastAsia="宋体" w:cs="宋体"/>
          <w:color w:val="auto"/>
          <w:sz w:val="21"/>
          <w:szCs w:val="21"/>
          <w:highlight w:val="none"/>
        </w:rPr>
        <w:t>加盖公章（依法免税的应提供相应文件说明）；</w:t>
      </w:r>
    </w:p>
    <w:p w14:paraId="3BED87DD">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（7）有依法缴纳社会保障资金的良好记录，提供</w:t>
      </w:r>
      <w:r>
        <w:rPr>
          <w:rFonts w:hint="eastAsia" w:ascii="宋体" w:hAnsi="宋体" w:eastAsia="宋体" w:cs="宋体"/>
          <w:b/>
          <w:color w:val="auto"/>
          <w:sz w:val="21"/>
          <w:szCs w:val="21"/>
          <w:highlight w:val="none"/>
          <w:lang w:val="en-US" w:eastAsia="zh-CN"/>
        </w:rPr>
        <w:t>开标前6个月（不含开标当月）</w:t>
      </w:r>
      <w:r>
        <w:rPr>
          <w:rFonts w:hint="eastAsia" w:ascii="宋体" w:hAnsi="宋体" w:eastAsia="宋体" w:cs="宋体"/>
          <w:color w:val="auto"/>
          <w:sz w:val="21"/>
          <w:szCs w:val="21"/>
          <w:highlight w:val="none"/>
        </w:rPr>
        <w:t>内任意一月份的依法缴纳社会保障资金的凭据</w:t>
      </w:r>
      <w:r>
        <w:rPr>
          <w:rFonts w:hint="eastAsia" w:ascii="宋体" w:hAnsi="宋体" w:eastAsia="宋体" w:cs="宋体"/>
          <w:color w:val="auto"/>
          <w:sz w:val="21"/>
          <w:szCs w:val="21"/>
          <w:highlight w:val="none"/>
          <w:lang w:eastAsia="zh-CN"/>
        </w:rPr>
        <w:t>扫描件</w:t>
      </w:r>
      <w:r>
        <w:rPr>
          <w:rFonts w:hint="eastAsia" w:ascii="宋体" w:hAnsi="宋体" w:eastAsia="宋体" w:cs="宋体"/>
          <w:color w:val="auto"/>
          <w:sz w:val="21"/>
          <w:szCs w:val="21"/>
          <w:highlight w:val="none"/>
        </w:rPr>
        <w:t>加盖公章；</w:t>
      </w:r>
    </w:p>
    <w:p w14:paraId="1E4890BB">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rPr>
        <w:t>2.2落实政府采购政策需满足的资格要求：</w:t>
      </w:r>
      <w:r>
        <w:rPr>
          <w:rFonts w:hint="eastAsia" w:ascii="宋体" w:hAnsi="宋体" w:eastAsia="宋体" w:cs="宋体"/>
          <w:b/>
          <w:bCs/>
          <w:color w:val="auto"/>
          <w:sz w:val="21"/>
          <w:szCs w:val="21"/>
          <w:highlight w:val="none"/>
          <w:lang w:val="en-US" w:eastAsia="zh-CN"/>
        </w:rPr>
        <w:t>无</w:t>
      </w:r>
    </w:p>
    <w:p w14:paraId="0AA459A7">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rPr>
        <w:t>2.3本项目的特定资格要求：</w:t>
      </w:r>
      <w:r>
        <w:rPr>
          <w:rFonts w:hint="eastAsia" w:ascii="宋体" w:hAnsi="宋体" w:eastAsia="宋体" w:cs="宋体"/>
          <w:b/>
          <w:bCs/>
          <w:color w:val="auto"/>
          <w:sz w:val="21"/>
          <w:szCs w:val="21"/>
          <w:highlight w:val="none"/>
          <w:lang w:val="en-US" w:eastAsia="zh-CN"/>
        </w:rPr>
        <w:t>无。</w:t>
      </w:r>
    </w:p>
    <w:p w14:paraId="16DEF90E">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2.4</w:t>
      </w:r>
      <w:r>
        <w:rPr>
          <w:rFonts w:hint="eastAsia" w:ascii="宋体" w:hAnsi="宋体" w:eastAsia="宋体" w:cs="宋体"/>
          <w:b/>
          <w:bCs/>
          <w:color w:val="auto"/>
          <w:sz w:val="21"/>
          <w:szCs w:val="21"/>
          <w:highlight w:val="none"/>
        </w:rPr>
        <w:t>供应商存在下列情形的不得参加本次招标活动：</w:t>
      </w:r>
    </w:p>
    <w:p w14:paraId="49307AAB">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单位负责人为同一人或者存在直接控股、管理关系的不同供应商，不得参加同一合同项下的政府采购活动。</w:t>
      </w:r>
    </w:p>
    <w:p w14:paraId="4E6F4284">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除单一来源项目外，凡为采购项目提供整体设计、规范编制或者项目管理、监理、检测等服务的供应商不得再参加本项目的采购活动。</w:t>
      </w:r>
    </w:p>
    <w:p w14:paraId="189894D7">
      <w:pPr>
        <w:keepNext w:val="0"/>
        <w:keepLines w:val="0"/>
        <w:pageBreakBefore w:val="0"/>
        <w:widowControl/>
        <w:shd w:val="clear" w:color="auto" w:fill="FFFFFF"/>
        <w:kinsoku/>
        <w:wordWrap/>
        <w:overflowPunct/>
        <w:topLinePunct w:val="0"/>
        <w:autoSpaceDE/>
        <w:autoSpaceDN/>
        <w:bidi w:val="0"/>
        <w:adjustRightInd/>
        <w:snapToGrid w:val="0"/>
        <w:spacing w:line="360" w:lineRule="auto"/>
        <w:ind w:firstLine="420" w:firstLineChars="200"/>
        <w:jc w:val="left"/>
        <w:textAlignment w:val="auto"/>
        <w:rPr>
          <w:rFonts w:ascii="宋体" w:hAnsi="宋体" w:eastAsia="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通过“信用中国”网站（http://www.creditchina.gov.cn）、中国政府采购网（www.ccgp.gov.cn）查询供应商在响应截止时间前的信用记录，通过以上查询渠道，供应商未被列入失信被执行人、重大税收违法案件当事人名单、政府采购严重违法失信行为记录。</w:t>
      </w:r>
    </w:p>
    <w:bookmarkEnd w:id="136"/>
    <w:tbl>
      <w:tblPr>
        <w:tblStyle w:val="59"/>
        <w:tblpPr w:leftFromText="180" w:rightFromText="180" w:vertAnchor="text" w:horzAnchor="page" w:tblpX="1004" w:tblpY="1561"/>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80"/>
      </w:tblGrid>
      <w:tr w14:paraId="269325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5" w:hRule="atLeast"/>
        </w:trPr>
        <w:tc>
          <w:tcPr>
            <w:tcW w:w="9680" w:type="dxa"/>
          </w:tcPr>
          <w:p w14:paraId="7CB972D9">
            <w:pPr>
              <w:spacing w:line="400" w:lineRule="exact"/>
              <w:jc w:val="center"/>
              <w:rPr>
                <w:rFonts w:hint="eastAsia" w:ascii="宋体" w:hAnsi="宋体" w:eastAsia="宋体" w:cs="宋体"/>
                <w:b/>
                <w:color w:val="auto"/>
                <w:sz w:val="21"/>
                <w:szCs w:val="21"/>
                <w:highlight w:val="none"/>
                <w:lang w:bidi="en-US"/>
              </w:rPr>
            </w:pPr>
            <w:r>
              <w:rPr>
                <w:rFonts w:hint="eastAsia" w:ascii="宋体" w:hAnsi="宋体" w:eastAsia="宋体" w:cs="宋体"/>
                <w:b/>
                <w:color w:val="auto"/>
                <w:sz w:val="21"/>
                <w:szCs w:val="21"/>
                <w:highlight w:val="none"/>
                <w:lang w:bidi="en-US"/>
              </w:rPr>
              <w:t>参加政府采购活动前 3 年内在经营活动中</w:t>
            </w:r>
          </w:p>
          <w:p w14:paraId="4BBBA488">
            <w:pPr>
              <w:spacing w:line="400" w:lineRule="exact"/>
              <w:jc w:val="center"/>
              <w:rPr>
                <w:rFonts w:hint="eastAsia" w:ascii="宋体" w:hAnsi="宋体" w:eastAsia="宋体" w:cs="宋体"/>
                <w:b/>
                <w:color w:val="auto"/>
                <w:sz w:val="21"/>
                <w:szCs w:val="21"/>
                <w:highlight w:val="none"/>
                <w:lang w:bidi="en-US"/>
              </w:rPr>
            </w:pPr>
            <w:r>
              <w:rPr>
                <w:rFonts w:hint="eastAsia" w:ascii="宋体" w:hAnsi="宋体" w:eastAsia="宋体" w:cs="宋体"/>
                <w:b/>
                <w:color w:val="auto"/>
                <w:sz w:val="21"/>
                <w:szCs w:val="21"/>
                <w:highlight w:val="none"/>
                <w:lang w:bidi="en-US"/>
              </w:rPr>
              <w:t>没有重大违法记录的书面声明</w:t>
            </w:r>
            <w:r>
              <w:rPr>
                <w:rFonts w:hint="eastAsia" w:ascii="宋体" w:hAnsi="宋体" w:eastAsia="宋体" w:cs="宋体"/>
                <w:b/>
                <w:color w:val="auto"/>
                <w:sz w:val="21"/>
                <w:szCs w:val="21"/>
                <w:highlight w:val="none"/>
                <w:lang w:eastAsia="zh-CN" w:bidi="en-US"/>
              </w:rPr>
              <w:t>（</w:t>
            </w:r>
            <w:r>
              <w:rPr>
                <w:rFonts w:hint="eastAsia" w:ascii="宋体" w:hAnsi="宋体" w:eastAsia="宋体" w:cs="宋体"/>
                <w:b/>
                <w:color w:val="auto"/>
                <w:sz w:val="21"/>
                <w:szCs w:val="21"/>
                <w:highlight w:val="none"/>
                <w:lang w:bidi="en-US"/>
              </w:rPr>
              <w:t>参考格式</w:t>
            </w:r>
            <w:r>
              <w:rPr>
                <w:rFonts w:hint="eastAsia" w:ascii="宋体" w:hAnsi="宋体" w:eastAsia="宋体" w:cs="宋体"/>
                <w:b/>
                <w:color w:val="auto"/>
                <w:sz w:val="21"/>
                <w:szCs w:val="21"/>
                <w:highlight w:val="none"/>
                <w:lang w:eastAsia="zh-CN" w:bidi="en-US"/>
              </w:rPr>
              <w:t>）</w:t>
            </w:r>
          </w:p>
          <w:p w14:paraId="45B6C673">
            <w:pPr>
              <w:spacing w:line="400" w:lineRule="exact"/>
              <w:ind w:firstLine="420" w:firstLineChars="200"/>
              <w:rPr>
                <w:rFonts w:hint="eastAsia" w:ascii="宋体" w:hAnsi="宋体" w:eastAsia="宋体" w:cs="宋体"/>
                <w:color w:val="auto"/>
                <w:sz w:val="21"/>
                <w:szCs w:val="21"/>
                <w:highlight w:val="none"/>
                <w:lang w:bidi="en-US"/>
              </w:rPr>
            </w:pPr>
          </w:p>
          <w:p w14:paraId="56A857F0">
            <w:pPr>
              <w:spacing w:line="400" w:lineRule="exact"/>
              <w:ind w:firstLine="420" w:firstLineChars="200"/>
              <w:rPr>
                <w:rFonts w:hint="eastAsia" w:ascii="宋体" w:hAnsi="宋体" w:eastAsia="宋体" w:cs="宋体"/>
                <w:color w:val="auto"/>
                <w:sz w:val="21"/>
                <w:szCs w:val="21"/>
                <w:highlight w:val="none"/>
                <w:lang w:bidi="en-US"/>
              </w:rPr>
            </w:pPr>
            <w:r>
              <w:rPr>
                <w:rFonts w:hint="eastAsia" w:ascii="宋体" w:hAnsi="宋体" w:eastAsia="宋体" w:cs="宋体"/>
                <w:color w:val="auto"/>
                <w:sz w:val="21"/>
                <w:szCs w:val="21"/>
                <w:highlight w:val="none"/>
                <w:lang w:bidi="en-US"/>
              </w:rPr>
              <w:t>我公司郑重声明：参加本次政府采购活动前 3 年内，我公司在经营活动中没有因违法经营受到刑事处罚或者责令停产停业、吊销许可证或者执照、较大数额罚款等行政处罚。</w:t>
            </w:r>
          </w:p>
          <w:p w14:paraId="71FA37F1">
            <w:pPr>
              <w:spacing w:line="400" w:lineRule="exact"/>
              <w:rPr>
                <w:rFonts w:hint="eastAsia" w:ascii="宋体" w:hAnsi="宋体" w:eastAsia="宋体" w:cs="宋体"/>
                <w:color w:val="auto"/>
                <w:sz w:val="21"/>
                <w:szCs w:val="21"/>
                <w:highlight w:val="none"/>
                <w:lang w:bidi="en-US"/>
              </w:rPr>
            </w:pPr>
          </w:p>
          <w:p w14:paraId="1EB445A5">
            <w:pPr>
              <w:spacing w:line="400" w:lineRule="exact"/>
              <w:ind w:firstLine="3570" w:firstLineChars="1700"/>
              <w:rPr>
                <w:rFonts w:hint="eastAsia" w:ascii="宋体" w:hAnsi="宋体" w:eastAsia="宋体" w:cs="宋体"/>
                <w:color w:val="auto"/>
                <w:sz w:val="21"/>
                <w:szCs w:val="21"/>
                <w:highlight w:val="none"/>
                <w:lang w:bidi="en-US"/>
              </w:rPr>
            </w:pPr>
            <w:r>
              <w:rPr>
                <w:rFonts w:hint="eastAsia" w:ascii="宋体" w:hAnsi="宋体" w:eastAsia="宋体" w:cs="宋体"/>
                <w:color w:val="auto"/>
                <w:sz w:val="21"/>
                <w:szCs w:val="21"/>
                <w:highlight w:val="none"/>
                <w:lang w:bidi="en-US"/>
              </w:rPr>
              <w:t xml:space="preserve"> 供应商名称（公章）：</w:t>
            </w:r>
          </w:p>
          <w:p w14:paraId="56D82F80">
            <w:pPr>
              <w:spacing w:line="400" w:lineRule="exact"/>
              <w:rPr>
                <w:rFonts w:hint="eastAsia" w:ascii="宋体" w:hAnsi="宋体" w:eastAsia="宋体" w:cs="宋体"/>
                <w:color w:val="auto"/>
                <w:sz w:val="21"/>
                <w:szCs w:val="21"/>
                <w:highlight w:val="none"/>
                <w:lang w:bidi="en-US"/>
              </w:rPr>
            </w:pPr>
            <w:r>
              <w:rPr>
                <w:rFonts w:hint="eastAsia" w:ascii="宋体" w:hAnsi="宋体" w:eastAsia="宋体" w:cs="宋体"/>
                <w:color w:val="auto"/>
                <w:sz w:val="21"/>
                <w:szCs w:val="21"/>
                <w:highlight w:val="none"/>
                <w:lang w:bidi="en-US"/>
              </w:rPr>
              <w:t xml:space="preserve">                                   授权代表签字： </w:t>
            </w:r>
          </w:p>
          <w:p w14:paraId="12F50065">
            <w:pPr>
              <w:spacing w:line="400" w:lineRule="exact"/>
              <w:jc w:val="center"/>
              <w:rPr>
                <w:rFonts w:hAnsi="宋体"/>
                <w:color w:val="auto"/>
                <w:sz w:val="21"/>
                <w:szCs w:val="21"/>
                <w:highlight w:val="none"/>
                <w:lang w:bidi="en-US"/>
              </w:rPr>
            </w:pPr>
            <w:r>
              <w:rPr>
                <w:rFonts w:hint="eastAsia" w:ascii="宋体" w:hAnsi="宋体" w:eastAsia="宋体" w:cs="宋体"/>
                <w:color w:val="auto"/>
                <w:sz w:val="21"/>
                <w:szCs w:val="21"/>
                <w:highlight w:val="none"/>
                <w:lang w:bidi="en-US"/>
              </w:rPr>
              <w:t xml:space="preserve">                                   日期：     年    月    日</w:t>
            </w:r>
          </w:p>
        </w:tc>
      </w:tr>
    </w:tbl>
    <w:p w14:paraId="02C62A7D">
      <w:pPr>
        <w:pStyle w:val="3"/>
        <w:keepNext w:val="0"/>
        <w:keepLines w:val="0"/>
        <w:spacing w:line="400" w:lineRule="exact"/>
        <w:rPr>
          <w:rFonts w:cs="宋体"/>
          <w:color w:val="auto"/>
          <w:szCs w:val="21"/>
          <w:highlight w:val="none"/>
        </w:rPr>
      </w:pPr>
      <w:bookmarkStart w:id="139" w:name="_Toc450570288"/>
      <w:r>
        <w:rPr>
          <w:rFonts w:hint="eastAsia" w:cs="宋体"/>
          <w:color w:val="auto"/>
          <w:szCs w:val="21"/>
          <w:highlight w:val="none"/>
        </w:rPr>
        <w:br w:type="page"/>
      </w:r>
      <w:r>
        <w:rPr>
          <w:rFonts w:hint="eastAsia" w:cs="宋体"/>
          <w:color w:val="auto"/>
          <w:szCs w:val="21"/>
          <w:highlight w:val="none"/>
        </w:rPr>
        <w:t>三、</w:t>
      </w:r>
      <w:r>
        <w:rPr>
          <w:rFonts w:hint="eastAsia" w:cs="宋体"/>
          <w:color w:val="auto"/>
          <w:szCs w:val="21"/>
          <w:highlight w:val="none"/>
          <w:lang w:eastAsia="zh-CN"/>
        </w:rPr>
        <w:t>其他</w:t>
      </w:r>
      <w:r>
        <w:rPr>
          <w:rFonts w:hint="eastAsia" w:cs="宋体"/>
          <w:color w:val="auto"/>
          <w:szCs w:val="21"/>
          <w:highlight w:val="none"/>
        </w:rPr>
        <w:t>相关文件</w:t>
      </w:r>
      <w:bookmarkEnd w:id="139"/>
    </w:p>
    <w:p w14:paraId="2D51877C">
      <w:pPr>
        <w:pStyle w:val="4"/>
        <w:keepNext w:val="0"/>
        <w:keepLines w:val="0"/>
        <w:spacing w:line="400" w:lineRule="exact"/>
        <w:rPr>
          <w:rFonts w:cs="宋体"/>
          <w:color w:val="auto"/>
          <w:highlight w:val="none"/>
        </w:rPr>
      </w:pPr>
      <w:bookmarkStart w:id="140" w:name="_Toc450570289"/>
      <w:r>
        <w:rPr>
          <w:rFonts w:hint="eastAsia" w:cs="宋体"/>
          <w:color w:val="auto"/>
          <w:highlight w:val="none"/>
        </w:rPr>
        <w:t>1.授权委托书</w:t>
      </w:r>
      <w:bookmarkEnd w:id="137"/>
      <w:bookmarkEnd w:id="138"/>
      <w:bookmarkEnd w:id="140"/>
    </w:p>
    <w:p w14:paraId="56CA6FED">
      <w:pPr>
        <w:spacing w:line="400" w:lineRule="exact"/>
        <w:jc w:val="center"/>
        <w:rPr>
          <w:rFonts w:hAnsi="宋体"/>
          <w:b/>
          <w:color w:val="auto"/>
          <w:sz w:val="21"/>
          <w:szCs w:val="21"/>
          <w:highlight w:val="none"/>
        </w:rPr>
      </w:pPr>
      <w:r>
        <w:rPr>
          <w:rFonts w:hint="eastAsia" w:hAnsi="宋体"/>
          <w:b/>
          <w:color w:val="auto"/>
          <w:sz w:val="21"/>
          <w:szCs w:val="21"/>
          <w:highlight w:val="none"/>
        </w:rPr>
        <w:t>授权委托书</w:t>
      </w:r>
    </w:p>
    <w:p w14:paraId="297DD615">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致</w:t>
      </w:r>
      <w:r>
        <w:rPr>
          <w:rFonts w:hint="eastAsia" w:ascii="宋体" w:hAnsi="宋体" w:eastAsia="宋体" w:cs="宋体"/>
          <w:color w:val="auto"/>
          <w:sz w:val="21"/>
          <w:szCs w:val="21"/>
          <w:highlight w:val="none"/>
          <w:lang w:val="en-US" w:eastAsia="zh-CN"/>
        </w:rPr>
        <w:t>江苏省公安厅</w:t>
      </w:r>
      <w:r>
        <w:rPr>
          <w:rFonts w:hint="eastAsia" w:ascii="宋体" w:hAnsi="宋体" w:eastAsia="宋体" w:cs="宋体"/>
          <w:color w:val="auto"/>
          <w:sz w:val="21"/>
          <w:szCs w:val="21"/>
          <w:highlight w:val="none"/>
        </w:rPr>
        <w:t>：</w:t>
      </w:r>
    </w:p>
    <w:p w14:paraId="76CD5951">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本授权书宣告：</w:t>
      </w:r>
    </w:p>
    <w:p w14:paraId="0F725E1A">
      <w:pPr>
        <w:snapToGrid w:val="0"/>
        <w:spacing w:line="400" w:lineRule="exact"/>
        <w:ind w:firstLine="420" w:firstLineChars="200"/>
        <w:rPr>
          <w:rFonts w:hint="eastAsia" w:ascii="宋体" w:hAnsi="宋体" w:eastAsia="宋体" w:cs="宋体"/>
          <w:color w:val="auto"/>
          <w:sz w:val="21"/>
          <w:szCs w:val="21"/>
          <w:highlight w:val="none"/>
        </w:rPr>
      </w:pPr>
    </w:p>
    <w:p w14:paraId="50096D8E">
      <w:pPr>
        <w:snapToGrid w:val="0"/>
        <w:spacing w:line="400" w:lineRule="exact"/>
        <w:ind w:firstLine="420"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委托人：</w:t>
      </w:r>
    </w:p>
    <w:p w14:paraId="66A30824">
      <w:pPr>
        <w:snapToGrid w:val="0"/>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 </w:t>
      </w:r>
    </w:p>
    <w:p w14:paraId="08F79E89">
      <w:pPr>
        <w:snapToGrid w:val="0"/>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w:t>
      </w:r>
    </w:p>
    <w:p w14:paraId="21CAA933">
      <w:pPr>
        <w:snapToGrid w:val="0"/>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受托人： </w:t>
      </w:r>
    </w:p>
    <w:p w14:paraId="19FEC7C7">
      <w:pPr>
        <w:snapToGrid w:val="0"/>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性别： </w:t>
      </w:r>
    </w:p>
    <w:p w14:paraId="4A8AABDA">
      <w:pPr>
        <w:snapToGrid w:val="0"/>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出生日期：</w:t>
      </w:r>
    </w:p>
    <w:p w14:paraId="1DD90D9C">
      <w:pPr>
        <w:snapToGrid w:val="0"/>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所在单位：</w:t>
      </w:r>
    </w:p>
    <w:p w14:paraId="200F2A5D">
      <w:pPr>
        <w:snapToGrid w:val="0"/>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职务：</w:t>
      </w:r>
    </w:p>
    <w:p w14:paraId="67AD43BB">
      <w:pPr>
        <w:snapToGrid w:val="0"/>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身份证</w:t>
      </w:r>
      <w:r>
        <w:rPr>
          <w:rFonts w:hint="eastAsia" w:ascii="宋体" w:hAnsi="宋体" w:eastAsia="宋体" w:cs="宋体"/>
          <w:color w:val="auto"/>
          <w:sz w:val="21"/>
          <w:szCs w:val="21"/>
          <w:highlight w:val="none"/>
          <w:lang w:val="en-US" w:eastAsia="zh-CN"/>
        </w:rPr>
        <w:t>号</w:t>
      </w:r>
      <w:r>
        <w:rPr>
          <w:rFonts w:hint="eastAsia" w:ascii="宋体" w:hAnsi="宋体" w:eastAsia="宋体" w:cs="宋体"/>
          <w:color w:val="auto"/>
          <w:sz w:val="21"/>
          <w:szCs w:val="21"/>
          <w:highlight w:val="none"/>
        </w:rPr>
        <w:t>：</w:t>
      </w:r>
    </w:p>
    <w:p w14:paraId="2D658EFF">
      <w:pPr>
        <w:snapToGrid w:val="0"/>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联系方式</w:t>
      </w:r>
      <w:r>
        <w:rPr>
          <w:rFonts w:hint="eastAsia" w:ascii="宋体" w:hAnsi="宋体" w:eastAsia="宋体" w:cs="宋体"/>
          <w:color w:val="auto"/>
          <w:sz w:val="21"/>
          <w:szCs w:val="21"/>
          <w:highlight w:val="none"/>
          <w:lang w:eastAsia="zh-CN"/>
        </w:rPr>
        <w:t>：</w:t>
      </w:r>
    </w:p>
    <w:p w14:paraId="0058E4DB">
      <w:pPr>
        <w:snapToGrid w:val="0"/>
        <w:spacing w:line="400" w:lineRule="exact"/>
        <w:ind w:firstLine="420" w:firstLineChars="200"/>
        <w:rPr>
          <w:rFonts w:hint="eastAsia" w:ascii="宋体" w:hAnsi="宋体" w:eastAsia="宋体" w:cs="宋体"/>
          <w:color w:val="auto"/>
          <w:sz w:val="21"/>
          <w:szCs w:val="21"/>
          <w:highlight w:val="none"/>
        </w:rPr>
      </w:pPr>
    </w:p>
    <w:p w14:paraId="6380D1A2">
      <w:pPr>
        <w:snapToGrid w:val="0"/>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兹委托受托人合法地代表我单位参加</w:t>
      </w:r>
      <w:r>
        <w:rPr>
          <w:rFonts w:hint="eastAsia" w:ascii="宋体" w:hAnsi="宋体" w:eastAsia="宋体" w:cs="宋体"/>
          <w:color w:val="auto"/>
          <w:sz w:val="21"/>
          <w:szCs w:val="21"/>
          <w:highlight w:val="none"/>
          <w:lang w:val="en-US" w:eastAsia="zh-CN"/>
        </w:rPr>
        <w:t>贵方</w:t>
      </w:r>
      <w:r>
        <w:rPr>
          <w:rFonts w:hint="eastAsia" w:ascii="宋体" w:hAnsi="宋体" w:eastAsia="宋体" w:cs="宋体"/>
          <w:color w:val="auto"/>
          <w:sz w:val="21"/>
          <w:szCs w:val="21"/>
          <w:highlight w:val="none"/>
        </w:rPr>
        <w:t>组织的（采购编号为：   ）项目的招标活动，受托人有权在该投标活动中，以我单位的名义签署投标书和投标文件，与采购人协商、澄清、解释，签订合同书并执行一切与此有关的事项。</w:t>
      </w:r>
    </w:p>
    <w:p w14:paraId="3B0A1857">
      <w:pPr>
        <w:snapToGrid w:val="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受托人在办理上述事宜过程中以其自己的名义所签署的所有文件我均予以承认。受托人无转委托权。</w:t>
      </w:r>
    </w:p>
    <w:p w14:paraId="220EE824">
      <w:pPr>
        <w:snapToGrid w:val="0"/>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委托期限：至上述事宜处理完毕止。</w:t>
      </w:r>
    </w:p>
    <w:p w14:paraId="2D7EC41C">
      <w:pPr>
        <w:snapToGrid w:val="0"/>
        <w:spacing w:line="400" w:lineRule="exact"/>
        <w:ind w:firstLine="420" w:firstLineChars="200"/>
        <w:rPr>
          <w:rFonts w:hint="eastAsia" w:ascii="宋体" w:hAnsi="宋体" w:eastAsia="宋体" w:cs="宋体"/>
          <w:color w:val="auto"/>
          <w:sz w:val="21"/>
          <w:szCs w:val="21"/>
          <w:highlight w:val="none"/>
        </w:rPr>
      </w:pPr>
    </w:p>
    <w:p w14:paraId="33815324">
      <w:pPr>
        <w:snapToGrid w:val="0"/>
        <w:spacing w:line="400" w:lineRule="exact"/>
        <w:ind w:firstLine="420" w:firstLineChars="200"/>
        <w:rPr>
          <w:rFonts w:hint="eastAsia" w:ascii="宋体" w:hAnsi="宋体" w:eastAsia="宋体" w:cs="宋体"/>
          <w:color w:val="auto"/>
          <w:sz w:val="21"/>
          <w:szCs w:val="21"/>
          <w:highlight w:val="none"/>
        </w:rPr>
      </w:pPr>
    </w:p>
    <w:p w14:paraId="79BFDA42">
      <w:pPr>
        <w:snapToGrid w:val="0"/>
        <w:spacing w:line="400" w:lineRule="exact"/>
        <w:ind w:firstLine="3078" w:firstLineChars="1466"/>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委托单位   </w:t>
      </w:r>
      <w:r>
        <w:rPr>
          <w:rFonts w:hint="eastAsia" w:ascii="宋体" w:hAnsi="宋体" w:eastAsia="宋体" w:cs="宋体"/>
          <w:color w:val="auto"/>
          <w:sz w:val="21"/>
          <w:szCs w:val="21"/>
          <w:highlight w:val="none"/>
          <w:u w:val="single"/>
        </w:rPr>
        <w:t xml:space="preserve"> （公章）          </w:t>
      </w:r>
    </w:p>
    <w:p w14:paraId="307CE983">
      <w:pPr>
        <w:snapToGrid w:val="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                             法定代表人 </w:t>
      </w:r>
      <w:r>
        <w:rPr>
          <w:rFonts w:hint="eastAsia" w:ascii="宋体" w:hAnsi="宋体" w:eastAsia="宋体" w:cs="宋体"/>
          <w:color w:val="auto"/>
          <w:sz w:val="21"/>
          <w:szCs w:val="21"/>
          <w:highlight w:val="none"/>
          <w:u w:val="single"/>
        </w:rPr>
        <w:t xml:space="preserve"> （签名</w:t>
      </w:r>
      <w:r>
        <w:rPr>
          <w:rFonts w:hint="eastAsia" w:ascii="宋体" w:hAnsi="宋体" w:eastAsia="宋体" w:cs="宋体"/>
          <w:color w:val="auto"/>
          <w:sz w:val="21"/>
          <w:szCs w:val="21"/>
          <w:highlight w:val="none"/>
          <w:u w:val="single"/>
          <w:lang w:val="en-US"/>
        </w:rPr>
        <w:t>或盖章</w:t>
      </w:r>
      <w:r>
        <w:rPr>
          <w:rFonts w:hint="eastAsia" w:ascii="宋体" w:hAnsi="宋体" w:eastAsia="宋体" w:cs="宋体"/>
          <w:color w:val="auto"/>
          <w:sz w:val="21"/>
          <w:szCs w:val="21"/>
          <w:highlight w:val="none"/>
          <w:u w:val="single"/>
        </w:rPr>
        <w:t xml:space="preserve">）          </w:t>
      </w:r>
    </w:p>
    <w:p w14:paraId="4CFEA503">
      <w:pPr>
        <w:snapToGrid w:val="0"/>
        <w:spacing w:line="400" w:lineRule="exact"/>
        <w:ind w:firstLine="3885" w:firstLineChars="1850"/>
        <w:rPr>
          <w:rFonts w:hAnsi="宋体"/>
          <w:color w:val="auto"/>
          <w:sz w:val="21"/>
          <w:szCs w:val="21"/>
          <w:highlight w:val="none"/>
        </w:rPr>
      </w:pPr>
      <w:r>
        <w:rPr>
          <w:rFonts w:hint="eastAsia" w:ascii="宋体" w:hAnsi="宋体" w:eastAsia="宋体" w:cs="宋体"/>
          <w:color w:val="auto"/>
          <w:sz w:val="21"/>
          <w:szCs w:val="21"/>
          <w:highlight w:val="none"/>
        </w:rPr>
        <w:t>年    月    日</w:t>
      </w:r>
    </w:p>
    <w:p w14:paraId="11DF01B3">
      <w:pPr>
        <w:rPr>
          <w:color w:val="auto"/>
          <w:sz w:val="21"/>
          <w:szCs w:val="21"/>
          <w:highlight w:val="none"/>
        </w:rPr>
      </w:pPr>
    </w:p>
    <w:p w14:paraId="401BC0F9">
      <w:pPr>
        <w:keepNext w:val="0"/>
        <w:keepLines w:val="0"/>
        <w:spacing w:line="400" w:lineRule="exact"/>
        <w:outlineLvl w:val="9"/>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附：</w:t>
      </w:r>
      <w:bookmarkStart w:id="141" w:name="_Toc450570290"/>
      <w:bookmarkStart w:id="142" w:name="_Toc401840472"/>
      <w:bookmarkStart w:id="143" w:name="_Toc82330517"/>
      <w:bookmarkStart w:id="144" w:name="_Toc130781431"/>
      <w:bookmarkStart w:id="145" w:name="_Toc118780793"/>
      <w:bookmarkStart w:id="146" w:name="_Toc75518605"/>
      <w:bookmarkStart w:id="147" w:name="_Toc194725191"/>
      <w:bookmarkStart w:id="148" w:name="_Toc194205453"/>
      <w:bookmarkStart w:id="149" w:name="_Toc194284653"/>
      <w:bookmarkStart w:id="150" w:name="_Toc194220875"/>
      <w:bookmarkStart w:id="151" w:name="_Toc289873244"/>
      <w:r>
        <w:rPr>
          <w:rFonts w:hint="eastAsia" w:ascii="宋体" w:hAnsi="宋体" w:eastAsia="宋体" w:cs="宋体"/>
          <w:b/>
          <w:bCs/>
          <w:color w:val="auto"/>
          <w:sz w:val="21"/>
          <w:szCs w:val="21"/>
          <w:highlight w:val="none"/>
        </w:rPr>
        <w:t>法定代表人、授权代表身份证</w:t>
      </w:r>
      <w:r>
        <w:rPr>
          <w:rFonts w:hint="eastAsia" w:ascii="宋体" w:hAnsi="宋体" w:eastAsia="宋体" w:cs="宋体"/>
          <w:b/>
          <w:bCs/>
          <w:color w:val="auto"/>
          <w:sz w:val="21"/>
          <w:szCs w:val="21"/>
          <w:highlight w:val="none"/>
          <w:lang w:eastAsia="zh-CN"/>
        </w:rPr>
        <w:t>扫描件</w:t>
      </w:r>
      <w:r>
        <w:rPr>
          <w:rFonts w:hint="eastAsia" w:ascii="宋体" w:hAnsi="宋体" w:eastAsia="宋体" w:cs="宋体"/>
          <w:b/>
          <w:bCs/>
          <w:color w:val="auto"/>
          <w:sz w:val="21"/>
          <w:szCs w:val="21"/>
          <w:highlight w:val="none"/>
        </w:rPr>
        <w:t>及</w:t>
      </w:r>
      <w:r>
        <w:rPr>
          <w:rFonts w:hint="eastAsia" w:ascii="宋体" w:hAnsi="宋体" w:eastAsia="宋体" w:cs="宋体"/>
          <w:b/>
          <w:color w:val="auto"/>
          <w:sz w:val="21"/>
          <w:szCs w:val="21"/>
          <w:highlight w:val="none"/>
          <w:lang w:val="en-US" w:eastAsia="zh-CN"/>
        </w:rPr>
        <w:t>开标前6个月（不含开标当月）</w:t>
      </w:r>
      <w:r>
        <w:rPr>
          <w:rFonts w:hint="eastAsia" w:ascii="宋体" w:hAnsi="宋体" w:eastAsia="宋体" w:cs="宋体"/>
          <w:b/>
          <w:bCs/>
          <w:color w:val="auto"/>
          <w:sz w:val="21"/>
          <w:szCs w:val="21"/>
          <w:highlight w:val="none"/>
        </w:rPr>
        <w:t>内任意一月投标单位为其缴纳的社保证明（如果是法定代表人直接参与投标的可以不提供授权书）</w:t>
      </w:r>
      <w:r>
        <w:rPr>
          <w:rFonts w:hint="eastAsia" w:ascii="宋体" w:hAnsi="宋体" w:eastAsia="宋体" w:cs="宋体"/>
          <w:b/>
          <w:bCs/>
          <w:color w:val="auto"/>
          <w:sz w:val="21"/>
          <w:szCs w:val="21"/>
          <w:highlight w:val="none"/>
          <w:lang w:eastAsia="zh-CN"/>
        </w:rPr>
        <w:t>。</w:t>
      </w:r>
    </w:p>
    <w:p w14:paraId="029EC347">
      <w:pPr>
        <w:rPr>
          <w:rFonts w:hint="eastAsia" w:cs="宋体"/>
          <w:color w:val="auto"/>
          <w:highlight w:val="none"/>
        </w:rPr>
      </w:pPr>
      <w:r>
        <w:rPr>
          <w:rFonts w:hint="eastAsia" w:cs="宋体"/>
          <w:color w:val="auto"/>
          <w:highlight w:val="none"/>
        </w:rPr>
        <w:br w:type="page"/>
      </w:r>
    </w:p>
    <w:p w14:paraId="355CCCAF">
      <w:pPr>
        <w:keepNext w:val="0"/>
        <w:keepLines w:val="0"/>
        <w:spacing w:line="400" w:lineRule="exact"/>
        <w:outlineLvl w:val="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2.相关业绩证明文件</w:t>
      </w:r>
      <w:bookmarkEnd w:id="141"/>
      <w:bookmarkEnd w:id="142"/>
    </w:p>
    <w:p w14:paraId="07F24C4C">
      <w:pPr>
        <w:spacing w:line="400" w:lineRule="exact"/>
        <w:ind w:firstLine="420" w:firstLineChars="200"/>
        <w:rPr>
          <w:rFonts w:hint="eastAsia" w:ascii="宋体" w:hAnsi="宋体" w:eastAsia="宋体" w:cs="宋体"/>
          <w:color w:val="auto"/>
          <w:kern w:val="2"/>
          <w:sz w:val="21"/>
          <w:szCs w:val="21"/>
          <w:highlight w:val="none"/>
        </w:rPr>
      </w:pPr>
    </w:p>
    <w:p w14:paraId="596A4834">
      <w:pPr>
        <w:spacing w:line="400" w:lineRule="exact"/>
        <w:ind w:firstLine="420" w:firstLineChars="200"/>
        <w:rPr>
          <w:rFonts w:hAnsi="宋体"/>
          <w:color w:val="auto"/>
          <w:sz w:val="21"/>
          <w:szCs w:val="21"/>
          <w:highlight w:val="none"/>
        </w:rPr>
      </w:pPr>
    </w:p>
    <w:p w14:paraId="053BC200">
      <w:pPr>
        <w:spacing w:line="400" w:lineRule="exact"/>
        <w:outlineLvl w:val="2"/>
        <w:rPr>
          <w:rFonts w:hint="eastAsia" w:ascii="宋体" w:hAnsi="宋体" w:eastAsia="宋体" w:cs="宋体"/>
          <w:b/>
          <w:bCs/>
          <w:color w:val="auto"/>
          <w:kern w:val="2"/>
          <w:sz w:val="21"/>
          <w:szCs w:val="21"/>
          <w:highlight w:val="none"/>
        </w:rPr>
      </w:pPr>
      <w:bookmarkStart w:id="152" w:name="_Toc401840473"/>
      <w:bookmarkStart w:id="153" w:name="_Toc450570291"/>
    </w:p>
    <w:p w14:paraId="05353FF3">
      <w:pPr>
        <w:spacing w:line="400" w:lineRule="exact"/>
        <w:outlineLvl w:val="2"/>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3.供应商拟承担本项目主要专业</w:t>
      </w:r>
      <w:r>
        <w:rPr>
          <w:rFonts w:hint="eastAsia" w:ascii="宋体" w:hAnsi="宋体" w:eastAsia="宋体" w:cs="宋体"/>
          <w:b/>
          <w:bCs/>
          <w:color w:val="auto"/>
          <w:kern w:val="2"/>
          <w:sz w:val="21"/>
          <w:szCs w:val="21"/>
          <w:highlight w:val="none"/>
          <w:lang w:val="en-US" w:eastAsia="zh-CN"/>
        </w:rPr>
        <w:t>服务</w:t>
      </w:r>
      <w:r>
        <w:rPr>
          <w:rFonts w:hint="eastAsia" w:ascii="宋体" w:hAnsi="宋体" w:eastAsia="宋体" w:cs="宋体"/>
          <w:b/>
          <w:bCs/>
          <w:color w:val="auto"/>
          <w:kern w:val="2"/>
          <w:sz w:val="21"/>
          <w:szCs w:val="21"/>
          <w:highlight w:val="none"/>
        </w:rPr>
        <w:t>人员一览表</w:t>
      </w:r>
      <w:bookmarkEnd w:id="143"/>
      <w:bookmarkEnd w:id="144"/>
      <w:bookmarkEnd w:id="145"/>
      <w:bookmarkEnd w:id="146"/>
      <w:r>
        <w:rPr>
          <w:rFonts w:hint="eastAsia" w:ascii="宋体" w:hAnsi="宋体" w:eastAsia="宋体" w:cs="宋体"/>
          <w:b/>
          <w:bCs/>
          <w:color w:val="auto"/>
          <w:kern w:val="2"/>
          <w:sz w:val="21"/>
          <w:szCs w:val="21"/>
          <w:highlight w:val="none"/>
        </w:rPr>
        <w:t>格式</w:t>
      </w:r>
      <w:bookmarkEnd w:id="147"/>
      <w:bookmarkEnd w:id="148"/>
      <w:bookmarkEnd w:id="149"/>
      <w:bookmarkEnd w:id="150"/>
      <w:bookmarkEnd w:id="152"/>
      <w:bookmarkEnd w:id="153"/>
    </w:p>
    <w:p w14:paraId="5D40DA3C">
      <w:pPr>
        <w:spacing w:line="400" w:lineRule="exact"/>
        <w:jc w:val="center"/>
        <w:rPr>
          <w:rStyle w:val="78"/>
          <w:rFonts w:hint="eastAsia" w:ascii="宋体" w:hAnsi="宋体" w:eastAsia="宋体" w:cs="宋体"/>
          <w:color w:val="auto"/>
          <w:sz w:val="21"/>
          <w:szCs w:val="21"/>
          <w:highlight w:val="none"/>
        </w:rPr>
      </w:pPr>
    </w:p>
    <w:p w14:paraId="65FD38F3">
      <w:pPr>
        <w:spacing w:line="400" w:lineRule="exact"/>
        <w:jc w:val="center"/>
        <w:rPr>
          <w:rStyle w:val="78"/>
          <w:rFonts w:hint="eastAsia" w:ascii="宋体" w:hAnsi="宋体" w:eastAsia="宋体" w:cs="宋体"/>
          <w:color w:val="auto"/>
          <w:sz w:val="21"/>
          <w:szCs w:val="21"/>
          <w:highlight w:val="none"/>
        </w:rPr>
      </w:pPr>
      <w:r>
        <w:rPr>
          <w:rStyle w:val="78"/>
          <w:rFonts w:hint="eastAsia" w:ascii="宋体" w:hAnsi="宋体" w:eastAsia="宋体" w:cs="宋体"/>
          <w:color w:val="auto"/>
          <w:sz w:val="21"/>
          <w:szCs w:val="21"/>
          <w:highlight w:val="none"/>
        </w:rPr>
        <w:t>供应商拟承担本项目主要专业</w:t>
      </w:r>
      <w:r>
        <w:rPr>
          <w:rStyle w:val="78"/>
          <w:rFonts w:hint="eastAsia" w:ascii="宋体" w:hAnsi="宋体" w:eastAsia="宋体" w:cs="宋体"/>
          <w:color w:val="auto"/>
          <w:sz w:val="21"/>
          <w:szCs w:val="21"/>
          <w:highlight w:val="none"/>
          <w:lang w:val="en-US" w:eastAsia="zh-CN"/>
        </w:rPr>
        <w:t>服务</w:t>
      </w:r>
      <w:r>
        <w:rPr>
          <w:rStyle w:val="78"/>
          <w:rFonts w:hint="eastAsia" w:ascii="宋体" w:hAnsi="宋体" w:eastAsia="宋体" w:cs="宋体"/>
          <w:color w:val="auto"/>
          <w:sz w:val="21"/>
          <w:szCs w:val="21"/>
          <w:highlight w:val="none"/>
        </w:rPr>
        <w:t>人员一览表</w:t>
      </w:r>
    </w:p>
    <w:p w14:paraId="71A54308">
      <w:pPr>
        <w:spacing w:line="400" w:lineRule="exact"/>
        <w:jc w:val="center"/>
        <w:rPr>
          <w:rStyle w:val="78"/>
          <w:rFonts w:hint="eastAsia" w:ascii="宋体" w:hAnsi="宋体" w:eastAsia="宋体" w:cs="宋体"/>
          <w:color w:val="auto"/>
          <w:sz w:val="21"/>
          <w:szCs w:val="21"/>
          <w:highlight w:val="none"/>
        </w:rPr>
      </w:pPr>
    </w:p>
    <w:tbl>
      <w:tblPr>
        <w:tblStyle w:val="59"/>
        <w:tblW w:w="0" w:type="auto"/>
        <w:tblInd w:w="-284" w:type="dxa"/>
        <w:tblLayout w:type="fixed"/>
        <w:tblCellMar>
          <w:top w:w="0" w:type="dxa"/>
          <w:left w:w="0" w:type="dxa"/>
          <w:bottom w:w="0" w:type="dxa"/>
          <w:right w:w="0" w:type="dxa"/>
        </w:tblCellMar>
      </w:tblPr>
      <w:tblGrid>
        <w:gridCol w:w="801"/>
        <w:gridCol w:w="1034"/>
        <w:gridCol w:w="866"/>
        <w:gridCol w:w="884"/>
        <w:gridCol w:w="1266"/>
        <w:gridCol w:w="1184"/>
        <w:gridCol w:w="2423"/>
        <w:gridCol w:w="1538"/>
      </w:tblGrid>
      <w:tr w14:paraId="32FE70DD">
        <w:tblPrEx>
          <w:tblCellMar>
            <w:top w:w="0" w:type="dxa"/>
            <w:left w:w="0" w:type="dxa"/>
            <w:bottom w:w="0" w:type="dxa"/>
            <w:right w:w="0" w:type="dxa"/>
          </w:tblCellMar>
        </w:tblPrEx>
        <w:trPr>
          <w:trHeight w:val="905" w:hRule="exact"/>
        </w:trPr>
        <w:tc>
          <w:tcPr>
            <w:tcW w:w="801" w:type="dxa"/>
            <w:tcBorders>
              <w:top w:val="single" w:color="000000" w:sz="4" w:space="0"/>
              <w:left w:val="single" w:color="000000" w:sz="4" w:space="0"/>
              <w:bottom w:val="single" w:color="000000" w:sz="4" w:space="0"/>
              <w:right w:val="single" w:color="000000" w:sz="4" w:space="0"/>
            </w:tcBorders>
            <w:noWrap w:val="0"/>
            <w:vAlign w:val="center"/>
          </w:tcPr>
          <w:p w14:paraId="2CBE4B01">
            <w:pPr>
              <w:jc w:val="center"/>
              <w:rPr>
                <w:color w:val="auto"/>
                <w:highlight w:val="none"/>
              </w:rPr>
            </w:pPr>
            <w:r>
              <w:rPr>
                <w:rFonts w:hint="eastAsia" w:ascii="宋体" w:hAnsi="宋体" w:eastAsia="宋体" w:cs="宋体"/>
                <w:color w:val="auto"/>
                <w:highlight w:val="none"/>
              </w:rPr>
              <w:t>序</w:t>
            </w:r>
            <w:r>
              <w:rPr>
                <w:color w:val="auto"/>
                <w:highlight w:val="none"/>
              </w:rPr>
              <w:t xml:space="preserve"> </w:t>
            </w:r>
            <w:r>
              <w:rPr>
                <w:rFonts w:hint="eastAsia" w:ascii="宋体" w:hAnsi="宋体" w:eastAsia="宋体" w:cs="宋体"/>
                <w:color w:val="auto"/>
                <w:highlight w:val="none"/>
              </w:rPr>
              <w:t>号</w:t>
            </w:r>
          </w:p>
        </w:tc>
        <w:tc>
          <w:tcPr>
            <w:tcW w:w="1034" w:type="dxa"/>
            <w:tcBorders>
              <w:top w:val="single" w:color="000000" w:sz="4" w:space="0"/>
              <w:left w:val="single" w:color="000000" w:sz="4" w:space="0"/>
              <w:bottom w:val="single" w:color="000000" w:sz="4" w:space="0"/>
              <w:right w:val="single" w:color="000000" w:sz="4" w:space="0"/>
            </w:tcBorders>
            <w:noWrap w:val="0"/>
            <w:vAlign w:val="center"/>
          </w:tcPr>
          <w:p w14:paraId="3601D37B">
            <w:pPr>
              <w:jc w:val="center"/>
              <w:rPr>
                <w:color w:val="auto"/>
                <w:highlight w:val="none"/>
              </w:rPr>
            </w:pPr>
            <w:r>
              <w:rPr>
                <w:rFonts w:hint="eastAsia" w:ascii="宋体" w:hAnsi="宋体" w:eastAsia="宋体" w:cs="宋体"/>
                <w:color w:val="auto"/>
                <w:highlight w:val="none"/>
              </w:rPr>
              <w:t>姓名</w:t>
            </w:r>
          </w:p>
        </w:tc>
        <w:tc>
          <w:tcPr>
            <w:tcW w:w="866" w:type="dxa"/>
            <w:tcBorders>
              <w:top w:val="single" w:color="000000" w:sz="4" w:space="0"/>
              <w:left w:val="single" w:color="000000" w:sz="4" w:space="0"/>
              <w:bottom w:val="single" w:color="000000" w:sz="4" w:space="0"/>
              <w:right w:val="single" w:color="000000" w:sz="4" w:space="0"/>
            </w:tcBorders>
            <w:noWrap w:val="0"/>
            <w:vAlign w:val="center"/>
          </w:tcPr>
          <w:p w14:paraId="2F2FA139">
            <w:pPr>
              <w:jc w:val="center"/>
              <w:rPr>
                <w:color w:val="auto"/>
                <w:highlight w:val="none"/>
              </w:rPr>
            </w:pPr>
            <w:r>
              <w:rPr>
                <w:rFonts w:hint="eastAsia" w:ascii="宋体" w:hAnsi="宋体" w:eastAsia="宋体" w:cs="宋体"/>
                <w:color w:val="auto"/>
                <w:highlight w:val="none"/>
              </w:rPr>
              <w:t>性别</w:t>
            </w:r>
          </w:p>
        </w:tc>
        <w:tc>
          <w:tcPr>
            <w:tcW w:w="884" w:type="dxa"/>
            <w:tcBorders>
              <w:top w:val="single" w:color="000000" w:sz="4" w:space="0"/>
              <w:left w:val="single" w:color="000000" w:sz="4" w:space="0"/>
              <w:bottom w:val="single" w:color="000000" w:sz="4" w:space="0"/>
              <w:right w:val="single" w:color="000000" w:sz="4" w:space="0"/>
            </w:tcBorders>
            <w:noWrap w:val="0"/>
            <w:vAlign w:val="center"/>
          </w:tcPr>
          <w:p w14:paraId="430A96DB">
            <w:pPr>
              <w:jc w:val="center"/>
              <w:rPr>
                <w:color w:val="auto"/>
                <w:highlight w:val="none"/>
              </w:rPr>
            </w:pPr>
            <w:r>
              <w:rPr>
                <w:rFonts w:hint="eastAsia" w:ascii="宋体" w:hAnsi="宋体" w:eastAsia="宋体" w:cs="宋体"/>
                <w:color w:val="auto"/>
                <w:highlight w:val="none"/>
              </w:rPr>
              <w:t>年龄</w:t>
            </w:r>
          </w:p>
        </w:tc>
        <w:tc>
          <w:tcPr>
            <w:tcW w:w="1266" w:type="dxa"/>
            <w:tcBorders>
              <w:top w:val="single" w:color="000000" w:sz="4" w:space="0"/>
              <w:left w:val="single" w:color="000000" w:sz="4" w:space="0"/>
              <w:bottom w:val="single" w:color="000000" w:sz="4" w:space="0"/>
              <w:right w:val="single" w:color="000000" w:sz="4" w:space="0"/>
            </w:tcBorders>
            <w:noWrap w:val="0"/>
            <w:vAlign w:val="center"/>
          </w:tcPr>
          <w:p w14:paraId="02C368B3">
            <w:pPr>
              <w:jc w:val="center"/>
              <w:rPr>
                <w:rFonts w:hint="default" w:eastAsia="宋体"/>
                <w:color w:val="auto"/>
                <w:highlight w:val="none"/>
                <w:lang w:val="en-US" w:eastAsia="zh-CN"/>
              </w:rPr>
            </w:pPr>
            <w:r>
              <w:rPr>
                <w:rFonts w:hint="eastAsia" w:ascii="宋体" w:hAnsi="宋体" w:eastAsia="宋体" w:cs="宋体"/>
                <w:color w:val="auto"/>
                <w:highlight w:val="none"/>
                <w:lang w:val="en-US" w:eastAsia="zh-CN"/>
              </w:rPr>
              <w:t>职称/证书</w:t>
            </w:r>
          </w:p>
        </w:tc>
        <w:tc>
          <w:tcPr>
            <w:tcW w:w="1184" w:type="dxa"/>
            <w:tcBorders>
              <w:top w:val="single" w:color="000000" w:sz="4" w:space="0"/>
              <w:left w:val="single" w:color="000000" w:sz="4" w:space="0"/>
              <w:bottom w:val="single" w:color="000000" w:sz="4" w:space="0"/>
              <w:right w:val="single" w:color="000000" w:sz="4" w:space="0"/>
            </w:tcBorders>
            <w:noWrap w:val="0"/>
            <w:vAlign w:val="center"/>
          </w:tcPr>
          <w:p w14:paraId="4A412CC6">
            <w:pPr>
              <w:jc w:val="center"/>
              <w:rPr>
                <w:color w:val="auto"/>
                <w:highlight w:val="none"/>
              </w:rPr>
            </w:pPr>
            <w:r>
              <w:rPr>
                <w:rFonts w:hint="eastAsia" w:ascii="宋体" w:hAnsi="宋体" w:eastAsia="宋体" w:cs="宋体"/>
                <w:color w:val="auto"/>
                <w:highlight w:val="none"/>
              </w:rPr>
              <w:t>学历</w:t>
            </w:r>
          </w:p>
        </w:tc>
        <w:tc>
          <w:tcPr>
            <w:tcW w:w="2423" w:type="dxa"/>
            <w:tcBorders>
              <w:top w:val="single" w:color="000000" w:sz="4" w:space="0"/>
              <w:left w:val="single" w:color="000000" w:sz="4" w:space="0"/>
              <w:bottom w:val="single" w:color="000000" w:sz="4" w:space="0"/>
              <w:right w:val="single" w:color="000000" w:sz="4" w:space="0"/>
            </w:tcBorders>
            <w:noWrap w:val="0"/>
            <w:vAlign w:val="center"/>
          </w:tcPr>
          <w:p w14:paraId="7A95A163">
            <w:pPr>
              <w:jc w:val="center"/>
              <w:rPr>
                <w:rFonts w:hint="default" w:eastAsia="宋体"/>
                <w:color w:val="auto"/>
                <w:highlight w:val="none"/>
                <w:lang w:val="en-US" w:eastAsia="zh-CN"/>
              </w:rPr>
            </w:pPr>
            <w:r>
              <w:rPr>
                <w:rFonts w:hint="eastAsia" w:ascii="宋体" w:hAnsi="宋体" w:eastAsia="宋体" w:cs="宋体"/>
                <w:color w:val="auto"/>
                <w:highlight w:val="none"/>
              </w:rPr>
              <w:t>相关工作年限</w:t>
            </w:r>
            <w:r>
              <w:rPr>
                <w:rFonts w:hint="eastAsia" w:ascii="宋体" w:hAnsi="宋体" w:eastAsia="宋体" w:cs="宋体"/>
                <w:color w:val="auto"/>
                <w:highlight w:val="none"/>
                <w:lang w:val="en-US" w:eastAsia="zh-CN"/>
              </w:rPr>
              <w:t>/业绩</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14:paraId="226A8B84">
            <w:pPr>
              <w:jc w:val="center"/>
              <w:rPr>
                <w:color w:val="auto"/>
                <w:highlight w:val="none"/>
              </w:rPr>
            </w:pPr>
            <w:r>
              <w:rPr>
                <w:rFonts w:hint="eastAsia" w:ascii="宋体" w:hAnsi="宋体" w:eastAsia="宋体" w:cs="宋体"/>
                <w:color w:val="auto"/>
                <w:highlight w:val="none"/>
              </w:rPr>
              <w:t>备注</w:t>
            </w:r>
          </w:p>
        </w:tc>
      </w:tr>
      <w:tr w14:paraId="1E2D5CC6">
        <w:tblPrEx>
          <w:tblCellMar>
            <w:top w:w="0" w:type="dxa"/>
            <w:left w:w="0" w:type="dxa"/>
            <w:bottom w:w="0" w:type="dxa"/>
            <w:right w:w="0" w:type="dxa"/>
          </w:tblCellMar>
        </w:tblPrEx>
        <w:trPr>
          <w:trHeight w:val="462" w:hRule="exact"/>
        </w:trPr>
        <w:tc>
          <w:tcPr>
            <w:tcW w:w="801" w:type="dxa"/>
            <w:tcBorders>
              <w:top w:val="single" w:color="000000" w:sz="4" w:space="0"/>
              <w:left w:val="single" w:color="000000" w:sz="4" w:space="0"/>
              <w:bottom w:val="single" w:color="000000" w:sz="4" w:space="0"/>
              <w:right w:val="single" w:color="000000" w:sz="4" w:space="0"/>
            </w:tcBorders>
            <w:noWrap w:val="0"/>
            <w:vAlign w:val="top"/>
          </w:tcPr>
          <w:p w14:paraId="4FAB4364">
            <w:pPr>
              <w:rPr>
                <w:rFonts w:ascii="Times New Roman" w:hAnsi="Times New Roman"/>
                <w:color w:val="auto"/>
                <w:highlight w:val="none"/>
              </w:rPr>
            </w:pPr>
          </w:p>
        </w:tc>
        <w:tc>
          <w:tcPr>
            <w:tcW w:w="1034" w:type="dxa"/>
            <w:tcBorders>
              <w:top w:val="single" w:color="000000" w:sz="4" w:space="0"/>
              <w:left w:val="single" w:color="000000" w:sz="4" w:space="0"/>
              <w:bottom w:val="single" w:color="000000" w:sz="4" w:space="0"/>
              <w:right w:val="single" w:color="000000" w:sz="4" w:space="0"/>
            </w:tcBorders>
            <w:noWrap w:val="0"/>
            <w:vAlign w:val="top"/>
          </w:tcPr>
          <w:p w14:paraId="27B5F472">
            <w:pPr>
              <w:ind w:left="2" w:hanging="2"/>
              <w:rPr>
                <w:rFonts w:ascii="Times New Roman" w:hAnsi="Times New Roman"/>
                <w:color w:val="auto"/>
                <w:highlight w:val="none"/>
              </w:rPr>
            </w:pPr>
          </w:p>
        </w:tc>
        <w:tc>
          <w:tcPr>
            <w:tcW w:w="866" w:type="dxa"/>
            <w:tcBorders>
              <w:top w:val="single" w:color="000000" w:sz="4" w:space="0"/>
              <w:left w:val="single" w:color="000000" w:sz="4" w:space="0"/>
              <w:bottom w:val="single" w:color="000000" w:sz="4" w:space="0"/>
              <w:right w:val="single" w:color="000000" w:sz="4" w:space="0"/>
            </w:tcBorders>
            <w:noWrap w:val="0"/>
            <w:vAlign w:val="top"/>
          </w:tcPr>
          <w:p w14:paraId="65FC91A6">
            <w:pPr>
              <w:rPr>
                <w:rFonts w:ascii="Times New Roman" w:hAnsi="Times New Roman"/>
                <w:color w:val="auto"/>
                <w:highlight w:val="none"/>
              </w:rPr>
            </w:pPr>
          </w:p>
        </w:tc>
        <w:tc>
          <w:tcPr>
            <w:tcW w:w="884" w:type="dxa"/>
            <w:tcBorders>
              <w:top w:val="single" w:color="000000" w:sz="4" w:space="0"/>
              <w:left w:val="single" w:color="000000" w:sz="4" w:space="0"/>
              <w:bottom w:val="single" w:color="000000" w:sz="4" w:space="0"/>
              <w:right w:val="single" w:color="000000" w:sz="4" w:space="0"/>
            </w:tcBorders>
            <w:noWrap w:val="0"/>
            <w:vAlign w:val="top"/>
          </w:tcPr>
          <w:p w14:paraId="201DE231">
            <w:pPr>
              <w:rPr>
                <w:rFonts w:ascii="Times New Roman" w:hAnsi="Times New Roman"/>
                <w:color w:val="auto"/>
                <w:highlight w:val="none"/>
              </w:rPr>
            </w:pPr>
          </w:p>
        </w:tc>
        <w:tc>
          <w:tcPr>
            <w:tcW w:w="1266" w:type="dxa"/>
            <w:tcBorders>
              <w:top w:val="single" w:color="000000" w:sz="4" w:space="0"/>
              <w:left w:val="single" w:color="000000" w:sz="4" w:space="0"/>
              <w:bottom w:val="single" w:color="000000" w:sz="4" w:space="0"/>
              <w:right w:val="single" w:color="000000" w:sz="4" w:space="0"/>
            </w:tcBorders>
            <w:noWrap w:val="0"/>
            <w:vAlign w:val="top"/>
          </w:tcPr>
          <w:p w14:paraId="2D03B803">
            <w:pPr>
              <w:rPr>
                <w:rFonts w:ascii="Times New Roman" w:hAnsi="Times New Roman"/>
                <w:color w:val="auto"/>
                <w:highlight w:val="none"/>
              </w:rPr>
            </w:pPr>
          </w:p>
        </w:tc>
        <w:tc>
          <w:tcPr>
            <w:tcW w:w="1184" w:type="dxa"/>
            <w:tcBorders>
              <w:top w:val="single" w:color="000000" w:sz="4" w:space="0"/>
              <w:left w:val="single" w:color="000000" w:sz="4" w:space="0"/>
              <w:bottom w:val="single" w:color="000000" w:sz="4" w:space="0"/>
              <w:right w:val="single" w:color="000000" w:sz="4" w:space="0"/>
            </w:tcBorders>
            <w:noWrap w:val="0"/>
            <w:vAlign w:val="top"/>
          </w:tcPr>
          <w:p w14:paraId="365398C3">
            <w:pPr>
              <w:rPr>
                <w:rFonts w:ascii="Times New Roman" w:hAnsi="Times New Roman"/>
                <w:color w:val="auto"/>
                <w:highlight w:val="none"/>
              </w:rPr>
            </w:pPr>
          </w:p>
        </w:tc>
        <w:tc>
          <w:tcPr>
            <w:tcW w:w="2423" w:type="dxa"/>
            <w:tcBorders>
              <w:top w:val="single" w:color="000000" w:sz="4" w:space="0"/>
              <w:left w:val="single" w:color="000000" w:sz="4" w:space="0"/>
              <w:bottom w:val="single" w:color="000000" w:sz="4" w:space="0"/>
              <w:right w:val="single" w:color="000000" w:sz="4" w:space="0"/>
            </w:tcBorders>
            <w:noWrap w:val="0"/>
            <w:vAlign w:val="top"/>
          </w:tcPr>
          <w:p w14:paraId="4BB44583">
            <w:pPr>
              <w:rPr>
                <w:rFonts w:ascii="Times New Roman" w:hAnsi="Times New Roman"/>
                <w:color w:val="auto"/>
                <w:highlight w:val="none"/>
              </w:rPr>
            </w:pPr>
          </w:p>
        </w:tc>
        <w:tc>
          <w:tcPr>
            <w:tcW w:w="1538" w:type="dxa"/>
            <w:tcBorders>
              <w:top w:val="single" w:color="000000" w:sz="4" w:space="0"/>
              <w:left w:val="single" w:color="000000" w:sz="4" w:space="0"/>
              <w:bottom w:val="single" w:color="000000" w:sz="4" w:space="0"/>
              <w:right w:val="single" w:color="000000" w:sz="4" w:space="0"/>
            </w:tcBorders>
            <w:noWrap w:val="0"/>
            <w:vAlign w:val="top"/>
          </w:tcPr>
          <w:p w14:paraId="65EC6B78">
            <w:pPr>
              <w:rPr>
                <w:rFonts w:ascii="Times New Roman" w:hAnsi="Times New Roman"/>
                <w:color w:val="auto"/>
                <w:highlight w:val="none"/>
              </w:rPr>
            </w:pPr>
          </w:p>
        </w:tc>
      </w:tr>
      <w:tr w14:paraId="068A6563">
        <w:tblPrEx>
          <w:tblCellMar>
            <w:top w:w="0" w:type="dxa"/>
            <w:left w:w="0" w:type="dxa"/>
            <w:bottom w:w="0" w:type="dxa"/>
            <w:right w:w="0" w:type="dxa"/>
          </w:tblCellMar>
        </w:tblPrEx>
        <w:trPr>
          <w:trHeight w:val="460" w:hRule="exact"/>
        </w:trPr>
        <w:tc>
          <w:tcPr>
            <w:tcW w:w="801" w:type="dxa"/>
            <w:tcBorders>
              <w:top w:val="single" w:color="000000" w:sz="4" w:space="0"/>
              <w:left w:val="single" w:color="000000" w:sz="4" w:space="0"/>
              <w:bottom w:val="single" w:color="000000" w:sz="4" w:space="0"/>
              <w:right w:val="single" w:color="000000" w:sz="4" w:space="0"/>
            </w:tcBorders>
            <w:noWrap w:val="0"/>
            <w:vAlign w:val="top"/>
          </w:tcPr>
          <w:p w14:paraId="23C86129">
            <w:pPr>
              <w:rPr>
                <w:rFonts w:ascii="Times New Roman" w:hAnsi="Times New Roman"/>
                <w:color w:val="auto"/>
                <w:highlight w:val="none"/>
              </w:rPr>
            </w:pPr>
          </w:p>
        </w:tc>
        <w:tc>
          <w:tcPr>
            <w:tcW w:w="1034" w:type="dxa"/>
            <w:tcBorders>
              <w:top w:val="single" w:color="000000" w:sz="4" w:space="0"/>
              <w:left w:val="single" w:color="000000" w:sz="4" w:space="0"/>
              <w:bottom w:val="single" w:color="000000" w:sz="4" w:space="0"/>
              <w:right w:val="single" w:color="000000" w:sz="4" w:space="0"/>
            </w:tcBorders>
            <w:noWrap w:val="0"/>
            <w:vAlign w:val="top"/>
          </w:tcPr>
          <w:p w14:paraId="73E5E7B8">
            <w:pPr>
              <w:rPr>
                <w:rFonts w:ascii="Times New Roman" w:hAnsi="Times New Roman"/>
                <w:color w:val="auto"/>
                <w:highlight w:val="none"/>
              </w:rPr>
            </w:pPr>
          </w:p>
        </w:tc>
        <w:tc>
          <w:tcPr>
            <w:tcW w:w="866" w:type="dxa"/>
            <w:tcBorders>
              <w:top w:val="single" w:color="000000" w:sz="4" w:space="0"/>
              <w:left w:val="single" w:color="000000" w:sz="4" w:space="0"/>
              <w:bottom w:val="single" w:color="000000" w:sz="4" w:space="0"/>
              <w:right w:val="single" w:color="000000" w:sz="4" w:space="0"/>
            </w:tcBorders>
            <w:noWrap w:val="0"/>
            <w:vAlign w:val="top"/>
          </w:tcPr>
          <w:p w14:paraId="5ACAB715">
            <w:pPr>
              <w:rPr>
                <w:rFonts w:ascii="Times New Roman" w:hAnsi="Times New Roman"/>
                <w:color w:val="auto"/>
                <w:highlight w:val="none"/>
              </w:rPr>
            </w:pPr>
          </w:p>
        </w:tc>
        <w:tc>
          <w:tcPr>
            <w:tcW w:w="884" w:type="dxa"/>
            <w:tcBorders>
              <w:top w:val="single" w:color="000000" w:sz="4" w:space="0"/>
              <w:left w:val="single" w:color="000000" w:sz="4" w:space="0"/>
              <w:bottom w:val="single" w:color="000000" w:sz="4" w:space="0"/>
              <w:right w:val="single" w:color="000000" w:sz="4" w:space="0"/>
            </w:tcBorders>
            <w:noWrap w:val="0"/>
            <w:vAlign w:val="top"/>
          </w:tcPr>
          <w:p w14:paraId="7D3C87E2">
            <w:pPr>
              <w:rPr>
                <w:rFonts w:ascii="Times New Roman" w:hAnsi="Times New Roman"/>
                <w:color w:val="auto"/>
                <w:highlight w:val="none"/>
              </w:rPr>
            </w:pPr>
          </w:p>
        </w:tc>
        <w:tc>
          <w:tcPr>
            <w:tcW w:w="1266" w:type="dxa"/>
            <w:tcBorders>
              <w:top w:val="single" w:color="000000" w:sz="4" w:space="0"/>
              <w:left w:val="single" w:color="000000" w:sz="4" w:space="0"/>
              <w:bottom w:val="single" w:color="000000" w:sz="4" w:space="0"/>
              <w:right w:val="single" w:color="000000" w:sz="4" w:space="0"/>
            </w:tcBorders>
            <w:noWrap w:val="0"/>
            <w:vAlign w:val="top"/>
          </w:tcPr>
          <w:p w14:paraId="7190819A">
            <w:pPr>
              <w:rPr>
                <w:rFonts w:ascii="Times New Roman" w:hAnsi="Times New Roman"/>
                <w:color w:val="auto"/>
                <w:highlight w:val="none"/>
              </w:rPr>
            </w:pPr>
          </w:p>
        </w:tc>
        <w:tc>
          <w:tcPr>
            <w:tcW w:w="1184" w:type="dxa"/>
            <w:tcBorders>
              <w:top w:val="single" w:color="000000" w:sz="4" w:space="0"/>
              <w:left w:val="single" w:color="000000" w:sz="4" w:space="0"/>
              <w:bottom w:val="single" w:color="000000" w:sz="4" w:space="0"/>
              <w:right w:val="single" w:color="000000" w:sz="4" w:space="0"/>
            </w:tcBorders>
            <w:noWrap w:val="0"/>
            <w:vAlign w:val="top"/>
          </w:tcPr>
          <w:p w14:paraId="1831729F">
            <w:pPr>
              <w:rPr>
                <w:rFonts w:ascii="Times New Roman" w:hAnsi="Times New Roman"/>
                <w:color w:val="auto"/>
                <w:highlight w:val="none"/>
              </w:rPr>
            </w:pPr>
          </w:p>
        </w:tc>
        <w:tc>
          <w:tcPr>
            <w:tcW w:w="2423" w:type="dxa"/>
            <w:tcBorders>
              <w:top w:val="single" w:color="000000" w:sz="4" w:space="0"/>
              <w:left w:val="single" w:color="000000" w:sz="4" w:space="0"/>
              <w:bottom w:val="single" w:color="000000" w:sz="4" w:space="0"/>
              <w:right w:val="single" w:color="000000" w:sz="4" w:space="0"/>
            </w:tcBorders>
            <w:noWrap w:val="0"/>
            <w:vAlign w:val="top"/>
          </w:tcPr>
          <w:p w14:paraId="7656F266">
            <w:pPr>
              <w:rPr>
                <w:rFonts w:ascii="Times New Roman" w:hAnsi="Times New Roman"/>
                <w:color w:val="auto"/>
                <w:highlight w:val="none"/>
              </w:rPr>
            </w:pPr>
          </w:p>
        </w:tc>
        <w:tc>
          <w:tcPr>
            <w:tcW w:w="1538" w:type="dxa"/>
            <w:tcBorders>
              <w:top w:val="single" w:color="000000" w:sz="4" w:space="0"/>
              <w:left w:val="single" w:color="000000" w:sz="4" w:space="0"/>
              <w:bottom w:val="single" w:color="000000" w:sz="4" w:space="0"/>
              <w:right w:val="single" w:color="000000" w:sz="4" w:space="0"/>
            </w:tcBorders>
            <w:noWrap w:val="0"/>
            <w:vAlign w:val="top"/>
          </w:tcPr>
          <w:p w14:paraId="1B2091E4">
            <w:pPr>
              <w:rPr>
                <w:rFonts w:ascii="Times New Roman" w:hAnsi="Times New Roman"/>
                <w:color w:val="auto"/>
                <w:highlight w:val="none"/>
              </w:rPr>
            </w:pPr>
          </w:p>
        </w:tc>
      </w:tr>
      <w:tr w14:paraId="46AC9851">
        <w:tblPrEx>
          <w:tblCellMar>
            <w:top w:w="0" w:type="dxa"/>
            <w:left w:w="0" w:type="dxa"/>
            <w:bottom w:w="0" w:type="dxa"/>
            <w:right w:w="0" w:type="dxa"/>
          </w:tblCellMar>
        </w:tblPrEx>
        <w:trPr>
          <w:trHeight w:val="460" w:hRule="exact"/>
        </w:trPr>
        <w:tc>
          <w:tcPr>
            <w:tcW w:w="801" w:type="dxa"/>
            <w:tcBorders>
              <w:top w:val="single" w:color="000000" w:sz="4" w:space="0"/>
              <w:left w:val="single" w:color="000000" w:sz="4" w:space="0"/>
              <w:bottom w:val="single" w:color="000000" w:sz="4" w:space="0"/>
              <w:right w:val="single" w:color="000000" w:sz="4" w:space="0"/>
            </w:tcBorders>
            <w:noWrap w:val="0"/>
            <w:vAlign w:val="top"/>
          </w:tcPr>
          <w:p w14:paraId="630E1D2E">
            <w:pPr>
              <w:rPr>
                <w:rFonts w:ascii="Times New Roman" w:hAnsi="Times New Roman"/>
                <w:color w:val="auto"/>
                <w:highlight w:val="none"/>
              </w:rPr>
            </w:pPr>
          </w:p>
        </w:tc>
        <w:tc>
          <w:tcPr>
            <w:tcW w:w="1034" w:type="dxa"/>
            <w:tcBorders>
              <w:top w:val="single" w:color="000000" w:sz="4" w:space="0"/>
              <w:left w:val="single" w:color="000000" w:sz="4" w:space="0"/>
              <w:bottom w:val="single" w:color="000000" w:sz="4" w:space="0"/>
              <w:right w:val="single" w:color="000000" w:sz="4" w:space="0"/>
            </w:tcBorders>
            <w:noWrap w:val="0"/>
            <w:vAlign w:val="top"/>
          </w:tcPr>
          <w:p w14:paraId="023E7B95">
            <w:pPr>
              <w:rPr>
                <w:rFonts w:ascii="Times New Roman" w:hAnsi="Times New Roman"/>
                <w:color w:val="auto"/>
                <w:highlight w:val="none"/>
              </w:rPr>
            </w:pPr>
          </w:p>
        </w:tc>
        <w:tc>
          <w:tcPr>
            <w:tcW w:w="866" w:type="dxa"/>
            <w:tcBorders>
              <w:top w:val="single" w:color="000000" w:sz="4" w:space="0"/>
              <w:left w:val="single" w:color="000000" w:sz="4" w:space="0"/>
              <w:bottom w:val="single" w:color="000000" w:sz="4" w:space="0"/>
              <w:right w:val="single" w:color="000000" w:sz="4" w:space="0"/>
            </w:tcBorders>
            <w:noWrap w:val="0"/>
            <w:vAlign w:val="top"/>
          </w:tcPr>
          <w:p w14:paraId="2C3CB3DF">
            <w:pPr>
              <w:rPr>
                <w:rFonts w:ascii="Times New Roman" w:hAnsi="Times New Roman"/>
                <w:color w:val="auto"/>
                <w:highlight w:val="none"/>
              </w:rPr>
            </w:pPr>
          </w:p>
        </w:tc>
        <w:tc>
          <w:tcPr>
            <w:tcW w:w="884" w:type="dxa"/>
            <w:tcBorders>
              <w:top w:val="single" w:color="000000" w:sz="4" w:space="0"/>
              <w:left w:val="single" w:color="000000" w:sz="4" w:space="0"/>
              <w:bottom w:val="single" w:color="000000" w:sz="4" w:space="0"/>
              <w:right w:val="single" w:color="000000" w:sz="4" w:space="0"/>
            </w:tcBorders>
            <w:noWrap w:val="0"/>
            <w:vAlign w:val="top"/>
          </w:tcPr>
          <w:p w14:paraId="0B53FBCD">
            <w:pPr>
              <w:rPr>
                <w:rFonts w:ascii="Times New Roman" w:hAnsi="Times New Roman"/>
                <w:color w:val="auto"/>
                <w:highlight w:val="none"/>
              </w:rPr>
            </w:pPr>
          </w:p>
        </w:tc>
        <w:tc>
          <w:tcPr>
            <w:tcW w:w="1266" w:type="dxa"/>
            <w:tcBorders>
              <w:top w:val="single" w:color="000000" w:sz="4" w:space="0"/>
              <w:left w:val="single" w:color="000000" w:sz="4" w:space="0"/>
              <w:bottom w:val="single" w:color="000000" w:sz="4" w:space="0"/>
              <w:right w:val="single" w:color="000000" w:sz="4" w:space="0"/>
            </w:tcBorders>
            <w:noWrap w:val="0"/>
            <w:vAlign w:val="top"/>
          </w:tcPr>
          <w:p w14:paraId="244378C7">
            <w:pPr>
              <w:rPr>
                <w:rFonts w:ascii="Times New Roman" w:hAnsi="Times New Roman"/>
                <w:color w:val="auto"/>
                <w:highlight w:val="none"/>
              </w:rPr>
            </w:pPr>
          </w:p>
        </w:tc>
        <w:tc>
          <w:tcPr>
            <w:tcW w:w="1184" w:type="dxa"/>
            <w:tcBorders>
              <w:top w:val="single" w:color="000000" w:sz="4" w:space="0"/>
              <w:left w:val="single" w:color="000000" w:sz="4" w:space="0"/>
              <w:bottom w:val="single" w:color="000000" w:sz="4" w:space="0"/>
              <w:right w:val="single" w:color="000000" w:sz="4" w:space="0"/>
            </w:tcBorders>
            <w:noWrap w:val="0"/>
            <w:vAlign w:val="top"/>
          </w:tcPr>
          <w:p w14:paraId="35507669">
            <w:pPr>
              <w:rPr>
                <w:rFonts w:ascii="Times New Roman" w:hAnsi="Times New Roman"/>
                <w:color w:val="auto"/>
                <w:highlight w:val="none"/>
              </w:rPr>
            </w:pPr>
          </w:p>
        </w:tc>
        <w:tc>
          <w:tcPr>
            <w:tcW w:w="2423" w:type="dxa"/>
            <w:tcBorders>
              <w:top w:val="single" w:color="000000" w:sz="4" w:space="0"/>
              <w:left w:val="single" w:color="000000" w:sz="4" w:space="0"/>
              <w:bottom w:val="single" w:color="000000" w:sz="4" w:space="0"/>
              <w:right w:val="single" w:color="000000" w:sz="4" w:space="0"/>
            </w:tcBorders>
            <w:noWrap w:val="0"/>
            <w:vAlign w:val="top"/>
          </w:tcPr>
          <w:p w14:paraId="1301A7BD">
            <w:pPr>
              <w:rPr>
                <w:rFonts w:ascii="Times New Roman" w:hAnsi="Times New Roman"/>
                <w:color w:val="auto"/>
                <w:highlight w:val="none"/>
              </w:rPr>
            </w:pPr>
          </w:p>
        </w:tc>
        <w:tc>
          <w:tcPr>
            <w:tcW w:w="1538" w:type="dxa"/>
            <w:tcBorders>
              <w:top w:val="single" w:color="000000" w:sz="4" w:space="0"/>
              <w:left w:val="single" w:color="000000" w:sz="4" w:space="0"/>
              <w:bottom w:val="single" w:color="000000" w:sz="4" w:space="0"/>
              <w:right w:val="single" w:color="000000" w:sz="4" w:space="0"/>
            </w:tcBorders>
            <w:noWrap w:val="0"/>
            <w:vAlign w:val="top"/>
          </w:tcPr>
          <w:p w14:paraId="7574388C">
            <w:pPr>
              <w:rPr>
                <w:rFonts w:ascii="Times New Roman" w:hAnsi="Times New Roman"/>
                <w:color w:val="auto"/>
                <w:highlight w:val="none"/>
              </w:rPr>
            </w:pPr>
          </w:p>
        </w:tc>
      </w:tr>
      <w:tr w14:paraId="789D937A">
        <w:tblPrEx>
          <w:tblCellMar>
            <w:top w:w="0" w:type="dxa"/>
            <w:left w:w="0" w:type="dxa"/>
            <w:bottom w:w="0" w:type="dxa"/>
            <w:right w:w="0" w:type="dxa"/>
          </w:tblCellMar>
        </w:tblPrEx>
        <w:trPr>
          <w:trHeight w:val="460" w:hRule="exact"/>
        </w:trPr>
        <w:tc>
          <w:tcPr>
            <w:tcW w:w="801" w:type="dxa"/>
            <w:tcBorders>
              <w:top w:val="single" w:color="000000" w:sz="4" w:space="0"/>
              <w:left w:val="single" w:color="000000" w:sz="4" w:space="0"/>
              <w:bottom w:val="single" w:color="000000" w:sz="4" w:space="0"/>
              <w:right w:val="single" w:color="000000" w:sz="4" w:space="0"/>
            </w:tcBorders>
            <w:noWrap w:val="0"/>
            <w:vAlign w:val="top"/>
          </w:tcPr>
          <w:p w14:paraId="76C8A0F0">
            <w:pPr>
              <w:rPr>
                <w:rFonts w:ascii="Times New Roman" w:hAnsi="Times New Roman"/>
                <w:color w:val="auto"/>
                <w:highlight w:val="none"/>
              </w:rPr>
            </w:pPr>
          </w:p>
        </w:tc>
        <w:tc>
          <w:tcPr>
            <w:tcW w:w="1034" w:type="dxa"/>
            <w:tcBorders>
              <w:top w:val="single" w:color="000000" w:sz="4" w:space="0"/>
              <w:left w:val="single" w:color="000000" w:sz="4" w:space="0"/>
              <w:bottom w:val="single" w:color="000000" w:sz="4" w:space="0"/>
              <w:right w:val="single" w:color="000000" w:sz="4" w:space="0"/>
            </w:tcBorders>
            <w:noWrap w:val="0"/>
            <w:vAlign w:val="top"/>
          </w:tcPr>
          <w:p w14:paraId="0136B37E">
            <w:pPr>
              <w:rPr>
                <w:rFonts w:ascii="Times New Roman" w:hAnsi="Times New Roman"/>
                <w:color w:val="auto"/>
                <w:highlight w:val="none"/>
              </w:rPr>
            </w:pPr>
          </w:p>
        </w:tc>
        <w:tc>
          <w:tcPr>
            <w:tcW w:w="866" w:type="dxa"/>
            <w:tcBorders>
              <w:top w:val="single" w:color="000000" w:sz="4" w:space="0"/>
              <w:left w:val="single" w:color="000000" w:sz="4" w:space="0"/>
              <w:bottom w:val="single" w:color="000000" w:sz="4" w:space="0"/>
              <w:right w:val="single" w:color="000000" w:sz="4" w:space="0"/>
            </w:tcBorders>
            <w:noWrap w:val="0"/>
            <w:vAlign w:val="top"/>
          </w:tcPr>
          <w:p w14:paraId="3930F5AD">
            <w:pPr>
              <w:rPr>
                <w:rFonts w:ascii="Times New Roman" w:hAnsi="Times New Roman"/>
                <w:color w:val="auto"/>
                <w:highlight w:val="none"/>
              </w:rPr>
            </w:pPr>
          </w:p>
        </w:tc>
        <w:tc>
          <w:tcPr>
            <w:tcW w:w="884" w:type="dxa"/>
            <w:tcBorders>
              <w:top w:val="single" w:color="000000" w:sz="4" w:space="0"/>
              <w:left w:val="single" w:color="000000" w:sz="4" w:space="0"/>
              <w:bottom w:val="single" w:color="000000" w:sz="4" w:space="0"/>
              <w:right w:val="single" w:color="000000" w:sz="4" w:space="0"/>
            </w:tcBorders>
            <w:noWrap w:val="0"/>
            <w:vAlign w:val="top"/>
          </w:tcPr>
          <w:p w14:paraId="43A870EF">
            <w:pPr>
              <w:rPr>
                <w:rFonts w:ascii="Times New Roman" w:hAnsi="Times New Roman"/>
                <w:color w:val="auto"/>
                <w:highlight w:val="none"/>
              </w:rPr>
            </w:pPr>
          </w:p>
        </w:tc>
        <w:tc>
          <w:tcPr>
            <w:tcW w:w="1266" w:type="dxa"/>
            <w:tcBorders>
              <w:top w:val="single" w:color="000000" w:sz="4" w:space="0"/>
              <w:left w:val="single" w:color="000000" w:sz="4" w:space="0"/>
              <w:bottom w:val="single" w:color="000000" w:sz="4" w:space="0"/>
              <w:right w:val="single" w:color="000000" w:sz="4" w:space="0"/>
            </w:tcBorders>
            <w:noWrap w:val="0"/>
            <w:vAlign w:val="top"/>
          </w:tcPr>
          <w:p w14:paraId="5FDE80AA">
            <w:pPr>
              <w:rPr>
                <w:rFonts w:ascii="Times New Roman" w:hAnsi="Times New Roman"/>
                <w:color w:val="auto"/>
                <w:highlight w:val="none"/>
              </w:rPr>
            </w:pPr>
          </w:p>
        </w:tc>
        <w:tc>
          <w:tcPr>
            <w:tcW w:w="1184" w:type="dxa"/>
            <w:tcBorders>
              <w:top w:val="single" w:color="000000" w:sz="4" w:space="0"/>
              <w:left w:val="single" w:color="000000" w:sz="4" w:space="0"/>
              <w:bottom w:val="single" w:color="000000" w:sz="4" w:space="0"/>
              <w:right w:val="single" w:color="000000" w:sz="4" w:space="0"/>
            </w:tcBorders>
            <w:noWrap w:val="0"/>
            <w:vAlign w:val="top"/>
          </w:tcPr>
          <w:p w14:paraId="0DB34223">
            <w:pPr>
              <w:rPr>
                <w:rFonts w:ascii="Times New Roman" w:hAnsi="Times New Roman"/>
                <w:color w:val="auto"/>
                <w:highlight w:val="none"/>
              </w:rPr>
            </w:pPr>
          </w:p>
        </w:tc>
        <w:tc>
          <w:tcPr>
            <w:tcW w:w="2423" w:type="dxa"/>
            <w:tcBorders>
              <w:top w:val="single" w:color="000000" w:sz="4" w:space="0"/>
              <w:left w:val="single" w:color="000000" w:sz="4" w:space="0"/>
              <w:bottom w:val="single" w:color="000000" w:sz="4" w:space="0"/>
              <w:right w:val="single" w:color="000000" w:sz="4" w:space="0"/>
            </w:tcBorders>
            <w:noWrap w:val="0"/>
            <w:vAlign w:val="top"/>
          </w:tcPr>
          <w:p w14:paraId="2FE6C7FE">
            <w:pPr>
              <w:rPr>
                <w:rFonts w:ascii="Times New Roman" w:hAnsi="Times New Roman"/>
                <w:color w:val="auto"/>
                <w:highlight w:val="none"/>
              </w:rPr>
            </w:pPr>
          </w:p>
        </w:tc>
        <w:tc>
          <w:tcPr>
            <w:tcW w:w="1538" w:type="dxa"/>
            <w:tcBorders>
              <w:top w:val="single" w:color="000000" w:sz="4" w:space="0"/>
              <w:left w:val="single" w:color="000000" w:sz="4" w:space="0"/>
              <w:bottom w:val="single" w:color="000000" w:sz="4" w:space="0"/>
              <w:right w:val="single" w:color="000000" w:sz="4" w:space="0"/>
            </w:tcBorders>
            <w:noWrap w:val="0"/>
            <w:vAlign w:val="top"/>
          </w:tcPr>
          <w:p w14:paraId="089C8B66">
            <w:pPr>
              <w:rPr>
                <w:rFonts w:ascii="Times New Roman" w:hAnsi="Times New Roman"/>
                <w:color w:val="auto"/>
                <w:highlight w:val="none"/>
              </w:rPr>
            </w:pPr>
          </w:p>
        </w:tc>
      </w:tr>
      <w:tr w14:paraId="1E1EBE3F">
        <w:tblPrEx>
          <w:tblCellMar>
            <w:top w:w="0" w:type="dxa"/>
            <w:left w:w="0" w:type="dxa"/>
            <w:bottom w:w="0" w:type="dxa"/>
            <w:right w:w="0" w:type="dxa"/>
          </w:tblCellMar>
        </w:tblPrEx>
        <w:trPr>
          <w:trHeight w:val="460" w:hRule="exact"/>
        </w:trPr>
        <w:tc>
          <w:tcPr>
            <w:tcW w:w="801" w:type="dxa"/>
            <w:tcBorders>
              <w:top w:val="single" w:color="000000" w:sz="4" w:space="0"/>
              <w:left w:val="single" w:color="000000" w:sz="4" w:space="0"/>
              <w:bottom w:val="single" w:color="000000" w:sz="4" w:space="0"/>
              <w:right w:val="single" w:color="000000" w:sz="4" w:space="0"/>
            </w:tcBorders>
            <w:noWrap w:val="0"/>
            <w:vAlign w:val="top"/>
          </w:tcPr>
          <w:p w14:paraId="4AD2D506">
            <w:pPr>
              <w:rPr>
                <w:rFonts w:ascii="Times New Roman" w:hAnsi="Times New Roman"/>
                <w:color w:val="auto"/>
                <w:highlight w:val="none"/>
              </w:rPr>
            </w:pPr>
          </w:p>
        </w:tc>
        <w:tc>
          <w:tcPr>
            <w:tcW w:w="1034" w:type="dxa"/>
            <w:tcBorders>
              <w:top w:val="single" w:color="000000" w:sz="4" w:space="0"/>
              <w:left w:val="single" w:color="000000" w:sz="4" w:space="0"/>
              <w:bottom w:val="single" w:color="000000" w:sz="4" w:space="0"/>
              <w:right w:val="single" w:color="000000" w:sz="4" w:space="0"/>
            </w:tcBorders>
            <w:noWrap w:val="0"/>
            <w:vAlign w:val="top"/>
          </w:tcPr>
          <w:p w14:paraId="3C58633F">
            <w:pPr>
              <w:rPr>
                <w:rFonts w:ascii="Times New Roman" w:hAnsi="Times New Roman"/>
                <w:color w:val="auto"/>
                <w:highlight w:val="none"/>
              </w:rPr>
            </w:pPr>
          </w:p>
        </w:tc>
        <w:tc>
          <w:tcPr>
            <w:tcW w:w="866" w:type="dxa"/>
            <w:tcBorders>
              <w:top w:val="single" w:color="000000" w:sz="4" w:space="0"/>
              <w:left w:val="single" w:color="000000" w:sz="4" w:space="0"/>
              <w:bottom w:val="single" w:color="000000" w:sz="4" w:space="0"/>
              <w:right w:val="single" w:color="000000" w:sz="4" w:space="0"/>
            </w:tcBorders>
            <w:noWrap w:val="0"/>
            <w:vAlign w:val="top"/>
          </w:tcPr>
          <w:p w14:paraId="361ED12D">
            <w:pPr>
              <w:rPr>
                <w:rFonts w:ascii="Times New Roman" w:hAnsi="Times New Roman"/>
                <w:color w:val="auto"/>
                <w:highlight w:val="none"/>
              </w:rPr>
            </w:pPr>
          </w:p>
        </w:tc>
        <w:tc>
          <w:tcPr>
            <w:tcW w:w="884" w:type="dxa"/>
            <w:tcBorders>
              <w:top w:val="single" w:color="000000" w:sz="4" w:space="0"/>
              <w:left w:val="single" w:color="000000" w:sz="4" w:space="0"/>
              <w:bottom w:val="single" w:color="000000" w:sz="4" w:space="0"/>
              <w:right w:val="single" w:color="000000" w:sz="4" w:space="0"/>
            </w:tcBorders>
            <w:noWrap w:val="0"/>
            <w:vAlign w:val="top"/>
          </w:tcPr>
          <w:p w14:paraId="43CBB8D4">
            <w:pPr>
              <w:rPr>
                <w:rFonts w:ascii="Times New Roman" w:hAnsi="Times New Roman"/>
                <w:color w:val="auto"/>
                <w:highlight w:val="none"/>
              </w:rPr>
            </w:pPr>
          </w:p>
        </w:tc>
        <w:tc>
          <w:tcPr>
            <w:tcW w:w="1266" w:type="dxa"/>
            <w:tcBorders>
              <w:top w:val="single" w:color="000000" w:sz="4" w:space="0"/>
              <w:left w:val="single" w:color="000000" w:sz="4" w:space="0"/>
              <w:bottom w:val="single" w:color="000000" w:sz="4" w:space="0"/>
              <w:right w:val="single" w:color="000000" w:sz="4" w:space="0"/>
            </w:tcBorders>
            <w:noWrap w:val="0"/>
            <w:vAlign w:val="top"/>
          </w:tcPr>
          <w:p w14:paraId="666EAB3C">
            <w:pPr>
              <w:rPr>
                <w:rFonts w:ascii="Times New Roman" w:hAnsi="Times New Roman"/>
                <w:color w:val="auto"/>
                <w:highlight w:val="none"/>
              </w:rPr>
            </w:pPr>
          </w:p>
        </w:tc>
        <w:tc>
          <w:tcPr>
            <w:tcW w:w="1184" w:type="dxa"/>
            <w:tcBorders>
              <w:top w:val="single" w:color="000000" w:sz="4" w:space="0"/>
              <w:left w:val="single" w:color="000000" w:sz="4" w:space="0"/>
              <w:bottom w:val="single" w:color="000000" w:sz="4" w:space="0"/>
              <w:right w:val="single" w:color="000000" w:sz="4" w:space="0"/>
            </w:tcBorders>
            <w:noWrap w:val="0"/>
            <w:vAlign w:val="top"/>
          </w:tcPr>
          <w:p w14:paraId="57DB8B72">
            <w:pPr>
              <w:rPr>
                <w:rFonts w:ascii="Times New Roman" w:hAnsi="Times New Roman"/>
                <w:color w:val="auto"/>
                <w:highlight w:val="none"/>
              </w:rPr>
            </w:pPr>
          </w:p>
        </w:tc>
        <w:tc>
          <w:tcPr>
            <w:tcW w:w="2423" w:type="dxa"/>
            <w:tcBorders>
              <w:top w:val="single" w:color="000000" w:sz="4" w:space="0"/>
              <w:left w:val="single" w:color="000000" w:sz="4" w:space="0"/>
              <w:bottom w:val="single" w:color="000000" w:sz="4" w:space="0"/>
              <w:right w:val="single" w:color="000000" w:sz="4" w:space="0"/>
            </w:tcBorders>
            <w:noWrap w:val="0"/>
            <w:vAlign w:val="top"/>
          </w:tcPr>
          <w:p w14:paraId="3ED68B7F">
            <w:pPr>
              <w:rPr>
                <w:rFonts w:ascii="Times New Roman" w:hAnsi="Times New Roman"/>
                <w:color w:val="auto"/>
                <w:highlight w:val="none"/>
              </w:rPr>
            </w:pPr>
          </w:p>
        </w:tc>
        <w:tc>
          <w:tcPr>
            <w:tcW w:w="1538" w:type="dxa"/>
            <w:tcBorders>
              <w:top w:val="single" w:color="000000" w:sz="4" w:space="0"/>
              <w:left w:val="single" w:color="000000" w:sz="4" w:space="0"/>
              <w:bottom w:val="single" w:color="000000" w:sz="4" w:space="0"/>
              <w:right w:val="single" w:color="000000" w:sz="4" w:space="0"/>
            </w:tcBorders>
            <w:noWrap w:val="0"/>
            <w:vAlign w:val="top"/>
          </w:tcPr>
          <w:p w14:paraId="098A6AA8">
            <w:pPr>
              <w:rPr>
                <w:rFonts w:ascii="Times New Roman" w:hAnsi="Times New Roman"/>
                <w:color w:val="auto"/>
                <w:highlight w:val="none"/>
              </w:rPr>
            </w:pPr>
          </w:p>
        </w:tc>
      </w:tr>
      <w:tr w14:paraId="57B7EA88">
        <w:tblPrEx>
          <w:tblCellMar>
            <w:top w:w="0" w:type="dxa"/>
            <w:left w:w="0" w:type="dxa"/>
            <w:bottom w:w="0" w:type="dxa"/>
            <w:right w:w="0" w:type="dxa"/>
          </w:tblCellMar>
        </w:tblPrEx>
        <w:trPr>
          <w:trHeight w:val="460" w:hRule="exact"/>
        </w:trPr>
        <w:tc>
          <w:tcPr>
            <w:tcW w:w="801" w:type="dxa"/>
            <w:tcBorders>
              <w:top w:val="single" w:color="000000" w:sz="4" w:space="0"/>
              <w:left w:val="single" w:color="000000" w:sz="4" w:space="0"/>
              <w:bottom w:val="single" w:color="000000" w:sz="4" w:space="0"/>
              <w:right w:val="single" w:color="000000" w:sz="4" w:space="0"/>
            </w:tcBorders>
            <w:noWrap w:val="0"/>
            <w:vAlign w:val="top"/>
          </w:tcPr>
          <w:p w14:paraId="1FBB6828">
            <w:pPr>
              <w:rPr>
                <w:rFonts w:ascii="Times New Roman" w:hAnsi="Times New Roman"/>
                <w:color w:val="auto"/>
                <w:highlight w:val="none"/>
              </w:rPr>
            </w:pPr>
          </w:p>
        </w:tc>
        <w:tc>
          <w:tcPr>
            <w:tcW w:w="1034" w:type="dxa"/>
            <w:tcBorders>
              <w:top w:val="single" w:color="000000" w:sz="4" w:space="0"/>
              <w:left w:val="single" w:color="000000" w:sz="4" w:space="0"/>
              <w:bottom w:val="single" w:color="000000" w:sz="4" w:space="0"/>
              <w:right w:val="single" w:color="000000" w:sz="4" w:space="0"/>
            </w:tcBorders>
            <w:noWrap w:val="0"/>
            <w:vAlign w:val="top"/>
          </w:tcPr>
          <w:p w14:paraId="6379CC68">
            <w:pPr>
              <w:rPr>
                <w:rFonts w:ascii="Times New Roman" w:hAnsi="Times New Roman"/>
                <w:color w:val="auto"/>
                <w:highlight w:val="none"/>
              </w:rPr>
            </w:pPr>
          </w:p>
        </w:tc>
        <w:tc>
          <w:tcPr>
            <w:tcW w:w="866" w:type="dxa"/>
            <w:tcBorders>
              <w:top w:val="single" w:color="000000" w:sz="4" w:space="0"/>
              <w:left w:val="single" w:color="000000" w:sz="4" w:space="0"/>
              <w:bottom w:val="single" w:color="000000" w:sz="4" w:space="0"/>
              <w:right w:val="single" w:color="000000" w:sz="4" w:space="0"/>
            </w:tcBorders>
            <w:noWrap w:val="0"/>
            <w:vAlign w:val="top"/>
          </w:tcPr>
          <w:p w14:paraId="49622502">
            <w:pPr>
              <w:rPr>
                <w:rFonts w:ascii="Times New Roman" w:hAnsi="Times New Roman"/>
                <w:color w:val="auto"/>
                <w:highlight w:val="none"/>
              </w:rPr>
            </w:pPr>
          </w:p>
        </w:tc>
        <w:tc>
          <w:tcPr>
            <w:tcW w:w="884" w:type="dxa"/>
            <w:tcBorders>
              <w:top w:val="single" w:color="000000" w:sz="4" w:space="0"/>
              <w:left w:val="single" w:color="000000" w:sz="4" w:space="0"/>
              <w:bottom w:val="single" w:color="000000" w:sz="4" w:space="0"/>
              <w:right w:val="single" w:color="000000" w:sz="4" w:space="0"/>
            </w:tcBorders>
            <w:noWrap w:val="0"/>
            <w:vAlign w:val="top"/>
          </w:tcPr>
          <w:p w14:paraId="7BA73AD0">
            <w:pPr>
              <w:rPr>
                <w:rFonts w:ascii="Times New Roman" w:hAnsi="Times New Roman"/>
                <w:color w:val="auto"/>
                <w:highlight w:val="none"/>
              </w:rPr>
            </w:pPr>
          </w:p>
        </w:tc>
        <w:tc>
          <w:tcPr>
            <w:tcW w:w="1266" w:type="dxa"/>
            <w:tcBorders>
              <w:top w:val="single" w:color="000000" w:sz="4" w:space="0"/>
              <w:left w:val="single" w:color="000000" w:sz="4" w:space="0"/>
              <w:bottom w:val="single" w:color="000000" w:sz="4" w:space="0"/>
              <w:right w:val="single" w:color="000000" w:sz="4" w:space="0"/>
            </w:tcBorders>
            <w:noWrap w:val="0"/>
            <w:vAlign w:val="top"/>
          </w:tcPr>
          <w:p w14:paraId="71A56CA5">
            <w:pPr>
              <w:rPr>
                <w:rFonts w:ascii="Times New Roman" w:hAnsi="Times New Roman"/>
                <w:color w:val="auto"/>
                <w:highlight w:val="none"/>
              </w:rPr>
            </w:pPr>
          </w:p>
        </w:tc>
        <w:tc>
          <w:tcPr>
            <w:tcW w:w="1184" w:type="dxa"/>
            <w:tcBorders>
              <w:top w:val="single" w:color="000000" w:sz="4" w:space="0"/>
              <w:left w:val="single" w:color="000000" w:sz="4" w:space="0"/>
              <w:bottom w:val="single" w:color="000000" w:sz="4" w:space="0"/>
              <w:right w:val="single" w:color="000000" w:sz="4" w:space="0"/>
            </w:tcBorders>
            <w:noWrap w:val="0"/>
            <w:vAlign w:val="top"/>
          </w:tcPr>
          <w:p w14:paraId="33AA4E0F">
            <w:pPr>
              <w:rPr>
                <w:rFonts w:ascii="Times New Roman" w:hAnsi="Times New Roman"/>
                <w:color w:val="auto"/>
                <w:highlight w:val="none"/>
              </w:rPr>
            </w:pPr>
          </w:p>
        </w:tc>
        <w:tc>
          <w:tcPr>
            <w:tcW w:w="2423" w:type="dxa"/>
            <w:tcBorders>
              <w:top w:val="single" w:color="000000" w:sz="4" w:space="0"/>
              <w:left w:val="single" w:color="000000" w:sz="4" w:space="0"/>
              <w:bottom w:val="single" w:color="000000" w:sz="4" w:space="0"/>
              <w:right w:val="single" w:color="000000" w:sz="4" w:space="0"/>
            </w:tcBorders>
            <w:noWrap w:val="0"/>
            <w:vAlign w:val="top"/>
          </w:tcPr>
          <w:p w14:paraId="4D17E01D">
            <w:pPr>
              <w:rPr>
                <w:rFonts w:ascii="Times New Roman" w:hAnsi="Times New Roman"/>
                <w:color w:val="auto"/>
                <w:highlight w:val="none"/>
              </w:rPr>
            </w:pPr>
          </w:p>
        </w:tc>
        <w:tc>
          <w:tcPr>
            <w:tcW w:w="1538" w:type="dxa"/>
            <w:tcBorders>
              <w:top w:val="single" w:color="000000" w:sz="4" w:space="0"/>
              <w:left w:val="single" w:color="000000" w:sz="4" w:space="0"/>
              <w:bottom w:val="single" w:color="000000" w:sz="4" w:space="0"/>
              <w:right w:val="single" w:color="000000" w:sz="4" w:space="0"/>
            </w:tcBorders>
            <w:noWrap w:val="0"/>
            <w:vAlign w:val="top"/>
          </w:tcPr>
          <w:p w14:paraId="39C07B97">
            <w:pPr>
              <w:rPr>
                <w:rFonts w:ascii="Times New Roman" w:hAnsi="Times New Roman"/>
                <w:color w:val="auto"/>
                <w:highlight w:val="none"/>
              </w:rPr>
            </w:pPr>
          </w:p>
        </w:tc>
      </w:tr>
      <w:tr w14:paraId="05E1F9A0">
        <w:tblPrEx>
          <w:tblCellMar>
            <w:top w:w="0" w:type="dxa"/>
            <w:left w:w="0" w:type="dxa"/>
            <w:bottom w:w="0" w:type="dxa"/>
            <w:right w:w="0" w:type="dxa"/>
          </w:tblCellMar>
        </w:tblPrEx>
        <w:trPr>
          <w:trHeight w:val="462" w:hRule="exact"/>
        </w:trPr>
        <w:tc>
          <w:tcPr>
            <w:tcW w:w="801" w:type="dxa"/>
            <w:tcBorders>
              <w:top w:val="single" w:color="000000" w:sz="4" w:space="0"/>
              <w:left w:val="single" w:color="000000" w:sz="4" w:space="0"/>
              <w:bottom w:val="single" w:color="000000" w:sz="4" w:space="0"/>
              <w:right w:val="single" w:color="000000" w:sz="4" w:space="0"/>
            </w:tcBorders>
            <w:noWrap w:val="0"/>
            <w:vAlign w:val="top"/>
          </w:tcPr>
          <w:p w14:paraId="7E6854F2">
            <w:pPr>
              <w:rPr>
                <w:rFonts w:ascii="Times New Roman" w:hAnsi="Times New Roman"/>
                <w:color w:val="auto"/>
                <w:highlight w:val="none"/>
              </w:rPr>
            </w:pPr>
          </w:p>
        </w:tc>
        <w:tc>
          <w:tcPr>
            <w:tcW w:w="1034" w:type="dxa"/>
            <w:tcBorders>
              <w:top w:val="single" w:color="000000" w:sz="4" w:space="0"/>
              <w:left w:val="single" w:color="000000" w:sz="4" w:space="0"/>
              <w:bottom w:val="single" w:color="000000" w:sz="4" w:space="0"/>
              <w:right w:val="single" w:color="000000" w:sz="4" w:space="0"/>
            </w:tcBorders>
            <w:noWrap w:val="0"/>
            <w:vAlign w:val="top"/>
          </w:tcPr>
          <w:p w14:paraId="639F2E96">
            <w:pPr>
              <w:rPr>
                <w:rFonts w:ascii="Times New Roman" w:hAnsi="Times New Roman"/>
                <w:color w:val="auto"/>
                <w:highlight w:val="none"/>
              </w:rPr>
            </w:pPr>
          </w:p>
        </w:tc>
        <w:tc>
          <w:tcPr>
            <w:tcW w:w="866" w:type="dxa"/>
            <w:tcBorders>
              <w:top w:val="single" w:color="000000" w:sz="4" w:space="0"/>
              <w:left w:val="single" w:color="000000" w:sz="4" w:space="0"/>
              <w:bottom w:val="single" w:color="000000" w:sz="4" w:space="0"/>
              <w:right w:val="single" w:color="000000" w:sz="4" w:space="0"/>
            </w:tcBorders>
            <w:noWrap w:val="0"/>
            <w:vAlign w:val="top"/>
          </w:tcPr>
          <w:p w14:paraId="2AAAE1FA">
            <w:pPr>
              <w:rPr>
                <w:rFonts w:ascii="Times New Roman" w:hAnsi="Times New Roman"/>
                <w:color w:val="auto"/>
                <w:highlight w:val="none"/>
              </w:rPr>
            </w:pPr>
          </w:p>
        </w:tc>
        <w:tc>
          <w:tcPr>
            <w:tcW w:w="884" w:type="dxa"/>
            <w:tcBorders>
              <w:top w:val="single" w:color="000000" w:sz="4" w:space="0"/>
              <w:left w:val="single" w:color="000000" w:sz="4" w:space="0"/>
              <w:bottom w:val="single" w:color="000000" w:sz="4" w:space="0"/>
              <w:right w:val="single" w:color="000000" w:sz="4" w:space="0"/>
            </w:tcBorders>
            <w:noWrap w:val="0"/>
            <w:vAlign w:val="top"/>
          </w:tcPr>
          <w:p w14:paraId="75E09394">
            <w:pPr>
              <w:rPr>
                <w:rFonts w:ascii="Times New Roman" w:hAnsi="Times New Roman"/>
                <w:color w:val="auto"/>
                <w:highlight w:val="none"/>
              </w:rPr>
            </w:pPr>
          </w:p>
        </w:tc>
        <w:tc>
          <w:tcPr>
            <w:tcW w:w="1266" w:type="dxa"/>
            <w:tcBorders>
              <w:top w:val="single" w:color="000000" w:sz="4" w:space="0"/>
              <w:left w:val="single" w:color="000000" w:sz="4" w:space="0"/>
              <w:bottom w:val="single" w:color="000000" w:sz="4" w:space="0"/>
              <w:right w:val="single" w:color="000000" w:sz="4" w:space="0"/>
            </w:tcBorders>
            <w:noWrap w:val="0"/>
            <w:vAlign w:val="top"/>
          </w:tcPr>
          <w:p w14:paraId="053B10C5">
            <w:pPr>
              <w:rPr>
                <w:rFonts w:ascii="Times New Roman" w:hAnsi="Times New Roman"/>
                <w:color w:val="auto"/>
                <w:highlight w:val="none"/>
              </w:rPr>
            </w:pPr>
          </w:p>
        </w:tc>
        <w:tc>
          <w:tcPr>
            <w:tcW w:w="1184" w:type="dxa"/>
            <w:tcBorders>
              <w:top w:val="single" w:color="000000" w:sz="4" w:space="0"/>
              <w:left w:val="single" w:color="000000" w:sz="4" w:space="0"/>
              <w:bottom w:val="single" w:color="000000" w:sz="4" w:space="0"/>
              <w:right w:val="single" w:color="000000" w:sz="4" w:space="0"/>
            </w:tcBorders>
            <w:noWrap w:val="0"/>
            <w:vAlign w:val="top"/>
          </w:tcPr>
          <w:p w14:paraId="61053284">
            <w:pPr>
              <w:rPr>
                <w:rFonts w:ascii="Times New Roman" w:hAnsi="Times New Roman"/>
                <w:color w:val="auto"/>
                <w:highlight w:val="none"/>
              </w:rPr>
            </w:pPr>
          </w:p>
        </w:tc>
        <w:tc>
          <w:tcPr>
            <w:tcW w:w="2423" w:type="dxa"/>
            <w:tcBorders>
              <w:top w:val="single" w:color="000000" w:sz="4" w:space="0"/>
              <w:left w:val="single" w:color="000000" w:sz="4" w:space="0"/>
              <w:bottom w:val="single" w:color="000000" w:sz="4" w:space="0"/>
              <w:right w:val="single" w:color="000000" w:sz="4" w:space="0"/>
            </w:tcBorders>
            <w:noWrap w:val="0"/>
            <w:vAlign w:val="top"/>
          </w:tcPr>
          <w:p w14:paraId="2B03805B">
            <w:pPr>
              <w:rPr>
                <w:rFonts w:ascii="Times New Roman" w:hAnsi="Times New Roman"/>
                <w:color w:val="auto"/>
                <w:highlight w:val="none"/>
              </w:rPr>
            </w:pPr>
          </w:p>
        </w:tc>
        <w:tc>
          <w:tcPr>
            <w:tcW w:w="1538" w:type="dxa"/>
            <w:tcBorders>
              <w:top w:val="single" w:color="000000" w:sz="4" w:space="0"/>
              <w:left w:val="single" w:color="000000" w:sz="4" w:space="0"/>
              <w:bottom w:val="single" w:color="000000" w:sz="4" w:space="0"/>
              <w:right w:val="single" w:color="000000" w:sz="4" w:space="0"/>
            </w:tcBorders>
            <w:noWrap w:val="0"/>
            <w:vAlign w:val="top"/>
          </w:tcPr>
          <w:p w14:paraId="56ADA2EE">
            <w:pPr>
              <w:rPr>
                <w:rFonts w:ascii="Times New Roman" w:hAnsi="Times New Roman"/>
                <w:color w:val="auto"/>
                <w:highlight w:val="none"/>
              </w:rPr>
            </w:pPr>
          </w:p>
        </w:tc>
      </w:tr>
      <w:tr w14:paraId="556911EC">
        <w:tblPrEx>
          <w:tblCellMar>
            <w:top w:w="0" w:type="dxa"/>
            <w:left w:w="0" w:type="dxa"/>
            <w:bottom w:w="0" w:type="dxa"/>
            <w:right w:w="0" w:type="dxa"/>
          </w:tblCellMar>
        </w:tblPrEx>
        <w:trPr>
          <w:trHeight w:val="474" w:hRule="exact"/>
        </w:trPr>
        <w:tc>
          <w:tcPr>
            <w:tcW w:w="801" w:type="dxa"/>
            <w:tcBorders>
              <w:top w:val="single" w:color="000000" w:sz="4" w:space="0"/>
              <w:left w:val="single" w:color="000000" w:sz="4" w:space="0"/>
              <w:bottom w:val="single" w:color="000000" w:sz="4" w:space="0"/>
              <w:right w:val="single" w:color="000000" w:sz="4" w:space="0"/>
            </w:tcBorders>
            <w:noWrap w:val="0"/>
            <w:vAlign w:val="top"/>
          </w:tcPr>
          <w:p w14:paraId="193B0BBF">
            <w:pPr>
              <w:rPr>
                <w:rFonts w:ascii="Times New Roman" w:hAnsi="Times New Roman"/>
                <w:color w:val="auto"/>
                <w:highlight w:val="none"/>
              </w:rPr>
            </w:pPr>
          </w:p>
        </w:tc>
        <w:tc>
          <w:tcPr>
            <w:tcW w:w="1034" w:type="dxa"/>
            <w:tcBorders>
              <w:top w:val="single" w:color="000000" w:sz="4" w:space="0"/>
              <w:left w:val="single" w:color="000000" w:sz="4" w:space="0"/>
              <w:bottom w:val="single" w:color="000000" w:sz="4" w:space="0"/>
              <w:right w:val="single" w:color="000000" w:sz="4" w:space="0"/>
            </w:tcBorders>
            <w:noWrap w:val="0"/>
            <w:vAlign w:val="top"/>
          </w:tcPr>
          <w:p w14:paraId="44D3E0CE">
            <w:pPr>
              <w:rPr>
                <w:rFonts w:ascii="Times New Roman" w:hAnsi="Times New Roman"/>
                <w:color w:val="auto"/>
                <w:highlight w:val="none"/>
              </w:rPr>
            </w:pPr>
          </w:p>
        </w:tc>
        <w:tc>
          <w:tcPr>
            <w:tcW w:w="866" w:type="dxa"/>
            <w:tcBorders>
              <w:top w:val="single" w:color="000000" w:sz="4" w:space="0"/>
              <w:left w:val="single" w:color="000000" w:sz="4" w:space="0"/>
              <w:bottom w:val="single" w:color="000000" w:sz="4" w:space="0"/>
              <w:right w:val="single" w:color="000000" w:sz="4" w:space="0"/>
            </w:tcBorders>
            <w:noWrap w:val="0"/>
            <w:vAlign w:val="top"/>
          </w:tcPr>
          <w:p w14:paraId="0BD46ABF">
            <w:pPr>
              <w:rPr>
                <w:rFonts w:ascii="Times New Roman" w:hAnsi="Times New Roman"/>
                <w:color w:val="auto"/>
                <w:highlight w:val="none"/>
              </w:rPr>
            </w:pPr>
          </w:p>
        </w:tc>
        <w:tc>
          <w:tcPr>
            <w:tcW w:w="884" w:type="dxa"/>
            <w:tcBorders>
              <w:top w:val="single" w:color="000000" w:sz="4" w:space="0"/>
              <w:left w:val="single" w:color="000000" w:sz="4" w:space="0"/>
              <w:bottom w:val="single" w:color="000000" w:sz="4" w:space="0"/>
              <w:right w:val="single" w:color="000000" w:sz="4" w:space="0"/>
            </w:tcBorders>
            <w:noWrap w:val="0"/>
            <w:vAlign w:val="top"/>
          </w:tcPr>
          <w:p w14:paraId="2F744BAA">
            <w:pPr>
              <w:rPr>
                <w:rFonts w:ascii="Times New Roman" w:hAnsi="Times New Roman"/>
                <w:color w:val="auto"/>
                <w:highlight w:val="none"/>
              </w:rPr>
            </w:pPr>
          </w:p>
        </w:tc>
        <w:tc>
          <w:tcPr>
            <w:tcW w:w="1266" w:type="dxa"/>
            <w:tcBorders>
              <w:top w:val="single" w:color="000000" w:sz="4" w:space="0"/>
              <w:left w:val="single" w:color="000000" w:sz="4" w:space="0"/>
              <w:bottom w:val="single" w:color="000000" w:sz="4" w:space="0"/>
              <w:right w:val="single" w:color="000000" w:sz="4" w:space="0"/>
            </w:tcBorders>
            <w:noWrap w:val="0"/>
            <w:vAlign w:val="top"/>
          </w:tcPr>
          <w:p w14:paraId="50DD8F1D">
            <w:pPr>
              <w:rPr>
                <w:rFonts w:ascii="Times New Roman" w:hAnsi="Times New Roman"/>
                <w:color w:val="auto"/>
                <w:highlight w:val="none"/>
              </w:rPr>
            </w:pPr>
          </w:p>
        </w:tc>
        <w:tc>
          <w:tcPr>
            <w:tcW w:w="1184" w:type="dxa"/>
            <w:tcBorders>
              <w:top w:val="single" w:color="000000" w:sz="4" w:space="0"/>
              <w:left w:val="single" w:color="000000" w:sz="4" w:space="0"/>
              <w:bottom w:val="single" w:color="000000" w:sz="4" w:space="0"/>
              <w:right w:val="single" w:color="000000" w:sz="4" w:space="0"/>
            </w:tcBorders>
            <w:noWrap w:val="0"/>
            <w:vAlign w:val="top"/>
          </w:tcPr>
          <w:p w14:paraId="077C0703">
            <w:pPr>
              <w:rPr>
                <w:rFonts w:ascii="Times New Roman" w:hAnsi="Times New Roman"/>
                <w:color w:val="auto"/>
                <w:highlight w:val="none"/>
              </w:rPr>
            </w:pPr>
          </w:p>
        </w:tc>
        <w:tc>
          <w:tcPr>
            <w:tcW w:w="2423" w:type="dxa"/>
            <w:tcBorders>
              <w:top w:val="single" w:color="000000" w:sz="4" w:space="0"/>
              <w:left w:val="single" w:color="000000" w:sz="4" w:space="0"/>
              <w:bottom w:val="single" w:color="000000" w:sz="4" w:space="0"/>
              <w:right w:val="single" w:color="000000" w:sz="4" w:space="0"/>
            </w:tcBorders>
            <w:noWrap w:val="0"/>
            <w:vAlign w:val="top"/>
          </w:tcPr>
          <w:p w14:paraId="0254E516">
            <w:pPr>
              <w:rPr>
                <w:rFonts w:ascii="Times New Roman" w:hAnsi="Times New Roman"/>
                <w:color w:val="auto"/>
                <w:highlight w:val="none"/>
              </w:rPr>
            </w:pPr>
          </w:p>
        </w:tc>
        <w:tc>
          <w:tcPr>
            <w:tcW w:w="1538" w:type="dxa"/>
            <w:tcBorders>
              <w:top w:val="single" w:color="000000" w:sz="4" w:space="0"/>
              <w:left w:val="single" w:color="000000" w:sz="4" w:space="0"/>
              <w:bottom w:val="single" w:color="000000" w:sz="4" w:space="0"/>
              <w:right w:val="single" w:color="000000" w:sz="4" w:space="0"/>
            </w:tcBorders>
            <w:noWrap w:val="0"/>
            <w:vAlign w:val="top"/>
          </w:tcPr>
          <w:p w14:paraId="7013A4F9">
            <w:pPr>
              <w:rPr>
                <w:rFonts w:ascii="Times New Roman" w:hAnsi="Times New Roman"/>
                <w:color w:val="auto"/>
                <w:highlight w:val="none"/>
              </w:rPr>
            </w:pPr>
          </w:p>
        </w:tc>
      </w:tr>
    </w:tbl>
    <w:p w14:paraId="426E0539">
      <w:pPr>
        <w:snapToGrid w:val="0"/>
        <w:spacing w:after="145" w:afterLines="50" w:line="400" w:lineRule="exact"/>
        <w:ind w:left="420" w:hanging="420" w:hangingChars="200"/>
        <w:rPr>
          <w:rFonts w:hint="eastAsia" w:hAnsi="宋体"/>
          <w:color w:val="auto"/>
          <w:sz w:val="21"/>
          <w:szCs w:val="21"/>
          <w:highlight w:val="none"/>
        </w:rPr>
      </w:pPr>
    </w:p>
    <w:p w14:paraId="7DD7DF5C">
      <w:pPr>
        <w:snapToGrid w:val="0"/>
        <w:spacing w:after="145" w:afterLines="50" w:line="400" w:lineRule="exact"/>
        <w:ind w:left="420" w:hanging="420" w:hangingChars="200"/>
        <w:rPr>
          <w:rFonts w:hint="eastAsia" w:hAnsi="宋体"/>
          <w:color w:val="auto"/>
          <w:sz w:val="21"/>
          <w:szCs w:val="21"/>
          <w:highlight w:val="none"/>
        </w:rPr>
      </w:pPr>
    </w:p>
    <w:p w14:paraId="475BEA02">
      <w:pPr>
        <w:snapToGrid w:val="0"/>
        <w:spacing w:after="145" w:afterLines="50" w:line="400" w:lineRule="exact"/>
        <w:ind w:left="420" w:hanging="420" w:hangingChars="200"/>
        <w:rPr>
          <w:rFonts w:hAnsi="宋体"/>
          <w:color w:val="auto"/>
          <w:sz w:val="21"/>
          <w:szCs w:val="21"/>
          <w:highlight w:val="none"/>
        </w:rPr>
      </w:pPr>
      <w:r>
        <w:rPr>
          <w:rFonts w:hint="eastAsia" w:hAnsi="宋体"/>
          <w:color w:val="auto"/>
          <w:sz w:val="21"/>
          <w:szCs w:val="21"/>
          <w:highlight w:val="none"/>
        </w:rPr>
        <w:t>注：附</w:t>
      </w:r>
      <w:r>
        <w:rPr>
          <w:rFonts w:hint="eastAsia" w:hAnsi="宋体" w:eastAsia="宋体"/>
          <w:color w:val="auto"/>
          <w:sz w:val="21"/>
          <w:szCs w:val="21"/>
          <w:highlight w:val="none"/>
          <w:lang w:val="en-US" w:eastAsia="zh-CN"/>
        </w:rPr>
        <w:t>服务</w:t>
      </w:r>
      <w:r>
        <w:rPr>
          <w:rFonts w:hint="eastAsia" w:hAnsi="宋体"/>
          <w:color w:val="auto"/>
          <w:sz w:val="21"/>
          <w:szCs w:val="21"/>
          <w:highlight w:val="none"/>
        </w:rPr>
        <w:t>人员相关资格证书</w:t>
      </w:r>
      <w:r>
        <w:rPr>
          <w:rFonts w:hint="eastAsia" w:hAnsi="宋体" w:eastAsia="宋体"/>
          <w:color w:val="auto"/>
          <w:sz w:val="21"/>
          <w:szCs w:val="21"/>
          <w:highlight w:val="none"/>
          <w:lang w:val="en-US" w:eastAsia="zh-CN"/>
        </w:rPr>
        <w:t>扫描件</w:t>
      </w:r>
      <w:r>
        <w:rPr>
          <w:rFonts w:hint="eastAsia" w:hAnsi="宋体"/>
          <w:color w:val="auto"/>
          <w:sz w:val="21"/>
          <w:szCs w:val="21"/>
          <w:highlight w:val="none"/>
        </w:rPr>
        <w:t>。</w:t>
      </w:r>
    </w:p>
    <w:p w14:paraId="0F11FE6A">
      <w:pPr>
        <w:spacing w:line="400" w:lineRule="exact"/>
        <w:jc w:val="center"/>
        <w:rPr>
          <w:rFonts w:hAnsi="宋体"/>
          <w:color w:val="auto"/>
          <w:sz w:val="21"/>
          <w:szCs w:val="21"/>
          <w:highlight w:val="none"/>
          <w:u w:val="single"/>
        </w:rPr>
      </w:pPr>
      <w:r>
        <w:rPr>
          <w:rFonts w:hint="eastAsia" w:hAnsi="宋体"/>
          <w:color w:val="auto"/>
          <w:sz w:val="21"/>
          <w:szCs w:val="21"/>
          <w:highlight w:val="none"/>
        </w:rPr>
        <w:t xml:space="preserve">                            供应商单位公章：</w:t>
      </w:r>
    </w:p>
    <w:p w14:paraId="6FCF8FC5">
      <w:pPr>
        <w:spacing w:line="400" w:lineRule="exact"/>
        <w:jc w:val="center"/>
        <w:rPr>
          <w:rFonts w:hAnsi="宋体"/>
          <w:color w:val="auto"/>
          <w:sz w:val="21"/>
          <w:szCs w:val="21"/>
          <w:highlight w:val="none"/>
        </w:rPr>
      </w:pPr>
      <w:r>
        <w:rPr>
          <w:rFonts w:hint="eastAsia" w:hAnsi="宋体"/>
          <w:color w:val="auto"/>
          <w:sz w:val="21"/>
          <w:szCs w:val="21"/>
          <w:highlight w:val="none"/>
        </w:rPr>
        <w:t xml:space="preserve">                           供应商代表签字</w:t>
      </w:r>
      <w:r>
        <w:rPr>
          <w:rFonts w:hint="eastAsia" w:hAnsi="宋体" w:eastAsia="宋体"/>
          <w:color w:val="auto"/>
          <w:sz w:val="21"/>
          <w:szCs w:val="21"/>
          <w:highlight w:val="none"/>
          <w:lang w:eastAsia="zh-CN"/>
        </w:rPr>
        <w:t>：</w:t>
      </w:r>
      <w:r>
        <w:rPr>
          <w:rFonts w:hint="eastAsia" w:hAnsi="宋体"/>
          <w:color w:val="auto"/>
          <w:sz w:val="21"/>
          <w:szCs w:val="21"/>
          <w:highlight w:val="none"/>
        </w:rPr>
        <w:t xml:space="preserve">  </w:t>
      </w:r>
    </w:p>
    <w:p w14:paraId="4F0DFD7D">
      <w:pPr>
        <w:spacing w:line="400" w:lineRule="exact"/>
        <w:jc w:val="center"/>
        <w:rPr>
          <w:rFonts w:hAnsi="宋体"/>
          <w:color w:val="auto"/>
          <w:sz w:val="21"/>
          <w:szCs w:val="21"/>
          <w:highlight w:val="none"/>
          <w:u w:val="single"/>
        </w:rPr>
      </w:pPr>
      <w:r>
        <w:rPr>
          <w:rFonts w:hint="eastAsia" w:hAnsi="宋体"/>
          <w:color w:val="auto"/>
          <w:sz w:val="21"/>
          <w:szCs w:val="21"/>
          <w:highlight w:val="none"/>
        </w:rPr>
        <w:t xml:space="preserve">                                   年   月    日</w:t>
      </w:r>
    </w:p>
    <w:p w14:paraId="7BF54463">
      <w:pPr>
        <w:tabs>
          <w:tab w:val="left" w:pos="5580"/>
        </w:tabs>
        <w:spacing w:before="120" w:line="400" w:lineRule="exact"/>
        <w:rPr>
          <w:rFonts w:hAnsi="宋体"/>
          <w:color w:val="auto"/>
          <w:sz w:val="21"/>
          <w:szCs w:val="21"/>
          <w:highlight w:val="none"/>
          <w:u w:val="single"/>
        </w:rPr>
      </w:pPr>
    </w:p>
    <w:p w14:paraId="793B4BBC">
      <w:pPr>
        <w:pStyle w:val="4"/>
        <w:keepNext w:val="0"/>
        <w:keepLines w:val="0"/>
        <w:spacing w:line="400" w:lineRule="exact"/>
        <w:rPr>
          <w:rFonts w:cs="宋体"/>
          <w:color w:val="auto"/>
          <w:highlight w:val="none"/>
        </w:rPr>
      </w:pPr>
      <w:bookmarkStart w:id="154" w:name="_Toc401840475"/>
      <w:bookmarkStart w:id="155" w:name="_Toc450570292"/>
      <w:r>
        <w:rPr>
          <w:rFonts w:hint="eastAsia" w:cs="宋体"/>
          <w:color w:val="auto"/>
          <w:highlight w:val="none"/>
        </w:rPr>
        <w:t>4</w:t>
      </w:r>
      <w:bookmarkEnd w:id="154"/>
      <w:r>
        <w:rPr>
          <w:rFonts w:hint="eastAsia" w:cs="宋体"/>
          <w:color w:val="auto"/>
          <w:highlight w:val="none"/>
        </w:rPr>
        <w:t>.服务承诺</w:t>
      </w:r>
      <w:bookmarkEnd w:id="155"/>
    </w:p>
    <w:p w14:paraId="33334A27">
      <w:pPr>
        <w:spacing w:line="400" w:lineRule="exact"/>
        <w:rPr>
          <w:rFonts w:hint="eastAsia" w:cs="宋体"/>
          <w:color w:val="auto"/>
          <w:highlight w:val="none"/>
        </w:rPr>
      </w:pPr>
      <w:r>
        <w:rPr>
          <w:rFonts w:hint="eastAsia" w:hAnsi="宋体"/>
          <w:color w:val="auto"/>
          <w:sz w:val="21"/>
          <w:szCs w:val="21"/>
          <w:highlight w:val="none"/>
        </w:rPr>
        <w:t>（结合评标办法）</w:t>
      </w:r>
      <w:bookmarkStart w:id="156" w:name="_Toc450570293"/>
      <w:bookmarkStart w:id="157" w:name="_Toc401840476"/>
    </w:p>
    <w:p w14:paraId="2AAAE45E">
      <w:pPr>
        <w:pStyle w:val="4"/>
        <w:keepNext w:val="0"/>
        <w:keepLines w:val="0"/>
        <w:spacing w:line="400" w:lineRule="exact"/>
        <w:rPr>
          <w:rFonts w:cs="宋体"/>
          <w:color w:val="auto"/>
          <w:highlight w:val="none"/>
        </w:rPr>
      </w:pPr>
      <w:r>
        <w:rPr>
          <w:rFonts w:hint="eastAsia" w:cs="宋体"/>
          <w:color w:val="auto"/>
          <w:highlight w:val="none"/>
        </w:rPr>
        <w:br w:type="textWrapping"/>
      </w:r>
      <w:r>
        <w:rPr>
          <w:rFonts w:hint="eastAsia" w:cs="宋体"/>
          <w:color w:val="auto"/>
          <w:highlight w:val="none"/>
        </w:rPr>
        <w:t>5.</w:t>
      </w:r>
      <w:r>
        <w:rPr>
          <w:rFonts w:hint="eastAsia" w:cs="宋体"/>
          <w:color w:val="auto"/>
          <w:highlight w:val="none"/>
          <w:lang w:eastAsia="zh-CN"/>
        </w:rPr>
        <w:t>其他可以</w:t>
      </w:r>
      <w:r>
        <w:rPr>
          <w:rFonts w:hint="eastAsia" w:cs="宋体"/>
          <w:color w:val="auto"/>
          <w:highlight w:val="none"/>
        </w:rPr>
        <w:t>提供的关于投标的证明材料</w:t>
      </w:r>
      <w:bookmarkEnd w:id="151"/>
      <w:bookmarkEnd w:id="156"/>
      <w:bookmarkEnd w:id="157"/>
    </w:p>
    <w:bookmarkEnd w:id="120"/>
    <w:bookmarkEnd w:id="121"/>
    <w:bookmarkEnd w:id="122"/>
    <w:p w14:paraId="16DB6B8F">
      <w:pPr>
        <w:rPr>
          <w:rFonts w:hint="eastAsia" w:cs="宋体"/>
          <w:color w:val="auto"/>
          <w:szCs w:val="21"/>
          <w:highlight w:val="none"/>
        </w:rPr>
      </w:pPr>
      <w:r>
        <w:rPr>
          <w:rFonts w:hint="eastAsia" w:cs="宋体"/>
          <w:color w:val="auto"/>
          <w:szCs w:val="21"/>
          <w:highlight w:val="none"/>
        </w:rPr>
        <w:br w:type="page"/>
      </w:r>
    </w:p>
    <w:p w14:paraId="01BD5098">
      <w:pPr>
        <w:pStyle w:val="3"/>
        <w:keepNext w:val="0"/>
        <w:keepLines w:val="0"/>
        <w:spacing w:line="400" w:lineRule="exact"/>
        <w:rPr>
          <w:rFonts w:cs="宋体"/>
          <w:color w:val="auto"/>
          <w:szCs w:val="21"/>
          <w:highlight w:val="none"/>
        </w:rPr>
      </w:pPr>
      <w:r>
        <w:rPr>
          <w:rFonts w:hint="eastAsia" w:cs="宋体"/>
          <w:color w:val="auto"/>
          <w:szCs w:val="21"/>
          <w:highlight w:val="none"/>
        </w:rPr>
        <w:t>四、服务</w:t>
      </w:r>
      <w:r>
        <w:rPr>
          <w:rFonts w:hint="eastAsia" w:cs="宋体"/>
          <w:color w:val="auto"/>
          <w:szCs w:val="21"/>
          <w:highlight w:val="none"/>
          <w:lang w:val="en-US" w:eastAsia="zh-CN"/>
        </w:rPr>
        <w:t>实施</w:t>
      </w:r>
      <w:r>
        <w:rPr>
          <w:rFonts w:hint="eastAsia" w:cs="宋体"/>
          <w:color w:val="auto"/>
          <w:szCs w:val="21"/>
          <w:highlight w:val="none"/>
        </w:rPr>
        <w:t>方案</w:t>
      </w:r>
    </w:p>
    <w:p w14:paraId="45C23922">
      <w:pPr>
        <w:spacing w:line="560" w:lineRule="exact"/>
        <w:ind w:firstLine="420"/>
        <w:rPr>
          <w:rFonts w:hAnsi="宋体"/>
          <w:color w:val="auto"/>
          <w:sz w:val="21"/>
          <w:szCs w:val="21"/>
          <w:highlight w:val="none"/>
        </w:rPr>
      </w:pPr>
      <w:r>
        <w:rPr>
          <w:rFonts w:hint="eastAsia" w:hAnsi="宋体"/>
          <w:color w:val="auto"/>
          <w:sz w:val="21"/>
          <w:szCs w:val="21"/>
          <w:highlight w:val="none"/>
        </w:rPr>
        <w:t>供应商应结合评标办法，详细叙述拟提供</w:t>
      </w:r>
      <w:r>
        <w:rPr>
          <w:rFonts w:hint="eastAsia" w:hAnsi="宋体" w:eastAsia="宋体"/>
          <w:color w:val="auto"/>
          <w:sz w:val="21"/>
          <w:szCs w:val="21"/>
          <w:highlight w:val="none"/>
          <w:lang w:val="en-US" w:eastAsia="zh-CN"/>
        </w:rPr>
        <w:t>的</w:t>
      </w:r>
      <w:r>
        <w:rPr>
          <w:rFonts w:hint="eastAsia" w:hAnsi="宋体"/>
          <w:color w:val="auto"/>
          <w:sz w:val="21"/>
          <w:szCs w:val="21"/>
          <w:highlight w:val="none"/>
        </w:rPr>
        <w:t>服务方案/服务情况。</w:t>
      </w:r>
    </w:p>
    <w:p w14:paraId="7CB72111">
      <w:pPr>
        <w:pStyle w:val="3"/>
        <w:keepNext w:val="0"/>
        <w:keepLines w:val="0"/>
        <w:spacing w:line="400" w:lineRule="exact"/>
        <w:rPr>
          <w:rFonts w:hint="eastAsia" w:cs="宋体"/>
          <w:color w:val="auto"/>
          <w:szCs w:val="21"/>
          <w:highlight w:val="none"/>
        </w:rPr>
      </w:pPr>
      <w:bookmarkStart w:id="158" w:name="_Toc450220983"/>
      <w:bookmarkStart w:id="159" w:name="_Toc450570295"/>
      <w:bookmarkStart w:id="160" w:name="_Toc401840478"/>
    </w:p>
    <w:p w14:paraId="2120005C">
      <w:pPr>
        <w:pStyle w:val="3"/>
        <w:keepNext w:val="0"/>
        <w:keepLines w:val="0"/>
        <w:spacing w:line="400" w:lineRule="exact"/>
        <w:rPr>
          <w:rFonts w:hint="eastAsia" w:cs="宋体"/>
          <w:color w:val="auto"/>
          <w:szCs w:val="21"/>
          <w:highlight w:val="none"/>
        </w:rPr>
      </w:pPr>
    </w:p>
    <w:p w14:paraId="4A68A87F">
      <w:pPr>
        <w:rPr>
          <w:rFonts w:hint="eastAsia" w:cs="宋体"/>
          <w:color w:val="auto"/>
          <w:szCs w:val="21"/>
          <w:highlight w:val="none"/>
        </w:rPr>
      </w:pPr>
      <w:r>
        <w:rPr>
          <w:rFonts w:hint="eastAsia" w:cs="宋体"/>
          <w:color w:val="auto"/>
          <w:szCs w:val="21"/>
          <w:highlight w:val="none"/>
        </w:rPr>
        <w:br w:type="page"/>
      </w:r>
    </w:p>
    <w:p w14:paraId="0C173DE6">
      <w:pPr>
        <w:pStyle w:val="3"/>
        <w:keepNext w:val="0"/>
        <w:keepLines w:val="0"/>
        <w:spacing w:line="400" w:lineRule="exact"/>
        <w:rPr>
          <w:rFonts w:cs="宋体"/>
          <w:color w:val="auto"/>
          <w:szCs w:val="21"/>
          <w:highlight w:val="none"/>
        </w:rPr>
      </w:pPr>
      <w:r>
        <w:rPr>
          <w:rFonts w:hint="eastAsia" w:cs="宋体"/>
          <w:color w:val="auto"/>
          <w:szCs w:val="21"/>
          <w:highlight w:val="none"/>
        </w:rPr>
        <w:t>五、政府采购政策</w:t>
      </w:r>
      <w:bookmarkEnd w:id="158"/>
    </w:p>
    <w:p w14:paraId="3472139B">
      <w:pPr>
        <w:spacing w:line="400" w:lineRule="exact"/>
        <w:outlineLvl w:val="9"/>
        <w:rPr>
          <w:rFonts w:hAnsi="宋体"/>
          <w:bCs/>
          <w:color w:val="auto"/>
          <w:sz w:val="21"/>
          <w:szCs w:val="21"/>
          <w:highlight w:val="none"/>
        </w:rPr>
      </w:pPr>
      <w:bookmarkStart w:id="161" w:name="_Toc447021131"/>
      <w:bookmarkStart w:id="162" w:name="_Toc450220984"/>
      <w:r>
        <w:rPr>
          <w:rFonts w:hint="eastAsia" w:hAnsi="宋体"/>
          <w:bCs/>
          <w:color w:val="auto"/>
          <w:sz w:val="21"/>
          <w:szCs w:val="21"/>
          <w:highlight w:val="none"/>
        </w:rPr>
        <w:t>（一）政府采购促进中小企业发展政策</w:t>
      </w:r>
      <w:bookmarkEnd w:id="161"/>
      <w:bookmarkEnd w:id="162"/>
    </w:p>
    <w:p w14:paraId="16089225">
      <w:pPr>
        <w:spacing w:line="400" w:lineRule="exact"/>
        <w:ind w:firstLine="420" w:firstLineChars="200"/>
        <w:rPr>
          <w:rFonts w:hAnsi="宋体"/>
          <w:b/>
          <w:color w:val="auto"/>
          <w:sz w:val="21"/>
          <w:szCs w:val="21"/>
          <w:highlight w:val="none"/>
        </w:rPr>
      </w:pPr>
    </w:p>
    <w:p w14:paraId="193D14E6">
      <w:pPr>
        <w:spacing w:line="400" w:lineRule="exact"/>
        <w:ind w:firstLine="422" w:firstLineChars="200"/>
        <w:rPr>
          <w:rFonts w:hAnsi="宋体"/>
          <w:b/>
          <w:color w:val="auto"/>
          <w:sz w:val="21"/>
          <w:szCs w:val="21"/>
          <w:highlight w:val="none"/>
        </w:rPr>
      </w:pPr>
      <w:r>
        <w:rPr>
          <w:rFonts w:hint="eastAsia" w:ascii="宋体" w:hAnsi="宋体" w:eastAsia="宋体" w:cs="宋体"/>
          <w:b/>
          <w:color w:val="auto"/>
          <w:sz w:val="21"/>
          <w:szCs w:val="21"/>
          <w:highlight w:val="none"/>
          <w:lang w:eastAsia="zh-CN"/>
        </w:rPr>
        <w:t>1.</w:t>
      </w:r>
      <w:r>
        <w:rPr>
          <w:rFonts w:hint="eastAsia" w:ascii="宋体" w:hAnsi="宋体" w:eastAsia="宋体" w:cs="宋体"/>
          <w:b/>
          <w:color w:val="auto"/>
          <w:sz w:val="21"/>
          <w:szCs w:val="21"/>
          <w:highlight w:val="none"/>
          <w:lang w:val="en-US"/>
        </w:rPr>
        <w:t>中小</w:t>
      </w:r>
      <w:r>
        <w:rPr>
          <w:rFonts w:hint="eastAsia" w:ascii="宋体" w:hAnsi="宋体" w:eastAsia="宋体" w:cs="宋体"/>
          <w:b/>
          <w:color w:val="auto"/>
          <w:sz w:val="21"/>
          <w:szCs w:val="21"/>
          <w:highlight w:val="none"/>
        </w:rPr>
        <w:t>企业声明函</w:t>
      </w:r>
      <w:r>
        <w:rPr>
          <w:rFonts w:hint="eastAsia" w:hAnsi="宋体"/>
          <w:b/>
          <w:color w:val="auto"/>
          <w:sz w:val="21"/>
          <w:szCs w:val="21"/>
          <w:highlight w:val="none"/>
        </w:rPr>
        <w:t xml:space="preserve"> </w:t>
      </w:r>
    </w:p>
    <w:p w14:paraId="32C7D94F">
      <w:pPr>
        <w:wordWrap w:val="0"/>
        <w:spacing w:line="24" w:lineRule="atLeast"/>
        <w:jc w:val="center"/>
        <w:rPr>
          <w:rFonts w:hAnsi="宋体"/>
          <w:b/>
          <w:bCs/>
          <w:color w:val="auto"/>
          <w:sz w:val="21"/>
          <w:szCs w:val="21"/>
          <w:highlight w:val="none"/>
        </w:rPr>
      </w:pPr>
    </w:p>
    <w:p w14:paraId="399D8B58">
      <w:pPr>
        <w:wordWrap w:val="0"/>
        <w:spacing w:line="24" w:lineRule="atLeast"/>
        <w:jc w:val="center"/>
        <w:rPr>
          <w:rFonts w:hAnsi="宋体"/>
          <w:b/>
          <w:bCs/>
          <w:color w:val="auto"/>
          <w:sz w:val="21"/>
          <w:szCs w:val="21"/>
          <w:highlight w:val="none"/>
        </w:rPr>
      </w:pPr>
      <w:r>
        <w:rPr>
          <w:rFonts w:hAnsi="宋体"/>
          <w:b/>
          <w:bCs/>
          <w:color w:val="auto"/>
          <w:sz w:val="21"/>
          <w:szCs w:val="21"/>
          <w:highlight w:val="none"/>
        </w:rPr>
        <w:t>中小企业声明函</w:t>
      </w:r>
      <w:r>
        <w:rPr>
          <w:rFonts w:hint="eastAsia" w:hAnsi="宋体"/>
          <w:b/>
          <w:bCs/>
          <w:color w:val="auto"/>
          <w:sz w:val="21"/>
          <w:szCs w:val="21"/>
          <w:highlight w:val="none"/>
        </w:rPr>
        <w:t>（</w:t>
      </w:r>
      <w:r>
        <w:rPr>
          <w:rFonts w:hAnsi="宋体"/>
          <w:b/>
          <w:bCs/>
          <w:color w:val="auto"/>
          <w:sz w:val="21"/>
          <w:szCs w:val="21"/>
          <w:highlight w:val="none"/>
        </w:rPr>
        <w:t>工程、服务</w:t>
      </w:r>
      <w:r>
        <w:rPr>
          <w:rFonts w:hint="eastAsia" w:hAnsi="宋体"/>
          <w:b/>
          <w:bCs/>
          <w:color w:val="auto"/>
          <w:sz w:val="21"/>
          <w:szCs w:val="21"/>
          <w:highlight w:val="none"/>
        </w:rPr>
        <w:t>）</w:t>
      </w:r>
    </w:p>
    <w:p w14:paraId="0632AF7C">
      <w:pPr>
        <w:wordWrap w:val="0"/>
        <w:spacing w:line="24" w:lineRule="atLeast"/>
        <w:jc w:val="center"/>
        <w:rPr>
          <w:rFonts w:hAnsi="宋体"/>
          <w:b/>
          <w:bCs/>
          <w:color w:val="auto"/>
          <w:sz w:val="21"/>
          <w:szCs w:val="21"/>
          <w:highlight w:val="none"/>
        </w:rPr>
      </w:pPr>
    </w:p>
    <w:p w14:paraId="1AE7BB0B">
      <w:pPr>
        <w:wordWrap w:val="0"/>
        <w:spacing w:line="360" w:lineRule="auto"/>
        <w:ind w:firstLine="420" w:firstLineChars="200"/>
        <w:rPr>
          <w:rFonts w:hint="eastAsia" w:ascii="宋体" w:hAnsi="宋体" w:eastAsia="宋体" w:cs="宋体"/>
          <w:color w:val="auto"/>
          <w:sz w:val="21"/>
          <w:szCs w:val="21"/>
          <w:highlight w:val="none"/>
        </w:rPr>
      </w:pPr>
    </w:p>
    <w:p w14:paraId="3312B472">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本公司（联合体）郑重声明，根据《政府采购促进中小企业发展管理办法》（财库</w:t>
      </w:r>
      <w:r>
        <w:rPr>
          <w:rFonts w:hint="eastAsia" w:ascii="宋体" w:hAnsi="宋体" w:eastAsia="宋体" w:cs="宋体"/>
          <w:color w:val="auto"/>
          <w:sz w:val="21"/>
          <w:szCs w:val="21"/>
          <w:highlight w:val="none"/>
          <w:lang w:eastAsia="zh-CN"/>
        </w:rPr>
        <w:t>〔2020〕46号</w:t>
      </w:r>
      <w:r>
        <w:rPr>
          <w:rFonts w:hint="eastAsia" w:ascii="宋体" w:hAnsi="宋体" w:eastAsia="宋体" w:cs="宋体"/>
          <w:color w:val="auto"/>
          <w:sz w:val="21"/>
          <w:szCs w:val="21"/>
          <w:highlight w:val="none"/>
        </w:rPr>
        <w:t>）的规定，本公司（联合体）参加</w:t>
      </w:r>
      <w:r>
        <w:rPr>
          <w:rFonts w:hint="eastAsia" w:ascii="宋体" w:hAnsi="宋体" w:eastAsia="宋体" w:cs="宋体"/>
          <w:i/>
          <w:iCs/>
          <w:color w:val="auto"/>
          <w:sz w:val="21"/>
          <w:szCs w:val="21"/>
          <w:highlight w:val="none"/>
          <w:u w:val="single"/>
        </w:rPr>
        <w:t xml:space="preserve"> （单位名称）</w:t>
      </w:r>
      <w:r>
        <w:rPr>
          <w:rFonts w:hint="eastAsia" w:ascii="宋体" w:hAnsi="宋体" w:eastAsia="宋体" w:cs="宋体"/>
          <w:color w:val="auto"/>
          <w:sz w:val="21"/>
          <w:szCs w:val="21"/>
          <w:highlight w:val="none"/>
        </w:rPr>
        <w:t>的</w:t>
      </w:r>
      <w:r>
        <w:rPr>
          <w:rFonts w:hint="eastAsia" w:ascii="宋体" w:hAnsi="宋体" w:eastAsia="宋体" w:cs="宋体"/>
          <w:color w:val="auto"/>
          <w:sz w:val="21"/>
          <w:szCs w:val="21"/>
          <w:highlight w:val="none"/>
          <w:lang w:eastAsia="zh-CN"/>
        </w:rPr>
        <w:t>（</w:t>
      </w:r>
      <w:r>
        <w:rPr>
          <w:rFonts w:hint="eastAsia" w:ascii="宋体" w:hAnsi="宋体" w:eastAsia="宋体" w:cs="宋体"/>
          <w:i/>
          <w:iCs/>
          <w:color w:val="auto"/>
          <w:sz w:val="21"/>
          <w:szCs w:val="21"/>
          <w:highlight w:val="none"/>
          <w:u w:val="single"/>
        </w:rPr>
        <w:t>项目名称）</w:t>
      </w:r>
      <w:r>
        <w:rPr>
          <w:rFonts w:hint="eastAsia" w:ascii="宋体" w:hAnsi="宋体" w:eastAsia="宋体" w:cs="宋体"/>
          <w:color w:val="auto"/>
          <w:sz w:val="21"/>
          <w:szCs w:val="21"/>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7331D6D2">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i/>
          <w:iCs/>
          <w:color w:val="auto"/>
          <w:sz w:val="21"/>
          <w:szCs w:val="21"/>
          <w:highlight w:val="none"/>
          <w:u w:val="single"/>
        </w:rPr>
        <w:t>（标的名称）</w:t>
      </w:r>
      <w:r>
        <w:rPr>
          <w:rFonts w:hint="eastAsia" w:ascii="宋体" w:hAnsi="宋体" w:eastAsia="宋体" w:cs="宋体"/>
          <w:color w:val="auto"/>
          <w:sz w:val="21"/>
          <w:szCs w:val="21"/>
          <w:highlight w:val="none"/>
        </w:rPr>
        <w:t>，属于</w:t>
      </w:r>
      <w:r>
        <w:rPr>
          <w:rFonts w:hint="eastAsia" w:ascii="宋体" w:hAnsi="宋体" w:eastAsia="宋体" w:cs="宋体"/>
          <w:i/>
          <w:iCs/>
          <w:color w:val="auto"/>
          <w:sz w:val="21"/>
          <w:szCs w:val="21"/>
          <w:highlight w:val="none"/>
          <w:u w:val="single"/>
        </w:rPr>
        <w:t>（采购文件中明确的所属行业）</w:t>
      </w:r>
      <w:r>
        <w:rPr>
          <w:rFonts w:hint="eastAsia" w:ascii="宋体" w:hAnsi="宋体" w:eastAsia="宋体" w:cs="宋体"/>
          <w:color w:val="auto"/>
          <w:sz w:val="21"/>
          <w:szCs w:val="21"/>
          <w:highlight w:val="none"/>
        </w:rPr>
        <w:t>；承建（承接）企业为</w:t>
      </w:r>
      <w:r>
        <w:rPr>
          <w:rFonts w:hint="eastAsia" w:ascii="宋体" w:hAnsi="宋体" w:eastAsia="宋体" w:cs="宋体"/>
          <w:i/>
          <w:iCs/>
          <w:color w:val="auto"/>
          <w:sz w:val="21"/>
          <w:szCs w:val="21"/>
          <w:highlight w:val="none"/>
          <w:u w:val="single"/>
        </w:rPr>
        <w:t>（企业名称）</w:t>
      </w:r>
      <w:r>
        <w:rPr>
          <w:rFonts w:hint="eastAsia" w:ascii="宋体" w:hAnsi="宋体" w:eastAsia="宋体" w:cs="宋体"/>
          <w:color w:val="auto"/>
          <w:sz w:val="21"/>
          <w:szCs w:val="21"/>
          <w:highlight w:val="none"/>
        </w:rPr>
        <w:t>，从业人员人，营业收入为万元，资产总额为万元，属于</w:t>
      </w:r>
      <w:r>
        <w:rPr>
          <w:rFonts w:hint="eastAsia" w:ascii="宋体" w:hAnsi="宋体" w:eastAsia="宋体" w:cs="宋体"/>
          <w:i/>
          <w:iCs/>
          <w:color w:val="auto"/>
          <w:sz w:val="21"/>
          <w:szCs w:val="21"/>
          <w:highlight w:val="none"/>
          <w:u w:val="single"/>
        </w:rPr>
        <w:t>（中型企业、小型企业、微型企业）</w:t>
      </w:r>
      <w:r>
        <w:rPr>
          <w:rFonts w:hint="eastAsia" w:ascii="宋体" w:hAnsi="宋体" w:eastAsia="宋体" w:cs="宋体"/>
          <w:color w:val="auto"/>
          <w:sz w:val="21"/>
          <w:szCs w:val="21"/>
          <w:highlight w:val="none"/>
        </w:rPr>
        <w:t>；</w:t>
      </w:r>
    </w:p>
    <w:p w14:paraId="55468D13">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i/>
          <w:iCs/>
          <w:color w:val="auto"/>
          <w:sz w:val="21"/>
          <w:szCs w:val="21"/>
          <w:highlight w:val="none"/>
          <w:u w:val="single"/>
        </w:rPr>
        <w:t xml:space="preserve">（标的名称） </w:t>
      </w:r>
      <w:r>
        <w:rPr>
          <w:rFonts w:hint="eastAsia" w:ascii="宋体" w:hAnsi="宋体" w:eastAsia="宋体" w:cs="宋体"/>
          <w:color w:val="auto"/>
          <w:sz w:val="21"/>
          <w:szCs w:val="21"/>
          <w:highlight w:val="none"/>
        </w:rPr>
        <w:t>，属于</w:t>
      </w:r>
      <w:r>
        <w:rPr>
          <w:rFonts w:hint="eastAsia" w:ascii="宋体" w:hAnsi="宋体" w:eastAsia="宋体" w:cs="宋体"/>
          <w:i/>
          <w:iCs/>
          <w:color w:val="auto"/>
          <w:sz w:val="21"/>
          <w:szCs w:val="21"/>
          <w:highlight w:val="none"/>
          <w:u w:val="single"/>
        </w:rPr>
        <w:t>（采购文件中明确的所属行业）</w:t>
      </w:r>
      <w:r>
        <w:rPr>
          <w:rFonts w:hint="eastAsia" w:ascii="宋体" w:hAnsi="宋体" w:eastAsia="宋体" w:cs="宋体"/>
          <w:color w:val="auto"/>
          <w:sz w:val="21"/>
          <w:szCs w:val="21"/>
          <w:highlight w:val="none"/>
        </w:rPr>
        <w:t>；承建（承接）企业为</w:t>
      </w:r>
      <w:r>
        <w:rPr>
          <w:rFonts w:hint="eastAsia" w:ascii="宋体" w:hAnsi="宋体" w:eastAsia="宋体" w:cs="宋体"/>
          <w:color w:val="auto"/>
          <w:sz w:val="21"/>
          <w:szCs w:val="21"/>
          <w:highlight w:val="none"/>
          <w:lang w:eastAsia="zh-CN"/>
        </w:rPr>
        <w:t>（</w:t>
      </w:r>
      <w:r>
        <w:rPr>
          <w:rFonts w:hint="eastAsia" w:ascii="宋体" w:hAnsi="宋体" w:eastAsia="宋体" w:cs="宋体"/>
          <w:i/>
          <w:iCs/>
          <w:color w:val="auto"/>
          <w:sz w:val="21"/>
          <w:szCs w:val="21"/>
          <w:highlight w:val="none"/>
          <w:u w:val="single"/>
        </w:rPr>
        <w:t>企业名称）</w:t>
      </w:r>
      <w:r>
        <w:rPr>
          <w:rFonts w:hint="eastAsia" w:ascii="宋体" w:hAnsi="宋体" w:eastAsia="宋体" w:cs="宋体"/>
          <w:color w:val="auto"/>
          <w:sz w:val="21"/>
          <w:szCs w:val="21"/>
          <w:highlight w:val="none"/>
        </w:rPr>
        <w:t>，从业人员人，营业收入为万元，资产总额为万元，属于</w:t>
      </w:r>
      <w:r>
        <w:rPr>
          <w:rFonts w:hint="eastAsia" w:ascii="宋体" w:hAnsi="宋体" w:eastAsia="宋体" w:cs="宋体"/>
          <w:i/>
          <w:iCs/>
          <w:color w:val="auto"/>
          <w:sz w:val="21"/>
          <w:szCs w:val="21"/>
          <w:highlight w:val="none"/>
          <w:u w:val="single"/>
        </w:rPr>
        <w:t>（中型企业、小型企业、微型企业）</w:t>
      </w:r>
      <w:r>
        <w:rPr>
          <w:rFonts w:hint="eastAsia" w:ascii="宋体" w:hAnsi="宋体" w:eastAsia="宋体" w:cs="宋体"/>
          <w:color w:val="auto"/>
          <w:sz w:val="21"/>
          <w:szCs w:val="21"/>
          <w:highlight w:val="none"/>
        </w:rPr>
        <w:t>；</w:t>
      </w:r>
    </w:p>
    <w:p w14:paraId="1723A17F">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p w14:paraId="5E9CE603">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以上企业，不属于大企业的分支机构，不存在控股股东为大企业的情形，也不存在与大企业的负责人为同一人的情形。</w:t>
      </w:r>
    </w:p>
    <w:p w14:paraId="117F49C3">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本企业对上述声明内容的真实性负责。如有虚假，将依法承担相应责任。</w:t>
      </w:r>
    </w:p>
    <w:p w14:paraId="7B340402">
      <w:pPr>
        <w:wordWrap/>
        <w:spacing w:line="360" w:lineRule="auto"/>
        <w:jc w:val="center"/>
        <w:rPr>
          <w:rFonts w:hint="eastAsia" w:ascii="宋体" w:hAnsi="宋体" w:eastAsia="宋体" w:cs="宋体"/>
          <w:color w:val="auto"/>
          <w:sz w:val="21"/>
          <w:szCs w:val="21"/>
          <w:highlight w:val="none"/>
        </w:rPr>
      </w:pPr>
    </w:p>
    <w:p w14:paraId="4EC4F99E">
      <w:pPr>
        <w:wordWrap/>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企业名称（盖章）：</w:t>
      </w:r>
    </w:p>
    <w:p w14:paraId="52BD74F4">
      <w:pPr>
        <w:spacing w:line="360" w:lineRule="auto"/>
        <w:jc w:val="center"/>
        <w:rPr>
          <w:rFonts w:hAnsi="宋体"/>
          <w:color w:val="auto"/>
          <w:sz w:val="21"/>
          <w:szCs w:val="21"/>
          <w:highlight w:val="none"/>
        </w:rPr>
      </w:pPr>
      <w:r>
        <w:rPr>
          <w:rFonts w:hint="eastAsia" w:ascii="宋体" w:hAnsi="宋体" w:eastAsia="宋体" w:cs="宋体"/>
          <w:color w:val="auto"/>
          <w:sz w:val="21"/>
          <w:szCs w:val="21"/>
          <w:highlight w:val="none"/>
        </w:rPr>
        <w:t>日期：</w:t>
      </w:r>
    </w:p>
    <w:p w14:paraId="5E293A8B">
      <w:pPr>
        <w:spacing w:line="400" w:lineRule="exact"/>
        <w:ind w:firstLine="420" w:firstLineChars="200"/>
        <w:jc w:val="left"/>
        <w:rPr>
          <w:rFonts w:hAnsi="宋体"/>
          <w:color w:val="auto"/>
          <w:sz w:val="21"/>
          <w:szCs w:val="21"/>
          <w:highlight w:val="none"/>
        </w:rPr>
      </w:pPr>
    </w:p>
    <w:p w14:paraId="65CB9508">
      <w:pPr>
        <w:tabs>
          <w:tab w:val="left" w:pos="5580"/>
        </w:tabs>
        <w:spacing w:before="120" w:line="400" w:lineRule="exact"/>
        <w:rPr>
          <w:rFonts w:hAnsi="宋体"/>
          <w:color w:val="auto"/>
          <w:sz w:val="21"/>
          <w:szCs w:val="21"/>
          <w:highlight w:val="none"/>
          <w:u w:val="single"/>
        </w:rPr>
      </w:pPr>
    </w:p>
    <w:p w14:paraId="60CCD62F">
      <w:pPr>
        <w:rPr>
          <w:rFonts w:hint="eastAsia" w:cs="宋体"/>
          <w:color w:val="auto"/>
          <w:szCs w:val="21"/>
          <w:highlight w:val="none"/>
        </w:rPr>
      </w:pPr>
      <w:r>
        <w:rPr>
          <w:rFonts w:hint="eastAsia" w:cs="宋体"/>
          <w:color w:val="auto"/>
          <w:szCs w:val="21"/>
          <w:highlight w:val="none"/>
        </w:rPr>
        <w:br w:type="page"/>
      </w:r>
    </w:p>
    <w:p w14:paraId="6674C190">
      <w:pPr>
        <w:spacing w:line="400" w:lineRule="exact"/>
        <w:rPr>
          <w:rFonts w:hint="default"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2.残疾人福利性单位声明函</w:t>
      </w:r>
    </w:p>
    <w:p w14:paraId="1A5D98EB">
      <w:pPr>
        <w:pStyle w:val="3"/>
        <w:spacing w:before="160" w:line="240" w:lineRule="auto"/>
        <w:ind w:left="2809" w:right="205"/>
        <w:rPr>
          <w:rFonts w:ascii="Times New Roman" w:hAnsi="Times New Roman" w:cs="Times New Roman"/>
          <w:color w:val="auto"/>
          <w:highlight w:val="none"/>
          <w:lang w:eastAsia="zh-CN"/>
        </w:rPr>
      </w:pPr>
    </w:p>
    <w:p w14:paraId="646AEFB4">
      <w:pPr>
        <w:pStyle w:val="3"/>
        <w:spacing w:before="160" w:line="240" w:lineRule="auto"/>
        <w:ind w:left="2809" w:right="205"/>
        <w:rPr>
          <w:rFonts w:ascii="Times New Roman" w:hAnsi="Times New Roman" w:cs="Times New Roman"/>
          <w:b w:val="0"/>
          <w:bCs w:val="0"/>
          <w:color w:val="auto"/>
          <w:highlight w:val="none"/>
          <w:lang w:eastAsia="zh-CN"/>
        </w:rPr>
      </w:pPr>
      <w:r>
        <w:rPr>
          <w:rFonts w:ascii="Times New Roman" w:hAnsi="Times New Roman" w:cs="Times New Roman"/>
          <w:color w:val="auto"/>
          <w:highlight w:val="none"/>
          <w:lang w:eastAsia="zh-CN"/>
        </w:rPr>
        <w:t>残疾人福利性单位声明函</w:t>
      </w:r>
    </w:p>
    <w:p w14:paraId="429D2A6D">
      <w:pPr>
        <w:spacing w:before="5"/>
        <w:rPr>
          <w:rFonts w:ascii="Times New Roman" w:hAnsi="Times New Roman" w:eastAsia="宋体"/>
          <w:b/>
          <w:bCs/>
          <w:color w:val="auto"/>
          <w:sz w:val="21"/>
          <w:szCs w:val="21"/>
          <w:highlight w:val="none"/>
          <w:lang w:eastAsia="zh-CN"/>
        </w:rPr>
      </w:pPr>
    </w:p>
    <w:p w14:paraId="22604BC2">
      <w:pPr>
        <w:pStyle w:val="23"/>
        <w:tabs>
          <w:tab w:val="left" w:pos="1783"/>
          <w:tab w:val="left" w:pos="3041"/>
        </w:tabs>
        <w:spacing w:before="0" w:line="374" w:lineRule="auto"/>
        <w:ind w:right="211" w:firstLine="419"/>
        <w:jc w:val="both"/>
        <w:rPr>
          <w:rFonts w:ascii="Times New Roman" w:hAnsi="Times New Roman"/>
          <w:color w:val="auto"/>
          <w:sz w:val="22"/>
          <w:szCs w:val="22"/>
          <w:highlight w:val="none"/>
          <w:lang w:eastAsia="zh-CN"/>
        </w:rPr>
      </w:pPr>
      <w:r>
        <w:rPr>
          <w:rFonts w:ascii="Times New Roman" w:hAnsi="Times New Roman"/>
          <w:color w:val="auto"/>
          <w:spacing w:val="-9"/>
          <w:sz w:val="22"/>
          <w:szCs w:val="22"/>
          <w:highlight w:val="none"/>
          <w:lang w:eastAsia="zh-CN"/>
        </w:rPr>
        <w:t xml:space="preserve">本单位郑重声明，根据《财政部 </w:t>
      </w:r>
      <w:r>
        <w:rPr>
          <w:rFonts w:ascii="Times New Roman" w:hAnsi="Times New Roman"/>
          <w:color w:val="auto"/>
          <w:sz w:val="22"/>
          <w:szCs w:val="22"/>
          <w:highlight w:val="none"/>
          <w:lang w:eastAsia="zh-CN"/>
        </w:rPr>
        <w:t>民政部中国残疾人联合会关于促进残疾人就业政府采购政策的通知》（财库〔2017〕141号）的规定，本单位为符合条件的残疾人福利性单位，且</w:t>
      </w:r>
      <w:r>
        <w:rPr>
          <w:rFonts w:ascii="Times New Roman" w:hAnsi="Times New Roman"/>
          <w:color w:val="auto"/>
          <w:spacing w:val="-2"/>
          <w:sz w:val="22"/>
          <w:szCs w:val="22"/>
          <w:highlight w:val="none"/>
          <w:lang w:eastAsia="zh-CN"/>
        </w:rPr>
        <w:t>本单位参加</w:t>
      </w:r>
      <w:r>
        <w:rPr>
          <w:rFonts w:ascii="Times New Roman" w:hAnsi="Times New Roman"/>
          <w:color w:val="auto"/>
          <w:spacing w:val="-2"/>
          <w:sz w:val="22"/>
          <w:szCs w:val="22"/>
          <w:highlight w:val="none"/>
          <w:u w:val="single"/>
          <w:lang w:eastAsia="zh-CN"/>
        </w:rPr>
        <w:t xml:space="preserve"> </w:t>
      </w:r>
      <w:r>
        <w:rPr>
          <w:rFonts w:ascii="Times New Roman" w:hAnsi="Times New Roman"/>
          <w:color w:val="auto"/>
          <w:spacing w:val="-2"/>
          <w:sz w:val="22"/>
          <w:szCs w:val="22"/>
          <w:highlight w:val="none"/>
          <w:u w:val="single"/>
          <w:lang w:eastAsia="zh-CN"/>
        </w:rPr>
        <w:tab/>
      </w:r>
      <w:r>
        <w:rPr>
          <w:rFonts w:ascii="Times New Roman" w:hAnsi="Times New Roman"/>
          <w:color w:val="auto"/>
          <w:spacing w:val="-2"/>
          <w:sz w:val="22"/>
          <w:szCs w:val="22"/>
          <w:highlight w:val="none"/>
          <w:lang w:eastAsia="zh-CN"/>
        </w:rPr>
        <w:t>单位的</w:t>
      </w:r>
      <w:r>
        <w:rPr>
          <w:rFonts w:ascii="Times New Roman" w:hAnsi="Times New Roman"/>
          <w:color w:val="auto"/>
          <w:spacing w:val="-2"/>
          <w:sz w:val="22"/>
          <w:szCs w:val="22"/>
          <w:highlight w:val="none"/>
          <w:u w:val="single"/>
          <w:lang w:eastAsia="zh-CN"/>
        </w:rPr>
        <w:t xml:space="preserve"> </w:t>
      </w:r>
      <w:r>
        <w:rPr>
          <w:rFonts w:ascii="Times New Roman" w:hAnsi="Times New Roman"/>
          <w:color w:val="auto"/>
          <w:spacing w:val="-2"/>
          <w:sz w:val="22"/>
          <w:szCs w:val="22"/>
          <w:highlight w:val="none"/>
          <w:u w:val="single"/>
          <w:lang w:eastAsia="zh-CN"/>
        </w:rPr>
        <w:tab/>
      </w:r>
      <w:r>
        <w:rPr>
          <w:rFonts w:ascii="Times New Roman" w:hAnsi="Times New Roman"/>
          <w:color w:val="auto"/>
          <w:spacing w:val="-2"/>
          <w:sz w:val="22"/>
          <w:szCs w:val="22"/>
          <w:highlight w:val="none"/>
          <w:lang w:eastAsia="zh-CN"/>
        </w:rPr>
        <w:t>项目采购活动提供本单位制造的货物（由本单位承担工程/提</w:t>
      </w:r>
      <w:r>
        <w:rPr>
          <w:rFonts w:ascii="Times New Roman" w:hAnsi="Times New Roman"/>
          <w:color w:val="auto"/>
          <w:spacing w:val="-57"/>
          <w:sz w:val="22"/>
          <w:szCs w:val="22"/>
          <w:highlight w:val="none"/>
          <w:lang w:eastAsia="zh-CN"/>
        </w:rPr>
        <w:t xml:space="preserve"> </w:t>
      </w:r>
      <w:r>
        <w:rPr>
          <w:rFonts w:ascii="Times New Roman" w:hAnsi="Times New Roman"/>
          <w:color w:val="auto"/>
          <w:spacing w:val="-4"/>
          <w:sz w:val="22"/>
          <w:szCs w:val="22"/>
          <w:highlight w:val="none"/>
          <w:lang w:eastAsia="zh-CN"/>
        </w:rPr>
        <w:t>供服务），或者提供其他残疾人福利性单位制造的货物（不包括使用非残疾人福利性单位注册</w:t>
      </w:r>
      <w:r>
        <w:rPr>
          <w:rFonts w:ascii="Times New Roman" w:hAnsi="Times New Roman"/>
          <w:color w:val="auto"/>
          <w:spacing w:val="-52"/>
          <w:sz w:val="22"/>
          <w:szCs w:val="22"/>
          <w:highlight w:val="none"/>
          <w:lang w:eastAsia="zh-CN"/>
        </w:rPr>
        <w:t xml:space="preserve"> </w:t>
      </w:r>
      <w:r>
        <w:rPr>
          <w:rFonts w:ascii="Times New Roman" w:hAnsi="Times New Roman"/>
          <w:color w:val="auto"/>
          <w:sz w:val="22"/>
          <w:szCs w:val="22"/>
          <w:highlight w:val="none"/>
          <w:lang w:eastAsia="zh-CN"/>
        </w:rPr>
        <w:t>商标的货物）。</w:t>
      </w:r>
    </w:p>
    <w:p w14:paraId="213CE514">
      <w:pPr>
        <w:pStyle w:val="23"/>
        <w:spacing w:before="46"/>
        <w:ind w:left="521" w:right="205"/>
        <w:rPr>
          <w:rFonts w:ascii="Times New Roman" w:hAnsi="Times New Roman"/>
          <w:color w:val="auto"/>
          <w:sz w:val="22"/>
          <w:szCs w:val="22"/>
          <w:highlight w:val="none"/>
          <w:lang w:eastAsia="zh-CN"/>
        </w:rPr>
      </w:pPr>
      <w:r>
        <w:rPr>
          <w:rFonts w:ascii="Times New Roman" w:hAnsi="Times New Roman"/>
          <w:color w:val="auto"/>
          <w:sz w:val="22"/>
          <w:szCs w:val="22"/>
          <w:highlight w:val="none"/>
          <w:lang w:eastAsia="zh-CN"/>
        </w:rPr>
        <w:t>本单位对上述声明的真实性负责。如有虚假，将依法承担相应责任。</w:t>
      </w:r>
    </w:p>
    <w:p w14:paraId="11238AF3">
      <w:pPr>
        <w:pStyle w:val="23"/>
        <w:tabs>
          <w:tab w:val="left" w:pos="5564"/>
        </w:tabs>
        <w:spacing w:before="166" w:line="384" w:lineRule="auto"/>
        <w:ind w:left="5142" w:right="1788"/>
        <w:rPr>
          <w:rFonts w:ascii="Times New Roman" w:hAnsi="Times New Roman"/>
          <w:color w:val="auto"/>
          <w:spacing w:val="-1"/>
          <w:sz w:val="22"/>
          <w:szCs w:val="22"/>
          <w:highlight w:val="none"/>
          <w:lang w:eastAsia="zh-CN"/>
        </w:rPr>
      </w:pPr>
    </w:p>
    <w:p w14:paraId="3322650D">
      <w:pPr>
        <w:pStyle w:val="23"/>
        <w:tabs>
          <w:tab w:val="left" w:pos="5564"/>
        </w:tabs>
        <w:spacing w:before="166" w:line="384" w:lineRule="auto"/>
        <w:ind w:left="5142" w:right="1788"/>
        <w:rPr>
          <w:rFonts w:ascii="Times New Roman" w:hAnsi="Times New Roman"/>
          <w:color w:val="auto"/>
          <w:spacing w:val="-95"/>
          <w:sz w:val="22"/>
          <w:szCs w:val="22"/>
          <w:highlight w:val="none"/>
          <w:lang w:eastAsia="zh-CN"/>
        </w:rPr>
      </w:pPr>
      <w:r>
        <w:rPr>
          <w:rFonts w:ascii="Times New Roman" w:hAnsi="Times New Roman"/>
          <w:color w:val="auto"/>
          <w:spacing w:val="-1"/>
          <w:sz w:val="22"/>
          <w:szCs w:val="22"/>
          <w:highlight w:val="none"/>
          <w:lang w:eastAsia="zh-CN"/>
        </w:rPr>
        <w:t>单位名称（盖章）：</w:t>
      </w:r>
      <w:r>
        <w:rPr>
          <w:rFonts w:ascii="Times New Roman" w:hAnsi="Times New Roman"/>
          <w:color w:val="auto"/>
          <w:spacing w:val="-95"/>
          <w:sz w:val="22"/>
          <w:szCs w:val="22"/>
          <w:highlight w:val="none"/>
          <w:lang w:eastAsia="zh-CN"/>
        </w:rPr>
        <w:t xml:space="preserve"> </w:t>
      </w:r>
    </w:p>
    <w:p w14:paraId="7B75A955">
      <w:pPr>
        <w:pStyle w:val="23"/>
        <w:tabs>
          <w:tab w:val="left" w:pos="5564"/>
        </w:tabs>
        <w:spacing w:before="166" w:line="384" w:lineRule="auto"/>
        <w:ind w:left="5142" w:right="1788"/>
        <w:rPr>
          <w:rFonts w:ascii="Times New Roman" w:hAnsi="Times New Roman"/>
          <w:color w:val="auto"/>
          <w:sz w:val="22"/>
          <w:szCs w:val="22"/>
          <w:highlight w:val="none"/>
          <w:lang w:eastAsia="zh-CN"/>
        </w:rPr>
      </w:pPr>
      <w:r>
        <w:rPr>
          <w:rFonts w:ascii="Times New Roman" w:hAnsi="Times New Roman"/>
          <w:color w:val="auto"/>
          <w:sz w:val="22"/>
          <w:szCs w:val="22"/>
          <w:highlight w:val="none"/>
          <w:lang w:eastAsia="zh-CN"/>
        </w:rPr>
        <w:t>日</w:t>
      </w:r>
      <w:r>
        <w:rPr>
          <w:rFonts w:ascii="Times New Roman" w:hAnsi="Times New Roman"/>
          <w:color w:val="auto"/>
          <w:sz w:val="22"/>
          <w:szCs w:val="22"/>
          <w:highlight w:val="none"/>
          <w:lang w:eastAsia="zh-CN"/>
        </w:rPr>
        <w:tab/>
      </w:r>
      <w:r>
        <w:rPr>
          <w:rFonts w:ascii="Times New Roman" w:hAnsi="Times New Roman"/>
          <w:color w:val="auto"/>
          <w:spacing w:val="-3"/>
          <w:sz w:val="22"/>
          <w:szCs w:val="22"/>
          <w:highlight w:val="none"/>
          <w:lang w:eastAsia="zh-CN"/>
        </w:rPr>
        <w:t>期：</w:t>
      </w:r>
    </w:p>
    <w:p w14:paraId="400A0195">
      <w:pPr>
        <w:spacing w:line="384" w:lineRule="auto"/>
        <w:rPr>
          <w:rFonts w:ascii="Times New Roman" w:hAnsi="Times New Roman"/>
          <w:color w:val="auto"/>
          <w:highlight w:val="none"/>
          <w:lang w:eastAsia="zh-CN"/>
        </w:rPr>
        <w:sectPr>
          <w:pgSz w:w="11910" w:h="16840"/>
          <w:pgMar w:top="1440" w:right="1080" w:bottom="1440" w:left="1080" w:header="0" w:footer="999" w:gutter="0"/>
          <w:cols w:space="720" w:num="1"/>
          <w:docGrid w:linePitch="360" w:charSpace="0"/>
        </w:sectPr>
      </w:pPr>
    </w:p>
    <w:p w14:paraId="4099D53A">
      <w:pPr>
        <w:spacing w:line="400" w:lineRule="exact"/>
        <w:rPr>
          <w:rFonts w:hint="default" w:ascii="宋体" w:hAnsi="宋体" w:eastAsia="宋体" w:cs="宋体"/>
          <w:b/>
          <w:color w:val="auto"/>
          <w:sz w:val="21"/>
          <w:szCs w:val="21"/>
          <w:highlight w:val="none"/>
          <w:lang w:val="en-US" w:eastAsia="zh-CN"/>
        </w:rPr>
      </w:pPr>
      <w:bookmarkStart w:id="163" w:name="_Toc133482170"/>
      <w:bookmarkStart w:id="164" w:name="_Toc133482083"/>
      <w:r>
        <w:rPr>
          <w:rFonts w:hint="eastAsia" w:ascii="宋体" w:hAnsi="宋体" w:eastAsia="宋体" w:cs="宋体"/>
          <w:b/>
          <w:color w:val="auto"/>
          <w:sz w:val="21"/>
          <w:szCs w:val="21"/>
          <w:highlight w:val="none"/>
          <w:lang w:val="en-US" w:eastAsia="zh-CN"/>
        </w:rPr>
        <w:t>3.监狱企业的证明文件</w:t>
      </w:r>
    </w:p>
    <w:p w14:paraId="26CFF532">
      <w:pPr>
        <w:pStyle w:val="3"/>
        <w:spacing w:line="354" w:lineRule="exact"/>
        <w:ind w:right="15"/>
        <w:jc w:val="both"/>
        <w:rPr>
          <w:rFonts w:ascii="Times New Roman" w:hAnsi="Times New Roman" w:cs="Times New Roman"/>
          <w:color w:val="auto"/>
          <w:highlight w:val="none"/>
          <w:lang w:eastAsia="zh-CN"/>
        </w:rPr>
      </w:pPr>
    </w:p>
    <w:p w14:paraId="1CADEED1">
      <w:pPr>
        <w:pStyle w:val="3"/>
        <w:spacing w:line="354" w:lineRule="exact"/>
        <w:ind w:right="15"/>
        <w:jc w:val="center"/>
        <w:rPr>
          <w:rFonts w:ascii="Times New Roman" w:hAnsi="Times New Roman" w:cs="Times New Roman"/>
          <w:color w:val="auto"/>
          <w:highlight w:val="none"/>
          <w:lang w:eastAsia="zh-CN"/>
        </w:rPr>
      </w:pPr>
    </w:p>
    <w:p w14:paraId="730F7B57">
      <w:pPr>
        <w:pStyle w:val="3"/>
        <w:spacing w:line="354" w:lineRule="exact"/>
        <w:ind w:right="15"/>
        <w:jc w:val="center"/>
        <w:rPr>
          <w:rFonts w:ascii="Times New Roman" w:hAnsi="Times New Roman" w:cs="Times New Roman"/>
          <w:b w:val="0"/>
          <w:bCs w:val="0"/>
          <w:color w:val="auto"/>
          <w:highlight w:val="none"/>
          <w:lang w:eastAsia="zh-CN"/>
        </w:rPr>
      </w:pPr>
      <w:r>
        <w:rPr>
          <w:rFonts w:ascii="Times New Roman" w:hAnsi="Times New Roman" w:cs="Times New Roman"/>
          <w:color w:val="auto"/>
          <w:highlight w:val="none"/>
          <w:lang w:eastAsia="zh-CN"/>
        </w:rPr>
        <w:t>属于监狱企业的证明文件</w:t>
      </w:r>
      <w:bookmarkEnd w:id="163"/>
      <w:bookmarkEnd w:id="164"/>
    </w:p>
    <w:p w14:paraId="49C1753D">
      <w:pPr>
        <w:pStyle w:val="23"/>
        <w:spacing w:before="236" w:line="386" w:lineRule="auto"/>
        <w:rPr>
          <w:rFonts w:ascii="Times New Roman" w:hAnsi="Times New Roman"/>
          <w:color w:val="auto"/>
          <w:highlight w:val="none"/>
          <w:lang w:eastAsia="zh-CN"/>
        </w:rPr>
      </w:pPr>
      <w:r>
        <w:rPr>
          <w:rFonts w:ascii="Times New Roman" w:hAnsi="Times New Roman"/>
          <w:color w:val="auto"/>
          <w:spacing w:val="-3"/>
          <w:highlight w:val="none"/>
          <w:lang w:eastAsia="zh-CN"/>
        </w:rPr>
        <w:t>（提供由省级以上监狱管理局、戒毒管理局</w:t>
      </w:r>
      <w:r>
        <w:rPr>
          <w:rFonts w:hint="eastAsia" w:ascii="Times New Roman" w:hAnsi="Times New Roman" w:eastAsia="Times New Roman"/>
          <w:color w:val="auto"/>
          <w:spacing w:val="-3"/>
          <w:highlight w:val="none"/>
          <w:lang w:eastAsia="zh-CN"/>
        </w:rPr>
        <w:t>（</w:t>
      </w:r>
      <w:r>
        <w:rPr>
          <w:rFonts w:ascii="Times New Roman" w:hAnsi="Times New Roman"/>
          <w:color w:val="auto"/>
          <w:spacing w:val="-3"/>
          <w:highlight w:val="none"/>
          <w:lang w:eastAsia="zh-CN"/>
        </w:rPr>
        <w:t>含新疆生产建设兵团</w:t>
      </w:r>
      <w:r>
        <w:rPr>
          <w:rFonts w:hint="eastAsia" w:ascii="Times New Roman" w:hAnsi="Times New Roman" w:eastAsia="Times New Roman"/>
          <w:color w:val="auto"/>
          <w:spacing w:val="-3"/>
          <w:highlight w:val="none"/>
          <w:lang w:eastAsia="zh-CN"/>
        </w:rPr>
        <w:t>）</w:t>
      </w:r>
      <w:r>
        <w:rPr>
          <w:rFonts w:ascii="Times New Roman" w:hAnsi="Times New Roman"/>
          <w:color w:val="auto"/>
          <w:spacing w:val="-3"/>
          <w:highlight w:val="none"/>
          <w:lang w:eastAsia="zh-CN"/>
        </w:rPr>
        <w:t>出具的属于监狱企业的证明</w:t>
      </w:r>
      <w:r>
        <w:rPr>
          <w:rFonts w:ascii="Times New Roman" w:hAnsi="Times New Roman"/>
          <w:color w:val="auto"/>
          <w:highlight w:val="none"/>
          <w:lang w:eastAsia="zh-CN"/>
        </w:rPr>
        <w:t>文件）</w:t>
      </w:r>
    </w:p>
    <w:p w14:paraId="1696F762">
      <w:pPr>
        <w:rPr>
          <w:rFonts w:hint="eastAsia" w:cs="宋体"/>
          <w:color w:val="auto"/>
          <w:szCs w:val="21"/>
          <w:highlight w:val="none"/>
        </w:rPr>
      </w:pPr>
      <w:r>
        <w:rPr>
          <w:rFonts w:hint="eastAsia" w:cs="宋体"/>
          <w:color w:val="auto"/>
          <w:szCs w:val="21"/>
          <w:highlight w:val="none"/>
        </w:rPr>
        <w:br w:type="page"/>
      </w:r>
    </w:p>
    <w:p w14:paraId="6A382BB7">
      <w:pPr>
        <w:pStyle w:val="3"/>
        <w:spacing w:line="400" w:lineRule="exact"/>
        <w:rPr>
          <w:rFonts w:ascii="方正小标宋简体" w:hAnsi="Arial" w:eastAsia="方正小标宋简体" w:cs="Arial"/>
          <w:color w:val="auto"/>
          <w:spacing w:val="9"/>
          <w:sz w:val="36"/>
          <w:szCs w:val="36"/>
          <w:highlight w:val="none"/>
        </w:rPr>
        <w:sectPr>
          <w:footerReference r:id="rId11" w:type="first"/>
          <w:footerReference r:id="rId10" w:type="default"/>
          <w:pgSz w:w="11906" w:h="16838"/>
          <w:pgMar w:top="1440" w:right="1080" w:bottom="1440" w:left="1080" w:header="851" w:footer="680" w:gutter="0"/>
          <w:cols w:space="720" w:num="1"/>
          <w:titlePg/>
          <w:docGrid w:type="lines" w:linePitch="290" w:charSpace="0"/>
        </w:sectPr>
      </w:pPr>
      <w:r>
        <w:rPr>
          <w:rFonts w:hint="eastAsia" w:cs="宋体"/>
          <w:color w:val="auto"/>
          <w:szCs w:val="21"/>
          <w:highlight w:val="none"/>
        </w:rPr>
        <w:t>六、其他针对评标办法的其他相关文件</w:t>
      </w:r>
      <w:bookmarkEnd w:id="112"/>
      <w:bookmarkEnd w:id="113"/>
      <w:bookmarkEnd w:id="114"/>
      <w:bookmarkEnd w:id="115"/>
      <w:bookmarkEnd w:id="116"/>
      <w:bookmarkEnd w:id="117"/>
      <w:bookmarkEnd w:id="118"/>
      <w:bookmarkEnd w:id="159"/>
      <w:bookmarkEnd w:id="160"/>
    </w:p>
    <w:p w14:paraId="4BFF0079">
      <w:pPr>
        <w:snapToGrid w:val="0"/>
        <w:spacing w:line="360" w:lineRule="auto"/>
        <w:rPr>
          <w:rFonts w:ascii="宋体" w:hAnsi="宋体" w:eastAsia="宋体"/>
          <w:color w:val="auto"/>
          <w:sz w:val="21"/>
          <w:szCs w:val="21"/>
          <w:highlight w:val="none"/>
        </w:rPr>
      </w:pPr>
    </w:p>
    <w:sectPr>
      <w:type w:val="continuous"/>
      <w:pgSz w:w="11906" w:h="16838"/>
      <w:pgMar w:top="1440" w:right="1080" w:bottom="1440" w:left="1080" w:header="851" w:footer="680" w:gutter="0"/>
      <w:cols w:space="720" w:num="1"/>
      <w:titlePg/>
      <w:docGrid w:type="lines" w:linePitch="29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D28B30C6-EDCE-4222-ACB1-9FF1130C2E90}"/>
  </w:font>
  <w:font w:name="黑体">
    <w:panose1 w:val="02010609060101010101"/>
    <w:charset w:val="86"/>
    <w:family w:val="auto"/>
    <w:pitch w:val="default"/>
    <w:sig w:usb0="800002BF" w:usb1="38CF7CFA" w:usb2="00000016" w:usb3="00000000" w:csb0="00040001" w:csb1="00000000"/>
    <w:embedRegular r:id="rId2" w:fontKey="{3B99D2A0-9882-4ED4-93A6-A22EEDD6DF2F}"/>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Arial Unicode MS">
    <w:panose1 w:val="020B0604020202020204"/>
    <w:charset w:val="86"/>
    <w:family w:val="swiss"/>
    <w:pitch w:val="default"/>
    <w:sig w:usb0="FFFFFFFF" w:usb1="E9FFFFFF" w:usb2="0000003F" w:usb3="00000000" w:csb0="603F01FF" w:csb1="FFFF0000"/>
  </w:font>
  <w:font w:name="Helvetica">
    <w:altName w:val="Arial"/>
    <w:panose1 w:val="020B0604020202020204"/>
    <w:charset w:val="00"/>
    <w:family w:val="swiss"/>
    <w:pitch w:val="default"/>
    <w:sig w:usb0="00000000" w:usb1="00000000" w:usb2="00000000" w:usb3="00000000" w:csb0="00000001" w:csb1="00000000"/>
  </w:font>
  <w:font w:name="Georgia">
    <w:panose1 w:val="02040502050405020303"/>
    <w:charset w:val="00"/>
    <w:family w:val="roman"/>
    <w:pitch w:val="default"/>
    <w:sig w:usb0="00000287" w:usb1="00000000" w:usb2="00000000" w:usb3="00000000" w:csb0="2000009F" w:csb1="00000000"/>
  </w:font>
  <w:font w:name="微软雅黑">
    <w:panose1 w:val="020B0503020204020204"/>
    <w:charset w:val="86"/>
    <w:family w:val="swiss"/>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 w:name="Tahoma">
    <w:panose1 w:val="020B0604030504040204"/>
    <w:charset w:val="00"/>
    <w:family w:val="swiss"/>
    <w:pitch w:val="default"/>
    <w:sig w:usb0="E1002EFF" w:usb1="C000605B" w:usb2="00000029" w:usb3="00000000" w:csb0="200101FF" w:csb1="20280000"/>
  </w:font>
  <w:font w:name="华文细黑">
    <w:panose1 w:val="02010600040101010101"/>
    <w:charset w:val="86"/>
    <w:family w:val="auto"/>
    <w:pitch w:val="default"/>
    <w:sig w:usb0="00000287" w:usb1="080F0000" w:usb2="00000000" w:usb3="00000000" w:csb0="0004009F" w:csb1="DFD70000"/>
  </w:font>
  <w:font w:name="HYDaHeiJ">
    <w:altName w:val="宋体"/>
    <w:panose1 w:val="00000000000000000000"/>
    <w:charset w:val="86"/>
    <w:family w:val="swiss"/>
    <w:pitch w:val="default"/>
    <w:sig w:usb0="00000000" w:usb1="00000000" w:usb2="00000010" w:usb3="00000000" w:csb0="00040000" w:csb1="00000000"/>
  </w:font>
  <w:font w:name="华文楷体">
    <w:panose1 w:val="02010600040101010101"/>
    <w:charset w:val="86"/>
    <w:family w:val="auto"/>
    <w:pitch w:val="default"/>
    <w:sig w:usb0="00000287" w:usb1="080F0000" w:usb2="00000000" w:usb3="00000000" w:csb0="0004009F" w:csb1="DFD70000"/>
  </w:font>
  <w:font w:name="Helvetica Neue">
    <w:altName w:val="Times New Roman"/>
    <w:panose1 w:val="00000000000000000000"/>
    <w:charset w:val="00"/>
    <w:family w:val="auto"/>
    <w:pitch w:val="default"/>
    <w:sig w:usb0="00000000" w:usb1="00000000" w:usb2="00000010" w:usb3="00000000" w:csb0="00000000" w:csb1="00000000"/>
  </w:font>
  <w:font w:name="等线">
    <w:panose1 w:val="02010600030101010101"/>
    <w:charset w:val="86"/>
    <w:family w:val="auto"/>
    <w:pitch w:val="default"/>
    <w:sig w:usb0="A00002BF" w:usb1="38CF7CFA" w:usb2="00000016" w:usb3="00000000" w:csb0="0004000F" w:csb1="00000000"/>
  </w:font>
  <w:font w:name="Segoe UI">
    <w:panose1 w:val="020B0502040204020203"/>
    <w:charset w:val="00"/>
    <w:family w:val="auto"/>
    <w:pitch w:val="default"/>
    <w:sig w:usb0="E4002EFF" w:usb1="C000E47F" w:usb2="00000009" w:usb3="00000000" w:csb0="200001FF" w:csb1="00000000"/>
    <w:embedRegular r:id="rId3" w:fontKey="{36C022A9-7D47-49FE-9FB6-5722DF7625D1}"/>
  </w:font>
  <w:font w:name="方正小标宋简体">
    <w:panose1 w:val="02000000000000000000"/>
    <w:charset w:val="86"/>
    <w:family w:val="auto"/>
    <w:pitch w:val="default"/>
    <w:sig w:usb0="00000001" w:usb1="08000000" w:usb2="00000000" w:usb3="00000000" w:csb0="00040000" w:csb1="00000000"/>
    <w:embedRegular r:id="rId4" w:fontKey="{17059FA9-840D-4A02-9F13-286B2BF753AF}"/>
  </w:font>
  <w:font w:name="WPSEMBED1">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AB06E7">
    <w:pPr>
      <w:pStyle w:val="35"/>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28D7B560">
                          <w:pPr>
                            <w:pStyle w:val="35"/>
                          </w:pPr>
                          <w:r>
                            <w:fldChar w:fldCharType="begin"/>
                          </w:r>
                          <w:r>
                            <w:instrText xml:space="preserve"> PAGE  \* MERGEFORMAT </w:instrText>
                          </w:r>
                          <w:r>
                            <w:fldChar w:fldCharType="separate"/>
                          </w:r>
                          <w:r>
                            <w:t>17</w:t>
                          </w:r>
                          <w:r>
                            <w:fldChar w:fldCharType="end"/>
                          </w:r>
                        </w:p>
                      </w:txbxContent>
                    </wps:txbx>
                    <wps:bodyPr wrap="none" lIns="0" tIns="0" rIns="0" bIns="0" upright="1">
                      <a:spAutoFit/>
                    </wps:bodyPr>
                  </wps:wsp>
                </a:graphicData>
              </a:graphic>
            </wp:anchor>
          </w:drawing>
        </mc:Choice>
        <mc:Fallback>
          <w:pict>
            <v:shape id="文本框 1030"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M6pebnPAAAABQEAAA8AAAAAAAAAAQAgAAAAIgAAAGRycy9kb3du&#10;cmV2LnhtbFBLAQIUABQAAAAIAIdO4kAZp6cdzwEAAKoDAAAOAAAAAAAAAAEAIAAAAB4BAABkcnMv&#10;ZTJvRG9jLnhtbFBLBQYAAAAABgAGAFkBAABfBQAAAAA=&#10;">
              <v:fill on="f" focussize="0,0"/>
              <v:stroke on="f"/>
              <v:imagedata o:title=""/>
              <o:lock v:ext="edit" aspectratio="f"/>
              <v:textbox inset="0mm,0mm,0mm,0mm" style="mso-fit-shape-to-text:t;">
                <w:txbxContent>
                  <w:p w14:paraId="28D7B560">
                    <w:pPr>
                      <w:pStyle w:val="35"/>
                    </w:pPr>
                    <w:r>
                      <w:fldChar w:fldCharType="begin"/>
                    </w:r>
                    <w:r>
                      <w:instrText xml:space="preserve"> PAGE  \* MERGEFORMAT </w:instrText>
                    </w:r>
                    <w:r>
                      <w:fldChar w:fldCharType="separate"/>
                    </w:r>
                    <w:r>
                      <w:t>17</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747418">
    <w:pPr>
      <w:pStyle w:val="35"/>
      <w:framePr w:wrap="around" w:vAnchor="text" w:hAnchor="margin" w:xAlign="center" w:y="1"/>
      <w:rPr>
        <w:rStyle w:val="64"/>
      </w:rPr>
    </w:pPr>
    <w:r>
      <w:fldChar w:fldCharType="begin"/>
    </w:r>
    <w:r>
      <w:rPr>
        <w:rStyle w:val="64"/>
      </w:rPr>
      <w:instrText xml:space="preserve">PAGE  </w:instrText>
    </w:r>
    <w:r>
      <w:fldChar w:fldCharType="separate"/>
    </w:r>
    <w:r>
      <w:rPr>
        <w:rStyle w:val="64"/>
      </w:rPr>
      <w:t>1</w:t>
    </w:r>
    <w:r>
      <w:fldChar w:fldCharType="end"/>
    </w:r>
  </w:p>
  <w:p w14:paraId="566EB358">
    <w:pPr>
      <w:pStyle w:val="3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226E5B">
    <w:pPr>
      <w:pStyle w:val="35"/>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02958C86">
                          <w:pPr>
                            <w:pStyle w:val="35"/>
                          </w:pPr>
                          <w:r>
                            <w:fldChar w:fldCharType="begin"/>
                          </w:r>
                          <w:r>
                            <w:instrText xml:space="preserve"> PAGE  \* MERGEFORMAT </w:instrText>
                          </w:r>
                          <w:r>
                            <w:fldChar w:fldCharType="separate"/>
                          </w:r>
                          <w:r>
                            <w:t>1</w:t>
                          </w:r>
                          <w:r>
                            <w:fldChar w:fldCharType="end"/>
                          </w:r>
                        </w:p>
                      </w:txbxContent>
                    </wps:txbx>
                    <wps:bodyPr wrap="none" lIns="0" tIns="0" rIns="0" bIns="0" upright="1">
                      <a:spAutoFit/>
                    </wps:bodyPr>
                  </wps:wsp>
                </a:graphicData>
              </a:graphic>
            </wp:anchor>
          </w:drawing>
        </mc:Choice>
        <mc:Fallback>
          <w:pict>
            <v:shape id="文本框 1031"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OqXm5zwAAAAUBAAAPAAAAAAAAAAEAIAAAACIAAABkcnMvZG93&#10;bnJldi54bWxQSwECFAAUAAAACACHTuJAawSL9NABAACqAwAADgAAAAAAAAABACAAAAAeAQAAZHJz&#10;L2Uyb0RvYy54bWxQSwUGAAAAAAYABgBZAQAAYAUAAAAA&#10;">
              <v:fill on="f" focussize="0,0"/>
              <v:stroke on="f"/>
              <v:imagedata o:title=""/>
              <o:lock v:ext="edit" aspectratio="f"/>
              <v:textbox inset="0mm,0mm,0mm,0mm" style="mso-fit-shape-to-text:t;">
                <w:txbxContent>
                  <w:p w14:paraId="02958C86">
                    <w:pPr>
                      <w:pStyle w:val="3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37853907"/>
    </w:sdtPr>
    <w:sdtContent>
      <w:p w14:paraId="2967924B">
        <w:pPr>
          <w:pStyle w:val="35"/>
          <w:jc w:val="center"/>
        </w:pPr>
        <w:r>
          <w:fldChar w:fldCharType="begin"/>
        </w:r>
        <w:r>
          <w:instrText xml:space="preserve"> PAGE   \* MERGEFORMAT </w:instrText>
        </w:r>
        <w:r>
          <w:fldChar w:fldCharType="separate"/>
        </w:r>
        <w:r>
          <w:rPr>
            <w:lang w:val="zh-CN"/>
          </w:rPr>
          <w:t>1</w:t>
        </w:r>
        <w:r>
          <w:rPr>
            <w:lang w:val="zh-CN"/>
          </w:rPr>
          <w:fldChar w:fldCharType="end"/>
        </w:r>
      </w:p>
    </w:sdtContent>
  </w:sdt>
  <w:p w14:paraId="3CC07C26">
    <w:pPr>
      <w:pStyle w:val="35"/>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C715ED">
    <w:pPr>
      <w:pStyle w:val="3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726AEC4E">
                          <w:pPr>
                            <w:pStyle w:val="35"/>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17</w:t>
                          </w:r>
                          <w:r>
                            <w:rPr>
                              <w:rFonts w:eastAsia="宋体"/>
                            </w:rPr>
                            <w:fldChar w:fldCharType="end"/>
                          </w:r>
                        </w:p>
                      </w:txbxContent>
                    </wps:txbx>
                    <wps:bodyPr wrap="none" lIns="0" tIns="0" rIns="0" bIns="0" upright="1">
                      <a:spAutoFit/>
                    </wps:bodyPr>
                  </wps:wsp>
                </a:graphicData>
              </a:graphic>
            </wp:anchor>
          </w:drawing>
        </mc:Choice>
        <mc:Fallback>
          <w:pict>
            <v:shape id="文本框 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M6pebnPAAAABQEAAA8AAAAAAAAAAQAgAAAAIgAAAGRycy9kb3du&#10;cmV2LnhtbFBLAQIUABQAAAAIAIdO4kBfvyfQzwEAAKoDAAAOAAAAAAAAAAEAIAAAAB4BAABkcnMv&#10;ZTJvRG9jLnhtbFBLBQYAAAAABgAGAFkBAABfBQAAAAA=&#10;">
              <v:fill on="f" focussize="0,0"/>
              <v:stroke on="f"/>
              <v:imagedata o:title=""/>
              <o:lock v:ext="edit" aspectratio="f"/>
              <v:textbox inset="0mm,0mm,0mm,0mm" style="mso-fit-shape-to-text:t;">
                <w:txbxContent>
                  <w:p w14:paraId="726AEC4E">
                    <w:pPr>
                      <w:pStyle w:val="35"/>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17</w:t>
                    </w:r>
                    <w:r>
                      <w:rPr>
                        <w:rFonts w:eastAsia="宋体"/>
                      </w:rP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F67C49">
    <w:pPr>
      <w:pStyle w:val="35"/>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5DDE9C86">
                          <w:pPr>
                            <w:pStyle w:val="35"/>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2</w:t>
                          </w:r>
                          <w:r>
                            <w:rPr>
                              <w:rFonts w:eastAsia="宋体"/>
                            </w:rPr>
                            <w:fldChar w:fldCharType="end"/>
                          </w:r>
                        </w:p>
                      </w:txbxContent>
                    </wps:txbx>
                    <wps:bodyPr wrap="none" lIns="0" tIns="0" rIns="0" bIns="0" upright="1">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OqXm5zwAAAAUBAAAPAAAAAAAAAAEAIAAAACIAAABkcnMvZG93&#10;bnJldi54bWxQSwECFAAUAAAACACHTuJAcumwDdABAACqAwAADgAAAAAAAAABACAAAAAeAQAAZHJz&#10;L2Uyb0RvYy54bWxQSwUGAAAAAAYABgBZAQAAYAUAAAAA&#10;">
              <v:fill on="f" focussize="0,0"/>
              <v:stroke on="f"/>
              <v:imagedata o:title=""/>
              <o:lock v:ext="edit" aspectratio="f"/>
              <v:textbox inset="0mm,0mm,0mm,0mm" style="mso-fit-shape-to-text:t;">
                <w:txbxContent>
                  <w:p w14:paraId="5DDE9C86">
                    <w:pPr>
                      <w:pStyle w:val="35"/>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2</w:t>
                    </w:r>
                    <w:r>
                      <w:rPr>
                        <w:rFonts w:eastAsia="宋体"/>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0CBF87">
    <w:pPr>
      <w:pStyle w:val="3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207B4F">
    <w:pPr>
      <w:pStyle w:val="36"/>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627840">
    <w:pPr>
      <w:pStyle w:val="36"/>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6"/>
      <w:numFmt w:val="chineseCounting"/>
      <w:suff w:val="nothing"/>
      <w:lvlText w:val="%1、"/>
      <w:lvlJc w:val="left"/>
    </w:lvl>
    <w:lvl w:ilvl="1" w:tentative="0">
      <w:start w:val="1"/>
      <w:numFmt w:val="bullet"/>
      <w:suff w:val="space"/>
      <w:lvlText w:val="o"/>
      <w:lvlJc w:val="left"/>
      <w:pPr>
        <w:ind w:left="1440" w:hanging="360"/>
      </w:pPr>
      <w:rPr>
        <w:rFonts w:ascii="Courier New" w:hAnsi="Courier New" w:eastAsia="Courier New" w:cs="Courier New"/>
      </w:rPr>
    </w:lvl>
    <w:lvl w:ilvl="2" w:tentative="0">
      <w:start w:val="1"/>
      <w:numFmt w:val="bullet"/>
      <w:suff w:val="space"/>
      <w:lvlText w:val="§"/>
      <w:lvlJc w:val="left"/>
      <w:pPr>
        <w:ind w:left="2160" w:hanging="360"/>
      </w:pPr>
      <w:rPr>
        <w:rFonts w:ascii="Wingdings" w:hAnsi="Wingdings" w:eastAsia="Wingdings" w:cs="Wingdings"/>
      </w:rPr>
    </w:lvl>
    <w:lvl w:ilvl="3" w:tentative="0">
      <w:start w:val="1"/>
      <w:numFmt w:val="bullet"/>
      <w:suff w:val="space"/>
      <w:lvlText w:val="·"/>
      <w:lvlJc w:val="left"/>
      <w:pPr>
        <w:ind w:left="2880" w:hanging="360"/>
      </w:pPr>
      <w:rPr>
        <w:rFonts w:ascii="Symbol" w:hAnsi="Symbol" w:eastAsia="Symbol" w:cs="Symbol"/>
      </w:rPr>
    </w:lvl>
    <w:lvl w:ilvl="4" w:tentative="0">
      <w:start w:val="1"/>
      <w:numFmt w:val="bullet"/>
      <w:suff w:val="space"/>
      <w:lvlText w:val="o"/>
      <w:lvlJc w:val="left"/>
      <w:pPr>
        <w:ind w:left="3600" w:hanging="360"/>
      </w:pPr>
      <w:rPr>
        <w:rFonts w:ascii="Courier New" w:hAnsi="Courier New" w:eastAsia="Courier New" w:cs="Courier New"/>
      </w:rPr>
    </w:lvl>
    <w:lvl w:ilvl="5" w:tentative="0">
      <w:start w:val="1"/>
      <w:numFmt w:val="bullet"/>
      <w:suff w:val="space"/>
      <w:lvlText w:val="§"/>
      <w:lvlJc w:val="left"/>
      <w:pPr>
        <w:ind w:left="4320" w:hanging="360"/>
      </w:pPr>
      <w:rPr>
        <w:rFonts w:ascii="Wingdings" w:hAnsi="Wingdings" w:eastAsia="Wingdings" w:cs="Wingdings"/>
      </w:rPr>
    </w:lvl>
    <w:lvl w:ilvl="6" w:tentative="0">
      <w:start w:val="1"/>
      <w:numFmt w:val="bullet"/>
      <w:suff w:val="space"/>
      <w:lvlText w:val="·"/>
      <w:lvlJc w:val="left"/>
      <w:pPr>
        <w:ind w:left="5040" w:hanging="360"/>
      </w:pPr>
      <w:rPr>
        <w:rFonts w:ascii="Symbol" w:hAnsi="Symbol" w:eastAsia="Symbol" w:cs="Symbol"/>
      </w:rPr>
    </w:lvl>
    <w:lvl w:ilvl="7" w:tentative="0">
      <w:start w:val="1"/>
      <w:numFmt w:val="bullet"/>
      <w:suff w:val="space"/>
      <w:lvlText w:val="o"/>
      <w:lvlJc w:val="left"/>
      <w:pPr>
        <w:ind w:left="5760" w:hanging="360"/>
      </w:pPr>
      <w:rPr>
        <w:rFonts w:ascii="Courier New" w:hAnsi="Courier New" w:eastAsia="Courier New" w:cs="Courier New"/>
      </w:rPr>
    </w:lvl>
    <w:lvl w:ilvl="8" w:tentative="0">
      <w:start w:val="1"/>
      <w:numFmt w:val="bullet"/>
      <w:suff w:val="space"/>
      <w:lvlText w:val="§"/>
      <w:lvlJc w:val="left"/>
      <w:pPr>
        <w:ind w:left="6480" w:hanging="360"/>
      </w:pPr>
      <w:rPr>
        <w:rFonts w:ascii="Wingdings" w:hAnsi="Wingdings" w:eastAsia="Wingdings" w:cs="Wingdings"/>
      </w:rPr>
    </w:lvl>
  </w:abstractNum>
  <w:abstractNum w:abstractNumId="1">
    <w:nsid w:val="CF092B84"/>
    <w:multiLevelType w:val="multilevel"/>
    <w:tmpl w:val="CF092B84"/>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03D62ECE"/>
    <w:multiLevelType w:val="multilevel"/>
    <w:tmpl w:val="03D62ECE"/>
    <w:lvl w:ilvl="0" w:tentative="0">
      <w:start w:val="3"/>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20620658"/>
    <w:multiLevelType w:val="multilevel"/>
    <w:tmpl w:val="20620658"/>
    <w:lvl w:ilvl="0" w:tentative="0">
      <w:start w:val="1"/>
      <w:numFmt w:val="bullet"/>
      <w:pStyle w:val="115"/>
      <w:lvlText w:val=""/>
      <w:lvlJc w:val="left"/>
      <w:pPr>
        <w:tabs>
          <w:tab w:val="left" w:pos="420"/>
        </w:tabs>
        <w:ind w:left="420" w:hanging="420"/>
      </w:pPr>
      <w:rPr>
        <w:rFonts w:hint="default" w:ascii="Wingdings" w:hAnsi="Wingdings"/>
      </w:rPr>
    </w:lvl>
    <w:lvl w:ilvl="1" w:tentative="0">
      <w:start w:val="1"/>
      <w:numFmt w:val="decimal"/>
      <w:lvlText w:val="（%2）"/>
      <w:lvlJc w:val="left"/>
      <w:pPr>
        <w:tabs>
          <w:tab w:val="left" w:pos="1500"/>
        </w:tabs>
        <w:ind w:left="1500" w:hanging="1080"/>
      </w:pPr>
      <w:rPr>
        <w:rFonts w:hint="eastAsia"/>
      </w:rPr>
    </w:lvl>
    <w:lvl w:ilvl="2" w:tentative="0">
      <w:start w:val="1"/>
      <w:numFmt w:val="decimal"/>
      <w:lvlText w:val="（%3）"/>
      <w:lvlJc w:val="left"/>
      <w:pPr>
        <w:tabs>
          <w:tab w:val="left" w:pos="1560"/>
        </w:tabs>
        <w:ind w:left="1560" w:hanging="720"/>
      </w:pPr>
      <w:rPr>
        <w:rFonts w:hint="eastAsia"/>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7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5">
    <w:nsid w:val="44121AA6"/>
    <w:multiLevelType w:val="multilevel"/>
    <w:tmpl w:val="44121AA6"/>
    <w:lvl w:ilvl="0" w:tentative="0">
      <w:start w:val="1"/>
      <w:numFmt w:val="decimal"/>
      <w:pStyle w:val="218"/>
      <w:lvlText w:val="(%1)"/>
      <w:lvlJc w:val="left"/>
      <w:pPr>
        <w:tabs>
          <w:tab w:val="left" w:pos="397"/>
        </w:tabs>
        <w:ind w:left="397" w:hanging="397"/>
      </w:pPr>
      <w:rPr>
        <w:rFonts w:hint="default" w:ascii="Arial" w:hAnsi="Arial" w:eastAsia="宋体"/>
        <w:b w:val="0"/>
        <w:i w:val="0"/>
        <w:color w:val="auto"/>
        <w:sz w:val="18"/>
        <w:szCs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pStyle w:val="205"/>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
    <w:nsid w:val="51002338"/>
    <w:multiLevelType w:val="singleLevel"/>
    <w:tmpl w:val="51002338"/>
    <w:lvl w:ilvl="0" w:tentative="0">
      <w:start w:val="1"/>
      <w:numFmt w:val="bullet"/>
      <w:pStyle w:val="405"/>
      <w:lvlText w:val=""/>
      <w:lvlJc w:val="left"/>
      <w:pPr>
        <w:tabs>
          <w:tab w:val="left" w:pos="360"/>
        </w:tabs>
        <w:ind w:left="360" w:hanging="360"/>
      </w:pPr>
      <w:rPr>
        <w:rFonts w:hint="default" w:ascii="Symbol" w:hAnsi="Symbol"/>
      </w:rPr>
    </w:lvl>
  </w:abstractNum>
  <w:abstractNum w:abstractNumId="7">
    <w:nsid w:val="581D2BC5"/>
    <w:multiLevelType w:val="multilevel"/>
    <w:tmpl w:val="581D2BC5"/>
    <w:lvl w:ilvl="0" w:tentative="0">
      <w:start w:val="1"/>
      <w:numFmt w:val="decimal"/>
      <w:pStyle w:val="338"/>
      <w:lvlText w:val="%1"/>
      <w:lvlJc w:val="left"/>
      <w:pPr>
        <w:tabs>
          <w:tab w:val="left" w:pos="567"/>
        </w:tabs>
        <w:ind w:left="567" w:hanging="567"/>
      </w:pPr>
      <w:rPr>
        <w:rFonts w:hint="eastAsia"/>
      </w:rPr>
    </w:lvl>
    <w:lvl w:ilvl="1" w:tentative="0">
      <w:start w:val="1"/>
      <w:numFmt w:val="decimal"/>
      <w:pStyle w:val="281"/>
      <w:lvlText w:val="%1.%2"/>
      <w:lvlJc w:val="left"/>
      <w:pPr>
        <w:tabs>
          <w:tab w:val="left" w:pos="1004"/>
        </w:tabs>
        <w:ind w:left="567" w:hanging="283"/>
      </w:pPr>
      <w:rPr>
        <w:rFonts w:hint="eastAsia"/>
      </w:rPr>
    </w:lvl>
    <w:lvl w:ilvl="2" w:tentative="0">
      <w:start w:val="1"/>
      <w:numFmt w:val="decimal"/>
      <w:pStyle w:val="280"/>
      <w:lvlText w:val="%1.%2.%3"/>
      <w:lvlJc w:val="left"/>
      <w:pPr>
        <w:tabs>
          <w:tab w:val="left" w:pos="1647"/>
        </w:tabs>
        <w:ind w:left="1134" w:hanging="567"/>
      </w:pPr>
      <w:rPr>
        <w:rFonts w:hint="eastAsia"/>
      </w:rPr>
    </w:lvl>
    <w:lvl w:ilvl="3" w:tentative="0">
      <w:start w:val="1"/>
      <w:numFmt w:val="decimal"/>
      <w:lvlText w:val="%1.%2.%3.%4"/>
      <w:lvlJc w:val="left"/>
      <w:pPr>
        <w:tabs>
          <w:tab w:val="left" w:pos="3223"/>
        </w:tabs>
        <w:ind w:left="2851" w:hanging="708"/>
      </w:pPr>
      <w:rPr>
        <w:rFonts w:hint="eastAsia"/>
      </w:rPr>
    </w:lvl>
    <w:lvl w:ilvl="4" w:tentative="0">
      <w:start w:val="1"/>
      <w:numFmt w:val="decimal"/>
      <w:lvlText w:val="%1.%2.%3.%4.%5"/>
      <w:lvlJc w:val="left"/>
      <w:pPr>
        <w:tabs>
          <w:tab w:val="left" w:pos="3648"/>
        </w:tabs>
        <w:ind w:left="3418" w:hanging="850"/>
      </w:pPr>
      <w:rPr>
        <w:rFonts w:hint="eastAsia"/>
      </w:rPr>
    </w:lvl>
    <w:lvl w:ilvl="5" w:tentative="0">
      <w:start w:val="1"/>
      <w:numFmt w:val="decimal"/>
      <w:lvlText w:val="%1.%2.%3.%4.%5.%6"/>
      <w:lvlJc w:val="left"/>
      <w:pPr>
        <w:tabs>
          <w:tab w:val="left" w:pos="4433"/>
        </w:tabs>
        <w:ind w:left="4127" w:hanging="1134"/>
      </w:pPr>
      <w:rPr>
        <w:rFonts w:hint="eastAsia"/>
      </w:rPr>
    </w:lvl>
    <w:lvl w:ilvl="6" w:tentative="0">
      <w:start w:val="1"/>
      <w:numFmt w:val="decimal"/>
      <w:lvlText w:val="%1.%2.%3.%4.%5.%6.%7"/>
      <w:lvlJc w:val="left"/>
      <w:pPr>
        <w:tabs>
          <w:tab w:val="left" w:pos="4858"/>
        </w:tabs>
        <w:ind w:left="4694" w:hanging="1276"/>
      </w:pPr>
      <w:rPr>
        <w:rFonts w:hint="eastAsia"/>
      </w:rPr>
    </w:lvl>
    <w:lvl w:ilvl="7" w:tentative="0">
      <w:start w:val="1"/>
      <w:numFmt w:val="decimal"/>
      <w:lvlText w:val="%1.%2.%3.%4.%5.%6.%7.%8"/>
      <w:lvlJc w:val="left"/>
      <w:pPr>
        <w:tabs>
          <w:tab w:val="left" w:pos="5643"/>
        </w:tabs>
        <w:ind w:left="5261" w:hanging="1418"/>
      </w:pPr>
      <w:rPr>
        <w:rFonts w:hint="eastAsia"/>
      </w:rPr>
    </w:lvl>
    <w:lvl w:ilvl="8" w:tentative="0">
      <w:start w:val="1"/>
      <w:numFmt w:val="decimal"/>
      <w:lvlText w:val="%1.%2.%3.%4.%5.%6.%7.%8.%9"/>
      <w:lvlJc w:val="left"/>
      <w:pPr>
        <w:tabs>
          <w:tab w:val="left" w:pos="6429"/>
        </w:tabs>
        <w:ind w:left="5969" w:hanging="1700"/>
      </w:pPr>
      <w:rPr>
        <w:rFonts w:hint="eastAsia"/>
      </w:rPr>
    </w:lvl>
  </w:abstractNum>
  <w:abstractNum w:abstractNumId="8">
    <w:nsid w:val="59ADCABA"/>
    <w:multiLevelType w:val="multilevel"/>
    <w:tmpl w:val="59ADCABA"/>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7A0F535A"/>
    <w:multiLevelType w:val="multilevel"/>
    <w:tmpl w:val="7A0F535A"/>
    <w:lvl w:ilvl="0" w:tentative="0">
      <w:start w:val="1"/>
      <w:numFmt w:val="decimal"/>
      <w:pStyle w:val="451"/>
      <w:lvlText w:val="5.8.%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4"/>
  </w:num>
  <w:num w:numId="2">
    <w:abstractNumId w:val="3"/>
  </w:num>
  <w:num w:numId="3">
    <w:abstractNumId w:val="5"/>
  </w:num>
  <w:num w:numId="4">
    <w:abstractNumId w:val="7"/>
  </w:num>
  <w:num w:numId="5">
    <w:abstractNumId w:val="6"/>
  </w:num>
  <w:num w:numId="6">
    <w:abstractNumId w:val="9"/>
  </w:num>
  <w:num w:numId="7">
    <w:abstractNumId w:val="8"/>
  </w:num>
  <w:num w:numId="8">
    <w:abstractNumId w:val="0"/>
  </w:num>
  <w:num w:numId="9">
    <w:abstractNumId w:val="1"/>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420"/>
  <w:drawingGridVerticalSpacing w:val="148"/>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AyNDk0ZmY5ZDQyNjAzMWY5OTYyMmFhNTZjNDJjMTkifQ=="/>
  </w:docVars>
  <w:rsids>
    <w:rsidRoot w:val="00C64521"/>
    <w:rsid w:val="00015675"/>
    <w:rsid w:val="0002541D"/>
    <w:rsid w:val="00025919"/>
    <w:rsid w:val="00027BB3"/>
    <w:rsid w:val="00030B61"/>
    <w:rsid w:val="00031E81"/>
    <w:rsid w:val="00032C0F"/>
    <w:rsid w:val="00034C3F"/>
    <w:rsid w:val="00037456"/>
    <w:rsid w:val="00047CC1"/>
    <w:rsid w:val="00047E9D"/>
    <w:rsid w:val="00064CC9"/>
    <w:rsid w:val="0006604D"/>
    <w:rsid w:val="00080306"/>
    <w:rsid w:val="00093BAC"/>
    <w:rsid w:val="000A76A3"/>
    <w:rsid w:val="000B44A7"/>
    <w:rsid w:val="000B521C"/>
    <w:rsid w:val="000C613F"/>
    <w:rsid w:val="000D53E4"/>
    <w:rsid w:val="000E1196"/>
    <w:rsid w:val="000E2834"/>
    <w:rsid w:val="00102045"/>
    <w:rsid w:val="00114036"/>
    <w:rsid w:val="00114B83"/>
    <w:rsid w:val="00117FC5"/>
    <w:rsid w:val="00132986"/>
    <w:rsid w:val="00145FCF"/>
    <w:rsid w:val="001504E2"/>
    <w:rsid w:val="0015619B"/>
    <w:rsid w:val="001726C8"/>
    <w:rsid w:val="00180395"/>
    <w:rsid w:val="001928DB"/>
    <w:rsid w:val="0019417C"/>
    <w:rsid w:val="001A2C43"/>
    <w:rsid w:val="001D2844"/>
    <w:rsid w:val="001D6DD7"/>
    <w:rsid w:val="001E347B"/>
    <w:rsid w:val="001E77D1"/>
    <w:rsid w:val="001F334D"/>
    <w:rsid w:val="001F3ADA"/>
    <w:rsid w:val="001F5E3E"/>
    <w:rsid w:val="0020058A"/>
    <w:rsid w:val="00203015"/>
    <w:rsid w:val="00212469"/>
    <w:rsid w:val="00213C69"/>
    <w:rsid w:val="00215446"/>
    <w:rsid w:val="00226111"/>
    <w:rsid w:val="00236F14"/>
    <w:rsid w:val="00272ED9"/>
    <w:rsid w:val="00280BBA"/>
    <w:rsid w:val="00297E50"/>
    <w:rsid w:val="002B1A39"/>
    <w:rsid w:val="002D4418"/>
    <w:rsid w:val="002F5008"/>
    <w:rsid w:val="00307D68"/>
    <w:rsid w:val="00310898"/>
    <w:rsid w:val="00311391"/>
    <w:rsid w:val="00330003"/>
    <w:rsid w:val="003409EB"/>
    <w:rsid w:val="00351ACB"/>
    <w:rsid w:val="00351E34"/>
    <w:rsid w:val="00374C8B"/>
    <w:rsid w:val="00383932"/>
    <w:rsid w:val="003A385B"/>
    <w:rsid w:val="003A4016"/>
    <w:rsid w:val="003B0067"/>
    <w:rsid w:val="003B6AF3"/>
    <w:rsid w:val="003C6184"/>
    <w:rsid w:val="003F416E"/>
    <w:rsid w:val="00434B0A"/>
    <w:rsid w:val="00434FF8"/>
    <w:rsid w:val="004538A3"/>
    <w:rsid w:val="00467C6F"/>
    <w:rsid w:val="00472187"/>
    <w:rsid w:val="0047650B"/>
    <w:rsid w:val="004A052A"/>
    <w:rsid w:val="004A55AB"/>
    <w:rsid w:val="004B3C64"/>
    <w:rsid w:val="004C3F67"/>
    <w:rsid w:val="004C4EFB"/>
    <w:rsid w:val="004D0D3D"/>
    <w:rsid w:val="004D1C44"/>
    <w:rsid w:val="004D3A5D"/>
    <w:rsid w:val="004F08FF"/>
    <w:rsid w:val="004F419B"/>
    <w:rsid w:val="004F54E9"/>
    <w:rsid w:val="00501FFF"/>
    <w:rsid w:val="00524C4C"/>
    <w:rsid w:val="00530F75"/>
    <w:rsid w:val="005331C7"/>
    <w:rsid w:val="00537D19"/>
    <w:rsid w:val="005714C6"/>
    <w:rsid w:val="00587AF8"/>
    <w:rsid w:val="005A7D5E"/>
    <w:rsid w:val="005B2A70"/>
    <w:rsid w:val="005D1B01"/>
    <w:rsid w:val="005D3545"/>
    <w:rsid w:val="005E21F6"/>
    <w:rsid w:val="005F1C31"/>
    <w:rsid w:val="00606BAC"/>
    <w:rsid w:val="006174DB"/>
    <w:rsid w:val="006245E8"/>
    <w:rsid w:val="006371DA"/>
    <w:rsid w:val="00662F84"/>
    <w:rsid w:val="00672745"/>
    <w:rsid w:val="00676FC4"/>
    <w:rsid w:val="0068400D"/>
    <w:rsid w:val="00686A64"/>
    <w:rsid w:val="006B0D30"/>
    <w:rsid w:val="006B63EC"/>
    <w:rsid w:val="006D7320"/>
    <w:rsid w:val="006E1D0F"/>
    <w:rsid w:val="006E585D"/>
    <w:rsid w:val="00716768"/>
    <w:rsid w:val="00721E75"/>
    <w:rsid w:val="00722E49"/>
    <w:rsid w:val="0072711F"/>
    <w:rsid w:val="007344C3"/>
    <w:rsid w:val="007425E4"/>
    <w:rsid w:val="0076778E"/>
    <w:rsid w:val="00773DB4"/>
    <w:rsid w:val="00794ADC"/>
    <w:rsid w:val="00794EEF"/>
    <w:rsid w:val="007A4467"/>
    <w:rsid w:val="007A4730"/>
    <w:rsid w:val="007B1CE0"/>
    <w:rsid w:val="007D585A"/>
    <w:rsid w:val="007E661B"/>
    <w:rsid w:val="007F3EC8"/>
    <w:rsid w:val="007F7A09"/>
    <w:rsid w:val="00800CCD"/>
    <w:rsid w:val="008018B0"/>
    <w:rsid w:val="008132F4"/>
    <w:rsid w:val="00814BFD"/>
    <w:rsid w:val="00824E1B"/>
    <w:rsid w:val="00826F8A"/>
    <w:rsid w:val="008301B7"/>
    <w:rsid w:val="00834D1F"/>
    <w:rsid w:val="0085106D"/>
    <w:rsid w:val="008527DC"/>
    <w:rsid w:val="00860386"/>
    <w:rsid w:val="008642B2"/>
    <w:rsid w:val="00871E8E"/>
    <w:rsid w:val="00893E81"/>
    <w:rsid w:val="008C3363"/>
    <w:rsid w:val="008D0BEE"/>
    <w:rsid w:val="008D27C9"/>
    <w:rsid w:val="008E59BB"/>
    <w:rsid w:val="008F1456"/>
    <w:rsid w:val="00907ECC"/>
    <w:rsid w:val="0093283C"/>
    <w:rsid w:val="0095183A"/>
    <w:rsid w:val="00952E6D"/>
    <w:rsid w:val="00957F2E"/>
    <w:rsid w:val="00973EA9"/>
    <w:rsid w:val="00977247"/>
    <w:rsid w:val="0098485F"/>
    <w:rsid w:val="009A221F"/>
    <w:rsid w:val="009A5FCA"/>
    <w:rsid w:val="009B3FE3"/>
    <w:rsid w:val="009B4F2E"/>
    <w:rsid w:val="009E5C10"/>
    <w:rsid w:val="009F5DB0"/>
    <w:rsid w:val="00A01D97"/>
    <w:rsid w:val="00A020D9"/>
    <w:rsid w:val="00A122A5"/>
    <w:rsid w:val="00A35BD1"/>
    <w:rsid w:val="00A37BF5"/>
    <w:rsid w:val="00A454F3"/>
    <w:rsid w:val="00A5174B"/>
    <w:rsid w:val="00A517A4"/>
    <w:rsid w:val="00A53918"/>
    <w:rsid w:val="00A5736C"/>
    <w:rsid w:val="00A65BD0"/>
    <w:rsid w:val="00A77688"/>
    <w:rsid w:val="00AA0AD0"/>
    <w:rsid w:val="00AA16A5"/>
    <w:rsid w:val="00AB0992"/>
    <w:rsid w:val="00AB1257"/>
    <w:rsid w:val="00AC26D6"/>
    <w:rsid w:val="00AC6590"/>
    <w:rsid w:val="00AE4657"/>
    <w:rsid w:val="00AF7F9E"/>
    <w:rsid w:val="00B06FC0"/>
    <w:rsid w:val="00B118DE"/>
    <w:rsid w:val="00B17B68"/>
    <w:rsid w:val="00B35EE9"/>
    <w:rsid w:val="00B55751"/>
    <w:rsid w:val="00B66375"/>
    <w:rsid w:val="00B73EE3"/>
    <w:rsid w:val="00B859F4"/>
    <w:rsid w:val="00B9366E"/>
    <w:rsid w:val="00BA5E7B"/>
    <w:rsid w:val="00BA7CA7"/>
    <w:rsid w:val="00BD5DA4"/>
    <w:rsid w:val="00BE4D4C"/>
    <w:rsid w:val="00BF743D"/>
    <w:rsid w:val="00C072C4"/>
    <w:rsid w:val="00C30319"/>
    <w:rsid w:val="00C42F46"/>
    <w:rsid w:val="00C471BD"/>
    <w:rsid w:val="00C64521"/>
    <w:rsid w:val="00C703EC"/>
    <w:rsid w:val="00C95BAB"/>
    <w:rsid w:val="00CA6C18"/>
    <w:rsid w:val="00CC1B9D"/>
    <w:rsid w:val="00CC3C62"/>
    <w:rsid w:val="00CD693B"/>
    <w:rsid w:val="00CF3D16"/>
    <w:rsid w:val="00D00E57"/>
    <w:rsid w:val="00D0450E"/>
    <w:rsid w:val="00D04837"/>
    <w:rsid w:val="00D04E3B"/>
    <w:rsid w:val="00D40B0C"/>
    <w:rsid w:val="00D66839"/>
    <w:rsid w:val="00D7176E"/>
    <w:rsid w:val="00D834EA"/>
    <w:rsid w:val="00D8604C"/>
    <w:rsid w:val="00D862D8"/>
    <w:rsid w:val="00D911DE"/>
    <w:rsid w:val="00DA1C5C"/>
    <w:rsid w:val="00DB5D6A"/>
    <w:rsid w:val="00DB7333"/>
    <w:rsid w:val="00DD43C1"/>
    <w:rsid w:val="00DF54B6"/>
    <w:rsid w:val="00E054B2"/>
    <w:rsid w:val="00E3193A"/>
    <w:rsid w:val="00E36B56"/>
    <w:rsid w:val="00E42167"/>
    <w:rsid w:val="00E543DB"/>
    <w:rsid w:val="00E91977"/>
    <w:rsid w:val="00EA1199"/>
    <w:rsid w:val="00EC1352"/>
    <w:rsid w:val="00ED1BEA"/>
    <w:rsid w:val="00EE54A1"/>
    <w:rsid w:val="00EF493A"/>
    <w:rsid w:val="00F12874"/>
    <w:rsid w:val="00F14B00"/>
    <w:rsid w:val="00F1617D"/>
    <w:rsid w:val="00F21952"/>
    <w:rsid w:val="00F273D2"/>
    <w:rsid w:val="00F2768A"/>
    <w:rsid w:val="00F3026E"/>
    <w:rsid w:val="00F41F29"/>
    <w:rsid w:val="00F43264"/>
    <w:rsid w:val="00F618D9"/>
    <w:rsid w:val="00FA2993"/>
    <w:rsid w:val="00FD6F38"/>
    <w:rsid w:val="00FF3BD0"/>
    <w:rsid w:val="010B2944"/>
    <w:rsid w:val="01121891"/>
    <w:rsid w:val="0132783D"/>
    <w:rsid w:val="01343DEA"/>
    <w:rsid w:val="0143581A"/>
    <w:rsid w:val="016E5C29"/>
    <w:rsid w:val="02246FB2"/>
    <w:rsid w:val="023B0764"/>
    <w:rsid w:val="029F0F02"/>
    <w:rsid w:val="03084560"/>
    <w:rsid w:val="034A2B18"/>
    <w:rsid w:val="034B2E38"/>
    <w:rsid w:val="034D4E02"/>
    <w:rsid w:val="03D1158F"/>
    <w:rsid w:val="03D84179"/>
    <w:rsid w:val="04227975"/>
    <w:rsid w:val="05280493"/>
    <w:rsid w:val="057B7A05"/>
    <w:rsid w:val="05850883"/>
    <w:rsid w:val="058F525E"/>
    <w:rsid w:val="05942874"/>
    <w:rsid w:val="05962A91"/>
    <w:rsid w:val="05C515F4"/>
    <w:rsid w:val="05EA6E68"/>
    <w:rsid w:val="062360E6"/>
    <w:rsid w:val="062B7CC2"/>
    <w:rsid w:val="063019EE"/>
    <w:rsid w:val="067F43DE"/>
    <w:rsid w:val="068723D9"/>
    <w:rsid w:val="069A30FD"/>
    <w:rsid w:val="06DF2215"/>
    <w:rsid w:val="06E17D3B"/>
    <w:rsid w:val="07041C7C"/>
    <w:rsid w:val="071A4FFB"/>
    <w:rsid w:val="072418CC"/>
    <w:rsid w:val="07553B19"/>
    <w:rsid w:val="076D5A73"/>
    <w:rsid w:val="08011CB1"/>
    <w:rsid w:val="08147C9D"/>
    <w:rsid w:val="08163393"/>
    <w:rsid w:val="088048AD"/>
    <w:rsid w:val="088A6393"/>
    <w:rsid w:val="08936E1D"/>
    <w:rsid w:val="08C77405"/>
    <w:rsid w:val="08E91953"/>
    <w:rsid w:val="091436AF"/>
    <w:rsid w:val="09187C60"/>
    <w:rsid w:val="092A3C3E"/>
    <w:rsid w:val="093C01B0"/>
    <w:rsid w:val="09481DFD"/>
    <w:rsid w:val="096C30DA"/>
    <w:rsid w:val="09776735"/>
    <w:rsid w:val="0983157E"/>
    <w:rsid w:val="099B6B50"/>
    <w:rsid w:val="09A155FB"/>
    <w:rsid w:val="09B90698"/>
    <w:rsid w:val="09C63218"/>
    <w:rsid w:val="09C851E3"/>
    <w:rsid w:val="09ED4C49"/>
    <w:rsid w:val="0A56459C"/>
    <w:rsid w:val="0A6251B2"/>
    <w:rsid w:val="0A79472F"/>
    <w:rsid w:val="0A801619"/>
    <w:rsid w:val="0A8C6210"/>
    <w:rsid w:val="0B0E4E77"/>
    <w:rsid w:val="0B2D19C1"/>
    <w:rsid w:val="0B5B06F9"/>
    <w:rsid w:val="0B725406"/>
    <w:rsid w:val="0B7F3FB9"/>
    <w:rsid w:val="0BC118BB"/>
    <w:rsid w:val="0BC639A4"/>
    <w:rsid w:val="0BC94657"/>
    <w:rsid w:val="0BDF6813"/>
    <w:rsid w:val="0BF27207"/>
    <w:rsid w:val="0C201336"/>
    <w:rsid w:val="0C2A074F"/>
    <w:rsid w:val="0C763838"/>
    <w:rsid w:val="0C7B478E"/>
    <w:rsid w:val="0C8353F1"/>
    <w:rsid w:val="0D295F98"/>
    <w:rsid w:val="0D3B5130"/>
    <w:rsid w:val="0D3B5CCB"/>
    <w:rsid w:val="0D410532"/>
    <w:rsid w:val="0D846185"/>
    <w:rsid w:val="0D870F11"/>
    <w:rsid w:val="0D8E6743"/>
    <w:rsid w:val="0DA970D9"/>
    <w:rsid w:val="0DCB779F"/>
    <w:rsid w:val="0DCE5A20"/>
    <w:rsid w:val="0DE10B00"/>
    <w:rsid w:val="0DF9612F"/>
    <w:rsid w:val="0E082052"/>
    <w:rsid w:val="0E290A20"/>
    <w:rsid w:val="0E8F63A0"/>
    <w:rsid w:val="0F096387"/>
    <w:rsid w:val="0F0E005D"/>
    <w:rsid w:val="0F2C65BE"/>
    <w:rsid w:val="0FB00BF3"/>
    <w:rsid w:val="0FC61BEE"/>
    <w:rsid w:val="0FE4264A"/>
    <w:rsid w:val="100F2044"/>
    <w:rsid w:val="102150C7"/>
    <w:rsid w:val="10402F90"/>
    <w:rsid w:val="109C6F2A"/>
    <w:rsid w:val="10E741A0"/>
    <w:rsid w:val="10EB55BD"/>
    <w:rsid w:val="118D7EAE"/>
    <w:rsid w:val="11936A4D"/>
    <w:rsid w:val="11E960B7"/>
    <w:rsid w:val="11F56D91"/>
    <w:rsid w:val="122D78F3"/>
    <w:rsid w:val="124811CB"/>
    <w:rsid w:val="12590EE9"/>
    <w:rsid w:val="126155A3"/>
    <w:rsid w:val="12922DA3"/>
    <w:rsid w:val="12AA4C01"/>
    <w:rsid w:val="12FD00B8"/>
    <w:rsid w:val="13625C5A"/>
    <w:rsid w:val="13BF31B2"/>
    <w:rsid w:val="14651130"/>
    <w:rsid w:val="14CD7C09"/>
    <w:rsid w:val="14D26F15"/>
    <w:rsid w:val="151632A6"/>
    <w:rsid w:val="151E215B"/>
    <w:rsid w:val="155A5817"/>
    <w:rsid w:val="15B92B24"/>
    <w:rsid w:val="15E5408A"/>
    <w:rsid w:val="160027D4"/>
    <w:rsid w:val="160E7BE2"/>
    <w:rsid w:val="164976AB"/>
    <w:rsid w:val="165027E8"/>
    <w:rsid w:val="16530483"/>
    <w:rsid w:val="16585B40"/>
    <w:rsid w:val="16826719"/>
    <w:rsid w:val="16AE67A9"/>
    <w:rsid w:val="16C079CF"/>
    <w:rsid w:val="17255D73"/>
    <w:rsid w:val="175C0F2E"/>
    <w:rsid w:val="175D5171"/>
    <w:rsid w:val="176432E3"/>
    <w:rsid w:val="17A772C0"/>
    <w:rsid w:val="17DB2585"/>
    <w:rsid w:val="18583BD5"/>
    <w:rsid w:val="18C272A1"/>
    <w:rsid w:val="1978667A"/>
    <w:rsid w:val="19852D72"/>
    <w:rsid w:val="19CB422D"/>
    <w:rsid w:val="1A1104E0"/>
    <w:rsid w:val="1A2816F3"/>
    <w:rsid w:val="1A47372A"/>
    <w:rsid w:val="1A8213DE"/>
    <w:rsid w:val="1AD53C0B"/>
    <w:rsid w:val="1B102545"/>
    <w:rsid w:val="1B697EA8"/>
    <w:rsid w:val="1B79458F"/>
    <w:rsid w:val="1BA64C58"/>
    <w:rsid w:val="1BB47375"/>
    <w:rsid w:val="1BFE6842"/>
    <w:rsid w:val="1C252021"/>
    <w:rsid w:val="1C4C3A51"/>
    <w:rsid w:val="1C580648"/>
    <w:rsid w:val="1C6F5D55"/>
    <w:rsid w:val="1C70286B"/>
    <w:rsid w:val="1C904DDE"/>
    <w:rsid w:val="1CDA105D"/>
    <w:rsid w:val="1D24052A"/>
    <w:rsid w:val="1D2B7638"/>
    <w:rsid w:val="1D474152"/>
    <w:rsid w:val="1D4D182F"/>
    <w:rsid w:val="1D8857AA"/>
    <w:rsid w:val="1E202C00"/>
    <w:rsid w:val="1E6C2189"/>
    <w:rsid w:val="1EC41719"/>
    <w:rsid w:val="1F095FE0"/>
    <w:rsid w:val="1F220A99"/>
    <w:rsid w:val="1F264C12"/>
    <w:rsid w:val="1F3F164B"/>
    <w:rsid w:val="1F413D01"/>
    <w:rsid w:val="1F5A6485"/>
    <w:rsid w:val="1FA06616"/>
    <w:rsid w:val="1FDC5632"/>
    <w:rsid w:val="1FE43FA1"/>
    <w:rsid w:val="1FEF7260"/>
    <w:rsid w:val="1FFD37A6"/>
    <w:rsid w:val="204701DD"/>
    <w:rsid w:val="2070534D"/>
    <w:rsid w:val="20782592"/>
    <w:rsid w:val="20F61CF8"/>
    <w:rsid w:val="212E3725"/>
    <w:rsid w:val="21562C7C"/>
    <w:rsid w:val="215A5AA4"/>
    <w:rsid w:val="21A32D62"/>
    <w:rsid w:val="21BF1490"/>
    <w:rsid w:val="21C4408A"/>
    <w:rsid w:val="21D22277"/>
    <w:rsid w:val="21FC44C6"/>
    <w:rsid w:val="2208041A"/>
    <w:rsid w:val="22543660"/>
    <w:rsid w:val="22A50A7B"/>
    <w:rsid w:val="22B440FE"/>
    <w:rsid w:val="2383244E"/>
    <w:rsid w:val="23D07F22"/>
    <w:rsid w:val="23E85E73"/>
    <w:rsid w:val="24773635"/>
    <w:rsid w:val="248C146F"/>
    <w:rsid w:val="24B855A2"/>
    <w:rsid w:val="255148A0"/>
    <w:rsid w:val="25631964"/>
    <w:rsid w:val="256C0CC0"/>
    <w:rsid w:val="25AA254D"/>
    <w:rsid w:val="25C83823"/>
    <w:rsid w:val="25D80104"/>
    <w:rsid w:val="25E03D41"/>
    <w:rsid w:val="25EB0560"/>
    <w:rsid w:val="261D1FBA"/>
    <w:rsid w:val="262256F1"/>
    <w:rsid w:val="26377CAF"/>
    <w:rsid w:val="264D1F34"/>
    <w:rsid w:val="26715900"/>
    <w:rsid w:val="26C041FB"/>
    <w:rsid w:val="26D22F45"/>
    <w:rsid w:val="26F45411"/>
    <w:rsid w:val="274F0899"/>
    <w:rsid w:val="27514612"/>
    <w:rsid w:val="276854B7"/>
    <w:rsid w:val="27B75E91"/>
    <w:rsid w:val="27B93EE1"/>
    <w:rsid w:val="27BF3329"/>
    <w:rsid w:val="28030209"/>
    <w:rsid w:val="281D7613"/>
    <w:rsid w:val="28356FE1"/>
    <w:rsid w:val="28651733"/>
    <w:rsid w:val="286A4F7A"/>
    <w:rsid w:val="28C94232"/>
    <w:rsid w:val="28CB466F"/>
    <w:rsid w:val="28E57C59"/>
    <w:rsid w:val="28FC187D"/>
    <w:rsid w:val="2920429C"/>
    <w:rsid w:val="292127ED"/>
    <w:rsid w:val="2929780C"/>
    <w:rsid w:val="295E41AB"/>
    <w:rsid w:val="29780591"/>
    <w:rsid w:val="2978435D"/>
    <w:rsid w:val="29AB2406"/>
    <w:rsid w:val="29AC1FD3"/>
    <w:rsid w:val="29B669AE"/>
    <w:rsid w:val="2A714BE7"/>
    <w:rsid w:val="2A9F7442"/>
    <w:rsid w:val="2AA42CAA"/>
    <w:rsid w:val="2AA64C74"/>
    <w:rsid w:val="2AD61FC6"/>
    <w:rsid w:val="2AFA462C"/>
    <w:rsid w:val="2B1B216F"/>
    <w:rsid w:val="2B653354"/>
    <w:rsid w:val="2B797443"/>
    <w:rsid w:val="2B822C1A"/>
    <w:rsid w:val="2BA03472"/>
    <w:rsid w:val="2BA32F62"/>
    <w:rsid w:val="2BE61E01"/>
    <w:rsid w:val="2BEA293F"/>
    <w:rsid w:val="2C567FD4"/>
    <w:rsid w:val="2C984B59"/>
    <w:rsid w:val="2CA77E0C"/>
    <w:rsid w:val="2CB034AF"/>
    <w:rsid w:val="2CDC672B"/>
    <w:rsid w:val="2D0C37F8"/>
    <w:rsid w:val="2D1139FF"/>
    <w:rsid w:val="2D316324"/>
    <w:rsid w:val="2D346567"/>
    <w:rsid w:val="2D881D14"/>
    <w:rsid w:val="2DCE076A"/>
    <w:rsid w:val="2E0777D8"/>
    <w:rsid w:val="2E6828E8"/>
    <w:rsid w:val="2EBC4A66"/>
    <w:rsid w:val="2EE171F3"/>
    <w:rsid w:val="2EF535AC"/>
    <w:rsid w:val="2F633885"/>
    <w:rsid w:val="2F9314CE"/>
    <w:rsid w:val="2FAF126E"/>
    <w:rsid w:val="2FB13E9F"/>
    <w:rsid w:val="30281C88"/>
    <w:rsid w:val="303A0B13"/>
    <w:rsid w:val="303F5B52"/>
    <w:rsid w:val="305077C4"/>
    <w:rsid w:val="306327B0"/>
    <w:rsid w:val="30DC4D40"/>
    <w:rsid w:val="311F7966"/>
    <w:rsid w:val="31235140"/>
    <w:rsid w:val="31596E69"/>
    <w:rsid w:val="315E1E05"/>
    <w:rsid w:val="31A65B35"/>
    <w:rsid w:val="3207249C"/>
    <w:rsid w:val="32272754"/>
    <w:rsid w:val="32285D68"/>
    <w:rsid w:val="328B59F2"/>
    <w:rsid w:val="32D83E39"/>
    <w:rsid w:val="331620C9"/>
    <w:rsid w:val="335C05C6"/>
    <w:rsid w:val="33963A27"/>
    <w:rsid w:val="33A663C1"/>
    <w:rsid w:val="33CD4ED1"/>
    <w:rsid w:val="33D30C84"/>
    <w:rsid w:val="347656B7"/>
    <w:rsid w:val="34806536"/>
    <w:rsid w:val="34C2285E"/>
    <w:rsid w:val="357D4774"/>
    <w:rsid w:val="359B751A"/>
    <w:rsid w:val="359C588D"/>
    <w:rsid w:val="35A61F15"/>
    <w:rsid w:val="35B44B78"/>
    <w:rsid w:val="35EF37DF"/>
    <w:rsid w:val="35EF3A10"/>
    <w:rsid w:val="35FA7735"/>
    <w:rsid w:val="36513CE6"/>
    <w:rsid w:val="3652180C"/>
    <w:rsid w:val="366D5E2D"/>
    <w:rsid w:val="36865D7D"/>
    <w:rsid w:val="369E0EF6"/>
    <w:rsid w:val="36B83D65"/>
    <w:rsid w:val="36C62F21"/>
    <w:rsid w:val="36C9698F"/>
    <w:rsid w:val="370701B0"/>
    <w:rsid w:val="378D1FAB"/>
    <w:rsid w:val="37DC1CD5"/>
    <w:rsid w:val="37EE531D"/>
    <w:rsid w:val="3805000C"/>
    <w:rsid w:val="381226D1"/>
    <w:rsid w:val="383B7351"/>
    <w:rsid w:val="38417351"/>
    <w:rsid w:val="384615C1"/>
    <w:rsid w:val="3860725C"/>
    <w:rsid w:val="388E18B7"/>
    <w:rsid w:val="38B53977"/>
    <w:rsid w:val="38EC419A"/>
    <w:rsid w:val="38F31085"/>
    <w:rsid w:val="38FA1486"/>
    <w:rsid w:val="39074B30"/>
    <w:rsid w:val="390E01F3"/>
    <w:rsid w:val="392E47B3"/>
    <w:rsid w:val="394E3646"/>
    <w:rsid w:val="39581830"/>
    <w:rsid w:val="39906023"/>
    <w:rsid w:val="39A034C4"/>
    <w:rsid w:val="39AD1B7B"/>
    <w:rsid w:val="39D37108"/>
    <w:rsid w:val="39EF1FE2"/>
    <w:rsid w:val="39F41558"/>
    <w:rsid w:val="3A1C460B"/>
    <w:rsid w:val="3A3D1FB6"/>
    <w:rsid w:val="3A5902C6"/>
    <w:rsid w:val="3A9E2681"/>
    <w:rsid w:val="3AA60379"/>
    <w:rsid w:val="3AC053A4"/>
    <w:rsid w:val="3ACA050B"/>
    <w:rsid w:val="3AEF7083"/>
    <w:rsid w:val="3B097C82"/>
    <w:rsid w:val="3B114907"/>
    <w:rsid w:val="3B2A0FAA"/>
    <w:rsid w:val="3B345D52"/>
    <w:rsid w:val="3B713739"/>
    <w:rsid w:val="3B8B7C9A"/>
    <w:rsid w:val="3BDA652C"/>
    <w:rsid w:val="3C0812EB"/>
    <w:rsid w:val="3C161A18"/>
    <w:rsid w:val="3C1C4589"/>
    <w:rsid w:val="3C876795"/>
    <w:rsid w:val="3CAD59EE"/>
    <w:rsid w:val="3CE07B72"/>
    <w:rsid w:val="3CE843F6"/>
    <w:rsid w:val="3D34687C"/>
    <w:rsid w:val="3D634992"/>
    <w:rsid w:val="3D815720"/>
    <w:rsid w:val="3D8B5F3C"/>
    <w:rsid w:val="3DA1050B"/>
    <w:rsid w:val="3E0E070F"/>
    <w:rsid w:val="3E4800C5"/>
    <w:rsid w:val="3E584BA3"/>
    <w:rsid w:val="3E7B6F01"/>
    <w:rsid w:val="3EAF3CA0"/>
    <w:rsid w:val="3F0062A9"/>
    <w:rsid w:val="3F161F71"/>
    <w:rsid w:val="3F1B30E3"/>
    <w:rsid w:val="3F332756"/>
    <w:rsid w:val="3F873E13"/>
    <w:rsid w:val="3FAA090B"/>
    <w:rsid w:val="3FB2277B"/>
    <w:rsid w:val="3FC96FE3"/>
    <w:rsid w:val="40522697"/>
    <w:rsid w:val="40595D79"/>
    <w:rsid w:val="40795057"/>
    <w:rsid w:val="40804FA4"/>
    <w:rsid w:val="40AF449B"/>
    <w:rsid w:val="40B97058"/>
    <w:rsid w:val="40BB0638"/>
    <w:rsid w:val="412A5860"/>
    <w:rsid w:val="412F4510"/>
    <w:rsid w:val="41456453"/>
    <w:rsid w:val="418429E0"/>
    <w:rsid w:val="41B82E6B"/>
    <w:rsid w:val="41C803C1"/>
    <w:rsid w:val="41CB37CC"/>
    <w:rsid w:val="41D34149"/>
    <w:rsid w:val="41D67795"/>
    <w:rsid w:val="41DF489C"/>
    <w:rsid w:val="42007368"/>
    <w:rsid w:val="421F113C"/>
    <w:rsid w:val="42464934"/>
    <w:rsid w:val="425A03C6"/>
    <w:rsid w:val="42A11B51"/>
    <w:rsid w:val="430661C5"/>
    <w:rsid w:val="431D08CD"/>
    <w:rsid w:val="436117D4"/>
    <w:rsid w:val="43A7763B"/>
    <w:rsid w:val="43FB1735"/>
    <w:rsid w:val="44286240"/>
    <w:rsid w:val="4437567F"/>
    <w:rsid w:val="44A45929"/>
    <w:rsid w:val="44BC2C73"/>
    <w:rsid w:val="44F7014F"/>
    <w:rsid w:val="450837A6"/>
    <w:rsid w:val="45535EEB"/>
    <w:rsid w:val="457E43CC"/>
    <w:rsid w:val="459A44BE"/>
    <w:rsid w:val="45C94763"/>
    <w:rsid w:val="45FB37D6"/>
    <w:rsid w:val="45FC46C9"/>
    <w:rsid w:val="46113492"/>
    <w:rsid w:val="462A6302"/>
    <w:rsid w:val="4662631D"/>
    <w:rsid w:val="46ED7849"/>
    <w:rsid w:val="47732B27"/>
    <w:rsid w:val="47846529"/>
    <w:rsid w:val="479A36C2"/>
    <w:rsid w:val="47F170D7"/>
    <w:rsid w:val="47FB61A8"/>
    <w:rsid w:val="481B757F"/>
    <w:rsid w:val="4823125B"/>
    <w:rsid w:val="48492EDB"/>
    <w:rsid w:val="48577B97"/>
    <w:rsid w:val="486D4062"/>
    <w:rsid w:val="48A203D1"/>
    <w:rsid w:val="48BC264F"/>
    <w:rsid w:val="48E752DE"/>
    <w:rsid w:val="4911689A"/>
    <w:rsid w:val="49301E81"/>
    <w:rsid w:val="4956201C"/>
    <w:rsid w:val="497004D0"/>
    <w:rsid w:val="49942410"/>
    <w:rsid w:val="49B46881"/>
    <w:rsid w:val="49C12AD9"/>
    <w:rsid w:val="4A2C2648"/>
    <w:rsid w:val="4A546448"/>
    <w:rsid w:val="4A991E77"/>
    <w:rsid w:val="4B5F25AA"/>
    <w:rsid w:val="4BA33B72"/>
    <w:rsid w:val="4BB52B12"/>
    <w:rsid w:val="4BBA0128"/>
    <w:rsid w:val="4BC00DDC"/>
    <w:rsid w:val="4BC66ACD"/>
    <w:rsid w:val="4C0118B3"/>
    <w:rsid w:val="4C40062D"/>
    <w:rsid w:val="4C4351FF"/>
    <w:rsid w:val="4C4B0D80"/>
    <w:rsid w:val="4C5B7754"/>
    <w:rsid w:val="4D0553D3"/>
    <w:rsid w:val="4D395E7C"/>
    <w:rsid w:val="4D84279B"/>
    <w:rsid w:val="4D8B1D7C"/>
    <w:rsid w:val="4DC05C5D"/>
    <w:rsid w:val="4DE1199C"/>
    <w:rsid w:val="4DE45F56"/>
    <w:rsid w:val="4E597784"/>
    <w:rsid w:val="4E604FB7"/>
    <w:rsid w:val="4E880069"/>
    <w:rsid w:val="4EA07BA7"/>
    <w:rsid w:val="4EC15A64"/>
    <w:rsid w:val="4EE17B16"/>
    <w:rsid w:val="4EEF00E8"/>
    <w:rsid w:val="4EFC55CC"/>
    <w:rsid w:val="4EFE20DA"/>
    <w:rsid w:val="4F342363"/>
    <w:rsid w:val="4FA74B3C"/>
    <w:rsid w:val="4FB52BA6"/>
    <w:rsid w:val="4FB629B4"/>
    <w:rsid w:val="4FF9121F"/>
    <w:rsid w:val="503A23FF"/>
    <w:rsid w:val="503A5393"/>
    <w:rsid w:val="503B1837"/>
    <w:rsid w:val="505A77E4"/>
    <w:rsid w:val="5076676F"/>
    <w:rsid w:val="508A78AA"/>
    <w:rsid w:val="50AF5D81"/>
    <w:rsid w:val="50BF7ED5"/>
    <w:rsid w:val="50DC7C15"/>
    <w:rsid w:val="50FA5F57"/>
    <w:rsid w:val="50FE76DA"/>
    <w:rsid w:val="51693087"/>
    <w:rsid w:val="517D34E0"/>
    <w:rsid w:val="51C846F6"/>
    <w:rsid w:val="51D238ED"/>
    <w:rsid w:val="51EE4F3F"/>
    <w:rsid w:val="51F55A16"/>
    <w:rsid w:val="520E4D2A"/>
    <w:rsid w:val="52683276"/>
    <w:rsid w:val="526C5313"/>
    <w:rsid w:val="529B4781"/>
    <w:rsid w:val="52B94C95"/>
    <w:rsid w:val="52BC5994"/>
    <w:rsid w:val="52E0501F"/>
    <w:rsid w:val="52E0659E"/>
    <w:rsid w:val="52F86A46"/>
    <w:rsid w:val="53051C89"/>
    <w:rsid w:val="532D3CB8"/>
    <w:rsid w:val="533C0510"/>
    <w:rsid w:val="536746F1"/>
    <w:rsid w:val="53B67427"/>
    <w:rsid w:val="5404343A"/>
    <w:rsid w:val="5415239F"/>
    <w:rsid w:val="5422686A"/>
    <w:rsid w:val="544D0781"/>
    <w:rsid w:val="545A4256"/>
    <w:rsid w:val="546E7956"/>
    <w:rsid w:val="547C5F7A"/>
    <w:rsid w:val="54C50ECB"/>
    <w:rsid w:val="54E37523"/>
    <w:rsid w:val="54E40AC8"/>
    <w:rsid w:val="5531145B"/>
    <w:rsid w:val="55711857"/>
    <w:rsid w:val="560C1580"/>
    <w:rsid w:val="568D1C89"/>
    <w:rsid w:val="56CA56C3"/>
    <w:rsid w:val="56E22A45"/>
    <w:rsid w:val="57291992"/>
    <w:rsid w:val="57334506"/>
    <w:rsid w:val="57476D14"/>
    <w:rsid w:val="57510E87"/>
    <w:rsid w:val="578777C2"/>
    <w:rsid w:val="57E54222"/>
    <w:rsid w:val="57E91B7D"/>
    <w:rsid w:val="582E3A30"/>
    <w:rsid w:val="58506C5E"/>
    <w:rsid w:val="586A008D"/>
    <w:rsid w:val="58A8162D"/>
    <w:rsid w:val="58C16059"/>
    <w:rsid w:val="58F20203"/>
    <w:rsid w:val="59090D3D"/>
    <w:rsid w:val="59693143"/>
    <w:rsid w:val="598916B4"/>
    <w:rsid w:val="59AD1935"/>
    <w:rsid w:val="59DE1485"/>
    <w:rsid w:val="5A155B7D"/>
    <w:rsid w:val="5A317807"/>
    <w:rsid w:val="5A6F796B"/>
    <w:rsid w:val="5AAB1367"/>
    <w:rsid w:val="5AAE70AA"/>
    <w:rsid w:val="5AB51DDE"/>
    <w:rsid w:val="5AB81CD6"/>
    <w:rsid w:val="5AC8016B"/>
    <w:rsid w:val="5B4C592E"/>
    <w:rsid w:val="5B834092"/>
    <w:rsid w:val="5BC123F0"/>
    <w:rsid w:val="5BED3C02"/>
    <w:rsid w:val="5C663014"/>
    <w:rsid w:val="5C782C68"/>
    <w:rsid w:val="5C7A5260"/>
    <w:rsid w:val="5CD66444"/>
    <w:rsid w:val="5CEE2383"/>
    <w:rsid w:val="5CF9352E"/>
    <w:rsid w:val="5D4D344C"/>
    <w:rsid w:val="5D5F709E"/>
    <w:rsid w:val="5D681792"/>
    <w:rsid w:val="5D722610"/>
    <w:rsid w:val="5D7E7507"/>
    <w:rsid w:val="5D886450"/>
    <w:rsid w:val="5D8B5D3C"/>
    <w:rsid w:val="5DDE6C37"/>
    <w:rsid w:val="5E0B4D95"/>
    <w:rsid w:val="5E2B3C63"/>
    <w:rsid w:val="5E2F22B0"/>
    <w:rsid w:val="5E331B66"/>
    <w:rsid w:val="5E4B764C"/>
    <w:rsid w:val="5EB63BEC"/>
    <w:rsid w:val="5ECE44A7"/>
    <w:rsid w:val="5EF53472"/>
    <w:rsid w:val="5EFD23AE"/>
    <w:rsid w:val="5F7C7A26"/>
    <w:rsid w:val="5F8B3257"/>
    <w:rsid w:val="5FD50073"/>
    <w:rsid w:val="60225D72"/>
    <w:rsid w:val="605A4D76"/>
    <w:rsid w:val="606D5311"/>
    <w:rsid w:val="6082250C"/>
    <w:rsid w:val="608D59B2"/>
    <w:rsid w:val="60936B26"/>
    <w:rsid w:val="60D52EC9"/>
    <w:rsid w:val="60E46D1E"/>
    <w:rsid w:val="60E87737"/>
    <w:rsid w:val="61077514"/>
    <w:rsid w:val="611C2FBF"/>
    <w:rsid w:val="61547B75"/>
    <w:rsid w:val="618172C6"/>
    <w:rsid w:val="61BC1174"/>
    <w:rsid w:val="61EC6F36"/>
    <w:rsid w:val="627209BD"/>
    <w:rsid w:val="62913539"/>
    <w:rsid w:val="62D82F16"/>
    <w:rsid w:val="62DB04BF"/>
    <w:rsid w:val="62F13FD7"/>
    <w:rsid w:val="631A250D"/>
    <w:rsid w:val="632071EB"/>
    <w:rsid w:val="6369430F"/>
    <w:rsid w:val="637C0C78"/>
    <w:rsid w:val="638C5CA0"/>
    <w:rsid w:val="63D336DD"/>
    <w:rsid w:val="64612B28"/>
    <w:rsid w:val="646268CF"/>
    <w:rsid w:val="648A0240"/>
    <w:rsid w:val="648D138E"/>
    <w:rsid w:val="64AA08E2"/>
    <w:rsid w:val="64AD2180"/>
    <w:rsid w:val="64BD0AE6"/>
    <w:rsid w:val="64D92102"/>
    <w:rsid w:val="65735178"/>
    <w:rsid w:val="65BA609E"/>
    <w:rsid w:val="65BC6D9F"/>
    <w:rsid w:val="65DA51F7"/>
    <w:rsid w:val="662446C4"/>
    <w:rsid w:val="662A03E9"/>
    <w:rsid w:val="66430624"/>
    <w:rsid w:val="66C16CD5"/>
    <w:rsid w:val="66EC51E2"/>
    <w:rsid w:val="66FB71D3"/>
    <w:rsid w:val="670342D9"/>
    <w:rsid w:val="672B3E68"/>
    <w:rsid w:val="676C4655"/>
    <w:rsid w:val="67B850C4"/>
    <w:rsid w:val="67C26C09"/>
    <w:rsid w:val="67F02AB0"/>
    <w:rsid w:val="681F3395"/>
    <w:rsid w:val="68EF2D67"/>
    <w:rsid w:val="68F2471A"/>
    <w:rsid w:val="696A68E1"/>
    <w:rsid w:val="69822259"/>
    <w:rsid w:val="69A9063B"/>
    <w:rsid w:val="69AB1384"/>
    <w:rsid w:val="69EC122B"/>
    <w:rsid w:val="69F148BD"/>
    <w:rsid w:val="6A1E7567"/>
    <w:rsid w:val="6A21080D"/>
    <w:rsid w:val="6AA95198"/>
    <w:rsid w:val="6AE61F48"/>
    <w:rsid w:val="6AEF704E"/>
    <w:rsid w:val="6B5911D2"/>
    <w:rsid w:val="6B5F7207"/>
    <w:rsid w:val="6BE74475"/>
    <w:rsid w:val="6C15400E"/>
    <w:rsid w:val="6C3A7D11"/>
    <w:rsid w:val="6C832641"/>
    <w:rsid w:val="6C847C6A"/>
    <w:rsid w:val="6C97799E"/>
    <w:rsid w:val="6CC9017D"/>
    <w:rsid w:val="6CCA2AED"/>
    <w:rsid w:val="6CDF3F26"/>
    <w:rsid w:val="6D793401"/>
    <w:rsid w:val="6D975DFC"/>
    <w:rsid w:val="6DC743F9"/>
    <w:rsid w:val="6DDB2AF5"/>
    <w:rsid w:val="6DE42F05"/>
    <w:rsid w:val="6E4C0D77"/>
    <w:rsid w:val="6E5024FA"/>
    <w:rsid w:val="6E963C85"/>
    <w:rsid w:val="6EB12115"/>
    <w:rsid w:val="6F165A6E"/>
    <w:rsid w:val="6F1F19DF"/>
    <w:rsid w:val="6F3432E4"/>
    <w:rsid w:val="6F5222A2"/>
    <w:rsid w:val="6F563B40"/>
    <w:rsid w:val="6F5F177E"/>
    <w:rsid w:val="6F6F69B0"/>
    <w:rsid w:val="6F7715AE"/>
    <w:rsid w:val="6F9142E0"/>
    <w:rsid w:val="6FA45665"/>
    <w:rsid w:val="6FAC298E"/>
    <w:rsid w:val="6FCA008A"/>
    <w:rsid w:val="705838E8"/>
    <w:rsid w:val="705D6067"/>
    <w:rsid w:val="70F74EAF"/>
    <w:rsid w:val="711315BD"/>
    <w:rsid w:val="71136FA4"/>
    <w:rsid w:val="711A294B"/>
    <w:rsid w:val="71427CF3"/>
    <w:rsid w:val="714F6A99"/>
    <w:rsid w:val="71573B9F"/>
    <w:rsid w:val="71816E6E"/>
    <w:rsid w:val="71866233"/>
    <w:rsid w:val="71867FE1"/>
    <w:rsid w:val="71904C0C"/>
    <w:rsid w:val="71F42425"/>
    <w:rsid w:val="72655E48"/>
    <w:rsid w:val="727B566C"/>
    <w:rsid w:val="728304BF"/>
    <w:rsid w:val="7295497F"/>
    <w:rsid w:val="72D27981"/>
    <w:rsid w:val="72F86CBC"/>
    <w:rsid w:val="731E21D2"/>
    <w:rsid w:val="733777E5"/>
    <w:rsid w:val="734568B4"/>
    <w:rsid w:val="735D2FC3"/>
    <w:rsid w:val="737234CF"/>
    <w:rsid w:val="73B47087"/>
    <w:rsid w:val="73CE6A10"/>
    <w:rsid w:val="73ED2599"/>
    <w:rsid w:val="740D3A75"/>
    <w:rsid w:val="74324450"/>
    <w:rsid w:val="74607CBE"/>
    <w:rsid w:val="74A470FC"/>
    <w:rsid w:val="74AE583F"/>
    <w:rsid w:val="74B65830"/>
    <w:rsid w:val="74ED7B41"/>
    <w:rsid w:val="74F636CF"/>
    <w:rsid w:val="752E10BB"/>
    <w:rsid w:val="75644ADD"/>
    <w:rsid w:val="75693CEF"/>
    <w:rsid w:val="7572411E"/>
    <w:rsid w:val="757545F4"/>
    <w:rsid w:val="75A924F0"/>
    <w:rsid w:val="75B25848"/>
    <w:rsid w:val="75D35516"/>
    <w:rsid w:val="75F37827"/>
    <w:rsid w:val="76373F9F"/>
    <w:rsid w:val="763D7808"/>
    <w:rsid w:val="766703E1"/>
    <w:rsid w:val="76692A59"/>
    <w:rsid w:val="76DB2693"/>
    <w:rsid w:val="77011250"/>
    <w:rsid w:val="77244C4B"/>
    <w:rsid w:val="776B5CAF"/>
    <w:rsid w:val="77823344"/>
    <w:rsid w:val="77B533CE"/>
    <w:rsid w:val="77C51FEF"/>
    <w:rsid w:val="77D00208"/>
    <w:rsid w:val="78047EB1"/>
    <w:rsid w:val="78133A59"/>
    <w:rsid w:val="78236589"/>
    <w:rsid w:val="784471B4"/>
    <w:rsid w:val="789465EF"/>
    <w:rsid w:val="78B50801"/>
    <w:rsid w:val="79050385"/>
    <w:rsid w:val="79223F06"/>
    <w:rsid w:val="794804AF"/>
    <w:rsid w:val="795731E2"/>
    <w:rsid w:val="79E5243E"/>
    <w:rsid w:val="79EB757B"/>
    <w:rsid w:val="7A0F662F"/>
    <w:rsid w:val="7A353281"/>
    <w:rsid w:val="7A4430A5"/>
    <w:rsid w:val="7A735F93"/>
    <w:rsid w:val="7A8D67CF"/>
    <w:rsid w:val="7AA361BA"/>
    <w:rsid w:val="7AD115A0"/>
    <w:rsid w:val="7AFB744E"/>
    <w:rsid w:val="7B8E01BE"/>
    <w:rsid w:val="7B96753D"/>
    <w:rsid w:val="7B9B28DB"/>
    <w:rsid w:val="7BAF07EB"/>
    <w:rsid w:val="7BC41E31"/>
    <w:rsid w:val="7BD302C6"/>
    <w:rsid w:val="7C3A20F4"/>
    <w:rsid w:val="7C3F770A"/>
    <w:rsid w:val="7C4B6EE9"/>
    <w:rsid w:val="7C9537CE"/>
    <w:rsid w:val="7CA52A3E"/>
    <w:rsid w:val="7CAA60F9"/>
    <w:rsid w:val="7D36581A"/>
    <w:rsid w:val="7D3B2F9B"/>
    <w:rsid w:val="7D6A4C5A"/>
    <w:rsid w:val="7D8B70AB"/>
    <w:rsid w:val="7D9466D9"/>
    <w:rsid w:val="7D99109C"/>
    <w:rsid w:val="7DAB4450"/>
    <w:rsid w:val="7E21706A"/>
    <w:rsid w:val="7E271A86"/>
    <w:rsid w:val="7E503E50"/>
    <w:rsid w:val="7EAA3560"/>
    <w:rsid w:val="7ECE18CC"/>
    <w:rsid w:val="7EE051D4"/>
    <w:rsid w:val="7F390D88"/>
    <w:rsid w:val="7F76073F"/>
    <w:rsid w:val="7F7E3AC2"/>
    <w:rsid w:val="7FAE0E2E"/>
    <w:rsid w:val="7FAF2DF8"/>
    <w:rsid w:val="7FF16F6D"/>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qFormat="1" w:unhideWhenUsed="0" w:uiPriority="0" w:name="index 2"/>
    <w:lsdException w:qFormat="1" w:unhideWhenUsed="0" w:uiPriority="0" w:name="index 3"/>
    <w:lsdException w:qFormat="1" w:unhideWhenUsed="0" w:uiPriority="0" w:name="index 4"/>
    <w:lsdException w:qFormat="1" w:unhideWhenUsed="0" w:uiPriority="0" w:name="index 5"/>
    <w:lsdException w:qFormat="1" w:unhideWhenUsed="0" w:uiPriority="0" w:name="index 6"/>
    <w:lsdException w:qFormat="1" w:unhideWhenUsed="0" w:uiPriority="0" w:name="index 7"/>
    <w:lsdException w:qFormat="1" w:unhideWhenUsed="0" w:uiPriority="0" w:name="index 8"/>
    <w:lsdException w:qFormat="1" w:unhideWhenUsed="0" w:uiPriority="0"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qFormat="1" w:unhideWhenUsed="0" w:uiPriority="0" w:semiHidden="0" w:name="footnote text"/>
    <w:lsdException w:qFormat="1" w:uiPriority="99" w:semiHidden="0" w:name="annotation text"/>
    <w:lsdException w:qFormat="1" w:unhideWhenUsed="0" w:uiPriority="0" w:semiHidden="0" w:name="header"/>
    <w:lsdException w:qFormat="1" w:unhideWhenUsed="0" w:uiPriority="0" w:semiHidden="0" w:name="footer"/>
    <w:lsdException w:qFormat="1" w:unhideWhenUsed="0" w:uiPriority="0" w:name="index heading"/>
    <w:lsdException w:qFormat="1" w:uiPriority="35" w:name="caption"/>
    <w:lsdException w:qFormat="1" w:unhideWhenUsed="0" w:uiPriority="0"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uiPriority="99" w:name="List"/>
    <w:lsdException w:uiPriority="99" w:name="List Bullet"/>
    <w:lsdException w:qFormat="1" w:unhideWhenUsed="0" w:uiPriority="0" w:semiHidden="0" w:name="List Number"/>
    <w:lsdException w:uiPriority="99"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qFormat="1" w:unhideWhenUsed="0" w:uiPriority="0" w:semiHidden="0"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qFormat="1" w:unhideWhenUsed="0" w:uiPriority="0" w:semiHidden="0" w:name="Signature"/>
    <w:lsdException w:qFormat="1" w:uiPriority="1" w:name="Default Paragraph Font"/>
    <w:lsdException w:qFormat="1"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uiPriority="99"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Calibri" w:cs="宋体"/>
      <w:lang w:val="zh-CN" w:eastAsia="zh-CN" w:bidi="ar-SA"/>
    </w:rPr>
  </w:style>
  <w:style w:type="paragraph" w:styleId="2">
    <w:name w:val="heading 1"/>
    <w:basedOn w:val="1"/>
    <w:next w:val="1"/>
    <w:link w:val="76"/>
    <w:qFormat/>
    <w:uiPriority w:val="0"/>
    <w:pPr>
      <w:keepNext/>
      <w:tabs>
        <w:tab w:val="left" w:pos="1440"/>
        <w:tab w:val="left" w:pos="5670"/>
      </w:tabs>
      <w:spacing w:beforeLines="100" w:afterLines="100"/>
      <w:ind w:firstLine="2890" w:firstLineChars="1203"/>
      <w:outlineLvl w:val="0"/>
    </w:pPr>
    <w:rPr>
      <w:rFonts w:ascii="黑体" w:eastAsia="黑体" w:cs="Times New Roman"/>
      <w:b/>
      <w:kern w:val="44"/>
      <w:sz w:val="24"/>
      <w:szCs w:val="28"/>
      <w:lang w:val="en-US"/>
    </w:rPr>
  </w:style>
  <w:style w:type="paragraph" w:styleId="3">
    <w:name w:val="heading 2"/>
    <w:basedOn w:val="1"/>
    <w:next w:val="1"/>
    <w:link w:val="77"/>
    <w:qFormat/>
    <w:uiPriority w:val="0"/>
    <w:pPr>
      <w:keepNext/>
      <w:keepLines/>
      <w:spacing w:before="120" w:after="120"/>
      <w:jc w:val="left"/>
      <w:outlineLvl w:val="1"/>
    </w:pPr>
    <w:rPr>
      <w:rFonts w:ascii="宋体" w:hAnsi="宋体" w:eastAsia="宋体" w:cs="Times New Roman"/>
      <w:b/>
      <w:kern w:val="2"/>
      <w:sz w:val="21"/>
      <w:szCs w:val="24"/>
      <w:lang w:val="en-US"/>
    </w:rPr>
  </w:style>
  <w:style w:type="paragraph" w:styleId="4">
    <w:name w:val="heading 3"/>
    <w:basedOn w:val="1"/>
    <w:next w:val="1"/>
    <w:link w:val="178"/>
    <w:qFormat/>
    <w:uiPriority w:val="0"/>
    <w:pPr>
      <w:keepNext/>
      <w:keepLines/>
      <w:shd w:val="clear" w:color="auto" w:fill="FFFFFF"/>
      <w:wordWrap w:val="0"/>
      <w:spacing w:line="390" w:lineRule="atLeast"/>
      <w:outlineLvl w:val="2"/>
    </w:pPr>
    <w:rPr>
      <w:rFonts w:ascii="宋体" w:hAnsi="宋体" w:eastAsia="宋体" w:cs="Times New Roman"/>
      <w:b/>
      <w:kern w:val="2"/>
      <w:sz w:val="21"/>
      <w:szCs w:val="21"/>
    </w:rPr>
  </w:style>
  <w:style w:type="paragraph" w:styleId="5">
    <w:name w:val="heading 4"/>
    <w:basedOn w:val="1"/>
    <w:next w:val="1"/>
    <w:link w:val="79"/>
    <w:qFormat/>
    <w:uiPriority w:val="0"/>
    <w:pPr>
      <w:keepNext/>
      <w:keepLines/>
      <w:spacing w:before="120" w:after="120"/>
      <w:outlineLvl w:val="3"/>
    </w:pPr>
    <w:rPr>
      <w:rFonts w:ascii="Arial" w:hAnsi="Arial" w:eastAsia="黑体" w:cs="Times New Roman"/>
      <w:b/>
      <w:kern w:val="2"/>
      <w:sz w:val="28"/>
      <w:lang w:val="en-US"/>
    </w:rPr>
  </w:style>
  <w:style w:type="paragraph" w:styleId="6">
    <w:name w:val="heading 5"/>
    <w:basedOn w:val="1"/>
    <w:next w:val="7"/>
    <w:link w:val="80"/>
    <w:qFormat/>
    <w:uiPriority w:val="0"/>
    <w:pPr>
      <w:keepNext/>
      <w:autoSpaceDE w:val="0"/>
      <w:autoSpaceDN w:val="0"/>
      <w:adjustRightInd w:val="0"/>
      <w:spacing w:beforeLines="50" w:afterLines="50"/>
      <w:outlineLvl w:val="4"/>
    </w:pPr>
    <w:rPr>
      <w:rFonts w:ascii="黑体" w:eastAsia="黑体" w:cs="Times New Roman"/>
      <w:b/>
      <w:color w:val="000000"/>
      <w:sz w:val="28"/>
      <w:lang w:val="en-US"/>
    </w:rPr>
  </w:style>
  <w:style w:type="paragraph" w:styleId="8">
    <w:name w:val="heading 6"/>
    <w:basedOn w:val="1"/>
    <w:next w:val="1"/>
    <w:link w:val="81"/>
    <w:qFormat/>
    <w:uiPriority w:val="0"/>
    <w:pPr>
      <w:keepNext/>
      <w:keepLines/>
      <w:spacing w:before="240" w:after="64" w:line="320" w:lineRule="auto"/>
      <w:outlineLvl w:val="5"/>
    </w:pPr>
    <w:rPr>
      <w:rFonts w:ascii="Arial" w:hAnsi="Arial" w:eastAsia="黑体" w:cs="Times New Roman"/>
      <w:b/>
      <w:bCs/>
      <w:kern w:val="2"/>
      <w:sz w:val="24"/>
      <w:szCs w:val="24"/>
      <w:lang w:val="en-US"/>
    </w:rPr>
  </w:style>
  <w:style w:type="paragraph" w:styleId="9">
    <w:name w:val="heading 7"/>
    <w:basedOn w:val="1"/>
    <w:next w:val="1"/>
    <w:link w:val="82"/>
    <w:qFormat/>
    <w:uiPriority w:val="0"/>
    <w:pPr>
      <w:keepNext/>
      <w:keepLines/>
      <w:spacing w:before="240" w:after="64" w:line="320" w:lineRule="auto"/>
      <w:outlineLvl w:val="6"/>
    </w:pPr>
    <w:rPr>
      <w:rFonts w:eastAsia="宋体" w:cs="Times New Roman"/>
      <w:b/>
      <w:bCs/>
      <w:kern w:val="2"/>
      <w:sz w:val="24"/>
      <w:szCs w:val="24"/>
      <w:lang w:val="en-US"/>
    </w:rPr>
  </w:style>
  <w:style w:type="paragraph" w:styleId="10">
    <w:name w:val="heading 8"/>
    <w:basedOn w:val="1"/>
    <w:next w:val="1"/>
    <w:link w:val="83"/>
    <w:qFormat/>
    <w:uiPriority w:val="0"/>
    <w:pPr>
      <w:keepNext/>
      <w:keepLines/>
      <w:spacing w:before="240" w:after="64" w:line="320" w:lineRule="auto"/>
      <w:outlineLvl w:val="7"/>
    </w:pPr>
    <w:rPr>
      <w:rFonts w:ascii="Arial" w:hAnsi="Arial" w:eastAsia="黑体" w:cs="Times New Roman"/>
      <w:kern w:val="2"/>
      <w:sz w:val="24"/>
      <w:szCs w:val="24"/>
      <w:lang w:val="en-US"/>
    </w:rPr>
  </w:style>
  <w:style w:type="paragraph" w:styleId="11">
    <w:name w:val="heading 9"/>
    <w:basedOn w:val="1"/>
    <w:next w:val="1"/>
    <w:link w:val="84"/>
    <w:qFormat/>
    <w:uiPriority w:val="0"/>
    <w:pPr>
      <w:keepNext/>
      <w:keepLines/>
      <w:spacing w:before="240" w:after="64" w:line="320" w:lineRule="auto"/>
      <w:outlineLvl w:val="8"/>
    </w:pPr>
    <w:rPr>
      <w:rFonts w:ascii="Arial" w:hAnsi="Arial" w:eastAsia="黑体" w:cs="Times New Roman"/>
      <w:kern w:val="2"/>
      <w:sz w:val="21"/>
      <w:szCs w:val="21"/>
      <w:lang w:val="en-US"/>
    </w:rPr>
  </w:style>
  <w:style w:type="character" w:default="1" w:styleId="61">
    <w:name w:val="Default Paragraph Font"/>
    <w:semiHidden/>
    <w:unhideWhenUsed/>
    <w:qFormat/>
    <w:uiPriority w:val="1"/>
  </w:style>
  <w:style w:type="table" w:default="1" w:styleId="59">
    <w:name w:val="Normal Table"/>
    <w:semiHidden/>
    <w:unhideWhenUsed/>
    <w:qFormat/>
    <w:uiPriority w:val="99"/>
    <w:tblPr>
      <w:tblCellMar>
        <w:top w:w="0" w:type="dxa"/>
        <w:left w:w="108" w:type="dxa"/>
        <w:bottom w:w="0" w:type="dxa"/>
        <w:right w:w="108" w:type="dxa"/>
      </w:tblCellMar>
    </w:tblPr>
  </w:style>
  <w:style w:type="paragraph" w:styleId="7">
    <w:name w:val="Normal Indent"/>
    <w:basedOn w:val="1"/>
    <w:next w:val="1"/>
    <w:qFormat/>
    <w:uiPriority w:val="0"/>
    <w:pPr>
      <w:ind w:firstLine="420"/>
    </w:pPr>
  </w:style>
  <w:style w:type="paragraph" w:styleId="12">
    <w:name w:val="List 3"/>
    <w:basedOn w:val="1"/>
    <w:qFormat/>
    <w:uiPriority w:val="0"/>
    <w:pPr>
      <w:ind w:left="1260" w:hanging="420"/>
    </w:pPr>
  </w:style>
  <w:style w:type="paragraph" w:styleId="13">
    <w:name w:val="toc 7"/>
    <w:basedOn w:val="1"/>
    <w:next w:val="1"/>
    <w:semiHidden/>
    <w:qFormat/>
    <w:uiPriority w:val="0"/>
    <w:pPr>
      <w:ind w:left="1260"/>
      <w:jc w:val="left"/>
    </w:pPr>
    <w:rPr>
      <w:sz w:val="18"/>
    </w:rPr>
  </w:style>
  <w:style w:type="paragraph" w:styleId="14">
    <w:name w:val="List Number 2"/>
    <w:basedOn w:val="1"/>
    <w:qFormat/>
    <w:uiPriority w:val="0"/>
    <w:pPr>
      <w:tabs>
        <w:tab w:val="left" w:pos="1440"/>
      </w:tabs>
      <w:spacing w:line="360" w:lineRule="auto"/>
      <w:ind w:left="1440" w:hanging="1440"/>
    </w:pPr>
    <w:rPr>
      <w:sz w:val="24"/>
      <w:szCs w:val="24"/>
    </w:rPr>
  </w:style>
  <w:style w:type="paragraph" w:styleId="15">
    <w:name w:val="index 8"/>
    <w:basedOn w:val="1"/>
    <w:next w:val="1"/>
    <w:semiHidden/>
    <w:qFormat/>
    <w:uiPriority w:val="0"/>
    <w:pPr>
      <w:ind w:left="2940"/>
    </w:pPr>
  </w:style>
  <w:style w:type="paragraph" w:styleId="16">
    <w:name w:val="List Number"/>
    <w:basedOn w:val="1"/>
    <w:qFormat/>
    <w:uiPriority w:val="0"/>
    <w:pPr>
      <w:tabs>
        <w:tab w:val="left" w:pos="2952"/>
      </w:tabs>
      <w:ind w:left="2952" w:hanging="432"/>
    </w:pPr>
    <w:rPr>
      <w:szCs w:val="24"/>
    </w:rPr>
  </w:style>
  <w:style w:type="paragraph" w:styleId="17">
    <w:name w:val="index 5"/>
    <w:basedOn w:val="1"/>
    <w:next w:val="1"/>
    <w:semiHidden/>
    <w:qFormat/>
    <w:uiPriority w:val="0"/>
    <w:pPr>
      <w:ind w:left="1680"/>
    </w:pPr>
  </w:style>
  <w:style w:type="paragraph" w:styleId="18">
    <w:name w:val="Document Map"/>
    <w:basedOn w:val="1"/>
    <w:link w:val="123"/>
    <w:semiHidden/>
    <w:qFormat/>
    <w:uiPriority w:val="0"/>
    <w:pPr>
      <w:shd w:val="clear" w:color="auto" w:fill="000080"/>
    </w:pPr>
    <w:rPr>
      <w:rFonts w:eastAsia="宋体" w:asciiTheme="minorHAnsi" w:hAnsiTheme="minorHAnsi" w:cstheme="minorBidi"/>
      <w:kern w:val="2"/>
      <w:sz w:val="21"/>
      <w:szCs w:val="22"/>
      <w:lang w:val="en-US"/>
    </w:rPr>
  </w:style>
  <w:style w:type="paragraph" w:styleId="19">
    <w:name w:val="annotation text"/>
    <w:basedOn w:val="1"/>
    <w:link w:val="241"/>
    <w:unhideWhenUsed/>
    <w:qFormat/>
    <w:uiPriority w:val="99"/>
    <w:pPr>
      <w:jc w:val="left"/>
    </w:pPr>
  </w:style>
  <w:style w:type="paragraph" w:styleId="20">
    <w:name w:val="index 6"/>
    <w:basedOn w:val="1"/>
    <w:next w:val="1"/>
    <w:semiHidden/>
    <w:qFormat/>
    <w:uiPriority w:val="0"/>
    <w:pPr>
      <w:ind w:left="2100"/>
    </w:pPr>
  </w:style>
  <w:style w:type="paragraph" w:styleId="21">
    <w:name w:val="Salutation"/>
    <w:basedOn w:val="1"/>
    <w:next w:val="1"/>
    <w:link w:val="283"/>
    <w:qFormat/>
    <w:uiPriority w:val="0"/>
    <w:rPr>
      <w:rFonts w:ascii="仿宋_GB2312" w:eastAsia="仿宋_GB2312"/>
      <w:sz w:val="28"/>
    </w:rPr>
  </w:style>
  <w:style w:type="paragraph" w:styleId="22">
    <w:name w:val="Body Text 3"/>
    <w:basedOn w:val="1"/>
    <w:link w:val="273"/>
    <w:qFormat/>
    <w:uiPriority w:val="0"/>
    <w:rPr>
      <w:rFonts w:ascii="仿宋_GB2312" w:hAnsi="Arial" w:eastAsia="仿宋_GB2312"/>
      <w:sz w:val="32"/>
    </w:rPr>
  </w:style>
  <w:style w:type="paragraph" w:styleId="23">
    <w:name w:val="Body Text"/>
    <w:basedOn w:val="1"/>
    <w:next w:val="1"/>
    <w:link w:val="225"/>
    <w:unhideWhenUsed/>
    <w:qFormat/>
    <w:uiPriority w:val="0"/>
    <w:pPr>
      <w:spacing w:after="120"/>
    </w:pPr>
  </w:style>
  <w:style w:type="paragraph" w:styleId="24">
    <w:name w:val="Body Text Indent"/>
    <w:basedOn w:val="1"/>
    <w:link w:val="164"/>
    <w:qFormat/>
    <w:uiPriority w:val="0"/>
    <w:pPr>
      <w:ind w:firstLine="645"/>
    </w:pPr>
    <w:rPr>
      <w:rFonts w:ascii="楷体_GB2312" w:eastAsia="楷体_GB2312" w:hAnsiTheme="minorHAnsi" w:cstheme="minorBidi"/>
      <w:kern w:val="2"/>
      <w:sz w:val="32"/>
      <w:szCs w:val="22"/>
      <w:lang w:val="en-US"/>
    </w:rPr>
  </w:style>
  <w:style w:type="paragraph" w:styleId="25">
    <w:name w:val="index 4"/>
    <w:basedOn w:val="1"/>
    <w:next w:val="1"/>
    <w:semiHidden/>
    <w:qFormat/>
    <w:uiPriority w:val="0"/>
    <w:pPr>
      <w:ind w:left="1260"/>
    </w:pPr>
  </w:style>
  <w:style w:type="paragraph" w:styleId="26">
    <w:name w:val="toc 5"/>
    <w:basedOn w:val="1"/>
    <w:next w:val="1"/>
    <w:semiHidden/>
    <w:qFormat/>
    <w:uiPriority w:val="0"/>
    <w:pPr>
      <w:ind w:left="840"/>
      <w:jc w:val="left"/>
    </w:pPr>
    <w:rPr>
      <w:sz w:val="18"/>
    </w:rPr>
  </w:style>
  <w:style w:type="paragraph" w:styleId="27">
    <w:name w:val="toc 3"/>
    <w:basedOn w:val="1"/>
    <w:next w:val="1"/>
    <w:semiHidden/>
    <w:qFormat/>
    <w:uiPriority w:val="0"/>
    <w:pPr>
      <w:ind w:left="420"/>
      <w:jc w:val="left"/>
    </w:pPr>
    <w:rPr>
      <w:i/>
    </w:rPr>
  </w:style>
  <w:style w:type="paragraph" w:styleId="28">
    <w:name w:val="Plain Text"/>
    <w:basedOn w:val="1"/>
    <w:link w:val="151"/>
    <w:qFormat/>
    <w:uiPriority w:val="0"/>
    <w:rPr>
      <w:rFonts w:ascii="宋体" w:hAnsi="Courier New" w:eastAsia="宋体" w:cstheme="minorBidi"/>
      <w:kern w:val="2"/>
      <w:sz w:val="21"/>
      <w:szCs w:val="22"/>
      <w:lang w:val="en-US"/>
    </w:rPr>
  </w:style>
  <w:style w:type="paragraph" w:styleId="29">
    <w:name w:val="toc 8"/>
    <w:basedOn w:val="1"/>
    <w:next w:val="1"/>
    <w:semiHidden/>
    <w:qFormat/>
    <w:uiPriority w:val="0"/>
    <w:pPr>
      <w:ind w:left="1470"/>
      <w:jc w:val="left"/>
    </w:pPr>
    <w:rPr>
      <w:sz w:val="18"/>
    </w:rPr>
  </w:style>
  <w:style w:type="paragraph" w:styleId="30">
    <w:name w:val="index 3"/>
    <w:basedOn w:val="1"/>
    <w:next w:val="1"/>
    <w:semiHidden/>
    <w:qFormat/>
    <w:uiPriority w:val="0"/>
    <w:pPr>
      <w:ind w:left="840"/>
    </w:pPr>
  </w:style>
  <w:style w:type="paragraph" w:styleId="31">
    <w:name w:val="Date"/>
    <w:basedOn w:val="1"/>
    <w:next w:val="1"/>
    <w:link w:val="255"/>
    <w:qFormat/>
    <w:uiPriority w:val="0"/>
    <w:pPr>
      <w:ind w:left="100" w:leftChars="2500"/>
    </w:pPr>
    <w:rPr>
      <w:sz w:val="28"/>
    </w:rPr>
  </w:style>
  <w:style w:type="paragraph" w:styleId="32">
    <w:name w:val="Body Text Indent 2"/>
    <w:basedOn w:val="1"/>
    <w:link w:val="120"/>
    <w:qFormat/>
    <w:uiPriority w:val="0"/>
    <w:pPr>
      <w:ind w:left="630" w:firstLine="645"/>
    </w:pPr>
    <w:rPr>
      <w:rFonts w:ascii="Arial" w:hAnsi="Arial" w:eastAsia="仿宋_GB2312" w:cstheme="minorBidi"/>
      <w:kern w:val="2"/>
      <w:sz w:val="32"/>
      <w:szCs w:val="22"/>
      <w:lang w:val="en-US"/>
    </w:rPr>
  </w:style>
  <w:style w:type="paragraph" w:styleId="33">
    <w:name w:val="endnote text"/>
    <w:basedOn w:val="1"/>
    <w:link w:val="278"/>
    <w:qFormat/>
    <w:uiPriority w:val="0"/>
    <w:pPr>
      <w:snapToGrid w:val="0"/>
      <w:jc w:val="left"/>
    </w:pPr>
    <w:rPr>
      <w:szCs w:val="24"/>
    </w:rPr>
  </w:style>
  <w:style w:type="paragraph" w:styleId="34">
    <w:name w:val="Balloon Text"/>
    <w:basedOn w:val="1"/>
    <w:link w:val="193"/>
    <w:semiHidden/>
    <w:qFormat/>
    <w:uiPriority w:val="0"/>
    <w:rPr>
      <w:sz w:val="18"/>
      <w:szCs w:val="18"/>
    </w:rPr>
  </w:style>
  <w:style w:type="paragraph" w:styleId="35">
    <w:name w:val="footer"/>
    <w:basedOn w:val="1"/>
    <w:link w:val="191"/>
    <w:qFormat/>
    <w:uiPriority w:val="0"/>
    <w:pPr>
      <w:tabs>
        <w:tab w:val="center" w:pos="4153"/>
        <w:tab w:val="right" w:pos="8306"/>
      </w:tabs>
      <w:snapToGrid w:val="0"/>
      <w:jc w:val="left"/>
    </w:pPr>
    <w:rPr>
      <w:rFonts w:asciiTheme="minorHAnsi" w:hAnsiTheme="minorHAnsi" w:eastAsiaTheme="minorEastAsia" w:cstheme="minorBidi"/>
      <w:kern w:val="2"/>
      <w:sz w:val="18"/>
      <w:szCs w:val="22"/>
      <w:lang w:val="en-US"/>
    </w:rPr>
  </w:style>
  <w:style w:type="paragraph" w:styleId="36">
    <w:name w:val="header"/>
    <w:basedOn w:val="1"/>
    <w:link w:val="275"/>
    <w:qFormat/>
    <w:uiPriority w:val="0"/>
    <w:pPr>
      <w:pBdr>
        <w:bottom w:val="single" w:color="auto" w:sz="6" w:space="1"/>
      </w:pBdr>
      <w:tabs>
        <w:tab w:val="center" w:pos="4153"/>
        <w:tab w:val="right" w:pos="8306"/>
      </w:tabs>
      <w:snapToGrid w:val="0"/>
      <w:jc w:val="center"/>
    </w:pPr>
    <w:rPr>
      <w:sz w:val="18"/>
    </w:rPr>
  </w:style>
  <w:style w:type="paragraph" w:styleId="37">
    <w:name w:val="Signature"/>
    <w:basedOn w:val="1"/>
    <w:link w:val="259"/>
    <w:qFormat/>
    <w:uiPriority w:val="0"/>
    <w:pPr>
      <w:adjustRightInd w:val="0"/>
      <w:spacing w:after="600" w:line="312" w:lineRule="atLeast"/>
      <w:jc w:val="center"/>
      <w:textAlignment w:val="baseline"/>
    </w:pPr>
    <w:rPr>
      <w:rFonts w:eastAsia="仿宋_GB2312"/>
      <w:sz w:val="24"/>
    </w:rPr>
  </w:style>
  <w:style w:type="paragraph" w:styleId="38">
    <w:name w:val="toc 1"/>
    <w:basedOn w:val="1"/>
    <w:next w:val="1"/>
    <w:semiHidden/>
    <w:qFormat/>
    <w:uiPriority w:val="0"/>
    <w:pPr>
      <w:spacing w:before="120" w:after="120"/>
      <w:jc w:val="left"/>
    </w:pPr>
    <w:rPr>
      <w:b/>
      <w:caps/>
    </w:rPr>
  </w:style>
  <w:style w:type="paragraph" w:styleId="39">
    <w:name w:val="toc 4"/>
    <w:basedOn w:val="1"/>
    <w:next w:val="1"/>
    <w:semiHidden/>
    <w:qFormat/>
    <w:uiPriority w:val="0"/>
    <w:pPr>
      <w:ind w:left="630"/>
      <w:jc w:val="left"/>
    </w:pPr>
    <w:rPr>
      <w:sz w:val="18"/>
    </w:rPr>
  </w:style>
  <w:style w:type="paragraph" w:styleId="40">
    <w:name w:val="index heading"/>
    <w:basedOn w:val="1"/>
    <w:next w:val="41"/>
    <w:semiHidden/>
    <w:qFormat/>
    <w:uiPriority w:val="0"/>
  </w:style>
  <w:style w:type="paragraph" w:styleId="41">
    <w:name w:val="index 1"/>
    <w:basedOn w:val="1"/>
    <w:next w:val="1"/>
    <w:semiHidden/>
    <w:qFormat/>
    <w:uiPriority w:val="0"/>
    <w:rPr>
      <w:rFonts w:ascii="仿宋_GB2312" w:hAnsi="宋体" w:eastAsia="仿宋_GB2312"/>
      <w:sz w:val="30"/>
      <w:szCs w:val="24"/>
    </w:rPr>
  </w:style>
  <w:style w:type="paragraph" w:styleId="42">
    <w:name w:val="Subtitle"/>
    <w:basedOn w:val="1"/>
    <w:next w:val="1"/>
    <w:link w:val="252"/>
    <w:qFormat/>
    <w:uiPriority w:val="0"/>
    <w:pPr>
      <w:widowControl/>
      <w:spacing w:after="600" w:line="276" w:lineRule="auto"/>
      <w:jc w:val="left"/>
    </w:pPr>
    <w:rPr>
      <w:rFonts w:ascii="Cambria" w:hAnsi="Cambria"/>
      <w:i/>
      <w:iCs/>
      <w:spacing w:val="13"/>
      <w:sz w:val="24"/>
      <w:szCs w:val="24"/>
      <w:lang w:eastAsia="en-US" w:bidi="en-US"/>
    </w:rPr>
  </w:style>
  <w:style w:type="paragraph" w:styleId="43">
    <w:name w:val="footnote text"/>
    <w:basedOn w:val="1"/>
    <w:link w:val="210"/>
    <w:qFormat/>
    <w:uiPriority w:val="0"/>
    <w:pPr>
      <w:snapToGrid w:val="0"/>
      <w:jc w:val="left"/>
    </w:pPr>
    <w:rPr>
      <w:sz w:val="18"/>
      <w:szCs w:val="18"/>
    </w:rPr>
  </w:style>
  <w:style w:type="paragraph" w:styleId="44">
    <w:name w:val="toc 6"/>
    <w:basedOn w:val="1"/>
    <w:next w:val="1"/>
    <w:semiHidden/>
    <w:qFormat/>
    <w:uiPriority w:val="0"/>
    <w:pPr>
      <w:ind w:left="1050"/>
      <w:jc w:val="left"/>
    </w:pPr>
    <w:rPr>
      <w:sz w:val="18"/>
    </w:rPr>
  </w:style>
  <w:style w:type="paragraph" w:styleId="45">
    <w:name w:val="Body Text Indent 3"/>
    <w:basedOn w:val="1"/>
    <w:link w:val="162"/>
    <w:qFormat/>
    <w:uiPriority w:val="0"/>
    <w:pPr>
      <w:ind w:left="645" w:firstLine="645"/>
    </w:pPr>
    <w:rPr>
      <w:rFonts w:ascii="Arial" w:hAnsi="Arial" w:eastAsia="仿宋_GB2312" w:cstheme="minorBidi"/>
      <w:color w:val="FFFF00"/>
      <w:kern w:val="2"/>
      <w:sz w:val="32"/>
      <w:szCs w:val="22"/>
      <w:lang w:val="en-US"/>
    </w:rPr>
  </w:style>
  <w:style w:type="paragraph" w:styleId="46">
    <w:name w:val="index 7"/>
    <w:basedOn w:val="1"/>
    <w:next w:val="1"/>
    <w:semiHidden/>
    <w:qFormat/>
    <w:uiPriority w:val="0"/>
    <w:pPr>
      <w:ind w:left="2520"/>
    </w:pPr>
  </w:style>
  <w:style w:type="paragraph" w:styleId="47">
    <w:name w:val="index 9"/>
    <w:basedOn w:val="1"/>
    <w:next w:val="1"/>
    <w:semiHidden/>
    <w:qFormat/>
    <w:uiPriority w:val="0"/>
    <w:pPr>
      <w:ind w:left="3360"/>
    </w:pPr>
  </w:style>
  <w:style w:type="paragraph" w:styleId="48">
    <w:name w:val="table of figures"/>
    <w:basedOn w:val="1"/>
    <w:next w:val="1"/>
    <w:semiHidden/>
    <w:qFormat/>
    <w:uiPriority w:val="0"/>
    <w:pPr>
      <w:ind w:left="840" w:hanging="420"/>
    </w:pPr>
  </w:style>
  <w:style w:type="paragraph" w:styleId="49">
    <w:name w:val="toc 2"/>
    <w:basedOn w:val="1"/>
    <w:next w:val="1"/>
    <w:semiHidden/>
    <w:qFormat/>
    <w:uiPriority w:val="0"/>
    <w:pPr>
      <w:ind w:left="210"/>
      <w:jc w:val="left"/>
    </w:pPr>
    <w:rPr>
      <w:smallCaps/>
    </w:rPr>
  </w:style>
  <w:style w:type="paragraph" w:styleId="50">
    <w:name w:val="toc 9"/>
    <w:basedOn w:val="1"/>
    <w:next w:val="1"/>
    <w:semiHidden/>
    <w:qFormat/>
    <w:uiPriority w:val="0"/>
    <w:pPr>
      <w:ind w:left="1680"/>
      <w:jc w:val="left"/>
    </w:pPr>
    <w:rPr>
      <w:sz w:val="18"/>
    </w:rPr>
  </w:style>
  <w:style w:type="paragraph" w:styleId="51">
    <w:name w:val="Body Text 2"/>
    <w:basedOn w:val="1"/>
    <w:link w:val="197"/>
    <w:qFormat/>
    <w:uiPriority w:val="0"/>
    <w:pPr>
      <w:widowControl/>
      <w:jc w:val="center"/>
    </w:pPr>
    <w:rPr>
      <w:rFonts w:ascii="楷体_GB2312" w:eastAsia="楷体_GB2312"/>
      <w:sz w:val="28"/>
    </w:rPr>
  </w:style>
  <w:style w:type="paragraph" w:styleId="52">
    <w:name w:val="HTML Preformatted"/>
    <w:basedOn w:val="1"/>
    <w:link w:val="143"/>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Courier New"/>
      <w:kern w:val="2"/>
      <w:sz w:val="21"/>
      <w:szCs w:val="22"/>
      <w:lang w:val="en-US"/>
    </w:rPr>
  </w:style>
  <w:style w:type="paragraph" w:styleId="53">
    <w:name w:val="Normal (Web)"/>
    <w:basedOn w:val="1"/>
    <w:qFormat/>
    <w:uiPriority w:val="0"/>
    <w:pPr>
      <w:widowControl/>
      <w:spacing w:before="100" w:beforeAutospacing="1" w:after="100" w:afterAutospacing="1"/>
      <w:jc w:val="left"/>
    </w:pPr>
    <w:rPr>
      <w:rFonts w:ascii="Arial" w:hAnsi="Arial" w:eastAsia="Arial Unicode MS" w:cs="Arial"/>
      <w:sz w:val="24"/>
      <w:szCs w:val="24"/>
    </w:rPr>
  </w:style>
  <w:style w:type="paragraph" w:styleId="54">
    <w:name w:val="index 2"/>
    <w:basedOn w:val="1"/>
    <w:next w:val="1"/>
    <w:semiHidden/>
    <w:qFormat/>
    <w:uiPriority w:val="0"/>
    <w:pPr>
      <w:ind w:left="420"/>
    </w:pPr>
  </w:style>
  <w:style w:type="paragraph" w:styleId="55">
    <w:name w:val="Title"/>
    <w:basedOn w:val="1"/>
    <w:link w:val="99"/>
    <w:qFormat/>
    <w:uiPriority w:val="0"/>
    <w:pPr>
      <w:widowControl/>
      <w:overflowPunct w:val="0"/>
      <w:autoSpaceDE w:val="0"/>
      <w:autoSpaceDN w:val="0"/>
      <w:adjustRightInd w:val="0"/>
      <w:spacing w:line="420" w:lineRule="exact"/>
      <w:jc w:val="center"/>
      <w:textAlignment w:val="baseline"/>
    </w:pPr>
    <w:rPr>
      <w:rFonts w:eastAsia="黑体" w:asciiTheme="minorHAnsi" w:hAnsiTheme="minorHAnsi" w:cstheme="minorBidi"/>
      <w:b/>
      <w:kern w:val="2"/>
      <w:sz w:val="28"/>
      <w:szCs w:val="22"/>
      <w:lang w:val="en-GB"/>
    </w:rPr>
  </w:style>
  <w:style w:type="paragraph" w:styleId="56">
    <w:name w:val="annotation subject"/>
    <w:basedOn w:val="19"/>
    <w:next w:val="19"/>
    <w:link w:val="155"/>
    <w:semiHidden/>
    <w:qFormat/>
    <w:uiPriority w:val="0"/>
    <w:rPr>
      <w:rFonts w:eastAsia="宋体" w:asciiTheme="minorHAnsi" w:hAnsiTheme="minorHAnsi" w:cstheme="minorBidi"/>
      <w:b/>
      <w:bCs/>
      <w:kern w:val="2"/>
      <w:sz w:val="21"/>
      <w:szCs w:val="22"/>
      <w:lang w:val="en-US"/>
    </w:rPr>
  </w:style>
  <w:style w:type="paragraph" w:styleId="57">
    <w:name w:val="Body Text First Indent"/>
    <w:basedOn w:val="23"/>
    <w:link w:val="226"/>
    <w:qFormat/>
    <w:uiPriority w:val="0"/>
    <w:pPr>
      <w:ind w:firstLine="420" w:firstLineChars="100"/>
    </w:pPr>
    <w:rPr>
      <w:rFonts w:ascii="Times New Roman" w:hAnsi="Times New Roman" w:eastAsia="宋体"/>
      <w:sz w:val="21"/>
      <w:szCs w:val="24"/>
    </w:rPr>
  </w:style>
  <w:style w:type="paragraph" w:styleId="58">
    <w:name w:val="Body Text First Indent 2"/>
    <w:basedOn w:val="1"/>
    <w:next w:val="1"/>
    <w:qFormat/>
    <w:uiPriority w:val="0"/>
    <w:pPr>
      <w:ind w:firstLine="420"/>
    </w:pPr>
  </w:style>
  <w:style w:type="table" w:styleId="60">
    <w:name w:val="Table Grid"/>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62">
    <w:name w:val="Strong"/>
    <w:qFormat/>
    <w:uiPriority w:val="0"/>
    <w:rPr>
      <w:b/>
      <w:bCs/>
    </w:rPr>
  </w:style>
  <w:style w:type="character" w:styleId="63">
    <w:name w:val="endnote reference"/>
    <w:qFormat/>
    <w:uiPriority w:val="0"/>
    <w:rPr>
      <w:vertAlign w:val="superscript"/>
    </w:rPr>
  </w:style>
  <w:style w:type="character" w:styleId="64">
    <w:name w:val="page number"/>
    <w:basedOn w:val="61"/>
    <w:qFormat/>
    <w:uiPriority w:val="0"/>
  </w:style>
  <w:style w:type="character" w:styleId="65">
    <w:name w:val="FollowedHyperlink"/>
    <w:qFormat/>
    <w:uiPriority w:val="0"/>
    <w:rPr>
      <w:color w:val="800080"/>
      <w:u w:val="single"/>
    </w:rPr>
  </w:style>
  <w:style w:type="character" w:styleId="66">
    <w:name w:val="Emphasis"/>
    <w:qFormat/>
    <w:uiPriority w:val="0"/>
    <w:rPr>
      <w:b/>
      <w:bCs/>
      <w:i/>
      <w:iCs/>
      <w:spacing w:val="10"/>
      <w:shd w:val="clear" w:color="auto" w:fill="auto"/>
    </w:rPr>
  </w:style>
  <w:style w:type="character" w:styleId="67">
    <w:name w:val="line number"/>
    <w:basedOn w:val="61"/>
    <w:qFormat/>
    <w:uiPriority w:val="0"/>
  </w:style>
  <w:style w:type="character" w:styleId="68">
    <w:name w:val="HTML Typewriter"/>
    <w:qFormat/>
    <w:uiPriority w:val="0"/>
    <w:rPr>
      <w:rFonts w:ascii="宋体" w:hAnsi="宋体" w:eastAsia="宋体" w:cs="宋体"/>
      <w:sz w:val="24"/>
      <w:szCs w:val="24"/>
    </w:rPr>
  </w:style>
  <w:style w:type="character" w:styleId="69">
    <w:name w:val="Hyperlink"/>
    <w:qFormat/>
    <w:uiPriority w:val="0"/>
    <w:rPr>
      <w:color w:val="0000FF"/>
      <w:u w:val="single"/>
    </w:rPr>
  </w:style>
  <w:style w:type="character" w:styleId="70">
    <w:name w:val="annotation reference"/>
    <w:qFormat/>
    <w:uiPriority w:val="0"/>
    <w:rPr>
      <w:sz w:val="21"/>
    </w:rPr>
  </w:style>
  <w:style w:type="character" w:styleId="71">
    <w:name w:val="footnote reference"/>
    <w:qFormat/>
    <w:uiPriority w:val="0"/>
    <w:rPr>
      <w:vertAlign w:val="superscript"/>
    </w:rPr>
  </w:style>
  <w:style w:type="character" w:styleId="72">
    <w:name w:val="HTML Sample"/>
    <w:qFormat/>
    <w:uiPriority w:val="0"/>
    <w:rPr>
      <w:rFonts w:ascii="Courier New" w:hAnsi="宋体" w:eastAsia="宋体" w:cs="Courier New"/>
    </w:rPr>
  </w:style>
  <w:style w:type="paragraph" w:styleId="73">
    <w:name w:val="List Paragraph"/>
    <w:basedOn w:val="1"/>
    <w:qFormat/>
    <w:uiPriority w:val="34"/>
    <w:pPr>
      <w:ind w:firstLine="420" w:firstLineChars="200"/>
    </w:pPr>
    <w:rPr>
      <w:szCs w:val="24"/>
    </w:rPr>
  </w:style>
  <w:style w:type="paragraph" w:customStyle="1" w:styleId="74">
    <w:name w:val="标题 5（有编号）（绿盟科技）"/>
    <w:basedOn w:val="1"/>
    <w:next w:val="75"/>
    <w:qFormat/>
    <w:uiPriority w:val="0"/>
    <w:pPr>
      <w:keepNext/>
      <w:keepLines/>
      <w:numPr>
        <w:ilvl w:val="4"/>
        <w:numId w:val="1"/>
      </w:numPr>
      <w:spacing w:before="280" w:after="156" w:line="377" w:lineRule="auto"/>
      <w:jc w:val="left"/>
      <w:outlineLvl w:val="4"/>
    </w:pPr>
    <w:rPr>
      <w:rFonts w:ascii="Arial" w:hAnsi="Arial" w:eastAsia="黑体"/>
      <w:b/>
      <w:sz w:val="24"/>
      <w:szCs w:val="28"/>
    </w:rPr>
  </w:style>
  <w:style w:type="paragraph" w:customStyle="1" w:styleId="75">
    <w:name w:val="正文（绿盟科技）"/>
    <w:qFormat/>
    <w:uiPriority w:val="0"/>
    <w:pPr>
      <w:spacing w:line="300" w:lineRule="auto"/>
    </w:pPr>
    <w:rPr>
      <w:rFonts w:ascii="Arial" w:hAnsi="Arial" w:eastAsia="宋体" w:cs="黑体"/>
      <w:sz w:val="21"/>
      <w:szCs w:val="21"/>
      <w:lang w:val="en-US" w:eastAsia="zh-CN" w:bidi="ar-SA"/>
    </w:rPr>
  </w:style>
  <w:style w:type="character" w:customStyle="1" w:styleId="76">
    <w:name w:val="标题 1 Char"/>
    <w:basedOn w:val="61"/>
    <w:link w:val="2"/>
    <w:qFormat/>
    <w:uiPriority w:val="0"/>
    <w:rPr>
      <w:rFonts w:ascii="黑体" w:hAnsi="Calibri" w:eastAsia="黑体" w:cs="Times New Roman"/>
      <w:b/>
      <w:kern w:val="44"/>
      <w:sz w:val="24"/>
      <w:szCs w:val="28"/>
    </w:rPr>
  </w:style>
  <w:style w:type="character" w:customStyle="1" w:styleId="77">
    <w:name w:val="标题 2 Char"/>
    <w:basedOn w:val="61"/>
    <w:link w:val="3"/>
    <w:qFormat/>
    <w:uiPriority w:val="0"/>
    <w:rPr>
      <w:rFonts w:ascii="宋体" w:hAnsi="宋体" w:eastAsia="宋体" w:cs="Times New Roman"/>
      <w:b/>
      <w:szCs w:val="24"/>
    </w:rPr>
  </w:style>
  <w:style w:type="character" w:customStyle="1" w:styleId="78">
    <w:name w:val="标题 3 Char"/>
    <w:basedOn w:val="61"/>
    <w:qFormat/>
    <w:uiPriority w:val="0"/>
    <w:rPr>
      <w:rFonts w:ascii="Calibri" w:hAnsi="Calibri" w:eastAsia="Calibri" w:cs="宋体"/>
      <w:b/>
      <w:bCs/>
      <w:kern w:val="0"/>
      <w:sz w:val="32"/>
      <w:szCs w:val="32"/>
      <w:lang w:val="zh-CN"/>
    </w:rPr>
  </w:style>
  <w:style w:type="character" w:customStyle="1" w:styleId="79">
    <w:name w:val="标题 4 Char"/>
    <w:basedOn w:val="61"/>
    <w:link w:val="5"/>
    <w:qFormat/>
    <w:uiPriority w:val="0"/>
    <w:rPr>
      <w:rFonts w:ascii="Arial" w:hAnsi="Arial" w:eastAsia="黑体" w:cs="Times New Roman"/>
      <w:b/>
      <w:sz w:val="28"/>
      <w:szCs w:val="20"/>
    </w:rPr>
  </w:style>
  <w:style w:type="character" w:customStyle="1" w:styleId="80">
    <w:name w:val="标题 5 Char"/>
    <w:basedOn w:val="61"/>
    <w:link w:val="6"/>
    <w:qFormat/>
    <w:uiPriority w:val="0"/>
    <w:rPr>
      <w:rFonts w:ascii="黑体" w:hAnsi="Calibri" w:eastAsia="黑体" w:cs="Times New Roman"/>
      <w:b/>
      <w:color w:val="000000"/>
      <w:kern w:val="0"/>
      <w:sz w:val="28"/>
      <w:szCs w:val="20"/>
    </w:rPr>
  </w:style>
  <w:style w:type="character" w:customStyle="1" w:styleId="81">
    <w:name w:val="标题 6 Char"/>
    <w:basedOn w:val="61"/>
    <w:link w:val="8"/>
    <w:qFormat/>
    <w:uiPriority w:val="0"/>
    <w:rPr>
      <w:rFonts w:ascii="Arial" w:hAnsi="Arial" w:eastAsia="黑体" w:cs="Times New Roman"/>
      <w:b/>
      <w:bCs/>
      <w:sz w:val="24"/>
      <w:szCs w:val="24"/>
    </w:rPr>
  </w:style>
  <w:style w:type="character" w:customStyle="1" w:styleId="82">
    <w:name w:val="标题 7 Char"/>
    <w:basedOn w:val="61"/>
    <w:link w:val="9"/>
    <w:qFormat/>
    <w:uiPriority w:val="0"/>
    <w:rPr>
      <w:rFonts w:ascii="Calibri" w:hAnsi="Calibri" w:eastAsia="宋体" w:cs="Times New Roman"/>
      <w:b/>
      <w:bCs/>
      <w:sz w:val="24"/>
      <w:szCs w:val="24"/>
    </w:rPr>
  </w:style>
  <w:style w:type="character" w:customStyle="1" w:styleId="83">
    <w:name w:val="标题 8 Char"/>
    <w:basedOn w:val="61"/>
    <w:link w:val="10"/>
    <w:qFormat/>
    <w:uiPriority w:val="0"/>
    <w:rPr>
      <w:rFonts w:ascii="Arial" w:hAnsi="Arial" w:eastAsia="黑体" w:cs="Times New Roman"/>
      <w:sz w:val="24"/>
      <w:szCs w:val="24"/>
    </w:rPr>
  </w:style>
  <w:style w:type="character" w:customStyle="1" w:styleId="84">
    <w:name w:val="标题 9 Char"/>
    <w:basedOn w:val="61"/>
    <w:link w:val="11"/>
    <w:qFormat/>
    <w:uiPriority w:val="0"/>
    <w:rPr>
      <w:rFonts w:ascii="Arial" w:hAnsi="Arial" w:eastAsia="黑体" w:cs="Times New Roman"/>
      <w:szCs w:val="21"/>
    </w:rPr>
  </w:style>
  <w:style w:type="character" w:customStyle="1" w:styleId="85">
    <w:name w:val="Char Char17"/>
    <w:qFormat/>
    <w:uiPriority w:val="0"/>
    <w:rPr>
      <w:rFonts w:ascii="宋体" w:hAnsi="Courier New"/>
      <w:kern w:val="2"/>
      <w:sz w:val="21"/>
      <w:szCs w:val="21"/>
    </w:rPr>
  </w:style>
  <w:style w:type="character" w:customStyle="1" w:styleId="86">
    <w:name w:val="18"/>
    <w:qFormat/>
    <w:uiPriority w:val="0"/>
    <w:rPr>
      <w:rFonts w:hint="eastAsia" w:ascii="宋体" w:hAnsi="宋体" w:eastAsia="宋体" w:cs="宋体"/>
      <w:color w:val="000000"/>
      <w:sz w:val="20"/>
      <w:szCs w:val="20"/>
    </w:rPr>
  </w:style>
  <w:style w:type="character" w:customStyle="1" w:styleId="87">
    <w:name w:val="小四 段落 宋体 Char Char Char1"/>
    <w:qFormat/>
    <w:uiPriority w:val="0"/>
    <w:rPr>
      <w:rFonts w:ascii="宋体" w:hAnsi="宋体" w:eastAsia="宋体"/>
      <w:kern w:val="2"/>
      <w:sz w:val="24"/>
      <w:szCs w:val="24"/>
      <w:lang w:val="en-US" w:eastAsia="zh-CN" w:bidi="ar-SA"/>
    </w:rPr>
  </w:style>
  <w:style w:type="character" w:customStyle="1" w:styleId="88">
    <w:name w:val="param-value"/>
    <w:basedOn w:val="61"/>
    <w:qFormat/>
    <w:uiPriority w:val="0"/>
  </w:style>
  <w:style w:type="character" w:customStyle="1" w:styleId="89">
    <w:name w:val="3zw"/>
    <w:basedOn w:val="61"/>
    <w:qFormat/>
    <w:uiPriority w:val="0"/>
  </w:style>
  <w:style w:type="character" w:customStyle="1" w:styleId="90">
    <w:name w:val="15"/>
    <w:qFormat/>
    <w:uiPriority w:val="0"/>
    <w:rPr>
      <w:rFonts w:hint="eastAsia" w:ascii="宋体" w:hAnsi="宋体" w:eastAsia="宋体" w:cs="宋体"/>
      <w:b/>
      <w:color w:val="000000"/>
      <w:sz w:val="20"/>
      <w:szCs w:val="20"/>
    </w:rPr>
  </w:style>
  <w:style w:type="character" w:customStyle="1" w:styleId="91">
    <w:name w:val="16"/>
    <w:qFormat/>
    <w:uiPriority w:val="0"/>
    <w:rPr>
      <w:rFonts w:hint="eastAsia" w:ascii="宋体" w:hAnsi="宋体" w:eastAsia="宋体" w:cs="宋体"/>
      <w:b/>
      <w:color w:val="000000"/>
      <w:sz w:val="20"/>
      <w:szCs w:val="20"/>
    </w:rPr>
  </w:style>
  <w:style w:type="character" w:customStyle="1" w:styleId="92">
    <w:name w:val="style13"/>
    <w:qFormat/>
    <w:uiPriority w:val="0"/>
    <w:rPr>
      <w:sz w:val="18"/>
      <w:szCs w:val="18"/>
    </w:rPr>
  </w:style>
  <w:style w:type="character" w:customStyle="1" w:styleId="93">
    <w:name w:val="Char Char21"/>
    <w:qFormat/>
    <w:uiPriority w:val="0"/>
    <w:rPr>
      <w:rFonts w:ascii="Arial" w:hAnsi="Arial" w:eastAsia="黑体"/>
      <w:kern w:val="2"/>
      <w:sz w:val="24"/>
      <w:szCs w:val="24"/>
    </w:rPr>
  </w:style>
  <w:style w:type="character" w:customStyle="1" w:styleId="94">
    <w:name w:val="新图表正文 Char Char"/>
    <w:link w:val="95"/>
    <w:qFormat/>
    <w:locked/>
    <w:uiPriority w:val="0"/>
    <w:rPr>
      <w:rFonts w:ascii="宋体" w:hAnsi="宋体"/>
      <w:sz w:val="18"/>
      <w:szCs w:val="21"/>
    </w:rPr>
  </w:style>
  <w:style w:type="paragraph" w:customStyle="1" w:styleId="95">
    <w:name w:val="新图表正文"/>
    <w:link w:val="94"/>
    <w:qFormat/>
    <w:uiPriority w:val="0"/>
    <w:pPr>
      <w:jc w:val="both"/>
    </w:pPr>
    <w:rPr>
      <w:rFonts w:ascii="宋体" w:hAnsi="宋体" w:eastAsiaTheme="minorEastAsia" w:cstheme="minorBidi"/>
      <w:kern w:val="2"/>
      <w:sz w:val="18"/>
      <w:szCs w:val="21"/>
      <w:lang w:val="en-US" w:eastAsia="zh-CN" w:bidi="ar-SA"/>
    </w:rPr>
  </w:style>
  <w:style w:type="character" w:customStyle="1" w:styleId="96">
    <w:name w:val="Char Char25"/>
    <w:qFormat/>
    <w:uiPriority w:val="0"/>
    <w:rPr>
      <w:rFonts w:ascii="Arial" w:hAnsi="Arial" w:eastAsia="黑体"/>
      <w:b/>
      <w:kern w:val="2"/>
      <w:sz w:val="28"/>
    </w:rPr>
  </w:style>
  <w:style w:type="character" w:customStyle="1" w:styleId="97">
    <w:name w:val="不明显参考1"/>
    <w:qFormat/>
    <w:uiPriority w:val="0"/>
    <w:rPr>
      <w:smallCaps/>
    </w:rPr>
  </w:style>
  <w:style w:type="character" w:customStyle="1" w:styleId="98">
    <w:name w:val="小四 段落 宋体 Char Char Char Char Char Char"/>
    <w:qFormat/>
    <w:uiPriority w:val="0"/>
    <w:rPr>
      <w:rFonts w:eastAsia="宋体"/>
      <w:kern w:val="2"/>
      <w:sz w:val="24"/>
      <w:szCs w:val="24"/>
      <w:lang w:val="en-US" w:eastAsia="zh-CN" w:bidi="ar-SA"/>
    </w:rPr>
  </w:style>
  <w:style w:type="character" w:customStyle="1" w:styleId="99">
    <w:name w:val="标题 Char"/>
    <w:link w:val="55"/>
    <w:qFormat/>
    <w:uiPriority w:val="0"/>
    <w:rPr>
      <w:rFonts w:eastAsia="黑体"/>
      <w:b/>
      <w:sz w:val="28"/>
      <w:lang w:val="en-GB"/>
    </w:rPr>
  </w:style>
  <w:style w:type="character" w:customStyle="1" w:styleId="100">
    <w:name w:val="2nd level Char"/>
    <w:qFormat/>
    <w:uiPriority w:val="0"/>
    <w:rPr>
      <w:rFonts w:ascii="Arial" w:hAnsi="Arial" w:eastAsia="黑体"/>
      <w:b/>
      <w:bCs/>
      <w:kern w:val="2"/>
      <w:sz w:val="32"/>
      <w:szCs w:val="32"/>
      <w:lang w:val="en-US" w:eastAsia="zh-CN" w:bidi="ar-SA"/>
    </w:rPr>
  </w:style>
  <w:style w:type="character" w:customStyle="1" w:styleId="101">
    <w:name w:val="Char Char22"/>
    <w:qFormat/>
    <w:uiPriority w:val="0"/>
    <w:rPr>
      <w:b/>
      <w:bCs/>
      <w:kern w:val="2"/>
      <w:sz w:val="24"/>
      <w:szCs w:val="24"/>
    </w:rPr>
  </w:style>
  <w:style w:type="character" w:customStyle="1" w:styleId="102">
    <w:name w:val="样式 宋体 小四"/>
    <w:qFormat/>
    <w:uiPriority w:val="0"/>
    <w:rPr>
      <w:rFonts w:ascii="宋体" w:hAnsi="宋体"/>
      <w:sz w:val="24"/>
    </w:rPr>
  </w:style>
  <w:style w:type="character" w:customStyle="1" w:styleId="103">
    <w:name w:val="t1"/>
    <w:qFormat/>
    <w:uiPriority w:val="0"/>
  </w:style>
  <w:style w:type="character" w:customStyle="1" w:styleId="104">
    <w:name w:val="Char Char28"/>
    <w:qFormat/>
    <w:uiPriority w:val="0"/>
    <w:rPr>
      <w:rFonts w:ascii="Arial" w:hAnsi="Arial" w:eastAsia="黑体" w:cs="Arial"/>
      <w:b/>
      <w:bCs/>
      <w:sz w:val="32"/>
      <w:szCs w:val="32"/>
    </w:rPr>
  </w:style>
  <w:style w:type="character" w:customStyle="1" w:styleId="105">
    <w:name w:val="标准文本 Char Char"/>
    <w:qFormat/>
    <w:uiPriority w:val="0"/>
    <w:rPr>
      <w:rFonts w:eastAsia="宋体" w:cs="宋体"/>
      <w:kern w:val="2"/>
      <w:sz w:val="24"/>
      <w:szCs w:val="24"/>
      <w:lang w:val="en-US" w:eastAsia="zh-CN" w:bidi="ar-SA"/>
    </w:rPr>
  </w:style>
  <w:style w:type="character" w:customStyle="1" w:styleId="106">
    <w:name w:val="表格抬头 Char"/>
    <w:link w:val="107"/>
    <w:qFormat/>
    <w:locked/>
    <w:uiPriority w:val="0"/>
    <w:rPr>
      <w:rFonts w:ascii="黑体" w:eastAsia="黑体"/>
      <w:b/>
    </w:rPr>
  </w:style>
  <w:style w:type="paragraph" w:customStyle="1" w:styleId="107">
    <w:name w:val="表格抬头"/>
    <w:basedOn w:val="1"/>
    <w:link w:val="106"/>
    <w:qFormat/>
    <w:uiPriority w:val="0"/>
    <w:pPr>
      <w:jc w:val="center"/>
    </w:pPr>
    <w:rPr>
      <w:rFonts w:ascii="黑体" w:eastAsia="黑体" w:hAnsiTheme="minorHAnsi" w:cstheme="minorBidi"/>
      <w:b/>
      <w:kern w:val="2"/>
      <w:sz w:val="21"/>
      <w:szCs w:val="22"/>
      <w:lang w:val="en-US"/>
    </w:rPr>
  </w:style>
  <w:style w:type="character" w:customStyle="1" w:styleId="108">
    <w:name w:val="para_small"/>
    <w:basedOn w:val="61"/>
    <w:qFormat/>
    <w:uiPriority w:val="0"/>
  </w:style>
  <w:style w:type="character" w:customStyle="1" w:styleId="109">
    <w:name w:val="Title1 Char"/>
    <w:qFormat/>
    <w:uiPriority w:val="0"/>
    <w:rPr>
      <w:rFonts w:eastAsia="宋体"/>
      <w:b/>
      <w:bCs/>
      <w:kern w:val="44"/>
      <w:sz w:val="44"/>
      <w:szCs w:val="44"/>
      <w:lang w:val="en-US" w:eastAsia="zh-CN" w:bidi="ar-SA"/>
    </w:rPr>
  </w:style>
  <w:style w:type="character" w:customStyle="1" w:styleId="110">
    <w:name w:val="h Char Char"/>
    <w:qFormat/>
    <w:uiPriority w:val="0"/>
    <w:rPr>
      <w:rFonts w:eastAsia="宋体"/>
      <w:kern w:val="2"/>
      <w:sz w:val="18"/>
      <w:szCs w:val="18"/>
      <w:lang w:val="en-US" w:eastAsia="zh-CN" w:bidi="ar-SA"/>
    </w:rPr>
  </w:style>
  <w:style w:type="character" w:customStyle="1" w:styleId="111">
    <w:name w:val="Char Char23"/>
    <w:qFormat/>
    <w:uiPriority w:val="0"/>
    <w:rPr>
      <w:rFonts w:ascii="Arial" w:hAnsi="Arial" w:eastAsia="黑体"/>
      <w:b/>
      <w:bCs/>
      <w:kern w:val="2"/>
      <w:sz w:val="24"/>
      <w:szCs w:val="24"/>
    </w:rPr>
  </w:style>
  <w:style w:type="character" w:customStyle="1" w:styleId="112">
    <w:name w:val="Char Char20"/>
    <w:qFormat/>
    <w:uiPriority w:val="0"/>
    <w:rPr>
      <w:rFonts w:ascii="Arial" w:hAnsi="Arial" w:eastAsia="黑体"/>
      <w:kern w:val="2"/>
      <w:sz w:val="21"/>
      <w:szCs w:val="21"/>
    </w:rPr>
  </w:style>
  <w:style w:type="character" w:customStyle="1" w:styleId="113">
    <w:name w:val="A2"/>
    <w:qFormat/>
    <w:uiPriority w:val="0"/>
    <w:rPr>
      <w:rFonts w:cs="Helvetica"/>
      <w:color w:val="000000"/>
      <w:sz w:val="18"/>
      <w:szCs w:val="18"/>
    </w:rPr>
  </w:style>
  <w:style w:type="character" w:customStyle="1" w:styleId="114">
    <w:name w:val="编号，小四 Char"/>
    <w:link w:val="115"/>
    <w:qFormat/>
    <w:uiPriority w:val="0"/>
    <w:rPr>
      <w:rFonts w:ascii="Arial" w:hAnsi="Arial" w:cs="宋体"/>
      <w:sz w:val="24"/>
    </w:rPr>
  </w:style>
  <w:style w:type="paragraph" w:customStyle="1" w:styleId="115">
    <w:name w:val="编号，小四"/>
    <w:basedOn w:val="1"/>
    <w:link w:val="114"/>
    <w:qFormat/>
    <w:uiPriority w:val="0"/>
    <w:pPr>
      <w:numPr>
        <w:ilvl w:val="0"/>
        <w:numId w:val="2"/>
      </w:numPr>
      <w:spacing w:line="360" w:lineRule="auto"/>
    </w:pPr>
    <w:rPr>
      <w:rFonts w:ascii="Arial" w:hAnsi="Arial" w:eastAsiaTheme="minorEastAsia"/>
      <w:kern w:val="2"/>
      <w:sz w:val="24"/>
      <w:szCs w:val="22"/>
      <w:lang w:val="en-US"/>
    </w:rPr>
  </w:style>
  <w:style w:type="character" w:customStyle="1" w:styleId="116">
    <w:name w:val="明显引用 Char"/>
    <w:link w:val="117"/>
    <w:qFormat/>
    <w:uiPriority w:val="0"/>
    <w:rPr>
      <w:rFonts w:ascii="Calibri" w:hAnsi="Calibri" w:eastAsia="宋体"/>
      <w:b/>
      <w:bCs/>
      <w:i/>
      <w:iCs/>
      <w:sz w:val="22"/>
      <w:lang w:eastAsia="en-US" w:bidi="en-US"/>
    </w:rPr>
  </w:style>
  <w:style w:type="paragraph" w:styleId="117">
    <w:name w:val="Intense Quote"/>
    <w:basedOn w:val="1"/>
    <w:next w:val="1"/>
    <w:link w:val="116"/>
    <w:qFormat/>
    <w:uiPriority w:val="0"/>
    <w:pPr>
      <w:widowControl/>
      <w:pBdr>
        <w:bottom w:val="single" w:color="auto" w:sz="4" w:space="1"/>
      </w:pBdr>
      <w:spacing w:before="200" w:after="280" w:line="276" w:lineRule="auto"/>
      <w:ind w:left="1008" w:right="1152"/>
    </w:pPr>
    <w:rPr>
      <w:rFonts w:eastAsia="宋体" w:cstheme="minorBidi"/>
      <w:b/>
      <w:bCs/>
      <w:i/>
      <w:iCs/>
      <w:kern w:val="2"/>
      <w:sz w:val="22"/>
      <w:szCs w:val="22"/>
      <w:lang w:val="en-US" w:eastAsia="en-US" w:bidi="en-US"/>
    </w:rPr>
  </w:style>
  <w:style w:type="character" w:customStyle="1" w:styleId="118">
    <w:name w:val="font01"/>
    <w:qFormat/>
    <w:uiPriority w:val="0"/>
    <w:rPr>
      <w:rFonts w:hint="eastAsia" w:ascii="宋体" w:hAnsi="宋体" w:eastAsia="宋体" w:cs="宋体"/>
      <w:b/>
      <w:color w:val="000000"/>
      <w:sz w:val="20"/>
      <w:szCs w:val="20"/>
      <w:u w:val="none"/>
    </w:rPr>
  </w:style>
  <w:style w:type="character" w:customStyle="1" w:styleId="119">
    <w:name w:val="不明显强调1"/>
    <w:qFormat/>
    <w:uiPriority w:val="0"/>
    <w:rPr>
      <w:i/>
      <w:iCs/>
    </w:rPr>
  </w:style>
  <w:style w:type="character" w:customStyle="1" w:styleId="120">
    <w:name w:val="正文文本缩进 2 Char"/>
    <w:link w:val="32"/>
    <w:qFormat/>
    <w:uiPriority w:val="0"/>
    <w:rPr>
      <w:rFonts w:ascii="Arial" w:hAnsi="Arial" w:eastAsia="仿宋_GB2312"/>
      <w:sz w:val="32"/>
    </w:rPr>
  </w:style>
  <w:style w:type="character" w:customStyle="1" w:styleId="121">
    <w:name w:val="明显参考1"/>
    <w:qFormat/>
    <w:uiPriority w:val="0"/>
    <w:rPr>
      <w:smallCaps/>
      <w:spacing w:val="5"/>
      <w:u w:val="single"/>
    </w:rPr>
  </w:style>
  <w:style w:type="character" w:customStyle="1" w:styleId="122">
    <w:name w:val="书籍标题1"/>
    <w:qFormat/>
    <w:uiPriority w:val="0"/>
    <w:rPr>
      <w:i/>
      <w:iCs/>
      <w:smallCaps/>
      <w:spacing w:val="5"/>
    </w:rPr>
  </w:style>
  <w:style w:type="character" w:customStyle="1" w:styleId="123">
    <w:name w:val="文档结构图 Char"/>
    <w:link w:val="18"/>
    <w:semiHidden/>
    <w:qFormat/>
    <w:uiPriority w:val="0"/>
    <w:rPr>
      <w:rFonts w:eastAsia="宋体"/>
      <w:shd w:val="clear" w:color="auto" w:fill="000080"/>
    </w:rPr>
  </w:style>
  <w:style w:type="character" w:customStyle="1" w:styleId="124">
    <w:name w:val="textcontents"/>
    <w:basedOn w:val="61"/>
    <w:qFormat/>
    <w:uiPriority w:val="0"/>
  </w:style>
  <w:style w:type="character" w:customStyle="1" w:styleId="125">
    <w:name w:val="标准文本 Char"/>
    <w:qFormat/>
    <w:uiPriority w:val="0"/>
    <w:rPr>
      <w:rFonts w:eastAsia="宋体" w:cs="宋体"/>
      <w:kern w:val="2"/>
      <w:sz w:val="24"/>
      <w:szCs w:val="24"/>
      <w:lang w:val="en-US" w:eastAsia="zh-CN" w:bidi="ar-SA"/>
    </w:rPr>
  </w:style>
  <w:style w:type="character" w:customStyle="1" w:styleId="126">
    <w:name w:val="10"/>
    <w:qFormat/>
    <w:uiPriority w:val="0"/>
    <w:rPr>
      <w:rFonts w:hint="default" w:ascii="Times New Roman" w:hAnsi="Times New Roman" w:cs="Times New Roman"/>
    </w:rPr>
  </w:style>
  <w:style w:type="character" w:customStyle="1" w:styleId="127">
    <w:name w:val="批注文字 Char"/>
    <w:qFormat/>
    <w:uiPriority w:val="99"/>
    <w:rPr>
      <w:rFonts w:eastAsia="宋体"/>
      <w:kern w:val="2"/>
      <w:sz w:val="21"/>
      <w:lang w:val="en-US" w:eastAsia="zh-CN" w:bidi="ar-SA"/>
    </w:rPr>
  </w:style>
  <w:style w:type="character" w:customStyle="1" w:styleId="128">
    <w:name w:val="纯文本 Char Char Char1"/>
    <w:qFormat/>
    <w:uiPriority w:val="0"/>
    <w:rPr>
      <w:rFonts w:ascii="宋体" w:hAnsi="Courier New" w:eastAsia="宋体"/>
      <w:kern w:val="2"/>
      <w:sz w:val="21"/>
      <w:szCs w:val="21"/>
      <w:lang w:val="en-US" w:eastAsia="zh-CN" w:bidi="ar-SA"/>
    </w:rPr>
  </w:style>
  <w:style w:type="character" w:customStyle="1" w:styleId="129">
    <w:name w:val="subtitle1"/>
    <w:qFormat/>
    <w:uiPriority w:val="0"/>
    <w:rPr>
      <w:rFonts w:hint="default" w:ascii="Georgia" w:hAnsi="Georgia"/>
      <w:b/>
      <w:bCs/>
      <w:color w:val="666666"/>
      <w:sz w:val="18"/>
      <w:szCs w:val="18"/>
    </w:rPr>
  </w:style>
  <w:style w:type="character" w:customStyle="1" w:styleId="130">
    <w:name w:val="明显强调1"/>
    <w:qFormat/>
    <w:uiPriority w:val="0"/>
    <w:rPr>
      <w:b/>
      <w:bCs/>
    </w:rPr>
  </w:style>
  <w:style w:type="character" w:customStyle="1" w:styleId="131">
    <w:name w:val="Char Char29"/>
    <w:qFormat/>
    <w:uiPriority w:val="0"/>
    <w:rPr>
      <w:rFonts w:ascii="Times New Roman" w:hAnsi="Times New Roman" w:eastAsia="宋体" w:cs="Times New Roman"/>
      <w:b/>
      <w:bCs/>
      <w:kern w:val="44"/>
      <w:sz w:val="44"/>
      <w:szCs w:val="44"/>
    </w:rPr>
  </w:style>
  <w:style w:type="character" w:customStyle="1" w:styleId="132">
    <w:name w:val="引用 Char"/>
    <w:link w:val="133"/>
    <w:qFormat/>
    <w:uiPriority w:val="0"/>
    <w:rPr>
      <w:rFonts w:ascii="Calibri" w:hAnsi="Calibri" w:eastAsia="宋体"/>
      <w:i/>
      <w:iCs/>
      <w:sz w:val="22"/>
      <w:lang w:eastAsia="en-US" w:bidi="en-US"/>
    </w:rPr>
  </w:style>
  <w:style w:type="paragraph" w:styleId="133">
    <w:name w:val="Quote"/>
    <w:basedOn w:val="1"/>
    <w:next w:val="1"/>
    <w:link w:val="132"/>
    <w:qFormat/>
    <w:uiPriority w:val="0"/>
    <w:pPr>
      <w:widowControl/>
      <w:spacing w:before="200" w:line="276" w:lineRule="auto"/>
      <w:ind w:left="360" w:right="360"/>
      <w:jc w:val="left"/>
    </w:pPr>
    <w:rPr>
      <w:rFonts w:eastAsia="宋体" w:cstheme="minorBidi"/>
      <w:i/>
      <w:iCs/>
      <w:kern w:val="2"/>
      <w:sz w:val="22"/>
      <w:szCs w:val="22"/>
      <w:lang w:val="en-US" w:eastAsia="en-US" w:bidi="en-US"/>
    </w:rPr>
  </w:style>
  <w:style w:type="character" w:customStyle="1" w:styleId="134">
    <w:name w:val="Char Char26"/>
    <w:qFormat/>
    <w:uiPriority w:val="0"/>
    <w:rPr>
      <w:b/>
      <w:bCs/>
      <w:kern w:val="2"/>
      <w:sz w:val="32"/>
      <w:szCs w:val="32"/>
    </w:rPr>
  </w:style>
  <w:style w:type="character" w:customStyle="1" w:styleId="135">
    <w:name w:val="apple-converted-space"/>
    <w:basedOn w:val="61"/>
    <w:qFormat/>
    <w:uiPriority w:val="0"/>
  </w:style>
  <w:style w:type="character" w:customStyle="1" w:styleId="136">
    <w:name w:val="普通文字1 Char"/>
    <w:qFormat/>
    <w:uiPriority w:val="0"/>
    <w:rPr>
      <w:rFonts w:ascii="宋体" w:eastAsia="宋体"/>
      <w:kern w:val="2"/>
      <w:sz w:val="21"/>
      <w:szCs w:val="21"/>
      <w:lang w:val="en-US" w:eastAsia="zh-CN" w:bidi="ar-SA"/>
    </w:rPr>
  </w:style>
  <w:style w:type="character" w:customStyle="1" w:styleId="137">
    <w:name w:val="ih151"/>
    <w:qFormat/>
    <w:uiPriority w:val="0"/>
    <w:rPr>
      <w:color w:val="666666"/>
      <w:sz w:val="18"/>
      <w:szCs w:val="18"/>
      <w:u w:val="none"/>
    </w:rPr>
  </w:style>
  <w:style w:type="character" w:customStyle="1" w:styleId="138">
    <w:name w:val="小四 段落 宋体 Char Char Char Char1"/>
    <w:qFormat/>
    <w:uiPriority w:val="0"/>
    <w:rPr>
      <w:rFonts w:eastAsia="宋体"/>
      <w:kern w:val="2"/>
      <w:sz w:val="24"/>
      <w:szCs w:val="24"/>
      <w:lang w:val="en-US" w:eastAsia="zh-CN" w:bidi="ar-SA"/>
    </w:rPr>
  </w:style>
  <w:style w:type="character" w:customStyle="1" w:styleId="139">
    <w:name w:val="纯文本 Char Char"/>
    <w:qFormat/>
    <w:uiPriority w:val="0"/>
    <w:rPr>
      <w:rFonts w:ascii="宋体" w:hAnsi="Courier New" w:eastAsia="宋体"/>
      <w:kern w:val="2"/>
      <w:sz w:val="21"/>
      <w:szCs w:val="21"/>
      <w:lang w:val="en-US" w:eastAsia="zh-CN" w:bidi="ar-SA"/>
    </w:rPr>
  </w:style>
  <w:style w:type="character" w:customStyle="1" w:styleId="140">
    <w:name w:val="正文 + 宋体 Char"/>
    <w:qFormat/>
    <w:uiPriority w:val="0"/>
    <w:rPr>
      <w:rFonts w:eastAsia="宋体"/>
      <w:kern w:val="2"/>
      <w:sz w:val="21"/>
      <w:szCs w:val="24"/>
      <w:lang w:val="en-US" w:eastAsia="zh-CN" w:bidi="ar-SA"/>
    </w:rPr>
  </w:style>
  <w:style w:type="character" w:customStyle="1" w:styleId="141">
    <w:name w:val="标题 Char1"/>
    <w:qFormat/>
    <w:uiPriority w:val="0"/>
    <w:rPr>
      <w:rFonts w:ascii="Cambria" w:eastAsia="宋体" w:cs="Times New Roman"/>
      <w:b/>
      <w:bCs/>
      <w:sz w:val="32"/>
      <w:szCs w:val="32"/>
    </w:rPr>
  </w:style>
  <w:style w:type="character" w:customStyle="1" w:styleId="142">
    <w:name w:val="特点 Char1"/>
    <w:qFormat/>
    <w:uiPriority w:val="0"/>
    <w:rPr>
      <w:rFonts w:eastAsia="宋体"/>
      <w:kern w:val="2"/>
      <w:sz w:val="21"/>
      <w:lang w:val="en-US" w:eastAsia="zh-CN" w:bidi="ar-SA"/>
    </w:rPr>
  </w:style>
  <w:style w:type="character" w:customStyle="1" w:styleId="143">
    <w:name w:val="HTML 预设格式 Char"/>
    <w:link w:val="52"/>
    <w:qFormat/>
    <w:uiPriority w:val="0"/>
    <w:rPr>
      <w:rFonts w:ascii="黑体" w:hAnsi="Courier New" w:eastAsia="黑体" w:cs="Courier New"/>
    </w:rPr>
  </w:style>
  <w:style w:type="character" w:customStyle="1" w:styleId="144">
    <w:name w:val="样式 非加粗"/>
    <w:qFormat/>
    <w:uiPriority w:val="0"/>
    <w:rPr>
      <w:rFonts w:eastAsia="宋体"/>
      <w:sz w:val="28"/>
    </w:rPr>
  </w:style>
  <w:style w:type="character" w:customStyle="1" w:styleId="145">
    <w:name w:val="小四 段落 宋体 Char Char Char Char Char"/>
    <w:qFormat/>
    <w:uiPriority w:val="0"/>
    <w:rPr>
      <w:rFonts w:eastAsia="宋体"/>
      <w:kern w:val="2"/>
      <w:sz w:val="24"/>
      <w:szCs w:val="24"/>
      <w:lang w:val="en-US" w:eastAsia="zh-CN" w:bidi="ar-SA"/>
    </w:rPr>
  </w:style>
  <w:style w:type="character" w:customStyle="1" w:styleId="146">
    <w:name w:val="小四 段落 宋体 Char Char Char Char Char Char Char Char"/>
    <w:qFormat/>
    <w:uiPriority w:val="0"/>
    <w:rPr>
      <w:rFonts w:eastAsia="宋体"/>
      <w:kern w:val="2"/>
      <w:sz w:val="24"/>
      <w:szCs w:val="24"/>
      <w:lang w:val="en-US" w:eastAsia="zh-CN" w:bidi="ar-SA"/>
    </w:rPr>
  </w:style>
  <w:style w:type="character" w:customStyle="1" w:styleId="147">
    <w:name w:val="19"/>
    <w:qFormat/>
    <w:uiPriority w:val="0"/>
    <w:rPr>
      <w:rFonts w:hint="eastAsia" w:ascii="宋体" w:hAnsi="宋体" w:eastAsia="宋体" w:cs="宋体"/>
      <w:color w:val="000000"/>
      <w:sz w:val="20"/>
      <w:szCs w:val="20"/>
    </w:rPr>
  </w:style>
  <w:style w:type="character" w:customStyle="1" w:styleId="148">
    <w:name w:val="无间隔 Char"/>
    <w:link w:val="149"/>
    <w:qFormat/>
    <w:uiPriority w:val="0"/>
    <w:rPr>
      <w:rFonts w:eastAsia="微软雅黑"/>
      <w:sz w:val="24"/>
    </w:rPr>
  </w:style>
  <w:style w:type="paragraph" w:styleId="149">
    <w:name w:val="No Spacing"/>
    <w:link w:val="148"/>
    <w:qFormat/>
    <w:uiPriority w:val="0"/>
    <w:pPr>
      <w:widowControl w:val="0"/>
      <w:jc w:val="both"/>
    </w:pPr>
    <w:rPr>
      <w:rFonts w:eastAsia="微软雅黑" w:asciiTheme="minorHAnsi" w:hAnsiTheme="minorHAnsi" w:cstheme="minorBidi"/>
      <w:kern w:val="2"/>
      <w:sz w:val="24"/>
      <w:szCs w:val="22"/>
      <w:lang w:val="en-US" w:eastAsia="zh-CN" w:bidi="ar-SA"/>
    </w:rPr>
  </w:style>
  <w:style w:type="character" w:customStyle="1" w:styleId="150">
    <w:name w:val="title_emph1"/>
    <w:qFormat/>
    <w:uiPriority w:val="0"/>
    <w:rPr>
      <w:rFonts w:ascii="Arial" w:cs="Arial"/>
      <w:b/>
      <w:bCs/>
      <w:sz w:val="18"/>
      <w:szCs w:val="18"/>
    </w:rPr>
  </w:style>
  <w:style w:type="character" w:customStyle="1" w:styleId="151">
    <w:name w:val="纯文本 Char"/>
    <w:link w:val="28"/>
    <w:qFormat/>
    <w:uiPriority w:val="0"/>
    <w:rPr>
      <w:rFonts w:ascii="宋体" w:hAnsi="Courier New" w:eastAsia="宋体"/>
    </w:rPr>
  </w:style>
  <w:style w:type="character" w:customStyle="1" w:styleId="152">
    <w:name w:val="111111 Char"/>
    <w:link w:val="153"/>
    <w:qFormat/>
    <w:uiPriority w:val="0"/>
    <w:rPr>
      <w:rFonts w:ascii="宋体" w:hAnsi="宋体" w:eastAsia="黑体" w:cs="宋体"/>
      <w:b/>
      <w:bCs/>
      <w:szCs w:val="21"/>
    </w:rPr>
  </w:style>
  <w:style w:type="paragraph" w:customStyle="1" w:styleId="153">
    <w:name w:val="111111"/>
    <w:basedOn w:val="1"/>
    <w:link w:val="152"/>
    <w:qFormat/>
    <w:uiPriority w:val="0"/>
    <w:pPr>
      <w:spacing w:before="120" w:after="120"/>
      <w:jc w:val="center"/>
    </w:pPr>
    <w:rPr>
      <w:rFonts w:ascii="宋体" w:hAnsi="宋体" w:eastAsia="黑体"/>
      <w:b/>
      <w:bCs/>
      <w:kern w:val="2"/>
      <w:sz w:val="21"/>
      <w:szCs w:val="21"/>
      <w:lang w:val="en-US"/>
    </w:rPr>
  </w:style>
  <w:style w:type="character" w:customStyle="1" w:styleId="154">
    <w:name w:val="font51"/>
    <w:qFormat/>
    <w:uiPriority w:val="0"/>
    <w:rPr>
      <w:rFonts w:hint="eastAsia" w:ascii="宋体" w:hAnsi="宋体" w:eastAsia="宋体" w:cs="宋体"/>
      <w:color w:val="000000"/>
      <w:sz w:val="20"/>
      <w:szCs w:val="20"/>
      <w:u w:val="none"/>
    </w:rPr>
  </w:style>
  <w:style w:type="character" w:customStyle="1" w:styleId="155">
    <w:name w:val="批注主题 Char"/>
    <w:link w:val="56"/>
    <w:semiHidden/>
    <w:qFormat/>
    <w:uiPriority w:val="0"/>
    <w:rPr>
      <w:rFonts w:eastAsia="宋体"/>
      <w:b/>
      <w:bCs/>
    </w:rPr>
  </w:style>
  <w:style w:type="character" w:customStyle="1" w:styleId="156">
    <w:name w:val="Char Char27"/>
    <w:qFormat/>
    <w:uiPriority w:val="0"/>
    <w:rPr>
      <w:b/>
      <w:bCs/>
      <w:kern w:val="44"/>
      <w:sz w:val="44"/>
      <w:szCs w:val="44"/>
    </w:rPr>
  </w:style>
  <w:style w:type="character" w:customStyle="1" w:styleId="157">
    <w:name w:val="case31"/>
    <w:qFormat/>
    <w:uiPriority w:val="0"/>
    <w:rPr>
      <w:sz w:val="21"/>
      <w:szCs w:val="21"/>
    </w:rPr>
  </w:style>
  <w:style w:type="character" w:customStyle="1" w:styleId="158">
    <w:name w:val="concon"/>
    <w:qFormat/>
    <w:uiPriority w:val="0"/>
  </w:style>
  <w:style w:type="character" w:customStyle="1" w:styleId="159">
    <w:name w:val="20"/>
    <w:qFormat/>
    <w:uiPriority w:val="0"/>
    <w:rPr>
      <w:rFonts w:hint="default" w:ascii="Times New Roman" w:hAnsi="Times New Roman" w:cs="Times New Roman"/>
    </w:rPr>
  </w:style>
  <w:style w:type="character" w:customStyle="1" w:styleId="160">
    <w:name w:val="纯文本 Char1"/>
    <w:qFormat/>
    <w:uiPriority w:val="0"/>
    <w:rPr>
      <w:rFonts w:ascii="宋体" w:hAnsi="Courier New" w:cs="Courier New"/>
      <w:kern w:val="2"/>
      <w:sz w:val="21"/>
      <w:szCs w:val="21"/>
    </w:rPr>
  </w:style>
  <w:style w:type="character" w:customStyle="1" w:styleId="161">
    <w:name w:val="华宇段落1 Char Char Char"/>
    <w:qFormat/>
    <w:uiPriority w:val="0"/>
    <w:rPr>
      <w:rFonts w:eastAsia="宋体"/>
      <w:bCs/>
      <w:kern w:val="2"/>
      <w:sz w:val="24"/>
      <w:szCs w:val="24"/>
      <w:lang w:val="en-US" w:eastAsia="zh-CN" w:bidi="ar-SA"/>
    </w:rPr>
  </w:style>
  <w:style w:type="character" w:customStyle="1" w:styleId="162">
    <w:name w:val="正文文本缩进 3 Char"/>
    <w:link w:val="45"/>
    <w:qFormat/>
    <w:uiPriority w:val="0"/>
    <w:rPr>
      <w:rFonts w:ascii="Arial" w:hAnsi="Arial" w:eastAsia="仿宋_GB2312"/>
      <w:color w:val="FFFF00"/>
      <w:sz w:val="32"/>
    </w:rPr>
  </w:style>
  <w:style w:type="character" w:customStyle="1" w:styleId="163">
    <w:name w:val="style131"/>
    <w:qFormat/>
    <w:uiPriority w:val="0"/>
    <w:rPr>
      <w:rFonts w:cs="Times New Roman"/>
      <w:sz w:val="18"/>
      <w:szCs w:val="18"/>
    </w:rPr>
  </w:style>
  <w:style w:type="character" w:customStyle="1" w:styleId="164">
    <w:name w:val="正文文本缩进 Char"/>
    <w:link w:val="24"/>
    <w:qFormat/>
    <w:uiPriority w:val="0"/>
    <w:rPr>
      <w:rFonts w:ascii="楷体_GB2312" w:eastAsia="楷体_GB2312"/>
      <w:sz w:val="32"/>
    </w:rPr>
  </w:style>
  <w:style w:type="character" w:customStyle="1" w:styleId="165">
    <w:name w:val="纯文本 Char Char Char"/>
    <w:qFormat/>
    <w:uiPriority w:val="0"/>
    <w:rPr>
      <w:rFonts w:ascii="宋体" w:hAnsi="Courier New" w:eastAsia="宋体"/>
      <w:kern w:val="2"/>
      <w:sz w:val="21"/>
      <w:szCs w:val="21"/>
      <w:lang w:val="en-US" w:eastAsia="zh-CN" w:bidi="ar-SA"/>
    </w:rPr>
  </w:style>
  <w:style w:type="character" w:customStyle="1" w:styleId="166">
    <w:name w:val="font21"/>
    <w:qFormat/>
    <w:uiPriority w:val="0"/>
    <w:rPr>
      <w:rFonts w:hint="eastAsia" w:ascii="宋体" w:hAnsi="宋体" w:eastAsia="宋体" w:cs="宋体"/>
      <w:color w:val="FF0000"/>
      <w:sz w:val="20"/>
      <w:szCs w:val="20"/>
      <w:u w:val="none"/>
    </w:rPr>
  </w:style>
  <w:style w:type="character" w:customStyle="1" w:styleId="167">
    <w:name w:val="content"/>
    <w:basedOn w:val="61"/>
    <w:qFormat/>
    <w:uiPriority w:val="0"/>
  </w:style>
  <w:style w:type="character" w:customStyle="1" w:styleId="168">
    <w:name w:val="font41"/>
    <w:qFormat/>
    <w:uiPriority w:val="0"/>
    <w:rPr>
      <w:rFonts w:hint="eastAsia" w:ascii="宋体" w:hAnsi="宋体" w:eastAsia="宋体" w:cs="宋体"/>
      <w:b/>
      <w:color w:val="000000"/>
      <w:sz w:val="20"/>
      <w:szCs w:val="20"/>
      <w:u w:val="none"/>
    </w:rPr>
  </w:style>
  <w:style w:type="character" w:customStyle="1" w:styleId="169">
    <w:name w:val="listbenefit"/>
    <w:qFormat/>
    <w:uiPriority w:val="0"/>
  </w:style>
  <w:style w:type="character" w:customStyle="1" w:styleId="170">
    <w:name w:val="Char Char2"/>
    <w:qFormat/>
    <w:uiPriority w:val="0"/>
    <w:rPr>
      <w:rFonts w:ascii="宋体" w:hAnsi="Courier New" w:eastAsia="宋体"/>
      <w:kern w:val="2"/>
      <w:sz w:val="21"/>
      <w:szCs w:val="21"/>
      <w:lang w:val="en-US" w:eastAsia="zh-CN" w:bidi="ar-SA"/>
    </w:rPr>
  </w:style>
  <w:style w:type="character" w:customStyle="1" w:styleId="171">
    <w:name w:val="已访问的超链接1"/>
    <w:qFormat/>
    <w:uiPriority w:val="0"/>
    <w:rPr>
      <w:color w:val="auto"/>
      <w:u w:val="none"/>
    </w:rPr>
  </w:style>
  <w:style w:type="character" w:customStyle="1" w:styleId="172">
    <w:name w:val="标准小四 Char Char"/>
    <w:qFormat/>
    <w:uiPriority w:val="0"/>
    <w:rPr>
      <w:rFonts w:ascii="Arial" w:hAnsi="Arial" w:eastAsia="宋体"/>
      <w:kern w:val="2"/>
      <w:sz w:val="24"/>
      <w:szCs w:val="21"/>
      <w:lang w:val="en-US" w:eastAsia="zh-CN" w:bidi="ar-SA"/>
    </w:rPr>
  </w:style>
  <w:style w:type="character" w:customStyle="1" w:styleId="173">
    <w:name w:val="样式 首行缩进:  2 字符 Char"/>
    <w:qFormat/>
    <w:uiPriority w:val="0"/>
    <w:rPr>
      <w:rFonts w:eastAsia="宋体" w:cs="宋体"/>
      <w:kern w:val="2"/>
      <w:sz w:val="24"/>
      <w:lang w:val="en-US" w:eastAsia="zh-CN" w:bidi="ar-SA"/>
    </w:rPr>
  </w:style>
  <w:style w:type="character" w:customStyle="1" w:styleId="174">
    <w:name w:val="华宇段落1 Char Char"/>
    <w:qFormat/>
    <w:uiPriority w:val="0"/>
    <w:rPr>
      <w:rFonts w:eastAsia="宋体"/>
      <w:bCs/>
      <w:kern w:val="2"/>
      <w:sz w:val="24"/>
      <w:szCs w:val="24"/>
      <w:lang w:val="en-US" w:eastAsia="zh-CN" w:bidi="ar-SA"/>
    </w:rPr>
  </w:style>
  <w:style w:type="character" w:customStyle="1" w:styleId="175">
    <w:name w:val="正文缩进 Char1"/>
    <w:link w:val="176"/>
    <w:qFormat/>
    <w:uiPriority w:val="0"/>
    <w:rPr>
      <w:rFonts w:eastAsia="宋体"/>
    </w:rPr>
  </w:style>
  <w:style w:type="paragraph" w:customStyle="1" w:styleId="176">
    <w:name w:val="正文缩进1"/>
    <w:basedOn w:val="1"/>
    <w:link w:val="175"/>
    <w:qFormat/>
    <w:uiPriority w:val="0"/>
    <w:pPr>
      <w:ind w:firstLine="420"/>
    </w:pPr>
    <w:rPr>
      <w:rFonts w:eastAsia="宋体" w:asciiTheme="minorHAnsi" w:hAnsiTheme="minorHAnsi" w:cstheme="minorBidi"/>
      <w:kern w:val="2"/>
      <w:sz w:val="21"/>
      <w:szCs w:val="22"/>
      <w:lang w:val="en-US"/>
    </w:rPr>
  </w:style>
  <w:style w:type="character" w:customStyle="1" w:styleId="177">
    <w:name w:val="小四 段落 宋体 Char1"/>
    <w:qFormat/>
    <w:uiPriority w:val="0"/>
    <w:rPr>
      <w:rFonts w:eastAsia="宋体"/>
      <w:kern w:val="2"/>
      <w:sz w:val="24"/>
      <w:szCs w:val="24"/>
      <w:lang w:val="en-US" w:eastAsia="zh-CN" w:bidi="ar-SA"/>
    </w:rPr>
  </w:style>
  <w:style w:type="character" w:customStyle="1" w:styleId="178">
    <w:name w:val="标题 3 Char1"/>
    <w:link w:val="4"/>
    <w:qFormat/>
    <w:uiPriority w:val="0"/>
    <w:rPr>
      <w:rFonts w:ascii="宋体" w:hAnsi="宋体" w:eastAsia="宋体" w:cs="Times New Roman"/>
      <w:b/>
      <w:szCs w:val="21"/>
      <w:shd w:val="clear" w:color="auto" w:fill="FFFFFF"/>
      <w:lang w:val="zh-CN"/>
    </w:rPr>
  </w:style>
  <w:style w:type="character" w:customStyle="1" w:styleId="179">
    <w:name w:val="Char Char24"/>
    <w:qFormat/>
    <w:uiPriority w:val="0"/>
    <w:rPr>
      <w:b/>
      <w:bCs/>
      <w:kern w:val="2"/>
      <w:sz w:val="28"/>
      <w:szCs w:val="28"/>
    </w:rPr>
  </w:style>
  <w:style w:type="character" w:customStyle="1" w:styleId="180">
    <w:name w:val="样式 首行缩进:  2 字符 Char Char"/>
    <w:link w:val="181"/>
    <w:qFormat/>
    <w:uiPriority w:val="0"/>
    <w:rPr>
      <w:rFonts w:eastAsia="宋体" w:cs="宋体"/>
      <w:sz w:val="24"/>
    </w:rPr>
  </w:style>
  <w:style w:type="paragraph" w:customStyle="1" w:styleId="181">
    <w:name w:val="样式 首行缩进:  2 字符"/>
    <w:basedOn w:val="1"/>
    <w:link w:val="180"/>
    <w:qFormat/>
    <w:uiPriority w:val="0"/>
    <w:pPr>
      <w:spacing w:line="360" w:lineRule="auto"/>
      <w:ind w:firstLine="480" w:firstLineChars="200"/>
    </w:pPr>
    <w:rPr>
      <w:rFonts w:eastAsia="宋体" w:asciiTheme="minorHAnsi" w:hAnsiTheme="minorHAnsi"/>
      <w:kern w:val="2"/>
      <w:sz w:val="24"/>
      <w:szCs w:val="22"/>
      <w:lang w:val="en-US"/>
    </w:rPr>
  </w:style>
  <w:style w:type="character" w:customStyle="1" w:styleId="182">
    <w:name w:val="17"/>
    <w:qFormat/>
    <w:uiPriority w:val="0"/>
    <w:rPr>
      <w:rFonts w:hint="eastAsia" w:ascii="宋体" w:hAnsi="宋体" w:eastAsia="宋体" w:cs="宋体"/>
      <w:color w:val="FF0000"/>
      <w:sz w:val="20"/>
      <w:szCs w:val="20"/>
    </w:rPr>
  </w:style>
  <w:style w:type="character" w:customStyle="1" w:styleId="183">
    <w:name w:val="标题 3 Char Char Char Char Char Char Char Char Char Char Char Char Char Char Char Char Char Char Char Char Char Char Char Char Char Char Char Char Char Char Char Char Char Char Char Char Char Char Char Char Char Char Char Char Char Char Char Char Cha Char"/>
    <w:qFormat/>
    <w:uiPriority w:val="0"/>
    <w:rPr>
      <w:rFonts w:eastAsia="宋体"/>
      <w:b/>
      <w:bCs/>
      <w:kern w:val="2"/>
      <w:sz w:val="32"/>
      <w:szCs w:val="32"/>
      <w:lang w:val="en-US" w:eastAsia="zh-CN" w:bidi="ar-SA"/>
    </w:rPr>
  </w:style>
  <w:style w:type="character" w:customStyle="1" w:styleId="184">
    <w:name w:val="content_lineheight1"/>
    <w:basedOn w:val="61"/>
    <w:qFormat/>
    <w:uiPriority w:val="0"/>
  </w:style>
  <w:style w:type="character" w:customStyle="1" w:styleId="185">
    <w:name w:val="标题 3 Char Char"/>
    <w:qFormat/>
    <w:uiPriority w:val="0"/>
    <w:rPr>
      <w:rFonts w:eastAsia="仿宋_GB2312"/>
      <w:b/>
      <w:bCs/>
      <w:kern w:val="2"/>
      <w:sz w:val="28"/>
      <w:szCs w:val="32"/>
      <w:lang w:val="en-US" w:eastAsia="zh-CN" w:bidi="ar-SA"/>
    </w:rPr>
  </w:style>
  <w:style w:type="character" w:customStyle="1" w:styleId="186">
    <w:name w:val="样式 首行缩进:  0 字符 Char"/>
    <w:link w:val="187"/>
    <w:qFormat/>
    <w:uiPriority w:val="0"/>
    <w:rPr>
      <w:rFonts w:ascii="Verdana" w:hAnsi="Verdana" w:cs="宋体"/>
      <w:sz w:val="24"/>
    </w:rPr>
  </w:style>
  <w:style w:type="paragraph" w:customStyle="1" w:styleId="187">
    <w:name w:val="样式 首行缩进:  0 字符"/>
    <w:basedOn w:val="1"/>
    <w:link w:val="186"/>
    <w:qFormat/>
    <w:uiPriority w:val="0"/>
    <w:pPr>
      <w:widowControl/>
      <w:spacing w:line="360" w:lineRule="auto"/>
      <w:ind w:firstLine="200" w:firstLineChars="200"/>
      <w:jc w:val="left"/>
    </w:pPr>
    <w:rPr>
      <w:rFonts w:ascii="Verdana" w:hAnsi="Verdana" w:eastAsiaTheme="minorEastAsia"/>
      <w:kern w:val="2"/>
      <w:sz w:val="24"/>
      <w:szCs w:val="22"/>
      <w:lang w:val="en-US"/>
    </w:rPr>
  </w:style>
  <w:style w:type="character" w:customStyle="1" w:styleId="188">
    <w:name w:val="标准小四 Char"/>
    <w:qFormat/>
    <w:uiPriority w:val="0"/>
    <w:rPr>
      <w:rFonts w:ascii="Arial" w:hAnsi="Arial" w:eastAsia="宋体"/>
      <w:kern w:val="2"/>
      <w:sz w:val="24"/>
      <w:szCs w:val="21"/>
      <w:lang w:val="en-US" w:eastAsia="zh-CN" w:bidi="ar-SA"/>
    </w:rPr>
  </w:style>
  <w:style w:type="character" w:customStyle="1" w:styleId="189">
    <w:name w:val="point_normal1"/>
    <w:qFormat/>
    <w:uiPriority w:val="0"/>
    <w:rPr>
      <w:rFonts w:hint="default" w:ascii="Arial" w:hAnsi="Arial" w:cs="Arial"/>
      <w:sz w:val="18"/>
      <w:szCs w:val="18"/>
    </w:rPr>
  </w:style>
  <w:style w:type="character" w:customStyle="1" w:styleId="190">
    <w:name w:val="normalfont1"/>
    <w:qFormat/>
    <w:uiPriority w:val="0"/>
    <w:rPr>
      <w:rFonts w:hint="default" w:ascii="ˎ̥" w:hAnsi="ˎ̥"/>
      <w:sz w:val="18"/>
      <w:szCs w:val="18"/>
      <w:u w:val="none"/>
    </w:rPr>
  </w:style>
  <w:style w:type="character" w:customStyle="1" w:styleId="191">
    <w:name w:val="页脚 Char"/>
    <w:link w:val="35"/>
    <w:qFormat/>
    <w:uiPriority w:val="0"/>
    <w:rPr>
      <w:sz w:val="18"/>
    </w:rPr>
  </w:style>
  <w:style w:type="paragraph" w:customStyle="1" w:styleId="192">
    <w:name w:val="默认段落字体 Para Char"/>
    <w:basedOn w:val="1"/>
    <w:qFormat/>
    <w:uiPriority w:val="0"/>
    <w:rPr>
      <w:sz w:val="24"/>
      <w:szCs w:val="24"/>
    </w:rPr>
  </w:style>
  <w:style w:type="character" w:customStyle="1" w:styleId="193">
    <w:name w:val="批注框文本 Char"/>
    <w:basedOn w:val="61"/>
    <w:link w:val="34"/>
    <w:semiHidden/>
    <w:qFormat/>
    <w:uiPriority w:val="0"/>
    <w:rPr>
      <w:rFonts w:ascii="Calibri" w:hAnsi="Calibri" w:eastAsia="Calibri" w:cs="宋体"/>
      <w:kern w:val="0"/>
      <w:sz w:val="18"/>
      <w:szCs w:val="18"/>
      <w:lang w:val="zh-CN"/>
    </w:rPr>
  </w:style>
  <w:style w:type="paragraph" w:customStyle="1" w:styleId="194">
    <w:name w:val="Char Char Char Char Char Char Char Char"/>
    <w:basedOn w:val="1"/>
    <w:qFormat/>
    <w:uiPriority w:val="0"/>
    <w:rPr>
      <w:rFonts w:ascii="Tahoma" w:hAnsi="Tahoma"/>
      <w:sz w:val="24"/>
    </w:rPr>
  </w:style>
  <w:style w:type="paragraph" w:customStyle="1" w:styleId="195">
    <w:name w:val="Char Char1 Char"/>
    <w:basedOn w:val="1"/>
    <w:qFormat/>
    <w:uiPriority w:val="0"/>
    <w:pPr>
      <w:widowControl/>
      <w:spacing w:after="160" w:line="240" w:lineRule="exact"/>
      <w:jc w:val="left"/>
    </w:pPr>
    <w:rPr>
      <w:rFonts w:ascii="Verdana" w:hAnsi="Verdana"/>
      <w:lang w:eastAsia="en-US"/>
    </w:rPr>
  </w:style>
  <w:style w:type="paragraph" w:customStyle="1" w:styleId="196">
    <w:name w:val="Char Char Char Char Char Char Char Char Char Char Char Char Char"/>
    <w:basedOn w:val="18"/>
    <w:qFormat/>
    <w:uiPriority w:val="0"/>
    <w:rPr>
      <w:rFonts w:ascii="Tahoma" w:hAnsi="Tahoma"/>
      <w:sz w:val="24"/>
      <w:szCs w:val="24"/>
    </w:rPr>
  </w:style>
  <w:style w:type="character" w:customStyle="1" w:styleId="197">
    <w:name w:val="正文文本 2 Char"/>
    <w:basedOn w:val="61"/>
    <w:link w:val="51"/>
    <w:qFormat/>
    <w:uiPriority w:val="0"/>
    <w:rPr>
      <w:rFonts w:ascii="楷体_GB2312" w:hAnsi="Calibri" w:eastAsia="楷体_GB2312" w:cs="宋体"/>
      <w:kern w:val="0"/>
      <w:sz w:val="28"/>
      <w:szCs w:val="20"/>
      <w:lang w:val="zh-CN"/>
    </w:rPr>
  </w:style>
  <w:style w:type="paragraph" w:customStyle="1" w:styleId="198">
    <w:name w:val="Table Text Char"/>
    <w:qFormat/>
    <w:uiPriority w:val="0"/>
    <w:pPr>
      <w:snapToGrid w:val="0"/>
      <w:spacing w:before="80" w:after="80"/>
    </w:pPr>
    <w:rPr>
      <w:rFonts w:ascii="Arial" w:hAnsi="Arial" w:eastAsia="宋体" w:cs="Arial"/>
      <w:sz w:val="18"/>
      <w:szCs w:val="28"/>
      <w:lang w:val="en-US" w:eastAsia="zh-CN" w:bidi="ar-SA"/>
    </w:rPr>
  </w:style>
  <w:style w:type="paragraph" w:customStyle="1" w:styleId="199">
    <w:name w:val="Char Char Char Char Char Char Char Char Char Char Char Char Char Char Char Char Char Char Char Char Char"/>
    <w:basedOn w:val="1"/>
    <w:qFormat/>
    <w:uiPriority w:val="0"/>
    <w:rPr>
      <w:rFonts w:ascii="Tahoma" w:hAnsi="Tahoma" w:cs="Tahoma"/>
      <w:sz w:val="24"/>
    </w:rPr>
  </w:style>
  <w:style w:type="paragraph" w:customStyle="1" w:styleId="200">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rPr>
  </w:style>
  <w:style w:type="paragraph" w:customStyle="1" w:styleId="201">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b/>
      <w:bCs/>
    </w:rPr>
  </w:style>
  <w:style w:type="paragraph" w:customStyle="1" w:styleId="202">
    <w:name w:val="段"/>
    <w:qFormat/>
    <w:uiPriority w:val="0"/>
    <w:pPr>
      <w:autoSpaceDE w:val="0"/>
      <w:autoSpaceDN w:val="0"/>
      <w:ind w:firstLine="200" w:firstLineChars="200"/>
      <w:jc w:val="both"/>
    </w:pPr>
    <w:rPr>
      <w:rFonts w:ascii="宋体" w:hAnsi="Calibri" w:eastAsia="宋体" w:cs="Times New Roman"/>
      <w:sz w:val="21"/>
      <w:lang w:val="en-US" w:eastAsia="zh-CN" w:bidi="ar-SA"/>
    </w:rPr>
  </w:style>
  <w:style w:type="paragraph" w:customStyle="1" w:styleId="203">
    <w:name w:val="font13"/>
    <w:basedOn w:val="1"/>
    <w:qFormat/>
    <w:uiPriority w:val="0"/>
    <w:pPr>
      <w:widowControl/>
      <w:spacing w:before="100" w:beforeAutospacing="1" w:after="100" w:afterAutospacing="1"/>
      <w:jc w:val="left"/>
    </w:pPr>
    <w:rPr>
      <w:i/>
      <w:iCs/>
      <w:sz w:val="36"/>
      <w:szCs w:val="36"/>
    </w:rPr>
  </w:style>
  <w:style w:type="paragraph" w:customStyle="1" w:styleId="204">
    <w:name w:val="符号与编号 Char"/>
    <w:basedOn w:val="1"/>
    <w:qFormat/>
    <w:uiPriority w:val="0"/>
    <w:pPr>
      <w:tabs>
        <w:tab w:val="left" w:pos="720"/>
      </w:tabs>
      <w:spacing w:afterLines="50" w:line="400" w:lineRule="atLeast"/>
      <w:ind w:left="720"/>
    </w:pPr>
    <w:rPr>
      <w:sz w:val="24"/>
      <w:szCs w:val="24"/>
    </w:rPr>
  </w:style>
  <w:style w:type="paragraph" w:customStyle="1" w:styleId="205">
    <w:name w:val="标题2，章节第二层"/>
    <w:basedOn w:val="1"/>
    <w:next w:val="206"/>
    <w:qFormat/>
    <w:uiPriority w:val="0"/>
    <w:pPr>
      <w:numPr>
        <w:ilvl w:val="4"/>
        <w:numId w:val="3"/>
      </w:numPr>
      <w:tabs>
        <w:tab w:val="left" w:pos="630"/>
        <w:tab w:val="left" w:pos="992"/>
      </w:tabs>
      <w:adjustRightInd w:val="0"/>
      <w:snapToGrid w:val="0"/>
      <w:spacing w:beforeLines="100" w:afterLines="100" w:line="300" w:lineRule="auto"/>
      <w:ind w:left="992" w:hanging="567"/>
      <w:outlineLvl w:val="1"/>
    </w:pPr>
    <w:rPr>
      <w:rFonts w:ascii="Arial" w:hAnsi="Arial" w:eastAsia="黑体"/>
      <w:sz w:val="32"/>
      <w:szCs w:val="24"/>
    </w:rPr>
  </w:style>
  <w:style w:type="paragraph" w:customStyle="1" w:styleId="206">
    <w:name w:val="正文格式"/>
    <w:basedOn w:val="1"/>
    <w:qFormat/>
    <w:uiPriority w:val="0"/>
    <w:pPr>
      <w:widowControl/>
      <w:adjustRightInd w:val="0"/>
      <w:snapToGrid w:val="0"/>
      <w:spacing w:beforeLines="25" w:line="360" w:lineRule="auto"/>
      <w:ind w:left="178" w:right="44" w:rightChars="21" w:hanging="178" w:hangingChars="85"/>
      <w:jc w:val="left"/>
      <w:textAlignment w:val="baseline"/>
    </w:pPr>
    <w:rPr>
      <w:rFonts w:ascii="宋体" w:hAnsi="宋体"/>
      <w:bCs/>
      <w:szCs w:val="21"/>
    </w:rPr>
  </w:style>
  <w:style w:type="paragraph" w:customStyle="1" w:styleId="207">
    <w:name w:val="正文--表格内正文"/>
    <w:basedOn w:val="1"/>
    <w:qFormat/>
    <w:uiPriority w:val="0"/>
    <w:pPr>
      <w:spacing w:beforeLines="50" w:line="0" w:lineRule="atLeast"/>
      <w:jc w:val="center"/>
    </w:pPr>
    <w:rPr>
      <w:rFonts w:ascii="宋体" w:hAnsi="宋体"/>
      <w:color w:val="000000"/>
      <w:sz w:val="24"/>
      <w:szCs w:val="24"/>
    </w:rPr>
  </w:style>
  <w:style w:type="paragraph" w:customStyle="1" w:styleId="208">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i/>
      <w:iCs/>
    </w:rPr>
  </w:style>
  <w:style w:type="paragraph" w:customStyle="1" w:styleId="209">
    <w:name w:val="Char Char Char"/>
    <w:basedOn w:val="1"/>
    <w:qFormat/>
    <w:uiPriority w:val="0"/>
    <w:rPr>
      <w:rFonts w:ascii="Tahoma" w:hAnsi="Tahoma"/>
      <w:sz w:val="24"/>
    </w:rPr>
  </w:style>
  <w:style w:type="character" w:customStyle="1" w:styleId="210">
    <w:name w:val="脚注文本 Char"/>
    <w:basedOn w:val="61"/>
    <w:link w:val="43"/>
    <w:qFormat/>
    <w:uiPriority w:val="0"/>
    <w:rPr>
      <w:rFonts w:ascii="Calibri" w:hAnsi="Calibri" w:eastAsia="Calibri" w:cs="宋体"/>
      <w:kern w:val="0"/>
      <w:sz w:val="18"/>
      <w:szCs w:val="18"/>
      <w:lang w:val="zh-CN"/>
    </w:rPr>
  </w:style>
  <w:style w:type="paragraph" w:customStyle="1" w:styleId="211">
    <w:name w:val="默认段落字体 Para Char Char Char Char Char Char Char Char Char1 Char Char Char Char Char Char Char"/>
    <w:basedOn w:val="18"/>
    <w:qFormat/>
    <w:uiPriority w:val="0"/>
  </w:style>
  <w:style w:type="paragraph" w:customStyle="1" w:styleId="212">
    <w:name w:val="正文表标题"/>
    <w:next w:val="202"/>
    <w:qFormat/>
    <w:uiPriority w:val="0"/>
    <w:pPr>
      <w:tabs>
        <w:tab w:val="left" w:pos="900"/>
      </w:tabs>
      <w:ind w:left="900" w:hanging="420"/>
      <w:jc w:val="center"/>
    </w:pPr>
    <w:rPr>
      <w:rFonts w:ascii="黑体" w:hAnsi="Calibri" w:eastAsia="黑体" w:cs="Times New Roman"/>
      <w:sz w:val="21"/>
      <w:lang w:val="en-US" w:eastAsia="zh-CN" w:bidi="ar-SA"/>
    </w:rPr>
  </w:style>
  <w:style w:type="paragraph" w:customStyle="1" w:styleId="213">
    <w:name w:val="Char Char Char Char Char Char"/>
    <w:basedOn w:val="1"/>
    <w:qFormat/>
    <w:uiPriority w:val="0"/>
    <w:rPr>
      <w:rFonts w:ascii="Tahoma" w:hAnsi="Tahoma" w:cs="Tahoma"/>
      <w:sz w:val="24"/>
    </w:rPr>
  </w:style>
  <w:style w:type="character" w:customStyle="1" w:styleId="214">
    <w:name w:val="纯文本 Char2"/>
    <w:basedOn w:val="61"/>
    <w:semiHidden/>
    <w:qFormat/>
    <w:uiPriority w:val="99"/>
    <w:rPr>
      <w:rFonts w:ascii="宋体" w:hAnsi="Courier New" w:eastAsia="宋体" w:cs="Courier New"/>
      <w:kern w:val="0"/>
      <w:szCs w:val="21"/>
      <w:lang w:val="zh-CN"/>
    </w:rPr>
  </w:style>
  <w:style w:type="paragraph" w:customStyle="1" w:styleId="215">
    <w:name w:val="我的正文"/>
    <w:basedOn w:val="1"/>
    <w:qFormat/>
    <w:uiPriority w:val="0"/>
    <w:pPr>
      <w:widowControl/>
      <w:spacing w:line="360" w:lineRule="auto"/>
      <w:ind w:firstLine="420"/>
      <w:jc w:val="left"/>
    </w:pPr>
    <w:rPr>
      <w:rFonts w:ascii="宋体" w:hAnsi="宋体"/>
      <w:szCs w:val="21"/>
    </w:rPr>
  </w:style>
  <w:style w:type="paragraph" w:customStyle="1" w:styleId="216">
    <w:name w:val="列出段落1"/>
    <w:basedOn w:val="1"/>
    <w:qFormat/>
    <w:uiPriority w:val="0"/>
    <w:pPr>
      <w:widowControl/>
      <w:ind w:left="720"/>
      <w:contextualSpacing/>
      <w:jc w:val="left"/>
    </w:pPr>
    <w:rPr>
      <w:rFonts w:ascii="Arial" w:hAnsi="Arial" w:eastAsia="黑体"/>
      <w:sz w:val="24"/>
      <w:szCs w:val="24"/>
      <w:lang w:eastAsia="en-US"/>
    </w:rPr>
  </w:style>
  <w:style w:type="character" w:customStyle="1" w:styleId="217">
    <w:name w:val="标题 Char2"/>
    <w:basedOn w:val="61"/>
    <w:qFormat/>
    <w:uiPriority w:val="10"/>
    <w:rPr>
      <w:rFonts w:eastAsia="宋体" w:asciiTheme="majorHAnsi" w:hAnsiTheme="majorHAnsi" w:cstheme="majorBidi"/>
      <w:b/>
      <w:bCs/>
      <w:kern w:val="0"/>
      <w:sz w:val="32"/>
      <w:szCs w:val="32"/>
      <w:lang w:val="zh-CN"/>
    </w:rPr>
  </w:style>
  <w:style w:type="paragraph" w:customStyle="1" w:styleId="218">
    <w:name w:val="Item Step in Table"/>
    <w:qFormat/>
    <w:uiPriority w:val="0"/>
    <w:pPr>
      <w:numPr>
        <w:ilvl w:val="0"/>
        <w:numId w:val="3"/>
      </w:numPr>
      <w:spacing w:before="40" w:after="40"/>
      <w:jc w:val="both"/>
    </w:pPr>
    <w:rPr>
      <w:rFonts w:ascii="Arial" w:hAnsi="Arial" w:eastAsia="宋体" w:cs="Arial"/>
      <w:sz w:val="18"/>
      <w:szCs w:val="18"/>
      <w:lang w:val="en-US" w:eastAsia="zh-CN" w:bidi="ar-SA"/>
    </w:rPr>
  </w:style>
  <w:style w:type="paragraph" w:customStyle="1" w:styleId="219">
    <w:name w:val="样式 标题 2第一章 标题 2Heading 2 HiddenHeading 2 CCBSheading 2H2h2..."/>
    <w:basedOn w:val="3"/>
    <w:qFormat/>
    <w:uiPriority w:val="0"/>
    <w:pPr>
      <w:keepLines w:val="0"/>
      <w:tabs>
        <w:tab w:val="left" w:pos="360"/>
      </w:tabs>
      <w:adjustRightInd w:val="0"/>
      <w:spacing w:beforeLines="50" w:afterLines="50"/>
      <w:ind w:left="360" w:hanging="360"/>
      <w:jc w:val="center"/>
      <w:textAlignment w:val="baseline"/>
    </w:pPr>
    <w:rPr>
      <w:rFonts w:ascii="黑体" w:hAnsi="Times New Roman" w:eastAsia="黑体" w:cs="宋体"/>
      <w:b w:val="0"/>
      <w:kern w:val="0"/>
      <w:sz w:val="32"/>
      <w:szCs w:val="20"/>
    </w:rPr>
  </w:style>
  <w:style w:type="character" w:customStyle="1" w:styleId="220">
    <w:name w:val="正文文本缩进 Char1"/>
    <w:basedOn w:val="61"/>
    <w:semiHidden/>
    <w:qFormat/>
    <w:uiPriority w:val="99"/>
    <w:rPr>
      <w:rFonts w:ascii="Calibri" w:hAnsi="Calibri" w:eastAsia="Calibri" w:cs="宋体"/>
      <w:kern w:val="0"/>
      <w:sz w:val="20"/>
      <w:szCs w:val="20"/>
      <w:lang w:val="zh-CN"/>
    </w:rPr>
  </w:style>
  <w:style w:type="paragraph" w:customStyle="1" w:styleId="221">
    <w:name w:val="样式 样式 首行缩进:  0.74 厘米 行距: 1.5 倍行距 + 段后: 0.5 行"/>
    <w:basedOn w:val="1"/>
    <w:qFormat/>
    <w:uiPriority w:val="0"/>
    <w:pPr>
      <w:spacing w:line="360" w:lineRule="auto"/>
      <w:ind w:firstLine="420"/>
    </w:pPr>
    <w:rPr>
      <w:rFonts w:ascii="楷体_GB2312" w:eastAsia="楷体_GB2312"/>
      <w:bCs/>
      <w:sz w:val="24"/>
    </w:rPr>
  </w:style>
  <w:style w:type="paragraph" w:customStyle="1" w:styleId="222">
    <w:name w:val="Char Char Char Char Char Char Char1 Char"/>
    <w:basedOn w:val="1"/>
    <w:qFormat/>
    <w:uiPriority w:val="0"/>
    <w:rPr>
      <w:rFonts w:ascii="Tahoma" w:hAnsi="Tahoma" w:cs="Tahoma"/>
      <w:sz w:val="24"/>
    </w:rPr>
  </w:style>
  <w:style w:type="paragraph" w:customStyle="1" w:styleId="223">
    <w:name w:val="Char Char Char Char Char Char Char"/>
    <w:basedOn w:val="1"/>
    <w:qFormat/>
    <w:uiPriority w:val="0"/>
    <w:rPr>
      <w:rFonts w:ascii="Tahoma" w:hAnsi="Tahoma"/>
      <w:sz w:val="24"/>
    </w:rPr>
  </w:style>
  <w:style w:type="paragraph" w:customStyle="1" w:styleId="224">
    <w:name w:val="华宇段落1 Char"/>
    <w:basedOn w:val="1"/>
    <w:qFormat/>
    <w:uiPriority w:val="0"/>
    <w:pPr>
      <w:spacing w:line="360" w:lineRule="auto"/>
      <w:ind w:firstLine="200" w:firstLineChars="200"/>
    </w:pPr>
    <w:rPr>
      <w:bCs/>
      <w:sz w:val="24"/>
      <w:szCs w:val="24"/>
    </w:rPr>
  </w:style>
  <w:style w:type="character" w:customStyle="1" w:styleId="225">
    <w:name w:val="正文文本 Char"/>
    <w:basedOn w:val="61"/>
    <w:link w:val="23"/>
    <w:semiHidden/>
    <w:qFormat/>
    <w:uiPriority w:val="99"/>
    <w:rPr>
      <w:rFonts w:ascii="Calibri" w:hAnsi="Calibri" w:eastAsia="Calibri" w:cs="宋体"/>
      <w:kern w:val="0"/>
      <w:sz w:val="20"/>
      <w:szCs w:val="20"/>
      <w:lang w:val="zh-CN"/>
    </w:rPr>
  </w:style>
  <w:style w:type="character" w:customStyle="1" w:styleId="226">
    <w:name w:val="正文首行缩进 Char"/>
    <w:basedOn w:val="225"/>
    <w:link w:val="57"/>
    <w:qFormat/>
    <w:uiPriority w:val="0"/>
    <w:rPr>
      <w:rFonts w:ascii="Times New Roman" w:hAnsi="Times New Roman" w:eastAsia="宋体" w:cs="宋体"/>
      <w:kern w:val="0"/>
      <w:sz w:val="20"/>
      <w:szCs w:val="24"/>
      <w:lang w:val="zh-CN"/>
    </w:rPr>
  </w:style>
  <w:style w:type="paragraph" w:customStyle="1" w:styleId="227">
    <w:name w:val="Char Char Char Char"/>
    <w:basedOn w:val="1"/>
    <w:qFormat/>
    <w:uiPriority w:val="0"/>
    <w:pPr>
      <w:widowControl/>
      <w:spacing w:after="160" w:line="240" w:lineRule="exact"/>
      <w:jc w:val="center"/>
    </w:pPr>
    <w:rPr>
      <w:rFonts w:ascii="黑体" w:hAnsi="Verdana" w:eastAsia="黑体"/>
      <w:sz w:val="32"/>
      <w:szCs w:val="32"/>
      <w:lang w:eastAsia="en-US"/>
    </w:rPr>
  </w:style>
  <w:style w:type="character" w:customStyle="1" w:styleId="228">
    <w:name w:val="正文文本缩进 2 Char1"/>
    <w:basedOn w:val="61"/>
    <w:semiHidden/>
    <w:qFormat/>
    <w:uiPriority w:val="99"/>
    <w:rPr>
      <w:rFonts w:ascii="Calibri" w:hAnsi="Calibri" w:eastAsia="Calibri" w:cs="宋体"/>
      <w:kern w:val="0"/>
      <w:sz w:val="20"/>
      <w:szCs w:val="20"/>
      <w:lang w:val="zh-CN"/>
    </w:rPr>
  </w:style>
  <w:style w:type="paragraph" w:customStyle="1" w:styleId="229">
    <w:name w:val="xl25"/>
    <w:basedOn w:val="1"/>
    <w:qFormat/>
    <w:uiPriority w:val="0"/>
    <w:pPr>
      <w:widowControl/>
      <w:pBdr>
        <w:right w:val="single" w:color="auto" w:sz="4" w:space="0"/>
      </w:pBdr>
      <w:spacing w:before="100" w:beforeAutospacing="1" w:after="100" w:afterAutospacing="1"/>
      <w:jc w:val="center"/>
    </w:pPr>
    <w:rPr>
      <w:szCs w:val="21"/>
    </w:rPr>
  </w:style>
  <w:style w:type="paragraph" w:customStyle="1" w:styleId="230">
    <w:name w:val="标题6"/>
    <w:basedOn w:val="6"/>
    <w:qFormat/>
    <w:uiPriority w:val="0"/>
    <w:pPr>
      <w:keepLines/>
      <w:tabs>
        <w:tab w:val="left" w:pos="420"/>
      </w:tabs>
      <w:autoSpaceDE/>
      <w:autoSpaceDN/>
      <w:adjustRightInd/>
      <w:ind w:left="420" w:hanging="420"/>
    </w:pPr>
    <w:rPr>
      <w:rFonts w:ascii="Times New Roman"/>
      <w:b w:val="0"/>
      <w:bCs/>
      <w:color w:val="auto"/>
      <w:kern w:val="2"/>
      <w:sz w:val="24"/>
      <w:szCs w:val="28"/>
    </w:rPr>
  </w:style>
  <w:style w:type="paragraph" w:customStyle="1" w:styleId="231">
    <w:name w:val="content_lineheight"/>
    <w:basedOn w:val="1"/>
    <w:qFormat/>
    <w:uiPriority w:val="0"/>
    <w:pPr>
      <w:widowControl/>
      <w:spacing w:before="100" w:beforeAutospacing="1" w:after="100" w:afterAutospacing="1"/>
      <w:jc w:val="left"/>
    </w:pPr>
    <w:rPr>
      <w:rFonts w:ascii="宋体" w:hAnsi="宋体"/>
      <w:sz w:val="24"/>
      <w:szCs w:val="24"/>
    </w:rPr>
  </w:style>
  <w:style w:type="paragraph" w:customStyle="1" w:styleId="232">
    <w:name w:val="Char Char Char Char Char Char Char Char Char Char Char Char Char Char Char Char Char Char Char Char Char Char Char"/>
    <w:basedOn w:val="1"/>
    <w:qFormat/>
    <w:uiPriority w:val="0"/>
    <w:rPr>
      <w:rFonts w:ascii="Tahoma" w:hAnsi="Tahoma"/>
      <w:sz w:val="24"/>
    </w:rPr>
  </w:style>
  <w:style w:type="paragraph" w:customStyle="1" w:styleId="233">
    <w:name w:val="font5"/>
    <w:basedOn w:val="1"/>
    <w:qFormat/>
    <w:uiPriority w:val="0"/>
    <w:pPr>
      <w:widowControl/>
      <w:spacing w:before="100" w:beforeAutospacing="1" w:after="100" w:afterAutospacing="1"/>
      <w:jc w:val="left"/>
    </w:pPr>
    <w:rPr>
      <w:rFonts w:ascii="宋体" w:hAnsi="宋体"/>
      <w:sz w:val="18"/>
      <w:szCs w:val="18"/>
    </w:rPr>
  </w:style>
  <w:style w:type="paragraph" w:customStyle="1" w:styleId="234">
    <w:name w:val="正文 首行缩进:  2 字符 Char Char"/>
    <w:basedOn w:val="1"/>
    <w:qFormat/>
    <w:uiPriority w:val="0"/>
    <w:pPr>
      <w:spacing w:line="360" w:lineRule="auto"/>
      <w:ind w:firstLine="480"/>
    </w:pPr>
    <w:rPr>
      <w:rFonts w:ascii="楷体_GB2312" w:eastAsia="楷体_GB2312"/>
      <w:bCs/>
      <w:sz w:val="24"/>
      <w:szCs w:val="24"/>
    </w:rPr>
  </w:style>
  <w:style w:type="paragraph" w:customStyle="1" w:styleId="235">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i/>
      <w:iCs/>
    </w:rPr>
  </w:style>
  <w:style w:type="character" w:customStyle="1" w:styleId="236">
    <w:name w:val="文档结构图 Char1"/>
    <w:basedOn w:val="61"/>
    <w:semiHidden/>
    <w:qFormat/>
    <w:uiPriority w:val="99"/>
    <w:rPr>
      <w:rFonts w:ascii="宋体" w:hAnsi="Calibri" w:eastAsia="宋体" w:cs="宋体"/>
      <w:kern w:val="0"/>
      <w:sz w:val="18"/>
      <w:szCs w:val="18"/>
      <w:lang w:val="zh-CN"/>
    </w:rPr>
  </w:style>
  <w:style w:type="character" w:customStyle="1" w:styleId="237">
    <w:name w:val="页脚 Char1"/>
    <w:basedOn w:val="61"/>
    <w:semiHidden/>
    <w:qFormat/>
    <w:uiPriority w:val="99"/>
    <w:rPr>
      <w:rFonts w:ascii="Calibri" w:hAnsi="Calibri" w:eastAsia="Calibri" w:cs="宋体"/>
      <w:kern w:val="0"/>
      <w:sz w:val="18"/>
      <w:szCs w:val="18"/>
      <w:lang w:val="zh-CN"/>
    </w:rPr>
  </w:style>
  <w:style w:type="paragraph" w:customStyle="1" w:styleId="238">
    <w:name w:val="Item List Char Char"/>
    <w:qFormat/>
    <w:uiPriority w:val="0"/>
    <w:pPr>
      <w:adjustRightInd w:val="0"/>
      <w:snapToGrid w:val="0"/>
      <w:spacing w:line="288" w:lineRule="auto"/>
      <w:jc w:val="both"/>
    </w:pPr>
    <w:rPr>
      <w:rFonts w:ascii="Arial" w:hAnsi="Arial" w:eastAsia="宋体" w:cs="Arial"/>
      <w:b/>
      <w:bCs/>
      <w:kern w:val="2"/>
      <w:sz w:val="21"/>
      <w:szCs w:val="28"/>
      <w:lang w:val="en-US" w:eastAsia="zh-CN" w:bidi="ar-SA"/>
    </w:rPr>
  </w:style>
  <w:style w:type="paragraph" w:customStyle="1" w:styleId="239">
    <w:name w:val="Char1"/>
    <w:basedOn w:val="1"/>
    <w:qFormat/>
    <w:uiPriority w:val="0"/>
    <w:rPr>
      <w:rFonts w:ascii="仿宋_GB2312" w:hAnsi="宋体" w:eastAsia="仿宋_GB2312"/>
      <w:b/>
      <w:sz w:val="32"/>
      <w:szCs w:val="32"/>
    </w:rPr>
  </w:style>
  <w:style w:type="paragraph" w:customStyle="1" w:styleId="240">
    <w:name w:val="部分1"/>
    <w:basedOn w:val="1"/>
    <w:qFormat/>
    <w:uiPriority w:val="0"/>
    <w:pPr>
      <w:keepNext/>
      <w:pageBreakBefore/>
      <w:tabs>
        <w:tab w:val="left" w:pos="360"/>
      </w:tabs>
      <w:spacing w:line="360" w:lineRule="auto"/>
      <w:jc w:val="center"/>
      <w:outlineLvl w:val="0"/>
    </w:pPr>
    <w:rPr>
      <w:rFonts w:eastAsia="黑体"/>
      <w:b/>
      <w:kern w:val="44"/>
      <w:sz w:val="36"/>
    </w:rPr>
  </w:style>
  <w:style w:type="character" w:customStyle="1" w:styleId="241">
    <w:name w:val="批注文字 Char1"/>
    <w:basedOn w:val="61"/>
    <w:link w:val="19"/>
    <w:semiHidden/>
    <w:qFormat/>
    <w:uiPriority w:val="99"/>
    <w:rPr>
      <w:rFonts w:ascii="Calibri" w:hAnsi="Calibri" w:eastAsia="Calibri" w:cs="宋体"/>
      <w:kern w:val="0"/>
      <w:sz w:val="20"/>
      <w:szCs w:val="20"/>
      <w:lang w:val="zh-CN"/>
    </w:rPr>
  </w:style>
  <w:style w:type="character" w:customStyle="1" w:styleId="242">
    <w:name w:val="批注主题 Char1"/>
    <w:basedOn w:val="241"/>
    <w:semiHidden/>
    <w:qFormat/>
    <w:uiPriority w:val="99"/>
    <w:rPr>
      <w:rFonts w:ascii="Calibri" w:hAnsi="Calibri" w:eastAsia="Calibri" w:cs="宋体"/>
      <w:b/>
      <w:bCs/>
      <w:kern w:val="0"/>
      <w:sz w:val="20"/>
      <w:szCs w:val="20"/>
      <w:lang w:val="zh-CN"/>
    </w:rPr>
  </w:style>
  <w:style w:type="character" w:customStyle="1" w:styleId="243">
    <w:name w:val="HTML 预设格式 Char1"/>
    <w:basedOn w:val="61"/>
    <w:semiHidden/>
    <w:qFormat/>
    <w:uiPriority w:val="99"/>
    <w:rPr>
      <w:rFonts w:ascii="Courier New" w:hAnsi="Courier New" w:eastAsia="Calibri" w:cs="Courier New"/>
      <w:kern w:val="0"/>
      <w:sz w:val="20"/>
      <w:szCs w:val="20"/>
      <w:lang w:val="zh-CN"/>
    </w:rPr>
  </w:style>
  <w:style w:type="paragraph" w:customStyle="1" w:styleId="244">
    <w:name w:val="项目符号：一级"/>
    <w:basedOn w:val="206"/>
    <w:next w:val="206"/>
    <w:qFormat/>
    <w:uiPriority w:val="0"/>
    <w:pPr>
      <w:ind w:right="-134" w:rightChars="-64"/>
    </w:pPr>
    <w:rPr>
      <w:bCs w:val="0"/>
      <w:lang w:val="en-US"/>
    </w:rPr>
  </w:style>
  <w:style w:type="paragraph" w:customStyle="1" w:styleId="245">
    <w:name w:val="列出段落11"/>
    <w:basedOn w:val="1"/>
    <w:qFormat/>
    <w:uiPriority w:val="0"/>
    <w:pPr>
      <w:widowControl/>
      <w:ind w:left="720"/>
      <w:contextualSpacing/>
      <w:jc w:val="left"/>
    </w:pPr>
    <w:rPr>
      <w:rFonts w:ascii="Arial" w:hAnsi="Arial" w:eastAsia="黑体"/>
      <w:sz w:val="24"/>
      <w:szCs w:val="24"/>
      <w:lang w:eastAsia="en-US"/>
    </w:rPr>
  </w:style>
  <w:style w:type="paragraph" w:customStyle="1" w:styleId="246">
    <w:name w:val="Char Char Char Char Char Char Char Char Char Char Char Char Char Char Char Char Char Char Char Char Char1"/>
    <w:basedOn w:val="1"/>
    <w:qFormat/>
    <w:uiPriority w:val="0"/>
    <w:rPr>
      <w:rFonts w:ascii="Tahoma" w:hAnsi="Tahoma"/>
      <w:sz w:val="24"/>
    </w:rPr>
  </w:style>
  <w:style w:type="paragraph" w:customStyle="1" w:styleId="247">
    <w:name w:val="font8"/>
    <w:basedOn w:val="1"/>
    <w:qFormat/>
    <w:uiPriority w:val="0"/>
    <w:pPr>
      <w:widowControl/>
      <w:spacing w:before="100" w:beforeAutospacing="1" w:after="100" w:afterAutospacing="1"/>
      <w:jc w:val="left"/>
    </w:pPr>
    <w:rPr>
      <w:rFonts w:ascii="宋体" w:hAnsi="宋体"/>
      <w:b/>
      <w:bCs/>
      <w:i/>
      <w:iCs/>
    </w:rPr>
  </w:style>
  <w:style w:type="paragraph" w:customStyle="1" w:styleId="248">
    <w:name w:val="Char Char1 Char Char Char Char1 Char Char Char Char Char Char"/>
    <w:basedOn w:val="1"/>
    <w:qFormat/>
    <w:uiPriority w:val="0"/>
    <w:rPr>
      <w:rFonts w:ascii="Tahoma" w:hAnsi="Tahoma"/>
      <w:sz w:val="24"/>
    </w:rPr>
  </w:style>
  <w:style w:type="character" w:customStyle="1" w:styleId="249">
    <w:name w:val="正文文本缩进 3 Char1"/>
    <w:basedOn w:val="61"/>
    <w:semiHidden/>
    <w:qFormat/>
    <w:uiPriority w:val="99"/>
    <w:rPr>
      <w:rFonts w:ascii="Calibri" w:hAnsi="Calibri" w:eastAsia="Calibri" w:cs="宋体"/>
      <w:kern w:val="0"/>
      <w:sz w:val="16"/>
      <w:szCs w:val="16"/>
      <w:lang w:val="zh-CN"/>
    </w:rPr>
  </w:style>
  <w:style w:type="paragraph" w:customStyle="1" w:styleId="250">
    <w:name w:val="p0"/>
    <w:basedOn w:val="1"/>
    <w:qFormat/>
    <w:uiPriority w:val="0"/>
    <w:pPr>
      <w:widowControl/>
      <w:spacing w:before="100" w:beforeAutospacing="1" w:after="100" w:afterAutospacing="1"/>
      <w:jc w:val="left"/>
    </w:pPr>
    <w:rPr>
      <w:rFonts w:ascii="宋体" w:hAnsi="宋体"/>
      <w:sz w:val="24"/>
      <w:szCs w:val="24"/>
    </w:rPr>
  </w:style>
  <w:style w:type="paragraph" w:customStyle="1" w:styleId="251">
    <w:name w:val="Char Char Char Char Char Char Char Char Char Char Char Char Char Char"/>
    <w:basedOn w:val="1"/>
    <w:qFormat/>
    <w:uiPriority w:val="0"/>
    <w:rPr>
      <w:rFonts w:ascii="Tahoma" w:hAnsi="Tahoma"/>
      <w:sz w:val="24"/>
    </w:rPr>
  </w:style>
  <w:style w:type="character" w:customStyle="1" w:styleId="252">
    <w:name w:val="副标题 Char"/>
    <w:basedOn w:val="61"/>
    <w:link w:val="42"/>
    <w:qFormat/>
    <w:uiPriority w:val="0"/>
    <w:rPr>
      <w:rFonts w:ascii="Cambria" w:hAnsi="Cambria" w:eastAsia="Calibri" w:cs="宋体"/>
      <w:i/>
      <w:iCs/>
      <w:spacing w:val="13"/>
      <w:kern w:val="0"/>
      <w:sz w:val="24"/>
      <w:szCs w:val="24"/>
      <w:lang w:val="zh-CN" w:eastAsia="en-US" w:bidi="en-US"/>
    </w:rPr>
  </w:style>
  <w:style w:type="paragraph" w:customStyle="1" w:styleId="253">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rPr>
  </w:style>
  <w:style w:type="paragraph" w:customStyle="1" w:styleId="254">
    <w:name w:val="font9"/>
    <w:basedOn w:val="1"/>
    <w:qFormat/>
    <w:uiPriority w:val="0"/>
    <w:pPr>
      <w:widowControl/>
      <w:spacing w:before="100" w:beforeAutospacing="1" w:after="100" w:afterAutospacing="1"/>
      <w:jc w:val="left"/>
    </w:pPr>
    <w:rPr>
      <w:b/>
      <w:bCs/>
    </w:rPr>
  </w:style>
  <w:style w:type="character" w:customStyle="1" w:styleId="255">
    <w:name w:val="日期 Char"/>
    <w:basedOn w:val="61"/>
    <w:link w:val="31"/>
    <w:qFormat/>
    <w:uiPriority w:val="0"/>
    <w:rPr>
      <w:rFonts w:ascii="Calibri" w:hAnsi="Calibri" w:eastAsia="Calibri" w:cs="宋体"/>
      <w:kern w:val="0"/>
      <w:sz w:val="28"/>
      <w:szCs w:val="20"/>
      <w:lang w:val="zh-CN"/>
    </w:rPr>
  </w:style>
  <w:style w:type="paragraph" w:customStyle="1" w:styleId="256">
    <w:name w:val="样式 加点正文 + 段前: 0.5 行 段后: 0.5 行1"/>
    <w:basedOn w:val="1"/>
    <w:qFormat/>
    <w:uiPriority w:val="0"/>
    <w:pPr>
      <w:tabs>
        <w:tab w:val="left" w:pos="420"/>
        <w:tab w:val="left" w:pos="1268"/>
      </w:tabs>
      <w:spacing w:beforeLines="50" w:afterLines="50" w:line="300" w:lineRule="auto"/>
      <w:ind w:left="1268" w:hanging="420"/>
    </w:pPr>
    <w:rPr>
      <w:sz w:val="24"/>
    </w:rPr>
  </w:style>
  <w:style w:type="paragraph" w:customStyle="1" w:styleId="257">
    <w:name w:val="Char Char Char Char Char Char Char Char Char Char Char"/>
    <w:basedOn w:val="1"/>
    <w:qFormat/>
    <w:uiPriority w:val="0"/>
    <w:rPr>
      <w:rFonts w:ascii="Tahoma" w:hAnsi="Tahoma"/>
      <w:sz w:val="24"/>
    </w:rPr>
  </w:style>
  <w:style w:type="paragraph" w:customStyle="1" w:styleId="258">
    <w:name w:val="font7"/>
    <w:basedOn w:val="1"/>
    <w:qFormat/>
    <w:uiPriority w:val="0"/>
    <w:pPr>
      <w:widowControl/>
      <w:spacing w:before="100" w:beforeAutospacing="1" w:after="100" w:afterAutospacing="1"/>
      <w:jc w:val="left"/>
    </w:pPr>
    <w:rPr>
      <w:rFonts w:hint="eastAsia" w:ascii="宋体" w:hAnsi="宋体"/>
      <w:b/>
      <w:bCs/>
      <w:sz w:val="24"/>
      <w:szCs w:val="24"/>
    </w:rPr>
  </w:style>
  <w:style w:type="character" w:customStyle="1" w:styleId="259">
    <w:name w:val="签名 Char"/>
    <w:basedOn w:val="61"/>
    <w:link w:val="37"/>
    <w:qFormat/>
    <w:uiPriority w:val="0"/>
    <w:rPr>
      <w:rFonts w:ascii="Calibri" w:hAnsi="Calibri" w:eastAsia="仿宋_GB2312" w:cs="宋体"/>
      <w:kern w:val="0"/>
      <w:sz w:val="24"/>
      <w:szCs w:val="20"/>
      <w:lang w:val="zh-CN"/>
    </w:rPr>
  </w:style>
  <w:style w:type="paragraph" w:customStyle="1" w:styleId="260">
    <w:name w:val="flName"/>
    <w:basedOn w:val="261"/>
    <w:qFormat/>
    <w:uiPriority w:val="0"/>
    <w:pPr>
      <w:spacing w:before="0" w:line="113" w:lineRule="atLeast"/>
    </w:pPr>
  </w:style>
  <w:style w:type="paragraph" w:customStyle="1" w:styleId="261">
    <w:name w:val="flNote"/>
    <w:basedOn w:val="1"/>
    <w:qFormat/>
    <w:uiPriority w:val="0"/>
    <w:pPr>
      <w:adjustRightInd w:val="0"/>
      <w:spacing w:before="567" w:line="360" w:lineRule="atLeast"/>
      <w:jc w:val="center"/>
      <w:textAlignment w:val="baseline"/>
    </w:pPr>
    <w:rPr>
      <w:rFonts w:eastAsia="黑体"/>
      <w:b/>
      <w:sz w:val="24"/>
    </w:rPr>
  </w:style>
  <w:style w:type="paragraph" w:customStyle="1" w:styleId="262">
    <w:name w:val="插图"/>
    <w:basedOn w:val="1"/>
    <w:qFormat/>
    <w:uiPriority w:val="0"/>
    <w:pPr>
      <w:tabs>
        <w:tab w:val="left" w:pos="1620"/>
      </w:tabs>
      <w:adjustRightInd w:val="0"/>
      <w:jc w:val="center"/>
    </w:pPr>
    <w:rPr>
      <w:bCs/>
      <w:color w:val="000000"/>
      <w:szCs w:val="22"/>
    </w:rPr>
  </w:style>
  <w:style w:type="paragraph" w:customStyle="1" w:styleId="263">
    <w:name w:val="xl51"/>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b/>
      <w:bCs/>
      <w:i/>
      <w:iCs/>
    </w:rPr>
  </w:style>
  <w:style w:type="paragraph" w:customStyle="1" w:styleId="264">
    <w:name w:val="Char Char1"/>
    <w:basedOn w:val="1"/>
    <w:qFormat/>
    <w:uiPriority w:val="0"/>
    <w:rPr>
      <w:rFonts w:ascii="Tahoma" w:hAnsi="Tahoma" w:cs="Tahoma"/>
      <w:sz w:val="24"/>
    </w:rPr>
  </w:style>
  <w:style w:type="paragraph" w:customStyle="1" w:styleId="265">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rPr>
  </w:style>
  <w:style w:type="paragraph" w:customStyle="1" w:styleId="266">
    <w:name w:val="xl56"/>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rPr>
  </w:style>
  <w:style w:type="paragraph" w:customStyle="1" w:styleId="267">
    <w:name w:val="默认段落字体 Para Char Char Char Char Char Char Char"/>
    <w:basedOn w:val="1"/>
    <w:qFormat/>
    <w:uiPriority w:val="0"/>
  </w:style>
  <w:style w:type="paragraph" w:customStyle="1" w:styleId="268">
    <w:name w:val="项目符号，一级"/>
    <w:basedOn w:val="206"/>
    <w:next w:val="206"/>
    <w:qFormat/>
    <w:uiPriority w:val="0"/>
    <w:pPr>
      <w:tabs>
        <w:tab w:val="left" w:pos="1320"/>
      </w:tabs>
      <w:spacing w:line="240" w:lineRule="atLeast"/>
      <w:ind w:left="376" w:leftChars="179" w:firstLine="0"/>
    </w:pPr>
    <w:rPr>
      <w:bCs w:val="0"/>
      <w:color w:val="000000"/>
      <w:szCs w:val="24"/>
    </w:rPr>
  </w:style>
  <w:style w:type="paragraph" w:customStyle="1" w:styleId="269">
    <w:name w:val="二级条标题"/>
    <w:basedOn w:val="1"/>
    <w:next w:val="202"/>
    <w:qFormat/>
    <w:uiPriority w:val="0"/>
    <w:pPr>
      <w:widowControl/>
      <w:tabs>
        <w:tab w:val="left" w:pos="2240"/>
      </w:tabs>
      <w:ind w:hanging="420"/>
      <w:outlineLvl w:val="3"/>
    </w:pPr>
    <w:rPr>
      <w:rFonts w:eastAsia="黑体"/>
    </w:rPr>
  </w:style>
  <w:style w:type="paragraph" w:customStyle="1" w:styleId="270">
    <w:name w:val="标题5，章节第五层"/>
    <w:basedOn w:val="1"/>
    <w:next w:val="1"/>
    <w:qFormat/>
    <w:uiPriority w:val="0"/>
    <w:pPr>
      <w:tabs>
        <w:tab w:val="left" w:pos="1050"/>
        <w:tab w:val="left" w:pos="2100"/>
      </w:tabs>
      <w:spacing w:before="78"/>
      <w:ind w:left="2100" w:hanging="420"/>
      <w:outlineLvl w:val="4"/>
    </w:pPr>
    <w:rPr>
      <w:rFonts w:ascii="Arial" w:hAnsi="Arial" w:eastAsia="华文细黑"/>
      <w:sz w:val="30"/>
      <w:szCs w:val="24"/>
    </w:rPr>
  </w:style>
  <w:style w:type="paragraph" w:customStyle="1" w:styleId="271">
    <w:name w:val="Char Char Char Char Char Char Char Char1"/>
    <w:basedOn w:val="1"/>
    <w:qFormat/>
    <w:uiPriority w:val="0"/>
    <w:rPr>
      <w:rFonts w:ascii="Tahoma" w:hAnsi="Tahoma" w:cs="Tahoma"/>
      <w:sz w:val="24"/>
    </w:rPr>
  </w:style>
  <w:style w:type="paragraph" w:customStyle="1" w:styleId="272">
    <w:name w:val="List Paragraph1"/>
    <w:basedOn w:val="1"/>
    <w:qFormat/>
    <w:uiPriority w:val="34"/>
    <w:pPr>
      <w:widowControl/>
      <w:spacing w:after="160" w:line="259" w:lineRule="auto"/>
      <w:ind w:left="720"/>
      <w:contextualSpacing/>
      <w:jc w:val="left"/>
    </w:pPr>
    <w:rPr>
      <w:sz w:val="22"/>
    </w:rPr>
  </w:style>
  <w:style w:type="character" w:customStyle="1" w:styleId="273">
    <w:name w:val="正文文本 3 Char"/>
    <w:basedOn w:val="61"/>
    <w:link w:val="22"/>
    <w:qFormat/>
    <w:uiPriority w:val="0"/>
    <w:rPr>
      <w:rFonts w:ascii="仿宋_GB2312" w:hAnsi="Arial" w:eastAsia="仿宋_GB2312" w:cs="宋体"/>
      <w:kern w:val="0"/>
      <w:sz w:val="32"/>
      <w:szCs w:val="20"/>
      <w:lang w:val="zh-CN"/>
    </w:rPr>
  </w:style>
  <w:style w:type="paragraph" w:customStyle="1" w:styleId="274">
    <w:name w:val="正文1"/>
    <w:basedOn w:val="1"/>
    <w:qFormat/>
    <w:uiPriority w:val="0"/>
  </w:style>
  <w:style w:type="character" w:customStyle="1" w:styleId="275">
    <w:name w:val="页眉 Char"/>
    <w:basedOn w:val="61"/>
    <w:link w:val="36"/>
    <w:qFormat/>
    <w:uiPriority w:val="0"/>
    <w:rPr>
      <w:rFonts w:ascii="Calibri" w:hAnsi="Calibri" w:eastAsia="Calibri" w:cs="宋体"/>
      <w:kern w:val="0"/>
      <w:sz w:val="18"/>
      <w:szCs w:val="20"/>
      <w:lang w:val="zh-CN"/>
    </w:rPr>
  </w:style>
  <w:style w:type="paragraph" w:customStyle="1" w:styleId="276">
    <w:name w:val="_Style 42"/>
    <w:basedOn w:val="1"/>
    <w:next w:val="23"/>
    <w:qFormat/>
    <w:uiPriority w:val="0"/>
    <w:rPr>
      <w:rFonts w:ascii="楷体_GB2312" w:hAnsi="Arial" w:eastAsia="楷体_GB2312"/>
      <w:sz w:val="28"/>
    </w:rPr>
  </w:style>
  <w:style w:type="paragraph" w:customStyle="1" w:styleId="277">
    <w:name w:val="xl49"/>
    <w:basedOn w:val="1"/>
    <w:qFormat/>
    <w:uiPriority w:val="0"/>
    <w:pPr>
      <w:widowControl/>
      <w:pBdr>
        <w:left w:val="single" w:color="auto" w:sz="4" w:space="0"/>
        <w:right w:val="single" w:color="auto" w:sz="4" w:space="0"/>
      </w:pBdr>
      <w:spacing w:before="100" w:beforeAutospacing="1" w:after="100" w:afterAutospacing="1"/>
      <w:jc w:val="center"/>
      <w:textAlignment w:val="center"/>
    </w:pPr>
    <w:rPr>
      <w:b/>
      <w:bCs/>
    </w:rPr>
  </w:style>
  <w:style w:type="character" w:customStyle="1" w:styleId="278">
    <w:name w:val="尾注文本 Char"/>
    <w:basedOn w:val="61"/>
    <w:link w:val="33"/>
    <w:qFormat/>
    <w:uiPriority w:val="0"/>
    <w:rPr>
      <w:rFonts w:ascii="Calibri" w:hAnsi="Calibri" w:eastAsia="Calibri" w:cs="宋体"/>
      <w:kern w:val="0"/>
      <w:sz w:val="20"/>
      <w:szCs w:val="24"/>
      <w:lang w:val="zh-CN"/>
    </w:rPr>
  </w:style>
  <w:style w:type="paragraph" w:customStyle="1" w:styleId="279">
    <w:name w:val="Normal1"/>
    <w:basedOn w:val="1"/>
    <w:qFormat/>
    <w:uiPriority w:val="0"/>
  </w:style>
  <w:style w:type="paragraph" w:customStyle="1" w:styleId="280">
    <w:name w:val="丁华标题3"/>
    <w:basedOn w:val="281"/>
    <w:next w:val="282"/>
    <w:qFormat/>
    <w:uiPriority w:val="0"/>
    <w:pPr>
      <w:numPr>
        <w:ilvl w:val="2"/>
      </w:numPr>
      <w:tabs>
        <w:tab w:val="left" w:pos="1004"/>
        <w:tab w:val="left" w:pos="1470"/>
        <w:tab w:val="left" w:pos="1980"/>
      </w:tabs>
      <w:spacing w:after="0"/>
      <w:ind w:left="1980" w:hanging="420"/>
      <w:outlineLvl w:val="2"/>
    </w:pPr>
    <w:rPr>
      <w:sz w:val="24"/>
    </w:rPr>
  </w:style>
  <w:style w:type="paragraph" w:customStyle="1" w:styleId="281">
    <w:name w:val="丁华标题2"/>
    <w:basedOn w:val="3"/>
    <w:next w:val="282"/>
    <w:qFormat/>
    <w:uiPriority w:val="0"/>
    <w:pPr>
      <w:numPr>
        <w:ilvl w:val="1"/>
        <w:numId w:val="4"/>
      </w:numPr>
      <w:spacing w:line="415" w:lineRule="auto"/>
    </w:pPr>
    <w:rPr>
      <w:rFonts w:ascii="Arial" w:hAnsi="Arial" w:eastAsia="黑体"/>
      <w:b w:val="0"/>
      <w:sz w:val="28"/>
      <w:szCs w:val="20"/>
    </w:rPr>
  </w:style>
  <w:style w:type="paragraph" w:customStyle="1" w:styleId="282">
    <w:name w:val="丁华正文"/>
    <w:basedOn w:val="45"/>
    <w:qFormat/>
    <w:uiPriority w:val="0"/>
    <w:pPr>
      <w:adjustRightInd w:val="0"/>
      <w:snapToGrid w:val="0"/>
      <w:spacing w:line="360" w:lineRule="auto"/>
      <w:ind w:left="0" w:firstLine="510"/>
    </w:pPr>
    <w:rPr>
      <w:rFonts w:ascii="Times New Roman" w:hAnsi="Times New Roman" w:eastAsia="宋体"/>
      <w:color w:val="auto"/>
      <w:sz w:val="24"/>
      <w:szCs w:val="16"/>
    </w:rPr>
  </w:style>
  <w:style w:type="character" w:customStyle="1" w:styleId="283">
    <w:name w:val="称呼 Char"/>
    <w:basedOn w:val="61"/>
    <w:link w:val="21"/>
    <w:qFormat/>
    <w:uiPriority w:val="0"/>
    <w:rPr>
      <w:rFonts w:ascii="仿宋_GB2312" w:hAnsi="Calibri" w:eastAsia="仿宋_GB2312" w:cs="宋体"/>
      <w:kern w:val="0"/>
      <w:sz w:val="28"/>
      <w:szCs w:val="20"/>
      <w:lang w:val="zh-CN"/>
    </w:rPr>
  </w:style>
  <w:style w:type="paragraph" w:customStyle="1" w:styleId="284">
    <w:name w:val="纯文本1"/>
    <w:basedOn w:val="1"/>
    <w:qFormat/>
    <w:uiPriority w:val="0"/>
    <w:pPr>
      <w:adjustRightInd w:val="0"/>
      <w:textAlignment w:val="baseline"/>
    </w:pPr>
    <w:rPr>
      <w:rFonts w:ascii="宋体" w:hAnsi="宋体" w:eastAsia="楷体_GB2312"/>
      <w:sz w:val="28"/>
    </w:rPr>
  </w:style>
  <w:style w:type="paragraph" w:customStyle="1" w:styleId="285">
    <w:name w:val="样式"/>
    <w:basedOn w:val="1"/>
    <w:qFormat/>
    <w:uiPriority w:val="0"/>
    <w:pPr>
      <w:autoSpaceDE w:val="0"/>
      <w:autoSpaceDN w:val="0"/>
      <w:snapToGrid w:val="0"/>
      <w:spacing w:before="120" w:after="120" w:line="360" w:lineRule="auto"/>
    </w:pPr>
    <w:rPr>
      <w:rFonts w:ascii="宋体"/>
      <w:sz w:val="24"/>
    </w:rPr>
  </w:style>
  <w:style w:type="paragraph" w:customStyle="1" w:styleId="286">
    <w:name w:val="样式 段后: 0.5 行 左  0.75 字符"/>
    <w:basedOn w:val="1"/>
    <w:qFormat/>
    <w:uiPriority w:val="0"/>
    <w:pPr>
      <w:widowControl/>
      <w:spacing w:line="360" w:lineRule="auto"/>
      <w:ind w:firstLine="420" w:firstLineChars="200"/>
    </w:pPr>
    <w:rPr>
      <w:rFonts w:hAnsi="Arial" w:cs="Arial"/>
      <w:szCs w:val="21"/>
    </w:rPr>
  </w:style>
  <w:style w:type="paragraph" w:customStyle="1" w:styleId="287">
    <w:name w:val="zw"/>
    <w:basedOn w:val="1"/>
    <w:qFormat/>
    <w:uiPriority w:val="0"/>
    <w:pPr>
      <w:widowControl/>
      <w:spacing w:line="360" w:lineRule="auto"/>
      <w:ind w:firstLine="480" w:firstLineChars="200"/>
      <w:jc w:val="left"/>
    </w:pPr>
    <w:rPr>
      <w:rFonts w:ascii="宋体" w:hAnsi="宋体"/>
      <w:bCs/>
      <w:sz w:val="24"/>
    </w:rPr>
  </w:style>
  <w:style w:type="paragraph" w:customStyle="1" w:styleId="288">
    <w:name w:val="1"/>
    <w:basedOn w:val="1"/>
    <w:next w:val="51"/>
    <w:qFormat/>
    <w:uiPriority w:val="0"/>
    <w:pPr>
      <w:spacing w:line="360" w:lineRule="auto"/>
    </w:pPr>
    <w:rPr>
      <w:rFonts w:eastAsia="仿宋_GB2312"/>
      <w:sz w:val="24"/>
      <w:szCs w:val="24"/>
    </w:rPr>
  </w:style>
  <w:style w:type="character" w:customStyle="1" w:styleId="289">
    <w:name w:val="明显引用 Char1"/>
    <w:basedOn w:val="61"/>
    <w:qFormat/>
    <w:uiPriority w:val="30"/>
    <w:rPr>
      <w:rFonts w:ascii="Calibri" w:hAnsi="Calibri" w:eastAsia="Calibri" w:cs="宋体"/>
      <w:b/>
      <w:bCs/>
      <w:i/>
      <w:iCs/>
      <w:color w:val="4F81BD" w:themeColor="accent1"/>
      <w:kern w:val="0"/>
      <w:sz w:val="20"/>
      <w:szCs w:val="20"/>
      <w:lang w:val="zh-CN"/>
      <w14:textFill>
        <w14:solidFill>
          <w14:schemeClr w14:val="accent1"/>
        </w14:solidFill>
      </w14:textFill>
    </w:rPr>
  </w:style>
  <w:style w:type="paragraph" w:customStyle="1" w:styleId="290">
    <w:name w:val="tableau"/>
    <w:basedOn w:val="1"/>
    <w:qFormat/>
    <w:uiPriority w:val="0"/>
    <w:pPr>
      <w:widowControl/>
      <w:spacing w:before="20" w:after="20"/>
      <w:jc w:val="center"/>
    </w:pPr>
    <w:rPr>
      <w:rFonts w:ascii="Arial" w:hAnsi="Arial"/>
      <w:sz w:val="16"/>
      <w:lang w:val="en-GB" w:eastAsia="en-US"/>
    </w:rPr>
  </w:style>
  <w:style w:type="paragraph" w:customStyle="1" w:styleId="291">
    <w:name w:val="Char"/>
    <w:basedOn w:val="1"/>
    <w:semiHidden/>
    <w:qFormat/>
    <w:uiPriority w:val="0"/>
    <w:rPr>
      <w:rFonts w:ascii="Tahoma" w:hAnsi="Tahoma" w:cs="仿宋_GB2312"/>
      <w:sz w:val="24"/>
      <w:szCs w:val="28"/>
    </w:rPr>
  </w:style>
  <w:style w:type="paragraph" w:customStyle="1" w:styleId="292">
    <w:name w:val="xl44"/>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b/>
      <w:bCs/>
    </w:rPr>
  </w:style>
  <w:style w:type="paragraph" w:customStyle="1" w:styleId="293">
    <w:name w:val="xl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rPr>
  </w:style>
  <w:style w:type="paragraph" w:customStyle="1" w:styleId="294">
    <w:name w:val="xl62"/>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i/>
      <w:iCs/>
    </w:rPr>
  </w:style>
  <w:style w:type="paragraph" w:customStyle="1" w:styleId="295">
    <w:name w:val="标准文本"/>
    <w:basedOn w:val="1"/>
    <w:qFormat/>
    <w:uiPriority w:val="0"/>
    <w:pPr>
      <w:spacing w:line="360" w:lineRule="auto"/>
      <w:ind w:firstLine="480" w:firstLineChars="200"/>
    </w:pPr>
    <w:rPr>
      <w:sz w:val="24"/>
      <w:szCs w:val="24"/>
    </w:rPr>
  </w:style>
  <w:style w:type="paragraph" w:customStyle="1" w:styleId="296">
    <w:name w:val="公文正文"/>
    <w:basedOn w:val="24"/>
    <w:qFormat/>
    <w:uiPriority w:val="0"/>
    <w:pPr>
      <w:ind w:firstLine="200" w:firstLineChars="200"/>
    </w:pPr>
    <w:rPr>
      <w:rFonts w:ascii="仿宋_GB2312" w:hAnsi="宋体" w:eastAsia="仿宋_GB2312"/>
      <w:kern w:val="28"/>
      <w:sz w:val="28"/>
      <w:szCs w:val="24"/>
    </w:rPr>
  </w:style>
  <w:style w:type="paragraph" w:customStyle="1" w:styleId="297">
    <w:name w:val="标准小四"/>
    <w:basedOn w:val="1"/>
    <w:qFormat/>
    <w:uiPriority w:val="0"/>
    <w:pPr>
      <w:spacing w:line="360" w:lineRule="auto"/>
      <w:ind w:firstLine="480" w:firstLineChars="200"/>
    </w:pPr>
    <w:rPr>
      <w:rFonts w:ascii="Arial" w:hAnsi="Arial"/>
      <w:sz w:val="24"/>
      <w:szCs w:val="21"/>
    </w:rPr>
  </w:style>
  <w:style w:type="paragraph" w:customStyle="1" w:styleId="298">
    <w:name w:val="xl52"/>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i/>
      <w:iCs/>
    </w:rPr>
  </w:style>
  <w:style w:type="paragraph" w:customStyle="1" w:styleId="299">
    <w:name w:val="符号与编号"/>
    <w:basedOn w:val="1"/>
    <w:qFormat/>
    <w:uiPriority w:val="0"/>
    <w:pPr>
      <w:tabs>
        <w:tab w:val="left" w:pos="900"/>
      </w:tabs>
      <w:spacing w:afterLines="50" w:line="400" w:lineRule="atLeast"/>
      <w:ind w:left="900" w:hanging="420"/>
    </w:pPr>
    <w:rPr>
      <w:sz w:val="24"/>
      <w:szCs w:val="24"/>
    </w:rPr>
  </w:style>
  <w:style w:type="paragraph" w:customStyle="1" w:styleId="300">
    <w:name w:val="Char Char Char Char Char Char Char Char Char Char Char Char Char Char1"/>
    <w:basedOn w:val="1"/>
    <w:qFormat/>
    <w:uiPriority w:val="0"/>
    <w:rPr>
      <w:rFonts w:ascii="Tahoma" w:hAnsi="Tahoma" w:cs="Tahoma"/>
      <w:sz w:val="24"/>
    </w:rPr>
  </w:style>
  <w:style w:type="paragraph" w:customStyle="1" w:styleId="301">
    <w:name w:val="Char Char Char Char Char Char Char Char Char Char Char Char Char Char Char Char Char Char Char Char Char Char Char1"/>
    <w:basedOn w:val="1"/>
    <w:qFormat/>
    <w:uiPriority w:val="0"/>
    <w:rPr>
      <w:rFonts w:ascii="Tahoma" w:hAnsi="Tahoma" w:cs="Tahoma"/>
      <w:sz w:val="24"/>
    </w:rPr>
  </w:style>
  <w:style w:type="paragraph" w:customStyle="1" w:styleId="302">
    <w:name w:val="正文 首行缩进:  2 字符 Char"/>
    <w:basedOn w:val="1"/>
    <w:qFormat/>
    <w:uiPriority w:val="0"/>
    <w:pPr>
      <w:spacing w:line="360" w:lineRule="auto"/>
      <w:ind w:firstLine="480"/>
    </w:pPr>
    <w:rPr>
      <w:sz w:val="24"/>
    </w:rPr>
  </w:style>
  <w:style w:type="paragraph" w:customStyle="1" w:styleId="303">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rPr>
  </w:style>
  <w:style w:type="paragraph" w:customStyle="1" w:styleId="304">
    <w:name w:val="无间隔1"/>
    <w:qFormat/>
    <w:uiPriority w:val="0"/>
    <w:pPr>
      <w:widowControl w:val="0"/>
      <w:jc w:val="both"/>
    </w:pPr>
    <w:rPr>
      <w:rFonts w:ascii="Calibri" w:hAnsi="Calibri" w:eastAsia="微软雅黑" w:cs="Times New Roman"/>
      <w:kern w:val="2"/>
      <w:sz w:val="24"/>
      <w:szCs w:val="22"/>
      <w:lang w:val="en-US" w:eastAsia="zh-CN" w:bidi="ar-SA"/>
    </w:rPr>
  </w:style>
  <w:style w:type="paragraph" w:customStyle="1" w:styleId="305">
    <w:name w:val="af17cgridlangnp1033langf"/>
    <w:qFormat/>
    <w:uiPriority w:val="0"/>
    <w:pPr>
      <w:widowControl w:val="0"/>
      <w:autoSpaceDE w:val="0"/>
      <w:autoSpaceDN w:val="0"/>
      <w:adjustRightInd w:val="0"/>
      <w:spacing w:before="156" w:line="360" w:lineRule="atLeast"/>
      <w:ind w:left="567" w:firstLine="510"/>
      <w:jc w:val="both"/>
    </w:pPr>
    <w:rPr>
      <w:rFonts w:ascii="Calibri" w:hAnsi="Calibri" w:eastAsia="宋体" w:cs="Times New Roman"/>
      <w:lang w:val="en-US" w:eastAsia="zh-CN" w:bidi="ar-SA"/>
    </w:rPr>
  </w:style>
  <w:style w:type="paragraph" w:customStyle="1" w:styleId="306">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rPr>
  </w:style>
  <w:style w:type="paragraph" w:customStyle="1" w:styleId="307">
    <w:name w:val="Char Char Char Char Char Char Char Char Char"/>
    <w:basedOn w:val="1"/>
    <w:qFormat/>
    <w:uiPriority w:val="0"/>
    <w:pPr>
      <w:tabs>
        <w:tab w:val="left" w:pos="360"/>
      </w:tabs>
      <w:ind w:left="360" w:hanging="360" w:hangingChars="200"/>
    </w:pPr>
    <w:rPr>
      <w:sz w:val="24"/>
      <w:szCs w:val="24"/>
    </w:rPr>
  </w:style>
  <w:style w:type="paragraph" w:customStyle="1" w:styleId="308">
    <w:name w:val="Char2"/>
    <w:basedOn w:val="1"/>
    <w:qFormat/>
    <w:uiPriority w:val="0"/>
    <w:pPr>
      <w:spacing w:afterLines="50" w:line="360" w:lineRule="auto"/>
    </w:pPr>
    <w:rPr>
      <w:rFonts w:ascii="Tahoma" w:hAnsi="Tahoma"/>
      <w:sz w:val="24"/>
    </w:rPr>
  </w:style>
  <w:style w:type="paragraph" w:customStyle="1" w:styleId="309">
    <w:name w:val="正文文本 21"/>
    <w:basedOn w:val="1"/>
    <w:qFormat/>
    <w:uiPriority w:val="0"/>
    <w:pPr>
      <w:widowControl/>
      <w:overflowPunct w:val="0"/>
      <w:autoSpaceDE w:val="0"/>
      <w:autoSpaceDN w:val="0"/>
      <w:adjustRightInd w:val="0"/>
      <w:ind w:left="720" w:hanging="720"/>
      <w:textAlignment w:val="baseline"/>
    </w:pPr>
    <w:rPr>
      <w:sz w:val="24"/>
      <w:lang w:val="en-GB"/>
    </w:rPr>
  </w:style>
  <w:style w:type="paragraph" w:customStyle="1" w:styleId="310">
    <w:name w:val="Char Char11"/>
    <w:basedOn w:val="1"/>
    <w:qFormat/>
    <w:uiPriority w:val="0"/>
    <w:rPr>
      <w:rFonts w:ascii="Tahoma" w:hAnsi="Tahoma"/>
      <w:sz w:val="24"/>
    </w:rPr>
  </w:style>
  <w:style w:type="paragraph" w:customStyle="1" w:styleId="311">
    <w:name w:val="Char Char"/>
    <w:basedOn w:val="1"/>
    <w:qFormat/>
    <w:uiPriority w:val="0"/>
    <w:rPr>
      <w:rFonts w:ascii="Tahoma" w:hAnsi="Tahoma" w:cs="Tahoma"/>
      <w:sz w:val="24"/>
    </w:rPr>
  </w:style>
  <w:style w:type="paragraph" w:customStyle="1" w:styleId="312">
    <w:name w:val="a"/>
    <w:basedOn w:val="1"/>
    <w:qFormat/>
    <w:uiPriority w:val="0"/>
    <w:pPr>
      <w:widowControl/>
      <w:spacing w:before="100" w:beforeAutospacing="1" w:after="100" w:afterAutospacing="1"/>
    </w:pPr>
    <w:rPr>
      <w:rFonts w:ascii="宋体" w:hAnsi="宋体"/>
      <w:sz w:val="24"/>
      <w:szCs w:val="24"/>
    </w:rPr>
  </w:style>
  <w:style w:type="paragraph" w:customStyle="1" w:styleId="313">
    <w:name w:val="修订1"/>
    <w:semiHidden/>
    <w:qFormat/>
    <w:uiPriority w:val="0"/>
    <w:rPr>
      <w:rFonts w:ascii="Calibri" w:hAnsi="Calibri" w:eastAsia="宋体" w:cs="Times New Roman"/>
      <w:kern w:val="2"/>
      <w:sz w:val="21"/>
      <w:szCs w:val="24"/>
      <w:lang w:val="en-US" w:eastAsia="zh-CN" w:bidi="ar-SA"/>
    </w:rPr>
  </w:style>
  <w:style w:type="paragraph" w:customStyle="1" w:styleId="314">
    <w:name w:val="文档正文"/>
    <w:basedOn w:val="1"/>
    <w:qFormat/>
    <w:uiPriority w:val="0"/>
    <w:pPr>
      <w:spacing w:line="360" w:lineRule="auto"/>
    </w:pPr>
    <w:rPr>
      <w:rFonts w:ascii="宋体" w:hAnsi="宋体"/>
      <w:b/>
      <w:bCs/>
      <w:szCs w:val="24"/>
    </w:rPr>
  </w:style>
  <w:style w:type="paragraph" w:customStyle="1" w:styleId="315">
    <w:name w:val="Default Text"/>
    <w:basedOn w:val="1"/>
    <w:qFormat/>
    <w:uiPriority w:val="0"/>
    <w:pPr>
      <w:widowControl/>
      <w:jc w:val="left"/>
    </w:pPr>
    <w:rPr>
      <w:sz w:val="24"/>
      <w:lang w:eastAsia="en-US"/>
    </w:rPr>
  </w:style>
  <w:style w:type="paragraph" w:customStyle="1" w:styleId="316">
    <w:name w:val="正文 + 宋体"/>
    <w:basedOn w:val="1"/>
    <w:qFormat/>
    <w:uiPriority w:val="0"/>
    <w:pPr>
      <w:spacing w:line="360" w:lineRule="auto"/>
      <w:ind w:firstLine="420" w:firstLineChars="200"/>
    </w:pPr>
    <w:rPr>
      <w:szCs w:val="24"/>
    </w:rPr>
  </w:style>
  <w:style w:type="paragraph" w:customStyle="1" w:styleId="317">
    <w:name w:val="正文lzq"/>
    <w:basedOn w:val="1"/>
    <w:qFormat/>
    <w:uiPriority w:val="0"/>
    <w:pPr>
      <w:adjustRightInd w:val="0"/>
      <w:spacing w:line="360" w:lineRule="auto"/>
      <w:ind w:firstLine="480"/>
      <w:textAlignment w:val="baseline"/>
    </w:pPr>
    <w:rPr>
      <w:sz w:val="24"/>
    </w:rPr>
  </w:style>
  <w:style w:type="paragraph" w:customStyle="1" w:styleId="318">
    <w:name w:val="xl5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b/>
      <w:bCs/>
      <w:i/>
      <w:iCs/>
    </w:rPr>
  </w:style>
  <w:style w:type="paragraph" w:customStyle="1" w:styleId="319">
    <w:name w:val="Pa5"/>
    <w:basedOn w:val="1"/>
    <w:next w:val="1"/>
    <w:qFormat/>
    <w:uiPriority w:val="0"/>
    <w:pPr>
      <w:autoSpaceDE w:val="0"/>
      <w:autoSpaceDN w:val="0"/>
      <w:adjustRightInd w:val="0"/>
      <w:spacing w:line="241" w:lineRule="atLeast"/>
      <w:jc w:val="left"/>
    </w:pPr>
    <w:rPr>
      <w:rFonts w:ascii="HYDaHeiJ" w:eastAsia="HYDaHeiJ"/>
      <w:sz w:val="24"/>
      <w:szCs w:val="24"/>
    </w:rPr>
  </w:style>
  <w:style w:type="paragraph" w:customStyle="1" w:styleId="320">
    <w:name w:val="正文 + Arial Char"/>
    <w:basedOn w:val="1"/>
    <w:qFormat/>
    <w:uiPriority w:val="0"/>
    <w:pPr>
      <w:widowControl/>
      <w:tabs>
        <w:tab w:val="left" w:pos="315"/>
      </w:tabs>
      <w:spacing w:line="300" w:lineRule="auto"/>
      <w:ind w:left="315" w:hanging="315"/>
    </w:pPr>
    <w:rPr>
      <w:rFonts w:ascii="Arial" w:hAnsi="Arial" w:cs="Arial"/>
      <w:b/>
      <w:color w:val="000000"/>
    </w:rPr>
  </w:style>
  <w:style w:type="paragraph" w:customStyle="1" w:styleId="321">
    <w:name w:val="Char Char Char Char Char"/>
    <w:basedOn w:val="1"/>
    <w:qFormat/>
    <w:uiPriority w:val="0"/>
    <w:rPr>
      <w:rFonts w:ascii="Tahoma" w:hAnsi="Tahoma"/>
      <w:sz w:val="24"/>
    </w:rPr>
  </w:style>
  <w:style w:type="paragraph" w:customStyle="1" w:styleId="322">
    <w:name w:val="方案正文"/>
    <w:basedOn w:val="1"/>
    <w:qFormat/>
    <w:uiPriority w:val="0"/>
    <w:pPr>
      <w:spacing w:before="156" w:line="360" w:lineRule="auto"/>
      <w:ind w:firstLine="359" w:firstLineChars="171"/>
      <w:jc w:val="left"/>
    </w:pPr>
    <w:rPr>
      <w:rFonts w:ascii="Arial" w:hAnsi="Arial"/>
      <w:sz w:val="24"/>
      <w:szCs w:val="21"/>
    </w:rPr>
  </w:style>
  <w:style w:type="paragraph" w:customStyle="1" w:styleId="323">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b/>
      <w:bCs/>
      <w:i/>
      <w:iCs/>
    </w:rPr>
  </w:style>
  <w:style w:type="paragraph" w:customStyle="1" w:styleId="324">
    <w:name w:val="Char Char3"/>
    <w:basedOn w:val="1"/>
    <w:qFormat/>
    <w:uiPriority w:val="0"/>
    <w:rPr>
      <w:rFonts w:ascii="Tahoma" w:hAnsi="Tahoma"/>
      <w:sz w:val="24"/>
    </w:rPr>
  </w:style>
  <w:style w:type="paragraph" w:customStyle="1" w:styleId="325">
    <w:name w:val="公文标题 2"/>
    <w:basedOn w:val="1"/>
    <w:next w:val="296"/>
    <w:qFormat/>
    <w:uiPriority w:val="0"/>
    <w:pPr>
      <w:outlineLvl w:val="1"/>
    </w:pPr>
    <w:rPr>
      <w:rFonts w:ascii="仿宋_GB2312" w:hAnsi="宋体" w:eastAsia="仿宋_GB2312"/>
      <w:kern w:val="28"/>
      <w:sz w:val="28"/>
      <w:szCs w:val="24"/>
    </w:rPr>
  </w:style>
  <w:style w:type="paragraph" w:customStyle="1" w:styleId="326">
    <w:name w:val="Char1 Char Char Char"/>
    <w:basedOn w:val="1"/>
    <w:qFormat/>
    <w:uiPriority w:val="0"/>
    <w:rPr>
      <w:rFonts w:ascii="Tahoma" w:hAnsi="Tahoma" w:cs="Tahoma"/>
      <w:sz w:val="24"/>
    </w:rPr>
  </w:style>
  <w:style w:type="paragraph" w:customStyle="1" w:styleId="327">
    <w:name w:val="表格内容"/>
    <w:basedOn w:val="1"/>
    <w:qFormat/>
    <w:uiPriority w:val="0"/>
    <w:pPr>
      <w:widowControl/>
      <w:autoSpaceDE w:val="0"/>
      <w:autoSpaceDN w:val="0"/>
      <w:adjustRightInd w:val="0"/>
      <w:spacing w:before="60" w:line="300" w:lineRule="auto"/>
      <w:jc w:val="center"/>
      <w:textAlignment w:val="bottom"/>
    </w:pPr>
  </w:style>
  <w:style w:type="paragraph" w:customStyle="1" w:styleId="328">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rPr>
  </w:style>
  <w:style w:type="paragraph" w:customStyle="1" w:styleId="329">
    <w:name w:val="样式 标题 3H3sect1.2.3BOD 0Heading 3 - oldh3l3CTLevel 3 Head..."/>
    <w:basedOn w:val="4"/>
    <w:qFormat/>
    <w:uiPriority w:val="0"/>
    <w:pPr>
      <w:spacing w:beforeLines="50" w:afterLines="50"/>
      <w:jc w:val="left"/>
    </w:pPr>
    <w:rPr>
      <w:rFonts w:cs="宋体"/>
      <w:bCs/>
      <w:sz w:val="30"/>
    </w:rPr>
  </w:style>
  <w:style w:type="paragraph" w:customStyle="1" w:styleId="330">
    <w:name w:val="Body Text 21"/>
    <w:basedOn w:val="1"/>
    <w:qFormat/>
    <w:uiPriority w:val="0"/>
    <w:pPr>
      <w:widowControl/>
      <w:overflowPunct w:val="0"/>
      <w:autoSpaceDE w:val="0"/>
      <w:autoSpaceDN w:val="0"/>
      <w:adjustRightInd w:val="0"/>
      <w:ind w:left="720" w:hanging="720"/>
      <w:textAlignment w:val="baseline"/>
    </w:pPr>
    <w:rPr>
      <w:sz w:val="24"/>
      <w:lang w:val="en-GB"/>
    </w:rPr>
  </w:style>
  <w:style w:type="paragraph" w:customStyle="1" w:styleId="331">
    <w:name w:val="正文文本 211"/>
    <w:basedOn w:val="1"/>
    <w:qFormat/>
    <w:uiPriority w:val="0"/>
    <w:pPr>
      <w:widowControl/>
      <w:overflowPunct w:val="0"/>
      <w:autoSpaceDE w:val="0"/>
      <w:autoSpaceDN w:val="0"/>
      <w:adjustRightInd w:val="0"/>
      <w:ind w:left="720" w:hanging="720"/>
      <w:textAlignment w:val="baseline"/>
    </w:pPr>
    <w:rPr>
      <w:sz w:val="24"/>
      <w:lang w:val="en-GB"/>
    </w:rPr>
  </w:style>
  <w:style w:type="paragraph" w:customStyle="1" w:styleId="332">
    <w:name w:val="xl5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rPr>
  </w:style>
  <w:style w:type="paragraph" w:customStyle="1" w:styleId="333">
    <w:name w:val="一级标题"/>
    <w:basedOn w:val="1"/>
    <w:qFormat/>
    <w:uiPriority w:val="0"/>
    <w:pPr>
      <w:tabs>
        <w:tab w:val="left" w:pos="903"/>
      </w:tabs>
      <w:spacing w:line="360" w:lineRule="auto"/>
      <w:ind w:left="900" w:hanging="420"/>
    </w:pPr>
    <w:rPr>
      <w:rFonts w:ascii="Arial" w:hAnsi="Arial" w:cs="Arial"/>
      <w:sz w:val="24"/>
    </w:rPr>
  </w:style>
  <w:style w:type="paragraph" w:customStyle="1" w:styleId="334">
    <w:name w:val="样式 段后: 0.25 行"/>
    <w:basedOn w:val="1"/>
    <w:qFormat/>
    <w:uiPriority w:val="0"/>
    <w:pPr>
      <w:widowControl/>
      <w:spacing w:afterLines="25" w:line="300" w:lineRule="auto"/>
      <w:ind w:firstLine="420" w:firstLineChars="200"/>
      <w:jc w:val="left"/>
    </w:pPr>
    <w:rPr>
      <w:rFonts w:ascii="Arial" w:hAnsi="Arial"/>
      <w:sz w:val="22"/>
      <w:lang w:eastAsia="en-US" w:bidi="en-US"/>
    </w:rPr>
  </w:style>
  <w:style w:type="paragraph" w:customStyle="1" w:styleId="335">
    <w:name w:val="表头_5"/>
    <w:basedOn w:val="1"/>
    <w:qFormat/>
    <w:uiPriority w:val="0"/>
    <w:pPr>
      <w:adjustRightInd w:val="0"/>
      <w:spacing w:line="360" w:lineRule="auto"/>
      <w:textAlignment w:val="baseline"/>
    </w:pPr>
    <w:rPr>
      <w:b/>
      <w:bCs/>
      <w:sz w:val="28"/>
      <w:szCs w:val="21"/>
    </w:rPr>
  </w:style>
  <w:style w:type="paragraph" w:customStyle="1" w:styleId="336">
    <w:name w:val="Char1 Char Char Char1"/>
    <w:basedOn w:val="1"/>
    <w:qFormat/>
    <w:uiPriority w:val="0"/>
    <w:rPr>
      <w:rFonts w:ascii="Tahoma" w:hAnsi="Tahoma"/>
      <w:sz w:val="24"/>
    </w:rPr>
  </w:style>
  <w:style w:type="paragraph" w:customStyle="1" w:styleId="337">
    <w:name w:val="样式3"/>
    <w:basedOn w:val="1"/>
    <w:next w:val="1"/>
    <w:qFormat/>
    <w:uiPriority w:val="0"/>
    <w:pPr>
      <w:spacing w:line="360" w:lineRule="auto"/>
    </w:pPr>
  </w:style>
  <w:style w:type="paragraph" w:customStyle="1" w:styleId="338">
    <w:name w:val="项目符号，二级"/>
    <w:basedOn w:val="206"/>
    <w:next w:val="206"/>
    <w:qFormat/>
    <w:uiPriority w:val="0"/>
    <w:pPr>
      <w:numPr>
        <w:ilvl w:val="0"/>
        <w:numId w:val="4"/>
      </w:numPr>
      <w:tabs>
        <w:tab w:val="left" w:pos="1211"/>
        <w:tab w:val="left" w:pos="1337"/>
      </w:tabs>
      <w:ind w:left="1337" w:right="-27" w:firstLine="480"/>
    </w:pPr>
    <w:rPr>
      <w:bCs w:val="0"/>
      <w:color w:val="000000"/>
      <w:sz w:val="24"/>
      <w:szCs w:val="24"/>
    </w:rPr>
  </w:style>
  <w:style w:type="paragraph" w:customStyle="1" w:styleId="339">
    <w:name w:val="小四 段落 宋体 Char Char Char Char"/>
    <w:basedOn w:val="1"/>
    <w:qFormat/>
    <w:uiPriority w:val="0"/>
    <w:pPr>
      <w:spacing w:line="360" w:lineRule="auto"/>
      <w:ind w:right="-33" w:firstLine="480" w:firstLineChars="200"/>
      <w:jc w:val="left"/>
    </w:pPr>
    <w:rPr>
      <w:sz w:val="24"/>
      <w:szCs w:val="24"/>
    </w:rPr>
  </w:style>
  <w:style w:type="paragraph" w:customStyle="1" w:styleId="340">
    <w:name w:val="Char Char1 Char Char Char Char"/>
    <w:basedOn w:val="18"/>
    <w:qFormat/>
    <w:uiPriority w:val="0"/>
    <w:pPr>
      <w:adjustRightInd w:val="0"/>
      <w:spacing w:line="436" w:lineRule="exact"/>
      <w:ind w:left="357"/>
      <w:jc w:val="left"/>
      <w:outlineLvl w:val="3"/>
    </w:pPr>
    <w:rPr>
      <w:rFonts w:ascii="Tahoma" w:hAnsi="Tahoma" w:cs="Tahoma"/>
      <w:b/>
      <w:kern w:val="0"/>
      <w:sz w:val="24"/>
      <w:szCs w:val="24"/>
    </w:rPr>
  </w:style>
  <w:style w:type="paragraph" w:customStyle="1" w:styleId="341">
    <w:name w:val="表格内文字"/>
    <w:basedOn w:val="1"/>
    <w:qFormat/>
    <w:uiPriority w:val="0"/>
    <w:pPr>
      <w:spacing w:line="300" w:lineRule="atLeast"/>
    </w:pPr>
    <w:rPr>
      <w:sz w:val="18"/>
      <w:szCs w:val="24"/>
    </w:rPr>
  </w:style>
  <w:style w:type="paragraph" w:customStyle="1" w:styleId="342">
    <w:name w:val="章标题"/>
    <w:next w:val="202"/>
    <w:qFormat/>
    <w:uiPriority w:val="0"/>
    <w:pPr>
      <w:spacing w:beforeLines="50" w:afterLines="50"/>
      <w:jc w:val="both"/>
      <w:outlineLvl w:val="1"/>
    </w:pPr>
    <w:rPr>
      <w:rFonts w:ascii="Calibri" w:hAnsi="Calibri" w:eastAsia="黑体" w:cs="Times New Roman"/>
      <w:sz w:val="21"/>
      <w:lang w:val="en-US" w:eastAsia="zh-CN" w:bidi="ar-SA"/>
    </w:rPr>
  </w:style>
  <w:style w:type="paragraph" w:customStyle="1" w:styleId="343">
    <w:name w:val="xl63"/>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b/>
      <w:bCs/>
    </w:rPr>
  </w:style>
  <w:style w:type="paragraph" w:customStyle="1" w:styleId="344">
    <w:name w:val="7"/>
    <w:basedOn w:val="1"/>
    <w:next w:val="53"/>
    <w:qFormat/>
    <w:uiPriority w:val="0"/>
    <w:pPr>
      <w:widowControl/>
      <w:spacing w:before="100" w:beforeAutospacing="1" w:after="100" w:afterAutospacing="1"/>
      <w:jc w:val="left"/>
    </w:pPr>
    <w:rPr>
      <w:rFonts w:ascii="宋体" w:hAnsi="宋体"/>
      <w:sz w:val="24"/>
    </w:rPr>
  </w:style>
  <w:style w:type="paragraph" w:customStyle="1" w:styleId="345">
    <w:name w:val="font12"/>
    <w:basedOn w:val="1"/>
    <w:qFormat/>
    <w:uiPriority w:val="0"/>
    <w:pPr>
      <w:widowControl/>
      <w:spacing w:before="100" w:beforeAutospacing="1" w:after="100" w:afterAutospacing="1"/>
      <w:jc w:val="left"/>
    </w:pPr>
    <w:rPr>
      <w:rFonts w:ascii="宋体" w:hAnsi="宋体"/>
      <w:sz w:val="36"/>
      <w:szCs w:val="36"/>
    </w:rPr>
  </w:style>
  <w:style w:type="paragraph" w:customStyle="1" w:styleId="346">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rPr>
  </w:style>
  <w:style w:type="paragraph" w:customStyle="1" w:styleId="347">
    <w:name w:val="正文11"/>
    <w:basedOn w:val="1"/>
    <w:next w:val="1"/>
    <w:qFormat/>
    <w:uiPriority w:val="0"/>
    <w:pPr>
      <w:spacing w:before="156" w:line="360" w:lineRule="auto"/>
      <w:ind w:firstLine="510" w:firstLineChars="200"/>
    </w:pPr>
    <w:rPr>
      <w:sz w:val="24"/>
    </w:rPr>
  </w:style>
  <w:style w:type="paragraph" w:customStyle="1" w:styleId="348">
    <w:name w:val="小四 段落 宋体 Char Char Char"/>
    <w:basedOn w:val="16"/>
    <w:qFormat/>
    <w:uiPriority w:val="0"/>
    <w:pPr>
      <w:tabs>
        <w:tab w:val="clear" w:pos="2952"/>
      </w:tabs>
      <w:spacing w:line="360" w:lineRule="auto"/>
      <w:ind w:left="0" w:right="-33" w:firstLine="545" w:firstLineChars="227"/>
      <w:jc w:val="left"/>
    </w:pPr>
    <w:rPr>
      <w:sz w:val="24"/>
    </w:rPr>
  </w:style>
  <w:style w:type="paragraph" w:customStyle="1" w:styleId="349">
    <w:name w:val="font11"/>
    <w:basedOn w:val="1"/>
    <w:qFormat/>
    <w:uiPriority w:val="0"/>
    <w:pPr>
      <w:widowControl/>
      <w:spacing w:before="100" w:beforeAutospacing="1" w:after="100" w:afterAutospacing="1"/>
      <w:jc w:val="left"/>
    </w:pPr>
    <w:rPr>
      <w:b/>
      <w:bCs/>
      <w:sz w:val="18"/>
      <w:szCs w:val="18"/>
    </w:rPr>
  </w:style>
  <w:style w:type="paragraph" w:customStyle="1" w:styleId="350">
    <w:name w:val="Test2"/>
    <w:basedOn w:val="3"/>
    <w:qFormat/>
    <w:uiPriority w:val="0"/>
    <w:pPr>
      <w:widowControl/>
      <w:adjustRightInd w:val="0"/>
      <w:snapToGrid w:val="0"/>
      <w:spacing w:beforeLines="50" w:afterLines="50" w:line="480" w:lineRule="exact"/>
      <w:jc w:val="center"/>
    </w:pPr>
    <w:rPr>
      <w:rFonts w:ascii="黑体" w:hAnsi="Arial" w:eastAsia="黑体"/>
      <w:bCs/>
      <w:snapToGrid w:val="0"/>
      <w:kern w:val="0"/>
      <w:sz w:val="24"/>
    </w:rPr>
  </w:style>
  <w:style w:type="paragraph" w:customStyle="1" w:styleId="351">
    <w:name w:val="丁华标题1"/>
    <w:basedOn w:val="2"/>
    <w:next w:val="282"/>
    <w:qFormat/>
    <w:uiPriority w:val="0"/>
    <w:pPr>
      <w:keepLines/>
      <w:tabs>
        <w:tab w:val="left" w:pos="567"/>
        <w:tab w:val="clear" w:pos="5670"/>
      </w:tabs>
      <w:spacing w:beforeLines="0" w:afterLines="0" w:line="578" w:lineRule="auto"/>
      <w:ind w:left="567" w:firstLine="0" w:firstLineChars="0"/>
      <w:jc w:val="left"/>
    </w:pPr>
    <w:rPr>
      <w:rFonts w:ascii="Times New Roman"/>
      <w:b w:val="0"/>
      <w:sz w:val="32"/>
      <w:szCs w:val="20"/>
    </w:rPr>
  </w:style>
  <w:style w:type="paragraph" w:customStyle="1" w:styleId="352">
    <w:name w:val="Char Char Char Char Char Char Char Char Char Char Char1"/>
    <w:basedOn w:val="1"/>
    <w:qFormat/>
    <w:uiPriority w:val="0"/>
    <w:rPr>
      <w:rFonts w:ascii="Tahoma" w:hAnsi="Tahoma" w:cs="Tahoma"/>
      <w:sz w:val="24"/>
    </w:rPr>
  </w:style>
  <w:style w:type="paragraph" w:customStyle="1" w:styleId="353">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354">
    <w:name w:val="font6"/>
    <w:basedOn w:val="1"/>
    <w:qFormat/>
    <w:uiPriority w:val="0"/>
    <w:pPr>
      <w:widowControl/>
      <w:spacing w:before="100" w:beforeAutospacing="1" w:after="100" w:afterAutospacing="1"/>
      <w:jc w:val="left"/>
    </w:pPr>
    <w:rPr>
      <w:rFonts w:ascii="宋体" w:hAnsi="宋体"/>
      <w:b/>
      <w:bCs/>
    </w:rPr>
  </w:style>
  <w:style w:type="paragraph" w:customStyle="1" w:styleId="355">
    <w:name w:val="小四 段落 宋体 Char Char"/>
    <w:basedOn w:val="1"/>
    <w:qFormat/>
    <w:uiPriority w:val="0"/>
    <w:pPr>
      <w:spacing w:line="360" w:lineRule="auto"/>
      <w:ind w:firstLine="480" w:firstLineChars="200"/>
    </w:pPr>
    <w:rPr>
      <w:rFonts w:ascii="宋体" w:hAnsi="宋体"/>
      <w:sz w:val="24"/>
      <w:szCs w:val="24"/>
    </w:rPr>
  </w:style>
  <w:style w:type="paragraph" w:customStyle="1" w:styleId="356">
    <w:name w:val="Char Char Char Char Char Char Char Char Char Char Char1 Char Char Char1"/>
    <w:basedOn w:val="1"/>
    <w:semiHidden/>
    <w:qFormat/>
    <w:uiPriority w:val="0"/>
    <w:pPr>
      <w:ind w:firstLine="200" w:firstLineChars="200"/>
      <w:jc w:val="left"/>
    </w:pPr>
    <w:rPr>
      <w:rFonts w:ascii="Tahoma" w:hAnsi="Tahoma"/>
      <w:sz w:val="24"/>
      <w:szCs w:val="24"/>
    </w:rPr>
  </w:style>
  <w:style w:type="paragraph" w:customStyle="1" w:styleId="357">
    <w:name w:val="Char Char Char Char Char Char Char Char Char1"/>
    <w:basedOn w:val="1"/>
    <w:qFormat/>
    <w:uiPriority w:val="0"/>
    <w:pPr>
      <w:tabs>
        <w:tab w:val="left" w:pos="360"/>
      </w:tabs>
      <w:ind w:left="200" w:hanging="200" w:hangingChars="200"/>
    </w:pPr>
    <w:rPr>
      <w:sz w:val="24"/>
      <w:szCs w:val="24"/>
    </w:rPr>
  </w:style>
  <w:style w:type="paragraph" w:customStyle="1" w:styleId="358">
    <w:name w:val="马刚标题3"/>
    <w:basedOn w:val="1"/>
    <w:next w:val="1"/>
    <w:qFormat/>
    <w:uiPriority w:val="0"/>
    <w:pPr>
      <w:keepNext/>
      <w:keepLines/>
      <w:tabs>
        <w:tab w:val="left" w:pos="567"/>
        <w:tab w:val="left" w:pos="735"/>
      </w:tabs>
      <w:spacing w:before="120" w:after="60" w:line="413" w:lineRule="auto"/>
      <w:ind w:left="567" w:hanging="567"/>
      <w:jc w:val="left"/>
      <w:outlineLvl w:val="2"/>
    </w:pPr>
    <w:rPr>
      <w:rFonts w:ascii="黑体" w:hAnsi="Arial" w:eastAsia="黑体"/>
      <w:b/>
      <w:bCs/>
      <w:sz w:val="24"/>
    </w:rPr>
  </w:style>
  <w:style w:type="paragraph" w:customStyle="1" w:styleId="359">
    <w:name w:val="xl4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b/>
      <w:bCs/>
    </w:rPr>
  </w:style>
  <w:style w:type="paragraph" w:customStyle="1" w:styleId="360">
    <w:name w:val="标题 4宋体"/>
    <w:basedOn w:val="5"/>
    <w:qFormat/>
    <w:uiPriority w:val="0"/>
    <w:pPr>
      <w:keepLines w:val="0"/>
      <w:autoSpaceDE w:val="0"/>
      <w:autoSpaceDN w:val="0"/>
      <w:adjustRightInd w:val="0"/>
      <w:spacing w:before="0" w:after="0" w:line="360" w:lineRule="auto"/>
      <w:jc w:val="left"/>
    </w:pPr>
    <w:rPr>
      <w:rFonts w:ascii="宋体" w:hAnsi="宋体" w:eastAsia="宋体"/>
      <w:bCs/>
      <w:color w:val="000000"/>
      <w:kern w:val="0"/>
      <w:sz w:val="24"/>
    </w:rPr>
  </w:style>
  <w:style w:type="paragraph" w:customStyle="1" w:styleId="361">
    <w:name w:val="正文 居中"/>
    <w:basedOn w:val="1"/>
    <w:qFormat/>
    <w:uiPriority w:val="0"/>
    <w:pPr>
      <w:spacing w:line="360" w:lineRule="auto"/>
      <w:jc w:val="center"/>
    </w:pPr>
    <w:rPr>
      <w:sz w:val="24"/>
    </w:rPr>
  </w:style>
  <w:style w:type="paragraph" w:customStyle="1" w:styleId="362">
    <w:name w:val="马刚标题1"/>
    <w:basedOn w:val="2"/>
    <w:next w:val="1"/>
    <w:qFormat/>
    <w:uiPriority w:val="0"/>
    <w:pPr>
      <w:keepLines/>
      <w:tabs>
        <w:tab w:val="left" w:pos="315"/>
        <w:tab w:val="left" w:pos="567"/>
        <w:tab w:val="clear" w:pos="1440"/>
        <w:tab w:val="clear" w:pos="5670"/>
      </w:tabs>
      <w:spacing w:beforeLines="0" w:afterLines="0" w:line="576" w:lineRule="auto"/>
      <w:ind w:left="567" w:hanging="567" w:firstLineChars="0"/>
      <w:jc w:val="left"/>
    </w:pPr>
    <w:rPr>
      <w:rFonts w:ascii="Times New Roman"/>
      <w:b w:val="0"/>
      <w:sz w:val="32"/>
      <w:szCs w:val="20"/>
    </w:rPr>
  </w:style>
  <w:style w:type="paragraph" w:customStyle="1" w:styleId="363">
    <w:name w:val="font10"/>
    <w:basedOn w:val="1"/>
    <w:qFormat/>
    <w:uiPriority w:val="0"/>
    <w:pPr>
      <w:widowControl/>
      <w:spacing w:before="100" w:beforeAutospacing="1" w:after="100" w:afterAutospacing="1"/>
      <w:jc w:val="left"/>
    </w:pPr>
    <w:rPr>
      <w:rFonts w:ascii="楷体_GB2312" w:hAnsi="宋体" w:eastAsia="楷体_GB2312"/>
      <w:b/>
      <w:bCs/>
      <w:sz w:val="18"/>
      <w:szCs w:val="18"/>
    </w:rPr>
  </w:style>
  <w:style w:type="paragraph" w:customStyle="1" w:styleId="364">
    <w:name w:val="xl61"/>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i/>
      <w:iCs/>
    </w:rPr>
  </w:style>
  <w:style w:type="paragraph" w:customStyle="1" w:styleId="365">
    <w:name w:val="样式 样式 标题 3H3sect1.2.3BOD 0Heading 3 - oldh3l3CTLevel 3 Head... +..."/>
    <w:basedOn w:val="1"/>
    <w:qFormat/>
    <w:uiPriority w:val="0"/>
    <w:pPr>
      <w:keepNext/>
      <w:keepLines/>
      <w:spacing w:beforeLines="50" w:afterLines="50"/>
      <w:jc w:val="left"/>
      <w:outlineLvl w:val="2"/>
    </w:pPr>
    <w:rPr>
      <w:b/>
      <w:bCs/>
      <w:sz w:val="24"/>
    </w:rPr>
  </w:style>
  <w:style w:type="paragraph" w:customStyle="1" w:styleId="366">
    <w:name w:val="大标题"/>
    <w:basedOn w:val="1"/>
    <w:next w:val="1"/>
    <w:qFormat/>
    <w:uiPriority w:val="0"/>
    <w:pPr>
      <w:pageBreakBefore/>
      <w:tabs>
        <w:tab w:val="left" w:pos="420"/>
      </w:tabs>
      <w:spacing w:line="360" w:lineRule="auto"/>
      <w:ind w:hanging="420" w:firstLineChars="200"/>
      <w:outlineLvl w:val="0"/>
    </w:pPr>
    <w:rPr>
      <w:b/>
      <w:iCs/>
      <w:sz w:val="44"/>
      <w:szCs w:val="24"/>
    </w:rPr>
  </w:style>
  <w:style w:type="paragraph" w:customStyle="1" w:styleId="367">
    <w:name w:val="xl45"/>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b/>
      <w:bCs/>
    </w:rPr>
  </w:style>
  <w:style w:type="paragraph" w:customStyle="1" w:styleId="368">
    <w:name w:val="标题3"/>
    <w:basedOn w:val="4"/>
    <w:qFormat/>
    <w:uiPriority w:val="0"/>
    <w:pPr>
      <w:keepNext w:val="0"/>
      <w:keepLines w:val="0"/>
      <w:spacing w:line="360" w:lineRule="auto"/>
    </w:pPr>
    <w:rPr>
      <w:rFonts w:eastAsia="仿宋_GB2312"/>
      <w:b w:val="0"/>
      <w:bCs/>
      <w:kern w:val="0"/>
      <w:sz w:val="30"/>
      <w:szCs w:val="32"/>
    </w:rPr>
  </w:style>
  <w:style w:type="paragraph" w:customStyle="1" w:styleId="369">
    <w:name w:val="Char Char1 Char Char Char Char Char Char Char"/>
    <w:basedOn w:val="1"/>
    <w:qFormat/>
    <w:uiPriority w:val="0"/>
    <w:rPr>
      <w:rFonts w:ascii="Tahoma" w:hAnsi="Tahoma" w:cs="Tahoma"/>
      <w:sz w:val="24"/>
    </w:rPr>
  </w:style>
  <w:style w:type="paragraph" w:customStyle="1" w:styleId="370">
    <w:name w:val="Char Char Char Char1"/>
    <w:basedOn w:val="18"/>
    <w:qFormat/>
    <w:uiPriority w:val="0"/>
    <w:pPr>
      <w:adjustRightInd w:val="0"/>
      <w:snapToGrid w:val="0"/>
      <w:spacing w:line="360" w:lineRule="auto"/>
    </w:pPr>
    <w:rPr>
      <w:rFonts w:ascii="Tahoma" w:hAnsi="Tahoma"/>
      <w:sz w:val="24"/>
      <w:szCs w:val="24"/>
    </w:rPr>
  </w:style>
  <w:style w:type="paragraph" w:customStyle="1" w:styleId="371">
    <w:name w:val="Char Char Char Char Char Char Char1"/>
    <w:basedOn w:val="1"/>
    <w:qFormat/>
    <w:uiPriority w:val="0"/>
    <w:pPr>
      <w:jc w:val="left"/>
    </w:pPr>
    <w:rPr>
      <w:rFonts w:ascii="Tahoma" w:hAnsi="Tahoma"/>
      <w:sz w:val="24"/>
    </w:rPr>
  </w:style>
  <w:style w:type="paragraph" w:customStyle="1" w:styleId="372">
    <w:name w:val="retrait3"/>
    <w:basedOn w:val="1"/>
    <w:qFormat/>
    <w:uiPriority w:val="0"/>
    <w:pPr>
      <w:widowControl/>
      <w:spacing w:before="20" w:after="20"/>
      <w:ind w:left="851"/>
      <w:jc w:val="left"/>
    </w:pPr>
    <w:rPr>
      <w:rFonts w:ascii="Arial" w:hAnsi="Arial"/>
      <w:sz w:val="24"/>
      <w:lang w:val="en-GB"/>
    </w:rPr>
  </w:style>
  <w:style w:type="paragraph" w:customStyle="1" w:styleId="373">
    <w:name w:val="段落"/>
    <w:basedOn w:val="1"/>
    <w:qFormat/>
    <w:uiPriority w:val="0"/>
    <w:pPr>
      <w:spacing w:line="460" w:lineRule="exact"/>
      <w:ind w:firstLine="480"/>
    </w:pPr>
    <w:rPr>
      <w:sz w:val="24"/>
    </w:rPr>
  </w:style>
  <w:style w:type="paragraph" w:customStyle="1" w:styleId="374">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rPr>
  </w:style>
  <w:style w:type="paragraph" w:customStyle="1" w:styleId="375">
    <w:name w:val="标题4，章节第四层"/>
    <w:basedOn w:val="1"/>
    <w:next w:val="1"/>
    <w:qFormat/>
    <w:uiPriority w:val="0"/>
    <w:pPr>
      <w:tabs>
        <w:tab w:val="left" w:pos="0"/>
      </w:tabs>
      <w:spacing w:line="360" w:lineRule="auto"/>
      <w:outlineLvl w:val="3"/>
    </w:pPr>
    <w:rPr>
      <w:rFonts w:ascii="宋体" w:hAnsi="宋体"/>
      <w:b/>
      <w:sz w:val="24"/>
      <w:szCs w:val="24"/>
    </w:rPr>
  </w:style>
  <w:style w:type="paragraph" w:customStyle="1" w:styleId="376">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sz w:val="24"/>
      <w:szCs w:val="24"/>
    </w:rPr>
  </w:style>
  <w:style w:type="paragraph" w:customStyle="1" w:styleId="377">
    <w:name w:val="Char Char Char Char Char Char Char Char Char Char Char Char Char1"/>
    <w:basedOn w:val="1"/>
    <w:qFormat/>
    <w:uiPriority w:val="0"/>
    <w:pPr>
      <w:widowControl/>
      <w:spacing w:after="160" w:line="240" w:lineRule="exact"/>
      <w:jc w:val="left"/>
    </w:pPr>
    <w:rPr>
      <w:szCs w:val="24"/>
    </w:rPr>
  </w:style>
  <w:style w:type="paragraph" w:customStyle="1" w:styleId="378">
    <w:name w:val="列表内容"/>
    <w:basedOn w:val="1"/>
    <w:next w:val="1"/>
    <w:qFormat/>
    <w:uiPriority w:val="0"/>
    <w:pPr>
      <w:widowControl/>
      <w:tabs>
        <w:tab w:val="left" w:pos="840"/>
      </w:tabs>
      <w:ind w:left="840" w:hanging="420"/>
      <w:jc w:val="left"/>
    </w:pPr>
    <w:rPr>
      <w:sz w:val="18"/>
      <w:szCs w:val="24"/>
    </w:rPr>
  </w:style>
  <w:style w:type="paragraph" w:customStyle="1" w:styleId="379">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i/>
      <w:iCs/>
    </w:rPr>
  </w:style>
  <w:style w:type="paragraph" w:customStyle="1" w:styleId="380">
    <w:name w:val="小四 段落 宋体 Char"/>
    <w:basedOn w:val="16"/>
    <w:qFormat/>
    <w:uiPriority w:val="0"/>
    <w:pPr>
      <w:tabs>
        <w:tab w:val="clear" w:pos="2952"/>
      </w:tabs>
      <w:ind w:left="0" w:right="-33" w:firstLine="600" w:firstLineChars="200"/>
      <w:jc w:val="left"/>
    </w:pPr>
    <w:rPr>
      <w:rFonts w:ascii="仿宋_GB2312" w:eastAsia="仿宋_GB2312"/>
      <w:sz w:val="30"/>
      <w:szCs w:val="30"/>
    </w:rPr>
  </w:style>
  <w:style w:type="paragraph" w:customStyle="1" w:styleId="381">
    <w:name w:val="表格文字"/>
    <w:basedOn w:val="1"/>
    <w:qFormat/>
    <w:uiPriority w:val="0"/>
    <w:pPr>
      <w:adjustRightInd w:val="0"/>
      <w:spacing w:line="360" w:lineRule="auto"/>
      <w:ind w:firstLine="200" w:firstLineChars="200"/>
      <w:jc w:val="left"/>
      <w:textAlignment w:val="baseline"/>
    </w:pPr>
    <w:rPr>
      <w:rFonts w:ascii="Arial" w:hAnsi="Arial"/>
      <w:sz w:val="24"/>
    </w:rPr>
  </w:style>
  <w:style w:type="paragraph" w:customStyle="1" w:styleId="382">
    <w:name w:val="Pa6"/>
    <w:basedOn w:val="1"/>
    <w:next w:val="1"/>
    <w:qFormat/>
    <w:uiPriority w:val="0"/>
    <w:pPr>
      <w:autoSpaceDE w:val="0"/>
      <w:autoSpaceDN w:val="0"/>
      <w:adjustRightInd w:val="0"/>
      <w:spacing w:line="241" w:lineRule="atLeast"/>
      <w:jc w:val="left"/>
    </w:pPr>
    <w:rPr>
      <w:rFonts w:ascii="HYDaHeiJ" w:eastAsia="HYDaHeiJ"/>
      <w:sz w:val="24"/>
      <w:szCs w:val="24"/>
    </w:rPr>
  </w:style>
  <w:style w:type="paragraph" w:customStyle="1" w:styleId="383">
    <w:name w:val="列出段落2"/>
    <w:basedOn w:val="1"/>
    <w:qFormat/>
    <w:uiPriority w:val="0"/>
    <w:pPr>
      <w:widowControl/>
      <w:ind w:left="720"/>
      <w:jc w:val="left"/>
    </w:pPr>
    <w:rPr>
      <w:rFonts w:ascii="Arial" w:hAnsi="Arial" w:eastAsia="黑体" w:cs="Arial"/>
      <w:sz w:val="24"/>
      <w:szCs w:val="24"/>
      <w:lang w:eastAsia="en-US"/>
    </w:rPr>
  </w:style>
  <w:style w:type="paragraph" w:customStyle="1" w:styleId="384">
    <w:name w:val="段 Char"/>
    <w:qFormat/>
    <w:uiPriority w:val="0"/>
    <w:pPr>
      <w:autoSpaceDE w:val="0"/>
      <w:autoSpaceDN w:val="0"/>
      <w:ind w:firstLine="200" w:firstLineChars="200"/>
      <w:jc w:val="both"/>
    </w:pPr>
    <w:rPr>
      <w:rFonts w:ascii="宋体" w:hAnsi="Calibri" w:eastAsia="宋体" w:cs="Times New Roman"/>
      <w:sz w:val="21"/>
      <w:lang w:val="en-US" w:eastAsia="zh-CN" w:bidi="ar-SA"/>
    </w:rPr>
  </w:style>
  <w:style w:type="paragraph" w:customStyle="1" w:styleId="385">
    <w:name w:val="表蕊"/>
    <w:basedOn w:val="1"/>
    <w:qFormat/>
    <w:uiPriority w:val="0"/>
    <w:pPr>
      <w:adjustRightInd w:val="0"/>
      <w:spacing w:line="320" w:lineRule="atLeast"/>
      <w:jc w:val="left"/>
      <w:textAlignment w:val="baseline"/>
    </w:pPr>
    <w:rPr>
      <w:rFonts w:eastAsia="楷体_GB2312"/>
      <w:spacing w:val="-10"/>
    </w:rPr>
  </w:style>
  <w:style w:type="paragraph" w:customStyle="1" w:styleId="386">
    <w:name w:val="font14"/>
    <w:basedOn w:val="1"/>
    <w:qFormat/>
    <w:uiPriority w:val="0"/>
    <w:pPr>
      <w:widowControl/>
      <w:spacing w:before="100" w:beforeAutospacing="1" w:after="100" w:afterAutospacing="1"/>
      <w:jc w:val="left"/>
    </w:pPr>
    <w:rPr>
      <w:sz w:val="36"/>
      <w:szCs w:val="36"/>
    </w:rPr>
  </w:style>
  <w:style w:type="paragraph" w:customStyle="1" w:styleId="387">
    <w:name w:val="正文2"/>
    <w:basedOn w:val="1"/>
    <w:qFormat/>
    <w:uiPriority w:val="0"/>
    <w:pPr>
      <w:spacing w:before="156" w:line="360" w:lineRule="auto"/>
      <w:ind w:firstLine="510" w:firstLineChars="200"/>
    </w:pPr>
    <w:rPr>
      <w:sz w:val="24"/>
    </w:rPr>
  </w:style>
  <w:style w:type="paragraph" w:customStyle="1" w:styleId="388">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楷体_GB2312" w:hAnsi="宋体" w:eastAsia="楷体_GB2312"/>
      <w:b/>
      <w:bCs/>
      <w:sz w:val="24"/>
      <w:szCs w:val="24"/>
    </w:rPr>
  </w:style>
  <w:style w:type="paragraph" w:customStyle="1" w:styleId="389">
    <w:name w:val="xl54"/>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rFonts w:ascii="宋体" w:hAnsi="宋体"/>
      <w:b/>
      <w:bCs/>
    </w:rPr>
  </w:style>
  <w:style w:type="paragraph" w:customStyle="1" w:styleId="390">
    <w:name w:val="Char11"/>
    <w:basedOn w:val="1"/>
    <w:qFormat/>
    <w:uiPriority w:val="0"/>
    <w:pPr>
      <w:widowControl/>
      <w:spacing w:after="160" w:line="240" w:lineRule="exact"/>
      <w:jc w:val="left"/>
    </w:pPr>
    <w:rPr>
      <w:rFonts w:ascii="Verdana" w:hAnsi="Verdana" w:eastAsia="仿宋_GB2312"/>
      <w:sz w:val="24"/>
      <w:lang w:eastAsia="en-US"/>
    </w:rPr>
  </w:style>
  <w:style w:type="paragraph" w:customStyle="1" w:styleId="391">
    <w:name w:val="Char Char1 Char1"/>
    <w:basedOn w:val="1"/>
    <w:qFormat/>
    <w:uiPriority w:val="0"/>
    <w:pPr>
      <w:widowControl/>
      <w:spacing w:after="160" w:line="240" w:lineRule="exact"/>
      <w:jc w:val="left"/>
    </w:pPr>
    <w:rPr>
      <w:rFonts w:ascii="Verdana" w:hAnsi="Verdana"/>
      <w:lang w:eastAsia="en-US"/>
    </w:rPr>
  </w:style>
  <w:style w:type="paragraph" w:customStyle="1" w:styleId="392">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i/>
      <w:iCs/>
    </w:rPr>
  </w:style>
  <w:style w:type="paragraph" w:customStyle="1" w:styleId="393">
    <w:name w:val="标题1，章节第一层"/>
    <w:basedOn w:val="206"/>
    <w:next w:val="206"/>
    <w:qFormat/>
    <w:uiPriority w:val="0"/>
    <w:pPr>
      <w:tabs>
        <w:tab w:val="left" w:pos="693"/>
      </w:tabs>
      <w:spacing w:beforeLines="0"/>
      <w:ind w:left="482"/>
      <w:outlineLvl w:val="0"/>
    </w:pPr>
    <w:rPr>
      <w:color w:val="000000"/>
      <w:sz w:val="24"/>
      <w:szCs w:val="24"/>
    </w:rPr>
  </w:style>
  <w:style w:type="paragraph" w:customStyle="1" w:styleId="394">
    <w:name w:val="符号与编号 Char Char"/>
    <w:basedOn w:val="1"/>
    <w:qFormat/>
    <w:uiPriority w:val="0"/>
    <w:pPr>
      <w:tabs>
        <w:tab w:val="left" w:pos="840"/>
      </w:tabs>
      <w:spacing w:afterLines="50" w:line="400" w:lineRule="atLeast"/>
      <w:ind w:left="839" w:hanging="419"/>
    </w:pPr>
    <w:rPr>
      <w:sz w:val="24"/>
      <w:szCs w:val="24"/>
    </w:rPr>
  </w:style>
  <w:style w:type="paragraph" w:customStyle="1" w:styleId="395">
    <w:name w:val="Char Char Char1"/>
    <w:basedOn w:val="18"/>
    <w:qFormat/>
    <w:uiPriority w:val="0"/>
    <w:pPr>
      <w:spacing w:line="436" w:lineRule="exact"/>
    </w:pPr>
    <w:rPr>
      <w:szCs w:val="24"/>
    </w:rPr>
  </w:style>
  <w:style w:type="paragraph" w:customStyle="1" w:styleId="396">
    <w:name w:val="正文文本 New New"/>
    <w:basedOn w:val="1"/>
    <w:qFormat/>
    <w:uiPriority w:val="0"/>
    <w:pPr>
      <w:widowControl/>
      <w:spacing w:before="60" w:after="60" w:line="360" w:lineRule="auto"/>
      <w:ind w:firstLine="200" w:firstLineChars="200"/>
    </w:pPr>
    <w:rPr>
      <w:rFonts w:eastAsia="华文楷体"/>
      <w:sz w:val="24"/>
      <w:szCs w:val="24"/>
    </w:rPr>
  </w:style>
  <w:style w:type="paragraph" w:customStyle="1" w:styleId="397">
    <w:name w:val="xl5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i/>
      <w:iCs/>
    </w:rPr>
  </w:style>
  <w:style w:type="paragraph" w:customStyle="1" w:styleId="398">
    <w:name w:val="中等深浅网格 1 - 强调文字颜色 21"/>
    <w:basedOn w:val="1"/>
    <w:qFormat/>
    <w:uiPriority w:val="0"/>
    <w:pPr>
      <w:ind w:firstLine="420" w:firstLineChars="200"/>
    </w:pPr>
    <w:rPr>
      <w:szCs w:val="22"/>
    </w:rPr>
  </w:style>
  <w:style w:type="paragraph" w:customStyle="1" w:styleId="399">
    <w:name w:val="小四 段落 宋体"/>
    <w:basedOn w:val="16"/>
    <w:qFormat/>
    <w:uiPriority w:val="0"/>
    <w:pPr>
      <w:tabs>
        <w:tab w:val="clear" w:pos="2952"/>
      </w:tabs>
      <w:spacing w:line="360" w:lineRule="auto"/>
      <w:ind w:left="113" w:right="113" w:firstLine="425"/>
      <w:jc w:val="left"/>
    </w:pPr>
    <w:rPr>
      <w:sz w:val="24"/>
    </w:rPr>
  </w:style>
  <w:style w:type="paragraph" w:customStyle="1" w:styleId="400">
    <w:name w:val="正文缩进2字符"/>
    <w:basedOn w:val="1"/>
    <w:qFormat/>
    <w:uiPriority w:val="0"/>
    <w:pPr>
      <w:adjustRightInd w:val="0"/>
      <w:snapToGrid w:val="0"/>
      <w:spacing w:line="300" w:lineRule="auto"/>
      <w:ind w:firstLine="200" w:firstLineChars="200"/>
    </w:pPr>
    <w:rPr>
      <w:rFonts w:ascii="仿宋_GB2312" w:eastAsia="仿宋_GB2312"/>
      <w:sz w:val="32"/>
      <w:szCs w:val="32"/>
    </w:rPr>
  </w:style>
  <w:style w:type="paragraph" w:customStyle="1" w:styleId="401">
    <w:name w:val="xl58"/>
    <w:basedOn w:val="1"/>
    <w:qFormat/>
    <w:uiPriority w:val="0"/>
    <w:pPr>
      <w:widowControl/>
      <w:pBdr>
        <w:left w:val="single" w:color="auto" w:sz="4" w:space="0"/>
        <w:right w:val="single" w:color="auto" w:sz="4" w:space="0"/>
      </w:pBdr>
      <w:spacing w:before="100" w:beforeAutospacing="1" w:after="100" w:afterAutospacing="1"/>
      <w:jc w:val="center"/>
      <w:textAlignment w:val="center"/>
    </w:pPr>
    <w:rPr>
      <w:b/>
      <w:bCs/>
      <w:i/>
      <w:iCs/>
    </w:rPr>
  </w:style>
  <w:style w:type="paragraph" w:customStyle="1" w:styleId="402">
    <w:name w:val="表格"/>
    <w:basedOn w:val="1"/>
    <w:qFormat/>
    <w:uiPriority w:val="0"/>
    <w:pPr>
      <w:snapToGrid w:val="0"/>
      <w:ind w:firstLine="21" w:firstLineChars="21"/>
    </w:pPr>
    <w:rPr>
      <w:rFonts w:ascii="宋体" w:hAnsi="宋体"/>
    </w:rPr>
  </w:style>
  <w:style w:type="paragraph" w:customStyle="1" w:styleId="403">
    <w:name w:val="正文 New New New New New New New New New New New New New New"/>
    <w:qFormat/>
    <w:uiPriority w:val="0"/>
    <w:pPr>
      <w:widowControl w:val="0"/>
      <w:jc w:val="both"/>
    </w:pPr>
    <w:rPr>
      <w:rFonts w:hint="eastAsia" w:ascii="Calibri" w:hAnsi="Calibri" w:eastAsia="宋体" w:cs="Times New Roman"/>
      <w:kern w:val="2"/>
      <w:sz w:val="21"/>
      <w:lang w:val="en-US" w:eastAsia="zh-CN" w:bidi="ar-SA"/>
    </w:rPr>
  </w:style>
  <w:style w:type="paragraph" w:customStyle="1" w:styleId="404">
    <w:name w:val="xl4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sz w:val="24"/>
      <w:szCs w:val="24"/>
    </w:rPr>
  </w:style>
  <w:style w:type="paragraph" w:customStyle="1" w:styleId="405">
    <w:name w:val="Bullets L1"/>
    <w:basedOn w:val="1"/>
    <w:qFormat/>
    <w:uiPriority w:val="0"/>
    <w:pPr>
      <w:widowControl/>
      <w:numPr>
        <w:ilvl w:val="0"/>
        <w:numId w:val="5"/>
      </w:numPr>
      <w:spacing w:before="60" w:after="60"/>
      <w:jc w:val="left"/>
    </w:pPr>
    <w:rPr>
      <w:rFonts w:ascii="Arial" w:hAnsi="Arial"/>
    </w:rPr>
  </w:style>
  <w:style w:type="paragraph" w:customStyle="1" w:styleId="406">
    <w:name w:val="表格1"/>
    <w:basedOn w:val="1"/>
    <w:qFormat/>
    <w:uiPriority w:val="0"/>
    <w:pPr>
      <w:adjustRightInd w:val="0"/>
      <w:textAlignment w:val="baseline"/>
    </w:pPr>
    <w:rPr>
      <w:rFonts w:ascii="宋体"/>
      <w:kern w:val="24"/>
      <w:szCs w:val="21"/>
    </w:rPr>
  </w:style>
  <w:style w:type="paragraph" w:customStyle="1" w:styleId="407">
    <w:name w:val="条1"/>
    <w:basedOn w:val="1"/>
    <w:qFormat/>
    <w:uiPriority w:val="0"/>
    <w:pPr>
      <w:tabs>
        <w:tab w:val="left" w:pos="780"/>
      </w:tabs>
      <w:spacing w:before="156" w:line="360" w:lineRule="auto"/>
      <w:ind w:left="780" w:hanging="360"/>
    </w:pPr>
    <w:rPr>
      <w:rFonts w:eastAsia="黑体"/>
      <w:sz w:val="24"/>
    </w:rPr>
  </w:style>
  <w:style w:type="paragraph" w:customStyle="1" w:styleId="408">
    <w:name w:val="样式4 Char"/>
    <w:basedOn w:val="1"/>
    <w:qFormat/>
    <w:uiPriority w:val="0"/>
    <w:pPr>
      <w:widowControl/>
      <w:spacing w:line="360" w:lineRule="auto"/>
      <w:ind w:firstLine="480"/>
      <w:jc w:val="left"/>
    </w:pPr>
    <w:rPr>
      <w:color w:val="000000"/>
      <w:sz w:val="24"/>
      <w:szCs w:val="24"/>
    </w:rPr>
  </w:style>
  <w:style w:type="paragraph" w:customStyle="1" w:styleId="409">
    <w:name w:val="马刚标题4"/>
    <w:basedOn w:val="358"/>
    <w:next w:val="1"/>
    <w:qFormat/>
    <w:uiPriority w:val="0"/>
    <w:pPr>
      <w:tabs>
        <w:tab w:val="left" w:pos="1050"/>
        <w:tab w:val="clear" w:pos="567"/>
        <w:tab w:val="clear" w:pos="735"/>
      </w:tabs>
      <w:spacing w:before="100" w:after="40"/>
      <w:outlineLvl w:val="3"/>
    </w:pPr>
    <w:rPr>
      <w:b w:val="0"/>
    </w:rPr>
  </w:style>
  <w:style w:type="paragraph" w:customStyle="1" w:styleId="410">
    <w:name w:val="flType"/>
    <w:basedOn w:val="260"/>
    <w:qFormat/>
    <w:uiPriority w:val="0"/>
    <w:pPr>
      <w:spacing w:after="284"/>
    </w:pPr>
    <w:rPr>
      <w:rFonts w:eastAsia="宋体"/>
      <w:b w:val="0"/>
    </w:rPr>
  </w:style>
  <w:style w:type="paragraph" w:customStyle="1" w:styleId="411">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rPr>
  </w:style>
  <w:style w:type="paragraph" w:customStyle="1" w:styleId="412">
    <w:name w:val="Char Char Char Char Char1"/>
    <w:basedOn w:val="1"/>
    <w:qFormat/>
    <w:uiPriority w:val="0"/>
    <w:rPr>
      <w:rFonts w:ascii="Tahoma" w:hAnsi="Tahoma" w:cs="Tahoma"/>
      <w:sz w:val="24"/>
    </w:rPr>
  </w:style>
  <w:style w:type="paragraph" w:customStyle="1" w:styleId="413">
    <w:name w:val="样式 样式 首行缩进:  2 字符 + 行距: 1.5 倍行距"/>
    <w:basedOn w:val="1"/>
    <w:qFormat/>
    <w:uiPriority w:val="0"/>
    <w:pPr>
      <w:spacing w:line="360" w:lineRule="auto"/>
      <w:ind w:firstLine="470" w:firstLineChars="196"/>
    </w:pPr>
    <w:rPr>
      <w:sz w:val="24"/>
    </w:rPr>
  </w:style>
  <w:style w:type="paragraph" w:customStyle="1" w:styleId="414">
    <w:name w:val="a0"/>
    <w:basedOn w:val="1"/>
    <w:qFormat/>
    <w:uiPriority w:val="0"/>
    <w:pPr>
      <w:widowControl/>
      <w:spacing w:before="100" w:beforeAutospacing="1" w:after="100" w:afterAutospacing="1"/>
    </w:pPr>
    <w:rPr>
      <w:rFonts w:ascii="宋体" w:hAnsi="宋体"/>
      <w:sz w:val="24"/>
      <w:szCs w:val="24"/>
    </w:rPr>
  </w:style>
  <w:style w:type="paragraph" w:customStyle="1" w:styleId="415">
    <w:name w:val="xl53"/>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rPr>
  </w:style>
  <w:style w:type="paragraph" w:customStyle="1" w:styleId="416">
    <w:name w:val="xl60"/>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b/>
      <w:bCs/>
      <w:i/>
      <w:iCs/>
    </w:rPr>
  </w:style>
  <w:style w:type="paragraph" w:customStyle="1" w:styleId="417">
    <w:name w:val="样式1"/>
    <w:basedOn w:val="1"/>
    <w:qFormat/>
    <w:uiPriority w:val="0"/>
    <w:pPr>
      <w:spacing w:line="300" w:lineRule="auto"/>
      <w:ind w:firstLine="480" w:firstLineChars="200"/>
    </w:pPr>
    <w:rPr>
      <w:sz w:val="24"/>
      <w:szCs w:val="24"/>
    </w:rPr>
  </w:style>
  <w:style w:type="paragraph" w:customStyle="1" w:styleId="418">
    <w:name w:val="论文正文"/>
    <w:basedOn w:val="32"/>
    <w:qFormat/>
    <w:uiPriority w:val="0"/>
    <w:pPr>
      <w:spacing w:line="360" w:lineRule="auto"/>
      <w:ind w:left="0" w:firstLine="200" w:firstLineChars="200"/>
      <w:jc w:val="left"/>
    </w:pPr>
    <w:rPr>
      <w:rFonts w:ascii="Times New Roman" w:hAnsi="Times New Roman"/>
      <w:sz w:val="28"/>
      <w:szCs w:val="24"/>
    </w:rPr>
  </w:style>
  <w:style w:type="paragraph" w:customStyle="1" w:styleId="419">
    <w:name w:val="greytypebeni"/>
    <w:basedOn w:val="1"/>
    <w:qFormat/>
    <w:uiPriority w:val="0"/>
    <w:pPr>
      <w:widowControl/>
      <w:jc w:val="left"/>
    </w:pPr>
    <w:rPr>
      <w:rFonts w:ascii="宋体" w:hAnsi="宋体"/>
      <w:sz w:val="24"/>
      <w:szCs w:val="24"/>
    </w:rPr>
  </w:style>
  <w:style w:type="paragraph" w:customStyle="1" w:styleId="420">
    <w:name w:val="qw"/>
    <w:qFormat/>
    <w:uiPriority w:val="0"/>
    <w:pPr>
      <w:widowControl w:val="0"/>
      <w:adjustRightInd w:val="0"/>
      <w:spacing w:line="312" w:lineRule="atLeast"/>
      <w:jc w:val="both"/>
      <w:textAlignment w:val="baseline"/>
    </w:pPr>
    <w:rPr>
      <w:rFonts w:ascii="宋体" w:hAnsi="Calibri" w:eastAsia="宋体" w:cs="Times New Roman"/>
      <w:sz w:val="24"/>
      <w:lang w:val="en-US" w:eastAsia="zh-CN" w:bidi="ar-SA"/>
    </w:rPr>
  </w:style>
  <w:style w:type="paragraph" w:customStyle="1" w:styleId="421">
    <w:name w:val="xl55"/>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rPr>
  </w:style>
  <w:style w:type="paragraph" w:customStyle="1" w:styleId="422">
    <w:name w:val="正文文本缩进1"/>
    <w:basedOn w:val="1"/>
    <w:qFormat/>
    <w:uiPriority w:val="0"/>
    <w:pPr>
      <w:spacing w:after="120"/>
      <w:ind w:left="420" w:leftChars="200"/>
    </w:pPr>
    <w:rPr>
      <w:szCs w:val="24"/>
    </w:rPr>
  </w:style>
  <w:style w:type="paragraph" w:customStyle="1" w:styleId="423">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i/>
      <w:iCs/>
    </w:rPr>
  </w:style>
  <w:style w:type="character" w:customStyle="1" w:styleId="424">
    <w:name w:val="引用 Char1"/>
    <w:basedOn w:val="61"/>
    <w:qFormat/>
    <w:uiPriority w:val="29"/>
    <w:rPr>
      <w:rFonts w:ascii="Calibri" w:hAnsi="Calibri" w:eastAsia="Calibri" w:cs="宋体"/>
      <w:i/>
      <w:iCs/>
      <w:color w:val="000000" w:themeColor="text1"/>
      <w:kern w:val="0"/>
      <w:sz w:val="20"/>
      <w:szCs w:val="20"/>
      <w:lang w:val="zh-CN"/>
      <w14:textFill>
        <w14:solidFill>
          <w14:schemeClr w14:val="tx1"/>
        </w14:solidFill>
      </w14:textFill>
    </w:rPr>
  </w:style>
  <w:style w:type="paragraph" w:customStyle="1" w:styleId="425">
    <w:name w:val="标题3，章节第三层"/>
    <w:basedOn w:val="1"/>
    <w:next w:val="206"/>
    <w:qFormat/>
    <w:uiPriority w:val="0"/>
    <w:pPr>
      <w:adjustRightInd w:val="0"/>
      <w:snapToGrid w:val="0"/>
      <w:spacing w:before="78" w:line="300" w:lineRule="auto"/>
      <w:outlineLvl w:val="2"/>
    </w:pPr>
    <w:rPr>
      <w:rFonts w:ascii="Arial" w:hAnsi="Arial" w:eastAsia="华文细黑"/>
      <w:sz w:val="30"/>
      <w:szCs w:val="24"/>
    </w:rPr>
  </w:style>
  <w:style w:type="paragraph" w:customStyle="1" w:styleId="426">
    <w:name w:val="Char2 Char Char Char Char Char Char1"/>
    <w:basedOn w:val="1"/>
    <w:qFormat/>
    <w:uiPriority w:val="0"/>
    <w:pPr>
      <w:keepNext/>
      <w:widowControl/>
      <w:tabs>
        <w:tab w:val="left" w:pos="425"/>
      </w:tabs>
      <w:autoSpaceDE w:val="0"/>
      <w:autoSpaceDN w:val="0"/>
      <w:adjustRightInd w:val="0"/>
      <w:spacing w:before="80" w:after="80"/>
      <w:ind w:hanging="425"/>
    </w:pPr>
    <w:rPr>
      <w:rFonts w:ascii="Arial" w:hAnsi="Arial" w:cs="Arial"/>
    </w:rPr>
  </w:style>
  <w:style w:type="paragraph" w:customStyle="1" w:styleId="427">
    <w:name w:val="xl46"/>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sz w:val="24"/>
      <w:szCs w:val="24"/>
    </w:rPr>
  </w:style>
  <w:style w:type="paragraph" w:customStyle="1" w:styleId="428">
    <w:name w:val="普通文字"/>
    <w:basedOn w:val="1"/>
    <w:next w:val="1"/>
    <w:qFormat/>
    <w:uiPriority w:val="0"/>
    <w:rPr>
      <w:rFonts w:ascii="宋体" w:hAnsi="宋体"/>
      <w:sz w:val="24"/>
      <w:u w:color="000000"/>
    </w:rPr>
  </w:style>
  <w:style w:type="paragraph" w:customStyle="1" w:styleId="429">
    <w:name w:val="样式2"/>
    <w:basedOn w:val="1"/>
    <w:qFormat/>
    <w:uiPriority w:val="0"/>
    <w:pPr>
      <w:spacing w:line="360" w:lineRule="auto"/>
      <w:ind w:left="200" w:leftChars="200"/>
    </w:pPr>
    <w:rPr>
      <w:rFonts w:ascii="宋体" w:hAnsi="宋体"/>
      <w:b/>
      <w:sz w:val="24"/>
      <w:szCs w:val="24"/>
    </w:rPr>
  </w:style>
  <w:style w:type="paragraph" w:customStyle="1" w:styleId="430">
    <w:name w:val="Table Paragraph"/>
    <w:basedOn w:val="1"/>
    <w:qFormat/>
    <w:uiPriority w:val="0"/>
    <w:rPr>
      <w:rFonts w:cs="Times New Roman"/>
      <w:kern w:val="2"/>
      <w:sz w:val="21"/>
      <w:szCs w:val="24"/>
      <w:lang w:val="en-US"/>
    </w:rPr>
  </w:style>
  <w:style w:type="character" w:customStyle="1" w:styleId="431">
    <w:name w:val="font31"/>
    <w:basedOn w:val="61"/>
    <w:qFormat/>
    <w:uiPriority w:val="0"/>
    <w:rPr>
      <w:rFonts w:hint="eastAsia" w:ascii="微软雅黑" w:hAnsi="微软雅黑" w:eastAsia="微软雅黑" w:cs="微软雅黑"/>
      <w:color w:val="000000"/>
      <w:sz w:val="22"/>
      <w:szCs w:val="22"/>
      <w:u w:val="none"/>
    </w:rPr>
  </w:style>
  <w:style w:type="paragraph" w:customStyle="1" w:styleId="432">
    <w:name w:val="_Style 1"/>
    <w:basedOn w:val="1"/>
    <w:qFormat/>
    <w:uiPriority w:val="34"/>
    <w:pPr>
      <w:ind w:firstLine="420" w:firstLineChars="200"/>
    </w:pPr>
    <w:rPr>
      <w:rFonts w:eastAsia="宋体" w:cs="Times New Roman"/>
    </w:rPr>
  </w:style>
  <w:style w:type="paragraph" w:customStyle="1" w:styleId="433">
    <w:name w:val="正文首行缩进（绿盟科技）"/>
    <w:basedOn w:val="1"/>
    <w:qFormat/>
    <w:uiPriority w:val="0"/>
    <w:pPr>
      <w:widowControl/>
      <w:spacing w:after="50" w:line="300" w:lineRule="auto"/>
      <w:ind w:firstLine="200" w:firstLineChars="200"/>
      <w:jc w:val="left"/>
    </w:pPr>
    <w:rPr>
      <w:rFonts w:ascii="Arial" w:hAnsi="Arial"/>
      <w:szCs w:val="21"/>
    </w:rPr>
  </w:style>
  <w:style w:type="paragraph" w:customStyle="1" w:styleId="434">
    <w:name w:val="KS表格"/>
    <w:basedOn w:val="1"/>
    <w:qFormat/>
    <w:uiPriority w:val="0"/>
    <w:pPr>
      <w:spacing w:line="300" w:lineRule="auto"/>
    </w:pPr>
  </w:style>
  <w:style w:type="character" w:customStyle="1" w:styleId="435">
    <w:name w:val="标题 2 Char Char Char"/>
    <w:qFormat/>
    <w:uiPriority w:val="0"/>
    <w:rPr>
      <w:rFonts w:ascii="Arial" w:hAnsi="Arial" w:eastAsia="黑体"/>
      <w:b/>
      <w:bCs/>
      <w:kern w:val="2"/>
      <w:sz w:val="32"/>
      <w:szCs w:val="32"/>
      <w:lang w:val="en-US" w:eastAsia="zh-CN" w:bidi="ar-SA"/>
    </w:rPr>
  </w:style>
  <w:style w:type="paragraph" w:customStyle="1" w:styleId="436">
    <w:name w:val="正文_3"/>
    <w:qFormat/>
    <w:uiPriority w:val="0"/>
    <w:pPr>
      <w:widowControl w:val="0"/>
      <w:jc w:val="both"/>
    </w:pPr>
    <w:rPr>
      <w:rFonts w:ascii="Calibri" w:hAnsi="Calibri" w:eastAsia="宋体" w:cs="Times New Roman"/>
      <w:kern w:val="2"/>
      <w:sz w:val="21"/>
      <w:szCs w:val="22"/>
      <w:lang w:val="en-US" w:eastAsia="zh-CN" w:bidi="ar-SA"/>
    </w:rPr>
  </w:style>
  <w:style w:type="paragraph" w:customStyle="1" w:styleId="437">
    <w:name w:val="修订2"/>
    <w:hidden/>
    <w:semiHidden/>
    <w:qFormat/>
    <w:uiPriority w:val="99"/>
    <w:rPr>
      <w:rFonts w:ascii="Calibri" w:hAnsi="Calibri" w:eastAsia="Calibri" w:cs="宋体"/>
      <w:lang w:val="zh-CN" w:eastAsia="zh-CN" w:bidi="ar-SA"/>
    </w:rPr>
  </w:style>
  <w:style w:type="paragraph" w:customStyle="1" w:styleId="438">
    <w:name w:val="修订3"/>
    <w:hidden/>
    <w:semiHidden/>
    <w:qFormat/>
    <w:uiPriority w:val="99"/>
    <w:rPr>
      <w:rFonts w:ascii="Calibri" w:hAnsi="Calibri" w:eastAsia="Calibri" w:cs="宋体"/>
      <w:lang w:val="zh-CN" w:eastAsia="zh-CN" w:bidi="ar-SA"/>
    </w:rPr>
  </w:style>
  <w:style w:type="paragraph" w:customStyle="1" w:styleId="439">
    <w:name w:val="@正文"/>
    <w:basedOn w:val="73"/>
    <w:qFormat/>
    <w:uiPriority w:val="0"/>
    <w:pPr>
      <w:spacing w:line="360" w:lineRule="auto"/>
      <w:ind w:firstLine="200"/>
    </w:pPr>
    <w:rPr>
      <w:rFonts w:ascii="黑体" w:hAnsi="黑体" w:eastAsia="仿宋"/>
      <w:sz w:val="32"/>
      <w:szCs w:val="32"/>
    </w:rPr>
  </w:style>
  <w:style w:type="paragraph" w:customStyle="1" w:styleId="440">
    <w:name w:val="msolistparagraph"/>
    <w:basedOn w:val="1"/>
    <w:qFormat/>
    <w:uiPriority w:val="0"/>
    <w:pPr>
      <w:ind w:firstLine="420" w:firstLineChars="200"/>
    </w:pPr>
    <w:rPr>
      <w:rFonts w:eastAsia="宋体" w:cs="Times New Roman"/>
      <w:kern w:val="2"/>
      <w:sz w:val="21"/>
      <w:szCs w:val="22"/>
      <w:lang w:val="en-US"/>
    </w:rPr>
  </w:style>
  <w:style w:type="paragraph" w:customStyle="1" w:styleId="441">
    <w:name w:val="p1"/>
    <w:basedOn w:val="1"/>
    <w:qFormat/>
    <w:uiPriority w:val="0"/>
    <w:pPr>
      <w:spacing w:line="380" w:lineRule="atLeast"/>
      <w:jc w:val="left"/>
    </w:pPr>
    <w:rPr>
      <w:rFonts w:ascii="Helvetica Neue" w:hAnsi="Helvetica Neue" w:eastAsia="Helvetica Neue"/>
      <w:color w:val="000000"/>
      <w:sz w:val="26"/>
      <w:szCs w:val="26"/>
    </w:rPr>
  </w:style>
  <w:style w:type="paragraph" w:customStyle="1" w:styleId="442">
    <w:name w:val="普通(网站)1"/>
    <w:basedOn w:val="1"/>
    <w:qFormat/>
    <w:uiPriority w:val="99"/>
    <w:pPr>
      <w:widowControl/>
      <w:spacing w:before="100" w:beforeAutospacing="1" w:after="100" w:afterAutospacing="1"/>
      <w:jc w:val="left"/>
    </w:pPr>
    <w:rPr>
      <w:rFonts w:ascii="Arial Unicode MS" w:hAnsi="Arial Unicode MS" w:eastAsia="Arial Unicode MS"/>
      <w:color w:val="000000"/>
      <w:sz w:val="24"/>
      <w:szCs w:val="24"/>
    </w:rPr>
  </w:style>
  <w:style w:type="paragraph" w:customStyle="1" w:styleId="443">
    <w:name w:val="首行缩进"/>
    <w:basedOn w:val="1"/>
    <w:qFormat/>
    <w:uiPriority w:val="0"/>
    <w:pPr>
      <w:ind w:firstLine="480" w:firstLineChars="200"/>
    </w:pPr>
    <w:rPr>
      <w:szCs w:val="20"/>
      <w:lang w:val="zh-CN"/>
    </w:rPr>
  </w:style>
  <w:style w:type="paragraph" w:customStyle="1" w:styleId="444">
    <w:name w:val="正文首行缩进1"/>
    <w:basedOn w:val="445"/>
    <w:qFormat/>
    <w:uiPriority w:val="0"/>
    <w:pPr>
      <w:spacing w:line="360" w:lineRule="auto"/>
      <w:ind w:firstLine="420"/>
    </w:pPr>
    <w:rPr>
      <w:rFonts w:ascii="Times New Roman"/>
      <w:szCs w:val="21"/>
    </w:rPr>
  </w:style>
  <w:style w:type="paragraph" w:customStyle="1" w:styleId="445">
    <w:name w:val="正文文本1"/>
    <w:basedOn w:val="1"/>
    <w:next w:val="1"/>
    <w:qFormat/>
    <w:uiPriority w:val="0"/>
    <w:rPr>
      <w:rFonts w:ascii="宋体"/>
      <w:sz w:val="28"/>
    </w:rPr>
  </w:style>
  <w:style w:type="paragraph" w:customStyle="1" w:styleId="446">
    <w:name w:val="页脚1"/>
    <w:basedOn w:val="1"/>
    <w:qFormat/>
    <w:uiPriority w:val="99"/>
    <w:pPr>
      <w:tabs>
        <w:tab w:val="center" w:pos="4153"/>
        <w:tab w:val="right" w:pos="8306"/>
      </w:tabs>
      <w:jc w:val="left"/>
    </w:pPr>
    <w:rPr>
      <w:sz w:val="18"/>
    </w:rPr>
  </w:style>
  <w:style w:type="paragraph" w:customStyle="1" w:styleId="447">
    <w:name w:val="标题 31"/>
    <w:basedOn w:val="1"/>
    <w:next w:val="176"/>
    <w:qFormat/>
    <w:uiPriority w:val="9"/>
    <w:pPr>
      <w:keepNext/>
      <w:tabs>
        <w:tab w:val="left" w:pos="480"/>
      </w:tabs>
      <w:spacing w:line="400" w:lineRule="exact"/>
      <w:ind w:left="480" w:hanging="480"/>
      <w:jc w:val="center"/>
      <w:outlineLvl w:val="2"/>
    </w:pPr>
    <w:rPr>
      <w:rFonts w:ascii="仿宋_GB2312" w:eastAsia="仿宋_GB2312"/>
      <w:sz w:val="32"/>
    </w:rPr>
  </w:style>
  <w:style w:type="character" w:customStyle="1" w:styleId="448">
    <w:name w:val="要点1"/>
    <w:qFormat/>
    <w:uiPriority w:val="0"/>
    <w:rPr>
      <w:rFonts w:ascii="Times New Roman" w:hAnsi="Times New Roman" w:eastAsia="宋体" w:cs="Times New Roman"/>
      <w:sz w:val="21"/>
      <w:lang w:val="en-US" w:eastAsia="zh-CN" w:bidi="ar-SA"/>
    </w:rPr>
  </w:style>
  <w:style w:type="paragraph" w:customStyle="1" w:styleId="449">
    <w:name w:val="纯文本111"/>
    <w:basedOn w:val="1"/>
    <w:qFormat/>
    <w:uiPriority w:val="0"/>
    <w:pPr>
      <w:widowControl/>
      <w:jc w:val="left"/>
    </w:pPr>
    <w:rPr>
      <w:rFonts w:ascii="宋体" w:hAnsi="Courier New"/>
    </w:rPr>
  </w:style>
  <w:style w:type="paragraph" w:customStyle="1" w:styleId="450">
    <w:name w:val="普通正文"/>
    <w:basedOn w:val="1"/>
    <w:qFormat/>
    <w:uiPriority w:val="0"/>
    <w:pPr>
      <w:adjustRightInd w:val="0"/>
      <w:spacing w:before="120" w:after="120" w:line="360" w:lineRule="auto"/>
      <w:ind w:firstLine="480" w:firstLineChars="200"/>
      <w:jc w:val="left"/>
      <w:textAlignment w:val="baseline"/>
    </w:pPr>
    <w:rPr>
      <w:rFonts w:ascii="Arial" w:hAnsi="Arial" w:eastAsia="宋体" w:cs="Times New Roman"/>
      <w:kern w:val="0"/>
      <w:sz w:val="24"/>
    </w:rPr>
  </w:style>
  <w:style w:type="paragraph" w:customStyle="1" w:styleId="451">
    <w:name w:val="样式34"/>
    <w:next w:val="452"/>
    <w:qFormat/>
    <w:uiPriority w:val="0"/>
    <w:pPr>
      <w:numPr>
        <w:ilvl w:val="0"/>
        <w:numId w:val="6"/>
      </w:numPr>
      <w:spacing w:line="360" w:lineRule="auto"/>
      <w:outlineLvl w:val="3"/>
    </w:pPr>
    <w:rPr>
      <w:rFonts w:ascii="等线" w:hAnsi="等线" w:eastAsia="等线" w:cs="宋体"/>
      <w:b/>
      <w:bCs/>
      <w:color w:val="000000"/>
      <w:sz w:val="21"/>
      <w:szCs w:val="21"/>
      <w:lang w:val="zh-CN" w:eastAsia="zh-CN" w:bidi="ar-SA"/>
    </w:rPr>
  </w:style>
  <w:style w:type="paragraph" w:customStyle="1" w:styleId="452">
    <w:name w:val="!缩进正文"/>
    <w:basedOn w:val="1"/>
    <w:qFormat/>
    <w:uiPriority w:val="0"/>
    <w:pPr>
      <w:widowControl/>
      <w:spacing w:beforeLines="50" w:afterLines="50" w:line="360" w:lineRule="auto"/>
      <w:ind w:firstLine="200" w:firstLineChars="200"/>
      <w:jc w:val="left"/>
    </w:pPr>
    <w:rPr>
      <w:rFonts w:ascii="宋体" w:hAnsi="宋体" w:cs="宋体"/>
    </w:rPr>
  </w:style>
  <w:style w:type="paragraph" w:customStyle="1" w:styleId="453">
    <w:name w:val="【正文】"/>
    <w:basedOn w:val="51"/>
    <w:qFormat/>
    <w:uiPriority w:val="0"/>
    <w:pPr>
      <w:spacing w:after="0"/>
      <w:ind w:firstLine="560"/>
    </w:pPr>
    <w:rPr>
      <w:rFonts w:ascii="仿宋" w:hAnsi="仿宋" w:eastAsia="仿宋" w:cs="仿宋_GB2312"/>
      <w:kern w:val="0"/>
      <w:sz w:val="28"/>
      <w:szCs w:val="28"/>
    </w:rPr>
  </w:style>
  <w:style w:type="table" w:customStyle="1" w:styleId="454">
    <w:name w:val="Table Normal"/>
    <w:unhideWhenUsed/>
    <w:qFormat/>
    <w:uiPriority w:val="2"/>
    <w:rPr>
      <w:lang w:val="en-US" w:eastAsia="zh-CN" w:bidi="ar-SA"/>
    </w:rPr>
    <w:tblPr>
      <w:tblCellMar>
        <w:top w:w="0" w:type="dxa"/>
        <w:left w:w="0" w:type="dxa"/>
        <w:bottom w:w="0" w:type="dxa"/>
        <w:right w:w="0" w:type="dxa"/>
      </w:tblCellMar>
    </w:tblPr>
  </w:style>
  <w:style w:type="paragraph" w:customStyle="1" w:styleId="455">
    <w:name w:val="Table Text"/>
    <w:basedOn w:val="1"/>
    <w:semiHidden/>
    <w:qFormat/>
    <w:uiPriority w:val="0"/>
    <w:rPr>
      <w:rFonts w:ascii="Arial" w:hAnsi="Arial" w:eastAsia="Arial" w:cs="Arial"/>
      <w:sz w:val="21"/>
      <w:szCs w:val="21"/>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3.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2.xml><?xml version="1.0" encoding="utf-8"?>
<contractReview xmlns="http://schemas.wps.cn/vas-ai-hub/contract-review">
  <reviewItems>
    <reviewItem>
      <errorID>0f98b17a-4275-4698-a4c5-dc3d4afd9714</errorID>
      <errorWord>（</errorWord>
      <group>L1_Punc</group>
      <groupName>标点问题</groupName>
      <ability>L2_Punc_CN</ability>
      <abilityName>标点符号问题</abilityName>
      <candidateList/>
      <explain>同一形式括号套用。</explain>
      <paraID>22E23829</paraID>
      <start>114</start>
      <end>115</end>
      <status>unmodified</status>
      <modifiedWord/>
      <trackRevisions>false</trackRevisions>
    </reviewItem>
    <reviewItem>
      <errorID>a1a9b8ac-1dc3-4e6a-995c-57bf235136fe</errorID>
      <errorWord>）</errorWord>
      <group>L1_Punc</group>
      <groupName>标点问题</groupName>
      <ability>L2_Punc_CN</ability>
      <abilityName>标点符号问题</abilityName>
      <candidateList/>
      <explain>同一形式括号套用。</explain>
      <paraID>22E23829</paraID>
      <start>121</start>
      <end>122</end>
      <status>unmodified</status>
      <modifiedWord/>
      <trackRevisions>false</trackRevisions>
    </reviewItem>
    <reviewItem>
      <errorID>f1c48d35-4eb6-4ab9-b014-2f796758f99f</errorID>
      <errorWord>-</errorWord>
      <group>L1_Format</group>
      <groupName>格式问题</groupName>
      <ability>L2_HalfPunc_CN</ability>
      <abilityName>全半角问题</abilityName>
      <candidateList>
        <item>－</item>
      </candidateList>
      <explain>文本全半角错误。</explain>
      <paraID>162A20FE</paraID>
      <start>11</start>
      <end>12</end>
      <status>unmodified</status>
      <modifiedWord/>
      <trackRevisions>false</trackRevisions>
    </reviewItem>
    <reviewItem>
      <errorID>4795194b-06a7-4bcf-b403-0b32a8220dab</errorID>
      <errorWord>-</errorWord>
      <group>L1_Format</group>
      <groupName>格式问题</groupName>
      <ability>L2_HalfPunc_CN</ability>
      <abilityName>全半角问题</abilityName>
      <candidateList>
        <item>－</item>
      </candidateList>
      <explain>文本全半角错误。</explain>
      <paraID>162A20FE</paraID>
      <start>12</start>
      <end>13</end>
      <status>unmodified</status>
      <modifiedWord/>
      <trackRevisions>false</trackRevisions>
    </reviewItem>
    <reviewItem>
      <errorID>729fe33a-7995-49ab-bb0a-2ea7ea684456</errorID>
      <errorWord>-</errorWord>
      <group>L1_Format</group>
      <groupName>格式问题</groupName>
      <ability>L2_HalfPunc_CN</ability>
      <abilityName>全半角问题</abilityName>
      <candidateList>
        <item>－</item>
      </candidateList>
      <explain>文本全半角错误。</explain>
      <paraID>162A20FE</paraID>
      <start>38</start>
      <end>39</end>
      <status>unmodified</status>
      <modifiedWord/>
      <trackRevisions>false</trackRevisions>
    </reviewItem>
    <reviewItem>
      <errorID>65ac56bc-6dc6-4039-9a52-be4bc3bba07e</errorID>
      <errorWord>-</errorWord>
      <group>L1_Format</group>
      <groupName>格式问题</groupName>
      <ability>L2_HalfPunc_CN</ability>
      <abilityName>全半角问题</abilityName>
      <candidateList>
        <item>－</item>
      </candidateList>
      <explain>文本全半角错误。</explain>
      <paraID>162A20FE</paraID>
      <start>39</start>
      <end>40</end>
      <status>unmodified</status>
      <modifiedWord/>
      <trackRevisions>false</trackRevisions>
    </reviewItem>
    <reviewItem>
      <errorID>28bc0e5b-f936-4c08-882b-7cff4a6c1e10</errorID>
      <errorWord>“.</errorWord>
      <group>L1_Punc</group>
      <groupName>标点问题</groupName>
      <ability>L2_Punc_CN</ability>
      <abilityName>标点符号问题</abilityName>
      <candidateList>
        <item>“</item>
      </candidateList>
      <explain/>
      <paraID>162A20FE</paraID>
      <start>51</start>
      <end>53</end>
      <status>unmodified</status>
      <modifiedWord/>
      <trackRevisions>false</trackRevisions>
    </reviewItem>
    <reviewItem>
      <errorID>a556ea20-f2bd-4f74-bf6b-a0134c6eaf45</errorID>
      <errorWord>“.</errorWord>
      <group>L1_Punc</group>
      <groupName>标点问题</groupName>
      <ability>L2_Punc_CN</ability>
      <abilityName>标点符号问题</abilityName>
      <candidateList>
        <item>“</item>
      </candidateList>
      <explain/>
      <paraID>162A20FE</paraID>
      <start>66</start>
      <end>68</end>
      <status>unmodified</status>
      <modifiedWord/>
      <trackRevisions>false</trackRevisions>
    </reviewItem>
    <reviewItem>
      <errorID>5b9f2886-e846-4c7a-9ac9-9f16c1d45c61</errorID>
      <errorWord>-</errorWord>
      <group>L1_Format</group>
      <groupName>格式问题</groupName>
      <ability>L2_HalfPunc_CN</ability>
      <abilityName>全半角问题</abilityName>
      <candidateList>
        <item>－</item>
      </candidateList>
      <explain>文本全半角错误。</explain>
      <paraID>162A20FE</paraID>
      <start>89</start>
      <end>90</end>
      <status>unmodified</status>
      <modifiedWord/>
      <trackRevisions>false</trackRevisions>
    </reviewItem>
    <reviewItem>
      <errorID>eb96e25b-6e12-4bac-89ca-5c08b3b09eaf</errorID>
      <errorWord>-</errorWord>
      <group>L1_Format</group>
      <groupName>格式问题</groupName>
      <ability>L2_HalfPunc_CN</ability>
      <abilityName>全半角问题</abilityName>
      <candidateList>
        <item>－</item>
      </candidateList>
      <explain>文本全半角错误。</explain>
      <paraID>162A20FE</paraID>
      <start>90</start>
      <end>91</end>
      <status>unmodified</status>
      <modifiedWord/>
      <trackRevisions>false</trackRevisions>
    </reviewItem>
    <reviewItem>
      <errorID>b18011d0-5883-4982-a62a-59525879b38c</errorID>
      <errorWord>-</errorWord>
      <group>L1_Format</group>
      <groupName>格式问题</groupName>
      <ability>L2_HalfPunc_CN</ability>
      <abilityName>全半角问题</abilityName>
      <candidateList>
        <item>－</item>
      </candidateList>
      <explain>文本全半角错误。</explain>
      <paraID>162A20FE</paraID>
      <start>97</start>
      <end>98</end>
      <status>unmodified</status>
      <modifiedWord/>
      <trackRevisions>false</trackRevisions>
    </reviewItem>
    <reviewItem>
      <errorID>7350f5b6-d6b8-4bf1-8c12-69ea2be65568</errorID>
      <errorWord>-</errorWord>
      <group>L1_Format</group>
      <groupName>格式问题</groupName>
      <ability>L2_HalfPunc_CN</ability>
      <abilityName>全半角问题</abilityName>
      <candidateList>
        <item>－</item>
      </candidateList>
      <explain>文本全半角错误。</explain>
      <paraID>162A20FE</paraID>
      <start>98</start>
      <end>99</end>
      <status>unmodified</status>
      <modifiedWord/>
      <trackRevisions>false</trackRevisions>
    </reviewItem>
    <reviewItem>
      <errorID>84526774-cad1-49a9-854d-b120cb41da43</errorID>
      <errorWord>“.</errorWord>
      <group>L1_Punc</group>
      <groupName>标点问题</groupName>
      <ability>L2_Punc_CN</ability>
      <abilityName>标点符号问题</abilityName>
      <candidateList>
        <item>“</item>
      </candidateList>
      <explain/>
      <paraID>1E0AB24E</paraID>
      <start>12</start>
      <end>14</end>
      <status>unmodified</status>
      <modifiedWord/>
      <trackRevisions>false</trackRevisions>
    </reviewItem>
    <reviewItem>
      <errorID>a7161112-b4d8-4fdc-b56d-4794984d6424</errorID>
      <errorWord>-</errorWord>
      <group>L1_Format</group>
      <groupName>格式问题</groupName>
      <ability>L2_HalfPunc_CN</ability>
      <abilityName>全半角问题</abilityName>
      <candidateList>
        <item>－</item>
      </candidateList>
      <explain>文本全半角错误。</explain>
      <paraID>1E0AB24E</paraID>
      <start>48</start>
      <end>49</end>
      <status>unmodified</status>
      <modifiedWord/>
      <trackRevisions>false</trackRevisions>
    </reviewItem>
    <reviewItem>
      <errorID>45b3af7f-6c56-4bac-9b9a-d7a76e64e08d</errorID>
      <errorWord>-</errorWord>
      <group>L1_Format</group>
      <groupName>格式问题</groupName>
      <ability>L2_HalfPunc_CN</ability>
      <abilityName>全半角问题</abilityName>
      <candidateList>
        <item>－</item>
      </candidateList>
      <explain>文本全半角错误。</explain>
      <paraID>1E0AB24E</paraID>
      <start>49</start>
      <end>50</end>
      <status>unmodified</status>
      <modifiedWord/>
      <trackRevisions>false</trackRevisions>
    </reviewItem>
    <reviewItem>
      <errorID>596796cd-9983-4bd2-bc33-4b30e28f964b</errorID>
      <errorWord>-</errorWord>
      <group>L1_Format</group>
      <groupName>格式问题</groupName>
      <ability>L2_HalfPunc_CN</ability>
      <abilityName>全半角问题</abilityName>
      <candidateList>
        <item>－</item>
      </candidateList>
      <explain>文本全半角错误。</explain>
      <paraID>1E0AB24E</paraID>
      <start>55</start>
      <end>56</end>
      <status>unmodified</status>
      <modifiedWord/>
      <trackRevisions>false</trackRevisions>
    </reviewItem>
    <reviewItem>
      <errorID>c837cf49-a1ad-4ecb-8423-9e65a5042425</errorID>
      <errorWord>-</errorWord>
      <group>L1_Format</group>
      <groupName>格式问题</groupName>
      <ability>L2_HalfPunc_CN</ability>
      <abilityName>全半角问题</abilityName>
      <candidateList>
        <item>－</item>
      </candidateList>
      <explain>文本全半角错误。</explain>
      <paraID>1E0AB24E</paraID>
      <start>56</start>
      <end>57</end>
      <status>unmodified</status>
      <modifiedWord/>
      <trackRevisions>false</trackRevisions>
    </reviewItem>
    <reviewItem>
      <errorID>d949ad6c-159d-4ee9-91a2-2bbbb6d981b0</errorID>
      <errorWord>（</errorWord>
      <group>L1_Punc</group>
      <groupName>标点问题</groupName>
      <ability>L2_Punc_CN</ability>
      <abilityName>标点符号问题</abilityName>
      <candidateList/>
      <explain>同一形式括号套用。</explain>
      <paraID>28B2511B</paraID>
      <start>36</start>
      <end>37</end>
      <status>unmodified</status>
      <modifiedWord/>
      <trackRevisions>false</trackRevisions>
    </reviewItem>
    <reviewItem>
      <errorID>489d6d85-f7b9-43c8-b93b-b3dcd4f1f39d</errorID>
      <errorWord>）</errorWord>
      <group>L1_Punc</group>
      <groupName>标点问题</groupName>
      <ability>L2_Punc_CN</ability>
      <abilityName>标点符号问题</abilityName>
      <candidateList/>
      <explain>同一形式括号套用。</explain>
      <paraID>28B2511B</paraID>
      <start>40</start>
      <end>41</end>
      <status>unmodified</status>
      <modifiedWord/>
      <trackRevisions>false</trackRevisions>
    </reviewItem>
    <reviewItem>
      <errorID>8b348e10-58a7-4632-b881-e07adb6c7d86</errorID>
      <errorWord>：</errorWord>
      <group>L1_Format</group>
      <groupName>格式问题</groupName>
      <ability>L2_HalfPunc_CN</ability>
      <abilityName>全半角问题</abilityName>
      <candidateList>
        <item>:</item>
      </candidateList>
      <explain>文本全半角错误。</explain>
      <paraID>1F8509E2</paraID>
      <start>22</start>
      <end>23</end>
      <status>unmodified</status>
      <modifiedWord/>
      <trackRevisions>false</trackRevisions>
    </reviewItem>
    <reviewItem>
      <errorID>ec299811-c044-4aa2-8632-baa6a20f6631</errorID>
      <errorWord>：</errorWord>
      <group>L1_Format</group>
      <groupName>格式问题</groupName>
      <ability>L2_HalfPunc_CN</ability>
      <abilityName>全半角问题</abilityName>
      <candidateList>
        <item>:</item>
      </candidateList>
      <explain>文本全半角错误。</explain>
      <paraID>1D97BDA0</paraID>
      <start>19</start>
      <end>20</end>
      <status>unmodified</status>
      <modifiedWord/>
      <trackRevisions>false</trackRevisions>
    </reviewItem>
    <reviewItem>
      <errorID>1bf0a831-be15-46ee-af24-2a791b997a31</errorID>
      <errorWord>。</errorWord>
      <group>L1_Format</group>
      <groupName>格式问题</groupName>
      <ability>L2_HalfPunc_CN</ability>
      <abilityName>全半角问题</abilityName>
      <candidateList>
        <item>.</item>
      </candidateList>
      <explain>文本全半角错误。</explain>
      <paraID>1634406D</paraID>
      <start>84</start>
      <end>85</end>
      <status>unmodified</status>
      <modifiedWord/>
      <trackRevisions>false</trackRevisions>
    </reviewItem>
    <reviewItem>
      <errorID>c671a90f-1ce6-422e-b7aa-fb8fda075e56</errorID>
      <errorWord>)</errorWord>
      <group>L1_Format</group>
      <groupName>格式问题</groupName>
      <ability>L2_HalfPunc_CN</ability>
      <abilityName>全半角问题</abilityName>
      <candidateList>
        <item>）</item>
      </candidateList>
      <explain>文本全半角错误。</explain>
      <paraID>48283A79</paraID>
      <start>129</start>
      <end>130</end>
      <status>unmodified</status>
      <modifiedWord/>
      <trackRevisions>false</trackRevisions>
    </reviewItem>
    <reviewItem>
      <errorID>a71e1de4-70fe-4291-b3bc-7c229b91a13a</errorID>
      <errorWord>社会诚信体系建设</errorWord>
      <group>L1_Political</group>
      <groupName>政治性问题</groupName>
      <ability>L2_Keyword</ability>
      <abilityName>固定表述</abilityName>
      <candidateList>
        <item>社会信用体系建设</item>
      </candidateList>
      <explain>词汇“社会信用体系建设”在特定场景下为固定表述形式，请确认此处的“社会诚信体系建设”是否存在不当。</explain>
      <paraID>1A35A447</paraID>
      <start>7</start>
      <end>15</end>
      <status>unmodified</status>
      <modifiedWord/>
      <trackRevisions>false</trackRevisions>
    </reviewItem>
    <reviewItem>
      <errorID>93fd7951-3d08-42eb-80fe-5121ce0cf5e0</errorID>
      <errorWord>如须</errorWord>
      <group>L1_Word</group>
      <groupName>字词问题</groupName>
      <ability>L2_Typo</ability>
      <abilityName>字词错误</abilityName>
      <candidateList>
        <item>如需</item>
      </candidateList>
      <explain/>
      <paraID>69C5C720</paraID>
      <start>57</start>
      <end>59</end>
      <status>unmodified</status>
      <modifiedWord/>
      <trackRevisions>false</trackRevisions>
    </reviewItem>
    <reviewItem>
      <errorID>4565e4a3-0436-42f8-86b8-86f68047c91d</errorID>
      <errorWord>时间时</errorWord>
      <group>L1_Word</group>
      <groupName>字词问题</groupName>
      <ability>L2_Typo</ability>
      <abilityName>字词错误</abilityName>
      <candidateList>
        <item>时间</item>
      </candidateList>
      <explain>〈名〉❶物质动动中的一种存在方式，由过去、现在、将来构成的连绵不断的系统。是物质的运动、变化的持续性、顺序性的表现。❷有起点和终点的一段时间：地球自转一周的～是二十四小时｜盖这么一所房子要多少～？❸时间里的某一点：现在的～是三点十五分。</explain>
      <paraID> DD60BD2</paraID>
      <start>22</start>
      <end>25</end>
      <status>unmodified</status>
      <modifiedWord/>
      <trackRevisions>false</trackRevisions>
    </reviewItem>
    <reviewItem>
      <errorID>ecf31f86-306a-4c54-ac3b-37e104d210cb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51086A52</paraID>
      <start>48</start>
      <end>49</end>
      <status>unmodified</status>
      <modifiedWord/>
      <trackRevisions>false</trackRevisions>
    </reviewItem>
    <reviewItem>
      <errorID>59c556c8-6b43-41a8-af15-9b5de0eb528c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70184781</paraID>
      <start>48</start>
      <end>49</end>
      <status>unmodified</status>
      <modifiedWord/>
      <trackRevisions>false</trackRevisions>
    </reviewItem>
    <reviewItem>
      <errorID>84d1de88-ff81-4c75-9b40-0c424b13b9f3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CEF6FE1</paraID>
      <start>33</start>
      <end>34</end>
      <status>unmodified</status>
      <modifiedWord/>
      <trackRevisions>false</trackRevisions>
    </reviewItem>
    <reviewItem>
      <errorID>da680179-ab58-4f47-a6b0-ea6c0ea4fb04</errorID>
      <errorWord>，</errorWord>
      <group>L1_Word</group>
      <groupName>字词问题</groupName>
      <ability>L2_Typo</ability>
      <abilityName>字词错误</abilityName>
      <candidateList>
        <item>，在</item>
      </candidateList>
      <explain/>
      <paraID>593BCF58</paraID>
      <start>39</start>
      <end>40</end>
      <status>unmodified</status>
      <modifiedWord/>
      <trackRevisions>false</trackRevisions>
    </reviewItem>
    <reviewItem>
      <errorID>712750fd-8b0c-47d9-a766-3f1835077364</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2D6A721A</paraID>
      <start>81</start>
      <end>85</end>
      <status>unmodified</status>
      <modifiedWord/>
      <trackRevisions>false</trackRevisions>
    </reviewItem>
    <reviewItem>
      <errorID>4b348900-e48b-47c4-b679-2c9388d549b8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50028BED</paraID>
      <start>0</start>
      <end>2</end>
      <status>unmodified</status>
      <modifiedWord/>
      <trackRevisions>false</trackRevisions>
    </reviewItem>
    <reviewItem>
      <errorID>c7e886a0-7b24-4745-ade0-d8edaa1c904d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67771CE9</paraID>
      <start>0</start>
      <end>2</end>
      <status>unmodified</status>
      <modifiedWord/>
      <trackRevisions>false</trackRevisions>
    </reviewItem>
    <reviewItem>
      <errorID>83d2706c-febd-4d3d-bdab-5c3156825f78</errorID>
      <errorWord>再行</errorWord>
      <group>L1_Word</group>
      <groupName>字词问题</groupName>
      <ability>L2_Typo</ability>
      <abilityName>字词错误</abilityName>
      <candidateList>
        <item>再</item>
      </candidateList>
      <explain>❶〈副〉a）表示又一次（有时专指第二次）：～版｜～接～厉｜一而～，～而三｜学习，学习，～学习。注意表示已经重复的动作用“又”，表示将要重复的动作用“再”，如：这部书前几天我又读了一遍，以后有时间我还要～读一遍。b）表示更加：高点儿，～高点儿｜～多一点儿就好了。c）表示如果继续下去就会怎样：学习～不努力，就得留级了｜离开车只剩半个钟头了，～不走可赶不上了。</explain>
      <paraID>3365EA3C</paraID>
      <start>96</start>
      <end>98</end>
      <status>unmodified</status>
      <modifiedWord/>
      <trackRevisions>false</trackRevisions>
    </reviewItem>
    <reviewItem>
      <errorID>c2c7f431-6b74-4f21-9118-3a0ad99b161e</errorID>
      <errorWord>详实</errorWord>
      <group>L1_Word</group>
      <groupName>字词问题</groupName>
      <ability>L2_Typo</ability>
      <abilityName>字词错误</abilityName>
      <candidateList>
        <item>翔实</item>
      </candidateList>
      <explain>存在发音相同字词的误用。</explain>
      <paraID>4C13A144</paraID>
      <start>26</start>
      <end>28</end>
      <status>unmodified</status>
      <modifiedWord/>
      <trackRevisions>false</trackRevisions>
    </reviewItem>
    <reviewItem>
      <errorID>e27de9ec-1e22-4ef9-865d-ddfb26ee1e38</errorID>
      <errorWord>(</errorWord>
      <group>L1_Format</group>
      <groupName>格式问题</groupName>
      <ability>L2_HalfPunc_CN</ability>
      <abilityName>全半角问题</abilityName>
      <candidateList>
        <item>（</item>
      </candidateList>
      <explain>文本全半角错误。</explain>
      <paraID>7002A945</paraID>
      <start>5</start>
      <end>6</end>
      <status>unmodified</status>
      <modifiedWord/>
      <trackRevisions>false</trackRevisions>
    </reviewItem>
    <reviewItem>
      <errorID>d64f54fb-a013-4aab-ad3f-77a9e724b229</errorID>
      <errorWord>)</errorWord>
      <group>L1_Format</group>
      <groupName>格式问题</groupName>
      <ability>L2_HalfPunc_CN</ability>
      <abilityName>全半角问题</abilityName>
      <candidateList>
        <item>）</item>
      </candidateList>
      <explain>文本全半角错误。</explain>
      <paraID>7002A945</paraID>
      <start>12</start>
      <end>13</end>
      <status>unmodified</status>
      <modifiedWord/>
      <trackRevisions>false</trackRevisions>
    </reviewItem>
    <reviewItem>
      <errorID>8e391501-2154-4f50-90bd-5d6d845f4db3</errorID>
      <errorWord>人</errorWord>
      <group>L1_Word</group>
      <groupName>字词问题</groupName>
      <ability>L2_Typo</ability>
      <abilityName>字词错误</abilityName>
      <candidateList>
        <item>人在</item>
      </candidateList>
      <explain/>
      <paraID>50B178F6</paraID>
      <start>10</start>
      <end>11</end>
      <status>unmodified</status>
      <modifiedWord/>
      <trackRevisions>false</trackRevisions>
    </reviewItem>
    <reviewItem>
      <errorID>0cbdcf6e-3534-4c4e-9e77-b9475aceac0e</errorID>
      <errorWord>，</errorWord>
      <group>L1_Word</group>
      <groupName>字词问题</groupName>
      <ability>L2_Typo</ability>
      <abilityName>字词错误</abilityName>
      <candidateList>
        <item>，本</item>
      </candidateList>
      <explain/>
      <paraID>322D29A5</paraID>
      <start>18</start>
      <end>19</end>
      <status>unmodified</status>
      <modifiedWord/>
      <trackRevisions>false</trackRevisions>
    </reviewItem>
    <reviewItem>
      <errorID>d78fb2b2-1490-4272-b40f-e56d22e38933</errorID>
      <errorWord>详实</errorWord>
      <group>L1_Word</group>
      <groupName>字词问题</groupName>
      <ability>L2_Typo</ability>
      <abilityName>字词错误</abilityName>
      <candidateList>
        <item>翔实</item>
      </candidateList>
      <explain>存在发音相同字词的误用。</explain>
      <paraID>36143729</paraID>
      <start>26</start>
      <end>28</end>
      <status>unmodified</status>
      <modifiedWord/>
      <trackRevisions>false</trackRevisions>
    </reviewItem>
    <reviewItem>
      <errorID>deb6b1d8-3373-440f-ae88-32619936c043</errorID>
      <errorWord>(</errorWord>
      <group>L1_Format</group>
      <groupName>格式问题</groupName>
      <ability>L2_HalfPunc_CN</ability>
      <abilityName>全半角问题</abilityName>
      <candidateList>
        <item>（</item>
      </candidateList>
      <explain>文本全半角错误。</explain>
      <paraID>19134D2D</paraID>
      <start>5</start>
      <end>6</end>
      <status>unmodified</status>
      <modifiedWord/>
      <trackRevisions>false</trackRevisions>
    </reviewItem>
    <reviewItem>
      <errorID>361785c7-d676-46cd-accb-1927ea4e388e</errorID>
      <errorWord>)</errorWord>
      <group>L1_Format</group>
      <groupName>格式问题</groupName>
      <ability>L2_HalfPunc_CN</ability>
      <abilityName>全半角问题</abilityName>
      <candidateList>
        <item>）</item>
      </candidateList>
      <explain>文本全半角错误。</explain>
      <paraID>19134D2D</paraID>
      <start>12</start>
      <end>13</end>
      <status>unmodified</status>
      <modifiedWord/>
      <trackRevisions>false</trackRevisions>
    </reviewItem>
    <reviewItem>
      <errorID>6ca58e99-cc4a-4793-9c99-1cda2e3c0c67</errorID>
      <errorWord>所报</errorWord>
      <group>L1_Word</group>
      <groupName>字词问题</groupName>
      <ability>L2_Typo</ability>
      <abilityName>字词错误</abilityName>
      <candidateList>
        <item>所</item>
      </candidateList>
      <explain/>
      <paraID>25064485</paraID>
      <start>53</start>
      <end>55</end>
      <status>unmodified</status>
      <modifiedWord/>
      <trackRevisions>false</trackRevisions>
    </reviewItem>
    <reviewItem>
      <errorID>7b5b731e-96c4-409d-b1b9-ffd743776e4f</errorID>
      <errorWord>（</errorWord>
      <group>L1_Punc</group>
      <groupName>标点问题</groupName>
      <ability>L2_Punc_CN</ability>
      <abilityName>标点符号问题</abilityName>
      <candidateList/>
      <explain>同一形式括号套用。</explain>
      <paraID>  32DD18</paraID>
      <start>114</start>
      <end>115</end>
      <status>unmodified</status>
      <modifiedWord/>
      <trackRevisions>false</trackRevisions>
    </reviewItem>
    <reviewItem>
      <errorID>fd98bb52-4b47-4eba-99f4-f804ff3fa64a</errorID>
      <errorWord>）</errorWord>
      <group>L1_Punc</group>
      <groupName>标点问题</groupName>
      <ability>L2_Punc_CN</ability>
      <abilityName>标点符号问题</abilityName>
      <candidateList/>
      <explain>同一形式括号套用。</explain>
      <paraID>  32DD18</paraID>
      <start>121</start>
      <end>122</end>
      <status>unmodified</status>
      <modifiedWord/>
      <trackRevisions>false</trackRevisions>
    </reviewItem>
    <reviewItem>
      <errorID>5fd53e4f-d41f-4f15-a5f6-4365fc6ec521</errorID>
      <errorWord>（</errorWord>
      <group>L1_Punc</group>
      <groupName>标点问题</groupName>
      <ability>L2_Punc_CN</ability>
      <abilityName>标点符号问题</abilityName>
      <candidateList/>
      <explain>同一形式括号套用。</explain>
      <paraID>49C1753D</paraID>
      <start>19</start>
      <end>20</end>
      <status>unmodified</status>
      <modifiedWord/>
      <trackRevisions>false</trackRevisions>
    </reviewItem>
    <reviewItem>
      <errorID>08afc4a5-c537-4074-8cd3-af1659cd978d</errorID>
      <errorWord>）</errorWord>
      <group>L1_Punc</group>
      <groupName>标点问题</groupName>
      <ability>L2_Punc_CN</ability>
      <abilityName>标点符号问题</abilityName>
      <candidateList/>
      <explain>同一形式括号套用。</explain>
      <paraID>49C1753D</paraID>
      <start>29</start>
      <end>30</end>
      <status>unmodified</status>
      <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91fe929-53c8-42e3-9d8e-75a5e570ad66}">
  <ds:schemaRefs/>
</ds:datastoreItem>
</file>

<file path=customXml/itemProps3.xml><?xml version="1.0" encoding="utf-8"?>
<ds:datastoreItem xmlns:ds="http://schemas.openxmlformats.org/officeDocument/2006/customXml" ds:itemID="{2D076D5C-F395-4F3C-8017-3B850789AA18}">
  <ds:schemaRefs/>
</ds:datastoreItem>
</file>

<file path=docProps/app.xml><?xml version="1.0" encoding="utf-8"?>
<Properties xmlns="http://schemas.openxmlformats.org/officeDocument/2006/extended-properties" xmlns:vt="http://schemas.openxmlformats.org/officeDocument/2006/docPropsVTypes">
  <Template>Normal</Template>
  <Pages>53</Pages>
  <Words>20315</Words>
  <Characters>21376</Characters>
  <Lines>170</Lines>
  <Paragraphs>48</Paragraphs>
  <TotalTime>19</TotalTime>
  <ScaleCrop>false</ScaleCrop>
  <LinksUpToDate>false</LinksUpToDate>
  <CharactersWithSpaces>21593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2025-06-24T08:48:00Z</dcterms:created>
  <dc:creator>xb21cn</dc:creator>
  <cp:lastModifiedBy>楠瓜</cp:lastModifiedBy>
  <cp:lastPrinted>2023-06-13T06:21:00Z</cp:lastPrinted>
  <dcterms:modified xsi:type="dcterms:W3CDTF">2026-07-06T07:53:50Z</dcterms:modified>
  <cp:revision>107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1189EBC69A2E4F60BE73161B9D64A2A4_13</vt:lpwstr>
  </property>
  <property fmtid="{D5CDD505-2E9C-101B-9397-08002B2CF9AE}" pid="4" name="commondata">
    <vt:lpwstr>eyJoZGlkIjoiYjk5ODM0YmMxOWJiYWQyNDU4MGIzYWRmYTA0ZmI5NDcifQ==</vt:lpwstr>
  </property>
  <property fmtid="{D5CDD505-2E9C-101B-9397-08002B2CF9AE}" pid="5" name="KSOTemplateDocerSaveRecord">
    <vt:lpwstr>eyJoZGlkIjoiOTQ3ZGU0OGI1NTc3ZjdmZTFlMWMxZTI1NjY2OGVhZTQiLCJ1c2VySWQiOiI3NDQ1Njk0ODAifQ==</vt:lpwstr>
  </property>
</Properties>
</file>