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spacing w:before="120" w:beforeAutospacing="0" w:after="120" w:afterAutospacing="0" w:line="360" w:lineRule="auto"/>
        <w:rPr>
          <w:rFonts w:ascii="宋体" w:hAnsi="宋体" w:eastAsia="宋体" w:cs="Arial"/>
          <w:b/>
          <w:color w:val="000000"/>
          <w:sz w:val="84"/>
          <w:szCs w:val="84"/>
          <w:highlight w:val="none"/>
        </w:rPr>
      </w:pPr>
      <w:r>
        <w:rPr>
          <w:rFonts w:hint="eastAsia" w:ascii="宋体" w:hAnsi="宋体" w:eastAsia="宋体" w:cs="Arial"/>
          <w:b/>
          <w:color w:val="000000"/>
          <w:sz w:val="84"/>
          <w:szCs w:val="84"/>
          <w:highlight w:val="none"/>
        </w:rPr>
        <w:t xml:space="preserve"> </w:t>
      </w:r>
      <w:r>
        <w:rPr>
          <w:rFonts w:ascii="宋体" w:hAnsi="宋体" w:eastAsia="宋体" w:cs="Arial"/>
          <w:b/>
          <w:color w:val="000000"/>
          <w:sz w:val="84"/>
          <w:szCs w:val="84"/>
          <w:highlight w:val="none"/>
        </w:rPr>
      </w:r>
      <w:r/>
    </w:p>
    <w:p>
      <w:pPr>
        <w:pStyle w:val="917"/>
        <w:jc w:val="center"/>
        <w:spacing w:before="120" w:beforeAutospacing="0" w:after="120" w:afterAutospacing="0" w:line="360" w:lineRule="auto"/>
        <w:rPr>
          <w:rFonts w:ascii="宋体" w:hAnsi="宋体" w:eastAsia="宋体"/>
          <w:color w:val="000000"/>
          <w:highlight w:val="none"/>
        </w:rPr>
      </w:pPr>
      <w:r>
        <w:rPr>
          <w:rFonts w:ascii="宋体" w:hAnsi="宋体" w:eastAsia="宋体" w:cs="Arial"/>
          <w:b/>
          <w:color w:val="000000"/>
          <w:sz w:val="84"/>
          <w:szCs w:val="84"/>
          <w:highlight w:val="none"/>
        </w:rPr>
        <w:t xml:space="preserve">招 标 文 件</w:t>
      </w:r>
      <w:r>
        <w:rPr>
          <w:rFonts w:ascii="宋体" w:hAnsi="宋体" w:eastAsia="宋体"/>
          <w:color w:val="000000"/>
          <w:highlight w:val="none"/>
        </w:rPr>
      </w:r>
      <w:r/>
    </w:p>
    <w:p>
      <w:pPr>
        <w:pStyle w:val="917"/>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917"/>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917"/>
        <w:ind w:firstLine="640"/>
        <w:spacing w:before="120" w:beforeAutospacing="0" w:after="120" w:afterAutospacing="0" w:line="360" w:lineRule="auto"/>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917"/>
        <w:ind w:firstLine="964"/>
        <w:keepLines w:val="0"/>
        <w:keepNext w:val="0"/>
        <w:pageBreakBefore w:val="0"/>
        <w:spacing w:beforeAutospacing="0" w:afterAutospacing="0" w:line="480" w:lineRule="auto"/>
        <w:widowControl/>
        <w:rPr>
          <w:rFonts w:ascii="宋体" w:hAnsi="宋体" w:eastAsia="宋体"/>
          <w:b/>
          <w:color w:val="000000"/>
          <w:sz w:val="32"/>
          <w:szCs w:val="32"/>
          <w:highlight w:val="none"/>
        </w:rPr>
      </w:pPr>
      <w:r>
        <w:rPr>
          <w:rFonts w:hint="eastAsia" w:ascii="宋体" w:hAnsi="宋体" w:eastAsia="宋体"/>
          <w:b/>
          <w:color w:val="000000"/>
          <w:sz w:val="32"/>
          <w:szCs w:val="32"/>
          <w:highlight w:val="none"/>
        </w:rPr>
        <w:t xml:space="preserve">项目编</w:t>
      </w:r>
      <w:r>
        <w:rPr>
          <w:rFonts w:hint="eastAsia" w:ascii="宋体" w:hAnsi="宋体" w:eastAsia="宋体" w:cs="Arial"/>
          <w:b/>
          <w:color w:val="000000"/>
          <w:sz w:val="32"/>
          <w:szCs w:val="32"/>
          <w:highlight w:val="none"/>
        </w:rPr>
        <w:t xml:space="preserve">号：JSZC-320991-JSJW-G2026-</w:t>
      </w:r>
      <w:r>
        <w:rPr>
          <w:rFonts w:ascii="宋体" w:hAnsi="宋体" w:eastAsia="宋体" w:cs="Arial"/>
          <w:b/>
          <w:color w:val="000000"/>
          <w:sz w:val="32"/>
          <w:szCs w:val="32"/>
          <w:highlight w:val="none"/>
        </w:rPr>
        <w:tab/>
      </w:r>
      <w:r>
        <w:rPr>
          <w:rFonts w:hint="eastAsia" w:ascii="宋体" w:hAnsi="宋体" w:eastAsia="宋体" w:cs="Arial"/>
          <w:b/>
          <w:color w:val="000000"/>
          <w:sz w:val="32"/>
          <w:szCs w:val="32"/>
          <w:highlight w:val="none"/>
          <w:lang w:val="en-US" w:eastAsia="zh-CN"/>
        </w:rPr>
        <w:t xml:space="preserve">0031</w:t>
      </w:r>
      <w:r>
        <w:rPr>
          <w:rFonts w:ascii="宋体" w:hAnsi="宋体" w:eastAsia="宋体"/>
          <w:b/>
          <w:color w:val="000000"/>
          <w:sz w:val="32"/>
          <w:szCs w:val="32"/>
          <w:highlight w:val="none"/>
        </w:rPr>
      </w:r>
      <w:r/>
    </w:p>
    <w:p>
      <w:pPr>
        <w:pStyle w:val="917"/>
        <w:ind w:firstLine="964"/>
        <w:jc w:val="both"/>
        <w:keepLines w:val="0"/>
        <w:keepNext w:val="0"/>
        <w:pageBreakBefore w:val="0"/>
        <w:spacing w:beforeAutospacing="0" w:afterAutospacing="0" w:line="480" w:lineRule="auto"/>
        <w:widowControl/>
        <w:rPr>
          <w:rFonts w:hint="eastAsia" w:ascii="宋体" w:hAnsi="宋体" w:eastAsia="宋体"/>
          <w:b/>
          <w:color w:val="000000"/>
          <w:sz w:val="32"/>
          <w:szCs w:val="32"/>
          <w:highlight w:val="none"/>
          <w:lang w:eastAsia="zh-CN"/>
        </w:rPr>
      </w:pPr>
      <w:r>
        <w:rPr>
          <w:rFonts w:hint="eastAsia" w:ascii="宋体" w:hAnsi="宋体" w:eastAsia="宋体"/>
          <w:b/>
          <w:color w:val="000000"/>
          <w:sz w:val="32"/>
          <w:szCs w:val="32"/>
          <w:highlight w:val="none"/>
        </w:rPr>
        <w:t xml:space="preserve">项目名称：</w:t>
      </w:r>
      <w:r>
        <w:rPr>
          <w:rFonts w:hint="eastAsia" w:ascii="宋体" w:hAnsi="宋体"/>
          <w:b/>
          <w:color w:val="000000"/>
          <w:sz w:val="32"/>
          <w:szCs w:val="32"/>
          <w:highlight w:val="none"/>
          <w:lang w:eastAsia="zh-CN"/>
        </w:rPr>
        <w:t xml:space="preserve">步凤河以西河道保洁服务项目</w:t>
      </w:r>
      <w:r>
        <w:rPr>
          <w:rFonts w:hint="eastAsia" w:ascii="宋体" w:hAnsi="宋体" w:eastAsia="宋体"/>
          <w:b/>
          <w:color w:val="000000"/>
          <w:sz w:val="32"/>
          <w:szCs w:val="32"/>
          <w:highlight w:val="none"/>
          <w:lang w:eastAsia="zh-CN"/>
        </w:rPr>
      </w:r>
      <w:r/>
    </w:p>
    <w:p>
      <w:pPr>
        <w:pStyle w:val="917"/>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917"/>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917"/>
        <w:spacing w:beforeAutospacing="0" w:afterAutospacing="0" w:line="48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917"/>
        <w:ind w:firstLine="643"/>
        <w:jc w:val="center"/>
        <w:spacing w:before="120" w:beforeAutospacing="0" w:after="120" w:afterAutospacing="0"/>
        <w:rPr>
          <w:rFonts w:ascii="宋体" w:hAnsi="宋体" w:eastAsia="宋体" w:cs="Arial"/>
          <w:b/>
          <w:color w:val="000000"/>
          <w:sz w:val="32"/>
          <w:szCs w:val="32"/>
          <w:highlight w:val="none"/>
        </w:rPr>
      </w:pPr>
      <w:r>
        <w:rPr>
          <w:rFonts w:ascii="宋体" w:hAnsi="宋体" w:eastAsia="宋体" w:cs="Arial"/>
          <w:b/>
          <w:color w:val="000000"/>
          <w:sz w:val="32"/>
          <w:szCs w:val="32"/>
          <w:highlight w:val="none"/>
        </w:rPr>
      </w:r>
      <w:r/>
    </w:p>
    <w:p>
      <w:pPr>
        <w:pStyle w:val="917"/>
        <w:ind w:firstLine="643"/>
        <w:jc w:val="center"/>
        <w:spacing w:before="120" w:beforeAutospacing="0" w:after="120" w:afterAutospacing="0"/>
        <w:rPr>
          <w:rFonts w:hint="eastAsia" w:ascii="宋体" w:hAnsi="宋体" w:eastAsia="宋体" w:cs="Arial"/>
          <w:b/>
          <w:color w:val="000000"/>
          <w:sz w:val="32"/>
          <w:szCs w:val="32"/>
          <w:highlight w:val="none"/>
          <w:lang w:eastAsia="zh-CN"/>
        </w:rPr>
      </w:pPr>
      <w:r>
        <w:rPr>
          <w:rFonts w:hint="eastAsia" w:ascii="宋体" w:hAnsi="宋体" w:eastAsia="宋体" w:cs="Arial"/>
          <w:b/>
          <w:color w:val="000000"/>
          <w:sz w:val="32"/>
          <w:szCs w:val="32"/>
          <w:highlight w:val="none"/>
          <w:lang w:eastAsia="zh-CN"/>
        </w:rPr>
        <w:t xml:space="preserve">盐城经济技术开发区步凤镇人民政府</w:t>
      </w:r>
      <w:r>
        <w:rPr>
          <w:rFonts w:hint="eastAsia" w:ascii="宋体" w:hAnsi="宋体" w:eastAsia="宋体" w:cs="Arial"/>
          <w:b/>
          <w:color w:val="000000"/>
          <w:sz w:val="32"/>
          <w:szCs w:val="32"/>
          <w:highlight w:val="none"/>
          <w:lang w:eastAsia="zh-CN"/>
        </w:rPr>
      </w:r>
      <w:r/>
    </w:p>
    <w:p>
      <w:pPr>
        <w:pStyle w:val="917"/>
        <w:ind w:firstLine="643"/>
        <w:jc w:val="center"/>
        <w:spacing w:before="120" w:beforeAutospacing="0" w:after="120" w:afterAutospacing="0"/>
        <w:rPr>
          <w:rFonts w:hint="eastAsia" w:ascii="宋体" w:hAnsi="宋体" w:eastAsia="宋体" w:cs="Arial"/>
          <w:b/>
          <w:color w:val="000000"/>
          <w:sz w:val="32"/>
          <w:szCs w:val="32"/>
          <w:highlight w:val="none"/>
          <w:lang w:eastAsia="zh-CN"/>
        </w:rPr>
      </w:pPr>
      <w:r>
        <w:rPr>
          <w:rFonts w:hint="eastAsia" w:ascii="宋体" w:hAnsi="宋体" w:eastAsia="宋体" w:cs="Arial"/>
          <w:b/>
          <w:color w:val="000000"/>
          <w:sz w:val="32"/>
          <w:szCs w:val="32"/>
          <w:highlight w:val="none"/>
          <w:lang w:eastAsia="zh-CN"/>
        </w:rPr>
        <w:t xml:space="preserve">江苏建威建设管理有限公司</w:t>
      </w:r>
      <w:r>
        <w:rPr>
          <w:rFonts w:hint="eastAsia" w:ascii="宋体" w:hAnsi="宋体" w:eastAsia="宋体" w:cs="Arial"/>
          <w:b/>
          <w:color w:val="000000"/>
          <w:sz w:val="32"/>
          <w:szCs w:val="32"/>
          <w:highlight w:val="none"/>
          <w:lang w:eastAsia="zh-CN"/>
        </w:rPr>
      </w:r>
      <w:r/>
    </w:p>
    <w:p>
      <w:pPr>
        <w:pStyle w:val="917"/>
        <w:ind w:firstLine="643"/>
        <w:jc w:val="center"/>
        <w:spacing w:before="120" w:beforeAutospacing="0" w:after="120" w:afterAutospacing="0"/>
        <w:rPr>
          <w:rFonts w:ascii="宋体" w:hAnsi="宋体" w:eastAsia="宋体" w:cs="Arial"/>
          <w:b/>
          <w:color w:val="000000"/>
          <w:sz w:val="32"/>
          <w:szCs w:val="32"/>
          <w:highlight w:val="none"/>
        </w:rPr>
      </w:pPr>
      <w:r>
        <w:rPr>
          <w:rFonts w:hint="eastAsia" w:ascii="宋体" w:hAnsi="宋体" w:eastAsia="宋体" w:cs="Arial"/>
          <w:b/>
          <w:color w:val="000000"/>
          <w:sz w:val="32"/>
          <w:szCs w:val="32"/>
          <w:highlight w:val="none"/>
        </w:rPr>
        <w:t xml:space="preserve">202</w:t>
      </w:r>
      <w:r>
        <w:rPr>
          <w:rFonts w:hint="eastAsia" w:ascii="宋体" w:hAnsi="宋体" w:eastAsia="宋体" w:cs="Arial"/>
          <w:b/>
          <w:color w:val="000000"/>
          <w:sz w:val="32"/>
          <w:szCs w:val="32"/>
          <w:highlight w:val="none"/>
          <w:lang w:val="en-US" w:eastAsia="zh-CN"/>
        </w:rPr>
        <w:t xml:space="preserve">6</w:t>
      </w:r>
      <w:r>
        <w:rPr>
          <w:rFonts w:ascii="宋体" w:hAnsi="宋体" w:eastAsia="宋体" w:cs="Arial"/>
          <w:b/>
          <w:color w:val="000000"/>
          <w:sz w:val="32"/>
          <w:szCs w:val="32"/>
          <w:highlight w:val="none"/>
        </w:rPr>
        <w:t xml:space="preserve">年</w:t>
      </w:r>
      <w:r>
        <w:rPr>
          <w:rFonts w:hint="eastAsia" w:ascii="宋体" w:hAnsi="宋体" w:cs="Arial"/>
          <w:b/>
          <w:color w:val="000000"/>
          <w:sz w:val="32"/>
          <w:szCs w:val="32"/>
          <w:highlight w:val="none"/>
          <w:lang w:val="en-US" w:eastAsia="zh-CN"/>
        </w:rPr>
        <w:t xml:space="preserve">7</w:t>
      </w:r>
      <w:r>
        <w:rPr>
          <w:rFonts w:hint="eastAsia" w:ascii="宋体" w:hAnsi="宋体" w:eastAsia="宋体" w:cs="Arial"/>
          <w:b/>
          <w:color w:val="000000"/>
          <w:sz w:val="32"/>
          <w:szCs w:val="32"/>
          <w:highlight w:val="none"/>
        </w:rPr>
        <w:t xml:space="preserve">月</w:t>
      </w:r>
      <w:r>
        <w:rPr>
          <w:rFonts w:ascii="宋体" w:hAnsi="宋体" w:eastAsia="宋体" w:cs="Arial"/>
          <w:b/>
          <w:color w:val="000000"/>
          <w:sz w:val="32"/>
          <w:szCs w:val="32"/>
          <w:highlight w:val="none"/>
        </w:rPr>
      </w:r>
      <w:r/>
    </w:p>
    <w:p>
      <w:pPr>
        <w:pStyle w:val="917"/>
        <w:spacing w:before="120" w:beforeAutospacing="0" w:after="120" w:afterAutospacing="0" w:line="480" w:lineRule="auto"/>
        <w:rPr>
          <w:rFonts w:ascii="宋体" w:hAnsi="宋体" w:eastAsia="宋体"/>
          <w:color w:val="000000"/>
          <w:highlight w:val="none"/>
        </w:rPr>
      </w:pPr>
      <w:r>
        <w:rPr>
          <w:rFonts w:ascii="宋体" w:hAnsi="宋体" w:eastAsia="宋体" w:cs="Arial"/>
          <w:color w:val="000000"/>
          <w:highlight w:val="none"/>
        </w:rPr>
        <w:t xml:space="preserve">                        </w:t>
      </w:r>
      <w:r>
        <w:rPr>
          <w:rFonts w:ascii="宋体" w:hAnsi="宋体" w:eastAsia="宋体"/>
          <w:color w:val="000000"/>
          <w:highlight w:val="none"/>
        </w:rPr>
      </w:r>
      <w:r/>
    </w:p>
    <w:p>
      <w:pPr>
        <w:pStyle w:val="917"/>
        <w:jc w:val="center"/>
        <w:spacing w:before="120" w:beforeAutospacing="0" w:after="120" w:afterAutospacing="0" w:line="360" w:lineRule="auto"/>
        <w:rPr>
          <w:rFonts w:ascii="宋体" w:hAnsi="宋体" w:eastAsia="宋体"/>
          <w:color w:val="000000"/>
          <w:highlight w:val="none"/>
        </w:rPr>
      </w:pPr>
      <w:r>
        <w:rPr>
          <w:rFonts w:ascii="宋体" w:hAnsi="宋体" w:eastAsia="宋体"/>
          <w:color w:val="000000"/>
          <w:highlight w:val="none"/>
        </w:rPr>
        <w:t xml:space="preserve"> </w:t>
      </w:r>
      <w:bookmarkStart w:id="0" w:name="_Toc523127445"/>
      <w:r/>
      <w:bookmarkStart w:id="1" w:name="_Toc20823272"/>
      <w:r/>
      <w:bookmarkStart w:id="2" w:name="_Toc16938516"/>
      <w:r/>
      <w:bookmarkStart w:id="3" w:name="_Toc120614210"/>
      <w:r/>
      <w:bookmarkStart w:id="4" w:name="_Toc479757206"/>
      <w:r/>
      <w:bookmarkStart w:id="5" w:name="_Toc513029200"/>
      <w:r>
        <w:rPr>
          <w:rFonts w:ascii="宋体" w:hAnsi="宋体" w:eastAsia="宋体"/>
          <w:color w:val="000000"/>
          <w:highlight w:val="none"/>
        </w:rPr>
      </w:r>
      <w:r/>
    </w:p>
    <w:p>
      <w:pPr>
        <w:pStyle w:val="921"/>
        <w:jc w:val="center"/>
        <w:rPr>
          <w:color w:val="000000"/>
          <w:highlight w:val="none"/>
        </w:rPr>
        <w:sectPr>
          <w:footerReference w:type="default" r:id="rId10"/>
          <w:footerReference w:type="first" r:id="rId11"/>
          <w:footnotePr/>
          <w:endnotePr/>
          <w:type w:val="nextPage"/>
          <w:pgSz w:w="11906" w:h="16838" w:orient="portrait"/>
          <w:pgMar w:top="1440" w:right="1797" w:bottom="1440" w:left="1797" w:header="851" w:footer="992" w:gutter="0"/>
          <w:cols w:num="1" w:sep="0" w:space="1701" w:equalWidth="1"/>
          <w:docGrid w:linePitch="360"/>
          <w:titlePg/>
        </w:sectPr>
      </w:pPr>
      <w:r>
        <w:rPr>
          <w:color w:val="000000"/>
          <w:highlight w:val="none"/>
        </w:rPr>
      </w:r>
      <w:r/>
    </w:p>
    <w:p>
      <w:pPr>
        <w:pStyle w:val="864"/>
        <w:rPr>
          <w:color w:val="000000"/>
          <w:highlight w:val="none"/>
        </w:rPr>
      </w:pPr>
      <w:r>
        <w:rPr>
          <w:color w:val="000000"/>
          <w:highlight w:val="none"/>
        </w:rPr>
      </w:r>
      <w:r/>
    </w:p>
    <w:p>
      <w:pPr>
        <w:pStyle w:val="921"/>
        <w:jc w:val="center"/>
        <w:rPr>
          <w:color w:val="000000"/>
          <w:highlight w:val="none"/>
        </w:rPr>
      </w:pPr>
      <w:r>
        <w:rPr>
          <w:color w:val="000000"/>
          <w:highlight w:val="none"/>
        </w:rPr>
      </w:r>
      <w:r/>
    </w:p>
    <w:p>
      <w:pPr>
        <w:pStyle w:val="921"/>
        <w:jc w:val="center"/>
        <w:rPr>
          <w:rFonts w:ascii="宋体" w:hAnsi="宋体"/>
          <w:color w:val="000000"/>
          <w:highlight w:val="none"/>
        </w:rPr>
      </w:pPr>
      <w:r>
        <w:rPr>
          <w:rFonts w:ascii="宋体" w:hAnsi="宋体" w:cs="黑体"/>
          <w:b/>
          <w:color w:val="000000"/>
          <w:sz w:val="44"/>
          <w:szCs w:val="44"/>
          <w:highlight w:val="none"/>
        </w:rPr>
        <w:t xml:space="preserve">总  目  录</w:t>
      </w:r>
      <w:bookmarkEnd w:id="0"/>
      <w:r/>
      <w:bookmarkEnd w:id="1"/>
      <w:r/>
      <w:bookmarkEnd w:id="2"/>
      <w:r/>
      <w:bookmarkEnd w:id="3"/>
      <w:r/>
      <w:bookmarkEnd w:id="4"/>
      <w:r/>
      <w:bookmarkEnd w:id="5"/>
      <w:r>
        <w:rPr>
          <w:rFonts w:ascii="宋体" w:hAnsi="宋体"/>
          <w:color w:val="000000"/>
          <w:highlight w:val="none"/>
        </w:rPr>
      </w:r>
      <w:r/>
    </w:p>
    <w:p>
      <w:pPr>
        <w:pStyle w:val="917"/>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第一章 招标公告……………………………………3</w:t>
      </w:r>
      <w:r>
        <w:rPr>
          <w:rFonts w:ascii="宋体" w:hAnsi="宋体" w:eastAsia="宋体"/>
          <w:color w:val="000000"/>
          <w:sz w:val="32"/>
          <w:szCs w:val="32"/>
          <w:highlight w:val="none"/>
        </w:rPr>
      </w:r>
      <w:r/>
    </w:p>
    <w:p>
      <w:pPr>
        <w:pStyle w:val="917"/>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第二章 投标人须知…………………………………6</w:t>
      </w:r>
      <w:r>
        <w:rPr>
          <w:rFonts w:ascii="宋体" w:hAnsi="宋体" w:eastAsia="宋体"/>
          <w:color w:val="000000"/>
          <w:sz w:val="32"/>
          <w:szCs w:val="32"/>
          <w:highlight w:val="none"/>
        </w:rPr>
      </w:r>
      <w:r/>
    </w:p>
    <w:p>
      <w:pPr>
        <w:pStyle w:val="917"/>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第三章 合同条款……………………………………20</w:t>
      </w:r>
      <w:r>
        <w:rPr>
          <w:rFonts w:ascii="宋体" w:hAnsi="宋体" w:eastAsia="宋体"/>
          <w:color w:val="000000"/>
          <w:sz w:val="32"/>
          <w:szCs w:val="32"/>
          <w:highlight w:val="none"/>
        </w:rPr>
      </w:r>
      <w:r/>
    </w:p>
    <w:p>
      <w:pPr>
        <w:pStyle w:val="917"/>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第四章 采购需求……………………………………29</w:t>
      </w:r>
      <w:r>
        <w:rPr>
          <w:rFonts w:ascii="宋体" w:hAnsi="宋体" w:eastAsia="宋体"/>
          <w:color w:val="000000"/>
          <w:sz w:val="32"/>
          <w:szCs w:val="32"/>
          <w:highlight w:val="none"/>
        </w:rPr>
      </w:r>
      <w:r/>
    </w:p>
    <w:p>
      <w:pPr>
        <w:pStyle w:val="917"/>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第五章 评标方法与评标标准………………………35</w:t>
      </w:r>
      <w:r>
        <w:rPr>
          <w:rFonts w:ascii="宋体" w:hAnsi="宋体" w:eastAsia="宋体"/>
          <w:color w:val="000000"/>
          <w:sz w:val="32"/>
          <w:szCs w:val="32"/>
          <w:highlight w:val="none"/>
        </w:rPr>
      </w:r>
      <w:r/>
    </w:p>
    <w:p>
      <w:pPr>
        <w:pStyle w:val="917"/>
        <w:ind w:firstLine="723"/>
        <w:jc w:val="both"/>
        <w:spacing w:beforeAutospacing="0" w:afterAutospacing="0" w:line="720" w:lineRule="exact"/>
        <w:tabs>
          <w:tab w:val="left" w:pos="1441" w:leader="none"/>
        </w:tabs>
        <w:rPr>
          <w:rFonts w:ascii="宋体" w:hAnsi="宋体" w:eastAsia="宋体"/>
          <w:color w:val="000000"/>
          <w:sz w:val="32"/>
          <w:szCs w:val="32"/>
          <w:highlight w:val="none"/>
        </w:rPr>
      </w:pPr>
      <w:r>
        <w:rPr>
          <w:rFonts w:hint="eastAsia" w:ascii="宋体" w:hAnsi="宋体" w:eastAsia="宋体" w:cs="黑体"/>
          <w:color w:val="000000"/>
          <w:sz w:val="32"/>
          <w:szCs w:val="32"/>
          <w:highlight w:val="none"/>
        </w:rPr>
        <w:t xml:space="preserve">第六章 投标文件格式………………………………38</w:t>
      </w:r>
      <w:r>
        <w:rPr>
          <w:rFonts w:ascii="宋体" w:hAnsi="宋体" w:eastAsia="宋体"/>
          <w:color w:val="000000"/>
          <w:sz w:val="32"/>
          <w:szCs w:val="32"/>
          <w:highlight w:val="none"/>
        </w:rPr>
      </w:r>
      <w:r/>
    </w:p>
    <w:p>
      <w:pPr>
        <w:pStyle w:val="917"/>
        <w:jc w:val="both"/>
        <w:spacing w:beforeAutospacing="0" w:afterAutospacing="0" w:line="720" w:lineRule="exact"/>
        <w:rPr>
          <w:rFonts w:ascii="宋体" w:hAnsi="宋体" w:eastAsia="宋体"/>
          <w:color w:val="000000"/>
          <w:sz w:val="32"/>
          <w:szCs w:val="32"/>
          <w:highlight w:val="none"/>
        </w:rPr>
      </w:pPr>
      <w:r>
        <w:rPr>
          <w:rFonts w:ascii="宋体" w:hAnsi="宋体" w:eastAsia="宋体"/>
          <w:color w:val="000000"/>
          <w:sz w:val="32"/>
          <w:szCs w:val="32"/>
          <w:highlight w:val="none"/>
        </w:rPr>
        <w:t xml:space="preserve"> </w:t>
      </w:r>
      <w:r>
        <w:rPr>
          <w:rFonts w:ascii="宋体" w:hAnsi="宋体" w:eastAsia="宋体"/>
          <w:color w:val="000000"/>
          <w:sz w:val="32"/>
          <w:szCs w:val="32"/>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ind w:firstLine="883"/>
        <w:jc w:val="center"/>
        <w:spacing w:beforeAutospacing="0" w:afterAutospacing="0"/>
        <w:rPr>
          <w:rFonts w:ascii="宋体" w:hAnsi="宋体" w:eastAsia="宋体"/>
          <w:b/>
          <w:color w:val="000000"/>
          <w:highlight w:val="none"/>
        </w:rPr>
      </w:pPr>
      <w:r>
        <w:rPr>
          <w:rFonts w:hint="eastAsia" w:ascii="宋体" w:hAnsi="宋体" w:eastAsia="宋体" w:cs="黑体"/>
          <w:b/>
          <w:color w:val="000000"/>
          <w:sz w:val="44"/>
          <w:szCs w:val="44"/>
          <w:highlight w:val="none"/>
        </w:rPr>
        <w:t xml:space="preserve">第一章 </w:t>
      </w:r>
      <w:bookmarkStart w:id="6" w:name="_Hlk213334991"/>
      <w:r>
        <w:rPr>
          <w:rFonts w:hint="eastAsia" w:ascii="宋体" w:hAnsi="宋体" w:eastAsia="宋体" w:cs="黑体"/>
          <w:b/>
          <w:color w:val="000000"/>
          <w:sz w:val="44"/>
          <w:szCs w:val="44"/>
          <w:highlight w:val="none"/>
        </w:rPr>
        <w:t xml:space="preserve">招标公告</w:t>
      </w:r>
      <w:r>
        <w:rPr>
          <w:rFonts w:ascii="宋体" w:hAnsi="宋体" w:eastAsia="宋体"/>
          <w:b/>
          <w:color w:val="000000"/>
          <w:highlight w:val="none"/>
        </w:rPr>
      </w:r>
      <w:r/>
    </w:p>
    <w:p>
      <w:pPr>
        <w:pStyle w:val="917"/>
        <w:jc w:val="both"/>
        <w:spacing w:beforeAutospacing="0" w:afterAutospacing="0" w:line="32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64"/>
        <w:ind w:firstLine="482"/>
        <w:jc w:val="both"/>
        <w:spacing w:line="440" w:lineRule="exact"/>
        <w:widowControl w:val="off"/>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bookmarkStart w:id="7" w:name="_Toc28359002"/>
      <w:r/>
      <w:bookmarkStart w:id="8" w:name="_Toc35393790"/>
      <w:r/>
      <w:bookmarkStart w:id="9" w:name="_Toc35393621"/>
      <w:r/>
      <w:bookmarkStart w:id="10" w:name="_Toc38985263"/>
      <w:r/>
      <w:bookmarkStart w:id="11" w:name="_Hlk24379207"/>
      <w:r/>
      <w:bookmarkStart w:id="12" w:name="_Toc28359079"/>
      <w:r>
        <w:rPr>
          <w:rFonts w:hint="eastAsia" w:ascii="宋体" w:hAnsi="宋体" w:cs="宋体"/>
          <w:color w:val="000000"/>
          <w:sz w:val="24"/>
          <w:szCs w:val="24"/>
          <w:highlight w:val="none"/>
          <w:u w:val="single"/>
          <w:lang w:eastAsia="zh-CN"/>
        </w:rPr>
        <w:t xml:space="preserve">步凤河以西河道保洁服务项目</w:t>
      </w:r>
      <w:r>
        <w:rPr>
          <w:rFonts w:hint="eastAsia" w:ascii="宋体" w:hAnsi="宋体" w:eastAsia="宋体" w:cs="宋体"/>
          <w:color w:val="000000"/>
          <w:sz w:val="24"/>
          <w:szCs w:val="24"/>
          <w:highlight w:val="none"/>
          <w:u w:val="single"/>
          <w:lang w:eastAsia="zh-CN"/>
        </w:rPr>
        <w:t xml:space="preserve">JSZC-320991-JSJW-G2026-</w:t>
      </w:r>
      <w:r>
        <w:rPr>
          <w:rFonts w:hint="eastAsia" w:ascii="宋体" w:hAnsi="宋体" w:eastAsia="宋体" w:cs="宋体"/>
          <w:color w:val="000000"/>
          <w:sz w:val="24"/>
          <w:szCs w:val="24"/>
          <w:highlight w:val="none"/>
          <w:u w:val="single"/>
          <w:lang w:val="en-US" w:eastAsia="zh-CN"/>
        </w:rPr>
        <w:t xml:space="preserve">0031</w:t>
      </w:r>
      <w:r>
        <w:rPr>
          <w:rFonts w:hint="eastAsia" w:ascii="宋体" w:hAnsi="宋体" w:eastAsia="宋体" w:cs="宋体"/>
          <w:color w:val="000000"/>
          <w:sz w:val="24"/>
          <w:szCs w:val="24"/>
          <w:highlight w:val="none"/>
          <w:u w:val="single"/>
        </w:rPr>
        <w:t xml:space="preserve">招标项目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年7</w:t>
      </w:r>
      <w:r>
        <w:rPr>
          <w:rFonts w:hint="eastAsia" w:ascii="宋体" w:hAnsi="宋体" w:eastAsia="宋体" w:cs="宋体"/>
          <w:color w:val="000000"/>
          <w:sz w:val="24"/>
          <w:szCs w:val="24"/>
          <w:highlight w:val="none"/>
          <w:u w:val="single"/>
        </w:rPr>
        <w:t xml:space="preserve">月28</w:t>
      </w:r>
      <w:r>
        <w:rPr>
          <w:rFonts w:hint="eastAsia" w:ascii="宋体" w:hAnsi="宋体" w:eastAsia="宋体" w:cs="宋体"/>
          <w:color w:val="000000"/>
          <w:sz w:val="24"/>
          <w:szCs w:val="24"/>
          <w:highlight w:val="none"/>
          <w:u w:val="single"/>
        </w:rPr>
        <w:t xml:space="preserve">日9:00</w:t>
      </w:r>
      <w:r>
        <w:rPr>
          <w:rFonts w:hint="eastAsia" w:ascii="宋体" w:hAnsi="宋体" w:eastAsia="宋体" w:cs="宋体"/>
          <w:color w:val="000000"/>
          <w:sz w:val="24"/>
          <w:szCs w:val="24"/>
          <w:highlight w:val="none"/>
          <w:u w:val="single"/>
          <w:lang w:eastAsia="zh-CN"/>
        </w:rPr>
        <w:t xml:space="preserve">时</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917"/>
        <w:ind w:firstLine="482"/>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color w:val="000000"/>
          <w:sz w:val="24"/>
          <w:szCs w:val="24"/>
          <w:highlight w:val="none"/>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1.项目编</w:t>
      </w:r>
      <w:bookmarkStart w:id="13" w:name="OLE_LINK1"/>
      <w:r>
        <w:rPr>
          <w:rFonts w:hint="eastAsia" w:ascii="宋体" w:hAnsi="宋体" w:eastAsia="宋体" w:cs="宋体"/>
          <w:color w:val="000000"/>
          <w:sz w:val="24"/>
          <w:szCs w:val="24"/>
          <w:highlight w:val="none"/>
          <w:shd w:val="clear" w:color="auto" w:fill="ffffff"/>
        </w:rPr>
        <w:t xml:space="preserve">号：</w:t>
      </w:r>
      <w:bookmarkEnd w:id="13"/>
      <w:r>
        <w:rPr>
          <w:rFonts w:hint="eastAsia" w:ascii="宋体" w:hAnsi="宋体" w:eastAsia="宋体" w:cs="宋体"/>
          <w:color w:val="000000"/>
          <w:sz w:val="24"/>
          <w:szCs w:val="24"/>
          <w:highlight w:val="none"/>
          <w:shd w:val="clear" w:color="auto" w:fill="ffffff"/>
        </w:rPr>
        <w:t xml:space="preserve">JSZC-320991-JSJW-G2026-</w:t>
      </w:r>
      <w:r>
        <w:rPr>
          <w:rFonts w:hint="eastAsia" w:cs="宋体"/>
          <w:color w:val="000000"/>
          <w:sz w:val="24"/>
          <w:szCs w:val="24"/>
          <w:highlight w:val="none"/>
          <w:shd w:val="clear" w:color="auto" w:fill="ffffff"/>
          <w:lang w:val="en-US" w:eastAsia="zh-CN"/>
        </w:rPr>
        <w:t xml:space="preserve">0031 </w:t>
      </w:r>
      <w:r>
        <w:rPr>
          <w:rFonts w:hint="eastAsia" w:ascii="宋体" w:hAnsi="宋体" w:eastAsia="宋体" w:cs="宋体"/>
          <w:color w:val="000000"/>
          <w:sz w:val="24"/>
          <w:szCs w:val="24"/>
          <w:highlight w:val="none"/>
          <w:shd w:val="clear" w:color="auto" w:fill="ffffff"/>
          <w:lang w:eastAsia="zh-CN"/>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2.项目名称：</w:t>
      </w:r>
      <w:r>
        <w:rPr>
          <w:rFonts w:hint="eastAsia" w:cs="宋体"/>
          <w:color w:val="000000"/>
          <w:sz w:val="24"/>
          <w:szCs w:val="24"/>
          <w:highlight w:val="none"/>
          <w:shd w:val="clear" w:color="auto" w:fill="ffffff"/>
          <w:lang w:eastAsia="zh-CN"/>
        </w:rPr>
        <w:t xml:space="preserve">步凤河以西河道保洁服务项目</w:t>
      </w:r>
      <w:r>
        <w:rPr>
          <w:rFonts w:hint="eastAsia" w:ascii="宋体" w:hAnsi="宋体" w:eastAsia="宋体" w:cs="宋体"/>
          <w:color w:val="000000"/>
          <w:sz w:val="24"/>
          <w:szCs w:val="24"/>
          <w:highlight w:val="none"/>
          <w:shd w:val="clear" w:color="auto" w:fill="ffffff"/>
          <w:lang w:eastAsia="zh-CN"/>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3.采购方式：公开招标</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4.预算金额：</w:t>
      </w:r>
      <w:r>
        <w:rPr>
          <w:rFonts w:hint="eastAsia" w:cs="宋体"/>
          <w:color w:val="000000"/>
          <w:sz w:val="24"/>
          <w:szCs w:val="24"/>
          <w:highlight w:val="none"/>
          <w:shd w:val="clear" w:color="auto" w:fill="ffffff"/>
          <w:lang w:val="en-US" w:eastAsia="zh-CN"/>
        </w:rPr>
        <w:t xml:space="preserve">140.4</w:t>
      </w:r>
      <w:r>
        <w:rPr>
          <w:rFonts w:hint="eastAsia" w:ascii="宋体" w:hAnsi="宋体" w:eastAsia="宋体" w:cs="宋体"/>
          <w:color w:val="000000"/>
          <w:sz w:val="24"/>
          <w:szCs w:val="24"/>
          <w:highlight w:val="none"/>
          <w:shd w:val="clear" w:color="auto" w:fill="ffffff"/>
        </w:rPr>
        <w:t xml:space="preserve">万元</w:t>
      </w:r>
      <w:r>
        <w:rPr>
          <w:rFonts w:hint="eastAsia" w:ascii="宋体" w:hAnsi="宋体" w:cs="宋体"/>
          <w:color w:val="000000"/>
          <w:sz w:val="24"/>
          <w:szCs w:val="24"/>
          <w:highlight w:val="none"/>
          <w:lang w:val="en-US" w:eastAsia="zh-CN"/>
        </w:rPr>
        <w:t xml:space="preserve">（</w:t>
      </w:r>
      <w:r>
        <w:rPr>
          <w:rFonts w:hint="eastAsia"/>
          <w:color w:val="000000"/>
          <w:highlight w:val="none"/>
        </w:rPr>
        <w:t xml:space="preserve">其中</w:t>
      </w:r>
      <w:r>
        <w:rPr>
          <w:rFonts w:hint="eastAsia" w:ascii="宋体" w:hAnsi="宋体" w:cs="宋体"/>
          <w:color w:val="000000"/>
          <w:sz w:val="24"/>
          <w:szCs w:val="24"/>
          <w:highlight w:val="none"/>
          <w:lang w:val="en-US" w:eastAsia="zh-CN"/>
        </w:rPr>
        <w:t xml:space="preserve">采购包1: </w:t>
      </w:r>
      <w:bookmarkStart w:id="14" w:name="OLE_LINK80"/>
      <w:r/>
      <w:bookmarkStart w:id="15" w:name="OLE_LINK82"/>
      <w:r>
        <w:rPr>
          <w:rFonts w:hint="eastAsia" w:ascii="宋体" w:hAnsi="宋体" w:cs="宋体"/>
          <w:color w:val="000000"/>
          <w:sz w:val="24"/>
          <w:szCs w:val="24"/>
          <w:highlight w:val="none"/>
          <w:lang w:val="en-US" w:eastAsia="zh-CN"/>
        </w:rPr>
        <w:t xml:space="preserve">64.98万元，采购包2: 75.42万元</w:t>
      </w:r>
      <w:bookmarkEnd w:id="14"/>
      <w:r/>
      <w:bookmarkEnd w:id="15"/>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5.最高限价：</w:t>
      </w:r>
      <w:r>
        <w:rPr>
          <w:rFonts w:hint="eastAsia" w:cs="宋体"/>
          <w:color w:val="000000"/>
          <w:sz w:val="24"/>
          <w:szCs w:val="24"/>
          <w:highlight w:val="none"/>
          <w:shd w:val="clear" w:color="auto" w:fill="ffffff"/>
          <w:lang w:val="en-US" w:eastAsia="zh-CN"/>
        </w:rPr>
        <w:t xml:space="preserve">140.4</w:t>
      </w:r>
      <w:r>
        <w:rPr>
          <w:rFonts w:hint="eastAsia" w:ascii="宋体" w:hAnsi="宋体" w:eastAsia="宋体" w:cs="宋体"/>
          <w:color w:val="000000"/>
          <w:sz w:val="24"/>
          <w:szCs w:val="24"/>
          <w:highlight w:val="none"/>
          <w:shd w:val="clear" w:color="auto" w:fill="ffffff"/>
        </w:rPr>
        <w:t xml:space="preserve">万元</w:t>
      </w:r>
      <w:r>
        <w:rPr>
          <w:rFonts w:hint="eastAsia" w:ascii="宋体" w:hAnsi="宋体" w:cs="宋体"/>
          <w:color w:val="000000"/>
          <w:sz w:val="24"/>
          <w:szCs w:val="24"/>
          <w:highlight w:val="none"/>
          <w:lang w:val="en-US" w:eastAsia="zh-CN"/>
        </w:rPr>
        <w:t xml:space="preserve">（</w:t>
      </w:r>
      <w:r>
        <w:rPr>
          <w:rFonts w:hint="eastAsia"/>
          <w:color w:val="000000"/>
          <w:highlight w:val="none"/>
        </w:rPr>
        <w:t xml:space="preserve">其中</w:t>
      </w:r>
      <w:r>
        <w:rPr>
          <w:rFonts w:hint="eastAsia" w:ascii="宋体" w:hAnsi="宋体" w:cs="宋体"/>
          <w:color w:val="000000"/>
          <w:sz w:val="24"/>
          <w:szCs w:val="24"/>
          <w:highlight w:val="none"/>
          <w:lang w:val="en-US" w:eastAsia="zh-CN"/>
        </w:rPr>
        <w:t xml:space="preserve">采购包1: 64.98万元，采购包2: 75.42万元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shd w:val="clear" w:color="auto" w:fill="ffffff"/>
        </w:rPr>
        <w:t xml:space="preserve">，投标报价高于最高限价为无效报价</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本次招标项目：共分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分包</w:t>
      </w:r>
      <w:r>
        <w:rPr>
          <w:rFonts w:hint="eastAsia" w:ascii="宋体" w:hAnsi="宋体" w:eastAsia="宋体" w:cs="宋体"/>
          <w:color w:val="000000"/>
          <w:sz w:val="24"/>
          <w:szCs w:val="24"/>
          <w:highlight w:val="none"/>
        </w:rPr>
        <w:t xml:space="preserve">，投标人可对本次招标的部分</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或全部</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进行投标，兼投不兼中，定</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顺序为</w:t>
      </w:r>
      <w:r>
        <w:rPr>
          <w:rFonts w:hint="eastAsia" w:ascii="宋体" w:hAnsi="宋体" w:eastAsia="宋体" w:cs="宋体"/>
          <w:color w:val="000000"/>
          <w:sz w:val="24"/>
          <w:szCs w:val="24"/>
          <w:highlight w:val="none"/>
          <w:lang w:val="en-US" w:eastAsia="zh-CN"/>
        </w:rPr>
        <w:t xml:space="preserve">包1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包2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当投标人在包1中已确定为第一中标候选人时，其投标文件仍参与包2的评审，但不作为中标候选人进行排序。</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6.采购需求：</w:t>
      </w:r>
      <w:bookmarkStart w:id="16" w:name="OLE_LINK73"/>
      <w:r/>
      <w:bookmarkStart w:id="17" w:name="OLE_LINK4"/>
      <w:r>
        <w:rPr>
          <w:rFonts w:hint="eastAsia" w:ascii="宋体" w:hAnsi="宋体" w:eastAsia="宋体" w:cs="宋体"/>
          <w:color w:val="000000"/>
          <w:sz w:val="24"/>
          <w:szCs w:val="24"/>
          <w:highlight w:val="none"/>
          <w:shd w:val="clear" w:color="auto" w:fill="ffffff"/>
        </w:rPr>
        <w:t xml:space="preserve">步凤河以西河道保洁服务项目，包括但不限于对步凤河以西村内所有河道进行保洁服务，确保河桥下空间、涵洞无乱堆杂物、无生产生活垃圾；河坡无生产生活垃圾杂物、水域打捞的漂浮物必须及时清运不得堆积在河道两侧；水域河面无漂浮物、无生产生活垃圾、无杂草；水域无动物尸体、无工业废弃物、无片状带状水生植物、以及大面积黑水草、浮萍、无水生杂草、水花生，保持水面洁净，水体畅通。具体要求详见招标文件第四章采购需求</w:t>
      </w:r>
      <w:bookmarkEnd w:id="16"/>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7.合同履行期限：</w:t>
      </w:r>
      <w:r>
        <w:rPr>
          <w:rFonts w:hint="eastAsia" w:cs="宋体"/>
          <w:color w:val="000000"/>
          <w:sz w:val="24"/>
          <w:szCs w:val="24"/>
          <w:highlight w:val="none"/>
          <w:shd w:val="clear" w:color="auto" w:fill="ffffff"/>
          <w:lang w:val="en-US" w:eastAsia="zh-CN"/>
        </w:rPr>
        <w:t xml:space="preserve">一年，自合同签订之日起计。</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917"/>
        <w:ind w:firstLine="480"/>
        <w:jc w:val="both"/>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8.</w:t>
      </w:r>
      <w:bookmarkEnd w:id="17"/>
      <w:r/>
      <w:bookmarkStart w:id="18" w:name="_Toc35393791"/>
      <w:r/>
      <w:bookmarkStart w:id="19" w:name="_Toc28359003"/>
      <w:r/>
      <w:bookmarkStart w:id="20" w:name="_Toc35393622"/>
      <w:r/>
      <w:bookmarkStart w:id="21" w:name="_Toc28359080"/>
      <w:r/>
      <w:bookmarkStart w:id="22" w:name="_Toc38985264"/>
      <w:r>
        <w:rPr>
          <w:rFonts w:hint="eastAsia" w:ascii="宋体" w:hAnsi="宋体" w:eastAsia="宋体" w:cs="宋体"/>
          <w:color w:val="000000"/>
          <w:sz w:val="24"/>
          <w:szCs w:val="24"/>
          <w:highlight w:val="none"/>
          <w:shd w:val="clear" w:color="auto" w:fill="ffffff"/>
        </w:rPr>
        <w:t xml:space="preserve">本项目（是/否）接受联合体投标：否</w:t>
      </w:r>
      <w:r>
        <w:rPr>
          <w:rFonts w:hint="eastAsia" w:ascii="宋体" w:hAnsi="宋体" w:eastAsia="宋体" w:cs="宋体"/>
          <w:color w:val="000000"/>
          <w:sz w:val="24"/>
          <w:szCs w:val="24"/>
          <w:highlight w:val="none"/>
          <w:shd w:val="clear" w:color="auto" w:fill="ffffff"/>
        </w:rPr>
      </w:r>
      <w:r/>
    </w:p>
    <w:p>
      <w:pPr>
        <w:pStyle w:val="91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二、申请人的资格要求：</w:t>
      </w:r>
      <w:bookmarkEnd w:id="18"/>
      <w:r/>
      <w:bookmarkEnd w:id="19"/>
      <w:r/>
      <w:bookmarkEnd w:id="20"/>
      <w:r/>
      <w:bookmarkEnd w:id="21"/>
      <w:r/>
      <w:bookmarkEnd w:id="22"/>
      <w:r>
        <w:rPr>
          <w:rFonts w:hint="eastAsia" w:ascii="宋体" w:hAnsi="宋体" w:eastAsia="宋体" w:cs="宋体"/>
          <w:color w:val="000000"/>
          <w:sz w:val="24"/>
          <w:szCs w:val="24"/>
          <w:highlight w:val="none"/>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(一)满足《中华人民共和国政府采购法》第二十二条规定，并提供下列材料：</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1.法人或者其他组织的营业执照等证明文件，自然人的身份证明；</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2.上一年度的财务状况报告(成立不满一年无需提供)；</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3.具备履行合同所必需的设备和专业技术能力的书面声明；</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ffffff"/>
        </w:rPr>
      </w:r>
      <w:r/>
    </w:p>
    <w:p>
      <w:pPr>
        <w:pStyle w:val="96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8.单位负责人为同一人或者存在直接控股、管理关系的不同供应商，不得参加同一合同项下的政府采购活动。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shd w:val="clear" w:color="auto" w:fill="ffffff"/>
        </w:rPr>
      </w:r>
      <w:r/>
    </w:p>
    <w:p>
      <w:pPr>
        <w:pStyle w:val="864"/>
        <w:ind w:firstLine="480"/>
        <w:keepLines w:val="0"/>
        <w:keepNext w:val="0"/>
        <w:pageBreakBefore w:val="0"/>
        <w:spacing w:line="440" w:lineRule="exact"/>
        <w:widowControl w:val="off"/>
        <w:tabs>
          <w:tab w:val="left" w:pos="900"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(二)落实政府采购政策需满足的资格要求：</w:t>
      </w:r>
      <w:r>
        <w:rPr>
          <w:rFonts w:hint="eastAsia" w:ascii="宋体" w:hAnsi="宋体" w:cs="宋体"/>
          <w:b/>
          <w:bCs/>
          <w:color w:val="000000"/>
          <w:sz w:val="24"/>
          <w:highlight w:val="none"/>
        </w:rPr>
        <w:t xml:space="preserve">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000000"/>
          <w:sz w:val="24"/>
          <w:szCs w:val="24"/>
          <w:highlight w:val="none"/>
          <w:shd w:val="clear" w:color="auto" w:fill="ffffff"/>
        </w:rPr>
      </w:r>
      <w:r/>
    </w:p>
    <w:p>
      <w:pPr>
        <w:pStyle w:val="864"/>
        <w:ind w:firstLine="480"/>
        <w:keepLines w:val="0"/>
        <w:keepNext w:val="0"/>
        <w:pageBreakBefore w:val="0"/>
        <w:spacing w:line="440" w:lineRule="exact"/>
        <w:widowControl w:val="off"/>
        <w:tabs>
          <w:tab w:val="left" w:pos="900" w:leader="none"/>
        </w:tabs>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rPr>
        <w:t xml:space="preserve">(三)本项目的特定资格要求：</w:t>
      </w:r>
      <w:r>
        <w:rPr>
          <w:rFonts w:hint="eastAsia" w:ascii="宋体" w:hAnsi="宋体" w:cs="宋体"/>
          <w:color w:val="000000"/>
          <w:sz w:val="24"/>
          <w:szCs w:val="24"/>
          <w:highlight w:val="none"/>
          <w:shd w:val="clear" w:color="auto" w:fill="ffffff"/>
          <w:lang w:val="en-US" w:eastAsia="zh-CN"/>
        </w:rPr>
        <w:t xml:space="preserve">无。</w:t>
      </w:r>
      <w:r>
        <w:rPr>
          <w:rFonts w:ascii="宋体" w:hAnsi="宋体" w:eastAsia="宋体" w:cs="宋体"/>
          <w:b/>
          <w:bCs/>
          <w:color w:val="000000"/>
          <w:sz w:val="24"/>
          <w:szCs w:val="24"/>
          <w:highlight w:val="none"/>
          <w:shd w:val="clear" w:color="auto" w:fill="ffffff"/>
          <w:lang w:val="en-US" w:eastAsia="zh-CN"/>
        </w:rPr>
      </w:r>
      <w:r/>
    </w:p>
    <w:p>
      <w:pPr>
        <w:pStyle w:val="965"/>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三、获取招标文件</w:t>
      </w:r>
      <w:r>
        <w:rPr>
          <w:rFonts w:hint="eastAsia" w:ascii="宋体" w:hAnsi="宋体" w:eastAsia="宋体" w:cs="宋体"/>
          <w:b/>
          <w:bCs/>
          <w:color w:val="000000"/>
          <w:sz w:val="24"/>
          <w:szCs w:val="24"/>
          <w:highlight w:val="none"/>
          <w:shd w:val="clear" w:color="auto" w:fill="ffffff"/>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23" w:name="_Toc35393793"/>
      <w:r/>
      <w:bookmarkStart w:id="24" w:name="_Toc28359005"/>
      <w:r/>
      <w:bookmarkStart w:id="25" w:name="_Toc35393624"/>
      <w:r/>
      <w:bookmarkStart w:id="26" w:name="_Toc28359082"/>
      <w:r/>
      <w:bookmarkStart w:id="27" w:name="_Toc38985266"/>
      <w:r>
        <w:rPr>
          <w:rFonts w:hint="eastAsia" w:ascii="宋体" w:hAnsi="宋体" w:eastAsia="宋体" w:cs="宋体"/>
          <w:color w:val="000000"/>
          <w:sz w:val="24"/>
          <w:szCs w:val="24"/>
          <w:highlight w:val="none"/>
        </w:rPr>
        <w:t xml:space="preserve">时间：</w:t>
      </w:r>
      <w:bookmarkEnd w:id="23"/>
      <w:r/>
      <w:bookmarkEnd w:id="24"/>
      <w:r/>
      <w:bookmarkEnd w:id="25"/>
      <w:r/>
      <w:bookmarkEnd w:id="26"/>
      <w:r/>
      <w:bookmarkEnd w:id="27"/>
      <w:r>
        <w:rPr>
          <w:rFonts w:hint="eastAsia" w:ascii="宋体" w:hAnsi="宋体" w:eastAsia="宋体" w:cs="宋体"/>
          <w:color w:val="000000"/>
          <w:sz w:val="24"/>
          <w:szCs w:val="24"/>
          <w:highlight w:val="none"/>
        </w:rPr>
        <w:t xml:space="preserve">自招标文件公告发布之日起5个工作日</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地点：“苏采云”系统内免费下载（投标人必须在苏采云系统中获取采购文件，方能参与政府采购项目）</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方式：本项目采用网上注册登记方式</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91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none"/>
        </w:rPr>
        <w:t xml:space="preserve">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月28</w:t>
      </w:r>
      <w:r>
        <w:rPr>
          <w:rFonts w:hint="eastAsia" w:ascii="宋体" w:hAnsi="宋体" w:eastAsia="宋体" w:cs="宋体"/>
          <w:color w:val="000000"/>
          <w:sz w:val="24"/>
          <w:szCs w:val="24"/>
          <w:highlight w:val="none"/>
          <w:u w:val="none"/>
        </w:rPr>
        <w:t xml:space="preserve">日 9:00</w:t>
      </w:r>
      <w:r>
        <w:rPr>
          <w:rFonts w:hint="eastAsia" w:ascii="宋体" w:hAnsi="宋体" w:eastAsia="宋体" w:cs="宋体"/>
          <w:color w:val="000000"/>
          <w:sz w:val="24"/>
          <w:szCs w:val="24"/>
          <w:highlight w:val="none"/>
          <w:u w:val="none"/>
          <w:lang w:eastAsia="zh-CN"/>
        </w:rPr>
        <w:t xml:space="preserve">时</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shd w:val="clear" w:color="auto" w:fill="ffffff"/>
        </w:rPr>
        <w:t xml:space="preserve">苏采云“不见面”开标大厅</w:t>
      </w:r>
      <w:r>
        <w:rPr>
          <w:rFonts w:hint="eastAsia" w:ascii="宋体" w:hAnsi="宋体" w:eastAsia="宋体" w:cs="宋体"/>
          <w:color w:val="000000"/>
          <w:sz w:val="24"/>
          <w:szCs w:val="24"/>
          <w:highlight w:val="none"/>
        </w:rPr>
      </w:r>
      <w:r/>
    </w:p>
    <w:p>
      <w:pPr>
        <w:pStyle w:val="91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bookmarkStart w:id="28" w:name="_Toc28359084"/>
      <w:r/>
      <w:bookmarkStart w:id="29" w:name="_Toc28359007"/>
      <w:r/>
      <w:bookmarkStart w:id="30" w:name="_Toc35393794"/>
      <w:r/>
      <w:bookmarkStart w:id="31" w:name="_Toc35393625"/>
      <w:r/>
      <w:bookmarkStart w:id="32" w:name="_Toc38985267"/>
      <w:r>
        <w:rPr>
          <w:rFonts w:hint="eastAsia" w:ascii="宋体" w:hAnsi="宋体" w:eastAsia="宋体" w:cs="宋体"/>
          <w:b/>
          <w:color w:val="000000"/>
          <w:sz w:val="24"/>
          <w:szCs w:val="24"/>
          <w:highlight w:val="none"/>
        </w:rPr>
        <w:t xml:space="preserve">五、公告期限</w:t>
      </w:r>
      <w:bookmarkEnd w:id="28"/>
      <w:r/>
      <w:bookmarkEnd w:id="29"/>
      <w:r/>
      <w:bookmarkEnd w:id="30"/>
      <w:r/>
      <w:bookmarkEnd w:id="31"/>
      <w:r/>
      <w:bookmarkEnd w:id="32"/>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33" w:name="_Toc35393795"/>
      <w:r/>
      <w:bookmarkStart w:id="34" w:name="_Toc38985268"/>
      <w:r/>
      <w:bookmarkStart w:id="35" w:name="_Toc35393626"/>
      <w:r>
        <w:rPr>
          <w:rFonts w:hint="eastAsia" w:ascii="宋体" w:hAnsi="宋体" w:eastAsia="宋体" w:cs="宋体"/>
          <w:color w:val="000000"/>
          <w:sz w:val="24"/>
          <w:szCs w:val="24"/>
          <w:highlight w:val="none"/>
        </w:rPr>
        <w:t xml:space="preserve">自本公告发布之日起5个工作日</w:t>
      </w:r>
      <w:bookmarkEnd w:id="33"/>
      <w:r/>
      <w:bookmarkEnd w:id="34"/>
      <w:r/>
      <w:bookmarkEnd w:id="35"/>
      <w:r>
        <w:rPr>
          <w:rFonts w:hint="eastAsia" w:ascii="宋体" w:hAnsi="宋体" w:eastAsia="宋体" w:cs="宋体"/>
          <w:color w:val="000000"/>
          <w:sz w:val="24"/>
          <w:szCs w:val="24"/>
          <w:highlight w:val="none"/>
        </w:rPr>
      </w:r>
      <w:r/>
    </w:p>
    <w:p>
      <w:pPr>
        <w:pStyle w:val="917"/>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36" w:name="_Toc28359018"/>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2.潜在供应商访问电子招标响应交易平台的网络地址和方法：</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潜在投标人访问“苏采云”系统方法：江苏省政府采购网首页-“苏采云”链接。</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采购文件（后缀名为“.kedt”）、供应商操作手册及政府采购客户端工具可通过“苏采云”系统相应链接进行下载。</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采购代理机构将数据电文形式的采购文件加载至“苏采云”系统，供潜在供应商下载或者查阅。</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请潜在投标单位提前安装相应的控件（详见《“苏采云”系统供应商操作手册》）并使用谷歌浏览器登录“苏采云”系统参与不见面开评标。</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如潜在投标人未按上述要求操作，将自行承担所产生的风险。</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3.有关本次招标的事项若存在变动或修改，敬请及时关注“中国政府采购网”、“江苏政府采购网”、“盐城市政府采购网”发布的更正公告。</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4.本次招标不收取投标保证金，不收取质量保证金。</w:t>
      </w:r>
      <w:r>
        <w:rPr>
          <w:rFonts w:hint="eastAsia" w:ascii="宋体" w:hAnsi="宋体" w:eastAsia="宋体" w:cs="宋体"/>
          <w:color w:val="000000"/>
          <w:sz w:val="24"/>
          <w:szCs w:val="24"/>
          <w:highlight w:val="none"/>
        </w:rPr>
      </w:r>
      <w:r/>
    </w:p>
    <w:p>
      <w:pPr>
        <w:pStyle w:val="917"/>
        <w:ind w:firstLine="482"/>
        <w:jc w:val="both"/>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七、对本次招标提出询问，请按以下方式联系。</w:t>
      </w:r>
      <w:bookmarkEnd w:id="36"/>
      <w:r>
        <w:rPr>
          <w:rFonts w:hint="eastAsia" w:ascii="宋体" w:hAnsi="宋体" w:eastAsia="宋体" w:cs="宋体"/>
          <w:b/>
          <w:color w:val="000000"/>
          <w:sz w:val="24"/>
          <w:szCs w:val="24"/>
          <w:highlight w:val="none"/>
        </w:rPr>
      </w:r>
      <w:r/>
    </w:p>
    <w:p>
      <w:pPr>
        <w:pStyle w:val="864"/>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采购人信息</w:t>
      </w:r>
      <w:r>
        <w:rPr>
          <w:rFonts w:hint="eastAsia" w:ascii="宋体" w:hAnsi="宋体" w:eastAsia="宋体" w:cs="宋体"/>
          <w:color w:val="000000"/>
          <w:sz w:val="24"/>
          <w:szCs w:val="24"/>
          <w:highlight w:val="none"/>
        </w:rPr>
      </w:r>
      <w:r/>
    </w:p>
    <w:p>
      <w:pPr>
        <w:ind w:firstLine="480"/>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t xml:space="preserve">采购包1、采购包2</w:t>
      </w: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盐城经济技术开发区步凤镇人民政府</w:t>
      </w:r>
      <w:r>
        <w:rPr>
          <w:rFonts w:hint="eastAsia" w:ascii="宋体" w:hAnsi="宋体" w:eastAsia="宋体" w:cs="宋体"/>
          <w:color w:val="000000"/>
          <w:sz w:val="24"/>
          <w:szCs w:val="24"/>
          <w:highlight w:val="none"/>
          <w:lang w:eastAsia="zh-CN"/>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盐城经济技术开发区步凤镇步凤路156号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Start w:id="37" w:name="OLE_LINK93"/>
      <w:r>
        <w:rPr>
          <w:rFonts w:hint="eastAsia" w:ascii="宋体" w:hAnsi="宋体" w:eastAsia="宋体" w:cs="宋体"/>
          <w:color w:val="000000"/>
          <w:sz w:val="24"/>
          <w:szCs w:val="24"/>
          <w:highlight w:val="none"/>
        </w:rPr>
        <w:t xml:space="preserve">联 系 人：</w:t>
      </w:r>
      <w:r>
        <w:rPr>
          <w:rFonts w:hint="eastAsia" w:ascii="宋体" w:hAnsi="宋体" w:cs="宋体"/>
          <w:color w:val="000000"/>
          <w:sz w:val="24"/>
          <w:szCs w:val="24"/>
          <w:highlight w:val="none"/>
          <w:lang w:val="en-US" w:eastAsia="zh-CN"/>
        </w:rPr>
        <w:t xml:space="preserve">陈</w:t>
      </w:r>
      <w:r>
        <w:rPr>
          <w:rFonts w:hint="eastAsia" w:ascii="宋体" w:hAnsi="宋体" w:eastAsia="宋体" w:cs="宋体"/>
          <w:color w:val="000000"/>
          <w:sz w:val="24"/>
          <w:szCs w:val="24"/>
          <w:highlight w:val="none"/>
          <w:lang w:val="en-US" w:eastAsia="zh-CN"/>
        </w:rPr>
        <w:t xml:space="preserve">先生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联系方式：0515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88840131</w:t>
      </w:r>
      <w:r>
        <w:rPr>
          <w:rFonts w:ascii="宋体" w:hAnsi="宋体" w:eastAsia="宋体" w:cs="宋体"/>
          <w:color w:val="000000"/>
          <w:sz w:val="24"/>
          <w:szCs w:val="24"/>
          <w:highlight w:val="none"/>
          <w:lang w:val="en-US"/>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bookmarkEnd w:id="37"/>
      <w:r/>
      <w:bookmarkStart w:id="38" w:name="_Toc28359086"/>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采购代理机构信息</w:t>
      </w:r>
      <w:bookmarkEnd w:id="38"/>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江苏建威建设管理有限公司</w:t>
      </w:r>
      <w:r>
        <w:rPr>
          <w:rFonts w:hint="eastAsia" w:ascii="宋体" w:hAnsi="宋体" w:eastAsia="宋体" w:cs="宋体"/>
          <w:color w:val="000000"/>
          <w:sz w:val="24"/>
          <w:szCs w:val="24"/>
          <w:highlight w:val="none"/>
          <w:lang w:eastAsia="zh-CN"/>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盐都区兆泉商务楼东电梯六楼</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15051085369</w:t>
      </w:r>
      <w:r>
        <w:rPr>
          <w:rFonts w:ascii="宋体" w:hAnsi="宋体" w:eastAsia="宋体" w:cs="宋体"/>
          <w:color w:val="000000"/>
          <w:sz w:val="24"/>
          <w:szCs w:val="24"/>
          <w:highlight w:val="none"/>
          <w:lang w:val="en-US" w:eastAsia="zh-CN"/>
        </w:rPr>
        <w:t xml:space="preserve">、18066198320</w:t>
      </w:r>
      <w:r>
        <w:rPr>
          <w:rFonts w:ascii="宋体" w:hAnsi="宋体" w:eastAsia="宋体" w:cs="宋体"/>
          <w:color w:val="000000"/>
          <w:sz w:val="24"/>
          <w:szCs w:val="24"/>
          <w:highlight w:val="none"/>
          <w:lang w:val="en-US" w:eastAsia="zh-CN"/>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项目联系方式</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4"/>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bookmarkEnd w:id="6"/>
      <w:r>
        <w:rPr>
          <w:rFonts w:hint="eastAsia" w:ascii="宋体" w:hAnsi="宋体" w:eastAsia="宋体" w:cs="宋体"/>
          <w:color w:val="000000"/>
          <w:sz w:val="24"/>
          <w:szCs w:val="24"/>
          <w:highlight w:val="none"/>
          <w:lang w:val="en-US" w:eastAsia="zh-CN"/>
        </w:rPr>
        <w:t xml:space="preserve">15051085369</w:t>
      </w:r>
      <w:r>
        <w:rPr>
          <w:rFonts w:hint="eastAsia" w:ascii="宋体" w:hAnsi="宋体" w:eastAsia="宋体" w:cs="宋体"/>
          <w:color w:val="000000"/>
          <w:sz w:val="24"/>
          <w:szCs w:val="24"/>
          <w:highlight w:val="none"/>
        </w:rPr>
        <w:t xml:space="preserve">、18066198320</w:t>
      </w:r>
      <w:r>
        <w:rPr>
          <w:rFonts w:hint="eastAsia" w:ascii="宋体" w:hAnsi="宋体" w:eastAsia="宋体" w:cs="宋体"/>
          <w:color w:val="000000"/>
          <w:sz w:val="24"/>
          <w:szCs w:val="24"/>
          <w:highlight w:val="none"/>
        </w:rPr>
      </w:r>
      <w:r/>
    </w:p>
    <w:p>
      <w:pPr>
        <w:pStyle w:val="864"/>
        <w:rPr>
          <w:rFonts w:ascii="宋体" w:hAnsi="宋体" w:eastAsia="宋体" w:cs="黑体"/>
          <w:b/>
          <w:color w:val="000000"/>
          <w:sz w:val="44"/>
          <w:szCs w:val="44"/>
          <w:highlight w:val="none"/>
        </w:rPr>
      </w:pPr>
      <w:r/>
      <w:bookmarkStart w:id="39" w:name="_Toc120614211"/>
      <w:r/>
      <w:bookmarkStart w:id="40" w:name="_Toc28359009"/>
      <w:r>
        <w:rPr>
          <w:rFonts w:ascii="宋体" w:hAnsi="宋体" w:eastAsia="宋体" w:cs="黑体"/>
          <w:b/>
          <w:color w:val="000000"/>
          <w:sz w:val="44"/>
          <w:szCs w:val="44"/>
          <w:highlight w:val="none"/>
        </w:rPr>
        <w:br w:type="page" w:clear="all"/>
      </w:r>
      <w:r>
        <w:rPr>
          <w:rFonts w:ascii="宋体" w:hAnsi="宋体" w:eastAsia="宋体" w:cs="黑体"/>
          <w:b/>
          <w:color w:val="000000"/>
          <w:sz w:val="44"/>
          <w:szCs w:val="44"/>
          <w:highlight w:val="none"/>
        </w:rPr>
      </w:r>
      <w:r/>
    </w:p>
    <w:p>
      <w:pPr>
        <w:pStyle w:val="917"/>
        <w:ind w:right="0"/>
        <w:jc w:val="center"/>
        <w:keepLines w:val="0"/>
        <w:keepNext w:val="0"/>
        <w:pageBreakBefore w:val="0"/>
        <w:spacing w:beforeAutospacing="0" w:afterAutospacing="0"/>
        <w:widowControl/>
        <w:rPr>
          <w:color w:val="000000"/>
          <w:highlight w:val="none"/>
        </w:rPr>
      </w:pPr>
      <w:r>
        <w:rPr>
          <w:rFonts w:hint="eastAsia" w:ascii="宋体" w:hAnsi="宋体" w:eastAsia="宋体" w:cs="黑体"/>
          <w:b/>
          <w:color w:val="000000"/>
          <w:sz w:val="44"/>
          <w:szCs w:val="44"/>
          <w:highlight w:val="none"/>
        </w:rPr>
        <w:t xml:space="preserve">第二章  </w:t>
      </w:r>
      <w:bookmarkEnd w:id="39"/>
      <w:r/>
      <w:bookmarkStart w:id="41" w:name="_Toc16938518"/>
      <w:r/>
      <w:bookmarkStart w:id="42" w:name="_Toc513029202"/>
      <w:r/>
      <w:bookmarkStart w:id="43" w:name="_Toc20823274"/>
      <w:r/>
      <w:bookmarkStart w:id="44" w:name="_Toc120614213"/>
      <w:r>
        <w:rPr>
          <w:rFonts w:hint="eastAsia" w:ascii="宋体" w:hAnsi="宋体" w:eastAsia="宋体" w:cs="黑体"/>
          <w:b/>
          <w:color w:val="000000"/>
          <w:sz w:val="44"/>
          <w:szCs w:val="44"/>
          <w:highlight w:val="none"/>
        </w:rPr>
        <w:t xml:space="preserve">投标人须知</w:t>
      </w:r>
      <w:bookmarkEnd w:id="41"/>
      <w:r/>
      <w:bookmarkEnd w:id="42"/>
      <w:r/>
      <w:bookmarkEnd w:id="43"/>
      <w:r/>
      <w:bookmarkEnd w:id="44"/>
      <w:r>
        <w:rPr>
          <w:color w:val="000000"/>
          <w:highlight w:val="none"/>
        </w:rPr>
      </w:r>
      <w:r/>
    </w:p>
    <w:p>
      <w:pPr>
        <w:pStyle w:val="864"/>
        <w:ind w:firstLine="482"/>
        <w:jc w:val="both"/>
        <w:spacing w:line="440" w:lineRule="exact"/>
        <w:widowControl w:val="off"/>
        <w:rPr>
          <w:rFonts w:ascii="宋体" w:hAnsi="宋体" w:eastAsia="宋体" w:cs="宋体"/>
          <w:b/>
          <w:bCs/>
          <w:color w:val="000000"/>
          <w:sz w:val="24"/>
          <w:highlight w:val="none"/>
        </w:rPr>
      </w:pPr>
      <w:r/>
      <w:bookmarkStart w:id="45" w:name="_Toc20823275"/>
      <w:r/>
      <w:bookmarkStart w:id="46" w:name="_Toc120614214"/>
      <w:r/>
      <w:bookmarkStart w:id="47" w:name="_Toc513029203"/>
      <w:r/>
      <w:bookmarkStart w:id="48" w:name="_Toc16938519"/>
      <w:r/>
      <w:bookmarkStart w:id="49" w:name="_Hlt16619475"/>
      <w:r/>
      <w:bookmarkStart w:id="50" w:name="_Hlt26668975"/>
      <w:r/>
      <w:bookmarkStart w:id="51" w:name="_Hlt26670486"/>
      <w:r/>
      <w:bookmarkStart w:id="52" w:name="_Hlt26954734"/>
      <w:r/>
      <w:bookmarkStart w:id="53" w:name="_Hlt26670399"/>
      <w:r/>
      <w:bookmarkStart w:id="54" w:name="_Hlt26954842"/>
      <w:r/>
      <w:bookmarkStart w:id="55" w:name="_Toc513029226"/>
      <w:r/>
      <w:bookmarkStart w:id="56" w:name="_Hlt26954846"/>
      <w:r/>
      <w:bookmarkStart w:id="57" w:name="_Hlt26954838"/>
      <w:r/>
      <w:bookmarkStart w:id="58" w:name="_Hlt26670425"/>
      <w:r/>
      <w:bookmarkStart w:id="59" w:name="_Hlt26954731"/>
      <w:r/>
      <w:bookmarkStart w:id="60" w:name="_Hlt26670360"/>
      <w:r/>
      <w:bookmarkStart w:id="61" w:name="_Hlt26954844"/>
      <w:r/>
      <w:bookmarkStart w:id="62" w:name="_Hlt26670489"/>
      <w:r/>
      <w:bookmarkStart w:id="63" w:name="_Hlt26668983"/>
      <w:r/>
      <w:bookmarkStart w:id="64" w:name="_Hlt26954739"/>
      <w:r/>
      <w:bookmarkStart w:id="65" w:name="_Hlt26954840"/>
      <w:r/>
      <w:bookmarkStart w:id="66" w:name="_Hlt26954850"/>
      <w:r/>
      <w:bookmarkStart w:id="67" w:name="_Hlt26670482"/>
      <w:r/>
      <w:bookmarkStart w:id="68" w:name="_Hlt26954852"/>
      <w:r/>
      <w:bookmarkStart w:id="69" w:name="_Hlt26670403"/>
      <w:r/>
      <w:bookmarkStart w:id="70" w:name="_Hlt26670373"/>
      <w:r/>
      <w:bookmarkStart w:id="71" w:name="_Hlt26954848"/>
      <w:r>
        <w:rPr>
          <w:rFonts w:hint="eastAsia" w:ascii="宋体" w:hAnsi="宋体" w:eastAsia="宋体" w:cs="宋体"/>
          <w:b/>
          <w:bCs/>
          <w:color w:val="000000"/>
          <w:sz w:val="24"/>
          <w:highlight w:val="none"/>
        </w:rPr>
        <w:t xml:space="preserve">一、总则</w:t>
      </w:r>
      <w:bookmarkEnd w:id="45"/>
      <w:r/>
      <w:bookmarkEnd w:id="46"/>
      <w:r/>
      <w:bookmarkEnd w:id="47"/>
      <w:r/>
      <w:bookmarkEnd w:id="48"/>
      <w:r>
        <w:rPr>
          <w:rFonts w:ascii="宋体" w:hAnsi="宋体" w:eastAsia="宋体" w:cs="宋体"/>
          <w:b/>
          <w:bCs/>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72" w:name="_Toc16938520"/>
      <w:r/>
      <w:bookmarkStart w:id="73" w:name="_Toc20823276"/>
      <w:r/>
      <w:bookmarkStart w:id="74" w:name="_Toc458694821"/>
      <w:r/>
      <w:bookmarkStart w:id="75" w:name="_Toc513029204"/>
      <w:r>
        <w:rPr>
          <w:rFonts w:hint="eastAsia" w:ascii="宋体" w:hAnsi="宋体" w:eastAsia="宋体" w:cs="宋体"/>
          <w:color w:val="000000"/>
          <w:sz w:val="24"/>
          <w:highlight w:val="none"/>
        </w:rPr>
        <w:t xml:space="preserve">1</w:t>
      </w:r>
      <w:bookmarkEnd w:id="72"/>
      <w:r>
        <w:rPr>
          <w:rFonts w:hint="eastAsia" w:ascii="宋体" w:hAnsi="宋体" w:eastAsia="宋体" w:cs="宋体"/>
          <w:color w:val="000000"/>
          <w:sz w:val="24"/>
          <w:highlight w:val="none"/>
        </w:rPr>
        <w:t xml:space="preserve">、招标方式</w:t>
      </w:r>
      <w:bookmarkEnd w:id="73"/>
      <w:r/>
      <w:bookmarkEnd w:id="74"/>
      <w:r/>
      <w:bookmarkEnd w:id="75"/>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1.1本次招标采取公开招标方式，本招标文件仅适用于招标公告中所述项目。</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76" w:name="_Toc16938521"/>
      <w:r/>
      <w:bookmarkStart w:id="77" w:name="_Toc20823277"/>
      <w:r/>
      <w:bookmarkStart w:id="78" w:name="_Toc513029205"/>
      <w:r>
        <w:rPr>
          <w:rFonts w:hint="eastAsia" w:ascii="宋体" w:hAnsi="宋体" w:eastAsia="宋体" w:cs="宋体"/>
          <w:color w:val="000000"/>
          <w:sz w:val="24"/>
          <w:highlight w:val="none"/>
        </w:rPr>
        <w:t xml:space="preserve">2、合格的投标人</w:t>
      </w:r>
      <w:bookmarkEnd w:id="76"/>
      <w:r/>
      <w:bookmarkEnd w:id="77"/>
      <w:r/>
      <w:bookmarkEnd w:id="78"/>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2.2满足本文件实质性要求和条件的规定。</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79" w:name="_Toc16938522"/>
      <w:r/>
      <w:bookmarkStart w:id="80" w:name="_Toc513029206"/>
      <w:r/>
      <w:bookmarkStart w:id="81" w:name="_Toc20823278"/>
      <w:r>
        <w:rPr>
          <w:rFonts w:hint="eastAsia" w:ascii="宋体" w:hAnsi="宋体" w:eastAsia="宋体" w:cs="宋体"/>
          <w:color w:val="000000"/>
          <w:sz w:val="24"/>
          <w:highlight w:val="none"/>
        </w:rPr>
        <w:t xml:space="preserve">3、</w:t>
      </w:r>
      <w:bookmarkEnd w:id="79"/>
      <w:r/>
      <w:bookmarkEnd w:id="80"/>
      <w:r/>
      <w:bookmarkEnd w:id="81"/>
      <w:r>
        <w:rPr>
          <w:rFonts w:hint="eastAsia" w:ascii="宋体" w:hAnsi="宋体" w:eastAsia="宋体" w:cs="宋体"/>
          <w:color w:val="000000"/>
          <w:sz w:val="24"/>
          <w:highlight w:val="none"/>
        </w:rPr>
        <w:t xml:space="preserve">适用法律和标准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3.1本次招标及由此产生的合同受中华人民共和国有关的法律法规制约和保护。</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lang w:val="en-US" w:eastAsia="zh-CN"/>
        </w:rPr>
      </w:pPr>
      <w:r/>
      <w:bookmarkStart w:id="82" w:name="_Toc16938523"/>
      <w:r/>
      <w:bookmarkStart w:id="83" w:name="_Toc462564067"/>
      <w:r/>
      <w:bookmarkStart w:id="84" w:name="_Toc20823279"/>
      <w:r/>
      <w:bookmarkStart w:id="85" w:name="_Toc513029207"/>
      <w:r>
        <w:rPr>
          <w:rFonts w:hint="eastAsia" w:ascii="宋体" w:hAnsi="宋体" w:cs="宋体"/>
          <w:color w:val="000000"/>
          <w:sz w:val="24"/>
          <w:highlight w:val="none"/>
          <w:lang w:val="en-US" w:eastAsia="zh-CN"/>
        </w:rPr>
        <w:t xml:space="preserve">3.2在本项目政府采购活动过程中，如果所执行的标准有更新的，按照最新标准执行。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4、投标费用</w:t>
      </w:r>
      <w:bookmarkEnd w:id="82"/>
      <w:r/>
      <w:bookmarkEnd w:id="83"/>
      <w:r/>
      <w:bookmarkEnd w:id="84"/>
      <w:r/>
      <w:bookmarkEnd w:id="85"/>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4.1投标人应自行承担所有与参加投标有关的费用，无论投标过程中的做法和结果如何，采购人在任何情况下均无义务和责任承担这些费用。</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代理服务费：</w:t>
      </w:r>
      <w:r>
        <w:rPr>
          <w:rFonts w:hint="eastAsia" w:ascii="宋体" w:hAnsi="宋体" w:eastAsia="宋体" w:cs="Times New Roman"/>
          <w:color w:val="000000"/>
          <w:sz w:val="24"/>
          <w:highlight w:val="none"/>
          <w:lang w:val="en-US" w:eastAsia="zh-CN"/>
        </w:rPr>
        <w:t xml:space="preserve">本项目</w:t>
      </w:r>
      <w:r>
        <w:rPr>
          <w:rFonts w:hint="eastAsia" w:ascii="宋体" w:hAnsi="宋体" w:cs="Times New Roman"/>
          <w:color w:val="000000"/>
          <w:sz w:val="24"/>
          <w:highlight w:val="none"/>
          <w:lang w:val="en-US" w:eastAsia="zh-CN"/>
        </w:rPr>
        <w:t xml:space="preserve">各分包</w:t>
      </w:r>
      <w:r>
        <w:rPr>
          <w:rFonts w:hint="eastAsia" w:ascii="宋体" w:hAnsi="宋体" w:eastAsia="宋体" w:cs="Times New Roman"/>
          <w:color w:val="000000"/>
          <w:sz w:val="24"/>
          <w:highlight w:val="none"/>
          <w:lang w:val="en-US" w:eastAsia="zh-CN"/>
        </w:rPr>
        <w:t xml:space="preserve">采购代理服务费按苏招协[2022]002号标准的50%收取，由</w:t>
      </w:r>
      <w:r>
        <w:rPr>
          <w:rFonts w:hint="eastAsia" w:ascii="宋体" w:hAnsi="宋体" w:cs="Times New Roman"/>
          <w:color w:val="000000"/>
          <w:sz w:val="24"/>
          <w:highlight w:val="none"/>
          <w:lang w:val="en-US" w:eastAsia="zh-CN"/>
        </w:rPr>
        <w:t xml:space="preserve">各分包</w:t>
      </w:r>
      <w:r>
        <w:rPr>
          <w:rFonts w:hint="eastAsia" w:ascii="宋体" w:hAnsi="宋体" w:eastAsia="宋体" w:cs="Times New Roman"/>
          <w:color w:val="000000"/>
          <w:sz w:val="24"/>
          <w:highlight w:val="none"/>
          <w:lang w:val="en-US" w:eastAsia="zh-CN"/>
        </w:rPr>
        <w:t xml:space="preserve">中标人在领取中标通知书前一次性向招标代理机构支付。</w:t>
      </w:r>
      <w:r>
        <w:rPr>
          <w:rFonts w:ascii="宋体" w:hAnsi="宋体" w:eastAsia="宋体" w:cs="宋体"/>
          <w:b w:val="0"/>
          <w:bCs w:val="0"/>
          <w:color w:val="000000"/>
          <w:sz w:val="24"/>
          <w:highlight w:val="none"/>
        </w:rPr>
        <w:t xml:space="preserve">投标人投标时综合考虑进报价中，此项费用不得单列。</w:t>
      </w:r>
      <w:r>
        <w:rPr>
          <w:rFonts w:ascii="宋体" w:hAnsi="宋体" w:eastAsia="宋体" w:cs="宋体"/>
          <w:b w:val="0"/>
          <w:bCs w:val="0"/>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5、招标文件的约束力</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5.1投标人一旦参加本项目采购活动，即被认为接受了本招标文件的规定和约束。</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b/>
          <w:bCs/>
          <w:color w:val="000000"/>
          <w:sz w:val="24"/>
          <w:highlight w:val="none"/>
        </w:rPr>
      </w:pPr>
      <w:r/>
      <w:bookmarkStart w:id="86" w:name="_Toc20823281"/>
      <w:r/>
      <w:bookmarkStart w:id="87" w:name="_Toc513029209"/>
      <w:r/>
      <w:bookmarkStart w:id="88" w:name="_Toc120614215"/>
      <w:r/>
      <w:bookmarkStart w:id="89" w:name="_Toc16938525"/>
      <w:r>
        <w:rPr>
          <w:rFonts w:hint="eastAsia" w:ascii="宋体" w:hAnsi="宋体" w:eastAsia="宋体" w:cs="宋体"/>
          <w:b/>
          <w:bCs/>
          <w:color w:val="000000"/>
          <w:sz w:val="24"/>
          <w:highlight w:val="none"/>
        </w:rPr>
        <w:t xml:space="preserve">二、招标文件</w:t>
      </w:r>
      <w:bookmarkEnd w:id="86"/>
      <w:r/>
      <w:bookmarkEnd w:id="87"/>
      <w:r/>
      <w:bookmarkEnd w:id="88"/>
      <w:r/>
      <w:bookmarkEnd w:id="89"/>
      <w:r>
        <w:rPr>
          <w:rFonts w:ascii="宋体" w:hAnsi="宋体" w:eastAsia="宋体" w:cs="宋体"/>
          <w:b/>
          <w:bCs/>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90" w:name="_Toc513029210"/>
      <w:r/>
      <w:bookmarkStart w:id="91" w:name="_Toc16938526"/>
      <w:r/>
      <w:bookmarkStart w:id="92" w:name="_Toc20823282"/>
      <w:r>
        <w:rPr>
          <w:rFonts w:hint="eastAsia" w:ascii="宋体" w:hAnsi="宋体" w:eastAsia="宋体" w:cs="宋体"/>
          <w:color w:val="000000"/>
          <w:sz w:val="24"/>
          <w:highlight w:val="none"/>
        </w:rPr>
        <w:t xml:space="preserve">6、招标文件构成</w:t>
      </w:r>
      <w:bookmarkEnd w:id="90"/>
      <w:r/>
      <w:bookmarkEnd w:id="91"/>
      <w:r/>
      <w:bookmarkEnd w:id="92"/>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 招标文件由以下部分组成：</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（1）招标公告</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93" w:name="_Toc462564070"/>
      <w:r/>
      <w:bookmarkStart w:id="94" w:name="_Toc513029211"/>
      <w:r/>
      <w:bookmarkStart w:id="95" w:name="_Toc16938527"/>
      <w:r/>
      <w:bookmarkStart w:id="96" w:name="_Toc20823283"/>
      <w:r>
        <w:rPr>
          <w:rFonts w:hint="eastAsia" w:ascii="宋体" w:hAnsi="宋体" w:eastAsia="宋体" w:cs="宋体"/>
          <w:color w:val="000000"/>
          <w:sz w:val="24"/>
          <w:highlight w:val="none"/>
        </w:rPr>
        <w:t xml:space="preserve">7、招标文件的澄清</w:t>
      </w:r>
      <w:bookmarkEnd w:id="93"/>
      <w:r/>
      <w:bookmarkEnd w:id="94"/>
      <w:r/>
      <w:bookmarkEnd w:id="95"/>
      <w:r/>
      <w:bookmarkEnd w:id="96"/>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7.1任何要求对招标文件进行澄清的投标人，应在投标截止期十日前按招标公告中的通讯地址，以书面形式通知采购人。</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97" w:name="_Toc16938528"/>
      <w:r/>
      <w:bookmarkStart w:id="98" w:name="_Toc513029212"/>
      <w:r/>
      <w:bookmarkStart w:id="99" w:name="_Toc20823284"/>
      <w:r/>
      <w:bookmarkStart w:id="100" w:name="_Toc462564071"/>
      <w:r>
        <w:rPr>
          <w:rFonts w:hint="eastAsia" w:ascii="宋体" w:hAnsi="宋体" w:eastAsia="宋体" w:cs="宋体"/>
          <w:color w:val="000000"/>
          <w:sz w:val="24"/>
          <w:highlight w:val="none"/>
        </w:rPr>
        <w:t xml:space="preserve">8、招标文件的修改</w:t>
      </w:r>
      <w:bookmarkEnd w:id="97"/>
      <w:r/>
      <w:bookmarkEnd w:id="98"/>
      <w:r/>
      <w:bookmarkEnd w:id="99"/>
      <w:r/>
      <w:bookmarkEnd w:id="100"/>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8.1在投标截止时间前，采购人可以对招标文件进行修改。</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8.2采购人有权按照法定的要求推迟投标截止日期和开标日期。</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8.3招标文件的修改将在中国政府采购网、江苏政府采购网、盐城市政府采购网公布，补充文件将作为招标文件的组成部分，并对投标人具有约束力。</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b/>
          <w:bCs/>
          <w:color w:val="000000"/>
          <w:sz w:val="24"/>
          <w:highlight w:val="none"/>
        </w:rPr>
      </w:pPr>
      <w:r/>
      <w:bookmarkStart w:id="101" w:name="_Toc462564072"/>
      <w:r/>
      <w:bookmarkStart w:id="102" w:name="_Toc20823285"/>
      <w:r/>
      <w:bookmarkStart w:id="103" w:name="_Toc513029213"/>
      <w:r/>
      <w:bookmarkStart w:id="104" w:name="_Toc16938529"/>
      <w:r/>
      <w:bookmarkStart w:id="105" w:name="_Toc120614216"/>
      <w:r>
        <w:rPr>
          <w:rFonts w:hint="eastAsia" w:ascii="宋体" w:hAnsi="宋体" w:eastAsia="宋体" w:cs="宋体"/>
          <w:b/>
          <w:bCs/>
          <w:color w:val="000000"/>
          <w:sz w:val="24"/>
          <w:highlight w:val="none"/>
        </w:rPr>
        <w:t xml:space="preserve">三、投标文件的编制</w:t>
      </w:r>
      <w:bookmarkEnd w:id="101"/>
      <w:r/>
      <w:bookmarkEnd w:id="102"/>
      <w:r/>
      <w:bookmarkEnd w:id="103"/>
      <w:r/>
      <w:bookmarkEnd w:id="104"/>
      <w:r/>
      <w:bookmarkEnd w:id="105"/>
      <w:r>
        <w:rPr>
          <w:rFonts w:ascii="宋体" w:hAnsi="宋体" w:eastAsia="宋体" w:cs="宋体"/>
          <w:b/>
          <w:bCs/>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06" w:name="_Toc16938530"/>
      <w:r/>
      <w:bookmarkStart w:id="107" w:name="_Toc513029214"/>
      <w:r/>
      <w:bookmarkStart w:id="108" w:name="_Toc20823286"/>
      <w:r/>
      <w:bookmarkStart w:id="109" w:name="_Toc462564073"/>
      <w:r>
        <w:rPr>
          <w:rFonts w:hint="eastAsia" w:ascii="宋体" w:hAnsi="宋体" w:eastAsia="宋体" w:cs="宋体"/>
          <w:color w:val="000000"/>
          <w:sz w:val="24"/>
          <w:highlight w:val="none"/>
        </w:rPr>
        <w:t xml:space="preserve">9、投标文件的语言及度量衡单位</w:t>
      </w:r>
      <w:bookmarkEnd w:id="106"/>
      <w:r/>
      <w:bookmarkEnd w:id="107"/>
      <w:r/>
      <w:bookmarkEnd w:id="108"/>
      <w:r/>
      <w:bookmarkEnd w:id="109"/>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9.1投标人提交的投标文件以及投标人与采购人就有关投标的所有来往通知、函件和文件均应使用简体中文。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9.2除技术性能另有规定外，投标文件所使用的度量衡单位，均须采用国家法定计量单位。</w:t>
      </w:r>
      <w:r>
        <w:rPr>
          <w:rFonts w:ascii="宋体" w:hAnsi="宋体" w:eastAsia="宋体" w:cs="宋体"/>
          <w:color w:val="000000"/>
          <w:sz w:val="24"/>
          <w:highlight w:val="none"/>
        </w:rPr>
      </w:r>
      <w:r/>
    </w:p>
    <w:p>
      <w:pPr>
        <w:pStyle w:val="864"/>
        <w:ind w:firstLine="482"/>
        <w:jc w:val="both"/>
        <w:spacing w:line="440" w:lineRule="exact"/>
        <w:widowControl w:val="off"/>
        <w:rPr>
          <w:rFonts w:hint="eastAsia" w:ascii="宋体" w:hAnsi="宋体" w:eastAsia="宋体" w:cs="宋体"/>
          <w:color w:val="000000"/>
          <w:sz w:val="24"/>
          <w:highlight w:val="none"/>
        </w:rPr>
      </w:pPr>
      <w:r/>
      <w:bookmarkStart w:id="110" w:name="_Toc462564074"/>
      <w:r/>
      <w:bookmarkStart w:id="111" w:name="_Toc20823287"/>
      <w:r/>
      <w:bookmarkStart w:id="112" w:name="_Toc16938531"/>
      <w:r/>
      <w:bookmarkStart w:id="113" w:name="_Toc513029215"/>
      <w:r>
        <w:rPr>
          <w:rFonts w:hint="eastAsia" w:ascii="宋体" w:hAnsi="宋体" w:eastAsia="宋体" w:cs="宋体"/>
          <w:color w:val="000000"/>
          <w:sz w:val="24"/>
          <w:highlight w:val="none"/>
        </w:rPr>
        <w:t xml:space="preserve">10、投标文件构成</w:t>
      </w:r>
      <w:bookmarkEnd w:id="110"/>
      <w:r/>
      <w:bookmarkEnd w:id="111"/>
      <w:r/>
      <w:bookmarkEnd w:id="112"/>
      <w:r/>
      <w:bookmarkEnd w:id="113"/>
      <w:r>
        <w:rPr>
          <w:rFonts w:hint="eastAsia" w:ascii="宋体" w:hAnsi="宋体" w:eastAsia="宋体" w:cs="宋体"/>
          <w:color w:val="000000"/>
          <w:sz w:val="24"/>
          <w:highlight w:val="none"/>
        </w:rPr>
      </w:r>
      <w:r/>
    </w:p>
    <w:p>
      <w:pPr>
        <w:pStyle w:val="864"/>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投标人编写的投标文件应包括资格证明文件、符合性证明文件、投标分项报价表、技术要求响应及偏离表、商务要求响应及偏离表、其他证明文件、投标函、开标一览表、分项明细报价表等部分（格式详见招标文件“第六章投标文件格式”）。</w:t>
      </w:r>
      <w:r>
        <w:rPr>
          <w:rFonts w:hint="eastAsia" w:ascii="宋体" w:hAnsi="宋体" w:eastAsia="宋体" w:cs="宋体"/>
          <w:color w:val="000000"/>
          <w:sz w:val="24"/>
          <w:highlight w:val="none"/>
        </w:rPr>
      </w:r>
      <w:r/>
    </w:p>
    <w:p>
      <w:pPr>
        <w:pStyle w:val="864"/>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eastAsia="宋体" w:cs="宋体"/>
          <w:color w:val="000000"/>
          <w:sz w:val="24"/>
          <w:highlight w:val="none"/>
        </w:rPr>
      </w:r>
      <w:r/>
    </w:p>
    <w:p>
      <w:pPr>
        <w:pStyle w:val="864"/>
        <w:ind w:firstLine="482"/>
        <w:jc w:val="both"/>
        <w:spacing w:line="440" w:lineRule="exact"/>
        <w:widowControl w:val="off"/>
        <w:rPr>
          <w:rFonts w:hint="eastAsia" w:ascii="宋体" w:hAnsi="宋体" w:eastAsia="宋体" w:cs="宋体"/>
          <w:color w:val="000000"/>
          <w:sz w:val="24"/>
          <w:highlight w:val="none"/>
        </w:rPr>
      </w:pPr>
      <w:r/>
      <w:bookmarkStart w:id="114" w:name="_Toc14577354"/>
      <w:r/>
      <w:bookmarkStart w:id="115" w:name="_Toc513029216"/>
      <w:r/>
      <w:bookmarkStart w:id="116" w:name="_Toc49090509"/>
      <w:r/>
      <w:bookmarkStart w:id="117" w:name="_Toc49090507"/>
      <w:r/>
      <w:bookmarkStart w:id="118" w:name="_Toc14577357"/>
      <w:r/>
      <w:bookmarkStart w:id="119" w:name="_Toc513029219"/>
      <w:r>
        <w:rPr>
          <w:rFonts w:hint="eastAsia" w:ascii="宋体" w:hAnsi="宋体" w:eastAsia="宋体" w:cs="宋体"/>
          <w:color w:val="000000"/>
          <w:sz w:val="24"/>
          <w:highlight w:val="none"/>
        </w:rPr>
        <w:t xml:space="preserve">11、证明投标人及投标标的符合招标文件规定的文件</w:t>
      </w:r>
      <w:bookmarkEnd w:id="114"/>
      <w:r/>
      <w:bookmarkEnd w:id="115"/>
      <w:r/>
      <w:bookmarkEnd w:id="116"/>
      <w:r/>
      <w:bookmarkEnd w:id="117"/>
      <w:r/>
      <w:bookmarkEnd w:id="118"/>
      <w:r/>
      <w:bookmarkEnd w:id="119"/>
      <w:r>
        <w:rPr>
          <w:rFonts w:hint="eastAsia"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20" w:name="_Toc14577355"/>
      <w:r/>
      <w:bookmarkStart w:id="121" w:name="_Toc49090508"/>
      <w:r>
        <w:rPr>
          <w:rFonts w:hint="eastAsia" w:ascii="宋体" w:hAnsi="宋体" w:eastAsia="宋体" w:cs="宋体"/>
          <w:color w:val="000000"/>
          <w:sz w:val="24"/>
          <w:highlight w:val="none"/>
        </w:rPr>
        <w:t xml:space="preserve">11.1投标人应按照法律、法规、规章和规范性文件以及招标文件要求提交证明文件，证明其及投标标的符合招标文件规定。</w:t>
      </w:r>
      <w:bookmarkEnd w:id="120"/>
      <w:r/>
      <w:bookmarkEnd w:id="121"/>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12、投标分项报价表</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12.1投标人应按照招标文件规定格式填报投标分项报价表。</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12.2投标货币。投标文件中的单价和总价无特殊规定的采用人民币报价，以元为单位标注。招标文件中另有规定的按规定执行。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13、技术要求响应及偏离表、商务要求响应及偏离表</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13.1投标人需对招标文件中的技术要求与商务要求逐项作出响应或偏离，并说明原因。</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13.2投标人可在投标文件中提供认为需要的其他技术文件或说明。</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22" w:name="_Toc14577359"/>
      <w:r/>
      <w:bookmarkStart w:id="123" w:name="_Toc49090510"/>
      <w:r>
        <w:rPr>
          <w:rFonts w:hint="eastAsia" w:ascii="宋体" w:hAnsi="宋体" w:eastAsia="宋体" w:cs="宋体"/>
          <w:color w:val="000000"/>
          <w:sz w:val="24"/>
          <w:highlight w:val="none"/>
        </w:rPr>
        <w:t xml:space="preserve">14、投标函和开标一览表</w:t>
      </w:r>
      <w:bookmarkEnd w:id="122"/>
      <w:r/>
      <w:bookmarkEnd w:id="123"/>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14.1投标人应按照招标文件中提供的格式完整、正确填写投标函、开标一览表。</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24" w:name="_Toc14577360"/>
      <w:r/>
      <w:bookmarkStart w:id="125" w:name="_Toc49090511"/>
      <w:r>
        <w:rPr>
          <w:rFonts w:hint="eastAsia" w:ascii="宋体" w:hAnsi="宋体" w:eastAsia="宋体" w:cs="宋体"/>
          <w:color w:val="000000"/>
          <w:sz w:val="24"/>
          <w:highlight w:val="none"/>
        </w:rPr>
        <w:t xml:space="preserve">15、投标有效期</w:t>
      </w:r>
      <w:bookmarkEnd w:id="124"/>
      <w:r/>
      <w:bookmarkEnd w:id="125"/>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15.1投标有效期为采购人规定的开标之日后</w:t>
      </w:r>
      <w:r>
        <w:rPr>
          <w:rFonts w:hint="eastAsia" w:ascii="宋体" w:hAnsi="宋体" w:eastAsia="宋体" w:cs="宋体"/>
          <w:b/>
          <w:color w:val="000000"/>
          <w:sz w:val="24"/>
          <w:highlight w:val="none"/>
          <w:u w:val="single"/>
        </w:rPr>
        <w:t xml:space="preserve">九十（90）</w:t>
      </w:r>
      <w:r>
        <w:rPr>
          <w:rFonts w:hint="eastAsia" w:ascii="宋体" w:hAnsi="宋体" w:eastAsia="宋体" w:cs="宋体"/>
          <w:color w:val="000000"/>
          <w:sz w:val="24"/>
          <w:highlight w:val="none"/>
        </w:rPr>
        <w:t xml:space="preserve">天。投标有效期比规定短的将被视为未实质性响应招标文件而予以拒绝。</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16、投标有效期的延长</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b/>
          <w:bCs/>
          <w:color w:val="000000"/>
          <w:sz w:val="24"/>
          <w:highlight w:val="none"/>
        </w:rPr>
      </w:pPr>
      <w:r/>
      <w:bookmarkStart w:id="126" w:name="_Toc120614217"/>
      <w:r/>
      <w:bookmarkStart w:id="127" w:name="_Toc20823296"/>
      <w:r/>
      <w:bookmarkStart w:id="128" w:name="_Toc513029224"/>
      <w:r/>
      <w:bookmarkStart w:id="129" w:name="_Toc16938540"/>
      <w:r>
        <w:rPr>
          <w:rFonts w:hint="eastAsia" w:ascii="宋体" w:hAnsi="宋体" w:eastAsia="宋体" w:cs="宋体"/>
          <w:b/>
          <w:bCs/>
          <w:color w:val="000000"/>
          <w:sz w:val="24"/>
          <w:highlight w:val="none"/>
        </w:rPr>
        <w:t xml:space="preserve">四、投标文件的递交</w:t>
      </w:r>
      <w:bookmarkEnd w:id="126"/>
      <w:r/>
      <w:bookmarkEnd w:id="127"/>
      <w:r/>
      <w:bookmarkEnd w:id="128"/>
      <w:r/>
      <w:bookmarkEnd w:id="129"/>
      <w:r>
        <w:rPr>
          <w:rFonts w:ascii="宋体" w:hAnsi="宋体" w:eastAsia="宋体" w:cs="宋体"/>
          <w:b/>
          <w:bCs/>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30" w:name="_Toc16938541"/>
      <w:r/>
      <w:bookmarkStart w:id="131" w:name="_Toc462564084"/>
      <w:r/>
      <w:bookmarkStart w:id="132" w:name="_Toc20823297"/>
      <w:r/>
      <w:bookmarkStart w:id="133" w:name="_Toc513029225"/>
      <w:r>
        <w:rPr>
          <w:rFonts w:hint="eastAsia" w:ascii="宋体" w:hAnsi="宋体" w:eastAsia="宋体" w:cs="宋体"/>
          <w:color w:val="000000"/>
          <w:sz w:val="24"/>
          <w:highlight w:val="none"/>
        </w:rPr>
        <w:t xml:space="preserve">17、投标文件</w:t>
      </w:r>
      <w:bookmarkEnd w:id="130"/>
      <w:r/>
      <w:bookmarkEnd w:id="131"/>
      <w:r/>
      <w:bookmarkEnd w:id="132"/>
      <w:r/>
      <w:bookmarkEnd w:id="133"/>
      <w:r>
        <w:rPr>
          <w:rFonts w:hint="eastAsia" w:ascii="宋体" w:hAnsi="宋体" w:eastAsia="宋体" w:cs="宋体"/>
          <w:color w:val="000000"/>
          <w:sz w:val="24"/>
          <w:highlight w:val="none"/>
        </w:rPr>
        <w:t xml:space="preserve">的递交</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17.1 电子投标文件的递交</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投标人应当按照《操作手册》规定，在投标截止时间前制作并上传电子投标文件。</w:t>
      </w:r>
      <w:bookmarkStart w:id="134" w:name="_Toc16938542"/>
      <w:r/>
      <w:bookmarkEnd w:id="134"/>
      <w:r/>
      <w:bookmarkStart w:id="135" w:name="_Toc20823298"/>
      <w:r/>
      <w:bookmarkEnd w:id="135"/>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18、投标截止时间</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i/>
          <w:color w:val="000000"/>
          <w:sz w:val="24"/>
          <w:highlight w:val="none"/>
          <w:u w:val="single"/>
        </w:rPr>
      </w:pPr>
      <w:r>
        <w:rPr>
          <w:rFonts w:hint="eastAsia" w:ascii="宋体" w:hAnsi="宋体" w:eastAsia="宋体" w:cs="宋体"/>
          <w:i/>
          <w:color w:val="000000"/>
          <w:sz w:val="24"/>
          <w:highlight w:val="none"/>
          <w:u w:val="single"/>
        </w:rPr>
        <w:t xml:space="preserve">18.1投标人上传电子投标文件的时间不得迟于招标公告中规定的投标截止时间。</w:t>
      </w:r>
      <w:r>
        <w:rPr>
          <w:rFonts w:ascii="宋体" w:hAnsi="宋体" w:eastAsia="宋体" w:cs="宋体"/>
          <w:i/>
          <w:color w:val="000000"/>
          <w:sz w:val="24"/>
          <w:highlight w:val="none"/>
          <w:u w:val="singl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18.2采购人可以按照规定，通过修改招标文件酌情延长投标截止时间，在此情况下，投标人的所有权利和义务以及投标人受制的截止时间均应以延长后新的截止时间为准。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36" w:name="_Toc20823299"/>
      <w:r/>
      <w:bookmarkStart w:id="137" w:name="_Toc16938543"/>
      <w:r/>
      <w:bookmarkStart w:id="138" w:name="_Toc513029227"/>
      <w:r>
        <w:rPr>
          <w:rFonts w:hint="eastAsia" w:ascii="宋体" w:hAnsi="宋体" w:eastAsia="宋体" w:cs="宋体"/>
          <w:color w:val="000000"/>
          <w:sz w:val="24"/>
          <w:highlight w:val="none"/>
        </w:rPr>
        <w:t xml:space="preserve">19、投标文件</w:t>
      </w:r>
      <w:bookmarkEnd w:id="136"/>
      <w:r/>
      <w:bookmarkEnd w:id="137"/>
      <w:r/>
      <w:bookmarkEnd w:id="138"/>
      <w:r>
        <w:rPr>
          <w:rFonts w:hint="eastAsia" w:ascii="宋体" w:hAnsi="宋体" w:eastAsia="宋体" w:cs="宋体"/>
          <w:color w:val="000000"/>
          <w:sz w:val="24"/>
          <w:highlight w:val="none"/>
        </w:rPr>
        <w:t xml:space="preserve">的拒收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19.1采购人拒绝接收在其规定的投标截止时间后上传的任何投标文件。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39" w:name="_Toc16938544"/>
      <w:r/>
      <w:bookmarkStart w:id="140" w:name="_Toc513029228"/>
      <w:r/>
      <w:bookmarkStart w:id="141" w:name="_Toc20823300"/>
      <w:r>
        <w:rPr>
          <w:rFonts w:hint="eastAsia" w:ascii="宋体" w:hAnsi="宋体" w:eastAsia="宋体" w:cs="宋体"/>
          <w:color w:val="000000"/>
          <w:sz w:val="24"/>
          <w:highlight w:val="none"/>
        </w:rPr>
        <w:t xml:space="preserve">20、投标文件的撤回和修改</w:t>
      </w:r>
      <w:bookmarkEnd w:id="139"/>
      <w:r/>
      <w:bookmarkEnd w:id="140"/>
      <w:r/>
      <w:bookmarkEnd w:id="141"/>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20.1.1电子投标文件的撤回</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20.1.2投标人撤回电子投标文件，则认为其不再参与本项目投标活动。</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 投标文件的修改</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20.2.2在投标截止时间之后，投标人不得对其电子投标文件作任何修改。</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20.3在投标截止时间至招标文件中规定的投标有效期满之间的这段时间内，投标人不得撤回其投标。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42" w:name="_Toc120614218"/>
      <w:r/>
      <w:bookmarkStart w:id="143" w:name="_Toc513029229"/>
      <w:r/>
      <w:bookmarkStart w:id="144" w:name="_Toc16938545"/>
      <w:r/>
      <w:bookmarkStart w:id="145" w:name="_Toc20823301"/>
      <w:r>
        <w:rPr>
          <w:rFonts w:hint="eastAsia" w:ascii="宋体" w:hAnsi="宋体" w:eastAsia="宋体" w:cs="宋体"/>
          <w:color w:val="000000"/>
          <w:sz w:val="24"/>
          <w:highlight w:val="none"/>
        </w:rPr>
        <w:t xml:space="preserve">五、开标与评标</w:t>
      </w:r>
      <w:bookmarkEnd w:id="142"/>
      <w:r/>
      <w:bookmarkEnd w:id="143"/>
      <w:r/>
      <w:bookmarkEnd w:id="144"/>
      <w:r/>
      <w:bookmarkEnd w:id="145"/>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46" w:name="_Toc16938546"/>
      <w:r/>
      <w:bookmarkStart w:id="147" w:name="_Toc20823302"/>
      <w:r/>
      <w:bookmarkStart w:id="148" w:name="_Toc513029230"/>
      <w:r>
        <w:rPr>
          <w:rFonts w:hint="eastAsia" w:ascii="宋体" w:hAnsi="宋体" w:eastAsia="宋体" w:cs="宋体"/>
          <w:color w:val="000000"/>
          <w:sz w:val="24"/>
          <w:highlight w:val="none"/>
        </w:rPr>
        <w:t xml:space="preserve">21、开标</w:t>
      </w:r>
      <w:bookmarkEnd w:id="146"/>
      <w:r/>
      <w:bookmarkEnd w:id="147"/>
      <w:r/>
      <w:bookmarkEnd w:id="148"/>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w:t>
      </w:r>
      <w:bookmarkStart w:id="149" w:name="_Hlk213230597"/>
      <w:r>
        <w:rPr>
          <w:rFonts w:hint="eastAsia" w:ascii="宋体" w:hAnsi="宋体" w:eastAsia="宋体" w:cs="宋体"/>
          <w:color w:val="000000"/>
          <w:sz w:val="24"/>
          <w:highlight w:val="none"/>
        </w:rPr>
        <w:t xml:space="preserve">采购人或采购招标代理</w:t>
      </w:r>
      <w:bookmarkEnd w:id="149"/>
      <w:r>
        <w:rPr>
          <w:rFonts w:hint="eastAsia" w:ascii="宋体" w:hAnsi="宋体" w:eastAsia="宋体" w:cs="宋体"/>
          <w:color w:val="000000"/>
          <w:sz w:val="24"/>
          <w:highlight w:val="none"/>
        </w:rPr>
        <w:t xml:space="preserve">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21.2开标仪式由采购人或采购招标代理组织。苏采云系统将自动对项目进行开标，并宣布各投标人名称和投标价格。</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21.3投标人在开标过程中涉及到的投标文件解密、开标结果确认等工作，应按照《操作手册》规定执行。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50" w:name="_Toc513029231"/>
      <w:r/>
      <w:bookmarkStart w:id="151" w:name="_Toc16938547"/>
      <w:r/>
      <w:bookmarkStart w:id="152" w:name="_Toc20823303"/>
      <w:r>
        <w:rPr>
          <w:rFonts w:hint="eastAsia" w:ascii="宋体" w:hAnsi="宋体" w:eastAsia="宋体" w:cs="宋体"/>
          <w:color w:val="000000"/>
          <w:sz w:val="24"/>
          <w:highlight w:val="none"/>
        </w:rPr>
        <w:t xml:space="preserve">22、评标委员会</w:t>
      </w:r>
      <w:bookmarkEnd w:id="150"/>
      <w:r/>
      <w:bookmarkEnd w:id="151"/>
      <w:r/>
      <w:bookmarkEnd w:id="152"/>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22.1开标后，采购人将立即组织评标委员会（以下简称评委会）进行评标。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22.2评委会由采购人代表和有关技术、经济等方面的专家组成，且人员构成符合政府采购有关规定。</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22.3评委会独立工作，负责评审所有投标文件并确定中标候选人。</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23、评标过程的保密与公正</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23.1凡是与审查、澄清、评价和比较投标的有关资料以及授标建议等，采购人、评委、采购招标代理均不得向投标人或与评标无关的其他人员透露。</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23.3</w:t>
      </w:r>
      <w:bookmarkStart w:id="153" w:name="_Hlk213230667"/>
      <w:r>
        <w:rPr>
          <w:rFonts w:hint="eastAsia" w:ascii="宋体" w:hAnsi="宋体" w:eastAsia="宋体" w:cs="宋体"/>
          <w:color w:val="000000"/>
          <w:sz w:val="24"/>
          <w:highlight w:val="none"/>
        </w:rPr>
        <w:t xml:space="preserve">采购人、采购招标代理</w:t>
      </w:r>
      <w:bookmarkEnd w:id="153"/>
      <w:r>
        <w:rPr>
          <w:rFonts w:hint="eastAsia" w:ascii="宋体" w:hAnsi="宋体" w:eastAsia="宋体" w:cs="宋体"/>
          <w:color w:val="000000"/>
          <w:sz w:val="24"/>
          <w:highlight w:val="none"/>
        </w:rPr>
        <w:t xml:space="preserve">和评标委员会不向未中标的投标人解释未中标原因，也不公布评标过程中的相关细节。</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23.4采用综合评分法的项目，未中标的投标人可于中标结果公告期限届满之日起通过苏采云系统查看自己的评审得分及排序情况。</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54" w:name="_Toc20823304"/>
      <w:r/>
      <w:bookmarkStart w:id="155" w:name="_Toc16938548"/>
      <w:r/>
      <w:bookmarkStart w:id="156" w:name="_Toc513029232"/>
      <w:r>
        <w:rPr>
          <w:rFonts w:hint="eastAsia" w:ascii="宋体" w:hAnsi="宋体" w:eastAsia="宋体" w:cs="宋体"/>
          <w:color w:val="000000"/>
          <w:sz w:val="24"/>
          <w:highlight w:val="none"/>
        </w:rPr>
        <w:t xml:space="preserve">24、投标文件的澄清</w:t>
      </w:r>
      <w:bookmarkEnd w:id="154"/>
      <w:r/>
      <w:bookmarkEnd w:id="155"/>
      <w:r/>
      <w:bookmarkEnd w:id="156"/>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24.3接到评委会澄清、说明和补正要求的投标人如未按规定作出澄清、说明和补正，其风险由投标人自行承担。</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57" w:name="_Toc513029233"/>
      <w:r/>
      <w:bookmarkStart w:id="158" w:name="_Toc20823305"/>
      <w:r/>
      <w:bookmarkStart w:id="159" w:name="_Toc16938549"/>
      <w:r>
        <w:rPr>
          <w:rFonts w:hint="eastAsia" w:ascii="宋体" w:hAnsi="宋体" w:eastAsia="宋体" w:cs="宋体"/>
          <w:color w:val="000000"/>
          <w:sz w:val="24"/>
          <w:highlight w:val="none"/>
        </w:rPr>
        <w:t xml:space="preserve">25、对投标文件的初审</w:t>
      </w:r>
      <w:bookmarkEnd w:id="157"/>
      <w:r/>
      <w:bookmarkEnd w:id="158"/>
      <w:r/>
      <w:bookmarkEnd w:id="159"/>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25.1投标文件初审分为资格审查和符合性审查。</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25.1.1资格审查：依据法律法规和招标文件的规定，由采购人对投标文件中的资格证明文件进行审查。资格审查的结论，采购人以书面形式向评委会进行反馈。</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25.4评委会将对确定为实质性响应的投标进行进一步审核，确定其是否有计算上或累加上的算术错误，修正错误的原则如下：</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60" w:name="_Toc513029234"/>
      <w:r/>
      <w:bookmarkStart w:id="161" w:name="_Toc20823306"/>
      <w:r/>
      <w:bookmarkStart w:id="162" w:name="_Toc16938550"/>
      <w:r>
        <w:rPr>
          <w:rFonts w:hint="eastAsia" w:ascii="宋体" w:hAnsi="宋体" w:eastAsia="宋体" w:cs="宋体"/>
          <w:color w:val="000000"/>
          <w:sz w:val="24"/>
          <w:highlight w:val="none"/>
        </w:rPr>
        <w:t xml:space="preserve">25.6投标人在开、评标全过程中应保持通信畅通，及时登录苏采云系统查阅、答复相关信息，并安排专人与采购人及评标委员会联系。</w:t>
      </w:r>
      <w:bookmarkEnd w:id="160"/>
      <w:r/>
      <w:bookmarkEnd w:id="161"/>
      <w:r/>
      <w:bookmarkEnd w:id="162"/>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26、无效投标条款和废标条款</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63" w:name="_Toc20823307"/>
      <w:r/>
      <w:bookmarkStart w:id="164" w:name="_Toc513029235"/>
      <w:r/>
      <w:bookmarkStart w:id="165" w:name="_Toc16938551"/>
      <w:r>
        <w:rPr>
          <w:rFonts w:hint="eastAsia" w:ascii="宋体" w:hAnsi="宋体" w:eastAsia="宋体" w:cs="宋体"/>
          <w:color w:val="000000"/>
          <w:sz w:val="24"/>
          <w:highlight w:val="none"/>
        </w:rPr>
        <w:t xml:space="preserve">26.1无效投标条款</w:t>
      </w:r>
      <w:bookmarkEnd w:id="163"/>
      <w:r/>
      <w:bookmarkEnd w:id="164"/>
      <w:r/>
      <w:bookmarkEnd w:id="165"/>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26.1.1投标人在苏采云系统规定的时间内未成功解密电子投标文件的。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26.1.2投标人未按照招标文件要求上传电子投标文件的。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26.1.3同一投标人提交两个（含两个）以上不同的投标报价的。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26.1.4投标人不具备招标文件中规定资格要求的。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26.1.5投标人的报价超过了采购预算或最高限价的。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26.1.6未通过符合性审查的。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i/>
          <w:color w:val="000000"/>
          <w:sz w:val="24"/>
          <w:highlight w:val="none"/>
          <w:u w:val="single"/>
        </w:rPr>
      </w:pPr>
      <w:r>
        <w:rPr>
          <w:rFonts w:hint="eastAsia" w:ascii="宋体" w:hAnsi="宋体" w:eastAsia="宋体" w:cs="宋体"/>
          <w:color w:val="000000"/>
          <w:sz w:val="24"/>
          <w:highlight w:val="none"/>
        </w:rPr>
        <w:t xml:space="preserve">26.1.7不符合招标文件中规定的实质性要求和条件的</w:t>
      </w:r>
      <w:r>
        <w:rPr>
          <w:rFonts w:hint="eastAsia" w:ascii="宋体" w:hAnsi="宋体" w:eastAsia="宋体" w:cs="宋体"/>
          <w:i/>
          <w:color w:val="000000"/>
          <w:sz w:val="24"/>
          <w:highlight w:val="none"/>
          <w:u w:val="single"/>
        </w:rPr>
        <w:t xml:space="preserve">（本招标文件中斜体且有下划线部分为实质性要求和条件）。</w:t>
      </w:r>
      <w:r>
        <w:rPr>
          <w:rFonts w:ascii="宋体" w:hAnsi="宋体" w:eastAsia="宋体" w:cs="宋体"/>
          <w:i/>
          <w:color w:val="000000"/>
          <w:sz w:val="24"/>
          <w:highlight w:val="none"/>
          <w:u w:val="singl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26.1.9投标文件含有采购人不能接受的附加条件的。</w:t>
      </w:r>
      <w:r>
        <w:rPr>
          <w:rFonts w:ascii="宋体" w:hAnsi="宋体" w:eastAsia="宋体" w:cs="宋体"/>
          <w:color w:val="000000"/>
          <w:sz w:val="24"/>
          <w:highlight w:val="none"/>
        </w:rPr>
      </w:r>
      <w:r/>
    </w:p>
    <w:p>
      <w:pPr>
        <w:pStyle w:val="864"/>
        <w:ind w:firstLine="482"/>
        <w:jc w:val="both"/>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26.1.10投标人不能证明其报价合理性的，评</w:t>
      </w:r>
      <w:r>
        <w:rPr>
          <w:rFonts w:hint="eastAsia" w:ascii="宋体" w:hAnsi="宋体" w:eastAsia="宋体" w:cs="宋体"/>
          <w:b/>
          <w:bCs/>
          <w:color w:val="000000"/>
          <w:sz w:val="24"/>
          <w:highlight w:val="none"/>
          <w:lang w:val="en-US" w:eastAsia="zh-CN"/>
        </w:rPr>
        <w:t xml:space="preserve">标</w:t>
      </w:r>
      <w:r>
        <w:rPr>
          <w:rFonts w:hint="eastAsia" w:ascii="宋体" w:hAnsi="宋体" w:eastAsia="宋体" w:cs="宋体"/>
          <w:b/>
          <w:bCs/>
          <w:color w:val="000000"/>
          <w:sz w:val="24"/>
          <w:highlight w:val="none"/>
        </w:rPr>
        <w:t xml:space="preserve">委员会应当将其作为无效投标处理。</w:t>
      </w:r>
      <w:r>
        <w:rPr>
          <w:rFonts w:hint="eastAsia" w:ascii="宋体" w:hAnsi="宋体" w:eastAsia="宋体" w:cs="宋体"/>
          <w:b/>
          <w:bCs/>
          <w:color w:val="000000"/>
          <w:sz w:val="24"/>
          <w:highlight w:val="none"/>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（一）评审过程中出现下列情形之一的，评标委员会应当启动异常低价投标审查程序：</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相关法律法规对供应商报价有规定的，从其规定。</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highlight w:val="none"/>
          <w:lang w:val="en-US" w:eastAsia="zh-CN"/>
        </w:rPr>
      </w:r>
      <w:r/>
    </w:p>
    <w:p>
      <w:pPr>
        <w:pStyle w:val="864"/>
        <w:ind w:firstLine="482"/>
        <w:jc w:val="both"/>
        <w:spacing w:line="440" w:lineRule="exact"/>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26.1.11投标文件未按照招标文件要求加盖CA电子公章的。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26.1.12其他法律、法规及本招标文件规定的属无效投标的情形。</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26.2废标条款</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26.2.1符合专业条件的供应商或者对招标文件作实质响应的供应商不足三家的。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26.2.2出现影响采购公正的违法、违规行为的。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26.2.3因重大变故，采购任务取消的。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26.2.4评标委员会认定招标文件存在歧义、重大缺陷导致评审工作无法进行。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26.2.5因苏采云系统系统故障原因造成开标不成功的。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 投标截止时间结束后参加投标的供应商不足三家的处理：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66" w:name="_Toc120614219"/>
      <w:r>
        <w:rPr>
          <w:rFonts w:hint="eastAsia" w:ascii="宋体" w:hAnsi="宋体" w:eastAsia="宋体" w:cs="宋体"/>
          <w:color w:val="000000"/>
          <w:sz w:val="24"/>
          <w:highlight w:val="none"/>
        </w:rPr>
        <w:t xml:space="preserve">六、定标</w:t>
      </w:r>
      <w:bookmarkEnd w:id="166"/>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67" w:name="_Toc16938554"/>
      <w:r/>
      <w:bookmarkStart w:id="168" w:name="_Toc513029238"/>
      <w:r/>
      <w:bookmarkStart w:id="169" w:name="_Toc20823310"/>
      <w:r>
        <w:rPr>
          <w:rFonts w:hint="eastAsia" w:ascii="宋体" w:hAnsi="宋体" w:eastAsia="宋体" w:cs="宋体"/>
          <w:color w:val="000000"/>
          <w:sz w:val="24"/>
          <w:highlight w:val="none"/>
        </w:rPr>
        <w:t xml:space="preserve">27、</w:t>
      </w:r>
      <w:bookmarkEnd w:id="169"/>
      <w:r>
        <w:rPr>
          <w:rFonts w:hint="eastAsia" w:ascii="宋体" w:hAnsi="宋体" w:eastAsia="宋体" w:cs="宋体"/>
          <w:color w:val="000000"/>
          <w:sz w:val="24"/>
          <w:highlight w:val="none"/>
        </w:rPr>
        <w:t xml:space="preserve">确定</w:t>
      </w:r>
      <w:bookmarkEnd w:id="167"/>
      <w:r/>
      <w:bookmarkEnd w:id="168"/>
      <w:r>
        <w:rPr>
          <w:rFonts w:hint="eastAsia" w:ascii="宋体" w:hAnsi="宋体" w:eastAsia="宋体" w:cs="宋体"/>
          <w:color w:val="000000"/>
          <w:sz w:val="24"/>
          <w:highlight w:val="none"/>
        </w:rPr>
        <w:t xml:space="preserve">中标单位</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27.1中标候选人的选取原则和数量见招标文件第五章规定。 </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27.2采购人应根据评委会推荐的中标候选人确定中标人。</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27.3采购人将在“中国政府采购网”、“江苏政府采购网”、“盐城市政府采购网”发布中标公告，公告期限为1个工作日。</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27.4若有充分证据证明，中标人出现下列情况之一的，一经查实，将被取消中标资格：</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27.4.1提供虚假材料谋取中标的。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27.4.2向采购人、采购招标代理行贿或者提供其他不正当利益的。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27.4.3属于本文件规定的无效条件，但在评标过程中又未被评委会发现的。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27.4.4与采购人或者其他供应商恶意串通的。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27.4.5采取不正当手段诋毁、排挤其他供应商的。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70" w:name="_Toc200451960"/>
      <w:r>
        <w:rPr>
          <w:rFonts w:hint="eastAsia" w:ascii="宋体" w:hAnsi="宋体" w:eastAsia="宋体" w:cs="宋体"/>
          <w:color w:val="000000"/>
          <w:sz w:val="24"/>
          <w:highlight w:val="none"/>
        </w:rPr>
        <w:t xml:space="preserve">27.5 有下列情形之一的，视为投标人串通投标，投标无效：</w:t>
      </w:r>
      <w:bookmarkEnd w:id="170"/>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27.5.1不同投标人的投标文件由同一单位或者个人编制。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27.5.2不同投标人委托同一单位或者个人办理投标事宜。</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27.5.3不同投标人的投标文件载明的项目管理成员或者联系人员为同一人。</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27.5.4不同投标人的投标文件异常一致或者投标报价呈规律性差异。</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28、质疑处理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28.1提出质疑的供应商应当是参与所质疑项目采购活动的供应商。潜在供应商依法获取其可质疑的采购文件的，可以对采购文件提出质疑。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招标代理提出质疑。上述应知其权益受到损害之日，是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28.2.1对可以质疑的采购文件提出质疑的，为收到采购文件之日或者采购文件公告期限届满之日；</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28.2.2对采购过程提出质疑的，为各采购程序环节结束之日；</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28.2.3对中标或者成交结果提出质疑的，为中标或者成交结果公告期限届满之日。</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供应商应当在法定质疑期内一次性提出针对同一采购程序环节的质疑。供应商如在法定期限内对同一采购程序环节提出多次质疑的，采购人、采购招标代理将只对供应商第一次质疑作出答复。</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采购人及采购招标代理只接收以纸质原件形式送达的质疑,采购人及采购招标代理不接受未填写快递运单的快件。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28.5.1内容不符合《政府采购质疑和投诉办法》第十二条规定的质疑。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28.5.2超出政府采购法定期限的质疑。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28.5.3以传真、电子邮件等方式递交的非原件形式的质疑。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28.5.4未参加投标活动的供应商或在投标活动中自身权益未受到损害的供应商所提出的质疑。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28.5.5供应商组成联合体参加投标，联合体中任何一方或多方未按要求签字、盖章、加盖公章的质疑。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29、中标通知书</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71" w:name="_Toc16938552"/>
      <w:r/>
      <w:bookmarkStart w:id="172" w:name="_Toc20823308"/>
      <w:r/>
      <w:bookmarkStart w:id="173" w:name="_Toc120614220"/>
      <w:r/>
      <w:bookmarkStart w:id="174" w:name="_Toc513029236"/>
      <w:r>
        <w:rPr>
          <w:rFonts w:hint="eastAsia" w:ascii="宋体" w:hAnsi="宋体" w:eastAsia="宋体" w:cs="宋体"/>
          <w:color w:val="000000"/>
          <w:sz w:val="24"/>
          <w:highlight w:val="none"/>
        </w:rPr>
        <w:t xml:space="preserve">七、授予合同</w:t>
      </w:r>
      <w:bookmarkEnd w:id="171"/>
      <w:r/>
      <w:bookmarkEnd w:id="172"/>
      <w:r/>
      <w:bookmarkEnd w:id="173"/>
      <w:r/>
      <w:bookmarkEnd w:id="174"/>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bookmarkStart w:id="175" w:name="_Toc16938553"/>
      <w:r/>
      <w:bookmarkStart w:id="176" w:name="_Toc20823309"/>
      <w:r/>
      <w:bookmarkStart w:id="177" w:name="_Toc513029237"/>
      <w:r>
        <w:rPr>
          <w:rFonts w:hint="eastAsia" w:ascii="宋体" w:hAnsi="宋体" w:eastAsia="宋体" w:cs="宋体"/>
          <w:color w:val="000000"/>
          <w:sz w:val="24"/>
          <w:highlight w:val="none"/>
        </w:rPr>
        <w:t xml:space="preserve">30</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签订合同</w:t>
      </w:r>
      <w:bookmarkEnd w:id="175"/>
      <w:r/>
      <w:bookmarkEnd w:id="176"/>
      <w:r/>
      <w:bookmarkEnd w:id="177"/>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30.l中标人应当在中标通知书发出之日起三十日内，按照招标文件确定的事项与采购人签订政府采购合同。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30.2招标文件、中标人的投标文件及招标过程中有关澄清、承诺文件均应作为合同附件。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30.3签订合同后，</w:t>
      </w:r>
      <w:r>
        <w:rPr>
          <w:rFonts w:hint="eastAsia" w:ascii="宋体" w:hAnsi="宋体" w:eastAsia="宋体" w:cs="宋体"/>
          <w:i/>
          <w:color w:val="000000"/>
          <w:sz w:val="24"/>
          <w:highlight w:val="none"/>
          <w:u w:val="single"/>
        </w:rPr>
        <w:t xml:space="preserve">中标人不得将合同标的进行转包</w:t>
      </w:r>
      <w:r>
        <w:rPr>
          <w:rFonts w:hint="eastAsia" w:ascii="宋体" w:hAnsi="宋体" w:eastAsia="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31、服务（包含与服务相关的货物）的追加</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32.政府采购政策功能落实</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32.1政府采购线上合同信用融资政策</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32.2进口产品</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32.3中小企业、监狱企业及残疾人福利性单位</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32.3.1中小企业定义：</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32.3.2供应商提供的货物、工程或者服务符合下列情形的，享受中小企业扶持政策：</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32.3.2.1在货物采购项目中，货物由中小企业制造，即货物由中小企业生产且使用该中小企业商号或者注册商标；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32.3.2.2在工程采购项目中，工程由中小企业承建，即工程施工单位为中小企业；</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32.3.3在货物采购项目中，供应商提供的货物既有中小企业制造货物，也有大型企业制造货物的，不享受中小企业扶持政策。</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32.3.6残疾人福利单位定义：享受政府采购支持政策的残疾人福利性单位应当同时满足以下条件：</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32.3.6.1安置的残疾人占本单位在职职工人数的比例不低于25%（含25%），并且安置的残疾人人数不少于10 人（含10 人）；</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32.3.6.2依法与安置的每位残疾人签订了一年以上（含一年）的劳动合同或服务协议；</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32.3.7本项目是否专门面向中小企业预留采购份额见第一章《招标公告》。</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32.3.8采购标的对应的中小企业划分标准所属行业见第四章《采购需求》。</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32.3.9小微企业价格评审优惠的政策：见第五章《评标方法和评标标准》。</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32.4政府采购节能产品、环境标志产品</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color w:val="000000"/>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32.5绿色包装</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32.6政府采购创新产品</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采购人优先采购各级政府部门公开发布的有效期内的创新产品、创新服务、首台套、首购首用等《目录》的创新产品。</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32.7绿色数据中心政策 </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32.8实施本国产品标准及相关政策</w:t>
      </w:r>
      <w:r>
        <w:rPr>
          <w:rFonts w:ascii="宋体" w:hAnsi="宋体" w:eastAsia="宋体" w:cs="宋体"/>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32.8.1</w:t>
      </w:r>
      <w:r>
        <w:rPr>
          <w:rFonts w:hint="eastAsia" w:ascii="宋体" w:hAnsi="宋体" w:eastAsia="宋体" w:cs="宋体"/>
          <w:color w:val="000000"/>
          <w:sz w:val="24"/>
          <w:highlight w:val="none"/>
          <w:lang w:val="en-US" w:eastAsia="zh-CN"/>
        </w:rPr>
        <w:t xml:space="preserve">本项目对采购本国产品给予政策支持，具体内容见招标文件“第五章 评标方法与评标标准”。</w:t>
      </w:r>
      <w:r>
        <w:rPr>
          <w:rFonts w:hint="eastAsia" w:ascii="宋体" w:hAnsi="宋体" w:eastAsia="宋体" w:cs="宋体"/>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32.8.2</w:t>
      </w:r>
      <w:r>
        <w:rPr>
          <w:rFonts w:hint="eastAsia" w:ascii="宋体" w:hAnsi="宋体" w:eastAsia="宋体" w:cs="宋体"/>
          <w:color w:val="000000"/>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val="en-US" w:eastAsia="zh-CN"/>
        </w:rPr>
      </w:r>
      <w:r/>
    </w:p>
    <w:p>
      <w:pPr>
        <w:pStyle w:val="864"/>
        <w:ind w:firstLine="482"/>
        <w:jc w:val="both"/>
        <w:spacing w:line="44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32.8.3</w:t>
      </w:r>
      <w:r>
        <w:rPr>
          <w:rFonts w:hint="eastAsia" w:ascii="宋体" w:hAnsi="宋体" w:eastAsia="宋体" w:cs="宋体"/>
          <w:color w:val="000000"/>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履约保证金政策</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确需收取履约保证金的，履约保证金的缴纳形式：</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如以履约保函（保险）形式缴纳履约保证金，供应商可通过政府采购电子履约保函（保险）平台（www.jsdzbh.com）在线申请履约保函（保险）。</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履约保证金金额不得超过合同金额的10%，采购人对第三方信用服务机构依据标准规范评定为</w:t>
      </w:r>
      <w:bookmarkStart w:id="178" w:name="OLE_LINK88"/>
      <w:r>
        <w:rPr>
          <w:rFonts w:hint="eastAsia" w:ascii="宋体" w:hAnsi="宋体" w:eastAsia="宋体" w:cs="宋体"/>
          <w:color w:val="000000"/>
          <w:sz w:val="24"/>
          <w:highlight w:val="none"/>
        </w:rPr>
        <w:t xml:space="preserve"> AA 级及以上的政府采购供应商（需在签订采购合同前提供信用管理 部门备案的第三方信用报告，且信用报告通过“信用盐城网”可查实）</w:t>
      </w:r>
      <w:bookmarkEnd w:id="178"/>
      <w:r>
        <w:rPr>
          <w:rFonts w:hint="eastAsia" w:ascii="宋体" w:hAnsi="宋体" w:eastAsia="宋体" w:cs="宋体"/>
          <w:color w:val="000000"/>
          <w:sz w:val="24"/>
          <w:highlight w:val="none"/>
        </w:rPr>
        <w:t xml:space="preserve">，免收履约保证金或降低履约保证金缴纳比例。</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预付款制度</w:t>
      </w:r>
      <w:r>
        <w:rPr>
          <w:rFonts w:ascii="宋体" w:hAnsi="宋体" w:eastAsia="宋体" w:cs="宋体"/>
          <w:color w:val="000000"/>
          <w:sz w:val="24"/>
          <w:highlight w:val="none"/>
        </w:rPr>
      </w:r>
      <w:r/>
    </w:p>
    <w:p>
      <w:pPr>
        <w:pStyle w:val="864"/>
        <w:ind w:firstLine="482"/>
        <w:jc w:val="both"/>
        <w:spacing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本项目落实预付款制度，预付款比例为</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0%。在签订合同时，中标、成交供应商明确书面表示无需预付款或者主动要求降低预付款比例的，采购人可就预付款比例作相应调整。</w:t>
      </w:r>
      <w:r>
        <w:rPr>
          <w:rFonts w:ascii="宋体" w:hAnsi="宋体" w:eastAsia="宋体" w:cs="宋体"/>
          <w:color w:val="000000"/>
          <w:sz w:val="24"/>
          <w:highlight w:val="none"/>
        </w:rPr>
      </w:r>
      <w:r/>
    </w:p>
    <w:p>
      <w:pPr>
        <w:pStyle w:val="917"/>
        <w:jc w:val="both"/>
        <w:spacing w:beforeAutospacing="0" w:afterAutospacing="0" w:line="400" w:lineRule="exact"/>
        <w:rPr>
          <w:rFonts w:ascii="宋体" w:hAnsi="宋体" w:eastAsia="宋体" w:cs="黑体"/>
          <w:color w:val="000000"/>
          <w:sz w:val="44"/>
          <w:szCs w:val="44"/>
          <w:highlight w:val="none"/>
        </w:rPr>
      </w:pPr>
      <w:r>
        <w:rPr>
          <w:rFonts w:ascii="宋体" w:hAnsi="宋体" w:eastAsia="宋体" w:cs="黑体"/>
          <w:color w:val="000000"/>
          <w:sz w:val="44"/>
          <w:szCs w:val="44"/>
          <w:highlight w:val="none"/>
        </w:rPr>
      </w:r>
      <w:r/>
    </w:p>
    <w:p>
      <w:pPr>
        <w:pStyle w:val="864"/>
        <w:jc w:val="center"/>
        <w:spacing w:line="360" w:lineRule="auto"/>
        <w:rPr>
          <w:rFonts w:ascii="Calibri" w:hAnsi="Calibri" w:eastAsia="宋体" w:cs="Times New Roman"/>
          <w:color w:val="000000"/>
          <w:sz w:val="36"/>
          <w:szCs w:val="44"/>
          <w:highlight w:val="none"/>
        </w:rPr>
      </w:pPr>
      <w:r>
        <w:rPr>
          <w:rFonts w:ascii="Calibri" w:hAnsi="Calibri" w:eastAsia="宋体" w:cs="Times New Roman"/>
          <w:color w:val="000000"/>
          <w:sz w:val="36"/>
          <w:szCs w:val="44"/>
          <w:highlight w:val="none"/>
        </w:rPr>
        <w:t xml:space="preserve"> </w:t>
      </w:r>
      <w:r>
        <w:rPr>
          <w:rFonts w:ascii="Calibri" w:hAnsi="Calibri" w:eastAsia="宋体" w:cs="Times New Roman"/>
          <w:color w:val="000000"/>
          <w:sz w:val="36"/>
          <w:szCs w:val="44"/>
          <w:highlight w:val="none"/>
        </w:rPr>
      </w:r>
      <w:r/>
    </w:p>
    <w:p>
      <w:pPr>
        <w:pStyle w:val="864"/>
        <w:jc w:val="center"/>
        <w:spacing w:line="360" w:lineRule="auto"/>
        <w:rPr>
          <w:rFonts w:ascii="宋体" w:hAnsi="宋体" w:eastAsia="宋体" w:cs="宋体"/>
          <w:b/>
          <w:color w:val="000000"/>
          <w:sz w:val="48"/>
          <w:szCs w:val="44"/>
          <w:highlight w:val="none"/>
        </w:rPr>
      </w:pPr>
      <w:r>
        <w:rPr>
          <w:rFonts w:ascii="Calibri" w:hAnsi="Calibri" w:eastAsia="宋体" w:cs="Times New Roman"/>
          <w:color w:val="000000"/>
          <w:sz w:val="36"/>
          <w:szCs w:val="44"/>
          <w:highlight w:val="none"/>
        </w:rPr>
        <w:br w:type="page" w:clear="all"/>
      </w:r>
      <w:r>
        <w:rPr>
          <w:rFonts w:hint="eastAsia" w:ascii="宋体" w:hAnsi="宋体" w:eastAsia="宋体" w:cs="黑体"/>
          <w:b/>
          <w:color w:val="000000"/>
          <w:sz w:val="44"/>
          <w:szCs w:val="44"/>
          <w:highlight w:val="none"/>
        </w:rPr>
        <w:t xml:space="preserve">第三章  合同条款</w:t>
      </w:r>
      <w:r>
        <w:rPr>
          <w:rFonts w:ascii="宋体" w:hAnsi="宋体" w:eastAsia="宋体" w:cs="宋体"/>
          <w:b/>
          <w:color w:val="000000"/>
          <w:sz w:val="48"/>
          <w:szCs w:val="4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79" w:name="_Toc462564139"/>
      <w:r/>
      <w:bookmarkStart w:id="180" w:name="_Hlt16619369"/>
      <w:r/>
      <w:bookmarkStart w:id="181" w:name="_Toc16938590"/>
      <w:r/>
      <w:bookmarkStart w:id="182" w:name="_Toc20823346"/>
      <w:r/>
      <w:bookmarkStart w:id="183" w:name="_Hlt16619350"/>
      <w:r/>
      <w:bookmarkStart w:id="184" w:name="_Toc120614244"/>
      <w:r/>
      <w:bookmarkStart w:id="185" w:name="_Toc479757211"/>
      <w:r>
        <w:rPr>
          <w:rFonts w:hint="eastAsia" w:ascii="宋体" w:hAnsi="宋体" w:eastAsia="宋体" w:cs="宋体"/>
          <w:color w:val="000000"/>
          <w:sz w:val="24"/>
          <w:szCs w:val="24"/>
          <w:highlight w:val="none"/>
        </w:rPr>
        <w:t xml:space="preserve">以下为中标后签定本项目合同的通用条款，中标供应商不得提出实质性的修改；关于专用条款将由</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与中标供应商结合本项目具体情况协商后补充，但补充内容对招标文件和投标文件以及通用条款，不得作实质性修改。</w:t>
      </w:r>
      <w:r>
        <w:rPr>
          <w:rFonts w:hint="eastAsia" w:ascii="宋体" w:hAnsi="宋体" w:eastAsia="宋体" w:cs="宋体"/>
          <w:color w:val="000000"/>
          <w:sz w:val="24"/>
          <w:szCs w:val="24"/>
          <w:highlight w:val="none"/>
        </w:rPr>
      </w:r>
      <w:r/>
    </w:p>
    <w:p>
      <w:pPr>
        <w:pStyle w:val="864"/>
        <w:ind w:firstLine="482"/>
        <w:jc w:val="center"/>
        <w:keepLines w:val="0"/>
        <w:keepNext w:val="0"/>
        <w:pageBreakBefore w:val="0"/>
        <w:spacing w:before="156" w:after="156"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t xml:space="preserve">政府采购合同（格式）</w:t>
      </w:r>
      <w:r>
        <w:rPr>
          <w:rFonts w:hint="eastAsia" w:ascii="宋体" w:hAnsi="宋体" w:eastAsia="宋体" w:cs="宋体"/>
          <w:b/>
          <w:bCs/>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根据《中华人民共和国民法典》、《中华人民共和国政府采购法》等相关法律法规之规定，按照平等、自愿、公平和诚实信用的原则，经</w:t>
      </w:r>
      <w:r>
        <w:rPr>
          <w:rFonts w:hint="eastAsia" w:ascii="宋体" w:hAnsi="宋体" w:eastAsia="宋体" w:cs="宋体"/>
          <w:b/>
          <w:bCs/>
          <w:color w:val="000000"/>
          <w:sz w:val="24"/>
          <w:szCs w:val="24"/>
          <w:highlight w:val="none"/>
          <w:u w:val="single"/>
        </w:rPr>
        <w:t xml:space="preserve">盐城经济技术开发区步凤镇人民政府</w:t>
      </w:r>
      <w:r>
        <w:rPr>
          <w:rFonts w:hint="eastAsia" w:ascii="宋体" w:hAnsi="宋体" w:eastAsia="宋体" w:cs="宋体"/>
          <w:color w:val="000000"/>
          <w:sz w:val="24"/>
          <w:szCs w:val="24"/>
          <w:highlight w:val="none"/>
        </w:rPr>
        <w:t xml:space="preserve">(以下简称：甲方)和</w:t>
      </w:r>
      <w:r>
        <w:rPr>
          <w:rFonts w:hint="eastAsia" w:ascii="宋体" w:hAnsi="宋体" w:eastAsia="宋体" w:cs="宋体"/>
          <w:b/>
          <w:i/>
          <w:color w:val="000000"/>
          <w:sz w:val="24"/>
          <w:szCs w:val="24"/>
          <w:highlight w:val="none"/>
          <w:u w:val="single"/>
        </w:rPr>
        <w:t xml:space="preserve">（成交供应商名称）</w:t>
      </w:r>
      <w:r>
        <w:rPr>
          <w:rFonts w:hint="eastAsia" w:ascii="宋体" w:hAnsi="宋体" w:eastAsia="宋体" w:cs="宋体"/>
          <w:color w:val="000000"/>
          <w:sz w:val="24"/>
          <w:szCs w:val="24"/>
          <w:highlight w:val="none"/>
        </w:rPr>
        <w:t xml:space="preserve"> (以下简称：乙方)协商一致，约定以下合同条款，以兹共同遵守、全面履行。</w:t>
      </w:r>
      <w:r>
        <w:rPr>
          <w:rFonts w:hint="eastAsia" w:ascii="宋体" w:hAnsi="宋体" w:eastAsia="宋体" w:cs="宋体"/>
          <w:b/>
          <w:bCs/>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186" w:name="_Toc20421"/>
      <w:r/>
      <w:bookmarkStart w:id="187" w:name="_Toc28855"/>
      <w:r/>
      <w:bookmarkStart w:id="188" w:name="_Toc22967"/>
      <w:r/>
      <w:bookmarkStart w:id="189" w:name="_Toc19273"/>
      <w:r/>
      <w:bookmarkStart w:id="190" w:name="_Toc15367"/>
      <w:r>
        <w:rPr>
          <w:rFonts w:hint="eastAsia" w:ascii="宋体" w:hAnsi="宋体" w:eastAsia="宋体" w:cs="宋体"/>
          <w:b/>
          <w:color w:val="000000"/>
          <w:sz w:val="24"/>
          <w:szCs w:val="24"/>
          <w:highlight w:val="none"/>
        </w:rPr>
        <w:t xml:space="preserve">1.1 合同组成部分</w:t>
      </w:r>
      <w:bookmarkEnd w:id="186"/>
      <w:r/>
      <w:bookmarkEnd w:id="187"/>
      <w:r/>
      <w:bookmarkEnd w:id="188"/>
      <w:r/>
      <w:bookmarkEnd w:id="189"/>
      <w:r/>
      <w:bookmarkEnd w:id="190"/>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确定的事项的前提下，组成本合同的多个文件的优先适用顺序如下：</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w:t>
      </w:r>
      <w:r>
        <w:rPr>
          <w:rFonts w:hint="eastAsia" w:ascii="宋体" w:hAnsi="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投标（响应）文件（含澄清或者说明文件）；</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（含澄清或者修改文件）；</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191" w:name="_Toc27126"/>
      <w:r/>
      <w:bookmarkStart w:id="192" w:name="_Toc21295"/>
      <w:r/>
      <w:bookmarkStart w:id="193" w:name="_Toc24300"/>
      <w:r>
        <w:rPr>
          <w:rFonts w:hint="eastAsia" w:ascii="宋体" w:hAnsi="宋体" w:eastAsia="宋体" w:cs="宋体"/>
          <w:b/>
          <w:color w:val="000000"/>
          <w:sz w:val="24"/>
          <w:szCs w:val="24"/>
          <w:highlight w:val="none"/>
        </w:rPr>
        <w:t xml:space="preserve">1.2标的</w:t>
      </w:r>
      <w:bookmarkEnd w:id="191"/>
      <w:r/>
      <w:bookmarkEnd w:id="192"/>
      <w:r/>
      <w:bookmarkEnd w:id="193"/>
      <w:r>
        <w:rPr>
          <w:rFonts w:hint="eastAsia" w:ascii="宋体" w:hAnsi="宋体" w:eastAsia="宋体" w:cs="宋体"/>
          <w:b/>
          <w:color w:val="000000"/>
          <w:sz w:val="24"/>
          <w:szCs w:val="24"/>
          <w:highlight w:val="none"/>
        </w:rPr>
        <w:t xml:space="preserve">及合同价款</w:t>
      </w:r>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cs="宋体"/>
          <w:color w:val="000000"/>
          <w:sz w:val="24"/>
          <w:szCs w:val="24"/>
          <w:highlight w:val="none"/>
          <w:u w:val="single"/>
          <w:lang w:val="en-US" w:eastAsia="zh-CN"/>
        </w:rPr>
        <w:t xml:space="preserve">步凤河以西河道保洁服务项目（包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w:t>
      </w:r>
      <w:r>
        <w:rPr>
          <w:rFonts w:hint="eastAsia" w:ascii="宋体" w:hAnsi="宋体" w:eastAsia="宋体" w:cs="宋体"/>
          <w:color w:val="000000"/>
          <w:sz w:val="24"/>
          <w:szCs w:val="24"/>
          <w:highlight w:val="none"/>
          <w:lang w:eastAsia="zh-CN"/>
        </w:rPr>
        <w:t xml:space="preserve">本合同总价为：</w:t>
      </w:r>
      <w:r>
        <w:rPr>
          <w:rFonts w:hint="eastAsia" w:ascii="宋体" w:hAnsi="宋体" w:eastAsia="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元</w:t>
      </w:r>
      <w:r>
        <w:rPr>
          <w:rFonts w:hint="eastAsia" w:ascii="宋体" w:hAnsi="宋体" w:cs="宋体"/>
          <w:color w:val="000000"/>
          <w:sz w:val="24"/>
          <w:szCs w:val="24"/>
          <w:highlight w:val="none"/>
          <w:u w:val="single"/>
          <w:lang w:val="en-US" w:eastAsia="zh-CN"/>
        </w:rPr>
        <w:t xml:space="preserve">/年</w:t>
      </w:r>
      <w:r>
        <w:rPr>
          <w:rFonts w:hint="eastAsia" w:ascii="宋体" w:hAnsi="宋体" w:eastAsia="宋体" w:cs="宋体"/>
          <w:color w:val="000000"/>
          <w:sz w:val="24"/>
          <w:szCs w:val="24"/>
          <w:highlight w:val="none"/>
          <w:u w:val="single"/>
          <w:lang w:eastAsia="zh-CN"/>
        </w:rPr>
        <w:t xml:space="preserve">（大写：</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元</w:t>
      </w:r>
      <w:r>
        <w:rPr>
          <w:rFonts w:hint="eastAsia" w:ascii="宋体" w:hAnsi="宋体" w:cs="宋体"/>
          <w:color w:val="000000"/>
          <w:sz w:val="24"/>
          <w:szCs w:val="24"/>
          <w:highlight w:val="none"/>
          <w:u w:val="single"/>
          <w:lang w:val="en-US" w:eastAsia="zh-CN"/>
        </w:rPr>
        <w:t xml:space="preserve">/年</w:t>
      </w:r>
      <w:r>
        <w:rPr>
          <w:rFonts w:hint="eastAsia" w:ascii="宋体" w:hAnsi="宋体" w:eastAsia="宋体" w:cs="宋体"/>
          <w:color w:val="000000"/>
          <w:sz w:val="24"/>
          <w:szCs w:val="24"/>
          <w:highlight w:val="none"/>
          <w:u w:val="single"/>
          <w:lang w:eastAsia="zh-CN"/>
        </w:rPr>
        <w:t xml:space="preserve">人民币）</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1.3标的明细内容（标的质量）及分项价格</w:t>
      </w:r>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略，详见合同附件：《投标分项报价表》</w:t>
      </w:r>
      <w:r>
        <w:rPr>
          <w:rFonts w:hint="eastAsia" w:ascii="宋体" w:hAnsi="宋体" w:eastAsia="宋体" w:cs="宋体"/>
          <w:b/>
          <w:color w:val="000000"/>
          <w:sz w:val="24"/>
          <w:szCs w:val="24"/>
          <w:highlight w:val="none"/>
          <w:u w:val="singl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194" w:name="_Toc30158"/>
      <w:r/>
      <w:bookmarkStart w:id="195" w:name="_Toc14993"/>
      <w:r/>
      <w:bookmarkStart w:id="196" w:name="_Toc26916"/>
      <w:r/>
      <w:bookmarkStart w:id="197" w:name="_Toc3654"/>
      <w:r/>
      <w:bookmarkStart w:id="198" w:name="_Toc30506"/>
      <w:r>
        <w:rPr>
          <w:rFonts w:hint="eastAsia" w:ascii="宋体" w:hAnsi="宋体" w:eastAsia="宋体" w:cs="宋体"/>
          <w:b/>
          <w:color w:val="000000"/>
          <w:sz w:val="24"/>
          <w:szCs w:val="24"/>
          <w:highlight w:val="none"/>
        </w:rPr>
        <w:t xml:space="preserve">1.4 付款方式和发票开具方式</w:t>
      </w:r>
      <w:bookmarkEnd w:id="194"/>
      <w:r/>
      <w:bookmarkEnd w:id="195"/>
      <w:r/>
      <w:bookmarkEnd w:id="196"/>
      <w:r/>
      <w:bookmarkEnd w:id="197"/>
      <w:r/>
      <w:bookmarkEnd w:id="198"/>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1.4.1 付款方式：</w:t>
      </w:r>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（1）合同签订后，甲方支付合同价的30%作为本项目的预付款</w:t>
      </w:r>
      <w:r>
        <w:rPr>
          <w:rFonts w:hint="eastAsia" w:ascii="宋体" w:hAnsi="宋体" w:eastAsia="宋体" w:cs="宋体"/>
          <w:b/>
          <w:bCs w:val="0"/>
          <w:color w:val="000000"/>
          <w:sz w:val="24"/>
          <w:highlight w:val="none"/>
        </w:rPr>
        <w:t xml:space="preserve">（签订合同时，乙方明确表示无需预付款的或主动要求降低预付款比例的，可作出相应调整）</w:t>
      </w:r>
      <w:r>
        <w:rPr>
          <w:rFonts w:hint="eastAsia" w:ascii="宋体" w:hAnsi="宋体" w:eastAsia="宋体" w:cs="宋体"/>
          <w:b/>
          <w:color w:val="000000"/>
          <w:sz w:val="24"/>
          <w:szCs w:val="24"/>
          <w:highlight w:val="none"/>
          <w:lang w:val="en-US" w:eastAsia="zh-CN"/>
        </w:rPr>
        <w:t xml:space="preserve">，余款按照合同总价的70%除以12为每月支付的价款，对照考核办法，采用当月考核，根据考核结果扣除处罚后，按季度支付服务费用。</w:t>
      </w:r>
      <w:r>
        <w:rPr>
          <w:rFonts w:hint="eastAsia" w:ascii="宋体" w:hAnsi="宋体" w:eastAsia="宋体" w:cs="宋体"/>
          <w:b/>
          <w:color w:val="000000"/>
          <w:sz w:val="24"/>
          <w:szCs w:val="24"/>
          <w:highlight w:val="none"/>
          <w:lang w:eastAsia="zh-CN"/>
        </w:rPr>
      </w:r>
      <w:r/>
    </w:p>
    <w:p>
      <w:pPr>
        <w:pStyle w:val="864"/>
        <w:ind w:firstLine="482"/>
        <w:keepLines w:val="0"/>
        <w:keepNext w:val="0"/>
        <w:pageBreakBefore w:val="0"/>
        <w:spacing w:line="360" w:lineRule="auto"/>
        <w:widowControl w:val="off"/>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（2）考核标准：</w:t>
      </w:r>
      <w:r>
        <w:rPr>
          <w:rFonts w:ascii="宋体" w:hAnsi="宋体" w:eastAsia="宋体" w:cs="宋体"/>
          <w:b/>
          <w:color w:val="000000"/>
          <w:sz w:val="24"/>
          <w:szCs w:val="24"/>
          <w:highlight w:val="none"/>
          <w:lang w:val="en-US" w:eastAsia="zh-CN"/>
        </w:rPr>
      </w:r>
      <w:r/>
    </w:p>
    <w:p>
      <w:pPr>
        <w:pStyle w:val="864"/>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甲方按照考核评分表每</w:t>
      </w:r>
      <w:r>
        <w:rPr>
          <w:rFonts w:hint="eastAsia" w:ascii="宋体" w:hAnsi="宋体" w:cs="宋体"/>
          <w:b w:val="0"/>
          <w:bCs/>
          <w:color w:val="000000"/>
          <w:sz w:val="24"/>
          <w:szCs w:val="24"/>
          <w:highlight w:val="none"/>
          <w:lang w:val="en-US" w:eastAsia="zh-CN"/>
        </w:rPr>
        <w:t xml:space="preserve">月</w:t>
      </w:r>
      <w:r>
        <w:rPr>
          <w:rFonts w:hint="eastAsia" w:ascii="宋体" w:hAnsi="宋体" w:eastAsia="宋体" w:cs="宋体"/>
          <w:b w:val="0"/>
          <w:bCs/>
          <w:color w:val="000000"/>
          <w:sz w:val="24"/>
          <w:szCs w:val="24"/>
          <w:highlight w:val="none"/>
          <w:lang w:val="en-US" w:eastAsia="zh-CN"/>
        </w:rPr>
        <w:t xml:space="preserve">对乙方进行考核打分。</w:t>
      </w:r>
      <w:r>
        <w:rPr>
          <w:rFonts w:hint="eastAsia" w:ascii="宋体" w:hAnsi="宋体" w:eastAsia="宋体" w:cs="宋体"/>
          <w:b w:val="0"/>
          <w:bCs/>
          <w:color w:val="000000"/>
          <w:sz w:val="24"/>
          <w:szCs w:val="24"/>
          <w:highlight w:val="none"/>
          <w:lang w:val="en-US" w:eastAsia="zh-CN"/>
        </w:rPr>
      </w:r>
      <w:r/>
    </w:p>
    <w:p>
      <w:pPr>
        <w:pStyle w:val="864"/>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月度考核</w:t>
      </w:r>
      <w:r>
        <w:rPr>
          <w:rFonts w:hint="eastAsia" w:ascii="宋体" w:hAnsi="宋体" w:eastAsia="宋体" w:cs="宋体"/>
          <w:b w:val="0"/>
          <w:bCs/>
          <w:color w:val="000000"/>
          <w:sz w:val="24"/>
          <w:szCs w:val="24"/>
          <w:highlight w:val="none"/>
          <w:lang w:val="en-US" w:eastAsia="zh-CN"/>
        </w:rPr>
        <w:t xml:space="preserve">得分在90分以上（含90分）按合同价拔付；得分低于90分的，每低于1分扣除200元，各村居负责考核打分，农村办核实统计，当月各村分值加权平均。</w:t>
      </w:r>
      <w:r>
        <w:rPr>
          <w:rFonts w:hint="eastAsia" w:ascii="宋体" w:hAnsi="宋体" w:eastAsia="宋体" w:cs="宋体"/>
          <w:b w:val="0"/>
          <w:bCs/>
          <w:color w:val="000000"/>
          <w:sz w:val="24"/>
          <w:szCs w:val="24"/>
          <w:highlight w:val="none"/>
          <w:lang w:val="en-US" w:eastAsia="zh-CN"/>
        </w:rPr>
      </w:r>
      <w:r/>
    </w:p>
    <w:p>
      <w:pPr>
        <w:pStyle w:val="864"/>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注：具体标准详见“附件《河道保洁考核评分表》”。</w:t>
      </w:r>
      <w:r>
        <w:rPr>
          <w:rFonts w:hint="eastAsia" w:ascii="宋体" w:hAnsi="宋体" w:eastAsia="宋体" w:cs="Times New Roman"/>
          <w:b w:val="0"/>
          <w:bCs/>
          <w:color w:val="000000"/>
          <w:sz w:val="24"/>
          <w:szCs w:val="24"/>
          <w:highlight w:val="none"/>
          <w:lang w:eastAsia="zh-CN"/>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如需向与财政部门签署融资合作协议的银行办理授信申请的, 需在协作银行开立结算户作为回款专用户,作为该笔合同唯一的收款</w:t>
      </w:r>
      <w:r>
        <w:rPr>
          <w:rFonts w:hint="eastAsia" w:ascii="宋体" w:hAnsi="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户，供货结束货款结算时，财政部门将政府采购款项直接支付到该账户。</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对于满足合同约定支付条件的，</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应当自收到发票后</w:t>
      </w:r>
      <w:r>
        <w:rPr>
          <w:rFonts w:hint="eastAsia" w:ascii="宋体" w:hAnsi="宋体" w:cs="宋体"/>
          <w:color w:val="000000"/>
          <w:sz w:val="24"/>
          <w:szCs w:val="24"/>
          <w:highlight w:val="none"/>
          <w:lang w:val="en-US" w:eastAsia="zh-CN"/>
        </w:rPr>
        <w:t xml:space="preserve">十个工作日</w:t>
      </w:r>
      <w:r>
        <w:rPr>
          <w:rFonts w:hint="eastAsia" w:ascii="宋体" w:hAnsi="宋体" w:eastAsia="宋体" w:cs="宋体"/>
          <w:color w:val="000000"/>
          <w:sz w:val="24"/>
          <w:szCs w:val="24"/>
          <w:highlight w:val="none"/>
        </w:rPr>
        <w:t xml:space="preserve">内将资金支付到合同约定的</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账户。</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1.4.</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rPr>
        <w:t xml:space="preserve"> 发票开具方式：根据甲方财务规定另行约定；</w:t>
      </w:r>
      <w:r>
        <w:rPr>
          <w:rFonts w:hint="eastAsia" w:ascii="宋体" w:hAnsi="宋体" w:eastAsia="宋体" w:cs="宋体"/>
          <w:b/>
          <w:color w:val="000000"/>
          <w:sz w:val="24"/>
          <w:szCs w:val="24"/>
          <w:highlight w:val="none"/>
          <w:lang w:val="en-US" w:eastAsia="zh-CN"/>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199" w:name="_Toc11108"/>
      <w:r/>
      <w:bookmarkStart w:id="200" w:name="_Toc8772"/>
      <w:r/>
      <w:bookmarkStart w:id="201" w:name="_Toc31421"/>
      <w:r/>
      <w:bookmarkStart w:id="202" w:name="_Toc3625"/>
      <w:r/>
      <w:bookmarkStart w:id="203" w:name="_Toc4760"/>
      <w:r>
        <w:rPr>
          <w:rFonts w:hint="eastAsia" w:ascii="宋体" w:hAnsi="宋体" w:eastAsia="宋体" w:cs="宋体"/>
          <w:b/>
          <w:color w:val="000000"/>
          <w:sz w:val="24"/>
          <w:szCs w:val="24"/>
          <w:highlight w:val="none"/>
        </w:rPr>
        <w:t xml:space="preserve">1.5 履行期限、地点和方式</w:t>
      </w:r>
      <w:bookmarkEnd w:id="199"/>
      <w:r/>
      <w:bookmarkEnd w:id="200"/>
      <w:r/>
      <w:bookmarkEnd w:id="201"/>
      <w:r/>
      <w:bookmarkEnd w:id="202"/>
      <w:r/>
      <w:bookmarkEnd w:id="203"/>
      <w:r>
        <w:rPr>
          <w:rFonts w:hint="eastAsia" w:ascii="宋体" w:hAnsi="宋体" w:eastAsia="宋体" w:cs="宋体"/>
          <w:b/>
          <w:color w:val="000000"/>
          <w:sz w:val="24"/>
          <w:szCs w:val="24"/>
          <w:highlight w:val="none"/>
        </w:rPr>
      </w:r>
      <w:r/>
    </w:p>
    <w:p>
      <w:pPr>
        <w:pStyle w:val="864"/>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.1 服务期限：</w:t>
      </w:r>
      <w:r>
        <w:rPr>
          <w:rFonts w:hint="eastAsia" w:cs="宋体"/>
          <w:color w:val="000000"/>
          <w:sz w:val="24"/>
          <w:szCs w:val="24"/>
          <w:highlight w:val="none"/>
          <w:shd w:val="clear" w:color="auto" w:fill="ffffff"/>
          <w:lang w:val="en-US" w:eastAsia="zh-CN"/>
        </w:rPr>
        <w:t xml:space="preserve">一年，自合同签订之日起计。</w:t>
      </w:r>
      <w:r>
        <w:rPr>
          <w:rFonts w:hint="eastAsia" w:ascii="宋体" w:hAnsi="宋体" w:eastAsia="宋体" w:cs="宋体"/>
          <w:color w:val="000000"/>
          <w:sz w:val="24"/>
          <w:szCs w:val="24"/>
          <w:highlight w:val="none"/>
        </w:rPr>
        <w:t xml:space="preserve">服务期限内，经</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考核服务质量达不到</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要求且不服从</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安排的，</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有权终止合同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6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交付地点</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甲方指定地点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交付方式：</w:t>
      </w:r>
      <w:r>
        <w:rPr>
          <w:rFonts w:hint="eastAsia" w:ascii="宋体" w:hAnsi="宋体" w:eastAsia="宋体" w:cs="宋体"/>
          <w:color w:val="000000"/>
          <w:sz w:val="24"/>
          <w:szCs w:val="24"/>
          <w:highlight w:val="none"/>
          <w:u w:val="single"/>
        </w:rPr>
        <w:t xml:space="preserve">乙方必须完全按照国家法律法规、甲方</w:t>
      </w:r>
      <w:r>
        <w:rPr>
          <w:rFonts w:hint="eastAsia" w:ascii="宋体" w:hAnsi="宋体" w:cs="宋体"/>
          <w:color w:val="000000"/>
          <w:sz w:val="24"/>
          <w:szCs w:val="24"/>
          <w:highlight w:val="none"/>
          <w:u w:val="single"/>
          <w:lang w:eastAsia="zh-CN"/>
        </w:rPr>
        <w:t xml:space="preserve">招标文件</w:t>
      </w:r>
      <w:r>
        <w:rPr>
          <w:rFonts w:hint="eastAsia" w:ascii="宋体" w:hAnsi="宋体" w:eastAsia="宋体" w:cs="宋体"/>
          <w:color w:val="000000"/>
          <w:sz w:val="24"/>
          <w:szCs w:val="24"/>
          <w:highlight w:val="none"/>
          <w:u w:val="single"/>
        </w:rPr>
        <w:t xml:space="preserve">的要求、乙方投标（响应）文件承诺等相关要求履行合同。</w:t>
      </w:r>
      <w:r>
        <w:rPr>
          <w:rFonts w:hint="eastAsia" w:ascii="宋体" w:hAnsi="宋体" w:eastAsia="宋体" w:cs="宋体"/>
          <w:b/>
          <w:color w:val="000000"/>
          <w:sz w:val="24"/>
          <w:szCs w:val="24"/>
          <w:highlight w:val="none"/>
          <w:u w:val="single"/>
        </w:rPr>
      </w:r>
      <w:r/>
    </w:p>
    <w:p>
      <w:pPr>
        <w:pStyle w:val="86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04" w:name="_Toc18683"/>
      <w:r/>
      <w:bookmarkStart w:id="205" w:name="_Toc30329"/>
      <w:r/>
      <w:bookmarkStart w:id="206" w:name="_Toc26807"/>
      <w:r/>
      <w:bookmarkStart w:id="207" w:name="_Toc32454"/>
      <w:r/>
      <w:bookmarkStart w:id="208" w:name="_Toc9497"/>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864"/>
        <w:ind w:firstLine="480"/>
        <w:pageBreakBefore w:val="0"/>
        <w:spacing w:line="360" w:lineRule="auto"/>
        <w:rPr>
          <w:rFonts w:hint="eastAsia" w:ascii="宋体" w:hAnsi="宋体" w:cs="Times New Roman"/>
          <w:color w:val="000000"/>
          <w:sz w:val="24"/>
          <w:szCs w:val="22"/>
          <w:highlight w:val="none"/>
        </w:rPr>
      </w:pPr>
      <w:r>
        <w:rPr>
          <w:rFonts w:hint="eastAsia" w:ascii="宋体" w:hAnsi="宋体" w:eastAsia="宋体" w:cs="宋体"/>
          <w:color w:val="000000"/>
          <w:sz w:val="24"/>
          <w:szCs w:val="24"/>
          <w:highlight w:val="none"/>
          <w:lang w:val="en-US" w:eastAsia="zh-CN"/>
        </w:rPr>
        <w:t xml:space="preserve">1.6.1</w:t>
      </w:r>
      <w:r>
        <w:rPr>
          <w:rFonts w:hint="eastAsia" w:ascii="宋体" w:hAnsi="宋体" w:eastAsia="宋体" w:cs="宋体"/>
          <w:color w:val="000000"/>
          <w:sz w:val="24"/>
          <w:szCs w:val="24"/>
          <w:highlight w:val="none"/>
        </w:rPr>
        <w:t xml:space="preserve">交纳数额：乙方交纳人民币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元作为本合同的履约保证金（</w:t>
      </w:r>
      <w:r>
        <w:rPr>
          <w:rFonts w:hint="eastAsia" w:ascii="宋体" w:hAnsi="宋体" w:cs="宋体"/>
          <w:color w:val="000000"/>
          <w:sz w:val="24"/>
          <w:szCs w:val="24"/>
          <w:highlight w:val="none"/>
          <w:lang w:val="en-US" w:eastAsia="zh-CN"/>
        </w:rPr>
        <w:t xml:space="preserve">合同金额</w:t>
      </w:r>
      <w:r>
        <w:rPr>
          <w:rFonts w:hint="eastAsia" w:ascii="宋体" w:hAnsi="宋体" w:cs="Times New Roman"/>
          <w:color w:val="000000"/>
          <w:sz w:val="24"/>
          <w:szCs w:val="22"/>
          <w:highlight w:val="none"/>
        </w:rPr>
        <w:t xml:space="preserve">的10%）。</w:t>
      </w:r>
      <w:r>
        <w:rPr>
          <w:rFonts w:hint="eastAsia" w:ascii="宋体" w:hAnsi="宋体" w:cs="Times New Roman"/>
          <w:color w:val="000000"/>
          <w:sz w:val="24"/>
          <w:szCs w:val="22"/>
          <w:highlight w:val="none"/>
        </w:rPr>
      </w:r>
      <w:r/>
    </w:p>
    <w:p>
      <w:pPr>
        <w:pStyle w:val="864"/>
        <w:ind w:firstLine="482"/>
        <w:keepLines w:val="0"/>
        <w:keepNext w:val="0"/>
        <w:pageBreakBefore w:val="0"/>
        <w:spacing w:line="360" w:lineRule="auto"/>
        <w:widowControl w:val="off"/>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2</w:t>
      </w:r>
      <w:r>
        <w:rPr>
          <w:rFonts w:hint="eastAsia" w:ascii="宋体" w:hAnsi="宋体" w:eastAsia="宋体" w:cs="宋体"/>
          <w:color w:val="000000"/>
          <w:sz w:val="24"/>
          <w:szCs w:val="24"/>
          <w:highlight w:val="none"/>
        </w:rPr>
        <w:t xml:space="preserve">引用盐城信用办推行的第三方信用报告，</w:t>
      </w:r>
      <w:r>
        <w:rPr>
          <w:rFonts w:hint="eastAsia" w:ascii="宋体" w:hAnsi="宋体" w:cs="Times New Roman"/>
          <w:color w:val="000000"/>
          <w:sz w:val="24"/>
          <w:szCs w:val="22"/>
          <w:highlight w:val="none"/>
          <w:lang w:eastAsia="zh-CN"/>
        </w:rPr>
        <w:t xml:space="preserve">乙方信用报告为AA评级的</w:t>
      </w:r>
      <w:r>
        <w:rPr>
          <w:rFonts w:hint="eastAsia" w:ascii="宋体" w:hAnsi="宋体" w:eastAsia="宋体" w:cs="宋体"/>
          <w:color w:val="000000"/>
          <w:sz w:val="24"/>
          <w:szCs w:val="24"/>
          <w:highlight w:val="none"/>
        </w:rPr>
        <w:t xml:space="preserve">按一半金额缴纳</w:t>
      </w:r>
      <w:r>
        <w:rPr>
          <w:rFonts w:hint="eastAsia" w:ascii="宋体" w:hAnsi="宋体" w:cs="宋体"/>
          <w:color w:val="000000"/>
          <w:sz w:val="24"/>
          <w:szCs w:val="24"/>
          <w:highlight w:val="none"/>
          <w:lang w:eastAsia="zh-CN"/>
        </w:rPr>
        <w:t xml:space="preserve">，</w:t>
      </w:r>
      <w:r>
        <w:rPr>
          <w:rFonts w:hint="eastAsia" w:ascii="宋体" w:hAnsi="宋体" w:cs="Times New Roman"/>
          <w:color w:val="000000"/>
          <w:sz w:val="24"/>
          <w:szCs w:val="22"/>
          <w:highlight w:val="none"/>
          <w:lang w:eastAsia="zh-CN"/>
        </w:rPr>
        <w:t xml:space="preserve">乙方信用报告为</w:t>
      </w:r>
      <w:r>
        <w:rPr>
          <w:rFonts w:hint="eastAsia" w:ascii="宋体" w:hAnsi="宋体" w:cs="Times New Roman"/>
          <w:color w:val="000000"/>
          <w:sz w:val="24"/>
          <w:szCs w:val="22"/>
          <w:highlight w:val="none"/>
          <w:lang w:val="en-US" w:eastAsia="zh-CN"/>
        </w:rPr>
        <w:t xml:space="preserve">AAA</w:t>
      </w:r>
      <w:r>
        <w:rPr>
          <w:rFonts w:hint="eastAsia" w:ascii="宋体" w:hAnsi="宋体" w:cs="Times New Roman"/>
          <w:color w:val="000000"/>
          <w:sz w:val="24"/>
          <w:szCs w:val="22"/>
          <w:highlight w:val="none"/>
          <w:lang w:eastAsia="zh-CN"/>
        </w:rPr>
        <w:t xml:space="preserve">评级的</w:t>
      </w:r>
      <w:r>
        <w:rPr>
          <w:rFonts w:hint="eastAsia" w:ascii="宋体" w:hAnsi="宋体" w:eastAsia="宋体" w:cs="宋体"/>
          <w:color w:val="000000"/>
          <w:sz w:val="24"/>
          <w:szCs w:val="24"/>
          <w:highlight w:val="none"/>
        </w:rPr>
        <w:t xml:space="preserve">免交履约保证金</w:t>
      </w:r>
      <w:r>
        <w:rPr>
          <w:rFonts w:hint="eastAsia" w:ascii="宋体" w:hAnsi="宋体" w:cs="Times New Roman"/>
          <w:color w:val="000000"/>
          <w:sz w:val="24"/>
          <w:szCs w:val="22"/>
          <w:highlight w:val="none"/>
          <w:lang w:eastAsia="zh-CN"/>
        </w:rPr>
        <w:t xml:space="preserve">（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rPr>
          <w:rFonts w:hint="eastAsia" w:ascii="宋体" w:hAnsi="宋体" w:cs="Times New Roman"/>
          <w:color w:val="000000"/>
          <w:sz w:val="24"/>
          <w:szCs w:val="22"/>
          <w:highlight w:val="none"/>
          <w:lang w:eastAsia="zh-CN"/>
        </w:rPr>
      </w:r>
      <w:r/>
    </w:p>
    <w:p>
      <w:pPr>
        <w:pStyle w:val="864"/>
        <w:ind w:firstLine="482"/>
        <w:keepLines w:val="0"/>
        <w:keepNext w:val="0"/>
        <w:pageBreakBefore w:val="0"/>
        <w:spacing w:line="360" w:lineRule="auto"/>
        <w:widowControl w:val="off"/>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3履约保证金缴纳形式：以银行转账、支票、汇票、本票或者金融机构、担保机构出具的保函等非现金方式缴纳或提交；</w:t>
      </w:r>
      <w:r>
        <w:rPr>
          <w:rFonts w:hint="eastAsia" w:ascii="宋体" w:hAnsi="宋体" w:cs="Times New Roman"/>
          <w:color w:val="000000"/>
          <w:sz w:val="24"/>
          <w:szCs w:val="22"/>
          <w:highlight w:val="none"/>
          <w:lang w:eastAsia="zh-CN"/>
        </w:rPr>
      </w:r>
      <w:r/>
    </w:p>
    <w:p>
      <w:pPr>
        <w:pStyle w:val="864"/>
        <w:ind w:firstLine="482"/>
        <w:keepLines w:val="0"/>
        <w:keepNext w:val="0"/>
        <w:pageBreakBefore w:val="0"/>
        <w:spacing w:line="360" w:lineRule="auto"/>
        <w:widowControl w:val="off"/>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4提交履约保证金的时间：签订合同前，乙方须向甲方提交履约保证金。履约保证金需从乙方基本账户中汇出。履约保证金于合同履行结束后，无质量服务问题，一次性无息退还。</w:t>
      </w:r>
      <w:r>
        <w:rPr>
          <w:rFonts w:hint="eastAsia" w:ascii="宋体" w:hAnsi="宋体" w:cs="Times New Roman"/>
          <w:color w:val="000000"/>
          <w:sz w:val="24"/>
          <w:szCs w:val="22"/>
          <w:highlight w:val="none"/>
          <w:lang w:eastAsia="zh-CN"/>
        </w:rPr>
      </w:r>
      <w:r/>
    </w:p>
    <w:p>
      <w:pPr>
        <w:pStyle w:val="864"/>
        <w:ind w:firstLine="482"/>
        <w:keepLines w:val="0"/>
        <w:keepNext w:val="0"/>
        <w:pageBreakBefore w:val="0"/>
        <w:spacing w:line="360" w:lineRule="auto"/>
        <w:widowControl w:val="off"/>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5履约保证金退还方式：无息退还至乙方缴纳履约保证金的账户。如为保函，在到期时自行失效。</w:t>
      </w:r>
      <w:r>
        <w:rPr>
          <w:rFonts w:hint="eastAsia" w:ascii="宋体" w:hAnsi="宋体" w:cs="Times New Roman"/>
          <w:color w:val="000000"/>
          <w:sz w:val="24"/>
          <w:szCs w:val="22"/>
          <w:highlight w:val="none"/>
          <w:lang w:eastAsia="zh-CN"/>
        </w:rPr>
      </w:r>
      <w:r/>
    </w:p>
    <w:p>
      <w:pPr>
        <w:pStyle w:val="864"/>
        <w:ind w:firstLine="482"/>
        <w:keepLines w:val="0"/>
        <w:keepNext w:val="0"/>
        <w:pageBreakBefore w:val="0"/>
        <w:spacing w:line="360" w:lineRule="auto"/>
        <w:widowControl w:val="off"/>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6履约保证金退还时间：合同履行结束且无相关服务及质量问题后，一次性无息退还。</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7履约保证金退还条件：按合同要求全部履约完成并经甲方验收合格，且甲方收到乙方出具的发票。</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8不予退还情形：</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除不可抗力情况外，乙方出现下列情形之一的，其履约保证金，甲方将视情节决定不予退还或部分不予退还。</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（1）乙方无正当理由拒绝签订合同的，或者在签订合同时向采购人提出附加条件或者更改合同实质性内容要求的；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（2）乙方不履行与采购人订立的合同的；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（3）乙方所供货物或服务不符合</w:t>
      </w:r>
      <w:r>
        <w:rPr>
          <w:rFonts w:hint="eastAsia" w:ascii="宋体" w:hAnsi="宋体" w:cs="Times New Roman"/>
          <w:color w:val="000000"/>
          <w:sz w:val="24"/>
          <w:szCs w:val="22"/>
          <w:highlight w:val="none"/>
          <w:lang w:val="en-US" w:eastAsia="zh-CN"/>
        </w:rPr>
        <w:t xml:space="preserve">招标</w:t>
      </w:r>
      <w:r>
        <w:rPr>
          <w:rFonts w:hint="eastAsia" w:ascii="宋体" w:hAnsi="宋体" w:cs="Times New Roman"/>
          <w:color w:val="000000"/>
          <w:sz w:val="24"/>
          <w:szCs w:val="22"/>
          <w:highlight w:val="none"/>
          <w:lang w:eastAsia="zh-CN"/>
        </w:rPr>
        <w:t xml:space="preserve">文件规定要求的；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（4）乙方采取欺骗、弄虚作假方式投标的或与其它投标人串通投标的；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（5）乙方将合同内容转包、违法分包的；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（6）乙方故意捏造事实或伪造证明材料，进行虚假恶意投诉或反映的。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hint="eastAsia" w:ascii="宋体" w:hAnsi="宋体" w:cs="Times New Roman"/>
          <w:color w:val="000000"/>
          <w:sz w:val="24"/>
          <w:szCs w:val="22"/>
          <w:highlight w:val="none"/>
          <w:lang w:eastAsia="zh-CN"/>
        </w:rPr>
      </w:pPr>
      <w:r>
        <w:rPr>
          <w:rFonts w:hint="eastAsia" w:ascii="宋体" w:hAnsi="宋体" w:cs="Times New Roman"/>
          <w:color w:val="000000"/>
          <w:sz w:val="24"/>
          <w:szCs w:val="22"/>
          <w:highlight w:val="none"/>
          <w:lang w:eastAsia="zh-CN"/>
        </w:rPr>
        <w:t xml:space="preserve">（7）试用期内未能按合同、</w:t>
      </w:r>
      <w:r>
        <w:rPr>
          <w:rFonts w:hint="eastAsia" w:ascii="宋体" w:hAnsi="宋体" w:cs="Times New Roman"/>
          <w:color w:val="000000"/>
          <w:sz w:val="24"/>
          <w:szCs w:val="22"/>
          <w:highlight w:val="none"/>
          <w:lang w:val="en-US" w:eastAsia="zh-CN"/>
        </w:rPr>
        <w:t xml:space="preserve">招标</w:t>
      </w:r>
      <w:r>
        <w:rPr>
          <w:rFonts w:hint="eastAsia" w:ascii="宋体" w:hAnsi="宋体" w:cs="Times New Roman"/>
          <w:color w:val="000000"/>
          <w:sz w:val="24"/>
          <w:szCs w:val="22"/>
          <w:highlight w:val="none"/>
          <w:lang w:eastAsia="zh-CN"/>
        </w:rPr>
        <w:t xml:space="preserve">文件、响应文件履约的。</w:t>
      </w:r>
      <w:r>
        <w:rPr>
          <w:rFonts w:hint="eastAsia" w:ascii="宋体" w:hAnsi="宋体" w:cs="Times New Roman"/>
          <w:color w:val="000000"/>
          <w:sz w:val="24"/>
          <w:szCs w:val="22"/>
          <w:highlight w:val="none"/>
          <w:lang w:eastAsia="zh-CN"/>
        </w:rPr>
      </w:r>
      <w:r/>
    </w:p>
    <w:p>
      <w:pPr>
        <w:pStyle w:val="864"/>
        <w:ind w:firstLine="480"/>
        <w:pageBreakBefore w:val="0"/>
        <w:spacing w:line="360" w:lineRule="auto"/>
        <w:rPr>
          <w:rFonts w:ascii="宋体" w:hAnsi="宋体" w:cs="Times New Roman"/>
          <w:color w:val="000000"/>
          <w:sz w:val="24"/>
          <w:szCs w:val="22"/>
          <w:highlight w:val="none"/>
          <w:lang w:val="en-US" w:eastAsia="zh-CN"/>
        </w:rPr>
      </w:pPr>
      <w:r>
        <w:rPr>
          <w:rFonts w:hint="eastAsia" w:ascii="宋体" w:hAnsi="宋体" w:cs="Times New Roman"/>
          <w:color w:val="000000"/>
          <w:sz w:val="24"/>
          <w:szCs w:val="22"/>
          <w:highlight w:val="none"/>
          <w:lang w:eastAsia="zh-CN"/>
        </w:rPr>
        <w:t xml:space="preserve">（</w:t>
      </w:r>
      <w:r>
        <w:rPr>
          <w:rFonts w:hint="eastAsia" w:ascii="宋体" w:hAnsi="宋体" w:cs="Times New Roman"/>
          <w:color w:val="000000"/>
          <w:sz w:val="24"/>
          <w:szCs w:val="22"/>
          <w:highlight w:val="none"/>
          <w:lang w:val="en-US" w:eastAsia="zh-CN"/>
        </w:rPr>
        <w:t xml:space="preserve">8</w:t>
      </w:r>
      <w:r>
        <w:rPr>
          <w:rFonts w:hint="eastAsia" w:ascii="宋体" w:hAnsi="宋体" w:cs="Times New Roman"/>
          <w:color w:val="000000"/>
          <w:sz w:val="24"/>
          <w:szCs w:val="22"/>
          <w:highlight w:val="none"/>
          <w:lang w:eastAsia="zh-CN"/>
        </w:rPr>
        <w:t xml:space="preserve">）</w:t>
      </w:r>
      <w:r>
        <w:rPr>
          <w:rFonts w:hint="eastAsia" w:ascii="宋体" w:hAnsi="宋体" w:cs="Times New Roman"/>
          <w:color w:val="000000"/>
          <w:sz w:val="24"/>
          <w:szCs w:val="22"/>
          <w:highlight w:val="none"/>
          <w:lang w:val="en-US" w:eastAsia="zh-CN"/>
        </w:rPr>
        <w:t xml:space="preserve">服务期内，</w:t>
      </w:r>
      <w:r>
        <w:rPr>
          <w:rFonts w:hint="eastAsia" w:ascii="宋体" w:hAnsi="宋体" w:cs="Times New Roman"/>
          <w:color w:val="000000"/>
          <w:sz w:val="24"/>
          <w:szCs w:val="22"/>
          <w:highlight w:val="none"/>
          <w:lang w:eastAsia="zh-CN"/>
        </w:rPr>
        <w:t xml:space="preserve">乙方违规使用除草剂等药剂清理河</w:t>
      </w:r>
      <w:r>
        <w:rPr>
          <w:rFonts w:hint="eastAsia" w:ascii="宋体" w:hAnsi="宋体" w:cs="Times New Roman"/>
          <w:color w:val="000000"/>
          <w:sz w:val="24"/>
          <w:szCs w:val="22"/>
          <w:highlight w:val="none"/>
          <w:lang w:val="en-US" w:eastAsia="zh-CN"/>
        </w:rPr>
        <w:t xml:space="preserve">面</w:t>
      </w:r>
      <w:r>
        <w:rPr>
          <w:rFonts w:hint="eastAsia" w:ascii="宋体" w:hAnsi="宋体" w:cs="Times New Roman"/>
          <w:color w:val="000000"/>
          <w:sz w:val="24"/>
          <w:szCs w:val="22"/>
          <w:highlight w:val="none"/>
          <w:lang w:eastAsia="zh-CN"/>
        </w:rPr>
        <w:t xml:space="preserve">及河坡水生植物、藻类、杂草等。甲方有权利</w:t>
      </w:r>
      <w:r>
        <w:rPr>
          <w:rFonts w:hint="eastAsia" w:ascii="宋体" w:hAnsi="宋体" w:cs="Times New Roman"/>
          <w:color w:val="000000"/>
          <w:sz w:val="24"/>
          <w:szCs w:val="22"/>
          <w:highlight w:val="none"/>
          <w:lang w:val="en-US" w:eastAsia="zh-CN"/>
        </w:rPr>
        <w:t xml:space="preserve">终止</w:t>
      </w:r>
      <w:r>
        <w:rPr>
          <w:rFonts w:hint="eastAsia" w:ascii="宋体" w:hAnsi="宋体" w:cs="Times New Roman"/>
          <w:color w:val="000000"/>
          <w:sz w:val="24"/>
          <w:szCs w:val="22"/>
          <w:highlight w:val="none"/>
          <w:lang w:eastAsia="zh-CN"/>
        </w:rPr>
        <w:t xml:space="preserve">合同并且要求乙方</w:t>
      </w:r>
      <w:r>
        <w:rPr>
          <w:rFonts w:hint="eastAsia" w:ascii="宋体" w:hAnsi="宋体" w:cs="Times New Roman"/>
          <w:color w:val="000000"/>
          <w:sz w:val="24"/>
          <w:szCs w:val="22"/>
          <w:highlight w:val="none"/>
          <w:lang w:val="en-US" w:eastAsia="zh-CN"/>
        </w:rPr>
        <w:t xml:space="preserve">赔偿相应损失、</w:t>
      </w:r>
      <w:r>
        <w:rPr>
          <w:rFonts w:hint="eastAsia" w:ascii="宋体" w:hAnsi="宋体" w:cs="Times New Roman"/>
          <w:color w:val="000000"/>
          <w:sz w:val="24"/>
          <w:szCs w:val="22"/>
          <w:highlight w:val="none"/>
          <w:lang w:eastAsia="zh-CN"/>
        </w:rPr>
        <w:t xml:space="preserve">承担相应的责任。</w:t>
      </w:r>
      <w:r>
        <w:rPr>
          <w:rFonts w:ascii="宋体" w:hAnsi="宋体" w:cs="Times New Roman"/>
          <w:color w:val="000000"/>
          <w:sz w:val="24"/>
          <w:szCs w:val="22"/>
          <w:highlight w:val="none"/>
          <w:lang w:val="en-US" w:eastAsia="zh-CN"/>
        </w:rPr>
      </w:r>
      <w:r/>
    </w:p>
    <w:p>
      <w:pPr>
        <w:pStyle w:val="864"/>
        <w:ind w:firstLine="480"/>
        <w:pageBreakBefore w:val="0"/>
        <w:spacing w:line="360" w:lineRule="auto"/>
        <w:rPr>
          <w:rFonts w:hint="eastAsia" w:ascii="宋体" w:hAnsi="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1.6.</w:t>
      </w:r>
      <w:r>
        <w:rPr>
          <w:rFonts w:hint="eastAsia" w:ascii="宋体" w:hAnsi="宋体" w:cs="Times New Roman"/>
          <w:color w:val="000000"/>
          <w:sz w:val="24"/>
          <w:szCs w:val="22"/>
          <w:highlight w:val="none"/>
          <w:lang w:eastAsia="zh-CN"/>
        </w:rPr>
        <w:t xml:space="preserve">9逾期退还的违约责任：甲方逾期无故未退还履约保证金的，按中国人民银行同期贷款基准利率上浮20%后的利率支付超期资金占用费，但因乙方自身原因导致无法及时退还的除外。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cs="Times New Roman"/>
          <w:color w:val="000000"/>
          <w:sz w:val="24"/>
          <w:szCs w:val="22"/>
          <w:highlight w:val="none"/>
        </w:rPr>
      </w:r>
      <w:r/>
    </w:p>
    <w:p>
      <w:pPr>
        <w:pStyle w:val="864"/>
        <w:ind w:firstLine="482"/>
        <w:pageBreakBefore w:val="0"/>
        <w:spacing w:before="120" w:after="120" w:line="360" w:lineRule="auto"/>
        <w:rPr>
          <w:rFonts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1.7</w:t>
      </w:r>
      <w:r>
        <w:rPr>
          <w:rFonts w:ascii="宋体" w:hAnsi="宋体" w:cs="Courier New"/>
          <w:b/>
          <w:color w:val="000000"/>
          <w:sz w:val="24"/>
          <w:szCs w:val="24"/>
          <w:highlight w:val="none"/>
        </w:rPr>
        <w:t xml:space="preserve">服务要求：</w:t>
      </w:r>
      <w:r>
        <w:rPr>
          <w:rFonts w:ascii="宋体" w:hAnsi="宋体" w:cs="Courier New"/>
          <w:b/>
          <w:color w:val="000000"/>
          <w:sz w:val="24"/>
          <w:szCs w:val="24"/>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1.7.1</w:t>
      </w:r>
      <w:r>
        <w:rPr>
          <w:rFonts w:hint="eastAsia" w:ascii="宋体" w:hAnsi="宋体"/>
          <w:color w:val="000000"/>
          <w:sz w:val="24"/>
          <w:szCs w:val="22"/>
          <w:highlight w:val="none"/>
        </w:rPr>
        <w:t xml:space="preserve">保洁目标</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建立健全、规范长效管理机制和监督检查机制，坚持“政府主导、部门结合、市场运作”的工作方针，改善和保护河道的水生态环境，达到河面“无漂浮废弃物、河中无障碍、</w:t>
      </w:r>
      <w:r>
        <w:rPr>
          <w:rFonts w:hint="eastAsia" w:ascii="宋体" w:hAnsi="宋体" w:cs="Times New Roman"/>
          <w:color w:val="000000"/>
          <w:sz w:val="24"/>
          <w:szCs w:val="22"/>
          <w:highlight w:val="none"/>
          <w:lang w:eastAsia="zh-CN"/>
        </w:rPr>
        <w:t xml:space="preserve">河</w:t>
      </w:r>
      <w:r>
        <w:rPr>
          <w:rFonts w:hint="eastAsia" w:ascii="宋体" w:hAnsi="宋体" w:cs="Times New Roman"/>
          <w:color w:val="000000"/>
          <w:sz w:val="24"/>
          <w:szCs w:val="22"/>
          <w:highlight w:val="none"/>
          <w:lang w:val="en-US" w:eastAsia="zh-CN"/>
        </w:rPr>
        <w:t xml:space="preserve">面</w:t>
      </w:r>
      <w:r>
        <w:rPr>
          <w:rFonts w:hint="eastAsia" w:ascii="宋体" w:hAnsi="宋体" w:cs="Times New Roman"/>
          <w:color w:val="000000"/>
          <w:sz w:val="24"/>
          <w:szCs w:val="22"/>
          <w:highlight w:val="none"/>
          <w:lang w:eastAsia="zh-CN"/>
        </w:rPr>
        <w:t xml:space="preserve">及河坡</w:t>
      </w:r>
      <w:r>
        <w:rPr>
          <w:rFonts w:hint="eastAsia" w:ascii="宋体" w:hAnsi="宋体" w:cs="宋体"/>
          <w:color w:val="000000"/>
          <w:sz w:val="24"/>
          <w:szCs w:val="24"/>
          <w:highlight w:val="none"/>
        </w:rPr>
        <w:t xml:space="preserve">范围内</w:t>
      </w:r>
      <w:r>
        <w:rPr>
          <w:rFonts w:hint="eastAsia" w:ascii="宋体" w:hAnsi="宋体"/>
          <w:color w:val="000000"/>
          <w:sz w:val="24"/>
          <w:szCs w:val="22"/>
          <w:highlight w:val="none"/>
        </w:rPr>
        <w:t xml:space="preserve">无垃圾”的“三无”目标，实现“水洁、流畅、岸美”的目标。</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1.</w:t>
      </w:r>
      <w:r>
        <w:rPr>
          <w:rFonts w:hint="eastAsia" w:ascii="宋体" w:hAnsi="宋体"/>
          <w:color w:val="000000"/>
          <w:sz w:val="24"/>
          <w:szCs w:val="22"/>
          <w:highlight w:val="none"/>
        </w:rPr>
        <w:t xml:space="preserve">7.2保洁对象、范围</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①保洁对象</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步凤河以西河道全长共计121公里，以黄巷渠为界划分为两个</w:t>
      </w:r>
      <w:r>
        <w:rPr>
          <w:rFonts w:hint="eastAsia" w:ascii="宋体" w:hAnsi="宋体"/>
          <w:color w:val="000000"/>
          <w:sz w:val="24"/>
          <w:szCs w:val="22"/>
          <w:highlight w:val="none"/>
          <w:lang w:val="en-US" w:eastAsia="zh-CN"/>
        </w:rPr>
        <w:t xml:space="preserve">分包</w:t>
      </w:r>
      <w:r>
        <w:rPr>
          <w:rFonts w:hint="eastAsia" w:ascii="宋体" w:hAnsi="宋体"/>
          <w:color w:val="000000"/>
          <w:sz w:val="24"/>
          <w:szCs w:val="22"/>
          <w:highlight w:val="none"/>
        </w:rPr>
        <w:t xml:space="preserve">实施分段管理。</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采购包1</w:t>
      </w:r>
      <w:r>
        <w:rPr>
          <w:rFonts w:hint="eastAsia" w:ascii="宋体" w:hAnsi="宋体"/>
          <w:color w:val="000000"/>
          <w:sz w:val="24"/>
          <w:szCs w:val="22"/>
          <w:highlight w:val="none"/>
        </w:rPr>
        <w:t xml:space="preserve">：黄巷渠以北56公里，涉及</w:t>
      </w:r>
      <w:bookmarkStart w:id="209" w:name="OLE_LINK2"/>
      <w:r/>
      <w:bookmarkStart w:id="210" w:name="OLE_LINK5"/>
      <w:r>
        <w:rPr>
          <w:rFonts w:hint="eastAsia" w:ascii="宋体" w:hAnsi="宋体"/>
          <w:color w:val="000000"/>
          <w:sz w:val="24"/>
          <w:szCs w:val="22"/>
          <w:highlight w:val="none"/>
        </w:rPr>
        <w:t xml:space="preserve">友谊村、友权村、板土居、伍龙居</w:t>
      </w:r>
      <w:bookmarkEnd w:id="209"/>
      <w:r/>
      <w:bookmarkEnd w:id="210"/>
      <w:r>
        <w:rPr>
          <w:rFonts w:hint="eastAsia" w:ascii="宋体" w:hAnsi="宋体"/>
          <w:color w:val="000000"/>
          <w:sz w:val="24"/>
          <w:szCs w:val="22"/>
          <w:highlight w:val="none"/>
        </w:rPr>
        <w:t xml:space="preserve">四个行政村（居）区域内所有河道（河道详见清单）。配备保洁人员15人，其中含专职巡查人员1人，专职负责每日巡查工作（每日人数报村居，并自愿接受村居监督）。</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采购包2</w:t>
      </w:r>
      <w:r>
        <w:rPr>
          <w:rFonts w:hint="eastAsia" w:ascii="宋体" w:hAnsi="宋体"/>
          <w:color w:val="000000"/>
          <w:sz w:val="24"/>
          <w:szCs w:val="22"/>
          <w:highlight w:val="none"/>
        </w:rPr>
        <w:t xml:space="preserve">：黄巷渠以南65公里，涉及王姚、烈士、庆元、元坎四个行政村区域内所有河道</w:t>
      </w:r>
      <w:r>
        <w:rPr>
          <w:rFonts w:hint="eastAsia" w:ascii="宋体" w:hAnsi="宋体"/>
          <w:color w:val="000000"/>
          <w:sz w:val="24"/>
          <w:szCs w:val="22"/>
          <w:highlight w:val="none"/>
        </w:rPr>
        <w:t xml:space="preserve">（河道详见清单）</w:t>
      </w:r>
      <w:r>
        <w:rPr>
          <w:rFonts w:hint="eastAsia" w:ascii="宋体" w:hAnsi="宋体"/>
          <w:color w:val="000000"/>
          <w:sz w:val="24"/>
          <w:szCs w:val="22"/>
          <w:highlight w:val="none"/>
        </w:rPr>
        <w:t xml:space="preserve">。配备保洁人员17人，其中含专职巡查人员1人，专职负责每日巡查工作（每日人数报村居，并自愿接受村居监督）。   </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②保洁范围</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8"/>
          <w:szCs w:val="22"/>
          <w:highlight w:val="none"/>
        </w:rPr>
      </w:pPr>
      <w:r>
        <w:rPr>
          <w:rFonts w:hint="eastAsia" w:ascii="宋体" w:hAnsi="宋体"/>
          <w:color w:val="000000"/>
          <w:sz w:val="24"/>
          <w:szCs w:val="22"/>
          <w:highlight w:val="none"/>
        </w:rPr>
        <w:t xml:space="preserve">河道的保洁范围为两岸堤防之间的水域，</w:t>
      </w:r>
      <w:r>
        <w:rPr>
          <w:rFonts w:hint="eastAsia" w:ascii="宋体" w:hAnsi="宋体" w:cs="宋体"/>
          <w:color w:val="000000"/>
          <w:sz w:val="24"/>
          <w:szCs w:val="24"/>
          <w:highlight w:val="none"/>
          <w:lang w:val="en-US" w:eastAsia="zh-CN"/>
        </w:rPr>
        <w:t xml:space="preserve">河面</w:t>
      </w:r>
      <w:r>
        <w:rPr>
          <w:rFonts w:hint="eastAsia" w:ascii="宋体" w:hAnsi="宋体" w:cs="宋体"/>
          <w:color w:val="000000"/>
          <w:sz w:val="24"/>
          <w:szCs w:val="24"/>
          <w:highlight w:val="none"/>
          <w:lang w:eastAsia="zh-CN"/>
        </w:rPr>
        <w:t xml:space="preserve">至河</w:t>
      </w:r>
      <w:r>
        <w:rPr>
          <w:rFonts w:hint="eastAsia" w:ascii="宋体" w:hAnsi="宋体" w:cs="宋体"/>
          <w:color w:val="000000"/>
          <w:sz w:val="24"/>
          <w:szCs w:val="24"/>
          <w:highlight w:val="none"/>
          <w:lang w:val="en-US" w:eastAsia="zh-CN"/>
        </w:rPr>
        <w:t xml:space="preserve">坡</w:t>
      </w:r>
      <w:r>
        <w:rPr>
          <w:rFonts w:hint="eastAsia" w:ascii="宋体" w:hAnsi="宋体" w:cs="宋体"/>
          <w:color w:val="000000"/>
          <w:sz w:val="24"/>
          <w:szCs w:val="24"/>
          <w:highlight w:val="none"/>
        </w:rPr>
        <w:t xml:space="preserve">范围内</w:t>
      </w:r>
      <w:r>
        <w:rPr>
          <w:rFonts w:hint="eastAsia" w:ascii="宋体" w:hAnsi="宋体"/>
          <w:color w:val="000000"/>
          <w:sz w:val="24"/>
          <w:szCs w:val="22"/>
          <w:highlight w:val="none"/>
        </w:rPr>
        <w:t xml:space="preserve">，无堤防河道保洁范围为历史最高洪水位之间的水域。</w:t>
      </w:r>
      <w:r>
        <w:rPr>
          <w:rFonts w:hint="eastAsia" w:ascii="宋体" w:hAnsi="宋体"/>
          <w:color w:val="000000"/>
          <w:sz w:val="28"/>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ascii="宋体" w:hAnsi="宋体"/>
          <w:color w:val="000000"/>
          <w:sz w:val="24"/>
          <w:szCs w:val="22"/>
          <w:highlight w:val="none"/>
        </w:rPr>
        <w:t xml:space="preserve">③</w:t>
      </w:r>
      <w:r>
        <w:rPr>
          <w:rFonts w:hint="eastAsia" w:ascii="宋体" w:hAnsi="宋体"/>
          <w:color w:val="000000"/>
          <w:sz w:val="24"/>
          <w:szCs w:val="22"/>
          <w:highlight w:val="none"/>
        </w:rPr>
        <w:t xml:space="preserve">保洁内容及要求</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保洁内容包括河面保洁、</w:t>
      </w:r>
      <w:r>
        <w:rPr>
          <w:rFonts w:hint="eastAsia" w:ascii="宋体" w:hAnsi="宋体" w:cs="宋体"/>
          <w:color w:val="000000"/>
          <w:sz w:val="24"/>
          <w:szCs w:val="24"/>
          <w:highlight w:val="none"/>
          <w:lang w:val="en-US" w:eastAsia="zh-CN"/>
        </w:rPr>
        <w:t xml:space="preserve">河面</w:t>
      </w:r>
      <w:r>
        <w:rPr>
          <w:rFonts w:hint="eastAsia" w:ascii="宋体" w:hAnsi="宋体" w:cs="宋体"/>
          <w:color w:val="000000"/>
          <w:sz w:val="24"/>
          <w:szCs w:val="24"/>
          <w:highlight w:val="none"/>
          <w:lang w:eastAsia="zh-CN"/>
        </w:rPr>
        <w:t xml:space="preserve">至河</w:t>
      </w:r>
      <w:r>
        <w:rPr>
          <w:rFonts w:hint="eastAsia" w:ascii="宋体" w:hAnsi="宋体" w:cs="宋体"/>
          <w:color w:val="000000"/>
          <w:sz w:val="24"/>
          <w:szCs w:val="24"/>
          <w:highlight w:val="none"/>
          <w:lang w:val="en-US" w:eastAsia="zh-CN"/>
        </w:rPr>
        <w:t xml:space="preserve">坡</w:t>
      </w:r>
      <w:r>
        <w:rPr>
          <w:rFonts w:hint="eastAsia" w:ascii="宋体" w:hAnsi="宋体" w:cs="宋体"/>
          <w:color w:val="000000"/>
          <w:sz w:val="24"/>
          <w:szCs w:val="24"/>
          <w:highlight w:val="none"/>
        </w:rPr>
        <w:t xml:space="preserve">范围内</w:t>
      </w:r>
      <w:r>
        <w:rPr>
          <w:rFonts w:hint="eastAsia" w:ascii="宋体" w:hAnsi="宋体"/>
          <w:color w:val="000000"/>
          <w:sz w:val="24"/>
          <w:szCs w:val="22"/>
          <w:highlight w:val="none"/>
        </w:rPr>
        <w:t xml:space="preserve">保洁及水体污染控制等</w:t>
      </w:r>
      <w:r>
        <w:rPr>
          <w:rFonts w:hint="eastAsia" w:ascii="宋体" w:hAnsi="宋体"/>
          <w:b/>
          <w:bCs/>
          <w:color w:val="000000"/>
          <w:sz w:val="24"/>
          <w:szCs w:val="22"/>
          <w:highlight w:val="none"/>
        </w:rPr>
        <w:t xml:space="preserve">（乙方在进场后十日内须对现状河道进行彻底性整治，包括但不限于：除草、浮萍打捞等）</w:t>
      </w:r>
      <w:r>
        <w:rPr>
          <w:rFonts w:hint="eastAsia" w:ascii="宋体" w:hAnsi="宋体"/>
          <w:color w:val="000000"/>
          <w:sz w:val="24"/>
          <w:szCs w:val="22"/>
          <w:highlight w:val="none"/>
        </w:rPr>
        <w:t xml:space="preserve">要求达到河面无漂浮物</w:t>
      </w:r>
      <w:r>
        <w:rPr>
          <w:rFonts w:hint="eastAsia" w:ascii="宋体" w:hAnsi="宋体"/>
          <w:color w:val="000000"/>
          <w:sz w:val="24"/>
          <w:szCs w:val="22"/>
          <w:highlight w:val="none"/>
          <w:lang w:val="en-US" w:eastAsia="zh-CN"/>
        </w:rPr>
        <w:t xml:space="preserve">；</w:t>
      </w:r>
      <w:r>
        <w:rPr>
          <w:rFonts w:hint="eastAsia" w:ascii="宋体" w:hAnsi="宋体"/>
          <w:color w:val="000000"/>
          <w:sz w:val="24"/>
          <w:szCs w:val="22"/>
          <w:highlight w:val="none"/>
        </w:rPr>
        <w:t xml:space="preserve">水面打捞物集中堆放妥善处置,无二次污染</w:t>
      </w:r>
      <w:r>
        <w:rPr>
          <w:rFonts w:hint="eastAsia" w:ascii="宋体" w:hAnsi="宋体"/>
          <w:color w:val="000000"/>
          <w:sz w:val="24"/>
          <w:szCs w:val="22"/>
          <w:highlight w:val="none"/>
          <w:lang w:eastAsia="zh-CN"/>
        </w:rPr>
        <w:t xml:space="preserve">；</w:t>
      </w:r>
      <w:r>
        <w:rPr>
          <w:rFonts w:hint="eastAsia" w:ascii="宋体" w:hAnsi="宋体" w:cs="宋体"/>
          <w:color w:val="000000"/>
          <w:sz w:val="24"/>
          <w:szCs w:val="24"/>
          <w:highlight w:val="none"/>
          <w:lang w:val="en-US" w:eastAsia="zh-CN"/>
        </w:rPr>
        <w:t xml:space="preserve">河面</w:t>
      </w:r>
      <w:r>
        <w:rPr>
          <w:rFonts w:hint="eastAsia" w:ascii="宋体" w:hAnsi="宋体" w:cs="宋体"/>
          <w:color w:val="000000"/>
          <w:sz w:val="24"/>
          <w:szCs w:val="24"/>
          <w:highlight w:val="none"/>
          <w:lang w:eastAsia="zh-CN"/>
        </w:rPr>
        <w:t xml:space="preserve">至河</w:t>
      </w:r>
      <w:r>
        <w:rPr>
          <w:rFonts w:hint="eastAsia" w:ascii="宋体" w:hAnsi="宋体" w:cs="宋体"/>
          <w:color w:val="000000"/>
          <w:sz w:val="24"/>
          <w:szCs w:val="24"/>
          <w:highlight w:val="none"/>
          <w:lang w:val="en-US" w:eastAsia="zh-CN"/>
        </w:rPr>
        <w:t xml:space="preserve">坡</w:t>
      </w:r>
      <w:r>
        <w:rPr>
          <w:rFonts w:hint="eastAsia" w:ascii="宋体" w:hAnsi="宋体" w:cs="宋体"/>
          <w:color w:val="000000"/>
          <w:sz w:val="24"/>
          <w:szCs w:val="24"/>
          <w:highlight w:val="none"/>
        </w:rPr>
        <w:t xml:space="preserve">范围内</w:t>
      </w:r>
      <w:r>
        <w:rPr>
          <w:rFonts w:hint="eastAsia" w:ascii="宋体" w:hAnsi="宋体"/>
          <w:color w:val="000000"/>
          <w:sz w:val="24"/>
          <w:szCs w:val="22"/>
          <w:highlight w:val="none"/>
        </w:rPr>
        <w:t xml:space="preserve">无垃圾，干净整洁</w:t>
      </w:r>
      <w:r>
        <w:rPr>
          <w:rFonts w:hint="eastAsia" w:ascii="宋体" w:hAnsi="宋体"/>
          <w:color w:val="000000"/>
          <w:sz w:val="24"/>
          <w:szCs w:val="22"/>
          <w:highlight w:val="none"/>
          <w:lang w:eastAsia="zh-CN"/>
        </w:rPr>
        <w:t xml:space="preserve">；无大面积黑水草（连片100㎡）；</w:t>
      </w:r>
      <w:r>
        <w:rPr>
          <w:rFonts w:hint="eastAsia" w:ascii="宋体" w:hAnsi="宋体"/>
          <w:color w:val="000000"/>
          <w:sz w:val="24"/>
          <w:szCs w:val="22"/>
          <w:highlight w:val="none"/>
        </w:rPr>
        <w:t xml:space="preserve">河道畅通，河中无障碍物</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上游及平交河口规范拦截。</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1.7.3</w:t>
      </w:r>
      <w:r>
        <w:rPr>
          <w:rFonts w:hint="eastAsia" w:ascii="宋体" w:hAnsi="宋体"/>
          <w:color w:val="000000"/>
          <w:sz w:val="24"/>
          <w:szCs w:val="22"/>
          <w:highlight w:val="none"/>
        </w:rPr>
        <w:t xml:space="preserve">保洁标准</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①在保洁作业期间，应保持水面整洁</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应无漂浮垃圾，无片状、带状的凤眼莲、浮萍等水生植物。</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②堤岸坡面应保持清洁，无暴露垃圾</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堤岸立面不应有吊挂杂物。</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ascii="宋体" w:hAnsi="宋体"/>
          <w:color w:val="000000"/>
          <w:sz w:val="24"/>
          <w:szCs w:val="22"/>
          <w:highlight w:val="none"/>
        </w:rPr>
        <w:t xml:space="preserve">③</w:t>
      </w:r>
      <w:r>
        <w:rPr>
          <w:rFonts w:hint="eastAsia" w:ascii="宋体" w:hAnsi="宋体"/>
          <w:color w:val="000000"/>
          <w:sz w:val="24"/>
          <w:szCs w:val="22"/>
          <w:highlight w:val="none"/>
        </w:rPr>
        <w:t xml:space="preserve">码头、浮筒、航标、桥墩、桥堍、上岸梯、上岸缆等设施应保持清洁</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应无废弃物或水生植物吊挂。</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④拦截设施应保持完好，漂浮废弃物不得外溢。</w:t>
      </w:r>
      <w:r>
        <w:rPr>
          <w:rFonts w:hint="eastAsia" w:ascii="宋体" w:hAnsi="宋体"/>
          <w:color w:val="000000"/>
          <w:sz w:val="24"/>
          <w:szCs w:val="22"/>
          <w:highlight w:val="none"/>
        </w:rPr>
      </w:r>
      <w:r/>
    </w:p>
    <w:p>
      <w:pPr>
        <w:pStyle w:val="864"/>
        <w:ind w:firstLine="480"/>
        <w:pageBreakBefore w:val="0"/>
        <w:spacing w:line="360" w:lineRule="auto"/>
        <w:rPr>
          <w:rFonts w:hint="eastAsia" w:ascii="宋体" w:hAnsi="宋体" w:eastAsia="宋体" w:cs="宋体"/>
          <w:b/>
          <w:color w:val="000000"/>
          <w:sz w:val="24"/>
          <w:szCs w:val="24"/>
          <w:highlight w:val="none"/>
        </w:rPr>
      </w:pPr>
      <w:r>
        <w:rPr>
          <w:rFonts w:hint="eastAsia" w:ascii="宋体" w:hAnsi="宋体"/>
          <w:color w:val="000000"/>
          <w:sz w:val="24"/>
          <w:szCs w:val="22"/>
          <w:highlight w:val="none"/>
        </w:rPr>
        <w:t xml:space="preserve">⑤打捞垃圾应集中转运消纳处置，不得随意处置。</w:t>
      </w:r>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违约责任</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1.8.1</w:t>
      </w:r>
      <w:r>
        <w:rPr>
          <w:rFonts w:hint="eastAsia" w:ascii="宋体" w:hAnsi="宋体" w:cs="Times New Roman"/>
          <w:color w:val="000000"/>
          <w:sz w:val="24"/>
          <w:szCs w:val="22"/>
          <w:highlight w:val="none"/>
          <w:lang w:val="en-US" w:eastAsia="zh-CN"/>
        </w:rPr>
        <w:t xml:space="preserve">服务期内，如</w:t>
      </w:r>
      <w:r>
        <w:rPr>
          <w:rFonts w:hint="eastAsia" w:ascii="宋体" w:hAnsi="宋体" w:cs="Times New Roman"/>
          <w:color w:val="000000"/>
          <w:sz w:val="24"/>
          <w:szCs w:val="22"/>
          <w:highlight w:val="none"/>
          <w:lang w:eastAsia="zh-CN"/>
        </w:rPr>
        <w:t xml:space="preserve">乙方违规使用除草剂等药剂清理河</w:t>
      </w:r>
      <w:r>
        <w:rPr>
          <w:rFonts w:hint="eastAsia" w:ascii="宋体" w:hAnsi="宋体" w:cs="Times New Roman"/>
          <w:color w:val="000000"/>
          <w:sz w:val="24"/>
          <w:szCs w:val="22"/>
          <w:highlight w:val="none"/>
          <w:lang w:val="en-US" w:eastAsia="zh-CN"/>
        </w:rPr>
        <w:t xml:space="preserve">面</w:t>
      </w:r>
      <w:r>
        <w:rPr>
          <w:rFonts w:hint="eastAsia" w:ascii="宋体" w:hAnsi="宋体" w:cs="Times New Roman"/>
          <w:color w:val="000000"/>
          <w:sz w:val="24"/>
          <w:szCs w:val="22"/>
          <w:highlight w:val="none"/>
          <w:lang w:eastAsia="zh-CN"/>
        </w:rPr>
        <w:t xml:space="preserve">及河坡水生植物、藻类、杂草等。甲方有权利</w:t>
      </w:r>
      <w:r>
        <w:rPr>
          <w:rFonts w:hint="eastAsia" w:ascii="宋体" w:hAnsi="宋体" w:cs="Times New Roman"/>
          <w:color w:val="000000"/>
          <w:sz w:val="24"/>
          <w:szCs w:val="22"/>
          <w:highlight w:val="none"/>
          <w:lang w:val="en-US" w:eastAsia="zh-CN"/>
        </w:rPr>
        <w:t xml:space="preserve">终止</w:t>
      </w:r>
      <w:r>
        <w:rPr>
          <w:rFonts w:hint="eastAsia" w:ascii="宋体" w:hAnsi="宋体" w:cs="Times New Roman"/>
          <w:color w:val="000000"/>
          <w:sz w:val="24"/>
          <w:szCs w:val="22"/>
          <w:highlight w:val="none"/>
          <w:lang w:eastAsia="zh-CN"/>
        </w:rPr>
        <w:t xml:space="preserve">合同并且要求乙方</w:t>
      </w:r>
      <w:r>
        <w:rPr>
          <w:rFonts w:hint="eastAsia" w:ascii="宋体" w:hAnsi="宋体" w:cs="Times New Roman"/>
          <w:color w:val="000000"/>
          <w:sz w:val="24"/>
          <w:szCs w:val="22"/>
          <w:highlight w:val="none"/>
          <w:lang w:val="en-US" w:eastAsia="zh-CN"/>
        </w:rPr>
        <w:t xml:space="preserve">赔偿相应损失、</w:t>
      </w:r>
      <w:r>
        <w:rPr>
          <w:rFonts w:hint="eastAsia" w:ascii="宋体" w:hAnsi="宋体" w:cs="Times New Roman"/>
          <w:color w:val="000000"/>
          <w:sz w:val="24"/>
          <w:szCs w:val="22"/>
          <w:highlight w:val="none"/>
          <w:lang w:eastAsia="zh-CN"/>
        </w:rPr>
        <w:t xml:space="preserve">承担相应的责任。</w:t>
      </w:r>
      <w:r>
        <w:rPr>
          <w:rFonts w:ascii="宋体" w:hAnsi="宋体" w:eastAsia="宋体" w:cs="宋体"/>
          <w:color w:val="000000"/>
          <w:sz w:val="24"/>
          <w:szCs w:val="24"/>
          <w:highlight w:val="none"/>
          <w:lang w:val="en-US" w:eastAsia="zh-CN"/>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除不可抗力外，如果乙方没有按照本合同约定的期限、地点和方式履行，那么甲方可要求乙方支付违约金，违约金按每迟延履行一日的应提供而未提供服务价格的0.5%计算，最高限额为本合同总价的</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%；迟延履行的违约金计算数额达到前述最高限额之日起，甲方有权在要求乙方支付违约金的同时，书面通知乙方解除本合同；</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0.5</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 合同争议的解决</w:t>
      </w:r>
      <w:bookmarkEnd w:id="204"/>
      <w:r/>
      <w:bookmarkEnd w:id="205"/>
      <w:r/>
      <w:bookmarkEnd w:id="206"/>
      <w:r/>
      <w:bookmarkEnd w:id="207"/>
      <w:r/>
      <w:bookmarkEnd w:id="208"/>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本合同履行过程中发生的任何争议，双方当事人均可通过和解或者调解解决；不愿和解、调解或者和解、调解不成的，可以将争议提交</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lang w:val="en-US"/>
        </w:rPr>
        <w:t xml:space="preserve">住所地人民法院诉讼解决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11" w:name="_Toc26227"/>
      <w:r/>
      <w:bookmarkStart w:id="212" w:name="_Toc16417"/>
      <w:r/>
      <w:bookmarkStart w:id="213" w:name="_Toc15827"/>
      <w:r/>
      <w:bookmarkStart w:id="214" w:name="_Toc12273"/>
      <w:r/>
      <w:bookmarkStart w:id="215" w:name="_Toc23784"/>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 合同生效</w:t>
      </w:r>
      <w:bookmarkEnd w:id="211"/>
      <w:r/>
      <w:bookmarkEnd w:id="212"/>
      <w:r/>
      <w:bookmarkEnd w:id="213"/>
      <w:r/>
      <w:bookmarkEnd w:id="214"/>
      <w:r/>
      <w:bookmarkEnd w:id="215"/>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本合同自双方当事人盖章或者签字时生效。</w:t>
      </w:r>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    甲方（</w:t>
      </w:r>
      <w:r>
        <w:rPr>
          <w:rFonts w:hint="eastAsia" w:ascii="宋体" w:hAnsi="宋体" w:eastAsia="宋体" w:cs="宋体"/>
          <w:b/>
          <w:color w:val="000000"/>
          <w:sz w:val="24"/>
          <w:szCs w:val="24"/>
          <w:highlight w:val="none"/>
        </w:rPr>
        <w:t xml:space="preserve">盖章</w:t>
      </w:r>
      <w:r>
        <w:rPr>
          <w:rFonts w:hint="eastAsia" w:ascii="宋体" w:hAnsi="宋体" w:eastAsia="宋体" w:cs="宋体"/>
          <w:b/>
          <w:color w:val="000000"/>
          <w:sz w:val="24"/>
          <w:szCs w:val="24"/>
          <w:highlight w:val="none"/>
          <w:lang w:val="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乙方（</w:t>
      </w:r>
      <w:r>
        <w:rPr>
          <w:rFonts w:hint="eastAsia" w:ascii="宋体" w:hAnsi="宋体" w:eastAsia="宋体" w:cs="宋体"/>
          <w:b/>
          <w:color w:val="000000"/>
          <w:sz w:val="24"/>
          <w:szCs w:val="24"/>
          <w:highlight w:val="none"/>
        </w:rPr>
        <w:t xml:space="preserve">盖章</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法定代表人或授权代表（签字）：            法定代表人或授权代表（签字）:</w:t>
      </w:r>
      <w:r>
        <w:rPr>
          <w:rFonts w:hint="eastAsia" w:ascii="宋体" w:hAnsi="宋体" w:eastAsia="宋体" w:cs="宋体"/>
          <w:color w:val="000000"/>
          <w:sz w:val="24"/>
          <w:szCs w:val="24"/>
          <w:highlight w:val="none"/>
          <w:lang w:val="zh-CN"/>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联系人：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lang w:val="zh-CN"/>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联系电话: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联系电话: </w:t>
      </w:r>
      <w:r>
        <w:rPr>
          <w:rFonts w:hint="eastAsia" w:ascii="宋体" w:hAnsi="宋体" w:eastAsia="宋体" w:cs="宋体"/>
          <w:color w:val="000000"/>
          <w:sz w:val="24"/>
          <w:szCs w:val="24"/>
          <w:highlight w:val="none"/>
          <w:lang w:val="zh-CN"/>
        </w:rPr>
      </w:r>
      <w:r/>
    </w:p>
    <w:p>
      <w:pPr>
        <w:pStyle w:val="864"/>
        <w:ind w:firstLine="96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约定送达地址：</w:t>
      </w:r>
      <w:r>
        <w:rPr>
          <w:rFonts w:hint="eastAsia" w:ascii="宋体" w:hAnsi="宋体" w:eastAsia="宋体" w:cs="宋体"/>
          <w:color w:val="000000"/>
          <w:sz w:val="24"/>
          <w:szCs w:val="24"/>
          <w:highlight w:val="none"/>
          <w:lang w:val="zh-CN"/>
        </w:rPr>
      </w:r>
      <w:r/>
    </w:p>
    <w:p>
      <w:pPr>
        <w:pStyle w:val="864"/>
        <w:ind w:firstLine="480"/>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签订日期：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月   日</w:t>
      </w:r>
      <w:r>
        <w:rPr>
          <w:rFonts w:hint="eastAsia" w:ascii="宋体" w:hAnsi="宋体" w:eastAsia="宋体" w:cs="宋体"/>
          <w:color w:val="000000"/>
          <w:sz w:val="24"/>
          <w:szCs w:val="24"/>
          <w:highlight w:val="none"/>
        </w:rPr>
      </w:r>
      <w:r/>
    </w:p>
    <w:p>
      <w:pPr>
        <w:pStyle w:val="864"/>
        <w:jc w:val="center"/>
        <w:spacing w:line="400" w:lineRule="exact"/>
        <w:rPr>
          <w:rFonts w:hint="eastAsia" w:ascii="宋体" w:hAnsi="宋体" w:eastAsia="宋体" w:cs="宋体"/>
          <w:b/>
          <w:bCs/>
          <w:color w:val="000000"/>
          <w:sz w:val="24"/>
          <w:szCs w:val="24"/>
          <w:highlight w:val="none"/>
        </w:rPr>
        <w:sectPr>
          <w:headerReference w:type="default" r:id="rId9"/>
          <w:footerReference w:type="default" r:id="rId12"/>
          <w:footnotePr/>
          <w:endnotePr/>
          <w:type w:val="nextPage"/>
          <w:pgSz w:w="11906" w:h="16838" w:orient="portrait"/>
          <w:pgMar w:top="1134" w:right="1077" w:bottom="1418" w:left="1191" w:header="851" w:footer="992"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864"/>
        <w:ind w:firstLine="482"/>
        <w:jc w:val="center"/>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rPr>
          <w:rFonts w:hint="eastAsia" w:ascii="宋体" w:hAnsi="宋体" w:eastAsia="宋体" w:cs="宋体"/>
          <w:b/>
          <w:color w:val="000000"/>
          <w:sz w:val="24"/>
          <w:szCs w:val="24"/>
          <w:highlight w:val="none"/>
        </w:rPr>
        <w:outlineLvl w:val="0"/>
      </w:pPr>
      <w:r/>
      <w:bookmarkStart w:id="216" w:name="_Toc31297"/>
      <w:r/>
      <w:bookmarkStart w:id="217" w:name="_Toc259093669"/>
      <w:r/>
      <w:bookmarkStart w:id="218" w:name="_Ref467379225"/>
      <w:r/>
      <w:bookmarkStart w:id="219" w:name="_Ref467379109"/>
      <w:r/>
      <w:bookmarkStart w:id="220" w:name="_Toc14021"/>
      <w:r/>
      <w:bookmarkStart w:id="221" w:name="_Toc5228"/>
      <w:r/>
      <w:bookmarkStart w:id="222" w:name="_Ref467378499"/>
      <w:r/>
      <w:bookmarkStart w:id="223" w:name="_Ref467379214"/>
      <w:r/>
      <w:bookmarkStart w:id="224" w:name="_Ref467379205"/>
      <w:r/>
      <w:bookmarkStart w:id="225" w:name="_Toc25079"/>
      <w:r/>
      <w:bookmarkStart w:id="226" w:name="_Ref467379101"/>
      <w:r/>
      <w:bookmarkStart w:id="227" w:name="_Ref467378404"/>
      <w:r/>
      <w:bookmarkStart w:id="228" w:name="_Toc19680"/>
      <w:r/>
      <w:bookmarkStart w:id="229" w:name="_Ref467379195"/>
      <w:r/>
      <w:bookmarkStart w:id="230" w:name="_Toc487900349"/>
      <w:r/>
      <w:bookmarkStart w:id="231" w:name="_Ref467378463"/>
      <w:r/>
      <w:bookmarkStart w:id="232" w:name="_Ref467379094"/>
      <w:r/>
      <w:bookmarkStart w:id="233" w:name="_Toc279701240"/>
      <w:r>
        <w:rPr>
          <w:rFonts w:hint="eastAsia" w:ascii="宋体" w:hAnsi="宋体" w:eastAsia="宋体" w:cs="宋体"/>
          <w:b/>
          <w:color w:val="000000"/>
          <w:sz w:val="24"/>
          <w:szCs w:val="24"/>
          <w:highlight w:val="none"/>
        </w:rPr>
        <w:t xml:space="preserve">2.1 定义</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和中标供应商签订的载明双方当事人所达成的协议，并包括所有的附件、附录和构成合同的其他文件。</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应支付给中标供应商的价格。</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履行的除货物和工程以外的其他政府采购对象，包括</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自身需要的服务和向社会公众提供的公共服务。</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rPr>
          <w:rFonts w:hint="eastAsia" w:ascii="宋体" w:hAnsi="宋体" w:eastAsia="宋体" w:cs="宋体"/>
          <w:color w:val="000000"/>
          <w:sz w:val="24"/>
          <w:szCs w:val="24"/>
          <w:highlight w:val="none"/>
        </w:rPr>
      </w:pPr>
      <w:r/>
      <w:bookmarkStart w:id="234" w:name="_Ref467378840"/>
      <w:r>
        <w:rPr>
          <w:rFonts w:hint="eastAsia" w:ascii="宋体" w:hAnsi="宋体" w:eastAsia="宋体" w:cs="宋体"/>
          <w:color w:val="000000"/>
          <w:sz w:val="24"/>
          <w:szCs w:val="24"/>
          <w:highlight w:val="none"/>
        </w:rPr>
        <w:t xml:space="preserve">2.1.4 “甲方”系指与中标供应商签署合同的</w:t>
      </w:r>
      <w:bookmarkEnd w:id="234"/>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委托采购代理机构代表其与乙方签订合同的，</w:t>
      </w:r>
      <w:r>
        <w:rPr>
          <w:rFonts w:hint="eastAsia" w:ascii="宋体" w:hAnsi="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的授权委托书作为合同附件。</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35" w:name="_Ref467379400"/>
      <w:r>
        <w:rPr>
          <w:rFonts w:hint="eastAsia" w:ascii="宋体" w:hAnsi="宋体" w:eastAsia="宋体" w:cs="宋体"/>
          <w:color w:val="000000"/>
          <w:sz w:val="24"/>
          <w:szCs w:val="24"/>
          <w:highlight w:val="none"/>
        </w:rPr>
        <w:t xml:space="preserve">2.1.5 “乙方”系指根据合同约定提供服务的中标供应商</w:t>
      </w:r>
      <w:bookmarkEnd w:id="235"/>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36" w:name="_Ref467379436"/>
      <w:r>
        <w:rPr>
          <w:rFonts w:hint="eastAsia" w:ascii="宋体" w:hAnsi="宋体" w:eastAsia="宋体" w:cs="宋体"/>
          <w:color w:val="000000"/>
          <w:sz w:val="24"/>
          <w:szCs w:val="24"/>
          <w:highlight w:val="none"/>
        </w:rPr>
        <w:t xml:space="preserve">2.1.6 “现场”系指合同约定提供服务的地点。</w:t>
      </w:r>
      <w:bookmarkEnd w:id="236"/>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37" w:name="_Toc279701241"/>
      <w:r/>
      <w:bookmarkStart w:id="238" w:name="_Toc19539"/>
      <w:r/>
      <w:bookmarkStart w:id="239" w:name="_Toc16752"/>
      <w:r/>
      <w:bookmarkStart w:id="240" w:name="_Toc487900350"/>
      <w:r/>
      <w:bookmarkStart w:id="241" w:name="_Toc31402"/>
      <w:r/>
      <w:bookmarkStart w:id="242" w:name="_Toc3769"/>
      <w:r/>
      <w:bookmarkStart w:id="243" w:name="_Toc23289"/>
      <w:r/>
      <w:bookmarkStart w:id="244" w:name="_Toc259093670"/>
      <w:r>
        <w:rPr>
          <w:rFonts w:hint="eastAsia" w:ascii="宋体" w:hAnsi="宋体" w:eastAsia="宋体" w:cs="宋体"/>
          <w:b/>
          <w:color w:val="000000"/>
          <w:sz w:val="24"/>
          <w:szCs w:val="24"/>
          <w:highlight w:val="none"/>
        </w:rPr>
        <w:t xml:space="preserve">2.2 技术规范</w:t>
      </w:r>
      <w:bookmarkEnd w:id="237"/>
      <w:r/>
      <w:bookmarkEnd w:id="238"/>
      <w:r/>
      <w:bookmarkEnd w:id="239"/>
      <w:r/>
      <w:bookmarkEnd w:id="240"/>
      <w:r/>
      <w:bookmarkEnd w:id="241"/>
      <w:r/>
      <w:bookmarkEnd w:id="242"/>
      <w:r/>
      <w:bookmarkEnd w:id="243"/>
      <w:r/>
      <w:bookmarkEnd w:id="244"/>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规定的技术规范和技术规范附件(如果有的话)及其技术规范偏差表(如果被甲方接受的话)相一致；如果</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中没有技术规范的相应说明，那么应以国家有关部门最新颁布的相应标准和规范为准。</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45" w:name="_Toc9161"/>
      <w:r/>
      <w:bookmarkStart w:id="246" w:name="_Toc27945"/>
      <w:r/>
      <w:bookmarkStart w:id="247" w:name="_Toc259093671"/>
      <w:r/>
      <w:bookmarkStart w:id="248" w:name="_Toc12412"/>
      <w:r/>
      <w:bookmarkStart w:id="249" w:name="_Toc279701242"/>
      <w:r/>
      <w:bookmarkStart w:id="250" w:name="_Toc4133"/>
      <w:r/>
      <w:bookmarkStart w:id="251" w:name="_Toc487900351"/>
      <w:r/>
      <w:bookmarkStart w:id="252" w:name="_Toc13673"/>
      <w:r>
        <w:rPr>
          <w:rFonts w:hint="eastAsia" w:ascii="宋体" w:hAnsi="宋体" w:eastAsia="宋体" w:cs="宋体"/>
          <w:b/>
          <w:color w:val="000000"/>
          <w:sz w:val="24"/>
          <w:szCs w:val="24"/>
          <w:highlight w:val="none"/>
        </w:rPr>
        <w:t xml:space="preserve">2.3 知识产权</w:t>
      </w:r>
      <w:bookmarkEnd w:id="245"/>
      <w:r/>
      <w:bookmarkEnd w:id="246"/>
      <w:r/>
      <w:bookmarkEnd w:id="247"/>
      <w:r/>
      <w:bookmarkEnd w:id="248"/>
      <w:r/>
      <w:bookmarkEnd w:id="249"/>
      <w:r/>
      <w:bookmarkEnd w:id="250"/>
      <w:r/>
      <w:bookmarkEnd w:id="251"/>
      <w:r/>
      <w:bookmarkEnd w:id="252"/>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合同涉及技术成果的归属和收益归甲方所有。</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53" w:name="_Ref467379657"/>
      <w:r>
        <w:rPr>
          <w:rFonts w:hint="eastAsia" w:ascii="宋体" w:hAnsi="宋体" w:eastAsia="宋体" w:cs="宋体"/>
          <w:color w:val="000000"/>
          <w:sz w:val="24"/>
          <w:szCs w:val="24"/>
          <w:highlight w:val="none"/>
        </w:rPr>
        <w:t xml:space="preserve">2.4.1</w:t>
      </w:r>
      <w:bookmarkEnd w:id="253"/>
      <w:r/>
      <w:bookmarkStart w:id="254" w:name="_Toc487900357"/>
      <w:r/>
      <w:bookmarkStart w:id="255" w:name="_Ref467379807"/>
      <w:r/>
      <w:bookmarkStart w:id="256" w:name="_Ref467379793"/>
      <w:r/>
      <w:bookmarkStart w:id="257" w:name="_Toc259093676"/>
      <w:r/>
      <w:bookmarkStart w:id="258" w:name="_Toc186431854"/>
      <w:r/>
      <w:bookmarkStart w:id="259" w:name="_Toc279701247"/>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58"/>
      <w:r/>
      <w:bookmarkStart w:id="260" w:name="_Toc186431855"/>
      <w:r>
        <w:rPr>
          <w:rFonts w:hint="eastAsia" w:ascii="宋体" w:hAnsi="宋体" w:eastAsia="宋体" w:cs="宋体"/>
          <w:color w:val="000000"/>
          <w:sz w:val="24"/>
          <w:szCs w:val="24"/>
          <w:highlight w:val="none"/>
        </w:rPr>
        <w:t xml:space="preserve">。</w:t>
      </w:r>
      <w:bookmarkEnd w:id="260"/>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61" w:name="_Toc32670"/>
      <w:r/>
      <w:bookmarkStart w:id="262" w:name="_Toc15447"/>
      <w:r/>
      <w:bookmarkStart w:id="263" w:name="_Toc26555"/>
      <w:r/>
      <w:bookmarkStart w:id="264" w:name="_Toc22011"/>
      <w:r/>
      <w:bookmarkStart w:id="265" w:name="_Toc31233"/>
      <w:r>
        <w:rPr>
          <w:rFonts w:hint="eastAsia" w:ascii="宋体" w:hAnsi="宋体" w:eastAsia="宋体" w:cs="宋体"/>
          <w:b/>
          <w:color w:val="000000"/>
          <w:sz w:val="24"/>
          <w:szCs w:val="24"/>
          <w:highlight w:val="none"/>
        </w:rPr>
        <w:t xml:space="preserve">2.5 </w:t>
      </w:r>
      <w:bookmarkEnd w:id="254"/>
      <w:r/>
      <w:bookmarkEnd w:id="255"/>
      <w:r/>
      <w:bookmarkEnd w:id="256"/>
      <w:r/>
      <w:bookmarkEnd w:id="257"/>
      <w:r/>
      <w:bookmarkEnd w:id="259"/>
      <w:r/>
      <w:bookmarkEnd w:id="261"/>
      <w:r/>
      <w:bookmarkEnd w:id="262"/>
      <w:r/>
      <w:bookmarkEnd w:id="263"/>
      <w:r/>
      <w:bookmarkEnd w:id="264"/>
      <w:r/>
      <w:bookmarkEnd w:id="265"/>
      <w:r>
        <w:rPr>
          <w:rFonts w:hint="eastAsia" w:ascii="宋体" w:hAnsi="宋体" w:eastAsia="宋体" w:cs="宋体"/>
          <w:b/>
          <w:color w:val="000000"/>
          <w:sz w:val="24"/>
          <w:szCs w:val="24"/>
          <w:highlight w:val="none"/>
        </w:rPr>
        <w:t xml:space="preserve">安全事故、第三方矛盾</w:t>
      </w:r>
      <w:r>
        <w:rPr>
          <w:rFonts w:hint="eastAsia" w:ascii="宋体" w:hAnsi="宋体" w:eastAsia="宋体" w:cs="宋体"/>
          <w:b/>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乙方必须完全按照国家法律法规、甲方</w:t>
      </w:r>
      <w:r>
        <w:rPr>
          <w:rFonts w:hint="eastAsia" w:ascii="宋体" w:hAnsi="宋体" w:cs="宋体"/>
          <w:b/>
          <w:color w:val="000000"/>
          <w:sz w:val="24"/>
          <w:szCs w:val="24"/>
          <w:highlight w:val="none"/>
          <w:lang w:eastAsia="zh-CN"/>
        </w:rPr>
        <w:t xml:space="preserve">招标文件</w:t>
      </w:r>
      <w:r>
        <w:rPr>
          <w:rFonts w:hint="eastAsia" w:ascii="宋体" w:hAnsi="宋体" w:eastAsia="宋体" w:cs="宋体"/>
          <w:b/>
          <w:color w:val="000000"/>
          <w:sz w:val="24"/>
          <w:szCs w:val="24"/>
          <w:highlight w:val="none"/>
        </w:rPr>
        <w:t xml:space="preserve">的要求、乙方投标（响应）文件承诺等相关要求履行合同。乙方承担合同履行过程的安全责任等全部责任，合同履行过程，如发生任何安全事故、第三方矛盾等任何问题均有乙方一方全部承担，与甲方无关。</w:t>
      </w:r>
      <w:bookmarkStart w:id="266" w:name="_Toc30507"/>
      <w:r/>
      <w:bookmarkStart w:id="267" w:name="_Toc13467"/>
      <w:r/>
      <w:bookmarkStart w:id="268" w:name="_Toc259093677"/>
      <w:r/>
      <w:bookmarkStart w:id="269" w:name="_Toc279701248"/>
      <w:r/>
      <w:bookmarkStart w:id="270" w:name="_Toc487900358"/>
      <w:r/>
      <w:bookmarkStart w:id="271" w:name="_Ref467379852"/>
      <w:r/>
      <w:bookmarkStart w:id="272" w:name="_Ref467379923"/>
      <w:r/>
      <w:bookmarkStart w:id="273" w:name="_Ref467379863"/>
      <w:r/>
      <w:bookmarkStart w:id="274" w:name="_Toc16163"/>
      <w:r/>
      <w:bookmarkStart w:id="275" w:name="_Toc13154"/>
      <w:r/>
      <w:bookmarkStart w:id="276" w:name="_Toc18990"/>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2.6 技术资料</w:t>
      </w:r>
      <w:bookmarkEnd w:id="268"/>
      <w:r/>
      <w:bookmarkEnd w:id="269"/>
      <w:r/>
      <w:bookmarkEnd w:id="270"/>
      <w:r/>
      <w:bookmarkEnd w:id="271"/>
      <w:r/>
      <w:bookmarkEnd w:id="272"/>
      <w:r/>
      <w:bookmarkEnd w:id="273"/>
      <w:r>
        <w:rPr>
          <w:rFonts w:hint="eastAsia" w:ascii="宋体" w:hAnsi="宋体" w:eastAsia="宋体" w:cs="宋体"/>
          <w:b/>
          <w:color w:val="000000"/>
          <w:sz w:val="24"/>
          <w:szCs w:val="24"/>
          <w:highlight w:val="none"/>
        </w:rPr>
        <w:t xml:space="preserve">和保密义务</w:t>
      </w:r>
      <w:bookmarkEnd w:id="266"/>
      <w:r/>
      <w:bookmarkEnd w:id="267"/>
      <w:r/>
      <w:bookmarkEnd w:id="274"/>
      <w:r/>
      <w:bookmarkEnd w:id="275"/>
      <w:r/>
      <w:bookmarkEnd w:id="276"/>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乙方有权依据合同约定和项目需要，向甲方了解有关情况，调阅有关资料等，甲方应予积极配合；</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乙方有义务妥善保管和保护由甲方提供的前款信息和资料等；</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77" w:name="_Toc487900362"/>
      <w:r/>
      <w:bookmarkStart w:id="278" w:name="_Toc259093681"/>
      <w:r/>
      <w:bookmarkStart w:id="279" w:name="_Toc19069"/>
      <w:r/>
      <w:bookmarkStart w:id="280" w:name="_Toc279701252"/>
      <w:r>
        <w:rPr>
          <w:rFonts w:hint="eastAsia" w:ascii="宋体" w:hAnsi="宋体" w:eastAsia="宋体" w:cs="宋体"/>
          <w:b/>
          <w:color w:val="000000"/>
          <w:sz w:val="24"/>
          <w:szCs w:val="24"/>
          <w:highlight w:val="none"/>
        </w:rPr>
        <w:t xml:space="preserve">2.7 质量保证</w:t>
      </w:r>
      <w:bookmarkEnd w:id="279"/>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乙方应建立和完善履行合同的内部质量保证体系，并提供相关内部规章制度给甲方，以便甲方进行监督检查；</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乙方应保证履行合同的人员数量和素质、软件和硬件设备的配置、场地、环境和设施等满足全面履行合同的要求，并应接受甲方的监督检查。</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81" w:name="_Toc22267"/>
      <w:r>
        <w:rPr>
          <w:rFonts w:hint="eastAsia" w:ascii="宋体" w:hAnsi="宋体" w:eastAsia="宋体" w:cs="宋体"/>
          <w:b/>
          <w:color w:val="000000"/>
          <w:sz w:val="24"/>
          <w:szCs w:val="24"/>
          <w:highlight w:val="none"/>
        </w:rPr>
        <w:t xml:space="preserve">2.8 延迟</w:t>
      </w:r>
      <w:bookmarkEnd w:id="277"/>
      <w:r/>
      <w:bookmarkEnd w:id="278"/>
      <w:r/>
      <w:bookmarkEnd w:id="280"/>
      <w:r>
        <w:rPr>
          <w:rFonts w:hint="eastAsia" w:ascii="宋体" w:hAnsi="宋体" w:eastAsia="宋体" w:cs="宋体"/>
          <w:b/>
          <w:color w:val="000000"/>
          <w:sz w:val="24"/>
          <w:szCs w:val="24"/>
          <w:highlight w:val="none"/>
        </w:rPr>
        <w:t xml:space="preserve">履行</w:t>
      </w:r>
      <w:bookmarkEnd w:id="281"/>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82" w:name="_Ref467378121"/>
      <w:r/>
      <w:bookmarkStart w:id="283" w:name="_Toc259093683"/>
      <w:r/>
      <w:bookmarkStart w:id="284" w:name="_Toc487900364"/>
      <w:r/>
      <w:bookmarkStart w:id="285" w:name="_Toc10611"/>
      <w:r/>
      <w:bookmarkStart w:id="286" w:name="_Toc279701254"/>
      <w:r>
        <w:rPr>
          <w:rFonts w:hint="eastAsia" w:ascii="宋体" w:hAnsi="宋体" w:eastAsia="宋体" w:cs="宋体"/>
          <w:b/>
          <w:color w:val="000000"/>
          <w:sz w:val="24"/>
          <w:szCs w:val="24"/>
          <w:highlight w:val="none"/>
        </w:rPr>
        <w:t xml:space="preserve">2.9 合同变更</w:t>
      </w:r>
      <w:bookmarkEnd w:id="285"/>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双方当事人协商一致，可以签订书面补充合同的形式变更合同，但不得违背</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确定的事项，且如果系追加与合同标的相同的服务的，那么所有补充合同的采购金额不得超过原合同价的10%；</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87" w:name="_Toc487900369"/>
      <w:r/>
      <w:bookmarkStart w:id="288" w:name="_Toc279701259"/>
      <w:r/>
      <w:bookmarkStart w:id="289" w:name="_Toc259093688"/>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90" w:name="_Toc26689"/>
      <w:r/>
      <w:bookmarkStart w:id="291" w:name="_Toc21830"/>
      <w:r/>
      <w:bookmarkStart w:id="292" w:name="_Toc23368"/>
      <w:r/>
      <w:bookmarkStart w:id="293" w:name="_Toc10663"/>
      <w:r/>
      <w:bookmarkStart w:id="294" w:name="_Toc42"/>
      <w:r>
        <w:rPr>
          <w:rFonts w:hint="eastAsia" w:ascii="宋体" w:hAnsi="宋体" w:eastAsia="宋体" w:cs="宋体"/>
          <w:b/>
          <w:color w:val="000000"/>
          <w:sz w:val="24"/>
          <w:szCs w:val="24"/>
          <w:highlight w:val="none"/>
        </w:rPr>
        <w:t xml:space="preserve">2.10 合同转让</w:t>
      </w:r>
      <w:bookmarkEnd w:id="287"/>
      <w:r/>
      <w:bookmarkEnd w:id="288"/>
      <w:r/>
      <w:bookmarkEnd w:id="289"/>
      <w:r>
        <w:rPr>
          <w:rFonts w:hint="eastAsia" w:ascii="宋体" w:hAnsi="宋体" w:eastAsia="宋体" w:cs="宋体"/>
          <w:b/>
          <w:color w:val="000000"/>
          <w:sz w:val="24"/>
          <w:szCs w:val="24"/>
          <w:highlight w:val="none"/>
        </w:rPr>
        <w:t xml:space="preserve">和分包</w:t>
      </w:r>
      <w:bookmarkEnd w:id="290"/>
      <w:r/>
      <w:bookmarkEnd w:id="291"/>
      <w:r/>
      <w:bookmarkEnd w:id="292"/>
      <w:r/>
      <w:bookmarkEnd w:id="293"/>
      <w:r/>
      <w:bookmarkEnd w:id="294"/>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95" w:name="_Toc26633"/>
      <w:r/>
      <w:bookmarkStart w:id="296" w:name="_Toc32494"/>
      <w:r/>
      <w:bookmarkStart w:id="297" w:name="_Toc4720"/>
      <w:r/>
      <w:bookmarkStart w:id="298" w:name="_Toc25571"/>
      <w:r/>
      <w:bookmarkStart w:id="299" w:name="_Toc14371"/>
      <w:r>
        <w:rPr>
          <w:rFonts w:hint="eastAsia" w:ascii="宋体" w:hAnsi="宋体" w:eastAsia="宋体" w:cs="宋体"/>
          <w:b/>
          <w:color w:val="000000"/>
          <w:sz w:val="24"/>
          <w:szCs w:val="24"/>
          <w:highlight w:val="none"/>
        </w:rPr>
        <w:t xml:space="preserve">2.11 不可抗力</w:t>
      </w:r>
      <w:bookmarkEnd w:id="295"/>
      <w:r/>
      <w:bookmarkEnd w:id="296"/>
      <w:r/>
      <w:bookmarkEnd w:id="297"/>
      <w:r/>
      <w:bookmarkEnd w:id="298"/>
      <w:r/>
      <w:bookmarkEnd w:id="299"/>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2.11.1如果任何一方遭遇法律规定的不可抗力，致使合同履行受阻时，履行合同的期限应予延长，延长的期限应相当于不可抗力所影响的时间；</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因不可抗力致使不能实现合同目的的，当事人可以解除合同；</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 因不可抗力致使合同有变更必要的，双方当事人应在</w:t>
      </w:r>
      <w:r>
        <w:rPr>
          <w:rFonts w:hint="eastAsia" w:ascii="宋体" w:hAnsi="宋体" w:eastAsia="宋体" w:cs="宋体"/>
          <w:color w:val="000000"/>
          <w:sz w:val="24"/>
          <w:szCs w:val="24"/>
          <w:highlight w:val="none"/>
          <w:u w:val="single"/>
        </w:rPr>
        <w:t xml:space="preserve">5个工作日</w:t>
      </w:r>
      <w:r>
        <w:rPr>
          <w:rFonts w:hint="eastAsia" w:ascii="宋体" w:hAnsi="宋体" w:eastAsia="宋体" w:cs="宋体"/>
          <w:color w:val="000000"/>
          <w:sz w:val="24"/>
          <w:szCs w:val="24"/>
          <w:highlight w:val="none"/>
        </w:rPr>
        <w:t xml:space="preserve">内以书面形式变更合同；</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2.11.4受不可抗力影响的一方在不可抗力发生后，应在</w:t>
      </w:r>
      <w:r>
        <w:rPr>
          <w:rFonts w:hint="eastAsia" w:ascii="宋体" w:hAnsi="宋体" w:eastAsia="宋体" w:cs="宋体"/>
          <w:color w:val="000000"/>
          <w:sz w:val="24"/>
          <w:szCs w:val="24"/>
          <w:highlight w:val="none"/>
          <w:u w:val="single"/>
        </w:rPr>
        <w:t xml:space="preserve">5个工作日</w:t>
      </w:r>
      <w:r>
        <w:rPr>
          <w:rFonts w:hint="eastAsia" w:ascii="宋体" w:hAnsi="宋体" w:eastAsia="宋体" w:cs="宋体"/>
          <w:color w:val="000000"/>
          <w:sz w:val="24"/>
          <w:szCs w:val="24"/>
          <w:highlight w:val="none"/>
        </w:rPr>
        <w:t xml:space="preserve">内以书面形式通知对方当事人（含有关部门出具的证明文件）。</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300" w:name="_Toc259093684"/>
      <w:r/>
      <w:bookmarkStart w:id="301" w:name="_Toc14115"/>
      <w:r/>
      <w:bookmarkStart w:id="302" w:name="_Toc23854"/>
      <w:r/>
      <w:bookmarkStart w:id="303" w:name="_Toc24465"/>
      <w:r/>
      <w:bookmarkStart w:id="304" w:name="_Toc279701255"/>
      <w:r/>
      <w:bookmarkStart w:id="305" w:name="_Toc3638"/>
      <w:r/>
      <w:bookmarkStart w:id="306" w:name="_Toc487900365"/>
      <w:r/>
      <w:bookmarkStart w:id="307" w:name="_Toc25783"/>
      <w:r>
        <w:rPr>
          <w:rFonts w:hint="eastAsia" w:ascii="宋体" w:hAnsi="宋体" w:eastAsia="宋体" w:cs="宋体"/>
          <w:b/>
          <w:color w:val="000000"/>
          <w:sz w:val="24"/>
          <w:szCs w:val="24"/>
          <w:highlight w:val="none"/>
        </w:rPr>
        <w:t xml:space="preserve">2.12 税费</w:t>
      </w:r>
      <w:bookmarkEnd w:id="300"/>
      <w:r/>
      <w:bookmarkEnd w:id="301"/>
      <w:r/>
      <w:bookmarkEnd w:id="302"/>
      <w:r/>
      <w:bookmarkEnd w:id="303"/>
      <w:r/>
      <w:bookmarkEnd w:id="304"/>
      <w:r/>
      <w:bookmarkEnd w:id="305"/>
      <w:r/>
      <w:bookmarkEnd w:id="306"/>
      <w:r/>
      <w:bookmarkEnd w:id="307"/>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308" w:name="_Toc30105"/>
      <w:r/>
      <w:bookmarkStart w:id="309" w:name="_Toc7315"/>
      <w:r/>
      <w:bookmarkStart w:id="310" w:name="_Toc14814"/>
      <w:r/>
      <w:bookmarkStart w:id="311" w:name="_Toc25525"/>
      <w:r/>
      <w:bookmarkStart w:id="312" w:name="_Toc259093687"/>
      <w:r/>
      <w:bookmarkStart w:id="313" w:name="_Toc279701258"/>
      <w:r/>
      <w:bookmarkStart w:id="314" w:name="_Toc26883"/>
      <w:r/>
      <w:bookmarkStart w:id="315" w:name="_Toc487900368"/>
      <w:r>
        <w:rPr>
          <w:rFonts w:hint="eastAsia" w:ascii="宋体" w:hAnsi="宋体" w:eastAsia="宋体" w:cs="宋体"/>
          <w:b/>
          <w:color w:val="000000"/>
          <w:sz w:val="24"/>
          <w:szCs w:val="24"/>
          <w:highlight w:val="none"/>
        </w:rPr>
        <w:t xml:space="preserve">2.13 乙方破产</w:t>
      </w:r>
      <w:bookmarkEnd w:id="308"/>
      <w:r/>
      <w:bookmarkEnd w:id="309"/>
      <w:r/>
      <w:bookmarkEnd w:id="310"/>
      <w:r/>
      <w:bookmarkEnd w:id="311"/>
      <w:r/>
      <w:bookmarkEnd w:id="312"/>
      <w:r/>
      <w:bookmarkEnd w:id="313"/>
      <w:r/>
      <w:bookmarkEnd w:id="314"/>
      <w:r/>
      <w:bookmarkEnd w:id="315"/>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316" w:name="_Toc23323"/>
      <w:r/>
      <w:bookmarkStart w:id="317" w:name="_Toc1123"/>
      <w:r/>
      <w:bookmarkStart w:id="318" w:name="_Toc2016"/>
      <w:r>
        <w:rPr>
          <w:rFonts w:hint="eastAsia" w:ascii="宋体" w:hAnsi="宋体" w:eastAsia="宋体" w:cs="宋体"/>
          <w:b/>
          <w:color w:val="000000"/>
          <w:sz w:val="24"/>
          <w:szCs w:val="24"/>
          <w:highlight w:val="none"/>
        </w:rPr>
        <w:t xml:space="preserve">2.14 合同中止、终止</w:t>
      </w:r>
      <w:bookmarkEnd w:id="316"/>
      <w:r/>
      <w:bookmarkEnd w:id="317"/>
      <w:r/>
      <w:bookmarkEnd w:id="318"/>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双方当事人不得擅自中止或者终止合同；</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319" w:name="_Toc14525"/>
      <w:r/>
      <w:bookmarkStart w:id="320" w:name="_Toc1969"/>
      <w:r/>
      <w:bookmarkStart w:id="321" w:name="_Toc17363"/>
      <w:r>
        <w:rPr>
          <w:rFonts w:hint="eastAsia" w:ascii="宋体" w:hAnsi="宋体" w:eastAsia="宋体" w:cs="宋体"/>
          <w:b/>
          <w:color w:val="000000"/>
          <w:sz w:val="24"/>
          <w:szCs w:val="24"/>
          <w:highlight w:val="none"/>
        </w:rPr>
        <w:t xml:space="preserve">2.15 检验和验收</w:t>
      </w:r>
      <w:bookmarkEnd w:id="319"/>
      <w:r/>
      <w:bookmarkEnd w:id="320"/>
      <w:r/>
      <w:bookmarkEnd w:id="321"/>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2.15.1 乙方按照甲方的</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、乙方的投标（响应）文件及本合同的约定，定期提交服务报告，甲方按照甲方的</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、乙方的投标（响应）文件及本合同的约定进行定期验收；</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合同期满或者履行完毕后，甲方有权组织（包括依法邀请国家认可的质量检测机构参加）对乙方履约的验收，即：按照合同约定的标准，组织对乙方履约情况的验收，并出具验收书；甲方组织的验收费用按</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的约定事宜承担。</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未约定的，甲乙双方协商解决。</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2.15.3 检验和验收标准、程序等具体内容以及前述验收书的效力详以甲方另行约定为准</w:t>
      </w:r>
      <w:r>
        <w:rPr>
          <w:rFonts w:hint="eastAsia" w:ascii="宋体" w:hAnsi="宋体" w:eastAsia="宋体" w:cs="宋体"/>
          <w:i/>
          <w:color w:val="000000"/>
          <w:sz w:val="24"/>
          <w:szCs w:val="24"/>
          <w:highlight w:val="none"/>
        </w:rPr>
        <w:t xml:space="preserve">。</w:t>
      </w:r>
      <w:bookmarkEnd w:id="282"/>
      <w:r/>
      <w:bookmarkEnd w:id="283"/>
      <w:r/>
      <w:bookmarkEnd w:id="284"/>
      <w:r/>
      <w:bookmarkEnd w:id="286"/>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322" w:name="_Toc25198"/>
      <w:r/>
      <w:bookmarkStart w:id="323" w:name="_Toc2308"/>
      <w:r/>
      <w:bookmarkStart w:id="324" w:name="_Toc12666"/>
      <w:r/>
      <w:bookmarkStart w:id="325" w:name="_Toc9808"/>
      <w:r/>
      <w:bookmarkStart w:id="326" w:name="_Toc487900371"/>
      <w:r/>
      <w:bookmarkStart w:id="327" w:name="_Toc259093690"/>
      <w:r/>
      <w:bookmarkStart w:id="328" w:name="_Toc31892"/>
      <w:r/>
      <w:bookmarkStart w:id="329" w:name="_Toc279701261"/>
      <w:r>
        <w:rPr>
          <w:rFonts w:hint="eastAsia" w:ascii="宋体" w:hAnsi="宋体" w:eastAsia="宋体" w:cs="宋体"/>
          <w:b/>
          <w:color w:val="000000"/>
          <w:sz w:val="24"/>
          <w:szCs w:val="24"/>
          <w:highlight w:val="none"/>
        </w:rPr>
        <w:t xml:space="preserve">2.16 通知</w:t>
      </w:r>
      <w:bookmarkEnd w:id="326"/>
      <w:r/>
      <w:bookmarkEnd w:id="327"/>
      <w:r/>
      <w:bookmarkEnd w:id="329"/>
      <w:r>
        <w:rPr>
          <w:rFonts w:hint="eastAsia" w:ascii="宋体" w:hAnsi="宋体" w:eastAsia="宋体" w:cs="宋体"/>
          <w:b/>
          <w:color w:val="000000"/>
          <w:sz w:val="24"/>
          <w:szCs w:val="24"/>
          <w:highlight w:val="none"/>
        </w:rPr>
        <w:t xml:space="preserve">和送达</w:t>
      </w:r>
      <w:bookmarkEnd w:id="322"/>
      <w:r/>
      <w:bookmarkEnd w:id="323"/>
      <w:r/>
      <w:bookmarkEnd w:id="324"/>
      <w:r/>
      <w:bookmarkEnd w:id="325"/>
      <w:r/>
      <w:bookmarkEnd w:id="328"/>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30" w:name="_Toc7073"/>
      <w:r/>
      <w:bookmarkStart w:id="331" w:name="_Toc487900372"/>
      <w:r/>
      <w:bookmarkStart w:id="332" w:name="_Toc279701262"/>
      <w:r/>
      <w:bookmarkStart w:id="333" w:name="_Toc259093691"/>
      <w:r/>
      <w:bookmarkStart w:id="334" w:name="_Toc29220"/>
      <w:r>
        <w:rPr>
          <w:rFonts w:hint="eastAsia" w:ascii="宋体" w:hAnsi="宋体" w:eastAsia="宋体" w:cs="宋体"/>
          <w:color w:val="000000"/>
          <w:sz w:val="24"/>
          <w:szCs w:val="24"/>
          <w:highlight w:val="none"/>
        </w:rPr>
        <w:t xml:space="preserve">2.16.1任何一方因履行合同而以合同第一部分尾部所列明的</w:t>
      </w:r>
      <w:r>
        <w:rPr>
          <w:rFonts w:hint="eastAsia" w:ascii="宋体" w:hAnsi="宋体" w:eastAsia="宋体" w:cs="宋体"/>
          <w:color w:val="000000"/>
          <w:sz w:val="24"/>
          <w:szCs w:val="24"/>
          <w:highlight w:val="none"/>
          <w:u w:val="single"/>
          <w:lang w:val="zh-CN"/>
        </w:rPr>
        <w:t xml:space="preserve">约定送达地址</w:t>
      </w:r>
      <w:r>
        <w:rPr>
          <w:rFonts w:hint="eastAsia" w:ascii="宋体" w:hAnsi="宋体" w:eastAsia="宋体" w:cs="宋体"/>
          <w:color w:val="000000"/>
          <w:sz w:val="24"/>
          <w:szCs w:val="24"/>
          <w:highlight w:val="none"/>
        </w:rPr>
        <w:t xml:space="preserve">发出的所有通知、文件、材料，均视为已向对方当事人送达；任何一方变更上述送达地址的，应于</w:t>
      </w:r>
      <w:r>
        <w:rPr>
          <w:rFonts w:hint="eastAsia" w:ascii="宋体" w:hAnsi="宋体" w:eastAsia="宋体" w:cs="宋体"/>
          <w:color w:val="000000"/>
          <w:sz w:val="24"/>
          <w:szCs w:val="24"/>
          <w:highlight w:val="none"/>
          <w:u w:val="single"/>
        </w:rPr>
        <w:t xml:space="preserve">5个工作日</w:t>
      </w:r>
      <w:r>
        <w:rPr>
          <w:rFonts w:hint="eastAsia" w:ascii="宋体" w:hAnsi="宋体" w:eastAsia="宋体" w:cs="宋体"/>
          <w:color w:val="000000"/>
          <w:sz w:val="24"/>
          <w:szCs w:val="24"/>
          <w:highlight w:val="none"/>
        </w:rPr>
        <w:t xml:space="preserve">内书面通知对方当事人，在对方当事人收到有关变更通知之前，变更前的约定送达地址仍视为有效。</w:t>
      </w:r>
      <w:bookmarkEnd w:id="330"/>
      <w:r/>
      <w:bookmarkEnd w:id="334"/>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35" w:name="_Toc27674"/>
      <w:r/>
      <w:bookmarkStart w:id="336" w:name="_Toc18401"/>
      <w:r>
        <w:rPr>
          <w:rFonts w:hint="eastAsia" w:ascii="宋体" w:hAnsi="宋体" w:eastAsia="宋体" w:cs="宋体"/>
          <w:color w:val="000000"/>
          <w:sz w:val="24"/>
          <w:szCs w:val="24"/>
          <w:highlight w:val="none"/>
        </w:rPr>
        <w:t xml:space="preserve">2.16.2以当面交付方式送达的，交付之时视为送达；以邮寄方式送达的，邮件挂号寄出或者交邮之日之次日视为送达</w:t>
      </w:r>
      <w:bookmarkEnd w:id="335"/>
      <w:r/>
      <w:bookmarkEnd w:id="336"/>
      <w:r>
        <w:rPr>
          <w:rFonts w:hint="eastAsia" w:ascii="宋体" w:hAnsi="宋体" w:eastAsia="宋体" w:cs="宋体"/>
          <w:color w:val="000000"/>
          <w:sz w:val="24"/>
          <w:szCs w:val="24"/>
          <w:highlight w:val="none"/>
          <w:lang w:val="zh-CN"/>
        </w:rPr>
        <w:t xml:space="preserve">（甲方接受的</w:t>
      </w:r>
      <w:r>
        <w:rPr>
          <w:rFonts w:hint="eastAsia" w:ascii="宋体" w:hAnsi="宋体" w:eastAsia="宋体" w:cs="宋体"/>
          <w:color w:val="000000"/>
          <w:sz w:val="24"/>
          <w:szCs w:val="24"/>
          <w:highlight w:val="none"/>
        </w:rPr>
        <w:t xml:space="preserve">送达方式仅限为“当面交付”或“邮寄方式”</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bookmarkEnd w:id="331"/>
      <w:r/>
      <w:bookmarkEnd w:id="332"/>
      <w:r/>
      <w:bookmarkEnd w:id="333"/>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337" w:name="_Toc20808"/>
      <w:r/>
      <w:bookmarkStart w:id="338" w:name="_Toc27644"/>
      <w:r/>
      <w:bookmarkStart w:id="339" w:name="_Toc12254"/>
      <w:r/>
      <w:bookmarkStart w:id="340" w:name="_Toc279701263"/>
      <w:r/>
      <w:bookmarkStart w:id="341" w:name="_Toc5063"/>
      <w:r/>
      <w:bookmarkStart w:id="342" w:name="_Toc487900373"/>
      <w:r/>
      <w:bookmarkStart w:id="343" w:name="_Toc28906"/>
      <w:r/>
      <w:bookmarkStart w:id="344" w:name="_Toc259093692"/>
      <w:r>
        <w:rPr>
          <w:rFonts w:hint="eastAsia" w:ascii="宋体" w:hAnsi="宋体" w:eastAsia="宋体" w:cs="宋体"/>
          <w:b/>
          <w:color w:val="000000"/>
          <w:sz w:val="24"/>
          <w:szCs w:val="24"/>
          <w:highlight w:val="none"/>
        </w:rPr>
        <w:t xml:space="preserve">2.1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 履约保证金</w:t>
      </w:r>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.1招标文件要求乙方提交履约保证金的，乙方应以支票、汇票、本票或者金融机构、担保机构出具的保函等非现金形式，提交不超过合同价</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%的履约保证金；</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履约保证金在甲方的</w:t>
      </w:r>
      <w:r>
        <w:rPr>
          <w:rFonts w:hint="eastAsia" w:ascii="宋体" w:hAnsi="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乙方的投标（响应）文件及本合同的约定期间内或者货物质量保证期内不予退还或者应完全有效，前述约定期间届满或者货物质量保证期届满之日起10个工作日内，甲方应将履约保证金退还（乙方须向甲方履约保证金收退部门提供账户信息、届满证明或说明等相关材料。具体以甲方相关规定为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2.17.4</w:t>
      </w:r>
      <w:r>
        <w:rPr>
          <w:rFonts w:hint="eastAsia" w:ascii="宋体" w:hAnsi="宋体" w:eastAsia="宋体" w:cs="宋体"/>
          <w:color w:val="000000"/>
          <w:sz w:val="24"/>
          <w:szCs w:val="24"/>
          <w:highlight w:val="none"/>
        </w:rPr>
        <w:t xml:space="preserve">确需收取履约保证金的，履约保证金的缴纳形式：</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合同履行结束后，甲方应及时退还交纳的履约保证金。</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2.1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合同使用的文字和适用的法律</w:t>
      </w:r>
      <w:bookmarkEnd w:id="337"/>
      <w:r/>
      <w:bookmarkEnd w:id="338"/>
      <w:r/>
      <w:bookmarkEnd w:id="339"/>
      <w:r/>
      <w:bookmarkEnd w:id="340"/>
      <w:r/>
      <w:bookmarkEnd w:id="341"/>
      <w:r/>
      <w:bookmarkEnd w:id="342"/>
      <w:r/>
      <w:bookmarkEnd w:id="343"/>
      <w:r/>
      <w:bookmarkEnd w:id="344"/>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合同使用汉语书就、变更和解释；合同适用中华人民共和国法律。</w:t>
      </w:r>
      <w:r>
        <w:rPr>
          <w:rFonts w:hint="eastAsia" w:ascii="宋体" w:hAnsi="宋体" w:eastAsia="宋体" w:cs="宋体"/>
          <w:color w:val="000000"/>
          <w:sz w:val="24"/>
          <w:szCs w:val="24"/>
          <w:highlight w:val="none"/>
        </w:rPr>
      </w:r>
      <w:r/>
    </w:p>
    <w:p>
      <w:pPr>
        <w:pStyle w:val="8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 合同份数</w:t>
      </w:r>
      <w:r>
        <w:rPr>
          <w:rFonts w:hint="eastAsia" w:ascii="宋体" w:hAnsi="宋体" w:eastAsia="宋体" w:cs="宋体"/>
          <w:b/>
          <w:color w:val="000000"/>
          <w:sz w:val="24"/>
          <w:szCs w:val="24"/>
          <w:highlight w:val="none"/>
        </w:rPr>
      </w:r>
      <w:r/>
    </w:p>
    <w:p>
      <w:pPr>
        <w:pStyle w:val="86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合同份数</w:t>
      </w:r>
      <w:r>
        <w:rPr>
          <w:rFonts w:hint="eastAsia" w:ascii="宋体" w:hAnsi="宋体" w:eastAsia="宋体" w:cs="宋体"/>
          <w:b/>
          <w:color w:val="000000"/>
          <w:sz w:val="24"/>
          <w:szCs w:val="24"/>
          <w:highlight w:val="none"/>
          <w:u w:val="single"/>
        </w:rPr>
        <w:t xml:space="preserve">1式</w:t>
      </w:r>
      <w:r>
        <w:rPr>
          <w:rFonts w:hint="eastAsia" w:ascii="宋体" w:hAnsi="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份</w:t>
      </w:r>
      <w:r>
        <w:rPr>
          <w:rFonts w:hint="eastAsia" w:ascii="宋体" w:hAnsi="宋体" w:eastAsia="宋体" w:cs="宋体"/>
          <w:color w:val="000000"/>
          <w:sz w:val="24"/>
          <w:szCs w:val="24"/>
          <w:highlight w:val="none"/>
        </w:rPr>
        <w:t xml:space="preserve">，每份均具有同等法律效力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4"/>
        <w:spacing w:line="40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864"/>
        <w:spacing w:line="40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864"/>
        <w:spacing w:line="360" w:lineRule="auto"/>
        <w:rPr>
          <w:rFonts w:hint="eastAsia" w:ascii="宋体" w:hAnsi="宋体"/>
          <w:b/>
          <w:bCs/>
          <w:color w:val="000000"/>
          <w:sz w:val="24"/>
          <w:szCs w:val="22"/>
          <w:highlight w:val="none"/>
        </w:rPr>
      </w:pPr>
      <w:r>
        <w:rPr>
          <w:rFonts w:hint="eastAsia" w:ascii="宋体" w:hAnsi="宋体"/>
          <w:b/>
          <w:bCs/>
          <w:color w:val="000000"/>
          <w:sz w:val="24"/>
          <w:szCs w:val="22"/>
          <w:highlight w:val="none"/>
        </w:rPr>
      </w:r>
      <w:r/>
    </w:p>
    <w:p>
      <w:pPr>
        <w:pStyle w:val="958"/>
        <w:numPr>
          <w:ilvl w:val="0"/>
          <w:numId w:val="0"/>
        </w:numPr>
        <w:ind w:right="0"/>
        <w:jc w:val="both"/>
        <w:keepLines w:val="0"/>
        <w:keepNext w:val="0"/>
        <w:pageBreakBefore w:val="0"/>
        <w:spacing w:after="0" w:line="460" w:lineRule="exact"/>
        <w:widowControl w:val="off"/>
        <w:tabs>
          <w:tab w:val="left" w:pos="1220" w:leader="none"/>
        </w:tabs>
        <w:rPr>
          <w:rFonts w:hint="eastAsia" w:ascii="宋体" w:hAnsi="宋体" w:eastAsia="宋体" w:cs="宋体"/>
          <w:b/>
          <w:bCs/>
          <w:color w:val="000000"/>
          <w:sz w:val="24"/>
          <w:szCs w:val="24"/>
          <w:highlight w:val="none"/>
          <w:lang w:val="en-US" w:eastAsia="zh-CN"/>
        </w:rPr>
      </w:pPr>
      <w:r>
        <w:rPr>
          <w:rFonts w:hint="eastAsia" w:ascii="宋体" w:hAnsi="宋体"/>
          <w:b/>
          <w:bCs/>
          <w:color w:val="000000"/>
          <w:sz w:val="24"/>
          <w:szCs w:val="22"/>
          <w:highlight w:val="none"/>
        </w:rPr>
        <w:br w:type="page" w:clear="all"/>
      </w:r>
      <w:r>
        <w:rPr>
          <w:rFonts w:hint="eastAsia" w:ascii="宋体" w:hAnsi="宋体"/>
          <w:b/>
          <w:bCs/>
          <w:color w:val="000000"/>
          <w:sz w:val="24"/>
          <w:szCs w:val="22"/>
          <w:highlight w:val="none"/>
        </w:rPr>
        <w:t xml:space="preserve">附件一：</w:t>
      </w:r>
      <w:r>
        <w:rPr>
          <w:rFonts w:hint="eastAsia" w:ascii="宋体" w:hAnsi="宋体" w:eastAsia="宋体" w:cs="宋体"/>
          <w:b/>
          <w:bCs/>
          <w:color w:val="000000"/>
          <w:sz w:val="24"/>
          <w:szCs w:val="24"/>
          <w:highlight w:val="none"/>
          <w:lang w:val="en-US" w:eastAsia="zh-CN"/>
        </w:rPr>
      </w:r>
      <w:r/>
    </w:p>
    <w:p>
      <w:pPr>
        <w:pStyle w:val="958"/>
        <w:numPr>
          <w:ilvl w:val="0"/>
          <w:numId w:val="0"/>
        </w:numPr>
        <w:ind w:right="0"/>
        <w:jc w:val="center"/>
        <w:keepLines w:val="0"/>
        <w:keepNext w:val="0"/>
        <w:pageBreakBefore w:val="0"/>
        <w:spacing w:after="0" w:line="460" w:lineRule="exact"/>
        <w:widowControl w:val="off"/>
        <w:tabs>
          <w:tab w:val="left" w:pos="122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月度百分制考核评分细则（总分100分）</w:t>
      </w:r>
      <w:r>
        <w:rPr>
          <w:rFonts w:hint="eastAsia" w:ascii="宋体" w:hAnsi="宋体" w:eastAsia="宋体" w:cs="宋体"/>
          <w:b/>
          <w:bCs/>
          <w:color w:val="000000"/>
          <w:sz w:val="24"/>
          <w:szCs w:val="24"/>
          <w:highlight w:val="none"/>
          <w:lang w:val="en-US" w:eastAsia="zh-CN"/>
        </w:rPr>
      </w:r>
      <w:r/>
    </w:p>
    <w:tbl>
      <w:tblPr>
        <w:tblW w:w="106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2"/>
        <w:gridCol w:w="1744"/>
        <w:gridCol w:w="725"/>
        <w:gridCol w:w="5565"/>
        <w:gridCol w:w="850"/>
        <w:gridCol w:w="859"/>
      </w:tblGrid>
      <w:tr>
        <w:trPr>
          <w:trHeight w:val="408"/>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类别</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考核内容</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5"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565"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扣分标准</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扣分</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864"/>
              <w:jc w:val="center"/>
              <w:spacing w:line="240" w:lineRule="atLeast"/>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得分</w:t>
            </w:r>
            <w:r>
              <w:rPr>
                <w:rFonts w:hint="eastAsia" w:ascii="宋体" w:hAnsi="宋体" w:eastAsia="宋体" w:cs="宋体"/>
                <w:b/>
                <w:bCs/>
                <w:color w:val="000000"/>
                <w:sz w:val="24"/>
                <w:szCs w:val="24"/>
                <w:highlight w:val="none"/>
                <w:lang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河道水面保洁质量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全域河面无漂浮生活垃圾、泡沫、秸秆、动物尸体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处小型漂浮堆积扣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出现连片大面积漂浮物</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处扣</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责令清理拒不整改的扣</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有害水生植物管控达标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木桩内侧滋生水花生/水葫芦，每处扣3分；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无木桩河道水花生蔓延超0.7米，每段扣2分；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闸口、拦截点浮萍覆盖面积超15㎡未及时清理，单次扣2分；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连片黑水草</w:t>
            </w:r>
            <w:r>
              <w:rPr>
                <w:rFonts w:hint="eastAsia" w:ascii="宋体" w:hAnsi="宋体" w:eastAsia="宋体" w:cs="宋体"/>
                <w:color w:val="000000"/>
                <w:sz w:val="21"/>
                <w:szCs w:val="21"/>
                <w:highlight w:val="none"/>
                <w:lang w:val="en-US" w:eastAsia="zh-CN"/>
              </w:rPr>
              <w:t xml:space="preserve">面积达</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lang w:val="en-US" w:eastAsia="zh-CN"/>
              </w:rPr>
              <w:t xml:space="preserve">及以上的</w:t>
            </w:r>
            <w:r>
              <w:rPr>
                <w:rFonts w:hint="eastAsia" w:ascii="宋体" w:hAnsi="宋体" w:eastAsia="宋体" w:cs="宋体"/>
                <w:color w:val="000000"/>
                <w:sz w:val="21"/>
                <w:szCs w:val="21"/>
                <w:highlight w:val="none"/>
              </w:rPr>
              <w:t xml:space="preserve">扣1分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分时段打捞作业落实到位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夏秋季未加密打捞、节假日保洁缺位、暴雨过后3日内未完成全域清漂，每项扣4分；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机械打捞设备闲置、仅依靠人工粗放清理扣5分。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none" w:color="000000" w:sz="0"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河坡修整与垃圾清运（25分）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河坡杂草高度控制在20cm以内，坡面整洁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连片杂草高度超标每处扣2分；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违规使用除草剂除草扣10分并限期整改。</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河坡无积存垃圾、枯枝、杂物堆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发现垃圾杂物堆放点1处扣3分；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存在垃圾就地掩埋、淤泥杂草回倒入河行为，本项扣10分并追加从重扣款。</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none" w:color="000000" w:sz="0"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垃圾规范转运、清运台账完整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无清运台账、清运记录缺失，每次扣2分。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none" w:color="000000" w:sz="0"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人员配置、在岗与作业规范（20分）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人员足额配置，无缺员、长期脱岗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专职巡查员脱岗、保洁人员配置不足，每缺1人扣3分；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岗位长期空岗无人作业，本项扣8分。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统一着装、作业工具齐全完好</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多名作业人员未穿戴统一制式工作服、打捞工具破损缺失未及时更换，每次扣2分。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河段包干责任到人，巡查台账完整规范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无每日巡查记录、无问题整改前后对比影像、台账缺页漏记，每次扣2分。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single" w:color="000000" w:sz="4" w:space="0"/>
              <w:left w:val="single" w:color="000000" w:sz="4" w:space="0"/>
              <w:bottom w:val="none" w:color="000000" w:sz="0"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安全生产、应急处置与配合工作（15分）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水上作业全员规范穿戴救生装备，船只安全设施齐全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多名人员未穿戴救生衣上船作业，单次扣3分；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保洁船只缺失救生圈、救生绳等安全设备扣4分。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特殊天气、汛期、水草爆发期应急处置到位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台风、暴雨结束未按期完成清漂、水生植物大面积爆发未增派人员处置，单次扣3分。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配合各级检查、群众投诉及时整改处置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检查发现问题拖延整改、敷衍整改、隐瞒不报，单次扣2分；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经核实有效群众投诉未及时处置，一次扣1分。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746" w:type="dxa"/>
            <w:vAlign w:val="center"/>
            <w:textDirection w:val="lrTb"/>
            <w:noWrap/>
          </w:tcPr>
          <w:p>
            <w:pPr>
              <w:pStyle w:val="864"/>
              <w:jc w:val="center"/>
              <w:spacing w:line="200" w:lineRule="atLeast"/>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总       分</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center"/>
              <w:spacing w:line="20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bl>
    <w:p>
      <w:pPr>
        <w:pStyle w:val="864"/>
        <w:jc w:val="both"/>
        <w:spacing w:line="360" w:lineRule="auto"/>
        <w:rPr>
          <w:rFonts w:hint="eastAsia" w:ascii="宋体" w:hAnsi="宋体" w:eastAsia="宋体" w:cs="Times New Roman"/>
          <w:b/>
          <w:bCs/>
          <w:color w:val="000000"/>
          <w:sz w:val="24"/>
          <w:szCs w:val="22"/>
          <w:highlight w:val="none"/>
          <w:lang w:val="en-US" w:eastAsia="zh-CN"/>
        </w:rPr>
      </w:pPr>
      <w:r>
        <w:rPr>
          <w:rFonts w:hint="eastAsia" w:ascii="Calibri" w:hAnsi="Calibri" w:eastAsia="宋体" w:cs="Times New Roman"/>
          <w:b/>
          <w:bCs/>
          <w:color w:val="000000"/>
          <w:sz w:val="44"/>
          <w:szCs w:val="44"/>
          <w:highlight w:val="none"/>
        </w:rPr>
        <w:br w:type="page" w:clear="all"/>
      </w:r>
      <w:r>
        <w:rPr>
          <w:rFonts w:hint="eastAsia" w:ascii="宋体" w:hAnsi="宋体" w:eastAsia="宋体" w:cs="Times New Roman"/>
          <w:b/>
          <w:bCs/>
          <w:color w:val="000000"/>
          <w:sz w:val="24"/>
          <w:szCs w:val="22"/>
          <w:highlight w:val="none"/>
          <w:lang w:val="en-US" w:eastAsia="zh-CN"/>
        </w:rPr>
        <w:t xml:space="preserve">附件二：</w:t>
      </w:r>
      <w:r>
        <w:rPr>
          <w:rFonts w:hint="eastAsia" w:ascii="宋体" w:hAnsi="宋体" w:eastAsia="宋体" w:cs="Times New Roman"/>
          <w:b/>
          <w:bCs/>
          <w:color w:val="000000"/>
          <w:sz w:val="24"/>
          <w:szCs w:val="22"/>
          <w:highlight w:val="none"/>
          <w:lang w:val="en-US" w:eastAsia="zh-CN"/>
        </w:rPr>
      </w:r>
      <w:r/>
    </w:p>
    <w:p>
      <w:pPr>
        <w:pStyle w:val="864"/>
        <w:jc w:val="center"/>
        <w:spacing w:line="360" w:lineRule="auto"/>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水域保洁船只使用管理办法</w:t>
      </w:r>
      <w:r>
        <w:rPr>
          <w:rFonts w:hint="eastAsia" w:ascii="宋体" w:hAnsi="宋体"/>
          <w:b/>
          <w:bCs/>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一、作业时间</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水域标段保洁作业时间为上午6:00-10:00、下午14:00—18:00（夏季高温）；</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除规定的休息时间，全天保洁不间断保洁。</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若遇重大活动，乙方应无条件服从甲方对保洁时间的调整。</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每日首次水域保洁工作请见具体要求。</w:t>
      </w:r>
      <w:r>
        <w:rPr>
          <w:rFonts w:hint="eastAsia" w:ascii="宋体" w:hAnsi="宋体"/>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二、船只使用管理</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在管护服务期内成交供应商有责任做好船只的保管和看护工作。保证船只正常作业，进行定期检查、定期检修，不得“带病”工作。</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如果船只（含发动机）出现人为损坏或明显的外表缺损，成交供应商须自行支付维修费用且保证船只的正常使用。</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若成交供应商在使用期内不遵守甲方管理，擅自将船只挪为他用，甲方有权进行处罚，发现一次扣除当月管护费一千元人民币，发现两次扣除当月管护费两千元人民币，若发现三次以上，甲方有权终止协议的权利。</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必须保持船体外观的完好和整洁，每天船只作业结束后必须对船体内外进行一次清洗。此外，成交供应商每周必须对所有保洁船只进行一次集中的保洁清洗，如船体污垢、油渍、青苔的清理，船舱内彻底冲洗等。</w:t>
      </w:r>
      <w:r>
        <w:rPr>
          <w:rFonts w:hint="eastAsia" w:ascii="宋体" w:hAnsi="宋体"/>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三、船只停置</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成交供应商应将船只停靠在甲方指定地点且负有看护责任。若船只遗失，成交供应商必须补齐船只配备的最低数量。若船只遗失，成交供应商必须补齐船只配备的最低数量。</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船只停放时需并排停放整齐。</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非保洁作业时间船只必须停回规定停置地点。</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船只因维修保养等原因不能停回规定地点的需提前报请甲方，由甲方专职管理人员检查核实。</w:t>
      </w:r>
      <w:r>
        <w:rPr>
          <w:rFonts w:hint="eastAsia" w:ascii="宋体" w:hAnsi="宋体"/>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四、船只配置</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所有服务于甲方水域管护标段的船只成交供应商必须配备一只手机（号码报甲方备案），由船只驾驶员随身携带并24小时开机，以便于随时联系调度。</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所有用于水域保洁的船只都需成交供应商自行购买或租赁，购买的船只必须符合甲方的要求。</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每条保洁船只必须配备两件或两件以上的救生衣及一个救生圈，保证船上的驾乘人员人手一件。</w:t>
      </w:r>
      <w:r>
        <w:rPr>
          <w:rFonts w:hint="eastAsia" w:ascii="宋体" w:hAnsi="宋体"/>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五、人员配备及其职责</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做好安全检查工作，做到每天出船前、作业中、作业后对船只进行安全检查，重点检查船只设备是否性能完好，船只、设备及人员是否按操作章程进行作业，船只是否清洗干净、防火、防电、防盗等措施是否到位。</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保洁人员在工作时间内（无论是船上作业还是岸坡作业）必须穿工作服及救生衣。</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做好设备维护，成交供应商负责机械设备日常保养与维修，并做好机械设备日常保养与维修台帐。</w:t>
      </w:r>
      <w:r>
        <w:rPr>
          <w:rFonts w:hint="eastAsia" w:ascii="宋体" w:hAnsi="宋体"/>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六、作业要求</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须根据实际的河面、天气情况选择适当的保洁方式，作业结束后及时清洗、保养船只。</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保持船容整洁，船体外无污物、灰垢，作业船只标志清晰、齐全，保持良好的船容船貌和技术状况。</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按时出船，在规定时间内完成保洁任务。船上作业人员严禁从事与工作无关的内容</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应严格按操作规程作业，作业过程中严禁随意倾倒垃圾，防止造成二次污染。</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保洁船垃圾仓积满后驳运至规定地点并将仓内冲洗干净。</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保洁船只在完成规定的保洁任务后应在保洁责任区内来回巡视，清理、打捞零星垃圾，禁止长时间停船休息。</w:t>
      </w:r>
      <w:r>
        <w:rPr>
          <w:rFonts w:hint="eastAsia" w:ascii="宋体" w:hAnsi="宋体"/>
          <w:color w:val="000000"/>
          <w:sz w:val="24"/>
          <w:szCs w:val="22"/>
          <w:highlight w:val="none"/>
        </w:rPr>
      </w:r>
      <w:r/>
    </w:p>
    <w:p>
      <w:pPr>
        <w:pStyle w:val="864"/>
        <w:ind w:firstLine="482"/>
        <w:spacing w:line="480" w:lineRule="exact"/>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七、成交供应商职责</w:t>
      </w:r>
      <w:r>
        <w:rPr>
          <w:rFonts w:hint="eastAsia" w:ascii="宋体" w:hAnsi="宋体"/>
          <w:b/>
          <w:bCs/>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成交供应商人员在上岗前须详细了解作业范围、熟悉现场情况，制定相应的施工组织计划并上报甲方。</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成交供应商人员在上岗前须进行相应的岗位培训并经考核合格后方能上岗。</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成交供应商须制定相应的负责人岗位责任制、安全员岗位责任制、维修保养岗位责任制等管理制度，并以此进行内部考核。</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成交供应商人员须按甲方要求穿戴统一制服并佩带胸卡。</w:t>
      </w:r>
      <w:r>
        <w:rPr>
          <w:rFonts w:hint="eastAsia" w:ascii="宋体" w:hAnsi="宋体"/>
          <w:color w:val="000000"/>
          <w:sz w:val="24"/>
          <w:szCs w:val="22"/>
          <w:highlight w:val="none"/>
        </w:rPr>
      </w:r>
      <w:r/>
    </w:p>
    <w:p>
      <w:pPr>
        <w:pStyle w:val="864"/>
        <w:ind w:firstLine="480"/>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成交供应商须购买相应的人员商业保险，购买的人员商业险不得低于甲方的最低要求，船只保险由成交供应商自行考虑，所有的船只、人员事故均由成交供应商承担并处理。成交供应商须建立完备的台账资料并随时可提供给甲方。</w:t>
      </w:r>
      <w:r>
        <w:rPr>
          <w:rFonts w:hint="eastAsia" w:ascii="宋体" w:hAnsi="宋体"/>
          <w:color w:val="000000"/>
          <w:sz w:val="24"/>
          <w:szCs w:val="22"/>
          <w:highlight w:val="none"/>
        </w:rPr>
      </w:r>
      <w:r/>
    </w:p>
    <w:p>
      <w:pPr>
        <w:pStyle w:val="864"/>
        <w:ind w:firstLine="480"/>
        <w:jc w:val="center"/>
        <w:spacing w:line="480" w:lineRule="exact"/>
        <w:rPr>
          <w:rFonts w:ascii="Calibri" w:hAnsi="Calibri" w:eastAsia="宋体" w:cs="Times New Roman"/>
          <w:b/>
          <w:bCs/>
          <w:color w:val="000000"/>
          <w:sz w:val="44"/>
          <w:szCs w:val="44"/>
          <w:highlight w:val="none"/>
        </w:rPr>
      </w:pPr>
      <w:r>
        <w:rPr>
          <w:rFonts w:hint="eastAsia" w:ascii="宋体" w:hAnsi="宋体"/>
          <w:color w:val="000000"/>
          <w:sz w:val="24"/>
          <w:szCs w:val="22"/>
          <w:highlight w:val="none"/>
        </w:rPr>
        <w:br w:type="page" w:clear="all"/>
      </w:r>
      <w:r>
        <w:rPr>
          <w:rFonts w:hint="eastAsia" w:ascii="Calibri" w:hAnsi="Calibri" w:eastAsia="宋体" w:cs="Times New Roman"/>
          <w:b/>
          <w:bCs/>
          <w:color w:val="000000"/>
          <w:sz w:val="44"/>
          <w:szCs w:val="44"/>
          <w:highlight w:val="none"/>
        </w:rPr>
        <w:t xml:space="preserve">第</w:t>
      </w:r>
      <w:bookmarkEnd w:id="185"/>
      <w:r>
        <w:rPr>
          <w:rFonts w:hint="eastAsia" w:ascii="Calibri" w:hAnsi="Calibri" w:eastAsia="宋体" w:cs="Times New Roman"/>
          <w:b/>
          <w:bCs/>
          <w:color w:val="000000"/>
          <w:sz w:val="44"/>
          <w:szCs w:val="44"/>
          <w:highlight w:val="none"/>
        </w:rPr>
        <w:t xml:space="preserve">四章 采购需求</w:t>
      </w:r>
      <w:bookmarkEnd w:id="179"/>
      <w:r/>
      <w:bookmarkEnd w:id="181"/>
      <w:r/>
      <w:bookmarkEnd w:id="182"/>
      <w:r/>
      <w:bookmarkEnd w:id="183"/>
      <w:r/>
      <w:bookmarkEnd w:id="184"/>
      <w:r>
        <w:rPr>
          <w:rFonts w:ascii="Calibri" w:hAnsi="Calibri" w:eastAsia="宋体" w:cs="Times New Roman"/>
          <w:b/>
          <w:bCs/>
          <w:color w:val="000000"/>
          <w:sz w:val="44"/>
          <w:szCs w:val="44"/>
          <w:highlight w:val="none"/>
        </w:rPr>
      </w:r>
      <w:r/>
    </w:p>
    <w:p>
      <w:pPr>
        <w:pStyle w:val="864"/>
        <w:jc w:val="both"/>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项目属性:服务类项目。</w:t>
      </w:r>
      <w:r>
        <w:rPr>
          <w:rFonts w:ascii="宋体" w:hAnsi="宋体" w:eastAsia="宋体" w:cs="Times New Roman"/>
          <w:color w:val="000000"/>
          <w:sz w:val="24"/>
          <w:highlight w:val="none"/>
        </w:rPr>
      </w:r>
      <w:r/>
    </w:p>
    <w:p>
      <w:pPr>
        <w:pStyle w:val="864"/>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一、项目背景与政策依据</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持续巩固步凤河以西河道综合整治成效，常态化维护区域水生态、水环境，实现河道长效标准化管护，依据《江苏省农村河道管护办法》《盐城市河道管理办法》《盐城市关于切实加强全市农村河道管护工作实施意见》等省、市、镇级河道管护相关文件规定，结合步凤河以西全域河道分布、长度、岸线现状，实施本河道保洁专业服务采购项目。本项目服务周期</w:t>
      </w:r>
      <w:r>
        <w:rPr>
          <w:rFonts w:hint="eastAsia" w:ascii="宋体" w:hAnsi="宋体" w:eastAsia="宋体" w:cs="宋体"/>
          <w:color w:val="000000"/>
          <w:sz w:val="24"/>
          <w:szCs w:val="24"/>
          <w:highlight w:val="none"/>
          <w:lang w:val="en-US" w:eastAsia="zh-CN"/>
        </w:rPr>
        <w:t xml:space="preserve">为一年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二、管护范围与标段划分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步凤河以西全域河道总管护里程</w:t>
      </w: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km，以黄巷渠为界划分为两个独立标段，分标段实施常态化保洁、巡查、河坡整治、垃圾清运、应急处置全流程服务：</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1.采购包1</w:t>
      </w:r>
      <w:r>
        <w:rPr>
          <w:rFonts w:hint="eastAsia" w:ascii="宋体" w:hAnsi="宋体" w:eastAsia="宋体" w:cs="宋体"/>
          <w:color w:val="000000"/>
          <w:sz w:val="24"/>
          <w:szCs w:val="24"/>
          <w:highlight w:val="none"/>
        </w:rPr>
        <w:t xml:space="preserve">（黄巷渠以</w:t>
      </w:r>
      <w:r>
        <w:rPr>
          <w:rFonts w:hint="eastAsia" w:ascii="宋体" w:hAnsi="宋体" w:eastAsia="宋体" w:cs="宋体"/>
          <w:color w:val="000000"/>
          <w:sz w:val="24"/>
          <w:szCs w:val="24"/>
          <w:highlight w:val="none"/>
          <w:lang w:val="en-US" w:eastAsia="zh-CN"/>
        </w:rPr>
        <w:t xml:space="preserve">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管护河道总长56km，覆盖友谊村、友权村、板土居、伍龙居4个村（居）全部河道水系</w:t>
      </w:r>
      <w:r>
        <w:rPr>
          <w:rFonts w:hint="eastAsia" w:ascii="宋体" w:hAnsi="宋体"/>
          <w:color w:val="000000"/>
          <w:sz w:val="24"/>
          <w:szCs w:val="22"/>
          <w:highlight w:val="none"/>
        </w:rPr>
        <w:t xml:space="preserve">（河道详见清单）</w:t>
      </w:r>
      <w:r>
        <w:rPr>
          <w:rFonts w:hint="eastAsia" w:ascii="宋体" w:hAnsi="宋体" w:eastAsia="宋体" w:cs="宋体"/>
          <w:color w:val="000000"/>
          <w:sz w:val="24"/>
          <w:szCs w:val="24"/>
          <w:highlight w:val="none"/>
        </w:rPr>
        <w:t xml:space="preserve">；配置保洁服务人员15人，其中专职河道巡查员1名。</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2.采购包2</w:t>
      </w:r>
      <w:r>
        <w:rPr>
          <w:rFonts w:hint="eastAsia" w:ascii="宋体" w:hAnsi="宋体" w:eastAsia="宋体" w:cs="宋体"/>
          <w:color w:val="000000"/>
          <w:sz w:val="24"/>
          <w:szCs w:val="24"/>
          <w:highlight w:val="none"/>
        </w:rPr>
        <w:t xml:space="preserve">（黄巷渠以</w:t>
      </w:r>
      <w:r>
        <w:rPr>
          <w:rFonts w:hint="eastAsia" w:ascii="宋体" w:hAnsi="宋体" w:eastAsia="宋体" w:cs="宋体"/>
          <w:color w:val="000000"/>
          <w:sz w:val="24"/>
          <w:szCs w:val="24"/>
          <w:highlight w:val="none"/>
          <w:lang w:val="en-US" w:eastAsia="zh-CN"/>
        </w:rPr>
        <w:t xml:space="preserve">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管护河道总长65km，覆盖王姚、烈士、庆元、元坎4个行政村全部河道水系</w:t>
      </w:r>
      <w:r>
        <w:rPr>
          <w:rFonts w:hint="eastAsia" w:ascii="宋体" w:hAnsi="宋体"/>
          <w:color w:val="000000"/>
          <w:sz w:val="24"/>
          <w:szCs w:val="22"/>
          <w:highlight w:val="none"/>
        </w:rPr>
        <w:t xml:space="preserve">（河道详见清单）</w:t>
      </w:r>
      <w:r>
        <w:rPr>
          <w:rFonts w:hint="eastAsia" w:ascii="宋体" w:hAnsi="宋体" w:eastAsia="宋体" w:cs="宋体"/>
          <w:color w:val="000000"/>
          <w:sz w:val="24"/>
          <w:szCs w:val="24"/>
          <w:highlight w:val="none"/>
        </w:rPr>
        <w:t xml:space="preserve">；配置保洁服务人员17人，其中专职河道巡查员1名。</w:t>
      </w:r>
      <w:r>
        <w:rPr>
          <w:rFonts w:hint="eastAsia" w:ascii="宋体" w:hAnsi="宋体" w:eastAsia="宋体" w:cs="宋体"/>
          <w:color w:val="000000"/>
          <w:sz w:val="24"/>
          <w:szCs w:val="24"/>
          <w:highlight w:val="none"/>
        </w:rPr>
      </w:r>
      <w:r/>
    </w:p>
    <w:p>
      <w:pPr>
        <w:pStyle w:val="864"/>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三、总体管护目标</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严格落实 “水清、河畅、岸绿、景美” 总体工作标准，全域河道持续达到河面无漂浮杂草垃圾、河中无障碍阻水物、河岸无积存生活垃圾“三无” 管护标准，常态化抑制有害水生植物蔓延，规范河坡管护，妥善处置各类河道突发问题，构建标准化、常态化、长效化河道管护体系。</w:t>
      </w:r>
      <w:r>
        <w:rPr>
          <w:rFonts w:hint="eastAsia" w:ascii="宋体" w:hAnsi="宋体" w:eastAsia="宋体" w:cs="宋体"/>
          <w:color w:val="000000"/>
          <w:sz w:val="24"/>
          <w:szCs w:val="24"/>
          <w:highlight w:val="none"/>
        </w:rPr>
      </w:r>
      <w:r/>
    </w:p>
    <w:p>
      <w:pPr>
        <w:pStyle w:val="864"/>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河道保洁服务专项要求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水面保洁及水生植物清理服务标准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全域水面常态化保洁要求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全年不间断开展水面打捞作业，所有河道水面不得积存塑料袋、泡沫、枯枝、秸秆、生活垃圾、动物尸体等各类漂浮物，做到随产随清，无大面积堆积。</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生态河道木桩管控标准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实施木桩护岸的生态河道，木桩内侧水域严禁滋生水花生、水葫芦等有害水生植物，做到无成片覆盖；无木桩护岸河道，水花生、水葫芦等有害水生植物向水岸延伸宽度不得超过0.7米，超出部分必须当日清理完毕。</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拦截点、闸口浮萍管控标准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河道拦截坝、闸口、桥梁回水段浮萍、水草累计覆盖面积不得超过15㎡，超出面积须24小时内完成打捞清理，杜绝浮萍连片扩散。</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分时段作业强度要求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夏秋季（5—10月）水生植物爆发期：增加打捞频次，每日不少于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轮全域巡回打捞，安排增派人手专项清理水花生、水葫芦；</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汛期、台风暴雨后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日内完成全域漂浮物、倒伏杂草、淤泥杂物清理；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法定节假日、重大活动期间加密巡查打捞频次，保障河道景观整洁。</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人员作业配比标准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全年平均保洁作业人力配置不低于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公里，确保管护力量充足，杜绝缺人、脱岗、作业断档。</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河坡修整、绿化管护服务要求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杂草管控标准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全域河道两岸河坡杂草高度常年控制在20cm以内，分季度集中修剪、人工割除，每月巡回修整，保持坡面平整整洁。严禁使用除草剂、除草药剂，全部采用人工清理方式，保护水体与土壤生态。</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坡面杂物清理标准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河坡、滩地、堤岸无散落白色垃圾、建筑垃圾、枯枝落叶、农作物秸秆、废弃农具，无垃圾堆、杂物堆；枯死树木、倒伏枝干及时清运，坡面无乱堆乱放。</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差异化植被管护要求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河坡原生生态苗木、鸢尾、景观树木不属于修剪清除范围，仅清理苗木周边杂草、垃圾，保证苗木正常生长，不得随意砍伐、损毁生态绿植。</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岸线管控辅助工作</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配合各村（居）开展河坡禁种管控，及时劝阻、上报河道坡岸违规种植农作物行为，协助镇村开展岸线生态保护。</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河道垃圾收集转运处置要求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水面打捞漂浮物、河坡清理垃圾、枯枝杂草全部统一归集，密闭转运至镇村指定环卫收集点，纳入城镇环卫一体化体系集中处置，严禁就地焚烧、就地掩埋、向河道回倒垃圾淤泥。</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作业现场不得遗留散落垃圾，打捞、清理完成后做到人走场清，杜绝二次污染河道、岸坡。</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建立垃圾清运台账，记录每日垃圾清运时段、清运点位、清运量，备查。</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人员配置、管理及着装规范</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人员定员硬性要求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固定配置15人（保洁14人+专职巡查1人）；</w:t>
      </w:r>
      <w:r>
        <w:rPr>
          <w:rFonts w:hint="eastAsia" w:ascii="宋体" w:hAnsi="宋体" w:cs="宋体"/>
          <w:color w:val="000000"/>
          <w:sz w:val="24"/>
          <w:highlight w:val="none"/>
          <w:lang w:val="en-US" w:eastAsia="zh-CN"/>
        </w:rPr>
        <w:t xml:space="preserve">采购包2：</w:t>
      </w:r>
      <w:r>
        <w:rPr>
          <w:rFonts w:hint="eastAsia" w:ascii="宋体" w:hAnsi="宋体" w:cs="宋体"/>
          <w:color w:val="000000"/>
          <w:sz w:val="24"/>
          <w:highlight w:val="none"/>
        </w:rPr>
        <w:t xml:space="preserve">固定配置17人（保洁16人+专职巡查1人），</w:t>
      </w:r>
      <w:r>
        <w:rPr>
          <w:rFonts w:hint="eastAsia" w:ascii="宋体" w:hAnsi="宋体" w:eastAsia="宋体" w:cs="宋体"/>
          <w:color w:val="000000"/>
          <w:sz w:val="24"/>
          <w:szCs w:val="24"/>
          <w:highlight w:val="none"/>
        </w:rPr>
        <w:t xml:space="preserve">人员不得缺岗、兼职顶替，不得随意缩减用工数量。</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巡查人员专职职责</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w:t>
      </w:r>
      <w:r>
        <w:rPr>
          <w:rFonts w:hint="eastAsia" w:ascii="宋体" w:hAnsi="宋体" w:eastAsia="宋体" w:cs="宋体"/>
          <w:color w:val="000000"/>
          <w:sz w:val="24"/>
          <w:szCs w:val="24"/>
          <w:highlight w:val="none"/>
          <w:lang w:val="en-US" w:eastAsia="zh-CN"/>
        </w:rPr>
        <w:t xml:space="preserve">个分包</w:t>
      </w:r>
      <w:r>
        <w:rPr>
          <w:rFonts w:hint="eastAsia" w:ascii="宋体" w:hAnsi="宋体" w:eastAsia="宋体" w:cs="宋体"/>
          <w:color w:val="000000"/>
          <w:sz w:val="24"/>
          <w:szCs w:val="24"/>
          <w:highlight w:val="none"/>
        </w:rPr>
        <w:t xml:space="preserve">巡查员每日全域分段巡查，核查保洁人员到岗、作业质量、安全防护、设施完好情况，逐日填写标准化巡查台账，拍照留存现场影像，发现管护问题立即安排人员整改，同步上报镇村管理部门。</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统一形象管理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全体保洁、巡查人员统一采购制式工作服、反光安全标识，配备打捞耙、网兜、割草工具、手套、收纳筐等全套作业工具，工具损坏</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小时内更换补齐。</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人员台账管理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乙方建立完整人员花名册、考勤台账，每日签到，镇级、村级管理人员可随时抽查在岗情况，严禁长期空岗、脱岗。</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作业设备配置要求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按标段管护长度</w:t>
      </w:r>
      <w:r>
        <w:rPr>
          <w:rFonts w:hint="eastAsia" w:ascii="宋体" w:hAnsi="宋体" w:eastAsia="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1艘</w:t>
      </w:r>
      <w:r>
        <w:rPr>
          <w:rFonts w:hint="eastAsia" w:ascii="宋体" w:hAnsi="宋体" w:eastAsia="宋体" w:cs="宋体"/>
          <w:color w:val="000000"/>
          <w:sz w:val="24"/>
          <w:szCs w:val="24"/>
          <w:highlight w:val="none"/>
        </w:rPr>
        <w:t xml:space="preserve">保洁作业船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保洁铁船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1艘水草收集船</w:t>
      </w:r>
      <w:r>
        <w:rPr>
          <w:rFonts w:hint="eastAsia" w:ascii="宋体" w:hAnsi="宋体" w:eastAsia="宋体" w:cs="宋体"/>
          <w:color w:val="000000"/>
          <w:sz w:val="24"/>
          <w:szCs w:val="24"/>
          <w:highlight w:val="none"/>
        </w:rPr>
        <w:t xml:space="preserve">，所有船只证照齐全、持证驾驶，定期检修保养，无破损漏水、动力故障。</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必须</w:t>
      </w:r>
      <w:r>
        <w:rPr>
          <w:rFonts w:hint="eastAsia" w:ascii="宋体" w:hAnsi="宋体" w:eastAsia="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配</w:t>
      </w:r>
      <w:r>
        <w:rPr>
          <w:rFonts w:hint="eastAsia" w:ascii="宋体" w:hAnsi="宋体" w:eastAsia="宋体" w:cs="宋体"/>
          <w:color w:val="000000"/>
          <w:sz w:val="24"/>
          <w:szCs w:val="24"/>
          <w:highlight w:val="none"/>
          <w:lang w:val="en-US" w:eastAsia="zh-CN"/>
        </w:rPr>
        <w:t xml:space="preserve">备1台割草机，可按需配备机械碎草船</w:t>
      </w:r>
      <w:r>
        <w:rPr>
          <w:rFonts w:hint="eastAsia" w:ascii="宋体" w:hAnsi="宋体" w:eastAsia="宋体" w:cs="宋体"/>
          <w:color w:val="000000"/>
          <w:sz w:val="24"/>
          <w:szCs w:val="24"/>
          <w:highlight w:val="none"/>
        </w:rPr>
        <w:t xml:space="preserve">，提升大面积水生植物集中清理效率，纯人工打捞仅作为辅助手段。</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船只标配救生圈、救生绳、警示标识、垃圾收纳箱，定期检查安全设备有效性，缺失、损坏立即更换。</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上述5.1和5.2（机械碎草船除外）为满足服务需求必须配备的作业设备，设备为投标人自有的，投标时需提供设备图片及购买发票原件扫描件，发票购买方名称需与投标人名称一致；设备为投标人租赁的，投标时需提供设备图片及租赁合同（协议）扫描件。未提供的符合性审查不通过。</w:t>
      </w:r>
      <w:r>
        <w:rPr>
          <w:rFonts w:ascii="宋体" w:hAnsi="宋体" w:eastAsia="宋体" w:cs="宋体"/>
          <w:color w:val="000000"/>
          <w:sz w:val="24"/>
          <w:szCs w:val="24"/>
          <w:highlight w:val="none"/>
          <w:lang w:val="en-US" w:eastAsia="zh-CN"/>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安全生产作业硬性要求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所有水上作业人员作业全程穿戴救生衣、防滑劳保鞋，未穿戴防护装备严禁下水、上船作业。</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河道桥梁、闸口、深水段、陡坡作业区域设置安全警示标识，夜间及恶劣天气停止水上作业。</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rPr>
        <w:t xml:space="preserve">高温酷暑时段调整作业时段，避开正午高温，配备防暑药品、饮用水；冬季雨雪冰冻天气做好防滑、防冻保护。</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台风、暴雨、强对流天气停止水上作业，提前加固保洁船只、工具，雨后第一时间开展全域巡查，排查河道堵塞、漂浮物堆积隐患。</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定期开展全员安全培训，留存培训记录；发生落水、摔伤等安全事故由乙方承担全部责任及经济损失。</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巡查、台账及公示管理要求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三级巡查配合义务</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乙方配合落实村级每日巡查、镇农村办每周督查、镇级无人机月度航拍巡查工作，巡查人员全程陪同，对各级检查发现问题限时整改，整改前后拍照存档。</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全套台账建立要求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每日规范填写台账资料，包含：人员考勤在岗记录、每日巡查记录表、水面打捞作业记录、河坡修整记录、垃圾清运台账、问题整改前后影像、月度考核资料，纸质台账按月装订，电子影像资料同步存档，随时接受镇农村办查阅。</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rPr>
        <w:t xml:space="preserve">管护公示维护</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配合镇村在河道显著位置管护公示牌，保持公示牌干净完好，管护人、监督电话、管护范围信息清晰，公示牌损坏及时上报协助修复。</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应急处置专项服务要求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突发污染、违建、填河处置</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巡查中发现河道污水直排、违法搭建、违规填河、盗挖河道等违法行为，第一时间拍照取证、上报镇农村办，配合职能部门现场处置。</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汛期应急保障</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汛期加密每日巡查频次，重点清理闸口、涵洞、河道交叉口阻水杂草、垃圾，保障行洪畅通；暴雨、台风结束 3 日内完成全域漂浮物、倒伏杂物清理。</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大面积水草爆发应急</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夏秋季水花生、水葫芦大面积爆发时，乙方须增派人员、启用机械打捞设备，7 日内完成全域集中清理，杜绝连片覆盖水面。</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节假日保障</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春节、端午、中秋、国庆等重大节假日提前开展全域集中清理，节假日期间每日正常巡回保洁，保障河道景观。</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禁止性管理条款</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rPr>
        <w:t xml:space="preserve">严禁保洁人员、巡查人员向河道、河坡倾倒垃圾、淤泥、杂草，一经查实，立即取消管护服务资格，扣除全部当期服务费用，并依法追究相关责任。</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color w:val="000000"/>
          <w:sz w:val="24"/>
          <w:szCs w:val="24"/>
          <w:highlight w:val="none"/>
        </w:rPr>
        <w:t xml:space="preserve">不得损毁河道生态苗木、护岸设施、水利标识、公示牌。</w:t>
      </w:r>
      <w:r>
        <w:rPr>
          <w:rFonts w:hint="eastAsia" w:ascii="宋体" w:hAnsi="宋体" w:eastAsia="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不得擅自缩减保洁人员、减少作业频次、停用打捞机械设备。</w:t>
      </w:r>
      <w:r>
        <w:rPr>
          <w:rFonts w:hint="eastAsia" w:ascii="宋体" w:hAnsi="宋体" w:eastAsia="宋体" w:cs="宋体"/>
          <w:color w:val="000000"/>
          <w:sz w:val="24"/>
          <w:szCs w:val="24"/>
          <w:highlight w:val="none"/>
        </w:rPr>
      </w:r>
      <w:r/>
    </w:p>
    <w:p>
      <w:pPr>
        <w:pStyle w:val="864"/>
        <w:numPr>
          <w:ilvl w:val="0"/>
          <w:numId w:val="0"/>
        </w:numPr>
        <w:ind w:firstLine="48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lang w:val="en-US" w:eastAsia="zh-CN"/>
        </w:rPr>
        <w:t xml:space="preserve">月度百分制考核管理办法</w:t>
      </w:r>
      <w:r>
        <w:rPr>
          <w:rFonts w:hint="eastAsia" w:ascii="宋体" w:hAnsi="宋体" w:eastAsia="宋体" w:cs="宋体"/>
          <w:color w:val="000000"/>
          <w:sz w:val="24"/>
          <w:szCs w:val="24"/>
          <w:highlight w:val="none"/>
          <w:lang w:val="en-US" w:eastAsia="zh-CN"/>
        </w:rPr>
      </w:r>
      <w:r/>
    </w:p>
    <w:p>
      <w:pPr>
        <w:pStyle w:val="864"/>
        <w:numPr>
          <w:ilvl w:val="0"/>
          <w:numId w:val="0"/>
        </w:numPr>
        <w:ind w:firstLine="48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1.考核总则</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1.1考核主体：各村（居）为辖区河道管护考核主体，每月组织1次全覆盖现场考核，镇农村办对各村考核结果进行复核抽查；考核实行百分制，考核结果直接与月度、季度服务费用拨付挂钩。</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1.2考核频次：每月末5个工作日内完成当月现场考核，同步形成书面考核评分表、现场问题照片台账，考核结果次月同步用于季度费用结算扣款。</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1.3扣款规则：月度考核得分≥90分，不扣减当期管护服务费；得分＜90分，每低1分扣除服务费200元，当月考核扣款统一在当季度付款中一次性扣减。</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1.4考核依据：现场实地检查、无人机航拍影像、日常巡查台账、人员在岗抽查、安全作业记录、群众投诉举报整改情况综合计分。</w:t>
      </w:r>
      <w:r>
        <w:rPr>
          <w:rFonts w:hint="eastAsia" w:ascii="宋体" w:hAnsi="宋体" w:eastAsia="宋体" w:cs="宋体"/>
          <w:color w:val="000000"/>
          <w:sz w:val="24"/>
          <w:szCs w:val="24"/>
          <w:highlight w:val="none"/>
          <w:lang w:val="en-US" w:eastAsia="zh-CN"/>
        </w:rPr>
      </w:r>
      <w:r/>
    </w:p>
    <w:p>
      <w:pPr>
        <w:pStyle w:val="864"/>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rPr>
        <w:t xml:space="preserve">月度百分制考核评分细则（总分100分）</w:t>
      </w:r>
      <w:r>
        <w:rPr>
          <w:rFonts w:hint="eastAsia" w:ascii="宋体" w:hAnsi="宋体" w:eastAsia="宋体" w:cs="宋体"/>
          <w:b/>
          <w:bCs/>
          <w:color w:val="000000"/>
          <w:sz w:val="24"/>
          <w:szCs w:val="24"/>
          <w:highlight w:val="none"/>
          <w:lang w:val="en-US" w:eastAsia="zh-CN"/>
        </w:rPr>
      </w:r>
      <w:r/>
    </w:p>
    <w:tbl>
      <w:tblPr>
        <w:tblW w:w="106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2"/>
        <w:gridCol w:w="1744"/>
        <w:gridCol w:w="725"/>
        <w:gridCol w:w="5565"/>
        <w:gridCol w:w="850"/>
        <w:gridCol w:w="859"/>
      </w:tblGrid>
      <w:tr>
        <w:trPr>
          <w:trHeight w:val="408"/>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类别</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考核内容</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5"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565"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扣分标准</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864"/>
              <w:jc w:val="center"/>
              <w:spacing w:line="2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扣分</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9" w:type="dxa"/>
            <w:vAlign w:val="center"/>
            <w:textDirection w:val="lrTb"/>
            <w:noWrap/>
          </w:tcPr>
          <w:p>
            <w:pPr>
              <w:pStyle w:val="864"/>
              <w:jc w:val="center"/>
              <w:spacing w:line="240" w:lineRule="atLeast"/>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得分</w:t>
            </w:r>
            <w:r>
              <w:rPr>
                <w:rFonts w:hint="eastAsia" w:ascii="宋体" w:hAnsi="宋体" w:eastAsia="宋体" w:cs="宋体"/>
                <w:b/>
                <w:bCs/>
                <w:color w:val="000000"/>
                <w:sz w:val="24"/>
                <w:szCs w:val="24"/>
                <w:highlight w:val="none"/>
                <w:lang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河道水面保洁质量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全域河面无漂浮生活垃圾、泡沫、秸秆、动物尸体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处小型漂浮堆积扣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出现连片大面积漂浮物</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处扣</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责令清理拒不整改的扣</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有害水生植物管控达标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木桩内侧滋生水花生/水葫芦，每处扣3分；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无木桩河道水花生蔓延超0.7米，每段扣2分；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闸口、拦截点浮萍覆盖面积超15㎡未及时清理，单次扣2分；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连片黑水草</w:t>
            </w:r>
            <w:r>
              <w:rPr>
                <w:rFonts w:hint="eastAsia" w:ascii="宋体" w:hAnsi="宋体" w:eastAsia="宋体" w:cs="宋体"/>
                <w:color w:val="000000"/>
                <w:sz w:val="21"/>
                <w:szCs w:val="21"/>
                <w:highlight w:val="none"/>
                <w:lang w:val="en-US" w:eastAsia="zh-CN"/>
              </w:rPr>
              <w:t xml:space="preserve">面积达</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lang w:val="en-US" w:eastAsia="zh-CN"/>
              </w:rPr>
              <w:t xml:space="preserve">及以上的</w:t>
            </w:r>
            <w:r>
              <w:rPr>
                <w:rFonts w:hint="eastAsia" w:ascii="宋体" w:hAnsi="宋体" w:eastAsia="宋体" w:cs="宋体"/>
                <w:color w:val="000000"/>
                <w:sz w:val="21"/>
                <w:szCs w:val="21"/>
                <w:highlight w:val="none"/>
              </w:rPr>
              <w:t xml:space="preserve">扣1分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分时段打捞作业落实到位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夏秋季未加密打捞、节假日保洁缺位、暴雨过后3日内未完成全域清漂，每项扣4分；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机械打捞设备闲置、仅依靠人工粗放清理扣5分。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none" w:color="000000" w:sz="0"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河坡修整与垃圾清运（25分）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河坡杂草高度控制在20cm以内，坡面整洁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连片杂草高度超标每处扣2分；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违规使用除草剂除草扣10分并限期整改。</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河坡无积存垃圾、枯枝、杂物堆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发现垃圾杂物堆放点1处扣3分；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存在垃圾就地掩埋、淤泥杂草回倒入河行为，本项扣10分并追加从重扣款。</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none" w:color="000000" w:sz="0"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垃圾规范转运、清运台账完整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无清运台账、清运记录缺失，每次扣2分。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single" w:color="000000" w:sz="4" w:space="0"/>
              <w:left w:val="single" w:color="000000" w:sz="4" w:space="0"/>
              <w:bottom w:val="none" w:color="000000" w:sz="0"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人员配置、在岗与作业规范（20分）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人员足额配置，无缺员、长期脱岗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专职巡查员脱岗、保洁人员配置不足，每缺1人扣3分；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岗位长期空岗无人作业，本项扣8分。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统一着装、作业工具齐全完好</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多名作业人员未穿戴统一制式工作服、打捞工具破损缺失未及时更换，每次扣2分。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河段包干责任到人，巡查台账完整规范</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无每日巡查记录、无问题整改前后对比影像、台账缺页漏记，每次扣2分。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single" w:color="000000" w:sz="4" w:space="0"/>
              <w:left w:val="single" w:color="000000" w:sz="4" w:space="0"/>
              <w:bottom w:val="none" w:color="000000" w:sz="0" w:space="0"/>
              <w:right w:val="single" w:color="000000" w:sz="4" w:space="0"/>
            </w:tcBorders>
            <w:tcW w:w="862"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安全生产、应急处置与配合工作（15分）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水上作业全员规范穿戴救生装备，船只安全设施齐全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多名人员未穿戴救生衣上船作业，单次扣3分；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保洁船只缺失救生圈、救生绳等安全设备扣4分。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特殊天气、汛期、水草爆发期应急处置到位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
              </w:rPr>
              <w:t xml:space="preserve">台风、暴雨结束未按期完成清漂、水生植物大面积爆发未增派人员处置，单次扣3分。</w:t>
            </w:r>
            <w:r>
              <w:rPr>
                <w:rFonts w:hint="eastAsia"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Borders>
              <w:top w:val="none" w:color="000000" w:sz="0" w:space="0"/>
              <w:left w:val="single" w:color="000000" w:sz="4" w:space="0"/>
              <w:bottom w:val="none" w:color="000000" w:sz="0"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744"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配合各级检查、群众投诉及时整改处置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25" w:type="dxa"/>
            <w:vAlign w:val="center"/>
            <w:vMerge w:val="restart"/>
            <w:textDirection w:val="lrTb"/>
            <w:noWrap/>
          </w:tcPr>
          <w:p>
            <w:pPr>
              <w:pStyle w:val="864"/>
              <w:jc w:val="center"/>
              <w:spacing w:line="20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检查发现问题拖延整改、敷衍整改、隐瞒不报，单次扣2分；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9" w:type="dxa"/>
            <w:vAlign w:val="center"/>
            <w:vMerge w:val="restart"/>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single" w:color="000000" w:sz="4" w:space="0"/>
              <w:right w:val="single" w:color="000000" w:sz="4" w:space="0"/>
            </w:tcBorders>
            <w:tcW w:w="862"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744"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725" w:type="dxa"/>
            <w:vAlign w:val="center"/>
            <w:vMerge w:val="continue"/>
            <w:textDirection w:val="lrTb"/>
            <w:noWrap/>
          </w:tcPr>
          <w:p>
            <w:pPr>
              <w:pStyle w:val="864"/>
              <w:jc w:val="center"/>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经核实有效群众投诉未及时处置，一次扣1分。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859" w:type="dxa"/>
            <w:vAlign w:val="center"/>
            <w:vMerge w:val="continue"/>
            <w:textDirection w:val="lrTb"/>
            <w:noWrap/>
          </w:tcPr>
          <w:p>
            <w:pPr>
              <w:pStyle w:val="864"/>
              <w:jc w:val="left"/>
              <w:spacing w:line="20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W w:w="9746" w:type="dxa"/>
            <w:vAlign w:val="center"/>
            <w:textDirection w:val="lrTb"/>
            <w:noWrap/>
          </w:tcPr>
          <w:p>
            <w:pPr>
              <w:pStyle w:val="864"/>
              <w:jc w:val="center"/>
              <w:spacing w:line="200" w:lineRule="atLeast"/>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总       分</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864"/>
              <w:jc w:val="center"/>
              <w:spacing w:line="20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bl>
    <w:p>
      <w:pPr>
        <w:pStyle w:val="864"/>
        <w:numPr>
          <w:ilvl w:val="0"/>
          <w:numId w:val="0"/>
        </w:numPr>
        <w:ind w:firstLine="482"/>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3.考核结果运用</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3.1季度付款结算</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u w:val="none"/>
          <w:lang w:val="en-US" w:eastAsia="zh-CN"/>
        </w:rPr>
        <w:t xml:space="preserve">合同签订后，甲方支付合同价的30%作为本项目的预付款（签订合同时，乙方明确表示无需预付款的或主动要求降低预付款比例的，可作出相应调整），余款按照合同总价的70%除以12为每月支付的价款，对照考核办法，采用当月考核，根据考核结果扣除处罚后，按季度支付服务费用。</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3.2年终综合考核挂钩</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全年12个月月度考核平均分作为年终综合考核得分： </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全年平均分≥90分：年度管护达标；</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全年平均分＜80分：视为管护不合格，终止服务；</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多次考核得分低于70分、存在重大管护失职、安全事故、群众集中投诉，由镇纪委约谈村居责任主体，同步约束乙方履约。</w:t>
      </w:r>
      <w:r>
        <w:rPr>
          <w:rFonts w:hint="eastAsia" w:ascii="宋体" w:hAnsi="宋体" w:eastAsia="宋体" w:cs="宋体"/>
          <w:color w:val="000000"/>
          <w:sz w:val="24"/>
          <w:szCs w:val="24"/>
          <w:highlight w:val="none"/>
          <w:lang w:val="en-US" w:eastAsia="zh-CN"/>
        </w:rPr>
      </w:r>
      <w:r/>
    </w:p>
    <w:p>
      <w:pPr>
        <w:pStyle w:val="864"/>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3.3公众监督联动扣分</w:t>
      </w:r>
      <w:r>
        <w:rPr>
          <w:rFonts w:hint="eastAsia" w:ascii="宋体" w:hAnsi="宋体" w:eastAsia="宋体" w:cs="宋体"/>
          <w:color w:val="000000"/>
          <w:sz w:val="24"/>
          <w:szCs w:val="24"/>
          <w:highlight w:val="none"/>
          <w:lang w:val="en-US" w:eastAsia="zh-CN"/>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管护公示牌收到群众有效投诉，经核实未及时处置整改，当月考核扣3分/次；投诉属实且长期不作为，社会舆论造成严重影响的加倍扣分，被省市区通报的分别扣省10分、市5分、区3分。</w:t>
      </w:r>
      <w:r>
        <w:rPr>
          <w:rFonts w:hint="eastAsia" w:ascii="宋体" w:hAnsi="宋体" w:cs="宋体"/>
          <w:color w:val="000000"/>
          <w:sz w:val="24"/>
          <w:szCs w:val="24"/>
          <w:highlight w:val="none"/>
        </w:rPr>
      </w:r>
      <w:r/>
    </w:p>
    <w:p>
      <w:pPr>
        <w:pStyle w:val="864"/>
        <w:ind w:firstLine="482"/>
        <w:keepLines w:val="0"/>
        <w:keepNext w:val="0"/>
        <w:pageBreakBefore w:val="0"/>
        <w:spacing w:line="48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、投标报价说明</w:t>
      </w:r>
      <w:r>
        <w:rPr>
          <w:rFonts w:hint="eastAsia" w:ascii="宋体" w:hAnsi="宋体" w:cs="宋体"/>
          <w:b/>
          <w:bCs/>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在投报价格时应充分考虑以下因素：</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各</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应结合现场实际情况和河道保洁服务基本要求进行报价。</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报价应考虑整个承包期限内的河道涉及的全部保洁内容。</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报价应充分考虑保洁服务期间各种潜在风险，包括工人的意外伤害、落水等造成人员伤亡及财产损失及赔偿的风险。</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保洁服务人员的安全管理、保险及相关费用。</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实际保洁服务周期不足招标预定服务周期的报价风险（服务周期具体起止时间按照合同中的约定）。</w:t>
      </w:r>
      <w:r>
        <w:rPr>
          <w:rFonts w:hint="eastAsia" w:ascii="宋体" w:hAnsi="宋体" w:cs="宋体"/>
          <w:color w:val="000000"/>
          <w:sz w:val="24"/>
          <w:szCs w:val="24"/>
          <w:highlight w:val="none"/>
        </w:rPr>
      </w:r>
      <w:r/>
    </w:p>
    <w:p>
      <w:pPr>
        <w:pStyle w:val="864"/>
        <w:ind w:firstLine="482"/>
        <w:keepLines w:val="0"/>
        <w:keepNext w:val="0"/>
        <w:pageBreakBefore w:val="0"/>
        <w:spacing w:line="48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、其它综合说明： </w:t>
      </w:r>
      <w:r>
        <w:rPr>
          <w:rFonts w:hint="eastAsia" w:ascii="宋体" w:hAnsi="宋体" w:cs="宋体"/>
          <w:b/>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中标人需</w:t>
      </w:r>
      <w:r>
        <w:rPr>
          <w:rFonts w:hint="eastAsia" w:ascii="宋体" w:hAnsi="宋体" w:cs="宋体"/>
          <w:color w:val="000000"/>
          <w:sz w:val="24"/>
          <w:szCs w:val="24"/>
          <w:highlight w:val="none"/>
        </w:rPr>
        <w:t xml:space="preserve">按照本</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文件的要求对</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rPr>
        <w:t xml:space="preserve">项目进行服务工作。</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必须对</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文件中提出的全部服务要求进行响应投标，如果以其中某些条款不响应时，应在文件中逐条列出，未列出的视同响应。</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对</w:t>
      </w:r>
      <w:r>
        <w:rPr>
          <w:rFonts w:hint="eastAsia" w:ascii="宋体" w:hAnsi="宋体" w:cs="宋体"/>
          <w:color w:val="000000"/>
          <w:sz w:val="24"/>
          <w:szCs w:val="24"/>
          <w:highlight w:val="none"/>
          <w:lang w:val="en-US" w:eastAsia="zh-CN"/>
        </w:rPr>
        <w:t xml:space="preserve">招标人</w:t>
      </w:r>
      <w:r>
        <w:rPr>
          <w:rFonts w:hint="eastAsia" w:ascii="宋体" w:hAnsi="宋体" w:cs="宋体"/>
          <w:color w:val="000000"/>
          <w:sz w:val="24"/>
          <w:szCs w:val="24"/>
          <w:highlight w:val="none"/>
        </w:rPr>
        <w:t xml:space="preserve">提出的关于河道保洁服务合理的建议应予执行。</w:t>
      </w:r>
      <w:r>
        <w:rPr>
          <w:rFonts w:hint="eastAsia" w:ascii="宋体" w:hAnsi="宋体" w:cs="宋体"/>
          <w:color w:val="000000"/>
          <w:sz w:val="24"/>
          <w:szCs w:val="24"/>
          <w:highlight w:val="none"/>
          <w:lang w:val="en-US" w:eastAsia="zh-CN"/>
        </w:rPr>
        <w:t xml:space="preserve">招标人</w:t>
      </w:r>
      <w:r>
        <w:rPr>
          <w:rFonts w:hint="eastAsia" w:ascii="宋体" w:hAnsi="宋体" w:cs="宋体"/>
          <w:color w:val="000000"/>
          <w:sz w:val="24"/>
          <w:szCs w:val="24"/>
          <w:highlight w:val="none"/>
        </w:rPr>
        <w:t xml:space="preserve">因国家城市建设或其他特殊情况提出的确需变更的事项应予遵守，因此而涉及合同事项的变更，由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和</w:t>
      </w:r>
      <w:r>
        <w:rPr>
          <w:rFonts w:hint="eastAsia" w:ascii="宋体" w:hAnsi="宋体" w:cs="宋体"/>
          <w:color w:val="000000"/>
          <w:sz w:val="24"/>
          <w:szCs w:val="24"/>
          <w:highlight w:val="none"/>
          <w:lang w:val="en-US" w:eastAsia="zh-CN"/>
        </w:rPr>
        <w:t xml:space="preserve">招标人</w:t>
      </w:r>
      <w:r>
        <w:rPr>
          <w:rFonts w:hint="eastAsia" w:ascii="宋体" w:hAnsi="宋体" w:cs="宋体"/>
          <w:color w:val="000000"/>
          <w:sz w:val="24"/>
          <w:szCs w:val="24"/>
          <w:highlight w:val="none"/>
        </w:rPr>
        <w:t xml:space="preserve">协商解决。</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管理不善，造成保洁服务范围内的公共设施设备毁坏、损坏，由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补种或直接责任人赔偿。造成重大损失的由直接责任人赔偿的，若直接责任人因故无法赔偿的，</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有权要求中标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按实际损失金额赔偿。</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工作人员在岗履行职责期间（包括上下班途中），发生自身的人身伤害、伤亡，均由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负责处理并承担经济和道义上的责任，招标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不承担任何责任。</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违反国家相关法规，与聘用人员发生纠纷，均由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负责调解与处理，招标</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不承担责任。</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投标文件中明确的项目组人员、设备与进场作业人员、设备应该一致，</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不得随意更换，如发现未经</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许可随意更换所有管理及主要技术人员及设备，按中标方违约处理。</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中标单位</w:t>
      </w:r>
      <w:r>
        <w:rPr>
          <w:rFonts w:hint="eastAsia" w:ascii="宋体" w:hAnsi="宋体" w:cs="宋体"/>
          <w:color w:val="000000"/>
          <w:sz w:val="24"/>
          <w:szCs w:val="24"/>
          <w:highlight w:val="none"/>
        </w:rPr>
        <w:t xml:space="preserve">人员进场，需持有身份证，</w:t>
      </w:r>
      <w:r>
        <w:rPr>
          <w:rFonts w:hint="eastAsia" w:ascii="宋体" w:hAnsi="宋体" w:cs="宋体"/>
          <w:color w:val="000000"/>
          <w:sz w:val="24"/>
          <w:szCs w:val="24"/>
          <w:highlight w:val="none"/>
          <w:lang w:val="en-US" w:eastAsia="zh-CN"/>
        </w:rPr>
        <w:t xml:space="preserve">相关</w:t>
      </w:r>
      <w:r>
        <w:rPr>
          <w:rFonts w:hint="eastAsia" w:ascii="宋体" w:hAnsi="宋体" w:cs="宋体"/>
          <w:color w:val="000000"/>
          <w:sz w:val="24"/>
          <w:szCs w:val="24"/>
          <w:highlight w:val="none"/>
        </w:rPr>
        <w:t xml:space="preserve">证书复印件，经与投标文件核对无误，方能上岗工作，人员变动，需法定代表人签字或盖章，阐明变动原因，并需经</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同意。</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招标人</w:t>
      </w:r>
      <w:r>
        <w:rPr>
          <w:rFonts w:hint="eastAsia" w:ascii="宋体" w:hAnsi="宋体" w:cs="宋体"/>
          <w:color w:val="000000"/>
          <w:sz w:val="24"/>
          <w:szCs w:val="24"/>
          <w:highlight w:val="none"/>
        </w:rPr>
        <w:t xml:space="preserve">所需的全部工作装备和耗材均由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负责提供。</w:t>
      </w:r>
      <w:r>
        <w:rPr>
          <w:rFonts w:hint="eastAsia" w:ascii="宋体" w:hAnsi="宋体" w:cs="宋体"/>
          <w:color w:val="000000"/>
          <w:sz w:val="24"/>
          <w:szCs w:val="24"/>
          <w:highlight w:val="none"/>
        </w:rPr>
      </w:r>
      <w:r/>
    </w:p>
    <w:p>
      <w:pPr>
        <w:pStyle w:val="864"/>
        <w:ind w:firstLine="480"/>
        <w:keepLines w:val="0"/>
        <w:keepNext w:val="0"/>
        <w:pageBreakBefore w:val="0"/>
        <w:spacing w:line="480" w:lineRule="exact"/>
        <w:widowControl w:val="off"/>
        <w:rPr>
          <w:rFonts w:hint="eastAsia" w:ascii="宋体" w:hAnsi="宋体"/>
          <w:b/>
          <w:bCs/>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服务交接时间：中标后，由</w:t>
      </w:r>
      <w:r>
        <w:rPr>
          <w:rFonts w:hint="eastAsia" w:ascii="宋体" w:hAnsi="宋体" w:cs="宋体"/>
          <w:color w:val="000000"/>
          <w:sz w:val="24"/>
          <w:szCs w:val="24"/>
          <w:highlight w:val="none"/>
          <w:lang w:val="en-US" w:eastAsia="zh-CN"/>
        </w:rPr>
        <w:t xml:space="preserve">招标人</w:t>
      </w:r>
      <w:r>
        <w:rPr>
          <w:rFonts w:hint="eastAsia" w:ascii="宋体" w:hAnsi="宋体" w:cs="宋体"/>
          <w:color w:val="000000"/>
          <w:sz w:val="24"/>
          <w:szCs w:val="24"/>
          <w:highlight w:val="none"/>
        </w:rPr>
        <w:t xml:space="preserve">根据服务到期移交进度，另行通知进场时间，并按实际服务期结算费用</w:t>
      </w:r>
      <w:r>
        <w:rPr>
          <w:rFonts w:hint="eastAsia" w:ascii="宋体" w:hAnsi="宋体" w:cs="宋体"/>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864"/>
        <w:ind w:firstLine="482"/>
        <w:keepLines w:val="0"/>
        <w:keepNext w:val="0"/>
        <w:pageBreakBefore w:val="0"/>
        <w:spacing w:line="460" w:lineRule="exact"/>
        <w:widowControl w:val="off"/>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七</w:t>
      </w:r>
      <w:r>
        <w:rPr>
          <w:rFonts w:ascii="宋体" w:hAnsi="宋体"/>
          <w:b/>
          <w:bCs/>
          <w:color w:val="000000"/>
          <w:sz w:val="24"/>
          <w:szCs w:val="24"/>
          <w:highlight w:val="none"/>
        </w:rPr>
        <w:t xml:space="preserve">、报价要求及付款方式</w:t>
      </w:r>
      <w:r>
        <w:rPr>
          <w:rFonts w:ascii="宋体" w:hAnsi="宋体"/>
          <w:b/>
          <w:bCs/>
          <w:color w:val="000000"/>
          <w:sz w:val="24"/>
          <w:szCs w:val="24"/>
          <w:highlight w:val="none"/>
        </w:rPr>
      </w:r>
      <w:r/>
    </w:p>
    <w:p>
      <w:pPr>
        <w:pStyle w:val="864"/>
        <w:ind w:firstLine="482"/>
        <w:keepLines w:val="0"/>
        <w:keepNext w:val="0"/>
        <w:pageBreakBefore w:val="0"/>
        <w:spacing w:line="460" w:lineRule="exact"/>
        <w:widowControl w:val="off"/>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864"/>
        <w:ind w:firstLine="480"/>
        <w:keepLines w:val="0"/>
        <w:keepNext w:val="0"/>
        <w:pageBreakBefore w:val="0"/>
        <w:spacing w:line="460" w:lineRule="exact"/>
        <w:widowControl w:val="off"/>
        <w:rPr>
          <w:rFonts w:hint="eastAsia" w:ascii="宋体" w:hAnsi="宋体"/>
          <w:bCs/>
          <w:color w:val="000000"/>
          <w:sz w:val="24"/>
          <w:szCs w:val="24"/>
          <w:highlight w:val="none"/>
        </w:rPr>
      </w:pPr>
      <w:r>
        <w:rPr>
          <w:rFonts w:ascii="宋体" w:hAnsi="宋体"/>
          <w:bCs/>
          <w:color w:val="000000"/>
          <w:sz w:val="24"/>
          <w:szCs w:val="24"/>
          <w:highlight w:val="none"/>
        </w:rPr>
        <w:t xml:space="preserve">各投标人在</w:t>
      </w:r>
      <w:r>
        <w:rPr>
          <w:rFonts w:hint="eastAsia" w:ascii="宋体" w:hAnsi="宋体"/>
          <w:bCs/>
          <w:color w:val="000000"/>
          <w:sz w:val="24"/>
          <w:szCs w:val="24"/>
          <w:highlight w:val="none"/>
        </w:rPr>
        <w:t xml:space="preserve">投标响应</w:t>
      </w:r>
      <w:r>
        <w:rPr>
          <w:rFonts w:ascii="宋体" w:hAnsi="宋体"/>
          <w:bCs/>
          <w:color w:val="000000"/>
          <w:sz w:val="24"/>
          <w:szCs w:val="24"/>
          <w:highlight w:val="none"/>
        </w:rPr>
        <w:t xml:space="preserve">文件中必须按照有关要求填写报价。投标报价应是投标人在承诺的质量目标和服务期限内为完成</w:t>
      </w:r>
      <w:r>
        <w:rPr>
          <w:rFonts w:hint="eastAsia" w:ascii="宋体" w:hAnsi="宋体"/>
          <w:bCs/>
          <w:color w:val="000000"/>
          <w:sz w:val="24"/>
          <w:szCs w:val="24"/>
          <w:highlight w:val="none"/>
          <w:lang w:eastAsia="zh-CN"/>
        </w:rPr>
        <w:t xml:space="preserve">招标文件</w:t>
      </w:r>
      <w:r>
        <w:rPr>
          <w:rFonts w:ascii="宋体" w:hAnsi="宋体"/>
          <w:bCs/>
          <w:color w:val="000000"/>
          <w:sz w:val="24"/>
          <w:szCs w:val="24"/>
          <w:highlight w:val="none"/>
        </w:rPr>
        <w:t xml:space="preserve">的招标项目范围的全部内容。投标人应充分考虑为完成上述内容所必须的全部费用的价格体现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64"/>
        <w:ind w:firstLine="480"/>
        <w:keepLines w:val="0"/>
        <w:keepNext w:val="0"/>
        <w:pageBreakBefore w:val="0"/>
        <w:spacing w:line="460" w:lineRule="exact"/>
        <w:widowControl w:val="off"/>
        <w:rPr>
          <w:rFonts w:ascii="宋体" w:hAnsi="宋体" w:eastAsia="宋体"/>
          <w:bCs/>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2.服务期限：</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服务期限内，经</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考核服务质量达不到</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要求且不服从</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安排的，</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有权终止合同</w:t>
      </w:r>
      <w:r>
        <w:rPr>
          <w:rFonts w:hint="eastAsia" w:ascii="宋体" w:hAnsi="宋体" w:cs="宋体"/>
          <w:color w:val="000000"/>
          <w:sz w:val="24"/>
          <w:szCs w:val="24"/>
          <w:highlight w:val="none"/>
          <w:lang w:eastAsia="zh-CN"/>
        </w:rPr>
        <w:t xml:space="preserve">。</w:t>
      </w:r>
      <w:r>
        <w:rPr>
          <w:rFonts w:ascii="宋体" w:hAnsi="宋体" w:eastAsia="宋体"/>
          <w:bCs/>
          <w:color w:val="000000"/>
          <w:sz w:val="24"/>
          <w:szCs w:val="24"/>
          <w:highlight w:val="none"/>
          <w:lang w:val="en-US" w:eastAsia="zh-CN"/>
        </w:rPr>
      </w:r>
      <w:r/>
    </w:p>
    <w:p>
      <w:pPr>
        <w:pStyle w:val="864"/>
        <w:ind w:firstLine="470"/>
        <w:keepLines w:val="0"/>
        <w:keepNext w:val="0"/>
        <w:pageBreakBefore w:val="0"/>
        <w:spacing w:line="460" w:lineRule="exact"/>
        <w:widowControl w:val="off"/>
        <w:rPr>
          <w:rFonts w:ascii="宋体" w:hAnsi="宋体" w:cs="仿宋_GB2312"/>
          <w:b/>
          <w:bCs/>
          <w:color w:val="000000"/>
          <w:sz w:val="24"/>
          <w:szCs w:val="24"/>
          <w:highlight w:val="none"/>
        </w:rPr>
      </w:pPr>
      <w:r>
        <w:rPr>
          <w:rFonts w:hint="eastAsia" w:ascii="宋体" w:hAnsi="宋体"/>
          <w:b/>
          <w:bCs/>
          <w:color w:val="000000"/>
          <w:sz w:val="24"/>
          <w:szCs w:val="24"/>
          <w:highlight w:val="none"/>
          <w:lang w:val="en-US" w:eastAsia="zh-CN"/>
        </w:rPr>
        <w:t xml:space="preserve">3.</w:t>
      </w:r>
      <w:r>
        <w:rPr>
          <w:rFonts w:hint="eastAsia" w:ascii="宋体" w:hAnsi="宋体" w:cs="仿宋_GB2312"/>
          <w:b/>
          <w:bCs/>
          <w:color w:val="000000"/>
          <w:sz w:val="24"/>
          <w:szCs w:val="24"/>
          <w:highlight w:val="none"/>
        </w:rPr>
        <w:t xml:space="preserve">付款方式</w:t>
      </w:r>
      <w:r>
        <w:rPr>
          <w:rFonts w:ascii="宋体" w:hAnsi="宋体" w:cs="仿宋_GB2312"/>
          <w:b/>
          <w:bCs/>
          <w:color w:val="000000"/>
          <w:sz w:val="24"/>
          <w:szCs w:val="24"/>
          <w:highlight w:val="none"/>
        </w:rPr>
      </w:r>
      <w:r/>
    </w:p>
    <w:p>
      <w:pPr>
        <w:pStyle w:val="864"/>
        <w:ind w:firstLine="480"/>
        <w:keepLines w:val="0"/>
        <w:keepNext w:val="0"/>
        <w:pageBreakBefore w:val="0"/>
        <w:spacing w:line="460" w:lineRule="exact"/>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en-US" w:eastAsia="zh-CN"/>
        </w:rPr>
        <w:t xml:space="preserve">（1）合同签订后，甲方支付合同价的30%作为本项目的预付款（签订合同时，乙方明确表示无需预付款的或主动要求降低预付款比例的，可作出相应调整），余款按照合同总价的70%除以12为每月支付的价款，对照考核办法，采用当月考核，根据考核结果扣除处罚后，按季度支付服务费用。</w:t>
      </w:r>
      <w:r>
        <w:rPr>
          <w:rFonts w:hint="eastAsia" w:ascii="宋体" w:hAnsi="宋体" w:eastAsia="宋体" w:cs="宋体"/>
          <w:color w:val="000000"/>
          <w:sz w:val="24"/>
          <w:highlight w:val="none"/>
          <w:u w:val="none"/>
          <w:lang w:val="en-US" w:eastAsia="zh-CN"/>
        </w:rPr>
      </w:r>
      <w:r/>
    </w:p>
    <w:p>
      <w:pPr>
        <w:pStyle w:val="864"/>
        <w:ind w:firstLine="480"/>
        <w:keepLines w:val="0"/>
        <w:keepNext w:val="0"/>
        <w:pageBreakBefore w:val="0"/>
        <w:spacing w:line="460" w:lineRule="exact"/>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en-US" w:eastAsia="zh-CN"/>
        </w:rPr>
        <w:t xml:space="preserve">（2）考核标准：</w:t>
      </w:r>
      <w:r>
        <w:rPr>
          <w:rFonts w:hint="eastAsia" w:ascii="宋体" w:hAnsi="宋体" w:eastAsia="宋体" w:cs="宋体"/>
          <w:color w:val="000000"/>
          <w:sz w:val="24"/>
          <w:highlight w:val="none"/>
          <w:u w:val="none"/>
          <w:lang w:val="en-US" w:eastAsia="zh-CN"/>
        </w:rPr>
      </w:r>
      <w:r/>
    </w:p>
    <w:p>
      <w:pPr>
        <w:pStyle w:val="864"/>
        <w:ind w:firstLine="480"/>
        <w:keepLines w:val="0"/>
        <w:keepNext w:val="0"/>
        <w:pageBreakBefore w:val="0"/>
        <w:spacing w:line="460" w:lineRule="exact"/>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en-US" w:eastAsia="zh-CN"/>
        </w:rPr>
        <w:t xml:space="preserve">甲方按照考核评分表每月对乙方进行考核打分。</w:t>
      </w:r>
      <w:r>
        <w:rPr>
          <w:rFonts w:hint="eastAsia" w:ascii="宋体" w:hAnsi="宋体" w:eastAsia="宋体" w:cs="宋体"/>
          <w:color w:val="000000"/>
          <w:sz w:val="24"/>
          <w:highlight w:val="none"/>
          <w:u w:val="none"/>
          <w:lang w:val="en-US" w:eastAsia="zh-CN"/>
        </w:rPr>
      </w:r>
      <w:r/>
    </w:p>
    <w:p>
      <w:pPr>
        <w:pStyle w:val="864"/>
        <w:ind w:firstLine="480"/>
        <w:keepLines w:val="0"/>
        <w:keepNext w:val="0"/>
        <w:pageBreakBefore w:val="0"/>
        <w:spacing w:line="460" w:lineRule="exact"/>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en-US" w:eastAsia="zh-CN"/>
        </w:rPr>
        <w:t xml:space="preserve">月度考核得分在90分以上（含90分）按合同价拔付；得分低于90分的，每低于1分扣除200元，各村居负责考核打分，农村办核实统计，当月各村分值</w:t>
      </w:r>
      <w:bookmarkStart w:id="345" w:name="OLE_LINK84"/>
      <w:r/>
      <w:bookmarkStart w:id="346" w:name="OLE_LINK83"/>
      <w:r>
        <w:rPr>
          <w:rFonts w:hint="eastAsia" w:ascii="宋体" w:hAnsi="宋体" w:eastAsia="宋体" w:cs="宋体"/>
          <w:color w:val="000000"/>
          <w:sz w:val="24"/>
          <w:highlight w:val="none"/>
          <w:u w:val="none"/>
          <w:lang w:val="en-US" w:eastAsia="zh-CN"/>
        </w:rPr>
        <w:t xml:space="preserve">加权平均</w:t>
      </w:r>
      <w:bookmarkEnd w:id="345"/>
      <w:r/>
      <w:bookmarkEnd w:id="346"/>
      <w:r>
        <w:rPr>
          <w:rFonts w:hint="eastAsia" w:ascii="宋体" w:hAnsi="宋体" w:eastAsia="宋体" w:cs="宋体"/>
          <w:color w:val="000000"/>
          <w:sz w:val="24"/>
          <w:highlight w:val="none"/>
          <w:u w:val="none"/>
          <w:lang w:val="en-US" w:eastAsia="zh-CN"/>
        </w:rPr>
        <w:t xml:space="preserve">。</w:t>
      </w:r>
      <w:r>
        <w:rPr>
          <w:rFonts w:hint="eastAsia" w:ascii="宋体" w:hAnsi="宋体" w:eastAsia="宋体" w:cs="宋体"/>
          <w:color w:val="000000"/>
          <w:sz w:val="24"/>
          <w:highlight w:val="none"/>
          <w:u w:val="none"/>
          <w:lang w:val="en-US" w:eastAsia="zh-CN"/>
        </w:rPr>
      </w:r>
      <w:r/>
    </w:p>
    <w:p>
      <w:pPr>
        <w:pStyle w:val="864"/>
        <w:ind w:firstLine="480"/>
        <w:keepLines w:val="0"/>
        <w:keepNext w:val="0"/>
        <w:pageBreakBefore w:val="0"/>
        <w:spacing w:line="460" w:lineRule="exact"/>
        <w:widowControl w:val="off"/>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val="en-US" w:eastAsia="zh-CN"/>
        </w:rPr>
        <w:t xml:space="preserve">注：每次付款前中标人需要开具可供结算审计入账的税务发票，并按照招标人财务制度办理付款手续。</w:t>
      </w:r>
      <w:r>
        <w:rPr>
          <w:rFonts w:hint="eastAsia" w:ascii="宋体" w:hAnsi="宋体" w:eastAsia="宋体" w:cs="宋体"/>
          <w:color w:val="000000"/>
          <w:sz w:val="24"/>
          <w:highlight w:val="none"/>
          <w:u w:val="none"/>
          <w:lang w:val="en-US" w:eastAsia="zh-CN"/>
        </w:rPr>
      </w:r>
      <w:r/>
    </w:p>
    <w:p>
      <w:pPr>
        <w:pStyle w:val="864"/>
        <w:ind w:firstLine="480"/>
        <w:spacing w:line="4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八、采购标的对应的中小企业划分标准所属行业一览表</w:t>
      </w:r>
      <w:r>
        <w:rPr>
          <w:rFonts w:hint="eastAsia" w:ascii="宋体" w:hAnsi="宋体"/>
          <w:b/>
          <w:bCs/>
          <w:color w:val="000000"/>
          <w:sz w:val="24"/>
          <w:szCs w:val="24"/>
          <w:highlight w:val="none"/>
          <w:lang w:val="en-US" w:eastAsia="zh-CN"/>
        </w:rPr>
      </w:r>
      <w:r/>
    </w:p>
    <w:tbl>
      <w:tblPr>
        <w:tblW w:w="5132" w:type="pct"/>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3465"/>
        <w:gridCol w:w="4384"/>
      </w:tblGrid>
      <w:tr>
        <w:trPr>
          <w:tblCellSpacing w:w="0" w:type="dxa"/>
        </w:trPr>
        <w:tc>
          <w:tcPr>
            <w:tcW w:w="925" w:type="dxa"/>
            <w:vAlign w:val="center"/>
            <w:textDirection w:val="lrTb"/>
            <w:noWrap w:val="false"/>
          </w:tcPr>
          <w:p>
            <w:pPr>
              <w:pStyle w:val="864"/>
              <w:jc w:val="center"/>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465" w:type="dxa"/>
            <w:vAlign w:val="center"/>
            <w:textDirection w:val="lrTb"/>
            <w:noWrap w:val="false"/>
          </w:tcPr>
          <w:p>
            <w:pPr>
              <w:pStyle w:val="864"/>
              <w:jc w:val="center"/>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4385" w:type="dxa"/>
            <w:vAlign w:val="center"/>
            <w:textDirection w:val="lrTb"/>
            <w:noWrap w:val="false"/>
          </w:tcPr>
          <w:p>
            <w:pPr>
              <w:pStyle w:val="864"/>
              <w:jc w:val="center"/>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tblCellSpacing w:w="0" w:type="dxa"/>
          <w:trHeight w:val="291"/>
        </w:trPr>
        <w:tc>
          <w:tcPr>
            <w:tcW w:w="925" w:type="dxa"/>
            <w:vAlign w:val="center"/>
            <w:textDirection w:val="lrTb"/>
            <w:noWrap w:val="false"/>
          </w:tcPr>
          <w:p>
            <w:pPr>
              <w:pStyle w:val="864"/>
              <w:jc w:val="center"/>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65" w:type="dxa"/>
            <w:vAlign w:val="center"/>
            <w:textDirection w:val="lrTb"/>
            <w:noWrap w:val="false"/>
          </w:tcPr>
          <w:p>
            <w:pPr>
              <w:pStyle w:val="864"/>
              <w:jc w:val="center"/>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步凤河以西河道保洁外包项目</w:t>
            </w:r>
            <w:r>
              <w:rPr>
                <w:rFonts w:hint="eastAsia" w:ascii="宋体" w:hAnsi="宋体" w:eastAsia="宋体" w:cs="宋体"/>
                <w:color w:val="000000"/>
                <w:sz w:val="24"/>
                <w:szCs w:val="24"/>
                <w:highlight w:val="none"/>
              </w:rPr>
            </w:r>
            <w:r/>
          </w:p>
        </w:tc>
        <w:tc>
          <w:tcPr>
            <w:tcW w:w="4385" w:type="dxa"/>
            <w:vAlign w:val="center"/>
            <w:textDirection w:val="lrTb"/>
            <w:noWrap w:val="false"/>
          </w:tcPr>
          <w:p>
            <w:pPr>
              <w:pStyle w:val="864"/>
              <w:jc w:val="center"/>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其他未列明行</w:t>
            </w:r>
            <w:r>
              <w:rPr>
                <w:rFonts w:hint="eastAsia" w:ascii="宋体" w:hAnsi="宋体" w:eastAsia="宋体" w:cs="宋体"/>
                <w:color w:val="000000"/>
                <w:sz w:val="24"/>
                <w:szCs w:val="24"/>
                <w:highlight w:val="none"/>
                <w:lang w:eastAsia="zh-CN"/>
              </w:rPr>
              <w:t xml:space="preserve">业</w:t>
            </w:r>
            <w:r>
              <w:rPr>
                <w:rFonts w:hint="eastAsia" w:ascii="宋体" w:hAnsi="宋体" w:eastAsia="宋体" w:cs="宋体"/>
                <w:color w:val="000000"/>
                <w:sz w:val="24"/>
                <w:szCs w:val="24"/>
                <w:highlight w:val="none"/>
                <w:lang w:eastAsia="zh-CN"/>
              </w:rPr>
            </w:r>
            <w:r/>
          </w:p>
        </w:tc>
      </w:tr>
    </w:tbl>
    <w:p>
      <w:pPr>
        <w:pStyle w:val="921"/>
        <w:rPr>
          <w:color w:val="000000"/>
          <w:highlight w:val="none"/>
        </w:rPr>
      </w:pPr>
      <w:r>
        <w:rPr>
          <w:color w:val="000000"/>
          <w:highlight w:val="none"/>
        </w:rPr>
      </w:r>
      <w:r/>
    </w:p>
    <w:p>
      <w:pPr>
        <w:pStyle w:val="864"/>
        <w:jc w:val="center"/>
        <w:rPr>
          <w:rFonts w:ascii="宋体" w:hAnsi="宋体" w:eastAsia="宋体" w:cs="黑体"/>
          <w:b/>
          <w:color w:val="000000"/>
          <w:sz w:val="44"/>
          <w:szCs w:val="44"/>
          <w:highlight w:val="none"/>
        </w:rPr>
      </w:pPr>
      <w:r/>
      <w:bookmarkStart w:id="348" w:name="_Toc120614281"/>
      <w:r>
        <w:rPr>
          <w:rFonts w:ascii="宋体" w:hAnsi="宋体" w:eastAsia="宋体" w:cs="黑体"/>
          <w:b/>
          <w:color w:val="000000"/>
          <w:sz w:val="44"/>
          <w:szCs w:val="44"/>
          <w:highlight w:val="none"/>
        </w:rPr>
        <w:br w:type="page" w:clear="all"/>
      </w:r>
      <w:r>
        <w:rPr>
          <w:rFonts w:hint="eastAsia" w:ascii="宋体" w:hAnsi="宋体" w:eastAsia="宋体" w:cs="黑体"/>
          <w:b/>
          <w:color w:val="000000"/>
          <w:sz w:val="44"/>
          <w:szCs w:val="44"/>
          <w:highlight w:val="none"/>
        </w:rPr>
        <w:t xml:space="preserve">第五章 评标方法与评标标准</w:t>
      </w:r>
      <w:r>
        <w:rPr>
          <w:rFonts w:ascii="宋体" w:hAnsi="宋体" w:eastAsia="宋体" w:cs="黑体"/>
          <w:b/>
          <w:color w:val="000000"/>
          <w:sz w:val="44"/>
          <w:szCs w:val="44"/>
          <w:highlight w:val="none"/>
        </w:rPr>
      </w:r>
      <w:r/>
    </w:p>
    <w:p>
      <w:pPr>
        <w:pStyle w:val="864"/>
        <w:spacing w:line="440" w:lineRule="exact"/>
        <w:rPr>
          <w:rFonts w:ascii="宋体" w:hAnsi="宋体" w:eastAsia="宋体" w:cs="宋体"/>
          <w:b/>
          <w:bCs/>
          <w:color w:val="000000"/>
          <w:sz w:val="24"/>
          <w:highlight w:val="none"/>
        </w:rPr>
      </w:pPr>
      <w:r>
        <w:rPr>
          <w:rFonts w:ascii="宋体" w:hAnsi="宋体" w:eastAsia="宋体"/>
          <w:color w:val="000000"/>
          <w:highlight w:val="none"/>
        </w:rPr>
        <w:t xml:space="preserve"> </w:t>
      </w:r>
      <w:bookmarkStart w:id="349" w:name="OLE_LINK110"/>
      <w:r/>
      <w:bookmarkStart w:id="350" w:name="_Hlk198760431"/>
      <w:r/>
      <w:bookmarkStart w:id="351" w:name="OLE_LINK111"/>
      <w:r>
        <w:rPr>
          <w:rFonts w:hint="eastAsia" w:ascii="宋体" w:hAnsi="宋体" w:eastAsia="宋体" w:cs="宋体"/>
          <w:b/>
          <w:bCs/>
          <w:color w:val="000000"/>
          <w:sz w:val="24"/>
          <w:highlight w:val="none"/>
        </w:rPr>
        <w:t xml:space="preserve">一、定标原则</w:t>
      </w:r>
      <w:r>
        <w:rPr>
          <w:rFonts w:ascii="宋体" w:hAnsi="宋体" w:eastAsia="宋体" w:cs="宋体"/>
          <w:b/>
          <w:bCs/>
          <w:color w:val="000000"/>
          <w:sz w:val="24"/>
          <w:highlight w:val="none"/>
        </w:rPr>
      </w:r>
      <w:r/>
    </w:p>
    <w:p>
      <w:pPr>
        <w:pStyle w:val="864"/>
        <w:ind w:firstLine="480"/>
        <w:jc w:val="both"/>
        <w:spacing w:line="440" w:lineRule="exact"/>
        <w:widowControl w:val="off"/>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 综合评分 </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eastAsia="宋体" w:cs="宋体"/>
          <w:color w:val="000000"/>
          <w:sz w:val="24"/>
          <w:highlight w:val="none"/>
        </w:rPr>
      </w:r>
      <w:r/>
    </w:p>
    <w:p>
      <w:pPr>
        <w:pStyle w:val="864"/>
        <w:ind w:firstLine="441"/>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b/>
          <w:color w:val="000000"/>
          <w:sz w:val="24"/>
          <w:highlight w:val="none"/>
        </w:rPr>
        <w:t xml:space="preserve">政府采购政策功能落实</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、小微型企业价格扣除</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本项目专门面向中小企业采购，不再对小型和微型企业报价给予价格扣除。</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）供应商需按照采购文件的要求提供相应的《中小企业声明函》。</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）企业标准请参照《关于印发中小企业划型标准规定的通知》（工信部联企业</w:t>
      </w:r>
      <w:r>
        <w:rPr>
          <w:rFonts w:ascii="宋体" w:hAnsi="宋体" w:eastAsia="宋体" w:cs="宋体"/>
          <w:color w:val="000000"/>
          <w:sz w:val="24"/>
          <w:highlight w:val="none"/>
        </w:rPr>
        <w:t xml:space="preserve">[2011]300 </w:t>
      </w:r>
      <w:r>
        <w:rPr>
          <w:rFonts w:hint="eastAsia" w:ascii="宋体" w:hAnsi="宋体" w:eastAsia="宋体" w:cs="宋体"/>
          <w:color w:val="000000"/>
          <w:sz w:val="24"/>
          <w:highlight w:val="none"/>
        </w:rPr>
        <w:t xml:space="preserve">号）文件规定自行填写。</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、残疾人福利单位价格扣除</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）本项目对残疾人福利性单位视同小型、微型企业。</w:t>
      </w:r>
      <w:r>
        <w:rPr>
          <w:rFonts w:ascii="宋体" w:hAnsi="宋体" w:eastAsia="宋体" w:cs="宋体"/>
          <w:color w:val="000000"/>
          <w:sz w:val="24"/>
          <w:highlight w:val="none"/>
        </w:rPr>
      </w:r>
      <w:r/>
    </w:p>
    <w:p>
      <w:pPr>
        <w:pStyle w:val="864"/>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）残疾人福利单位需按照采购文件的要求提供《残疾人福利性单位声明 函》。</w:t>
      </w:r>
      <w:r>
        <w:rPr>
          <w:rFonts w:ascii="宋体" w:hAnsi="宋体" w:eastAsia="宋体" w:cs="宋体"/>
          <w:color w:val="000000"/>
          <w:sz w:val="24"/>
          <w:highlight w:val="none"/>
        </w:rPr>
      </w:r>
      <w:r/>
    </w:p>
    <w:p>
      <w:pPr>
        <w:pStyle w:val="864"/>
        <w:ind w:left="120" w:firstLine="36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）残疾人福利单位标准请参照《关于促进残疾人就业政府采购政策的通知》 （财库〔</w:t>
      </w:r>
      <w:r>
        <w:rPr>
          <w:rFonts w:ascii="宋体" w:hAnsi="宋体" w:eastAsia="宋体" w:cs="宋体"/>
          <w:color w:val="000000"/>
          <w:sz w:val="24"/>
          <w:highlight w:val="none"/>
        </w:rPr>
        <w:t xml:space="preserve">2017</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141 </w:t>
      </w:r>
      <w:r>
        <w:rPr>
          <w:rFonts w:hint="eastAsia" w:ascii="宋体" w:hAnsi="宋体" w:eastAsia="宋体" w:cs="宋体"/>
          <w:color w:val="000000"/>
          <w:sz w:val="24"/>
          <w:highlight w:val="none"/>
        </w:rPr>
        <w:t xml:space="preserve">号）。</w:t>
      </w:r>
      <w:r>
        <w:rPr>
          <w:rFonts w:ascii="宋体" w:hAnsi="宋体" w:eastAsia="宋体" w:cs="宋体"/>
          <w:color w:val="000000"/>
          <w:sz w:val="24"/>
          <w:highlight w:val="none"/>
        </w:rPr>
      </w:r>
      <w:r/>
    </w:p>
    <w:p>
      <w:pPr>
        <w:pStyle w:val="864"/>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3、监狱和戒毒企业价格扣除</w:t>
      </w:r>
      <w:r>
        <w:rPr>
          <w:rFonts w:ascii="宋体" w:hAnsi="宋体" w:eastAsia="宋体" w:cs="宋体"/>
          <w:color w:val="000000"/>
          <w:sz w:val="24"/>
          <w:highlight w:val="none"/>
        </w:rPr>
      </w:r>
      <w:r/>
    </w:p>
    <w:p>
      <w:pPr>
        <w:pStyle w:val="864"/>
        <w:ind w:left="120" w:firstLine="360"/>
        <w:spacing w:before="120" w:after="120" w:line="440" w:lineRule="exact"/>
        <w:widowControl w:val="off"/>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（1）本项目对监狱和戒毒企业（简称监狱企业）视同小型、微型企业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r>
      <w:r/>
    </w:p>
    <w:p>
      <w:pPr>
        <w:pStyle w:val="864"/>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宋体"/>
          <w:color w:val="000000"/>
          <w:sz w:val="24"/>
          <w:highlight w:val="none"/>
        </w:rPr>
      </w:r>
      <w:r/>
    </w:p>
    <w:p>
      <w:pPr>
        <w:pStyle w:val="864"/>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（3）监狱企业标准请参照《关于政府采购支持监狱企业发展有关问题的通知》（财库〔2014〕68号）。</w:t>
      </w:r>
      <w:r>
        <w:rPr>
          <w:rFonts w:ascii="宋体" w:hAnsi="宋体" w:eastAsia="宋体" w:cs="宋体"/>
          <w:color w:val="000000"/>
          <w:sz w:val="24"/>
          <w:highlight w:val="none"/>
        </w:rPr>
      </w:r>
      <w:r/>
    </w:p>
    <w:p>
      <w:pPr>
        <w:pStyle w:val="864"/>
        <w:ind w:firstLine="480"/>
        <w:spacing w:before="120" w:after="120" w:line="44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4、残疾人福利单位、监狱企业属于小型、微型企业的，不重复享受政策。</w:t>
      </w:r>
      <w:r>
        <w:rPr>
          <w:rFonts w:ascii="宋体" w:hAnsi="宋体" w:eastAsia="宋体" w:cs="宋体"/>
          <w:color w:val="000000"/>
          <w:sz w:val="24"/>
          <w:highlight w:val="none"/>
        </w:rPr>
      </w:r>
      <w:r/>
    </w:p>
    <w:p>
      <w:pPr>
        <w:pStyle w:val="864"/>
        <w:ind w:firstLine="482"/>
        <w:spacing w:before="120" w:after="120"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864"/>
        <w:ind w:firstLine="482"/>
        <w:spacing w:before="120" w:after="120"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5、以联合体形式参加政府采购活动，联合体各方均为中小企业的，联合体视同中小企业；联合体各方均为小微企业的，联合体视同小微企业。</w:t>
      </w:r>
      <w:r>
        <w:rPr>
          <w:rFonts w:hint="eastAsia" w:ascii="宋体" w:hAnsi="宋体" w:cs="宋体"/>
          <w:color w:val="000000"/>
          <w:sz w:val="24"/>
          <w:highlight w:val="none"/>
          <w:lang w:val="en-US" w:eastAsia="zh-CN"/>
        </w:rPr>
      </w:r>
      <w:r/>
    </w:p>
    <w:p>
      <w:pPr>
        <w:pStyle w:val="864"/>
        <w:ind w:firstLine="482"/>
        <w:spacing w:before="120" w:after="120"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6、联合体各方均为小型、微型企业（残疾人福利单位、监狱企业）的，</w:t>
      </w:r>
      <w:r>
        <w:rPr>
          <w:rFonts w:hint="eastAsia" w:ascii="宋体" w:hAnsi="宋体" w:eastAsia="宋体" w:cs="宋体"/>
          <w:b/>
          <w:bCs/>
          <w:color w:val="000000"/>
          <w:sz w:val="24"/>
          <w:highlight w:val="none"/>
        </w:rPr>
        <w:t xml:space="preserve">不再对</w:t>
      </w:r>
      <w:r>
        <w:rPr>
          <w:rFonts w:hint="eastAsia" w:ascii="宋体" w:hAnsi="宋体" w:eastAsia="宋体" w:cs="宋体"/>
          <w:b/>
          <w:bCs/>
          <w:color w:val="000000"/>
          <w:sz w:val="24"/>
          <w:highlight w:val="none"/>
          <w:lang w:val="en-US" w:eastAsia="zh-CN"/>
        </w:rPr>
        <w:t xml:space="preserve">联合体</w:t>
      </w:r>
      <w:r>
        <w:rPr>
          <w:rFonts w:hint="eastAsia" w:ascii="宋体" w:hAnsi="宋体" w:eastAsia="宋体" w:cs="宋体"/>
          <w:b/>
          <w:bCs/>
          <w:color w:val="000000"/>
          <w:sz w:val="24"/>
          <w:highlight w:val="none"/>
        </w:rPr>
        <w:t xml:space="preserve">报价给予价格扣除。</w:t>
      </w:r>
      <w:r>
        <w:rPr>
          <w:rFonts w:hint="eastAsia" w:ascii="宋体" w:hAnsi="宋体" w:eastAsia="宋体" w:cs="宋体"/>
          <w:color w:val="000000"/>
          <w:sz w:val="24"/>
          <w:highlight w:val="none"/>
          <w:lang w:val="en-US" w:eastAsia="zh-CN"/>
        </w:rPr>
      </w:r>
      <w:r/>
    </w:p>
    <w:p>
      <w:pPr>
        <w:pStyle w:val="864"/>
        <w:ind w:firstLine="482"/>
        <w:spacing w:before="120" w:after="120" w:line="44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rPr>
          <w:rFonts w:ascii="宋体" w:hAnsi="宋体" w:eastAsia="宋体" w:cs="宋体"/>
          <w:color w:val="000000"/>
          <w:sz w:val="24"/>
          <w:highlight w:val="none"/>
        </w:rPr>
      </w:r>
      <w:r/>
    </w:p>
    <w:p>
      <w:pPr>
        <w:pStyle w:val="864"/>
        <w:ind w:firstLine="482"/>
        <w:spacing w:before="120" w:after="120" w:line="440" w:lineRule="exact"/>
        <w:widowControl w:val="off"/>
        <w:rPr>
          <w:rFonts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采购包1、包2</w:t>
      </w:r>
      <w:r>
        <w:rPr>
          <w:rFonts w:hint="eastAsia" w:ascii="宋体" w:hAnsi="宋体" w:eastAsia="宋体" w:cs="宋体"/>
          <w:b/>
          <w:color w:val="000000"/>
          <w:sz w:val="24"/>
          <w:highlight w:val="none"/>
        </w:rPr>
        <w:t xml:space="preserve">评标方法与评标标准</w:t>
      </w:r>
      <w:bookmarkEnd w:id="349"/>
      <w:r/>
      <w:bookmarkEnd w:id="350"/>
      <w:r/>
      <w:bookmarkEnd w:id="351"/>
      <w:r>
        <w:rPr>
          <w:rFonts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88"/>
        <w:gridCol w:w="7491"/>
      </w:tblGrid>
      <w:tr>
        <w:trPr>
          <w:trHeight w:val="515"/>
        </w:trPr>
        <w:tc>
          <w:tcPr>
            <w:tcW w:w="709" w:type="dxa"/>
            <w:vAlign w:val="center"/>
            <w:textDirection w:val="lrTb"/>
            <w:noWrap w:val="false"/>
          </w:tcPr>
          <w:p>
            <w:pPr>
              <w:pStyle w:val="864"/>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188" w:type="dxa"/>
            <w:vAlign w:val="center"/>
            <w:textDirection w:val="lrTb"/>
            <w:noWrap w:val="false"/>
          </w:tcPr>
          <w:p>
            <w:pPr>
              <w:pStyle w:val="864"/>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rPr>
                <w:rFonts w:hint="eastAsia" w:ascii="宋体" w:hAnsi="宋体" w:eastAsia="宋体" w:cs="宋体"/>
                <w:color w:val="000000"/>
                <w:sz w:val="21"/>
                <w:szCs w:val="21"/>
                <w:highlight w:val="none"/>
              </w:rPr>
            </w:r>
            <w:r/>
          </w:p>
        </w:tc>
        <w:tc>
          <w:tcPr>
            <w:tcW w:w="7491" w:type="dxa"/>
            <w:vAlign w:val="center"/>
            <w:textDirection w:val="lrTb"/>
            <w:noWrap w:val="false"/>
          </w:tcPr>
          <w:p>
            <w:pPr>
              <w:pStyle w:val="864"/>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1557"/>
        </w:trPr>
        <w:tc>
          <w:tcPr>
            <w:tcW w:w="709" w:type="dxa"/>
            <w:vAlign w:val="center"/>
            <w:textDirection w:val="lrTb"/>
            <w:noWrap w:val="false"/>
          </w:tcPr>
          <w:p>
            <w:pPr>
              <w:pStyle w:val="864"/>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88" w:type="dxa"/>
            <w:vAlign w:val="center"/>
            <w:textDirection w:val="lrTb"/>
            <w:noWrap w:val="false"/>
          </w:tcPr>
          <w:p>
            <w:pPr>
              <w:pStyle w:val="864"/>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p>
            <w:pPr>
              <w:pStyle w:val="864"/>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491" w:type="dxa"/>
            <w:vAlign w:val="top"/>
            <w:textDirection w:val="lrTb"/>
            <w:noWrap w:val="false"/>
          </w:tcPr>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满足招标文件要求且</w:t>
            </w:r>
            <w:r>
              <w:rPr>
                <w:rFonts w:hint="eastAsia" w:ascii="宋体" w:hAnsi="宋体" w:eastAsia="宋体" w:cs="宋体"/>
                <w:color w:val="000000"/>
                <w:sz w:val="21"/>
                <w:szCs w:val="21"/>
                <w:highlight w:val="none"/>
                <w:lang w:val="en-US" w:eastAsia="zh-CN"/>
              </w:rPr>
              <w:t xml:space="preserve">投标报价</w:t>
            </w:r>
            <w:r>
              <w:rPr>
                <w:rFonts w:hint="eastAsia" w:ascii="宋体" w:hAnsi="宋体" w:cs="宋体"/>
                <w:color w:val="000000"/>
                <w:sz w:val="21"/>
                <w:szCs w:val="21"/>
                <w:highlight w:val="none"/>
                <w:lang w:val="en-US" w:eastAsia="zh-CN"/>
              </w:rPr>
              <w:t xml:space="preserve">最低的</w:t>
            </w:r>
            <w:r>
              <w:rPr>
                <w:rFonts w:hint="eastAsia" w:ascii="宋体" w:hAnsi="宋体" w:eastAsia="宋体" w:cs="宋体"/>
                <w:color w:val="000000"/>
                <w:sz w:val="21"/>
                <w:szCs w:val="21"/>
                <w:highlight w:val="none"/>
                <w:lang w:eastAsia="zh-CN"/>
              </w:rPr>
              <w:t xml:space="preserve">为评标基准价，其价格分为满分。其他</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的价格分统一按照下列公式计算：</w:t>
            </w:r>
            <w:r>
              <w:rPr>
                <w:rFonts w:hint="eastAsia" w:ascii="宋体" w:hAnsi="宋体" w:eastAsia="宋体" w:cs="宋体"/>
                <w:color w:val="000000"/>
                <w:sz w:val="21"/>
                <w:szCs w:val="21"/>
                <w:highlight w:val="none"/>
                <w:lang w:eastAsia="zh-CN"/>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评标基准价/投标报价</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该结果四舍五入，保留两位小数）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1177"/>
        </w:trPr>
        <w:tc>
          <w:tcPr>
            <w:tcW w:w="709" w:type="dxa"/>
            <w:vAlign w:val="center"/>
            <w:textDirection w:val="lrTb"/>
            <w:noWrap w:val="false"/>
          </w:tcPr>
          <w:p>
            <w:pPr>
              <w:pStyle w:val="864"/>
              <w:jc w:val="center"/>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88" w:type="dxa"/>
            <w:vAlign w:val="center"/>
            <w:textDirection w:val="lrTb"/>
            <w:noWrap w:val="false"/>
          </w:tcPr>
          <w:p>
            <w:pPr>
              <w:pStyle w:val="864"/>
              <w:jc w:val="center"/>
              <w:spacing w:line="36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企业实力（3分）</w:t>
            </w:r>
            <w:r>
              <w:rPr>
                <w:rFonts w:ascii="宋体" w:hAnsi="宋体" w:eastAsia="宋体" w:cs="宋体"/>
                <w:color w:val="000000"/>
                <w:sz w:val="21"/>
                <w:szCs w:val="21"/>
                <w:highlight w:val="none"/>
                <w:lang w:val="en-US" w:eastAsia="zh-CN"/>
              </w:rPr>
            </w:r>
            <w:r/>
          </w:p>
        </w:tc>
        <w:tc>
          <w:tcPr>
            <w:tcW w:w="7491" w:type="dxa"/>
            <w:vAlign w:val="top"/>
            <w:textDirection w:val="lrTb"/>
            <w:noWrap w:val="false"/>
          </w:tcPr>
          <w:p>
            <w:pPr>
              <w:pStyle w:val="864"/>
              <w:ind w:firstLine="420"/>
              <w:jc w:val="both"/>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投标人具有有效的质量管理体系认证、环境管理体系认证、职业健康安全管理体系认证证书的，每提供一个得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分，最高得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分，未提供不得分。</w:t>
            </w:r>
            <w:r>
              <w:rPr>
                <w:rFonts w:hint="eastAsia" w:ascii="宋体" w:hAnsi="宋体" w:eastAsia="宋体" w:cs="宋体"/>
                <w:b w:val="0"/>
                <w:bCs w:val="0"/>
                <w:color w:val="000000"/>
                <w:sz w:val="21"/>
                <w:szCs w:val="21"/>
                <w:highlight w:val="none"/>
                <w:lang w:val="en-US" w:eastAsia="zh-CN"/>
              </w:rPr>
            </w:r>
            <w:r/>
          </w:p>
          <w:p>
            <w:pPr>
              <w:pStyle w:val="864"/>
              <w:ind w:firstLine="420"/>
              <w:jc w:val="both"/>
              <w:keepLines w:val="0"/>
              <w:keepNext w:val="0"/>
              <w:pageBreakBefore w:val="0"/>
              <w:spacing w:line="36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注：投标时提供网站截图和证书原件扫描件，否则不得分。认证证书查询官网“全国认证认可信息公共服务平台http://cx.cnca.cn/CertECloud/index/index/page”。</w:t>
            </w:r>
            <w:r>
              <w:rPr>
                <w:rFonts w:ascii="宋体" w:hAnsi="宋体" w:eastAsia="宋体" w:cs="宋体"/>
                <w:b w:val="0"/>
                <w:bCs w:val="0"/>
                <w:color w:val="000000"/>
                <w:sz w:val="21"/>
                <w:szCs w:val="21"/>
                <w:highlight w:val="none"/>
                <w:lang w:val="en-US" w:eastAsia="zh-CN"/>
              </w:rPr>
            </w:r>
            <w:r/>
          </w:p>
        </w:tc>
      </w:tr>
      <w:tr>
        <w:trPr>
          <w:trHeight w:val="1177"/>
        </w:trPr>
        <w:tc>
          <w:tcPr>
            <w:tcW w:w="709" w:type="dxa"/>
            <w:vAlign w:val="center"/>
            <w:textDirection w:val="lrTb"/>
            <w:noWrap w:val="false"/>
          </w:tcPr>
          <w:p>
            <w:pPr>
              <w:pStyle w:val="864"/>
              <w:jc w:val="center"/>
              <w:spacing w:line="36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lang w:val="en-US" w:eastAsia="zh-CN"/>
              </w:rPr>
            </w:r>
            <w:r/>
          </w:p>
        </w:tc>
        <w:tc>
          <w:tcPr>
            <w:tcW w:w="1188" w:type="dxa"/>
            <w:vAlign w:val="center"/>
            <w:textDirection w:val="lrTb"/>
            <w:noWrap w:val="false"/>
          </w:tcPr>
          <w:p>
            <w:pPr>
              <w:pStyle w:val="864"/>
              <w:jc w:val="center"/>
              <w:spacing w:line="36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业绩</w:t>
            </w:r>
            <w:r>
              <w:rPr>
                <w:rFonts w:hint="eastAsia" w:ascii="宋体" w:hAnsi="宋体" w:cs="宋体"/>
                <w:color w:val="000000"/>
                <w:sz w:val="21"/>
                <w:szCs w:val="21"/>
                <w:highlight w:val="none"/>
                <w:lang w:val="en-US" w:eastAsia="zh-CN"/>
              </w:rPr>
            </w:r>
            <w:r/>
          </w:p>
          <w:p>
            <w:pPr>
              <w:pStyle w:val="864"/>
              <w:jc w:val="center"/>
              <w:spacing w:line="36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（9分）</w:t>
            </w:r>
            <w:r>
              <w:rPr>
                <w:rFonts w:ascii="宋体" w:hAnsi="宋体" w:cs="宋体"/>
                <w:color w:val="000000"/>
                <w:sz w:val="21"/>
                <w:szCs w:val="21"/>
                <w:highlight w:val="none"/>
                <w:lang w:val="en-US" w:eastAsia="zh-CN"/>
              </w:rPr>
            </w:r>
            <w:r/>
          </w:p>
        </w:tc>
        <w:tc>
          <w:tcPr>
            <w:tcW w:w="7491" w:type="dxa"/>
            <w:vAlign w:val="top"/>
            <w:textDirection w:val="lrTb"/>
            <w:noWrap w:val="false"/>
          </w:tcPr>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自2022年1月1日以来（以合同签订时间为准）承担过类似业绩的，每提供一个业绩得3分，本项最高得9分。投标时需提供合同原件扫描件加盖单位公章，合同须能反映项目名称、主要标的物（服务内容）、签订时间、单位公章或专用合同章。不能反映的，须提供盖有原委托单位公章及证明人签名的证明，否则业绩不予认可。</w:t>
            </w:r>
            <w:r>
              <w:rPr>
                <w:rFonts w:hint="eastAsia" w:ascii="宋体" w:hAnsi="宋体" w:eastAsia="宋体" w:cs="宋体"/>
                <w:color w:val="000000"/>
                <w:sz w:val="21"/>
                <w:szCs w:val="21"/>
                <w:highlight w:val="none"/>
                <w:lang w:val="en-US" w:eastAsia="zh-CN"/>
              </w:rPr>
            </w:r>
            <w:r/>
          </w:p>
        </w:tc>
      </w:tr>
      <w:tr>
        <w:trPr>
          <w:trHeight w:val="1177"/>
        </w:trPr>
        <w:tc>
          <w:tcPr>
            <w:tcW w:w="709" w:type="dxa"/>
            <w:vAlign w:val="center"/>
            <w:textDirection w:val="lrTb"/>
            <w:noWrap w:val="false"/>
          </w:tcPr>
          <w:p>
            <w:pPr>
              <w:pStyle w:val="864"/>
              <w:jc w:val="center"/>
              <w:spacing w:line="36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r>
            <w:r/>
          </w:p>
        </w:tc>
        <w:tc>
          <w:tcPr>
            <w:tcW w:w="1188" w:type="dxa"/>
            <w:vAlign w:val="center"/>
            <w:textDirection w:val="lrTb"/>
            <w:noWrap w:val="false"/>
          </w:tcPr>
          <w:p>
            <w:pPr>
              <w:pStyle w:val="864"/>
              <w:jc w:val="center"/>
              <w:spacing w:line="36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人员配备（2分）</w:t>
            </w:r>
            <w:r>
              <w:rPr>
                <w:rFonts w:ascii="宋体" w:hAnsi="宋体" w:cs="宋体"/>
                <w:color w:val="000000"/>
                <w:sz w:val="21"/>
                <w:szCs w:val="21"/>
                <w:highlight w:val="none"/>
                <w:lang w:val="en-US" w:eastAsia="zh-CN"/>
              </w:rPr>
            </w:r>
            <w:r/>
          </w:p>
        </w:tc>
        <w:tc>
          <w:tcPr>
            <w:tcW w:w="7491" w:type="dxa"/>
            <w:vAlign w:val="top"/>
            <w:textDirection w:val="lrTb"/>
            <w:noWrap w:val="false"/>
          </w:tcPr>
          <w:p>
            <w:pPr>
              <w:pStyle w:val="864"/>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1.本项目拟派项目负责人具有工种为保洁类或物业管理类职业技能岗位证书的得1分，本项最高得2分。</w:t>
            </w:r>
            <w:r>
              <w:rPr>
                <w:rFonts w:hint="eastAsia" w:ascii="宋体" w:hAnsi="宋体" w:eastAsia="宋体" w:cs="宋体"/>
                <w:color w:val="000000"/>
                <w:sz w:val="21"/>
                <w:szCs w:val="21"/>
                <w:highlight w:val="none"/>
                <w:lang w:val="en-US" w:eastAsia="zh-CN"/>
              </w:rPr>
            </w:r>
            <w:r/>
          </w:p>
          <w:p>
            <w:pPr>
              <w:pStyle w:val="864"/>
              <w:numPr>
                <w:ilvl w:val="0"/>
                <w:numId w:val="0"/>
              </w:numPr>
              <w:ind w:firstLine="420"/>
              <w:jc w:val="both"/>
              <w:keepLines w:val="0"/>
              <w:keepNext w:val="0"/>
              <w:pageBreakBefore w:val="0"/>
              <w:spacing w:line="36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注：投标时提供人员证书原件的彩色扫描件及截止开标日期前三个月内任意一个月在本单位缴纳养老保险证明材料，未提供或提供不全的不得分。</w:t>
            </w:r>
            <w:r>
              <w:rPr>
                <w:rFonts w:ascii="宋体" w:hAnsi="宋体" w:eastAsia="宋体" w:cs="宋体"/>
                <w:color w:val="000000"/>
                <w:sz w:val="21"/>
                <w:szCs w:val="21"/>
                <w:highlight w:val="none"/>
                <w:lang w:val="en-US" w:eastAsia="zh-CN"/>
              </w:rPr>
            </w:r>
            <w:r/>
          </w:p>
        </w:tc>
      </w:tr>
      <w:tr>
        <w:trPr>
          <w:trHeight w:val="1177"/>
        </w:trPr>
        <w:tc>
          <w:tcPr>
            <w:tcW w:w="709" w:type="dxa"/>
            <w:vAlign w:val="center"/>
            <w:textDirection w:val="lrTb"/>
            <w:noWrap w:val="false"/>
          </w:tcPr>
          <w:p>
            <w:pPr>
              <w:pStyle w:val="864"/>
              <w:jc w:val="center"/>
              <w:spacing w:line="36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ascii="宋体" w:hAnsi="宋体" w:cs="宋体"/>
                <w:color w:val="000000"/>
                <w:sz w:val="21"/>
                <w:szCs w:val="21"/>
                <w:highlight w:val="none"/>
                <w:lang w:val="en-US" w:eastAsia="zh-CN"/>
              </w:rPr>
            </w:r>
            <w:r/>
          </w:p>
        </w:tc>
        <w:tc>
          <w:tcPr>
            <w:tcW w:w="1188" w:type="dxa"/>
            <w:vAlign w:val="center"/>
            <w:textDirection w:val="lrTb"/>
            <w:noWrap w:val="false"/>
          </w:tcPr>
          <w:p>
            <w:pPr>
              <w:pStyle w:val="864"/>
              <w:jc w:val="center"/>
              <w:spacing w:line="36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机械设备（11分）</w:t>
            </w:r>
            <w:r>
              <w:rPr>
                <w:rFonts w:ascii="宋体" w:hAnsi="宋体" w:cs="宋体"/>
                <w:color w:val="000000"/>
                <w:sz w:val="21"/>
                <w:szCs w:val="21"/>
                <w:highlight w:val="none"/>
                <w:lang w:val="en-US" w:eastAsia="zh-CN"/>
              </w:rPr>
            </w:r>
            <w:r/>
          </w:p>
        </w:tc>
        <w:tc>
          <w:tcPr>
            <w:tcW w:w="7491" w:type="dxa"/>
            <w:vAlign w:val="top"/>
            <w:textDirection w:val="lrTb"/>
            <w:noWrap w:val="false"/>
          </w:tcPr>
          <w:p>
            <w:pPr>
              <w:pStyle w:val="864"/>
              <w:numPr>
                <w:ilvl w:val="0"/>
                <w:numId w:val="0"/>
              </w:numPr>
              <w:ind w:firstLine="420"/>
              <w:jc w:val="both"/>
              <w:keepLines w:val="0"/>
              <w:keepNext w:val="0"/>
              <w:pageBreakBefore w:val="0"/>
              <w:spacing w:line="360" w:lineRule="exact"/>
              <w:widowControl w:val="off"/>
              <w:rPr>
                <w:rFonts w:ascii="宋体" w:hAnsi="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投标人配备满足服务要求的机械碎草船的</w:t>
            </w:r>
            <w:r>
              <w:rPr>
                <w:rFonts w:hint="eastAsia" w:ascii="宋体" w:hAnsi="宋体" w:cs="宋体"/>
                <w:b w:val="0"/>
                <w:bCs w:val="0"/>
                <w:color w:val="000000"/>
                <w:sz w:val="21"/>
                <w:szCs w:val="21"/>
                <w:highlight w:val="none"/>
                <w:lang w:val="en-US" w:eastAsia="zh-CN"/>
              </w:rPr>
              <w:t xml:space="preserve">得1分，本项最多得2分；</w:t>
            </w:r>
            <w:r>
              <w:rPr>
                <w:rFonts w:ascii="宋体" w:hAnsi="宋体" w:cs="宋体"/>
                <w:b w:val="0"/>
                <w:bCs w:val="0"/>
                <w:color w:val="000000"/>
                <w:sz w:val="21"/>
                <w:szCs w:val="21"/>
                <w:highlight w:val="none"/>
                <w:lang w:val="en-US" w:eastAsia="zh-CN"/>
              </w:rPr>
            </w:r>
            <w:r/>
          </w:p>
          <w:p>
            <w:pPr>
              <w:pStyle w:val="864"/>
              <w:numPr>
                <w:ilvl w:val="0"/>
                <w:numId w:val="0"/>
              </w:numPr>
              <w:ind w:firstLine="420"/>
              <w:jc w:val="both"/>
              <w:keepLines w:val="0"/>
              <w:keepNext w:val="0"/>
              <w:pageBreakBefore w:val="0"/>
              <w:spacing w:line="36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投标人配备满足服务要求的全自动水草收集船的</w:t>
            </w:r>
            <w:r>
              <w:rPr>
                <w:rFonts w:hint="eastAsia" w:ascii="宋体" w:hAnsi="宋体" w:cs="宋体"/>
                <w:b w:val="0"/>
                <w:bCs w:val="0"/>
                <w:color w:val="000000"/>
                <w:sz w:val="21"/>
                <w:szCs w:val="21"/>
                <w:highlight w:val="none"/>
                <w:lang w:val="en-US" w:eastAsia="zh-CN"/>
              </w:rPr>
              <w:t xml:space="preserve">，仅有1艘不得分，每多配备1艘</w:t>
            </w:r>
            <w:r>
              <w:rPr>
                <w:rFonts w:hint="eastAsia" w:ascii="宋体" w:hAnsi="宋体" w:cs="宋体"/>
                <w:b w:val="0"/>
                <w:bCs w:val="0"/>
                <w:color w:val="000000"/>
                <w:sz w:val="21"/>
                <w:szCs w:val="21"/>
                <w:highlight w:val="none"/>
                <w:lang w:val="en-US" w:eastAsia="zh-CN"/>
              </w:rPr>
              <w:t xml:space="preserve">得</w:t>
            </w:r>
            <w:r>
              <w:rPr>
                <w:rFonts w:hint="eastAsia" w:ascii="宋体" w:hAnsi="宋体" w:cs="宋体"/>
                <w:b w:val="0"/>
                <w:bCs w:val="0"/>
                <w:color w:val="000000"/>
                <w:sz w:val="21"/>
                <w:szCs w:val="21"/>
                <w:highlight w:val="none"/>
                <w:lang w:val="en-US" w:eastAsia="zh-CN"/>
              </w:rPr>
              <w:t xml:space="preserve">1分，本项最多得3分；</w:t>
            </w:r>
            <w:r>
              <w:rPr>
                <w:rFonts w:ascii="宋体" w:hAnsi="宋体" w:eastAsia="宋体" w:cs="宋体"/>
                <w:color w:val="000000"/>
                <w:sz w:val="21"/>
                <w:szCs w:val="21"/>
                <w:highlight w:val="none"/>
                <w:lang w:val="en-US" w:eastAsia="zh-CN"/>
              </w:rPr>
            </w:r>
            <w:r/>
          </w:p>
          <w:p>
            <w:pPr>
              <w:pStyle w:val="864"/>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投标人配备满足服务要求的割草机的</w:t>
            </w:r>
            <w:r>
              <w:rPr>
                <w:rFonts w:hint="eastAsia" w:ascii="宋体" w:hAnsi="宋体" w:cs="宋体"/>
                <w:b w:val="0"/>
                <w:bCs w:val="0"/>
                <w:color w:val="000000"/>
                <w:sz w:val="21"/>
                <w:szCs w:val="21"/>
                <w:highlight w:val="none"/>
                <w:lang w:val="en-US" w:eastAsia="zh-CN"/>
              </w:rPr>
              <w:t xml:space="preserve">，仅有1台不得分，每多配备1台</w:t>
            </w:r>
            <w:r>
              <w:rPr>
                <w:rFonts w:hint="eastAsia" w:ascii="宋体" w:hAnsi="宋体" w:cs="宋体"/>
                <w:b w:val="0"/>
                <w:bCs w:val="0"/>
                <w:color w:val="000000"/>
                <w:sz w:val="21"/>
                <w:szCs w:val="21"/>
                <w:highlight w:val="none"/>
                <w:lang w:val="en-US" w:eastAsia="zh-CN"/>
              </w:rPr>
              <w:t xml:space="preserve">得</w:t>
            </w:r>
            <w:r>
              <w:rPr>
                <w:rFonts w:hint="eastAsia" w:ascii="宋体" w:hAnsi="宋体" w:cs="宋体"/>
                <w:b w:val="0"/>
                <w:bCs w:val="0"/>
                <w:color w:val="000000"/>
                <w:sz w:val="21"/>
                <w:szCs w:val="21"/>
                <w:highlight w:val="none"/>
                <w:lang w:val="en-US" w:eastAsia="zh-CN"/>
              </w:rPr>
              <w:t xml:space="preserve">1分，本项最多得3分；</w:t>
            </w:r>
            <w:r>
              <w:rPr>
                <w:rFonts w:hint="eastAsia" w:ascii="宋体" w:hAnsi="宋体" w:eastAsia="宋体" w:cs="宋体"/>
                <w:color w:val="000000"/>
                <w:sz w:val="21"/>
                <w:szCs w:val="21"/>
                <w:highlight w:val="none"/>
                <w:lang w:val="en-US" w:eastAsia="zh-CN"/>
              </w:rPr>
            </w:r>
            <w:r/>
          </w:p>
          <w:p>
            <w:pPr>
              <w:pStyle w:val="864"/>
              <w:numPr>
                <w:ilvl w:val="0"/>
                <w:numId w:val="0"/>
              </w:numPr>
              <w:ind w:firstLine="420"/>
              <w:jc w:val="both"/>
              <w:keepLines w:val="0"/>
              <w:keepNext w:val="0"/>
              <w:pageBreakBefore w:val="0"/>
              <w:spacing w:line="36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4.投标人配备满足服务要求的保洁铁船（保洁作业船）的，</w:t>
            </w:r>
            <w:r>
              <w:rPr>
                <w:rFonts w:hint="eastAsia" w:ascii="宋体" w:hAnsi="宋体" w:cs="宋体"/>
                <w:b w:val="0"/>
                <w:bCs w:val="0"/>
                <w:color w:val="000000"/>
                <w:sz w:val="21"/>
                <w:szCs w:val="21"/>
                <w:highlight w:val="none"/>
                <w:lang w:val="en-US" w:eastAsia="zh-CN"/>
              </w:rPr>
              <w:t xml:space="preserve">仅有1艘不得分，</w:t>
            </w:r>
            <w:r>
              <w:rPr>
                <w:rFonts w:hint="eastAsia" w:ascii="宋体" w:hAnsi="宋体" w:eastAsia="宋体" w:cs="宋体"/>
                <w:b w:val="0"/>
                <w:bCs w:val="0"/>
                <w:color w:val="000000"/>
                <w:sz w:val="21"/>
                <w:szCs w:val="21"/>
                <w:highlight w:val="none"/>
                <w:lang w:val="en-US" w:eastAsia="zh-CN"/>
              </w:rPr>
              <w:t xml:space="preserve">每多配备1艘得1分，本项最多得3分。</w:t>
            </w:r>
            <w:r>
              <w:rPr>
                <w:rFonts w:ascii="宋体" w:hAnsi="宋体" w:eastAsia="宋体" w:cs="宋体"/>
                <w:b w:val="0"/>
                <w:bCs w:val="0"/>
                <w:color w:val="000000"/>
                <w:sz w:val="21"/>
                <w:szCs w:val="21"/>
                <w:highlight w:val="none"/>
                <w:lang w:val="en-US" w:eastAsia="zh-CN"/>
              </w:rPr>
            </w:r>
            <w:r/>
          </w:p>
          <w:p>
            <w:pPr>
              <w:pStyle w:val="864"/>
              <w:numPr>
                <w:ilvl w:val="0"/>
                <w:numId w:val="0"/>
              </w:numPr>
              <w:ind w:firstLine="420"/>
              <w:jc w:val="both"/>
              <w:keepLines w:val="0"/>
              <w:keepNext w:val="0"/>
              <w:pageBreakBefore w:val="0"/>
              <w:spacing w:line="36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注：</w:t>
            </w:r>
            <w:r>
              <w:rPr>
                <w:rFonts w:hint="eastAsia" w:ascii="宋体" w:hAnsi="宋体" w:cs="宋体"/>
                <w:b w:val="0"/>
                <w:bCs w:val="0"/>
                <w:color w:val="000000"/>
                <w:sz w:val="21"/>
                <w:szCs w:val="21"/>
                <w:highlight w:val="none"/>
                <w:lang w:val="en-US" w:eastAsia="zh-CN"/>
              </w:rPr>
              <w:t xml:space="preserve">上述设备为投标人自有的，</w:t>
            </w:r>
            <w:r>
              <w:rPr>
                <w:rFonts w:hint="eastAsia" w:ascii="宋体" w:hAnsi="宋体" w:eastAsia="宋体" w:cs="宋体"/>
                <w:b w:val="0"/>
                <w:bCs w:val="0"/>
                <w:color w:val="000000"/>
                <w:sz w:val="21"/>
                <w:szCs w:val="21"/>
                <w:highlight w:val="none"/>
                <w:lang w:val="en-US" w:eastAsia="zh-CN"/>
              </w:rPr>
              <w:t xml:space="preserve">投标时需提供设备图片及购买发票原件</w:t>
            </w:r>
            <w:r>
              <w:rPr>
                <w:rFonts w:hint="eastAsia" w:ascii="宋体" w:hAnsi="宋体" w:eastAsia="宋体" w:cs="宋体"/>
                <w:b w:val="0"/>
                <w:bCs w:val="0"/>
                <w:color w:val="000000"/>
                <w:sz w:val="21"/>
                <w:szCs w:val="21"/>
                <w:highlight w:val="none"/>
                <w:lang w:val="en-US" w:eastAsia="zh-CN"/>
              </w:rPr>
              <w:t xml:space="preserve">扫描件，发票购买方名称需与投标人名称一致，否则不予认可；</w:t>
            </w:r>
            <w:r>
              <w:rPr>
                <w:rFonts w:hint="eastAsia" w:ascii="宋体" w:hAnsi="宋体" w:eastAsia="宋体" w:cs="宋体"/>
                <w:b w:val="0"/>
                <w:bCs w:val="0"/>
                <w:color w:val="000000"/>
                <w:sz w:val="21"/>
                <w:szCs w:val="21"/>
                <w:highlight w:val="none"/>
                <w:lang w:val="en-US" w:eastAsia="zh-CN"/>
              </w:rPr>
              <w:t xml:space="preserve">设备为投标人租赁的，投标时需提供设备图片及租赁合同（协议）扫描件，否则不予认可。</w:t>
            </w:r>
            <w:r>
              <w:rPr>
                <w:rFonts w:ascii="宋体" w:hAnsi="宋体" w:eastAsia="宋体" w:cs="宋体"/>
                <w:b w:val="0"/>
                <w:bCs w:val="0"/>
                <w:color w:val="000000"/>
                <w:sz w:val="21"/>
                <w:szCs w:val="21"/>
                <w:highlight w:val="none"/>
                <w:lang w:val="en-US" w:eastAsia="zh-CN"/>
              </w:rPr>
            </w:r>
            <w:r/>
          </w:p>
        </w:tc>
      </w:tr>
      <w:tr>
        <w:trPr>
          <w:trHeight w:val="841"/>
        </w:trPr>
        <w:tc>
          <w:tcPr>
            <w:tcW w:w="709" w:type="dxa"/>
            <w:vAlign w:val="center"/>
            <w:textDirection w:val="lrTb"/>
            <w:noWrap w:val="false"/>
          </w:tcPr>
          <w:p>
            <w:pPr>
              <w:pStyle w:val="864"/>
              <w:jc w:val="center"/>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188" w:type="dxa"/>
            <w:vAlign w:val="center"/>
            <w:textDirection w:val="lrTb"/>
            <w:noWrap w:val="false"/>
          </w:tcPr>
          <w:p>
            <w:pPr>
              <w:pStyle w:val="864"/>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实施方案</w:t>
            </w:r>
            <w:r>
              <w:rPr>
                <w:rFonts w:hint="eastAsia" w:ascii="宋体" w:hAnsi="宋体" w:eastAsia="宋体" w:cs="宋体"/>
                <w:color w:val="000000"/>
                <w:sz w:val="21"/>
                <w:szCs w:val="21"/>
                <w:highlight w:val="none"/>
              </w:rPr>
            </w:r>
            <w:r/>
          </w:p>
          <w:p>
            <w:pPr>
              <w:pStyle w:val="864"/>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491" w:type="dxa"/>
            <w:vAlign w:val="center"/>
            <w:textDirection w:val="lrTb"/>
            <w:noWrap w:val="false"/>
          </w:tcPr>
          <w:p>
            <w:pPr>
              <w:pStyle w:val="864"/>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bookmarkStart w:id="352" w:name="OLE_LINK68"/>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eastAsia="zh-CN"/>
              </w:rPr>
              <w:t xml:space="preserve">.日常保洁具体实施方案</w:t>
            </w:r>
            <w:r>
              <w:rPr>
                <w:rFonts w:hint="eastAsia" w:ascii="宋体" w:hAnsi="宋体" w:eastAsia="宋体" w:cs="宋体"/>
                <w:b/>
                <w:bCs/>
                <w:color w:val="000000"/>
                <w:sz w:val="21"/>
                <w:szCs w:val="21"/>
                <w:highlight w:val="none"/>
              </w:rPr>
              <w:t xml:space="preserve">（</w:t>
            </w:r>
            <w:bookmarkStart w:id="353" w:name="OLE_LINK3"/>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bookmarkEnd w:id="353"/>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投标人应根据采购需求和本项目实际，提供日常保洁具体实施方案，方案应包括但不限于：（1）作业计划；（2）作业流程；（3）质量标准等内容。</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864"/>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2.针对水生植物季节性及突发性情况的措施方案</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投标人应根据采购需求和本项目实际，提供水生植物季节性及突发性情况的措施方案，方案应包括但不限于：（1）治理计划；（2）治理措施；（3）成效经验等内容。</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864"/>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864"/>
              <w:numPr>
                <w:ilvl w:val="0"/>
                <w:numId w:val="0"/>
              </w:numPr>
              <w:ind w:firstLine="422"/>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3.组织机构设置、人员配备、培训与管理</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w:t>
            </w:r>
            <w:r>
              <w:rPr>
                <w:rFonts w:hint="eastAsia"/>
                <w:color w:val="000000"/>
                <w:highlight w:val="none"/>
                <w:lang w:val="en-US" w:eastAsia="zh-CN"/>
              </w:rPr>
              <w:t xml:space="preserve">根据采购需求和本项目实际</w:t>
            </w:r>
            <w:r>
              <w:rPr>
                <w:rFonts w:hint="eastAsia"/>
                <w:color w:val="000000"/>
                <w:highlight w:val="none"/>
              </w:rPr>
              <w:t xml:space="preserve">，</w:t>
            </w:r>
            <w:r>
              <w:rPr>
                <w:rFonts w:hint="eastAsia" w:ascii="宋体" w:hAnsi="宋体" w:eastAsia="宋体" w:cs="宋体"/>
                <w:color w:val="000000"/>
                <w:sz w:val="21"/>
                <w:szCs w:val="21"/>
                <w:highlight w:val="none"/>
                <w:lang w:val="en-US" w:eastAsia="zh-CN"/>
              </w:rPr>
              <w:t xml:space="preserve">提供组织机构设置、人员配备、培训与管理方案，方案应包括但不限于：</w:t>
            </w:r>
            <w:r>
              <w:rPr>
                <w:rFonts w:hint="eastAsia"/>
                <w:color w:val="000000"/>
                <w:highlight w:val="none"/>
              </w:rPr>
              <w:t xml:space="preserve">项目组织架构、各岗位职责说明、人员到岗计划、培训安排及相应的管理制度与保障机制。</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864"/>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864"/>
              <w:numPr>
                <w:ilvl w:val="0"/>
                <w:numId w:val="0"/>
              </w:numPr>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4.应急处置及临时措施方案</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highlight w:val="none"/>
              </w:rPr>
              <w:t xml:space="preserve">投标人应制定具体</w:t>
            </w:r>
            <w:r>
              <w:rPr>
                <w:rFonts w:hint="eastAsia"/>
                <w:color w:val="000000"/>
                <w:highlight w:val="none"/>
                <w:lang w:val="en-US" w:eastAsia="zh-CN"/>
              </w:rPr>
              <w:t xml:space="preserve">应急处置及临时措施方案</w:t>
            </w:r>
            <w:r>
              <w:rPr>
                <w:rFonts w:hint="eastAsia"/>
                <w:color w:val="000000"/>
                <w:highlight w:val="none"/>
              </w:rPr>
              <w:t xml:space="preserve">，</w:t>
            </w:r>
            <w:r>
              <w:rPr>
                <w:rFonts w:hint="eastAsia" w:ascii="宋体" w:hAnsi="宋体" w:eastAsia="宋体" w:cs="宋体"/>
                <w:color w:val="000000"/>
                <w:sz w:val="21"/>
                <w:szCs w:val="21"/>
                <w:highlight w:val="none"/>
                <w:lang w:val="en-US" w:eastAsia="zh-CN"/>
              </w:rPr>
              <w:t xml:space="preserve">方案应包括但不限于：</w:t>
            </w:r>
            <w:r>
              <w:rPr>
                <w:rFonts w:hint="eastAsia"/>
                <w:color w:val="000000"/>
                <w:highlight w:val="none"/>
                <w:lang w:val="en-US" w:eastAsia="zh-CN"/>
              </w:rPr>
              <w:t xml:space="preserve">本河道保洁项目制定的各种突发事件的应急处置处理预案（自然灾害中的应急预案、针对抗台、防汛和突击任务等)，有重点的做好河面保洁区域（须注明增加船只、人员及在要求期限内完成的各类具体措施）。</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    </w:t>
            </w:r>
            <w:r>
              <w:rPr>
                <w:rFonts w:hint="eastAsia" w:ascii="宋体" w:hAnsi="宋体" w:cs="宋体"/>
                <w:b/>
                <w:bCs/>
                <w:color w:val="000000"/>
                <w:sz w:val="21"/>
                <w:szCs w:val="21"/>
                <w:highlight w:val="none"/>
                <w:lang w:val="en-US" w:eastAsia="zh-CN"/>
              </w:rPr>
            </w:r>
            <w:r/>
          </w:p>
          <w:p>
            <w:pPr>
              <w:pStyle w:val="864"/>
              <w:numPr>
                <w:ilvl w:val="0"/>
                <w:numId w:val="0"/>
              </w:numPr>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5.现状调查与问题剖析</w:t>
            </w:r>
            <w:r>
              <w:rPr>
                <w:rFonts w:hint="eastAsia" w:ascii="宋体" w:hAnsi="宋体" w:eastAsia="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投标人应根据采购需求和本项目现场实际进行现状调查与问题剖析，投标人能够详细了解此项目存在的重点、疑点、难点，并分析，合理针对河道保洁工作的现状问题剖析。</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864"/>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p>
            <w:pPr>
              <w:pStyle w:val="864"/>
              <w:ind w:firstLine="422"/>
              <w:jc w:val="both"/>
              <w:keepLines w:val="0"/>
              <w:keepNext w:val="0"/>
              <w:pageBreakBefore w:val="0"/>
              <w:spacing w:line="36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6.台账资料管理、进退场交接方案</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bookmarkEnd w:id="352"/>
            <w:r>
              <w:rPr>
                <w:rFonts w:hint="eastAsia"/>
                <w:color w:val="000000"/>
                <w:highlight w:val="none"/>
              </w:rPr>
              <w:t xml:space="preserve">投标人应制定台账资料管理与交接服务方案，内容至少包括：台账资料的收集、整理、归档规范；进退场交接流程与标准；后续服务计划。</w:t>
            </w:r>
            <w:r>
              <w:rPr>
                <w:rFonts w:hint="eastAsia" w:ascii="宋体" w:hAnsi="宋体" w:eastAsia="宋体" w:cs="宋体"/>
                <w:color w:val="000000"/>
                <w:sz w:val="21"/>
                <w:szCs w:val="21"/>
                <w:highlight w:val="none"/>
              </w:rPr>
              <w:t xml:space="preserve">方案科学合理规范，详细全面完整，分析透彻具体，优于项目需求的得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分；方案符合项目需求的得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分；内容完整性有欠缺的得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分；未提供本项内容的不得分。</w:t>
            </w:r>
            <w:r>
              <w:rPr>
                <w:rFonts w:hint="eastAsia" w:ascii="宋体" w:hAnsi="宋体" w:eastAsia="宋体" w:cs="宋体"/>
                <w:color w:val="000000"/>
                <w:sz w:val="21"/>
                <w:szCs w:val="21"/>
                <w:highlight w:val="none"/>
              </w:rPr>
            </w:r>
            <w:r/>
          </w:p>
          <w:p>
            <w:pPr>
              <w:pStyle w:val="864"/>
              <w:ind w:firstLine="420"/>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提供的方案科学合理、分析透彻、内容详实，不仅完全响应项目需求，还能体现额外深度与创新性的，可视为优于需求；完全响应项目需求的，视为符合需求；响应不完整或存在偏离的，视为有欠缺。</w:t>
            </w:r>
            <w:r>
              <w:rPr>
                <w:rFonts w:hint="eastAsia" w:ascii="宋体" w:hAnsi="宋体" w:eastAsia="宋体" w:cs="宋体"/>
                <w:color w:val="000000"/>
                <w:sz w:val="21"/>
                <w:szCs w:val="21"/>
                <w:highlight w:val="none"/>
              </w:rPr>
            </w:r>
            <w:r/>
          </w:p>
        </w:tc>
      </w:tr>
    </w:tbl>
    <w:p>
      <w:pPr>
        <w:pStyle w:val="864"/>
        <w:rPr>
          <w:rFonts w:ascii="宋体" w:hAnsi="宋体" w:eastAsia="宋体" w:cs="黑体"/>
          <w:b/>
          <w:bCs/>
          <w:color w:val="000000"/>
          <w:sz w:val="44"/>
          <w:szCs w:val="44"/>
          <w:highlight w:val="none"/>
        </w:rPr>
      </w:pPr>
      <w:r>
        <w:rPr>
          <w:rFonts w:hint="eastAsia" w:ascii="宋体" w:hAnsi="宋体" w:eastAsia="宋体" w:cs="黑体"/>
          <w:b/>
          <w:color w:val="000000"/>
          <w:sz w:val="44"/>
          <w:szCs w:val="44"/>
          <w:highlight w:val="none"/>
        </w:rPr>
        <w:br w:type="page" w:clear="all"/>
      </w:r>
      <w:r>
        <w:rPr>
          <w:rFonts w:ascii="宋体" w:hAnsi="宋体" w:eastAsia="宋体" w:cs="黑体"/>
          <w:b/>
          <w:bCs/>
          <w:color w:val="000000"/>
          <w:sz w:val="44"/>
          <w:szCs w:val="44"/>
          <w:highlight w:val="none"/>
        </w:rPr>
      </w:r>
      <w:r/>
    </w:p>
    <w:p>
      <w:pPr>
        <w:pStyle w:val="917"/>
        <w:jc w:val="center"/>
        <w:spacing w:beforeAutospacing="0" w:afterAutospacing="0"/>
        <w:rPr>
          <w:rFonts w:hint="eastAsia" w:ascii="宋体" w:hAnsi="宋体" w:eastAsia="宋体" w:cs="黑体"/>
          <w:b/>
          <w:bCs/>
          <w:color w:val="000000"/>
          <w:sz w:val="44"/>
          <w:szCs w:val="44"/>
          <w:highlight w:val="none"/>
        </w:rPr>
      </w:pPr>
      <w:r>
        <w:rPr>
          <w:rFonts w:hint="eastAsia" w:ascii="宋体" w:hAnsi="宋体" w:eastAsia="宋体" w:cs="黑体"/>
          <w:b/>
          <w:color w:val="000000"/>
          <w:sz w:val="44"/>
          <w:szCs w:val="44"/>
          <w:highlight w:val="none"/>
        </w:rPr>
        <w:t xml:space="preserve">第六章  投标文件格式</w:t>
      </w:r>
      <w:r>
        <w:rPr>
          <w:rFonts w:hint="eastAsia" w:ascii="宋体" w:hAnsi="宋体" w:eastAsia="宋体" w:cs="黑体"/>
          <w:b/>
          <w:bCs/>
          <w:color w:val="000000"/>
          <w:sz w:val="44"/>
          <w:szCs w:val="44"/>
          <w:highlight w:val="none"/>
        </w:rPr>
      </w:r>
      <w:r/>
    </w:p>
    <w:p>
      <w:pPr>
        <w:pStyle w:val="917"/>
        <w:ind w:firstLine="1440"/>
        <w:jc w:val="center"/>
        <w:spacing w:beforeAutospacing="0" w:afterAutospacing="0"/>
        <w:rPr>
          <w:rFonts w:ascii="宋体" w:hAnsi="宋体" w:eastAsia="宋体" w:cs="宋体"/>
          <w:b/>
          <w:color w:val="000000"/>
          <w:sz w:val="72"/>
          <w:szCs w:val="72"/>
          <w:highlight w:val="none"/>
        </w:rPr>
      </w:pPr>
      <w:r/>
      <w:bookmarkStart w:id="354" w:name="_Toc26554094"/>
      <w:r/>
      <w:bookmarkEnd w:id="354"/>
      <w:r/>
      <w:bookmarkStart w:id="355" w:name="_Hlt26955039"/>
      <w:r/>
      <w:bookmarkEnd w:id="355"/>
      <w:r/>
      <w:bookmarkStart w:id="356" w:name="_Hlt26671244"/>
      <w:r/>
      <w:bookmarkEnd w:id="356"/>
      <w:r/>
      <w:bookmarkStart w:id="357" w:name="_Toc120614282"/>
      <w:r/>
      <w:bookmarkStart w:id="358" w:name="_Toc49090576"/>
      <w:r>
        <w:rPr>
          <w:rFonts w:ascii="宋体" w:hAnsi="宋体" w:eastAsia="宋体" w:cs="宋体"/>
          <w:b/>
          <w:color w:val="000000"/>
          <w:sz w:val="72"/>
          <w:szCs w:val="72"/>
          <w:highlight w:val="none"/>
        </w:rPr>
      </w:r>
      <w:r/>
    </w:p>
    <w:p>
      <w:pPr>
        <w:pStyle w:val="917"/>
        <w:ind w:firstLine="1440"/>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17"/>
        <w:ind w:firstLine="1440"/>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17"/>
        <w:jc w:val="center"/>
        <w:spacing w:beforeAutospacing="0" w:afterAutospacing="0"/>
        <w:rPr>
          <w:rFonts w:ascii="宋体" w:hAnsi="宋体" w:eastAsia="宋体"/>
          <w:color w:val="000000"/>
          <w:highlight w:val="none"/>
        </w:rPr>
      </w:pPr>
      <w:r>
        <w:rPr>
          <w:rFonts w:hint="eastAsia" w:ascii="宋体" w:hAnsi="宋体" w:eastAsia="宋体" w:cs="宋体"/>
          <w:b/>
          <w:color w:val="000000"/>
          <w:sz w:val="72"/>
          <w:szCs w:val="72"/>
          <w:highlight w:val="none"/>
        </w:rPr>
        <w:t xml:space="preserve">投  标  文  件</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917"/>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917"/>
        <w:ind w:firstLine="720"/>
        <w:jc w:val="both"/>
        <w:spacing w:beforeAutospacing="0" w:afterAutospacing="0"/>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917"/>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rPr>
          <w:rFonts w:ascii="宋体" w:hAnsi="宋体" w:eastAsia="宋体" w:cs="宋体"/>
          <w:color w:val="000000"/>
          <w:highlight w:val="none"/>
        </w:rPr>
      </w:r>
      <w:r/>
    </w:p>
    <w:p>
      <w:pPr>
        <w:pStyle w:val="917"/>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rPr>
          <w:rFonts w:ascii="宋体" w:hAnsi="宋体" w:eastAsia="宋体" w:cs="宋体"/>
          <w:color w:val="000000"/>
          <w:highlight w:val="none"/>
        </w:rPr>
      </w:r>
      <w:r/>
    </w:p>
    <w:p>
      <w:pPr>
        <w:pStyle w:val="917"/>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rPr>
          <w:rFonts w:ascii="宋体" w:hAnsi="宋体" w:eastAsia="宋体" w:cs="宋体"/>
          <w:color w:val="000000"/>
          <w:highlight w:val="none"/>
        </w:rPr>
      </w:r>
      <w:r/>
    </w:p>
    <w:p>
      <w:pPr>
        <w:pStyle w:val="917"/>
        <w:jc w:val="both"/>
        <w:spacing w:beforeAutospacing="0" w:afterAutospacing="0"/>
        <w:rPr>
          <w:rFonts w:ascii="宋体" w:hAnsi="宋体" w:eastAsia="宋体" w:cs="宋体"/>
          <w:color w:val="000000"/>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rFonts w:ascii="宋体" w:hAnsi="宋体" w:eastAsia="宋体" w:cs="宋体"/>
          <w:color w:val="000000"/>
          <w:highlight w:val="none"/>
        </w:rPr>
      </w:r>
      <w:r/>
    </w:p>
    <w:p>
      <w:pPr>
        <w:pStyle w:val="917"/>
        <w:ind w:firstLine="723"/>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ind w:firstLine="720"/>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917"/>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17"/>
        <w:ind w:firstLine="643"/>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17"/>
        <w:ind w:firstLine="643"/>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643"/>
        <w:jc w:val="center"/>
        <w:spacing w:beforeAutospacing="0" w:afterAutospacing="0" w:line="0" w:lineRule="atLeast"/>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17"/>
        <w:ind w:firstLine="643"/>
        <w:jc w:val="center"/>
        <w:spacing w:beforeAutospacing="0" w:afterAutospacing="0" w:line="0" w:lineRule="atLeast"/>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17"/>
        <w:ind w:firstLine="643"/>
        <w:jc w:val="center"/>
        <w:spacing w:beforeAutospacing="0" w:afterAutospacing="0" w:line="0" w:lineRule="atLeas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一、法人或者其他组织的营业执照等证明文件，自然人的身份证明</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二、上一年度的财务状况报告（至少提供资产负债表、利润表、现金流量表，投标人成立不满一年无需提供）</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w:t>
      </w:r>
      <w:bookmarkStart w:id="359" w:name="OLE_LINK54"/>
      <w:r/>
      <w:bookmarkStart w:id="360" w:name="OLE_LINK55"/>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359"/>
      <w:r/>
      <w:bookmarkEnd w:id="360"/>
      <w:r>
        <w:rPr>
          <w:rFonts w:hint="eastAsia" w:ascii="宋体" w:hAnsi="宋体" w:eastAsia="宋体" w:cs="宋体"/>
          <w:iCs/>
          <w:color w:val="000000"/>
          <w:highlight w:val="none"/>
        </w:rPr>
        <w:t xml:space="preserve">）</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w:t>
      </w:r>
      <w:r>
        <w:rPr>
          <w:rFonts w:hint="eastAsia" w:ascii="宋体" w:hAnsi="宋体" w:cs="宋体"/>
          <w:iCs/>
          <w:color w:val="000000"/>
          <w:highlight w:val="none"/>
          <w:lang w:val="en-US" w:eastAsia="zh-CN"/>
        </w:rPr>
        <w:t xml:space="preserve">3</w:t>
      </w:r>
      <w:r>
        <w:rPr>
          <w:rFonts w:hint="eastAsia" w:ascii="宋体" w:hAnsi="宋体" w:eastAsia="宋体" w:cs="宋体"/>
          <w:iCs/>
          <w:color w:val="000000"/>
          <w:highlight w:val="none"/>
        </w:rPr>
        <w:t xml:space="preserve">年内在经营活动中没有重大违法记录的书面声明</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六、特定资格要求的证明文件（如果本项目设置特定资格要求，则需要提供）</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七、法人授权书</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八、投标函</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九、中小企业声明函</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十、残疾人福利性单位声明函</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lang w:val="en-US" w:eastAsia="zh-CN"/>
        </w:rPr>
      </w:pPr>
      <w:r>
        <w:rPr>
          <w:rFonts w:hint="eastAsia" w:ascii="宋体" w:hAnsi="宋体" w:cs="宋体"/>
          <w:iCs/>
          <w:color w:val="000000"/>
          <w:highlight w:val="none"/>
          <w:lang w:val="en-US" w:eastAsia="zh-CN"/>
        </w:rPr>
        <w:t xml:space="preserve">十一、联合体协议</w:t>
      </w:r>
      <w:r>
        <w:rPr>
          <w:rFonts w:ascii="宋体" w:hAnsi="宋体" w:eastAsia="宋体" w:cs="宋体"/>
          <w:iCs/>
          <w:color w:val="000000"/>
          <w:highlight w:val="none"/>
          <w:lang w:val="en-US" w:eastAsia="zh-CN"/>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二</w:t>
      </w:r>
      <w:r>
        <w:rPr>
          <w:rFonts w:hint="eastAsia" w:ascii="宋体" w:hAnsi="宋体" w:eastAsia="宋体" w:cs="宋体"/>
          <w:iCs/>
          <w:color w:val="000000"/>
          <w:highlight w:val="none"/>
        </w:rPr>
        <w:t xml:space="preserve">、投标分项报价表</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三</w:t>
      </w:r>
      <w:r>
        <w:rPr>
          <w:rFonts w:hint="eastAsia" w:ascii="宋体" w:hAnsi="宋体" w:eastAsia="宋体" w:cs="宋体"/>
          <w:iCs/>
          <w:color w:val="000000"/>
          <w:highlight w:val="none"/>
        </w:rPr>
        <w:t xml:space="preserve">、</w:t>
      </w:r>
      <w:r>
        <w:rPr>
          <w:rFonts w:ascii="宋体" w:hAnsi="宋体" w:eastAsia="宋体" w:cs="宋体"/>
          <w:iCs/>
          <w:color w:val="000000"/>
          <w:highlight w:val="none"/>
        </w:rPr>
        <w:t xml:space="preserve">技术要求响应及偏离表</w:t>
      </w:r>
      <w:r>
        <w:rPr>
          <w:rFonts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四</w:t>
      </w:r>
      <w:r>
        <w:rPr>
          <w:rFonts w:hint="eastAsia" w:ascii="宋体" w:hAnsi="宋体" w:eastAsia="宋体" w:cs="宋体"/>
          <w:iCs/>
          <w:color w:val="000000"/>
          <w:highlight w:val="none"/>
        </w:rPr>
        <w:t xml:space="preserve">、商务要求响应及偏离表</w:t>
      </w:r>
      <w:r>
        <w:rPr>
          <w:rFonts w:ascii="宋体" w:hAnsi="宋体" w:eastAsia="宋体" w:cs="宋体"/>
          <w:iCs/>
          <w:color w:val="000000"/>
          <w:highlight w:val="none"/>
        </w:rPr>
      </w:r>
      <w:r/>
    </w:p>
    <w:p>
      <w:pPr>
        <w:pStyle w:val="917"/>
        <w:ind w:firstLine="480"/>
        <w:jc w:val="both"/>
        <w:spacing w:beforeAutospacing="0" w:afterAutospacing="0" w:line="44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五</w:t>
      </w:r>
      <w:r>
        <w:rPr>
          <w:rFonts w:hint="eastAsia" w:ascii="宋体" w:hAnsi="宋体" w:eastAsia="宋体" w:cs="宋体"/>
          <w:iCs/>
          <w:color w:val="000000"/>
          <w:highlight w:val="none"/>
        </w:rPr>
        <w:t xml:space="preserve">、开标一览表</w:t>
      </w:r>
      <w:r>
        <w:rPr>
          <w:rFonts w:hint="eastAsia" w:ascii="宋体" w:hAnsi="宋体" w:eastAsia="宋体" w:cs="宋体"/>
          <w:iCs/>
          <w:color w:val="000000"/>
          <w:highlight w:val="none"/>
        </w:rPr>
      </w:r>
      <w:r/>
    </w:p>
    <w:p>
      <w:pPr>
        <w:pStyle w:val="917"/>
        <w:ind w:firstLine="480"/>
        <w:jc w:val="both"/>
        <w:spacing w:beforeAutospacing="0" w:afterAutospacing="0" w:line="440" w:lineRule="exact"/>
        <w:rPr>
          <w:rFonts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六</w:t>
      </w:r>
      <w:r>
        <w:rPr>
          <w:rFonts w:hint="eastAsia" w:ascii="宋体" w:hAnsi="宋体" w:eastAsia="宋体" w:cs="宋体"/>
          <w:iCs/>
          <w:color w:val="000000"/>
          <w:highlight w:val="none"/>
        </w:rPr>
        <w:t xml:space="preserve">、实施方案等</w:t>
      </w:r>
      <w:r>
        <w:rPr>
          <w:rFonts w:ascii="宋体" w:hAnsi="宋体" w:eastAsia="宋体" w:cs="宋体"/>
          <w:iCs/>
          <w:color w:val="000000"/>
          <w:highlight w:val="none"/>
        </w:rPr>
      </w:r>
      <w:r/>
    </w:p>
    <w:p>
      <w:pPr>
        <w:pStyle w:val="917"/>
        <w:ind w:firstLine="480"/>
        <w:jc w:val="both"/>
        <w:spacing w:beforeAutospacing="0" w:afterAutospacing="0" w:line="440" w:lineRule="exac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w:t>
      </w:r>
      <w:r>
        <w:rPr>
          <w:rFonts w:hint="eastAsia" w:ascii="宋体" w:hAnsi="宋体" w:cs="宋体"/>
          <w:iCs/>
          <w:color w:val="000000"/>
          <w:highlight w:val="none"/>
          <w:lang w:val="en-US" w:eastAsia="zh-CN"/>
        </w:rPr>
        <w:t xml:space="preserve">七</w:t>
      </w:r>
      <w:r>
        <w:rPr>
          <w:rFonts w:hint="eastAsia" w:ascii="宋体" w:hAnsi="宋体" w:eastAsia="宋体" w:cs="宋体"/>
          <w:iCs/>
          <w:color w:val="000000"/>
          <w:highlight w:val="none"/>
        </w:rPr>
        <w:t xml:space="preserve">、盐城经济技术开发区政府采购事前信用承诺书</w:t>
      </w:r>
      <w:r>
        <w:rPr>
          <w:rFonts w:hint="eastAsia" w:ascii="宋体" w:hAnsi="宋体" w:eastAsia="宋体" w:cs="宋体"/>
          <w:iCs/>
          <w:color w:val="000000"/>
          <w:highlight w:val="none"/>
        </w:rPr>
      </w:r>
      <w:r/>
    </w:p>
    <w:p>
      <w:pPr>
        <w:pStyle w:val="917"/>
        <w:ind w:firstLine="480"/>
        <w:jc w:val="both"/>
        <w:spacing w:beforeAutospacing="0" w:afterAutospacing="0" w:line="440" w:lineRule="exact"/>
        <w:rPr>
          <w:rFonts w:hint="eastAsia" w:ascii="宋体" w:hAnsi="宋体" w:eastAsia="宋体" w:cs="宋体"/>
          <w:iCs/>
          <w:color w:val="000000"/>
          <w:highlight w:val="none"/>
          <w:lang w:val="en-US" w:eastAsia="zh-CN"/>
        </w:rPr>
      </w:pPr>
      <w:r>
        <w:rPr>
          <w:rFonts w:hint="eastAsia" w:ascii="宋体" w:hAnsi="宋体" w:eastAsia="宋体" w:cs="宋体"/>
          <w:iCs/>
          <w:color w:val="000000"/>
          <w:highlight w:val="none"/>
          <w:lang w:val="en-US" w:eastAsia="zh-CN"/>
        </w:rPr>
        <w:t xml:space="preserve">十</w:t>
      </w:r>
      <w:r>
        <w:rPr>
          <w:rFonts w:hint="eastAsia" w:ascii="宋体" w:hAnsi="宋体" w:cs="宋体"/>
          <w:iCs/>
          <w:color w:val="000000"/>
          <w:highlight w:val="none"/>
          <w:lang w:val="en-US" w:eastAsia="zh-CN"/>
        </w:rPr>
        <w:t xml:space="preserve">八</w:t>
      </w:r>
      <w:r>
        <w:rPr>
          <w:rFonts w:hint="eastAsia" w:ascii="宋体" w:hAnsi="宋体" w:eastAsia="宋体" w:cs="宋体"/>
          <w:iCs/>
          <w:color w:val="000000"/>
          <w:highlight w:val="none"/>
          <w:lang w:val="en-US" w:eastAsia="zh-CN"/>
        </w:rPr>
        <w:t xml:space="preserve">、招标文件中规定要求提供的证明材料和投标人认为需要提供的其他材料</w:t>
      </w:r>
      <w:r>
        <w:rPr>
          <w:rFonts w:hint="eastAsia" w:ascii="宋体" w:hAnsi="宋体" w:eastAsia="宋体" w:cs="宋体"/>
          <w:iCs/>
          <w:color w:val="000000"/>
          <w:highlight w:val="none"/>
          <w:lang w:val="en-US" w:eastAsia="zh-CN"/>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line="0" w:lineRule="atLeast"/>
        <w:rPr>
          <w:rFonts w:ascii="Calibri" w:hAnsi="Calibri" w:eastAsia="黑体" w:cs="Calibri"/>
          <w:color w:val="000000"/>
          <w:highlight w:val="none"/>
        </w:rPr>
      </w:pPr>
      <w:r>
        <w:rPr>
          <w:rFonts w:ascii="Calibri" w:hAnsi="Calibri" w:eastAsia="黑体" w:cs="Calibri"/>
          <w:color w:val="000000"/>
          <w:highlight w:val="none"/>
        </w:rPr>
        <w:t xml:space="preserve"> </w:t>
      </w:r>
      <w:r>
        <w:rPr>
          <w:rFonts w:ascii="Calibri" w:hAnsi="Calibri" w:eastAsia="黑体" w:cs="Calibri"/>
          <w:color w:val="000000"/>
          <w:highlight w:val="none"/>
        </w:rPr>
      </w:r>
      <w:r/>
    </w:p>
    <w:p>
      <w:pPr>
        <w:pStyle w:val="917"/>
        <w:jc w:val="both"/>
        <w:spacing w:beforeAutospacing="0" w:afterAutospacing="0" w:line="0" w:lineRule="atLeast"/>
        <w:rPr>
          <w:rFonts w:ascii="黑体" w:hAnsi="黑体" w:eastAsia="黑体"/>
          <w:color w:val="000000"/>
          <w:highlight w:val="none"/>
        </w:rPr>
      </w:pPr>
      <w:r/>
      <w:bookmarkStart w:id="361" w:name="OLE_LINK33"/>
      <w:r>
        <w:rPr>
          <w:rFonts w:hint="eastAsia" w:ascii="黑体" w:hAnsi="黑体" w:eastAsia="黑体" w:cs="黑体"/>
          <w:i/>
          <w:color w:val="000000"/>
          <w:sz w:val="32"/>
          <w:szCs w:val="32"/>
          <w:highlight w:val="none"/>
          <w:u w:val="single"/>
        </w:rPr>
        <w:t xml:space="preserve">一、</w:t>
      </w:r>
      <w:bookmarkStart w:id="362" w:name="OLE_LINK49"/>
      <w:r/>
      <w:bookmarkStart w:id="363" w:name="OLE_LINK48"/>
      <w:r/>
      <w:bookmarkStart w:id="364" w:name="OLE_LINK11"/>
      <w:r/>
      <w:bookmarkStart w:id="365" w:name="OLE_LINK22"/>
      <w:r/>
      <w:bookmarkStart w:id="366" w:name="OLE_LINK36"/>
      <w:r/>
      <w:bookmarkStart w:id="367" w:name="OLE_LINK8"/>
      <w:r/>
      <w:bookmarkStart w:id="368" w:name="OLE_LINK10"/>
      <w:r/>
      <w:bookmarkStart w:id="369" w:name="OLE_LINK56"/>
      <w:r/>
      <w:bookmarkStart w:id="370" w:name="OLE_LINK9"/>
      <w:r>
        <w:rPr>
          <w:rFonts w:hint="eastAsia" w:ascii="黑体" w:hAnsi="黑体" w:eastAsia="黑体" w:cs="黑体"/>
          <w:i/>
          <w:color w:val="000000"/>
          <w:sz w:val="32"/>
          <w:szCs w:val="32"/>
          <w:highlight w:val="none"/>
          <w:u w:val="single"/>
        </w:rPr>
        <w:t xml:space="preserve">法人或者其他组织的营业执照等证明文件，自然人的身份证明</w:t>
      </w:r>
      <w:bookmarkEnd w:id="361"/>
      <w:r/>
      <w:bookmarkEnd w:id="362"/>
      <w:r/>
      <w:bookmarkEnd w:id="363"/>
      <w:r/>
      <w:bookmarkEnd w:id="364"/>
      <w:r/>
      <w:bookmarkEnd w:id="365"/>
      <w:r/>
      <w:bookmarkEnd w:id="366"/>
      <w:r/>
      <w:bookmarkEnd w:id="367"/>
      <w:r/>
      <w:bookmarkEnd w:id="368"/>
      <w:r/>
      <w:bookmarkEnd w:id="369"/>
      <w:r/>
      <w:bookmarkEnd w:id="370"/>
      <w:r>
        <w:rPr>
          <w:rFonts w:ascii="黑体" w:hAnsi="黑体" w:eastAsia="黑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黑体" w:hAnsi="黑体" w:eastAsia="黑体"/>
          <w:color w:val="000000"/>
          <w:highlight w:val="none"/>
        </w:rPr>
      </w:pPr>
      <w:r/>
      <w:bookmarkStart w:id="371" w:name="OLE_LINK34"/>
      <w:r>
        <w:rPr>
          <w:rFonts w:hint="eastAsia" w:ascii="黑体" w:hAnsi="黑体" w:eastAsia="黑体" w:cs="黑体"/>
          <w:i/>
          <w:color w:val="000000"/>
          <w:sz w:val="32"/>
          <w:szCs w:val="32"/>
          <w:highlight w:val="none"/>
          <w:u w:val="single"/>
        </w:rPr>
        <w:t xml:space="preserve">二、</w:t>
      </w:r>
      <w:bookmarkStart w:id="372" w:name="OLE_LINK50"/>
      <w:r/>
      <w:bookmarkStart w:id="373" w:name="OLE_LINK23"/>
      <w:r/>
      <w:bookmarkStart w:id="374" w:name="OLE_LINK38"/>
      <w:r/>
      <w:bookmarkStart w:id="375" w:name="OLE_LINK57"/>
      <w:r/>
      <w:bookmarkStart w:id="376" w:name="OLE_LINK37"/>
      <w:r/>
      <w:bookmarkStart w:id="377" w:name="OLE_LINK58"/>
      <w:r>
        <w:rPr>
          <w:rFonts w:hint="eastAsia" w:ascii="黑体" w:hAnsi="黑体" w:eastAsia="黑体" w:cs="黑体"/>
          <w:i/>
          <w:color w:val="000000"/>
          <w:sz w:val="32"/>
          <w:szCs w:val="32"/>
          <w:highlight w:val="none"/>
          <w:u w:val="single"/>
        </w:rPr>
        <w:t xml:space="preserve">上一年度的财务状况报</w:t>
      </w:r>
      <w:bookmarkEnd w:id="372"/>
      <w:r/>
      <w:bookmarkEnd w:id="373"/>
      <w:r/>
      <w:bookmarkEnd w:id="374"/>
      <w:r/>
      <w:bookmarkEnd w:id="376"/>
      <w:r>
        <w:rPr>
          <w:rFonts w:hint="eastAsia" w:ascii="黑体" w:hAnsi="黑体" w:eastAsia="黑体" w:cs="黑体"/>
          <w:i/>
          <w:color w:val="000000"/>
          <w:sz w:val="32"/>
          <w:szCs w:val="32"/>
          <w:highlight w:val="none"/>
          <w:u w:val="single"/>
        </w:rPr>
        <w:t xml:space="preserve">告</w:t>
      </w:r>
      <w:r>
        <w:rPr>
          <w:rFonts w:ascii="黑体" w:hAnsi="黑体" w:eastAsia="黑体"/>
          <w:color w:val="000000"/>
          <w:highlight w:val="none"/>
        </w:rPr>
      </w:r>
      <w:r/>
    </w:p>
    <w:p>
      <w:pPr>
        <w:pStyle w:val="864"/>
        <w:ind w:firstLine="480"/>
        <w:tabs>
          <w:tab w:val="left" w:pos="1331" w:leader="none"/>
        </w:tabs>
        <w:rPr>
          <w:rFonts w:ascii="宋体" w:hAnsi="宋体" w:eastAsia="宋体" w:cs="宋体"/>
          <w:iCs/>
          <w:color w:val="000000"/>
          <w:sz w:val="24"/>
          <w:highlight w:val="none"/>
        </w:rPr>
      </w:pPr>
      <w:r>
        <w:rPr>
          <w:rFonts w:hint="eastAsia" w:ascii="宋体" w:hAnsi="宋体" w:eastAsia="宋体" w:cs="宋体"/>
          <w:iCs/>
          <w:color w:val="000000"/>
          <w:sz w:val="24"/>
          <w:highlight w:val="none"/>
        </w:rPr>
        <w:t xml:space="preserve">至少提供资产负债表、利润表、现金流量表，投标人成立不满一年无需提供</w:t>
      </w:r>
      <w:bookmarkEnd w:id="371"/>
      <w:r/>
      <w:bookmarkEnd w:id="375"/>
      <w:r/>
      <w:bookmarkEnd w:id="377"/>
      <w:r>
        <w:rPr>
          <w:rFonts w:ascii="宋体" w:hAnsi="宋体" w:eastAsia="宋体" w:cs="宋体"/>
          <w:iCs/>
          <w:color w:val="000000"/>
          <w:sz w:val="24"/>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黑体" w:hAnsi="黑体" w:eastAsia="黑体"/>
          <w:color w:val="000000"/>
          <w:highlight w:val="none"/>
        </w:rPr>
      </w:pPr>
      <w:r/>
      <w:bookmarkStart w:id="378" w:name="OLE_LINK35"/>
      <w:r>
        <w:rPr>
          <w:rFonts w:hint="eastAsia" w:ascii="黑体" w:hAnsi="黑体" w:eastAsia="黑体" w:cs="黑体"/>
          <w:i/>
          <w:color w:val="000000"/>
          <w:sz w:val="32"/>
          <w:szCs w:val="32"/>
          <w:highlight w:val="none"/>
          <w:u w:val="single"/>
        </w:rPr>
        <w:t xml:space="preserve">三、</w:t>
      </w:r>
      <w:bookmarkStart w:id="379" w:name="OLE_LINK60"/>
      <w:r/>
      <w:bookmarkStart w:id="380" w:name="OLE_LINK14"/>
      <w:r/>
      <w:bookmarkStart w:id="381" w:name="OLE_LINK13"/>
      <w:r/>
      <w:bookmarkStart w:id="382" w:name="OLE_LINK52"/>
      <w:r/>
      <w:bookmarkStart w:id="383" w:name="OLE_LINK25"/>
      <w:r/>
      <w:bookmarkStart w:id="384" w:name="OLE_LINK40"/>
      <w:r/>
      <w:bookmarkStart w:id="385" w:name="OLE_LINK15"/>
      <w:r>
        <w:rPr>
          <w:rFonts w:hint="eastAsia" w:ascii="黑体" w:hAnsi="黑体" w:eastAsia="黑体" w:cs="黑体"/>
          <w:i/>
          <w:color w:val="000000"/>
          <w:sz w:val="32"/>
          <w:szCs w:val="32"/>
          <w:highlight w:val="none"/>
          <w:u w:val="single"/>
        </w:rPr>
        <w:t xml:space="preserve">具备履行合同所必需的设备和专业技术能力的书面声明</w:t>
      </w:r>
      <w:r>
        <w:rPr>
          <w:rFonts w:ascii="黑体" w:hAnsi="黑体" w:eastAsia="黑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olor w:val="000000"/>
          <w:highlight w:val="none"/>
        </w:rPr>
      </w:r>
      <w:r/>
    </w:p>
    <w:p>
      <w:pPr>
        <w:pStyle w:val="917"/>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bookmarkEnd w:id="379"/>
      <w:r/>
      <w:bookmarkEnd w:id="380"/>
      <w:r/>
      <w:bookmarkEnd w:id="381"/>
      <w:r/>
      <w:bookmarkEnd w:id="382"/>
      <w:r/>
      <w:bookmarkEnd w:id="383"/>
      <w:r/>
      <w:bookmarkEnd w:id="384"/>
      <w:r/>
      <w:bookmarkEnd w:id="385"/>
      <w:r>
        <w:rPr>
          <w:rFonts w:ascii="宋体" w:hAnsi="宋体" w:eastAsia="宋体" w:cs="宋体"/>
          <w:color w:val="000000"/>
          <w:highlight w:val="none"/>
        </w:rPr>
      </w:r>
      <w:r/>
    </w:p>
    <w:p>
      <w:pPr>
        <w:pStyle w:val="917"/>
        <w:ind w:right="1140" w:firstLine="482"/>
        <w:jc w:val="right"/>
        <w:spacing w:beforeAutospacing="0" w:afterAutospacing="0" w:line="0" w:lineRule="atLeast"/>
        <w:rPr>
          <w:rFonts w:ascii="宋体" w:hAnsi="宋体" w:eastAsia="宋体"/>
          <w:color w:val="000000"/>
          <w:highlight w:val="none"/>
        </w:rPr>
      </w:pPr>
      <w:r/>
      <w:bookmarkStart w:id="386" w:name="OLE_LINK70"/>
      <w:r>
        <w:rPr>
          <w:rFonts w:hint="eastAsia" w:ascii="宋体" w:hAnsi="宋体" w:eastAsia="宋体" w:cs="宋体"/>
          <w:color w:val="000000"/>
          <w:highlight w:val="none"/>
        </w:rPr>
        <w:t xml:space="preserve">企业名称（加盖CA电子公章）：</w:t>
      </w:r>
      <w:r>
        <w:rPr>
          <w:rFonts w:ascii="宋体" w:hAnsi="宋体" w:eastAsia="宋体"/>
          <w:color w:val="000000"/>
          <w:highlight w:val="none"/>
        </w:rPr>
      </w:r>
      <w:r/>
    </w:p>
    <w:p>
      <w:pPr>
        <w:pStyle w:val="917"/>
        <w:ind w:right="480" w:firstLine="6120"/>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w:t>
      </w:r>
      <w:bookmarkEnd w:id="378"/>
      <w:r/>
      <w:bookmarkEnd w:id="386"/>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黑体" w:hAnsi="黑体" w:eastAsia="黑体"/>
          <w:color w:val="000000"/>
          <w:highlight w:val="none"/>
        </w:rPr>
      </w:pPr>
      <w:r/>
      <w:bookmarkStart w:id="387" w:name="OLE_LINK43"/>
      <w:r>
        <w:rPr>
          <w:rFonts w:hint="eastAsia" w:ascii="黑体" w:hAnsi="黑体" w:eastAsia="黑体" w:cs="黑体"/>
          <w:i/>
          <w:color w:val="000000"/>
          <w:sz w:val="32"/>
          <w:szCs w:val="32"/>
          <w:highlight w:val="none"/>
          <w:u w:val="single"/>
        </w:rPr>
        <w:t xml:space="preserve">四、</w:t>
      </w:r>
      <w:bookmarkStart w:id="388" w:name="OLE_LINK39"/>
      <w:r/>
      <w:bookmarkStart w:id="389" w:name="OLE_LINK24"/>
      <w:r/>
      <w:bookmarkStart w:id="390" w:name="OLE_LINK12"/>
      <w:r/>
      <w:bookmarkStart w:id="391" w:name="OLE_LINK51"/>
      <w:r/>
      <w:bookmarkStart w:id="392" w:name="OLE_LINK59"/>
      <w:r>
        <w:rPr>
          <w:rFonts w:hint="eastAsia" w:ascii="黑体" w:hAnsi="黑体" w:eastAsia="黑体" w:cs="黑体"/>
          <w:i/>
          <w:color w:val="000000"/>
          <w:sz w:val="32"/>
          <w:szCs w:val="32"/>
          <w:highlight w:val="none"/>
          <w:u w:val="single"/>
        </w:rPr>
        <w:t xml:space="preserve">依法缴纳税收和社会保障资金的相关材料</w:t>
      </w:r>
      <w:r>
        <w:rPr>
          <w:rFonts w:ascii="黑体" w:hAnsi="黑体" w:eastAsia="黑体"/>
          <w:color w:val="000000"/>
          <w:highlight w:val="none"/>
        </w:rPr>
      </w:r>
      <w:r/>
    </w:p>
    <w:p>
      <w:pPr>
        <w:pStyle w:val="917"/>
        <w:ind w:firstLine="482"/>
        <w:jc w:val="both"/>
        <w:spacing w:beforeAutospacing="0" w:afterAutospacing="0"/>
        <w:rPr>
          <w:rFonts w:ascii="宋体" w:hAnsi="宋体" w:eastAsia="宋体"/>
          <w:color w:val="000000"/>
          <w:highlight w:val="none"/>
        </w:rPr>
      </w:pPr>
      <w:r/>
      <w:bookmarkStart w:id="393"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387"/>
      <w:r/>
      <w:bookmarkEnd w:id="388"/>
      <w:r/>
      <w:bookmarkEnd w:id="389"/>
      <w:r/>
      <w:bookmarkEnd w:id="390"/>
      <w:r/>
      <w:bookmarkEnd w:id="391"/>
      <w:r/>
      <w:bookmarkEnd w:id="392"/>
      <w:r/>
      <w:bookmarkEnd w:id="393"/>
      <w:r>
        <w:rPr>
          <w:rFonts w:ascii="宋体" w:hAnsi="宋体" w:eastAsia="宋体"/>
          <w:color w:val="000000"/>
          <w:highlight w:val="none"/>
        </w:rPr>
      </w:r>
      <w:r/>
    </w:p>
    <w:p>
      <w:pPr>
        <w:pStyle w:val="917"/>
        <w:ind w:firstLine="643"/>
        <w:jc w:val="both"/>
        <w:spacing w:beforeAutospacing="0" w:afterAutospacing="0"/>
        <w:rPr>
          <w:rFonts w:ascii="宋体" w:hAnsi="宋体" w:eastAsia="宋体" w:cs="黑体"/>
          <w:i/>
          <w:color w:val="000000"/>
          <w:sz w:val="32"/>
          <w:szCs w:val="32"/>
          <w:highlight w:val="none"/>
          <w:u w:val="single"/>
        </w:rPr>
      </w:pPr>
      <w:r>
        <w:rPr>
          <w:rFonts w:ascii="宋体" w:hAnsi="宋体" w:eastAsia="宋体" w:cs="黑体"/>
          <w:i/>
          <w:color w:val="000000"/>
          <w:sz w:val="32"/>
          <w:szCs w:val="32"/>
          <w:highlight w:val="none"/>
          <w:u w:val="single"/>
        </w:rPr>
      </w:r>
      <w:r/>
    </w:p>
    <w:p>
      <w:pPr>
        <w:pStyle w:val="917"/>
        <w:jc w:val="both"/>
        <w:spacing w:beforeAutospacing="0" w:afterAutospacing="0"/>
        <w:rPr>
          <w:rFonts w:ascii="黑体" w:hAnsi="黑体" w:eastAsia="黑体"/>
          <w:color w:val="000000"/>
          <w:highlight w:val="none"/>
        </w:rPr>
      </w:pPr>
      <w:r/>
      <w:bookmarkStart w:id="394" w:name="OLE_LINK72"/>
      <w:r>
        <w:rPr>
          <w:rFonts w:hint="eastAsia" w:ascii="黑体" w:hAnsi="黑体" w:eastAsia="黑体" w:cs="黑体"/>
          <w:i/>
          <w:color w:val="000000"/>
          <w:sz w:val="32"/>
          <w:szCs w:val="32"/>
          <w:highlight w:val="none"/>
          <w:u w:val="single"/>
        </w:rPr>
        <w:t xml:space="preserve">五、</w:t>
      </w:r>
      <w:bookmarkStart w:id="395" w:name="OLE_LINK41"/>
      <w:r/>
      <w:bookmarkStart w:id="396" w:name="OLE_LINK26"/>
      <w:r/>
      <w:bookmarkStart w:id="397" w:name="OLE_LINK61"/>
      <w:r/>
      <w:bookmarkStart w:id="398" w:name="OLE_LINK17"/>
      <w:r/>
      <w:bookmarkStart w:id="399" w:name="OLE_LINK16"/>
      <w:r/>
      <w:bookmarkStart w:id="400" w:name="OLE_LINK53"/>
      <w:r>
        <w:rPr>
          <w:rFonts w:hint="eastAsia" w:ascii="黑体" w:hAnsi="黑体" w:eastAsia="黑体" w:cs="黑体"/>
          <w:i/>
          <w:color w:val="000000"/>
          <w:sz w:val="32"/>
          <w:szCs w:val="32"/>
          <w:highlight w:val="none"/>
          <w:u w:val="single"/>
        </w:rPr>
        <w:t xml:space="preserve">参加政府采购活动前 3 年内在经营活动中没有重大违法记录的书面声明</w:t>
      </w:r>
      <w:r>
        <w:rPr>
          <w:rFonts w:ascii="黑体" w:hAnsi="黑体" w:eastAsia="黑体"/>
          <w:color w:val="000000"/>
          <w:highlight w:val="none"/>
        </w:rPr>
      </w:r>
      <w:r/>
    </w:p>
    <w:p>
      <w:pPr>
        <w:pStyle w:val="917"/>
        <w:ind w:firstLine="883"/>
        <w:jc w:val="both"/>
        <w:spacing w:beforeAutospacing="0" w:afterAutospacing="0" w:line="0" w:lineRule="atLeast"/>
        <w:rPr>
          <w:rFonts w:ascii="宋体" w:hAnsi="宋体" w:eastAsia="宋体"/>
          <w:color w:val="000000"/>
          <w:highlight w:val="none"/>
        </w:rPr>
      </w:pPr>
      <w:r>
        <w:rPr>
          <w:rFonts w:hint="eastAsia" w:ascii="宋体" w:hAnsi="宋体" w:eastAsia="宋体" w:cs="宋体"/>
          <w:b/>
          <w:color w:val="000000"/>
          <w:sz w:val="44"/>
          <w:szCs w:val="44"/>
          <w:highlight w:val="none"/>
        </w:rPr>
        <w:t xml:space="preserve">       声  明</w:t>
      </w: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395"/>
      <w:r/>
      <w:bookmarkEnd w:id="396"/>
      <w:r/>
      <w:bookmarkEnd w:id="397"/>
      <w:r/>
      <w:bookmarkEnd w:id="398"/>
      <w:r/>
      <w:bookmarkEnd w:id="399"/>
      <w:r/>
      <w:bookmarkEnd w:id="400"/>
      <w:r>
        <w:rPr>
          <w:rFonts w:ascii="宋体" w:hAnsi="宋体" w:eastAsia="宋体"/>
          <w:color w:val="000000"/>
          <w:highlight w:val="none"/>
        </w:rPr>
      </w:r>
      <w:r/>
    </w:p>
    <w:p>
      <w:pPr>
        <w:pStyle w:val="917"/>
        <w:ind w:right="1140" w:firstLine="482"/>
        <w:jc w:val="right"/>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s="宋体"/>
          <w:color w:val="000000"/>
          <w:highlight w:val="none"/>
        </w:rPr>
        <w:t xml:space="preserve">企业名称（加盖CA电子公章）：</w:t>
      </w:r>
      <w:r>
        <w:rPr>
          <w:rFonts w:ascii="宋体" w:hAnsi="宋体" w:eastAsia="宋体"/>
          <w:color w:val="000000"/>
          <w:highlight w:val="none"/>
        </w:rPr>
      </w:r>
      <w:r/>
    </w:p>
    <w:p>
      <w:pPr>
        <w:pStyle w:val="917"/>
        <w:ind w:right="480" w:firstLine="6120"/>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bookmarkEnd w:id="394"/>
      <w:r>
        <w:rPr>
          <w:rFonts w:ascii="宋体" w:hAnsi="宋体" w:eastAsia="宋体"/>
          <w:color w:val="000000"/>
          <w:highlight w:val="none"/>
        </w:rPr>
      </w:r>
      <w:r/>
    </w:p>
    <w:p>
      <w:pPr>
        <w:pStyle w:val="917"/>
        <w:jc w:val="both"/>
        <w:spacing w:beforeAutospacing="0" w:afterAutospacing="0"/>
        <w:rPr>
          <w:rFonts w:ascii="黑体" w:hAnsi="黑体" w:eastAsia="黑体"/>
          <w:color w:val="000000"/>
          <w:highlight w:val="none"/>
        </w:rPr>
      </w:pPr>
      <w:r>
        <w:rPr>
          <w:rFonts w:hint="eastAsia" w:ascii="黑体" w:hAnsi="黑体" w:eastAsia="黑体" w:cs="黑体"/>
          <w:i/>
          <w:color w:val="000000"/>
          <w:sz w:val="32"/>
          <w:szCs w:val="32"/>
          <w:highlight w:val="none"/>
          <w:u w:val="single"/>
        </w:rPr>
        <w:t xml:space="preserve">六、特定资格要求的证明文件</w:t>
      </w:r>
      <w:r>
        <w:rPr>
          <w:rFonts w:ascii="黑体" w:hAnsi="黑体" w:eastAsia="黑体"/>
          <w:color w:val="000000"/>
          <w:highlight w:val="none"/>
        </w:rPr>
      </w:r>
      <w:r/>
    </w:p>
    <w:p>
      <w:pPr>
        <w:pStyle w:val="917"/>
        <w:ind w:firstLine="240"/>
        <w:jc w:val="both"/>
        <w:keepLines w:val="0"/>
        <w:keepNext w:val="0"/>
        <w:pageBreakBefore w:val="0"/>
        <w:spacing w:beforeAutospacing="0" w:afterAutospacing="0" w:line="300" w:lineRule="exac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如果本项目申请人的特定资格要求中要求提供的，必须提供。</w:t>
      </w:r>
      <w:r>
        <w:rPr>
          <w:rFonts w:hint="eastAsia" w:ascii="宋体" w:hAnsi="宋体" w:eastAsia="宋体" w:cs="宋体"/>
          <w:color w:val="000000"/>
          <w:highlight w:val="none"/>
          <w:lang w:val="en-US" w:eastAsia="zh-CN"/>
        </w:rPr>
      </w:r>
      <w:r/>
    </w:p>
    <w:p>
      <w:pPr>
        <w:pStyle w:val="917"/>
        <w:ind w:firstLine="482"/>
        <w:jc w:val="both"/>
        <w:keepLines w:val="0"/>
        <w:keepNext w:val="0"/>
        <w:pageBreakBefore w:val="0"/>
        <w:spacing w:beforeAutospacing="0" w:afterAutospacing="0" w:line="3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shd w:val="nil"/>
        <w:rPr>
          <w:rFonts w:hint="eastAsia" w:ascii="黑体" w:hAnsi="黑体" w:eastAsia="黑体" w:cs="黑体"/>
          <w:bCs/>
          <w:i/>
          <w:color w:val="000000"/>
          <w:sz w:val="32"/>
          <w:szCs w:val="32"/>
          <w:highlight w:val="none"/>
          <w:u w:val="single"/>
        </w:rPr>
      </w:pPr>
      <w:r>
        <w:rPr>
          <w:rFonts w:hint="eastAsia" w:ascii="黑体" w:hAnsi="黑体" w:eastAsia="黑体" w:cs="黑体"/>
          <w:i/>
          <w:color w:val="000000"/>
          <w:sz w:val="32"/>
          <w:szCs w:val="32"/>
          <w:highlight w:val="none"/>
          <w:u w:val="single"/>
          <w:lang w:val="en-US" w:eastAsia="zh-CN"/>
        </w:rPr>
        <w:br w:type="page" w:clear="all"/>
      </w:r>
      <w:r>
        <w:rPr>
          <w:rFonts w:hint="eastAsia" w:ascii="黑体" w:hAnsi="黑体" w:eastAsia="黑体" w:cs="黑体"/>
          <w:i/>
          <w:color w:val="000000"/>
          <w:sz w:val="32"/>
          <w:szCs w:val="32"/>
          <w:highlight w:val="none"/>
          <w:u w:val="single"/>
          <w:lang w:val="en-US" w:eastAsia="zh-CN"/>
        </w:rPr>
      </w:r>
    </w:p>
    <w:p>
      <w:pPr>
        <w:pStyle w:val="917"/>
        <w:jc w:val="center"/>
        <w:spacing w:beforeAutospacing="0" w:afterAutospacing="0"/>
        <w:rPr>
          <w:rFonts w:hint="eastAsia" w:ascii="黑体" w:hAnsi="黑体" w:eastAsia="黑体" w:cs="黑体"/>
          <w:bCs/>
          <w:i/>
          <w:color w:val="000000"/>
          <w:sz w:val="32"/>
          <w:szCs w:val="32"/>
          <w:highlight w:val="none"/>
          <w:u w:val="single"/>
          <w:lang w:val="en-US" w:eastAsia="zh-CN"/>
        </w:rPr>
      </w:pPr>
      <w:r>
        <w:rPr>
          <w:rFonts w:hint="eastAsia" w:ascii="黑体" w:hAnsi="黑体" w:eastAsia="黑体" w:cs="黑体"/>
          <w:i/>
          <w:color w:val="000000"/>
          <w:sz w:val="32"/>
          <w:szCs w:val="32"/>
          <w:highlight w:val="none"/>
          <w:u w:val="single"/>
        </w:rPr>
        <w:t xml:space="preserve">七、</w:t>
      </w:r>
      <w:bookmarkStart w:id="401" w:name="OLE_LINK63"/>
      <w:r/>
      <w:bookmarkStart w:id="402" w:name="OLE_LINK42"/>
      <w:r/>
      <w:bookmarkStart w:id="403" w:name="OLE_LINK28"/>
      <w:r/>
      <w:bookmarkStart w:id="404" w:name="OLE_LINK19"/>
      <w:r>
        <w:rPr>
          <w:rFonts w:hint="eastAsia" w:ascii="黑体" w:hAnsi="黑体" w:eastAsia="黑体" w:cs="黑体"/>
          <w:i/>
          <w:color w:val="000000"/>
          <w:sz w:val="32"/>
          <w:szCs w:val="32"/>
          <w:highlight w:val="none"/>
          <w:u w:val="single"/>
        </w:rPr>
        <w:t xml:space="preserve">法人授权书</w:t>
      </w:r>
      <w:r>
        <w:rPr>
          <w:rFonts w:hint="eastAsia" w:ascii="黑体" w:hAnsi="黑体" w:eastAsia="黑体" w:cs="黑体"/>
          <w:i/>
          <w:color w:val="000000"/>
          <w:sz w:val="32"/>
          <w:szCs w:val="32"/>
          <w:highlight w:val="none"/>
          <w:u w:val="single"/>
          <w:lang w:eastAsia="zh-CN"/>
        </w:rPr>
        <w:t xml:space="preserve">（</w:t>
      </w:r>
      <w:r>
        <w:rPr>
          <w:rFonts w:hint="eastAsia" w:ascii="黑体" w:hAnsi="黑体" w:eastAsia="黑体" w:cs="黑体"/>
          <w:i/>
          <w:color w:val="000000"/>
          <w:sz w:val="32"/>
          <w:szCs w:val="32"/>
          <w:highlight w:val="none"/>
          <w:u w:val="single"/>
          <w:lang w:val="en-US" w:eastAsia="zh-CN"/>
        </w:rPr>
        <w:t xml:space="preserve">包   ）</w:t>
      </w:r>
      <w:r>
        <w:rPr>
          <w:rFonts w:hint="eastAsia" w:ascii="黑体" w:hAnsi="黑体" w:eastAsia="黑体" w:cs="黑体"/>
          <w:i/>
          <w:color w:val="000000"/>
          <w:sz w:val="32"/>
          <w:szCs w:val="32"/>
          <w:highlight w:val="none"/>
          <w:u w:val="single"/>
        </w:rPr>
      </w:r>
      <w:r/>
    </w:p>
    <w:p>
      <w:pPr>
        <w:pStyle w:val="917"/>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本授权书声明：____________（投标人名称）授权________________（被授权人的姓名）为我方就</w:t>
      </w:r>
      <w:r>
        <w:rPr>
          <w:rFonts w:ascii="宋体" w:hAnsi="宋体" w:eastAsia="宋体"/>
          <w:color w:val="000000"/>
          <w:highlight w:val="none"/>
          <w:u w:val="single"/>
        </w:rPr>
        <w:t xml:space="preserve">JSZC-320991-JSJW-G2026-</w:t>
      </w:r>
      <w:r>
        <w:rPr>
          <w:rFonts w:hint="eastAsia" w:ascii="宋体" w:hAnsi="宋体"/>
          <w:color w:val="000000"/>
          <w:highlight w:val="none"/>
          <w:u w:val="single"/>
          <w:lang w:val="en-US" w:eastAsia="zh-CN"/>
        </w:rPr>
        <w:t xml:space="preserve">0031 </w:t>
      </w:r>
      <w:r>
        <w:rPr>
          <w:rFonts w:ascii="宋体" w:hAnsi="宋体" w:eastAsia="宋体"/>
          <w:color w:val="000000"/>
          <w:highlight w:val="none"/>
        </w:rPr>
        <w:t xml:space="preserve">号项目采购活动的合法代理人，以本单位名义全权处理一切与该项目采购有关的事务。</w:t>
      </w:r>
      <w:r>
        <w:rPr>
          <w:rFonts w:ascii="宋体" w:hAnsi="宋体" w:eastAsia="宋体"/>
          <w:color w:val="000000"/>
          <w:highlight w:val="none"/>
        </w:rPr>
      </w:r>
      <w:r/>
    </w:p>
    <w:p>
      <w:pPr>
        <w:pStyle w:val="917"/>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本授权书于______年____月____日起生效，特此声明。</w:t>
      </w:r>
      <w:r>
        <w:rPr>
          <w:rFonts w:ascii="宋体" w:hAnsi="宋体" w:eastAsia="宋体"/>
          <w:color w:val="000000"/>
          <w:highlight w:val="none"/>
        </w:rPr>
      </w:r>
      <w:r/>
    </w:p>
    <w:p>
      <w:pPr>
        <w:pStyle w:val="917"/>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  被授权人身份证号码：</w:t>
      </w:r>
      <w:r>
        <w:rPr>
          <w:rFonts w:ascii="宋体" w:hAnsi="宋体" w:eastAsia="宋体"/>
          <w:color w:val="000000"/>
          <w:highlight w:val="none"/>
          <w:u w:val="single"/>
        </w:rPr>
        <w:t xml:space="preserve">                  </w:t>
      </w:r>
      <w:r>
        <w:rPr>
          <w:rFonts w:ascii="宋体" w:hAnsi="宋体" w:eastAsia="宋体"/>
          <w:color w:val="000000"/>
          <w:highlight w:val="none"/>
        </w:rPr>
      </w:r>
      <w:r/>
    </w:p>
    <w:p>
      <w:pPr>
        <w:pStyle w:val="917"/>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被授权人联系电话：（手机）</w:t>
      </w:r>
      <w:r>
        <w:rPr>
          <w:rFonts w:ascii="宋体" w:hAnsi="宋体" w:eastAsia="宋体"/>
          <w:color w:val="000000"/>
          <w:highlight w:val="none"/>
          <w:u w:val="single"/>
        </w:rPr>
        <w:t xml:space="preserve">               </w:t>
      </w:r>
      <w:r>
        <w:rPr>
          <w:rFonts w:ascii="宋体" w:hAnsi="宋体" w:eastAsia="宋体"/>
          <w:color w:val="000000"/>
          <w:highlight w:val="none"/>
        </w:rPr>
      </w:r>
      <w:r/>
    </w:p>
    <w:p>
      <w:pPr>
        <w:pStyle w:val="917"/>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授权单位名称：</w:t>
      </w:r>
      <w:r>
        <w:rPr>
          <w:rFonts w:ascii="宋体" w:hAnsi="宋体" w:eastAsia="宋体"/>
          <w:color w:val="000000"/>
          <w:highlight w:val="none"/>
          <w:u w:val="single"/>
        </w:rPr>
        <w:t xml:space="preserve">（加盖CA电子公章）</w:t>
      </w:r>
      <w:r>
        <w:rPr>
          <w:rFonts w:ascii="宋体" w:hAnsi="宋体" w:eastAsia="宋体"/>
          <w:color w:val="000000"/>
          <w:highlight w:val="none"/>
        </w:rPr>
      </w:r>
      <w:r/>
    </w:p>
    <w:p>
      <w:pPr>
        <w:pStyle w:val="917"/>
        <w:ind w:firstLine="480"/>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单位地址：</w:t>
      </w:r>
      <w:r>
        <w:rPr>
          <w:rFonts w:ascii="宋体" w:hAnsi="宋体" w:eastAsia="宋体"/>
          <w:color w:val="000000"/>
          <w:highlight w:val="none"/>
          <w:u w:val="single"/>
        </w:rPr>
        <w:t xml:space="preserve">                       </w:t>
      </w:r>
      <w:r>
        <w:rPr>
          <w:rFonts w:ascii="宋体" w:hAnsi="宋体" w:eastAsia="宋体"/>
          <w:color w:val="000000"/>
          <w:highlight w:val="none"/>
        </w:rPr>
      </w:r>
      <w:r/>
    </w:p>
    <w:p>
      <w:pPr>
        <w:pStyle w:val="917"/>
        <w:ind w:firstLine="482"/>
        <w:jc w:val="both"/>
        <w:spacing w:beforeAutospacing="0" w:afterAutospacing="0" w:line="480" w:lineRule="exact"/>
        <w:tabs>
          <w:tab w:val="left" w:pos="360" w:leader="none"/>
        </w:tabs>
        <w:rPr>
          <w:rFonts w:ascii="宋体" w:hAnsi="宋体" w:eastAsia="宋体"/>
          <w:color w:val="000000"/>
          <w:highlight w:val="none"/>
        </w:rPr>
      </w:pPr>
      <w:r>
        <w:rPr>
          <w:rFonts w:ascii="宋体" w:hAnsi="宋体" w:eastAsia="宋体"/>
          <w:color w:val="000000"/>
          <w:highlight w:val="none"/>
        </w:rPr>
        <w:t xml:space="preserve">日期：</w:t>
      </w:r>
      <w:bookmarkStart w:id="405" w:name="_格式3__银行出具的资信证明"/>
      <w:r/>
      <w:bookmarkStart w:id="406" w:name="_Hlt26955070"/>
      <w:r/>
      <w:bookmarkStart w:id="407" w:name="_Hlt26671380"/>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bookmarkEnd w:id="401"/>
      <w:r>
        <w:rPr>
          <w:rFonts w:ascii="宋体" w:hAnsi="宋体" w:eastAsia="宋体"/>
          <w:color w:val="000000"/>
          <w:highlight w:val="none"/>
        </w:rPr>
      </w:r>
      <w:r/>
    </w:p>
    <w:p>
      <w:pPr>
        <w:pStyle w:val="917"/>
        <w:ind w:firstLine="482"/>
        <w:jc w:val="both"/>
        <w:spacing w:beforeAutospacing="0" w:afterAutospacing="0" w:line="480" w:lineRule="exact"/>
        <w:rPr>
          <w:rFonts w:ascii="宋体" w:hAnsi="宋体" w:eastAsia="宋体"/>
          <w:color w:val="000000"/>
          <w:highlight w:val="none"/>
        </w:rPr>
      </w:pPr>
      <w:r>
        <w:rPr>
          <w:rFonts w:ascii="宋体" w:hAnsi="宋体" w:eastAsia="宋体"/>
          <w:color w:val="000000"/>
          <w:highlight w:val="none"/>
        </w:rPr>
        <w:t xml:space="preserve"> </w:t>
      </w:r>
      <w:bookmarkEnd w:id="402"/>
      <w:r/>
      <w:bookmarkEnd w:id="403"/>
      <w:r/>
      <w:bookmarkEnd w:id="404"/>
      <w:r>
        <w:rPr>
          <w:rFonts w:ascii="宋体" w:hAnsi="宋体" w:eastAsia="宋体"/>
          <w:color w:val="000000"/>
          <w:highlight w:val="none"/>
        </w:rPr>
      </w:r>
      <w:r/>
    </w:p>
    <w:p>
      <w:pPr>
        <w:pStyle w:val="917"/>
        <w:jc w:val="both"/>
        <w:spacing w:beforeAutospacing="0" w:afterAutospacing="0" w:line="480" w:lineRule="exac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s="黑体"/>
          <w:b/>
          <w:color w:val="000000"/>
          <w:sz w:val="32"/>
          <w:szCs w:val="32"/>
          <w:highlight w:val="none"/>
        </w:rPr>
      </w:pPr>
      <w:r>
        <w:rPr>
          <w:rFonts w:ascii="宋体" w:hAnsi="宋体" w:eastAsia="宋体" w:cs="黑体"/>
          <w:b/>
          <w:color w:val="000000"/>
          <w:sz w:val="32"/>
          <w:szCs w:val="32"/>
          <w:highlight w:val="none"/>
        </w:rPr>
      </w:r>
      <w:r/>
    </w:p>
    <w:p>
      <w:pPr>
        <w:pStyle w:val="917"/>
        <w:jc w:val="center"/>
        <w:spacing w:beforeAutospacing="0" w:afterAutospacing="0"/>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八、</w:t>
      </w:r>
      <w:bookmarkStart w:id="408" w:name="OLE_LINK30"/>
      <w:r/>
      <w:bookmarkStart w:id="409" w:name="OLE_LINK29"/>
      <w:r/>
      <w:bookmarkStart w:id="410" w:name="OLE_LINK20"/>
      <w:r/>
      <w:bookmarkStart w:id="411" w:name="OLE_LINK44"/>
      <w:r/>
      <w:bookmarkStart w:id="412" w:name="OLE_LINK64"/>
      <w:r>
        <w:rPr>
          <w:rFonts w:hint="eastAsia" w:ascii="黑体" w:hAnsi="黑体" w:eastAsia="黑体" w:cs="黑体"/>
          <w:i/>
          <w:color w:val="000000"/>
          <w:sz w:val="32"/>
          <w:szCs w:val="32"/>
          <w:highlight w:val="none"/>
          <w:u w:val="single"/>
        </w:rPr>
        <w:t xml:space="preserve">投标函</w:t>
      </w:r>
      <w:r>
        <w:rPr>
          <w:rFonts w:hint="eastAsia" w:ascii="黑体" w:hAnsi="黑体" w:eastAsia="黑体" w:cs="黑体"/>
          <w:i/>
          <w:color w:val="000000"/>
          <w:sz w:val="32"/>
          <w:szCs w:val="32"/>
          <w:highlight w:val="none"/>
          <w:u w:val="single"/>
          <w:lang w:eastAsia="zh-CN"/>
        </w:rPr>
        <w:t xml:space="preserve">（</w:t>
      </w:r>
      <w:r>
        <w:rPr>
          <w:rFonts w:hint="eastAsia" w:ascii="黑体" w:hAnsi="黑体" w:eastAsia="黑体" w:cs="黑体"/>
          <w:i/>
          <w:color w:val="000000"/>
          <w:sz w:val="32"/>
          <w:szCs w:val="32"/>
          <w:highlight w:val="none"/>
          <w:u w:val="single"/>
          <w:lang w:val="en-US" w:eastAsia="zh-CN"/>
        </w:rPr>
        <w:t xml:space="preserve">包   ）</w:t>
      </w:r>
      <w:r>
        <w:rPr>
          <w:rFonts w:hint="eastAsia" w:ascii="黑体" w:hAnsi="黑体" w:eastAsia="黑体" w:cs="黑体"/>
          <w:i/>
          <w:color w:val="000000"/>
          <w:sz w:val="32"/>
          <w:szCs w:val="32"/>
          <w:highlight w:val="none"/>
          <w:u w:val="single"/>
        </w:rPr>
      </w:r>
      <w:r/>
    </w:p>
    <w:p>
      <w:pPr>
        <w:pStyle w:val="917"/>
        <w:spacing w:beforeAutospacing="0" w:afterAutospacing="0" w:line="440" w:lineRule="exact"/>
        <w:rPr>
          <w:rFonts w:hint="eastAsia" w:ascii="宋体" w:hAnsi="宋体" w:eastAsia="宋体"/>
          <w:color w:val="000000"/>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eastAsia="zh-CN"/>
        </w:rPr>
        <w:t xml:space="preserve">盐城经济技术开发区步凤镇人民政府</w:t>
      </w:r>
      <w:r>
        <w:rPr>
          <w:rFonts w:hint="eastAsia" w:ascii="宋体" w:hAnsi="宋体" w:eastAsia="宋体"/>
          <w:color w:val="000000"/>
          <w:highlight w:val="none"/>
          <w:lang w:eastAsia="zh-CN"/>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据此函，__________签字人兹宣布同意如下：</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2.我们完全理解贵方不一定将合同授予最低报价的投标人。</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rPr>
        <w:t xml:space="preserve">间</w:t>
      </w:r>
      <w:r>
        <w:rPr>
          <w:rFonts w:hint="eastAsia" w:ascii="宋体" w:hAnsi="宋体" w:eastAsia="宋体" w:cs="宋体"/>
          <w:color w:val="000000"/>
          <w:highlight w:val="none"/>
        </w:rPr>
        <w:t xml:space="preserve">完成项目，交付买方验收、使用。</w:t>
      </w:r>
      <w:r>
        <w:rPr>
          <w:rFonts w:ascii="宋体" w:hAnsi="宋体" w:eastAsia="宋体"/>
          <w:color w:val="000000"/>
          <w:highlight w:val="none"/>
        </w:rPr>
      </w:r>
      <w:r/>
    </w:p>
    <w:p>
      <w:pPr>
        <w:pStyle w:val="917"/>
        <w:ind w:firstLine="482"/>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7.与本投标有关的正式通讯地址为：</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地      址：</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邮      编：</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电      话：</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传      真：</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投标人开户行：</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账      号：</w:t>
      </w:r>
      <w:r>
        <w:rPr>
          <w:rFonts w:ascii="宋体" w:hAnsi="宋体" w:eastAsia="宋体"/>
          <w:color w:val="000000"/>
          <w:highlight w:val="none"/>
        </w:rPr>
      </w:r>
      <w:r/>
    </w:p>
    <w:p>
      <w:pPr>
        <w:pStyle w:val="917"/>
        <w:ind w:left="420" w:firstLine="482"/>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期：________年____月____日</w:t>
      </w:r>
      <w:bookmarkEnd w:id="411"/>
      <w:r/>
      <w:bookmarkEnd w:id="412"/>
      <w:r>
        <w:rPr>
          <w:rFonts w:ascii="宋体" w:hAnsi="宋体" w:eastAsia="宋体"/>
          <w:color w:val="000000"/>
          <w:highlight w:val="none"/>
        </w:rPr>
      </w:r>
      <w:r/>
    </w:p>
    <w:p>
      <w:pPr>
        <w:pStyle w:val="917"/>
        <w:ind w:firstLine="482"/>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408"/>
      <w:r/>
      <w:bookmarkEnd w:id="409"/>
      <w:r/>
      <w:bookmarkEnd w:id="410"/>
      <w:r>
        <w:rPr>
          <w:rFonts w:ascii="宋体" w:hAnsi="宋体" w:eastAsia="宋体"/>
          <w:color w:val="000000"/>
          <w:highlight w:val="none"/>
        </w:rPr>
      </w:r>
      <w:r/>
    </w:p>
    <w:p>
      <w:pPr>
        <w:pStyle w:val="864"/>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17"/>
        <w:jc w:val="center"/>
        <w:spacing w:beforeAutospacing="0" w:afterAutospacing="0"/>
        <w:rPr>
          <w:rFonts w:hint="eastAsia" w:ascii="黑体" w:hAnsi="黑体" w:eastAsia="黑体" w:cs="黑体"/>
          <w:i/>
          <w:color w:val="000000"/>
          <w:sz w:val="32"/>
          <w:szCs w:val="32"/>
          <w:highlight w:val="none"/>
          <w:u w:val="single"/>
        </w:rPr>
      </w:pPr>
      <w:r/>
      <w:bookmarkStart w:id="413" w:name="OLE_LINK89"/>
      <w:r/>
      <w:bookmarkStart w:id="414" w:name="OLE_LINK27"/>
      <w:r/>
      <w:bookmarkStart w:id="415" w:name="OLE_LINK32"/>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rPr>
        <w:t xml:space="preserve">九、中小企业声明函（服务）</w:t>
      </w:r>
      <w:r>
        <w:rPr>
          <w:rFonts w:hint="eastAsia" w:ascii="黑体" w:hAnsi="黑体" w:eastAsia="黑体" w:cs="黑体"/>
          <w:i/>
          <w:color w:val="000000"/>
          <w:sz w:val="32"/>
          <w:szCs w:val="32"/>
          <w:highlight w:val="none"/>
          <w:u w:val="single"/>
          <w:lang w:eastAsia="zh-CN"/>
        </w:rPr>
        <w:t xml:space="preserve">（</w:t>
      </w:r>
      <w:r>
        <w:rPr>
          <w:rFonts w:hint="eastAsia" w:ascii="黑体" w:hAnsi="黑体" w:eastAsia="黑体" w:cs="黑体"/>
          <w:i/>
          <w:color w:val="000000"/>
          <w:sz w:val="32"/>
          <w:szCs w:val="32"/>
          <w:highlight w:val="none"/>
          <w:u w:val="single"/>
          <w:lang w:val="en-US" w:eastAsia="zh-CN"/>
        </w:rPr>
        <w:t xml:space="preserve">包   ）</w:t>
      </w:r>
      <w:r>
        <w:rPr>
          <w:rFonts w:hint="eastAsia" w:ascii="黑体" w:hAnsi="黑体" w:eastAsia="黑体" w:cs="黑体"/>
          <w:i/>
          <w:color w:val="000000"/>
          <w:sz w:val="32"/>
          <w:szCs w:val="32"/>
          <w:highlight w:val="none"/>
          <w:u w:val="single"/>
        </w:rPr>
      </w:r>
      <w:r/>
    </w:p>
    <w:p>
      <w:pPr>
        <w:pStyle w:val="864"/>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本公司（联合体）郑重声明，根据《政府采购促进中小企业发展管理办法》（财库﹝2020﹞46 号）的规定，本公司（联合体）参加</w:t>
      </w:r>
      <w:r>
        <w:rPr>
          <w:rFonts w:hint="eastAsia" w:ascii="Calibri" w:hAnsi="Calibri" w:eastAsia="宋体" w:cs="Times New Roman"/>
          <w:i/>
          <w:iCs/>
          <w:color w:val="000000"/>
          <w:sz w:val="24"/>
          <w:highlight w:val="none"/>
          <w:u w:val="single"/>
        </w:rPr>
        <w:t xml:space="preserve">（单位名称）</w:t>
      </w:r>
      <w:r>
        <w:rPr>
          <w:rFonts w:hint="eastAsia" w:ascii="Calibri" w:hAnsi="Calibri" w:eastAsia="宋体" w:cs="Times New Roman"/>
          <w:color w:val="000000"/>
          <w:sz w:val="24"/>
          <w:szCs w:val="20"/>
          <w:highlight w:val="none"/>
        </w:rPr>
        <w:t xml:space="preserve">，</w:t>
      </w:r>
      <w:r>
        <w:rPr>
          <w:rFonts w:hint="eastAsia" w:ascii="Calibri" w:hAnsi="Calibri" w:eastAsia="宋体" w:cs="Times New Roman"/>
          <w:color w:val="000000"/>
          <w:sz w:val="24"/>
          <w:highlight w:val="none"/>
        </w:rPr>
        <w:t xml:space="preserve">采购编号为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的</w:t>
      </w:r>
      <w:r>
        <w:rPr>
          <w:rFonts w:hint="eastAsia" w:ascii="Calibri" w:hAnsi="Calibri" w:eastAsia="宋体" w:cs="Times New Roman"/>
          <w:i/>
          <w:iCs/>
          <w:color w:val="000000"/>
          <w:sz w:val="24"/>
          <w:highlight w:val="none"/>
          <w:u w:val="single"/>
        </w:rPr>
        <w:t xml:space="preserve">（项目名称）</w:t>
      </w:r>
      <w:r>
        <w:rPr>
          <w:rFonts w:hint="eastAsia" w:ascii="Calibri" w:hAnsi="Calibri" w:eastAsia="宋体" w:cs="Times New Roman"/>
          <w:color w:val="000000"/>
          <w:sz w:val="24"/>
          <w:highlight w:val="none"/>
        </w:rPr>
        <w:t xml:space="preserve">的采购活动，服务全部由符合政策要求的中小企业承接。相关企业（含联合体中的中小企业、签订分包意向协议的中小企业）的具体情况如下：</w:t>
      </w:r>
      <w:r>
        <w:rPr>
          <w:rFonts w:ascii="Calibri" w:hAnsi="Calibri" w:eastAsia="宋体" w:cs="Times New Roman"/>
          <w:color w:val="000000"/>
          <w:sz w:val="24"/>
          <w:highlight w:val="none"/>
        </w:rPr>
      </w:r>
      <w:r/>
    </w:p>
    <w:p>
      <w:pPr>
        <w:pStyle w:val="864"/>
        <w:numPr>
          <w:ilvl w:val="0"/>
          <w:numId w:val="0"/>
        </w:numPr>
        <w:ind w:firstLine="480"/>
        <w:jc w:val="both"/>
        <w:spacing w:line="500" w:lineRule="exact"/>
        <w:widowControl w:val="off"/>
        <w:rPr>
          <w:rFonts w:ascii="Calibri" w:hAnsi="Calibri" w:eastAsia="宋体" w:cs="Times New Roman"/>
          <w:color w:val="000000"/>
          <w:sz w:val="24"/>
          <w:highlight w:val="none"/>
        </w:rPr>
      </w:pPr>
      <w:r>
        <w:rPr>
          <w:rFonts w:ascii="Calibri" w:hAnsi="Calibri" w:eastAsia="宋体" w:cs="Times New Roman"/>
          <w:color w:val="000000"/>
          <w:sz w:val="24"/>
          <w:szCs w:val="24"/>
          <w:highlight w:val="none"/>
        </w:rPr>
        <w:t xml:space="preserve">2.</w:t>
      </w:r>
      <w:r>
        <w:rPr>
          <w:rFonts w:hint="eastAsia" w:ascii="Calibri" w:hAnsi="Calibri" w:eastAsia="宋体" w:cs="Times New Roman"/>
          <w:i/>
          <w:iCs/>
          <w:color w:val="000000"/>
          <w:sz w:val="24"/>
          <w:highlight w:val="none"/>
          <w:u w:val="single"/>
        </w:rPr>
        <w:t xml:space="preserve">（标的名称）</w:t>
      </w:r>
      <w:r>
        <w:rPr>
          <w:rFonts w:hint="eastAsia" w:ascii="Calibri" w:hAnsi="Calibri" w:eastAsia="宋体" w:cs="Times New Roman"/>
          <w:color w:val="000000"/>
          <w:sz w:val="24"/>
          <w:highlight w:val="none"/>
        </w:rPr>
        <w:t xml:space="preserve"> ，属于</w:t>
      </w:r>
      <w:r>
        <w:rPr>
          <w:rFonts w:hint="eastAsia" w:ascii="Calibri" w:hAnsi="Calibri" w:eastAsia="宋体" w:cs="Times New Roman"/>
          <w:i/>
          <w:iCs/>
          <w:color w:val="000000"/>
          <w:sz w:val="24"/>
          <w:highlight w:val="none"/>
          <w:u w:val="single"/>
        </w:rPr>
        <w:t xml:space="preserve">（采购文件中明确的所属行业）</w:t>
      </w:r>
      <w:r>
        <w:rPr>
          <w:rFonts w:hint="eastAsia" w:ascii="Calibri" w:hAnsi="Calibri" w:eastAsia="宋体" w:cs="Times New Roman"/>
          <w:color w:val="000000"/>
          <w:sz w:val="24"/>
          <w:highlight w:val="none"/>
        </w:rPr>
        <w:t xml:space="preserve">；承建（承接）企业为</w:t>
      </w:r>
      <w:r>
        <w:rPr>
          <w:rFonts w:hint="eastAsia" w:ascii="Calibri" w:hAnsi="Calibri" w:eastAsia="宋体" w:cs="Times New Roman"/>
          <w:i/>
          <w:iCs/>
          <w:color w:val="000000"/>
          <w:sz w:val="24"/>
          <w:highlight w:val="none"/>
          <w:u w:val="single"/>
        </w:rPr>
        <w:t xml:space="preserve">（企业名称）</w:t>
      </w:r>
      <w:r>
        <w:rPr>
          <w:rFonts w:hint="eastAsia" w:ascii="Calibri" w:hAnsi="Calibri" w:eastAsia="宋体" w:cs="Times New Roman"/>
          <w:color w:val="000000"/>
          <w:sz w:val="24"/>
          <w:highlight w:val="none"/>
        </w:rPr>
        <w:t xml:space="preserve">，从业人员</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人，营业收入为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万元，资产总额为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万元，属于（</w:t>
      </w:r>
      <w:r>
        <w:rPr>
          <w:rFonts w:hint="eastAsia" w:ascii="Calibri" w:hAnsi="Calibri" w:eastAsia="宋体" w:cs="Times New Roman"/>
          <w:i/>
          <w:iCs/>
          <w:color w:val="000000"/>
          <w:sz w:val="24"/>
          <w:highlight w:val="none"/>
          <w:u w:val="single"/>
        </w:rPr>
        <w:t xml:space="preserve">中型企业、小型企业、微型企业</w:t>
      </w: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r>
      <w:r/>
    </w:p>
    <w:p>
      <w:pPr>
        <w:pStyle w:val="864"/>
        <w:numPr>
          <w:ilvl w:val="0"/>
          <w:numId w:val="0"/>
        </w:numPr>
        <w:ind w:firstLine="480"/>
        <w:jc w:val="both"/>
        <w:spacing w:line="500" w:lineRule="exact"/>
        <w:widowControl w:val="off"/>
        <w:rPr>
          <w:rFonts w:ascii="Calibri" w:hAnsi="Calibri" w:eastAsia="宋体" w:cs="Times New Roman"/>
          <w:color w:val="000000"/>
          <w:sz w:val="24"/>
          <w:highlight w:val="none"/>
        </w:rPr>
      </w:pPr>
      <w:r>
        <w:rPr>
          <w:rFonts w:ascii="Calibri" w:hAnsi="Calibri" w:eastAsia="宋体" w:cs="Times New Roman"/>
          <w:color w:val="000000"/>
          <w:sz w:val="24"/>
          <w:szCs w:val="24"/>
          <w:highlight w:val="none"/>
        </w:rPr>
        <w:t xml:space="preserve">3.</w:t>
      </w:r>
      <w:r>
        <w:rPr>
          <w:rFonts w:hint="eastAsia" w:ascii="Calibri" w:hAnsi="Calibri" w:eastAsia="宋体" w:cs="Times New Roman"/>
          <w:i/>
          <w:iCs/>
          <w:color w:val="000000"/>
          <w:sz w:val="24"/>
          <w:highlight w:val="none"/>
          <w:u w:val="single"/>
        </w:rPr>
        <w:t xml:space="preserve">（标的名称）</w:t>
      </w:r>
      <w:r>
        <w:rPr>
          <w:rFonts w:hint="eastAsia" w:ascii="Calibri" w:hAnsi="Calibri" w:eastAsia="宋体" w:cs="Times New Roman"/>
          <w:color w:val="000000"/>
          <w:sz w:val="24"/>
          <w:highlight w:val="none"/>
        </w:rPr>
        <w:t xml:space="preserve"> ，属于</w:t>
      </w:r>
      <w:r>
        <w:rPr>
          <w:rFonts w:hint="eastAsia" w:ascii="Calibri" w:hAnsi="Calibri" w:eastAsia="宋体" w:cs="Times New Roman"/>
          <w:i/>
          <w:iCs/>
          <w:color w:val="000000"/>
          <w:sz w:val="24"/>
          <w:highlight w:val="none"/>
          <w:u w:val="single"/>
        </w:rPr>
        <w:t xml:space="preserve">（采购文件中明确的所属行业）</w:t>
      </w:r>
      <w:r>
        <w:rPr>
          <w:rFonts w:hint="eastAsia" w:ascii="Calibri" w:hAnsi="Calibri" w:eastAsia="宋体" w:cs="Times New Roman"/>
          <w:color w:val="000000"/>
          <w:sz w:val="24"/>
          <w:highlight w:val="none"/>
        </w:rPr>
        <w:t xml:space="preserve">；承建（承接）企业为</w:t>
      </w:r>
      <w:r>
        <w:rPr>
          <w:rFonts w:hint="eastAsia" w:ascii="Calibri" w:hAnsi="Calibri" w:eastAsia="宋体" w:cs="Times New Roman"/>
          <w:i/>
          <w:iCs/>
          <w:color w:val="000000"/>
          <w:sz w:val="24"/>
          <w:highlight w:val="none"/>
          <w:u w:val="single"/>
        </w:rPr>
        <w:t xml:space="preserve">（企业名称）</w:t>
      </w:r>
      <w:r>
        <w:rPr>
          <w:rFonts w:hint="eastAsia" w:ascii="Calibri" w:hAnsi="Calibri" w:eastAsia="宋体" w:cs="Times New Roman"/>
          <w:color w:val="000000"/>
          <w:sz w:val="24"/>
          <w:highlight w:val="none"/>
        </w:rPr>
        <w:t xml:space="preserve">，从业人员</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人，营业收入为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万元，资产总额为</w:t>
      </w:r>
      <w:r>
        <w:rPr>
          <w:rFonts w:hint="eastAsia" w:ascii="Calibri" w:hAnsi="Calibri" w:eastAsia="宋体" w:cs="Times New Roman"/>
          <w:color w:val="000000"/>
          <w:sz w:val="24"/>
          <w:highlight w:val="none"/>
          <w:u w:val="single"/>
        </w:rPr>
        <w:t xml:space="preserve">    </w:t>
      </w:r>
      <w:r>
        <w:rPr>
          <w:rFonts w:hint="eastAsia" w:ascii="Calibri" w:hAnsi="Calibri" w:eastAsia="宋体" w:cs="Times New Roman"/>
          <w:color w:val="000000"/>
          <w:sz w:val="24"/>
          <w:highlight w:val="none"/>
        </w:rPr>
        <w:t xml:space="preserve">万元，属于</w:t>
      </w:r>
      <w:r>
        <w:rPr>
          <w:rFonts w:hint="eastAsia" w:ascii="Calibri" w:hAnsi="Calibri" w:eastAsia="宋体" w:cs="Times New Roman"/>
          <w:i/>
          <w:iCs/>
          <w:color w:val="000000"/>
          <w:sz w:val="24"/>
          <w:highlight w:val="none"/>
          <w:u w:val="single"/>
        </w:rPr>
        <w:t xml:space="preserve">（中型企业、小型企业、微型企业）</w:t>
      </w: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r>
      <w:r/>
    </w:p>
    <w:p>
      <w:pPr>
        <w:pStyle w:val="864"/>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w:t>
      </w:r>
      <w:r>
        <w:rPr>
          <w:rFonts w:ascii="Calibri" w:hAnsi="Calibri" w:eastAsia="宋体" w:cs="Times New Roman"/>
          <w:color w:val="000000"/>
          <w:sz w:val="24"/>
          <w:highlight w:val="none"/>
        </w:rPr>
      </w:r>
      <w:r/>
    </w:p>
    <w:p>
      <w:pPr>
        <w:pStyle w:val="864"/>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以上企业，不属于大企业的分支机构，不存在控股股东为大企业的情形，也不存在与大企业的负责人为同一人的情形。</w:t>
      </w:r>
      <w:r>
        <w:rPr>
          <w:rFonts w:ascii="Calibri" w:hAnsi="Calibri" w:eastAsia="宋体" w:cs="Times New Roman"/>
          <w:color w:val="000000"/>
          <w:sz w:val="24"/>
          <w:highlight w:val="none"/>
        </w:rPr>
      </w:r>
      <w:r/>
    </w:p>
    <w:p>
      <w:pPr>
        <w:pStyle w:val="864"/>
        <w:ind w:firstLine="480"/>
        <w:jc w:val="both"/>
        <w:spacing w:line="500" w:lineRule="exact"/>
        <w:widowControl w:val="off"/>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 xml:space="preserve">本企业对上述声明内容的真实性负责。如有虚假，将依法承担相应责任。</w:t>
      </w:r>
      <w:r>
        <w:rPr>
          <w:rFonts w:ascii="Calibri" w:hAnsi="Calibri" w:eastAsia="宋体" w:cs="Times New Roman"/>
          <w:color w:val="000000"/>
          <w:sz w:val="24"/>
          <w:highlight w:val="none"/>
        </w:rPr>
      </w:r>
      <w:r/>
    </w:p>
    <w:p>
      <w:pPr>
        <w:pStyle w:val="864"/>
        <w:ind w:right="720"/>
        <w:jc w:val="both"/>
        <w:spacing w:line="0" w:lineRule="atLeast"/>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w:t>
      </w:r>
      <w:r>
        <w:rPr>
          <w:rFonts w:ascii="Calibri" w:hAnsi="Calibri" w:eastAsia="宋体" w:cs="Times New Roman"/>
          <w:color w:val="000000"/>
          <w:sz w:val="24"/>
          <w:highlight w:val="none"/>
        </w:rPr>
      </w:r>
      <w:r/>
    </w:p>
    <w:p>
      <w:pPr>
        <w:pStyle w:val="864"/>
        <w:ind w:right="180" w:firstLine="360"/>
        <w:jc w:val="right"/>
        <w:spacing w:line="0" w:lineRule="atLeast"/>
        <w:widowControl w:val="off"/>
        <w:rPr>
          <w:rFonts w:ascii="Calibri" w:hAnsi="Calibri" w:eastAsia="宋体" w:cs="Times New Roman"/>
          <w:color w:val="000000"/>
          <w:sz w:val="24"/>
          <w:highlight w:val="none"/>
        </w:rPr>
      </w:pPr>
      <w:r>
        <w:rPr>
          <w:rFonts w:hint="eastAsia" w:ascii="宋体" w:hAnsi="宋体" w:eastAsia="宋体" w:cs="宋体"/>
          <w:color w:val="000000"/>
          <w:sz w:val="24"/>
          <w:highlight w:val="none"/>
        </w:rPr>
        <w:t xml:space="preserve">企业名称（加盖CA电子公章）：</w:t>
      </w:r>
      <w:r>
        <w:rPr>
          <w:rFonts w:ascii="Calibri" w:hAnsi="Calibri" w:eastAsia="宋体" w:cs="Times New Roman"/>
          <w:color w:val="000000"/>
          <w:sz w:val="24"/>
          <w:highlight w:val="none"/>
        </w:rPr>
      </w:r>
      <w:r/>
    </w:p>
    <w:p>
      <w:pPr>
        <w:pStyle w:val="864"/>
        <w:ind w:right="1140" w:firstLine="4560"/>
        <w:spacing w:line="0" w:lineRule="atLeas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ascii="宋体" w:hAnsi="宋体" w:eastAsia="宋体" w:cs="宋体"/>
          <w:color w:val="000000"/>
          <w:sz w:val="24"/>
          <w:highlight w:val="none"/>
        </w:rPr>
        <w:t xml:space="preserve"> </w:t>
      </w:r>
      <w:r>
        <w:rPr>
          <w:rFonts w:ascii="宋体" w:hAnsi="宋体" w:eastAsia="宋体" w:cs="宋体"/>
          <w:color w:val="000000"/>
          <w:sz w:val="24"/>
          <w:highlight w:val="none"/>
        </w:rPr>
      </w:r>
      <w:r/>
    </w:p>
    <w:p>
      <w:pPr>
        <w:pStyle w:val="864"/>
        <w:ind w:firstLine="480"/>
        <w:jc w:val="both"/>
        <w:spacing w:line="500" w:lineRule="exact"/>
        <w:widowControl w:val="off"/>
        <w:rPr>
          <w:rFonts w:ascii="宋体" w:hAnsi="宋体" w:eastAsia="宋体" w:cs="宋体"/>
          <w:color w:val="000000"/>
          <w:sz w:val="24"/>
          <w:highlight w:val="none"/>
        </w:rPr>
      </w:pPr>
      <w:r>
        <w:rPr>
          <w:rFonts w:ascii="宋体" w:hAnsi="宋体" w:eastAsia="宋体" w:cs="宋体"/>
          <w:color w:val="000000"/>
          <w:sz w:val="24"/>
          <w:highlight w:val="none"/>
        </w:rPr>
      </w:r>
      <w:r/>
    </w:p>
    <w:p>
      <w:pPr>
        <w:pStyle w:val="864"/>
        <w:ind w:firstLine="480"/>
        <w:jc w:val="both"/>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备注1：从业人员、营业收入、资产总额填报上一年度数据，无上一年度数据的新成立企业可不填报。</w:t>
      </w:r>
      <w:r>
        <w:rPr>
          <w:rFonts w:ascii="宋体" w:hAnsi="宋体" w:eastAsia="宋体" w:cs="宋体"/>
          <w:color w:val="000000"/>
          <w:sz w:val="24"/>
          <w:highlight w:val="none"/>
        </w:rPr>
      </w:r>
      <w:r/>
    </w:p>
    <w:p>
      <w:pPr>
        <w:pStyle w:val="864"/>
        <w:ind w:firstLine="480"/>
        <w:jc w:val="both"/>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备注2：供应商如不提供此声明函，价格将不做相应扣除（如项目全面面向中小企业，则资格审查不通过）。</w:t>
      </w:r>
      <w:r>
        <w:rPr>
          <w:rFonts w:ascii="宋体" w:hAnsi="宋体" w:eastAsia="宋体" w:cs="宋体"/>
          <w:color w:val="000000"/>
          <w:sz w:val="24"/>
          <w:highlight w:val="none"/>
        </w:rPr>
      </w:r>
      <w:r/>
    </w:p>
    <w:p>
      <w:pPr>
        <w:pStyle w:val="917"/>
        <w:ind w:firstLine="643"/>
        <w:jc w:val="center"/>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917"/>
        <w:ind w:firstLine="643"/>
        <w:jc w:val="center"/>
        <w:spacing w:beforeAutospacing="0" w:afterAutospacing="0" w:line="0" w:lineRule="atLeast"/>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864"/>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br w:type="page" w:clear="all"/>
      </w:r>
      <w:r>
        <w:rPr>
          <w:rFonts w:ascii="黑体" w:hAnsi="黑体" w:eastAsia="黑体" w:cs="黑体"/>
          <w:b/>
          <w:color w:val="000000"/>
          <w:sz w:val="32"/>
          <w:szCs w:val="32"/>
          <w:highlight w:val="none"/>
        </w:rPr>
      </w:r>
      <w:r/>
    </w:p>
    <w:p>
      <w:pPr>
        <w:pStyle w:val="917"/>
        <w:ind w:firstLine="643"/>
        <w:jc w:val="center"/>
        <w:spacing w:beforeAutospacing="0" w:afterAutospacing="0" w:line="0" w:lineRule="atLeast"/>
        <w:rPr>
          <w:rFonts w:ascii="黑体" w:hAnsi="黑体" w:eastAsia="黑体"/>
          <w:b w:val="0"/>
          <w:bCs/>
          <w:color w:val="000000"/>
          <w:sz w:val="32"/>
          <w:szCs w:val="32"/>
          <w:highlight w:val="none"/>
        </w:rPr>
      </w:pPr>
      <w:r>
        <w:rPr>
          <w:rFonts w:hint="eastAsia" w:ascii="黑体" w:hAnsi="黑体" w:eastAsia="黑体" w:cs="黑体"/>
          <w:b w:val="0"/>
          <w:bCs/>
          <w:color w:val="000000"/>
          <w:sz w:val="32"/>
          <w:szCs w:val="32"/>
          <w:highlight w:val="none"/>
        </w:rPr>
        <w:t xml:space="preserve">十、残疾人福利性单位声明函</w:t>
      </w:r>
      <w:r>
        <w:rPr>
          <w:rFonts w:hint="eastAsia" w:ascii="黑体" w:hAnsi="黑体" w:eastAsia="黑体" w:cs="黑体"/>
          <w:b w:val="0"/>
          <w:bCs/>
          <w:color w:val="000000"/>
          <w:sz w:val="32"/>
          <w:szCs w:val="32"/>
          <w:highlight w:val="none"/>
          <w:lang w:eastAsia="zh-CN"/>
        </w:rPr>
        <w:t xml:space="preserve">（</w:t>
      </w:r>
      <w:r>
        <w:rPr>
          <w:rFonts w:hint="eastAsia" w:ascii="黑体" w:hAnsi="黑体" w:eastAsia="黑体" w:cs="黑体"/>
          <w:b w:val="0"/>
          <w:bCs/>
          <w:color w:val="000000"/>
          <w:sz w:val="32"/>
          <w:szCs w:val="32"/>
          <w:highlight w:val="none"/>
          <w:lang w:val="en-US" w:eastAsia="zh-CN"/>
        </w:rPr>
        <w:t xml:space="preserve">包   ）</w:t>
      </w:r>
      <w:r>
        <w:rPr>
          <w:rFonts w:ascii="黑体" w:hAnsi="黑体" w:eastAsia="黑体"/>
          <w:b w:val="0"/>
          <w:bCs/>
          <w:color w:val="000000"/>
          <w:sz w:val="32"/>
          <w:szCs w:val="32"/>
          <w:highlight w:val="none"/>
        </w:rPr>
      </w:r>
      <w:r/>
    </w:p>
    <w:p>
      <w:pPr>
        <w:pStyle w:val="917"/>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rPr>
          <w:rFonts w:ascii="宋体" w:hAnsi="宋体" w:eastAsia="宋体"/>
          <w:color w:val="000000"/>
          <w:highlight w:val="none"/>
        </w:rPr>
      </w:r>
      <w:r/>
    </w:p>
    <w:p>
      <w:pPr>
        <w:pStyle w:val="917"/>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ascii="宋体" w:hAnsi="宋体" w:eastAsia="宋体"/>
          <w:color w:val="000000"/>
          <w:highlight w:val="none"/>
        </w:rPr>
      </w:r>
      <w:r/>
    </w:p>
    <w:p>
      <w:pPr>
        <w:pStyle w:val="917"/>
        <w:ind w:firstLine="482"/>
        <w:jc w:val="both"/>
        <w:spacing w:beforeAutospacing="0" w:afterAutospacing="0" w:line="440" w:lineRule="exac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w:t>
      </w:r>
      <w:r>
        <w:rPr>
          <w:rFonts w:ascii="宋体" w:hAnsi="宋体" w:eastAsia="宋体"/>
          <w:color w:val="000000"/>
          <w:highlight w:val="none"/>
        </w:rPr>
      </w:r>
      <w:r/>
    </w:p>
    <w:p>
      <w:pPr>
        <w:pStyle w:val="917"/>
        <w:ind w:firstLine="482"/>
        <w:jc w:val="both"/>
        <w:spacing w:beforeAutospacing="0" w:afterAutospacing="0" w:line="440" w:lineRule="exact"/>
        <w:rPr>
          <w:rFonts w:ascii="宋体" w:hAnsi="宋体" w:eastAsia="宋体"/>
          <w:color w:val="000000"/>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rPr>
          <w:rFonts w:ascii="宋体" w:hAnsi="宋体" w:eastAsia="宋体"/>
          <w:color w:val="000000"/>
          <w:highlight w:val="none"/>
        </w:rPr>
      </w:r>
      <w:r/>
    </w:p>
    <w:p>
      <w:pPr>
        <w:pStyle w:val="917"/>
        <w:ind w:firstLine="482"/>
        <w:jc w:val="both"/>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ind w:right="1560" w:firstLine="602"/>
        <w:jc w:val="center"/>
        <w:spacing w:beforeAutospacing="0" w:afterAutospacing="0" w:line="0" w:lineRule="atLeast"/>
        <w:tabs>
          <w:tab w:val="left" w:pos="4864" w:leader="none"/>
        </w:tabs>
        <w:rPr>
          <w:rFonts w:ascii="宋体" w:hAnsi="宋体" w:eastAsia="宋体"/>
          <w:color w:val="000000"/>
          <w:highlight w:val="none"/>
        </w:rPr>
      </w:pPr>
      <w:r>
        <w:rPr>
          <w:rFonts w:ascii="宋体" w:hAnsi="宋体" w:eastAsia="宋体" w:cs="仿宋_GB2312"/>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rPr>
          <w:rFonts w:ascii="宋体" w:hAnsi="宋体" w:eastAsia="宋体"/>
          <w:color w:val="000000"/>
          <w:highlight w:val="none"/>
        </w:rPr>
      </w:r>
      <w:r/>
    </w:p>
    <w:p>
      <w:pPr>
        <w:pStyle w:val="917"/>
        <w:ind w:right="1560" w:firstLine="482"/>
        <w:jc w:val="center"/>
        <w:spacing w:beforeAutospacing="0" w:afterAutospacing="0" w:line="0" w:lineRule="atLeast"/>
        <w:tabs>
          <w:tab w:val="left" w:pos="4864" w:leader="none"/>
        </w:tabs>
        <w:rPr>
          <w:rFonts w:ascii="宋体" w:hAnsi="宋体" w:eastAsia="宋体"/>
          <w:color w:val="000000"/>
          <w:highlight w:val="none"/>
        </w:rPr>
      </w:pPr>
      <w:r>
        <w:rPr>
          <w:rFonts w:hint="eastAsia" w:ascii="宋体" w:hAnsi="宋体" w:eastAsia="宋体" w:cs="宋体"/>
          <w:color w:val="000000"/>
          <w:highlight w:val="none"/>
        </w:rPr>
        <w:t xml:space="preserve">           日  期：</w:t>
      </w: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415"/>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bookmarkEnd w:id="414"/>
      <w:r>
        <w:rPr>
          <w:rFonts w:ascii="宋体" w:hAnsi="宋体" w:eastAsia="宋体"/>
          <w:color w:val="000000"/>
          <w:highlight w:val="none"/>
        </w:rPr>
      </w:r>
      <w:r/>
    </w:p>
    <w:p>
      <w:pPr>
        <w:pStyle w:val="917"/>
        <w:ind w:firstLine="480"/>
        <w:spacing w:beforeAutospacing="0" w:afterAutospacing="0" w:line="0" w:lineRule="atLeast"/>
        <w:rPr>
          <w:rFonts w:ascii="宋体" w:hAnsi="宋体" w:eastAsia="宋体"/>
          <w:color w:val="000000"/>
          <w:highlight w:val="none"/>
        </w:rPr>
      </w:pPr>
      <w:r/>
      <w:bookmarkStart w:id="416" w:name="OLE_LINK71"/>
      <w:r>
        <w:rPr>
          <w:rFonts w:hint="eastAsia" w:ascii="宋体" w:hAnsi="宋体" w:eastAsia="宋体"/>
          <w:color w:val="000000"/>
          <w:highlight w:val="none"/>
        </w:rPr>
        <w:t xml:space="preserve">注：如不是残疾人福利性单位，无需提供此声明函。</w:t>
      </w:r>
      <w:bookmarkEnd w:id="413"/>
      <w:r/>
      <w:bookmarkEnd w:id="416"/>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line="0" w:lineRule="atLeast"/>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r>
      <w:r/>
    </w:p>
    <w:p>
      <w:pPr>
        <w:shd w:val="nil"/>
        <w:rPr>
          <w:color w:val="000000"/>
          <w:highlight w:val="none"/>
        </w:rPr>
      </w:pPr>
      <w:r>
        <w:rPr>
          <w:rFonts w:hint="eastAsia" w:ascii="黑体" w:hAnsi="宋体" w:eastAsia="黑体" w:cs="黑体"/>
          <w:b w:val="0"/>
          <w:bCs/>
          <w:color w:val="000000"/>
          <w:sz w:val="32"/>
          <w:szCs w:val="32"/>
          <w:highlight w:val="none"/>
          <w:lang w:val="en-US" w:eastAsia="zh-CN"/>
        </w:rPr>
        <w:br w:type="page" w:clear="all"/>
      </w:r>
      <w:r>
        <w:rPr>
          <w:rFonts w:hint="eastAsia" w:ascii="黑体" w:hAnsi="宋体" w:eastAsia="黑体" w:cs="黑体"/>
          <w:b w:val="0"/>
          <w:bCs/>
          <w:color w:val="000000"/>
          <w:sz w:val="32"/>
          <w:szCs w:val="32"/>
          <w:highlight w:val="none"/>
          <w:lang w:val="en-US" w:eastAsia="zh-CN"/>
        </w:rPr>
      </w:r>
    </w:p>
    <w:p>
      <w:pPr>
        <w:pStyle w:val="917"/>
        <w:jc w:val="center"/>
        <w:spacing w:beforeAutospacing="0" w:afterAutospacing="0" w:line="0" w:lineRule="atLeast"/>
        <w:rPr>
          <w:rFonts w:hint="eastAsia" w:ascii="黑体" w:hAnsi="宋体" w:eastAsia="黑体" w:cs="黑体"/>
          <w:b w:val="0"/>
          <w:bCs w:val="0"/>
          <w:color w:val="000000"/>
          <w:sz w:val="32"/>
          <w:szCs w:val="32"/>
          <w:highlight w:val="none"/>
          <w:lang w:val="en-US" w:eastAsia="zh-CN"/>
        </w:rPr>
      </w:pPr>
      <w:r>
        <w:rPr>
          <w:rFonts w:hint="eastAsia" w:ascii="黑体" w:hAnsi="宋体" w:eastAsia="黑体" w:cs="黑体"/>
          <w:b w:val="0"/>
          <w:bCs/>
          <w:color w:val="000000"/>
          <w:sz w:val="32"/>
          <w:szCs w:val="32"/>
          <w:highlight w:val="none"/>
        </w:rPr>
        <w:t xml:space="preserve">十</w:t>
      </w:r>
      <w:r>
        <w:rPr>
          <w:rFonts w:hint="eastAsia" w:ascii="黑体" w:hAnsi="宋体" w:eastAsia="黑体" w:cs="黑体"/>
          <w:b w:val="0"/>
          <w:bCs/>
          <w:color w:val="000000"/>
          <w:sz w:val="32"/>
          <w:szCs w:val="32"/>
          <w:highlight w:val="none"/>
          <w:lang w:val="en-US" w:eastAsia="zh-CN"/>
        </w:rPr>
        <w:t xml:space="preserve">一</w:t>
      </w:r>
      <w:r>
        <w:rPr>
          <w:rFonts w:hint="eastAsia" w:ascii="黑体" w:hAnsi="宋体" w:eastAsia="黑体" w:cs="黑体"/>
          <w:b w:val="0"/>
          <w:bCs/>
          <w:color w:val="000000"/>
          <w:sz w:val="32"/>
          <w:szCs w:val="32"/>
          <w:highlight w:val="none"/>
        </w:rPr>
        <w:t xml:space="preserve">、联合体协议（参考格式）</w:t>
      </w:r>
      <w:r>
        <w:rPr>
          <w:rFonts w:hint="eastAsia" w:ascii="黑体" w:hAnsi="宋体" w:eastAsia="黑体" w:cs="黑体"/>
          <w:b w:val="0"/>
          <w:bCs/>
          <w:color w:val="000000"/>
          <w:sz w:val="32"/>
          <w:szCs w:val="32"/>
          <w:highlight w:val="none"/>
          <w:lang w:eastAsia="zh-CN"/>
        </w:rPr>
        <w:t xml:space="preserve">（</w:t>
      </w:r>
      <w:r>
        <w:rPr>
          <w:rFonts w:hint="eastAsia" w:ascii="黑体" w:hAnsi="宋体" w:eastAsia="黑体" w:cs="黑体"/>
          <w:b w:val="0"/>
          <w:bCs/>
          <w:color w:val="000000"/>
          <w:sz w:val="32"/>
          <w:szCs w:val="32"/>
          <w:highlight w:val="none"/>
          <w:lang w:val="en-US" w:eastAsia="zh-CN"/>
        </w:rPr>
        <w:t xml:space="preserve">包   ）</w:t>
      </w:r>
      <w:r>
        <w:rPr>
          <w:color w:val="000000"/>
          <w:highlight w:val="none"/>
        </w:rPr>
      </w:r>
      <w:r/>
    </w:p>
    <w:p>
      <w:pPr>
        <w:pStyle w:val="917"/>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（联合体中各供应商全称）在此达成以下协议：</w:t>
      </w:r>
      <w:r>
        <w:rPr>
          <w:color w:val="000000"/>
          <w:highlight w:val="none"/>
        </w:rPr>
      </w:r>
      <w:r/>
    </w:p>
    <w:p>
      <w:pPr>
        <w:pStyle w:val="917"/>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u w:val="single"/>
          <w:lang w:eastAsia="zh-CN"/>
        </w:rPr>
        <w:t xml:space="preserve">盐城经济技术开发区步凤镇人民政府</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color w:val="000000"/>
          <w:highlight w:val="none"/>
        </w:rPr>
      </w:r>
      <w:r/>
    </w:p>
    <w:p>
      <w:pPr>
        <w:pStyle w:val="917"/>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highlight w:val="none"/>
        </w:rPr>
      </w:r>
      <w:r/>
    </w:p>
    <w:p>
      <w:pPr>
        <w:pStyle w:val="917"/>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917"/>
        <w:ind w:firstLine="64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17"/>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color w:val="000000"/>
          <w:highlight w:val="none"/>
        </w:rPr>
      </w:r>
      <w:r/>
    </w:p>
    <w:p>
      <w:pPr>
        <w:pStyle w:val="917"/>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917"/>
        <w:ind w:firstLine="645"/>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联合体中各供应商全称（公章）：     </w:t>
      </w:r>
      <w:r>
        <w:rPr>
          <w:color w:val="000000"/>
          <w:highlight w:val="none"/>
        </w:rPr>
      </w:r>
      <w:r/>
    </w:p>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                                                          日期：</w:t>
      </w:r>
      <w:r>
        <w:rPr>
          <w:rFonts w:ascii="宋体" w:hAnsi="宋体" w:eastAsia="宋体"/>
          <w:color w:val="000000"/>
          <w:highlight w:val="none"/>
        </w:rPr>
      </w:r>
      <w:r/>
    </w:p>
    <w:p>
      <w:pPr>
        <w:pStyle w:val="917"/>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rPr>
        <w:sectPr>
          <w:footerReference w:type="default" r:id="rId13"/>
          <w:footerReference w:type="first" r:id="rId14"/>
          <w:footnotePr/>
          <w:endnotePr/>
          <w:type w:val="nextPage"/>
          <w:pgSz w:w="11906" w:h="16838" w:orient="portrait"/>
          <w:pgMar w:top="1440" w:right="1797" w:bottom="1440" w:left="1797" w:header="851" w:footer="992" w:gutter="0"/>
          <w:pgNumType w:start="1"/>
          <w:cols w:num="1" w:sep="0" w:space="1701" w:equalWidth="1"/>
          <w:docGrid w:linePitch="360"/>
          <w:titlePg/>
        </w:sectPr>
      </w:pPr>
      <w:r/>
      <w:bookmarkStart w:id="417" w:name="OLE_LINK74"/>
      <w:r/>
      <w:bookmarkStart w:id="418" w:name="OLE_LINK18"/>
      <w:r>
        <w:rPr>
          <w:rFonts w:hint="eastAsia" w:ascii="黑体" w:hAnsi="黑体" w:eastAsia="黑体" w:cs="黑体"/>
          <w:b w:val="0"/>
          <w:bCs/>
          <w:color w:val="000000"/>
          <w:sz w:val="32"/>
          <w:szCs w:val="32"/>
          <w:highlight w:val="none"/>
        </w:rPr>
      </w:r>
      <w:r/>
    </w:p>
    <w:p>
      <w:pPr>
        <w:pStyle w:val="917"/>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lang w:eastAsia="zh-CN"/>
        </w:rPr>
      </w:pPr>
      <w:r>
        <w:rPr>
          <w:rFonts w:hint="eastAsia" w:ascii="黑体" w:hAnsi="黑体" w:eastAsia="黑体" w:cs="黑体"/>
          <w:b w:val="0"/>
          <w:bCs/>
          <w:color w:val="000000"/>
          <w:sz w:val="32"/>
          <w:szCs w:val="32"/>
          <w:highlight w:val="none"/>
          <w:lang w:eastAsia="zh-CN"/>
        </w:rPr>
        <w:t xml:space="preserve">十二、</w:t>
      </w:r>
      <w:r>
        <w:rPr>
          <w:rFonts w:hint="eastAsia" w:ascii="黑体" w:hAnsi="黑体" w:eastAsia="黑体" w:cs="黑体"/>
          <w:b w:val="0"/>
          <w:bCs/>
          <w:color w:val="000000"/>
          <w:sz w:val="32"/>
          <w:szCs w:val="32"/>
          <w:highlight w:val="none"/>
        </w:rPr>
        <w:t xml:space="preserve">投标分项报价表</w:t>
      </w:r>
      <w:r>
        <w:rPr>
          <w:rFonts w:hint="eastAsia" w:ascii="黑体" w:hAnsi="黑体" w:eastAsia="黑体" w:cs="黑体"/>
          <w:b w:val="0"/>
          <w:bCs/>
          <w:color w:val="000000"/>
          <w:sz w:val="32"/>
          <w:szCs w:val="32"/>
          <w:highlight w:val="none"/>
          <w:lang w:eastAsia="zh-CN"/>
        </w:rPr>
        <w:t xml:space="preserve">（</w:t>
      </w:r>
      <w:r>
        <w:rPr>
          <w:rFonts w:hint="eastAsia" w:ascii="黑体" w:hAnsi="黑体" w:eastAsia="黑体" w:cs="黑体"/>
          <w:b w:val="0"/>
          <w:bCs/>
          <w:color w:val="000000"/>
          <w:sz w:val="32"/>
          <w:szCs w:val="32"/>
          <w:highlight w:val="none"/>
          <w:lang w:val="en-US" w:eastAsia="zh-CN"/>
        </w:rPr>
        <w:t xml:space="preserve">包1</w:t>
      </w:r>
      <w:r>
        <w:rPr>
          <w:rFonts w:hint="eastAsia" w:ascii="黑体" w:hAnsi="黑体" w:eastAsia="黑体" w:cs="黑体"/>
          <w:b w:val="0"/>
          <w:bCs/>
          <w:color w:val="000000"/>
          <w:sz w:val="32"/>
          <w:szCs w:val="32"/>
          <w:highlight w:val="none"/>
          <w:lang w:eastAsia="zh-CN"/>
        </w:rPr>
        <w:t xml:space="preserve">）</w:t>
      </w:r>
      <w:r>
        <w:rPr>
          <w:rFonts w:hint="eastAsia" w:ascii="黑体" w:hAnsi="黑体" w:eastAsia="黑体" w:cs="黑体"/>
          <w:b w:val="0"/>
          <w:bCs/>
          <w:color w:val="000000"/>
          <w:sz w:val="32"/>
          <w:szCs w:val="32"/>
          <w:highlight w:val="none"/>
          <w:lang w:eastAsia="zh-CN"/>
        </w:rPr>
      </w:r>
      <w:r/>
    </w:p>
    <w:p>
      <w:pPr>
        <w:pStyle w:val="917"/>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lang w:eastAsia="zh-CN"/>
        </w:rPr>
      </w:pPr>
      <w:r>
        <w:rPr>
          <w:rFonts w:hint="eastAsia" w:ascii="黑体" w:hAnsi="黑体" w:eastAsia="黑体" w:cs="黑体"/>
          <w:b w:val="0"/>
          <w:bCs/>
          <w:color w:val="000000"/>
          <w:sz w:val="32"/>
          <w:szCs w:val="32"/>
          <w:highlight w:val="none"/>
          <w:lang w:eastAsia="zh-CN"/>
        </w:rPr>
      </w:r>
      <w:r/>
    </w:p>
    <w:tbl>
      <w:tblPr>
        <w:tblW w:w="148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
        <w:gridCol w:w="996"/>
        <w:gridCol w:w="1716"/>
        <w:gridCol w:w="1317"/>
        <w:gridCol w:w="1556"/>
        <w:gridCol w:w="1077"/>
        <w:gridCol w:w="1523"/>
        <w:gridCol w:w="1261"/>
        <w:gridCol w:w="1183"/>
        <w:gridCol w:w="2906"/>
        <w:gridCol w:w="894"/>
      </w:tblGrid>
      <w:tr>
        <w:trPr>
          <w:trHeight w:val="366"/>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996"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村/社区</w:t>
            </w:r>
            <w:r>
              <w:rPr>
                <w:rFonts w:hint="eastAsia" w:ascii="宋体" w:hAnsi="宋体" w:eastAsia="宋体" w:cs="宋体"/>
                <w:i w:val="0"/>
                <w:iCs w:val="0"/>
                <w:color w:val="000000"/>
                <w:sz w:val="21"/>
                <w:szCs w:val="21"/>
                <w:highlight w:val="none"/>
                <w:u w:val="none"/>
              </w:rPr>
            </w:r>
            <w:r/>
          </w:p>
        </w:tc>
        <w:tc>
          <w:tcPr>
            <w:tcW w:w="1716"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河道名称</w:t>
            </w:r>
            <w:r>
              <w:rPr>
                <w:rFonts w:hint="eastAsia" w:ascii="宋体" w:hAnsi="宋体" w:eastAsia="宋体" w:cs="宋体"/>
                <w:i w:val="0"/>
                <w:iCs w:val="0"/>
                <w:color w:val="000000"/>
                <w:sz w:val="21"/>
                <w:szCs w:val="21"/>
                <w:highlight w:val="none"/>
                <w:u w:val="none"/>
              </w:rPr>
            </w:r>
            <w:r/>
          </w:p>
        </w:tc>
        <w:tc>
          <w:tcPr>
            <w:tcW w:w="131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长度（米）</w:t>
            </w:r>
            <w:r>
              <w:rPr>
                <w:rFonts w:hint="eastAsia" w:ascii="宋体" w:hAnsi="宋体" w:eastAsia="宋体" w:cs="宋体"/>
                <w:i w:val="0"/>
                <w:iCs w:val="0"/>
                <w:color w:val="000000"/>
                <w:sz w:val="21"/>
                <w:szCs w:val="21"/>
                <w:highlight w:val="none"/>
                <w:u w:val="none"/>
              </w:rPr>
            </w:r>
            <w:r/>
          </w:p>
        </w:tc>
        <w:tc>
          <w:tcPr>
            <w:tcW w:w="1556"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河道合计长度（米）</w:t>
            </w:r>
            <w:r>
              <w:rPr>
                <w:rFonts w:hint="eastAsia" w:ascii="宋体" w:hAnsi="宋体" w:eastAsia="宋体" w:cs="宋体"/>
                <w:i w:val="0"/>
                <w:iCs w:val="0"/>
                <w:color w:val="000000"/>
                <w:sz w:val="21"/>
                <w:szCs w:val="21"/>
                <w:highlight w:val="none"/>
                <w:u w:val="none"/>
              </w:rPr>
            </w:r>
            <w:r/>
          </w:p>
        </w:tc>
        <w:tc>
          <w:tcPr>
            <w:gridSpan w:val="4"/>
            <w:tcW w:w="5044"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全费用综合单价（元/米）</w:t>
            </w:r>
            <w:r>
              <w:rPr>
                <w:rFonts w:hint="eastAsia" w:ascii="宋体" w:hAnsi="宋体" w:eastAsia="宋体" w:cs="宋体"/>
                <w:i w:val="0"/>
                <w:iCs w:val="0"/>
                <w:color w:val="000000"/>
                <w:sz w:val="21"/>
                <w:szCs w:val="21"/>
                <w:highlight w:val="none"/>
                <w:u w:val="none"/>
                <w:lang w:val="en-US" w:eastAsia="zh-CN" w:bidi="ar"/>
              </w:rPr>
            </w:r>
            <w:r/>
          </w:p>
        </w:tc>
        <w:tc>
          <w:tcPr>
            <w:tcW w:w="2906"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合价（元）</w:t>
            </w:r>
            <w:r>
              <w:rPr>
                <w:rFonts w:hint="eastAsia" w:ascii="宋体" w:hAnsi="宋体" w:eastAsia="宋体" w:cs="宋体"/>
                <w:i w:val="0"/>
                <w:iCs w:val="0"/>
                <w:color w:val="000000"/>
                <w:sz w:val="21"/>
                <w:szCs w:val="21"/>
                <w:highlight w:val="none"/>
                <w:u w:val="none"/>
                <w:lang w:val="en-US" w:eastAsia="zh-CN" w:bidi="ar"/>
              </w:rPr>
            </w:r>
            <w:r/>
          </w:p>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（河道合计长度*合计单价）</w:t>
            </w:r>
            <w:r>
              <w:rPr>
                <w:rFonts w:hint="eastAsia" w:ascii="宋体" w:hAnsi="宋体" w:eastAsia="宋体" w:cs="宋体"/>
                <w:i w:val="0"/>
                <w:iCs w:val="0"/>
                <w:color w:val="000000"/>
                <w:sz w:val="21"/>
                <w:szCs w:val="21"/>
                <w:highlight w:val="none"/>
                <w:u w:val="none"/>
                <w:lang w:val="en-US" w:eastAsia="zh-CN" w:bidi="ar"/>
              </w:rPr>
            </w:r>
            <w:r/>
          </w:p>
        </w:tc>
        <w:tc>
          <w:tcPr>
            <w:tcW w:w="894" w:type="dxa"/>
            <w:vAlign w:val="center"/>
            <w:vMerge w:val="restart"/>
            <w:textDirection w:val="lrTb"/>
            <w:noWrap/>
          </w:tcPr>
          <w:p>
            <w:pPr>
              <w:pStyle w:val="86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ascii="宋体" w:hAnsi="宋体" w:eastAsia="宋体" w:cs="宋体"/>
                <w:i w:val="0"/>
                <w:iCs w:val="0"/>
                <w:color w:val="000000"/>
                <w:sz w:val="21"/>
                <w:szCs w:val="21"/>
                <w:highlight w:val="none"/>
                <w:u w:val="none"/>
                <w:lang w:val="en-US" w:eastAsia="zh-CN" w:bidi="ar"/>
              </w:rPr>
            </w:r>
            <w:r/>
          </w:p>
        </w:tc>
      </w:tr>
      <w:tr>
        <w:trPr>
          <w:trHeight w:val="274"/>
        </w:trPr>
        <w:tc>
          <w:tcPr>
            <w:tcW w:w="377"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96"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16"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317"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56"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c>
          <w:tcPr>
            <w:tcW w:w="1077" w:type="dxa"/>
            <w:vAlign w:val="center"/>
            <w:textDirection w:val="lrTb"/>
            <w:noWrap/>
          </w:tcPr>
          <w:p>
            <w:pPr>
              <w:pStyle w:val="86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河道保洁单价</w:t>
            </w:r>
            <w:r>
              <w:rPr>
                <w:rFonts w:ascii="宋体" w:hAnsi="宋体" w:eastAsia="宋体" w:cs="宋体"/>
                <w:i w:val="0"/>
                <w:iCs w:val="0"/>
                <w:color w:val="000000"/>
                <w:sz w:val="21"/>
                <w:szCs w:val="21"/>
                <w:highlight w:val="none"/>
                <w:u w:val="none"/>
                <w:lang w:val="en-US" w:eastAsia="zh-CN" w:bidi="ar"/>
              </w:rPr>
            </w:r>
            <w:r/>
          </w:p>
        </w:tc>
        <w:tc>
          <w:tcPr>
            <w:tcW w:w="152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河坡（两侧）修整单价</w:t>
            </w:r>
            <w:r>
              <w:rPr>
                <w:rFonts w:hint="eastAsia" w:ascii="宋体" w:hAnsi="宋体" w:eastAsia="宋体" w:cs="宋体"/>
                <w:i w:val="0"/>
                <w:iCs w:val="0"/>
                <w:color w:val="000000"/>
                <w:sz w:val="21"/>
                <w:szCs w:val="21"/>
                <w:highlight w:val="none"/>
                <w:u w:val="none"/>
                <w:lang w:val="en-US" w:eastAsia="zh-CN" w:bidi="ar"/>
              </w:rPr>
            </w:r>
            <w:r/>
          </w:p>
        </w:tc>
        <w:tc>
          <w:tcPr>
            <w:tcW w:w="1261"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河坡垃圾清理单价</w:t>
            </w:r>
            <w:r>
              <w:rPr>
                <w:rFonts w:hint="eastAsia" w:ascii="宋体" w:hAnsi="宋体" w:eastAsia="宋体" w:cs="宋体"/>
                <w:i w:val="0"/>
                <w:iCs w:val="0"/>
                <w:color w:val="000000"/>
                <w:sz w:val="21"/>
                <w:szCs w:val="21"/>
                <w:highlight w:val="none"/>
                <w:u w:val="none"/>
                <w:lang w:val="en-US" w:eastAsia="zh-CN" w:bidi="ar"/>
              </w:rPr>
            </w:r>
            <w:r/>
          </w:p>
        </w:tc>
        <w:tc>
          <w:tcPr>
            <w:tcW w:w="11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合计单价</w:t>
            </w:r>
            <w:r>
              <w:rPr>
                <w:rFonts w:hint="eastAsia" w:ascii="宋体" w:hAnsi="宋体" w:eastAsia="宋体" w:cs="宋体"/>
                <w:i w:val="0"/>
                <w:iCs w:val="0"/>
                <w:color w:val="000000"/>
                <w:sz w:val="21"/>
                <w:szCs w:val="21"/>
                <w:highlight w:val="none"/>
                <w:u w:val="none"/>
                <w:lang w:val="en-US" w:eastAsia="zh-CN" w:bidi="ar"/>
              </w:rPr>
            </w:r>
            <w:r/>
          </w:p>
        </w:tc>
        <w:tc>
          <w:tcPr>
            <w:tcW w:w="2906"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94"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96" w:type="dxa"/>
            <w:vAlign w:val="center"/>
            <w:vMerge w:val="restart"/>
            <w:textDirection w:val="lrTb"/>
            <w:noWrap w:val="false"/>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25"/>
                <w:rFonts w:hint="eastAsia" w:ascii="宋体" w:hAnsi="宋体" w:eastAsia="宋体" w:cs="宋体"/>
                <w:color w:val="000000"/>
                <w:sz w:val="21"/>
                <w:szCs w:val="21"/>
                <w:highlight w:val="none"/>
                <w:lang w:val="en-US" w:eastAsia="zh-CN" w:bidi="ar"/>
              </w:rPr>
              <w:t xml:space="preserve">友谊</w:t>
            </w: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德喜河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556"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16000</w:t>
            </w:r>
            <w:r>
              <w:rPr>
                <w:rFonts w:ascii="宋体" w:hAnsi="宋体" w:eastAsia="宋体" w:cs="宋体"/>
                <w:i w:val="0"/>
                <w:iCs w:val="0"/>
                <w:color w:val="000000"/>
                <w:sz w:val="21"/>
                <w:szCs w:val="21"/>
                <w:highlight w:val="none"/>
                <w:u w:val="none"/>
                <w:lang w:val="en-US" w:eastAsia="zh-CN"/>
              </w:rPr>
            </w:r>
            <w:r/>
          </w:p>
        </w:tc>
        <w:tc>
          <w:tcPr>
            <w:tcW w:w="1077"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黄巷渠</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方向河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前进河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新农河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北前进河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友谊河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坎北庄河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中坎庄河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96" w:type="dxa"/>
            <w:vAlign w:val="center"/>
            <w:vMerge w:val="restart"/>
            <w:textDirection w:val="lrTb"/>
            <w:noWrap w:val="false"/>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25"/>
                <w:rFonts w:hint="eastAsia" w:ascii="宋体" w:hAnsi="宋体" w:eastAsia="宋体" w:cs="宋体"/>
                <w:color w:val="000000"/>
                <w:sz w:val="21"/>
                <w:szCs w:val="21"/>
                <w:highlight w:val="none"/>
                <w:lang w:val="en-US" w:eastAsia="zh-CN" w:bidi="ar"/>
              </w:rPr>
              <w:t xml:space="preserve">友权</w:t>
            </w: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灶港河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w:t>
            </w:r>
            <w:r>
              <w:rPr>
                <w:rFonts w:hint="eastAsia" w:ascii="宋体" w:hAnsi="宋体" w:eastAsia="宋体" w:cs="宋体"/>
                <w:i w:val="0"/>
                <w:iCs w:val="0"/>
                <w:color w:val="000000"/>
                <w:sz w:val="21"/>
                <w:szCs w:val="21"/>
                <w:highlight w:val="none"/>
                <w:u w:val="none"/>
              </w:rPr>
            </w:r>
            <w:r/>
          </w:p>
        </w:tc>
        <w:tc>
          <w:tcPr>
            <w:tcW w:w="1556"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17700</w:t>
            </w:r>
            <w:r>
              <w:rPr>
                <w:rFonts w:ascii="宋体" w:hAnsi="宋体" w:eastAsia="宋体" w:cs="宋体"/>
                <w:i w:val="0"/>
                <w:iCs w:val="0"/>
                <w:color w:val="000000"/>
                <w:sz w:val="21"/>
                <w:szCs w:val="21"/>
                <w:highlight w:val="none"/>
                <w:u w:val="none"/>
                <w:lang w:val="en-US" w:eastAsia="zh-CN"/>
              </w:rPr>
            </w:r>
            <w:r/>
          </w:p>
        </w:tc>
        <w:tc>
          <w:tcPr>
            <w:tcW w:w="1077"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黄巷渠</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方向河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前进河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新农河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北前进河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迎春河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友权庄河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96"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伍龙</w:t>
            </w: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东西庄河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1556"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11450</w:t>
            </w:r>
            <w:r>
              <w:rPr>
                <w:rFonts w:ascii="宋体" w:hAnsi="宋体" w:eastAsia="宋体" w:cs="宋体"/>
                <w:i w:val="0"/>
                <w:iCs w:val="0"/>
                <w:color w:val="000000"/>
                <w:sz w:val="21"/>
                <w:szCs w:val="21"/>
                <w:highlight w:val="none"/>
                <w:u w:val="none"/>
                <w:lang w:val="en-US" w:eastAsia="zh-CN"/>
              </w:rPr>
            </w:r>
            <w:r/>
          </w:p>
        </w:tc>
        <w:tc>
          <w:tcPr>
            <w:tcW w:w="1077"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伍龙河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新农河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光明庄河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小中心河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96" w:type="dxa"/>
            <w:vAlign w:val="center"/>
            <w:vMerge w:val="restart"/>
            <w:textDirection w:val="lrTb"/>
            <w:noWrap w:val="false"/>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板土</w:t>
            </w: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黄巷渠</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w:t>
            </w:r>
            <w:r>
              <w:rPr>
                <w:rFonts w:hint="eastAsia" w:ascii="宋体" w:hAnsi="宋体" w:eastAsia="宋体" w:cs="宋体"/>
                <w:i w:val="0"/>
                <w:iCs w:val="0"/>
                <w:color w:val="000000"/>
                <w:sz w:val="21"/>
                <w:szCs w:val="21"/>
                <w:highlight w:val="none"/>
                <w:u w:val="none"/>
              </w:rPr>
            </w:r>
            <w:r/>
          </w:p>
        </w:tc>
        <w:tc>
          <w:tcPr>
            <w:tcW w:w="1556"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10800</w:t>
            </w:r>
            <w:r>
              <w:rPr>
                <w:rFonts w:ascii="宋体" w:hAnsi="宋体" w:eastAsia="宋体" w:cs="宋体"/>
                <w:i w:val="0"/>
                <w:iCs w:val="0"/>
                <w:color w:val="000000"/>
                <w:sz w:val="21"/>
                <w:szCs w:val="21"/>
                <w:highlight w:val="none"/>
                <w:u w:val="none"/>
                <w:lang w:val="en-US" w:eastAsia="zh-CN"/>
              </w:rPr>
            </w:r>
            <w:r/>
          </w:p>
        </w:tc>
        <w:tc>
          <w:tcPr>
            <w:tcW w:w="1077"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方向河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合心河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前进河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6"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1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光明河</w:t>
            </w:r>
            <w:r>
              <w:rPr>
                <w:rFonts w:hint="eastAsia" w:ascii="宋体" w:hAnsi="宋体" w:eastAsia="宋体" w:cs="宋体"/>
                <w:i w:val="0"/>
                <w:iCs w:val="0"/>
                <w:color w:val="000000"/>
                <w:sz w:val="21"/>
                <w:szCs w:val="21"/>
                <w:highlight w:val="none"/>
                <w:u w:val="none"/>
              </w:rPr>
            </w:r>
            <w:r/>
          </w:p>
        </w:tc>
        <w:tc>
          <w:tcPr>
            <w:tcW w:w="13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155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2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1"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90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9"/>
        </w:trPr>
        <w:tc>
          <w:tcPr>
            <w:gridSpan w:val="9"/>
            <w:tcW w:w="11006"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合计（元）</w:t>
            </w:r>
            <w:r>
              <w:rPr>
                <w:rFonts w:hint="eastAsia" w:ascii="宋体" w:hAnsi="宋体" w:eastAsia="宋体" w:cs="宋体"/>
                <w:i w:val="0"/>
                <w:iCs w:val="0"/>
                <w:color w:val="000000"/>
                <w:sz w:val="21"/>
                <w:szCs w:val="21"/>
                <w:highlight w:val="none"/>
                <w:u w:val="none"/>
                <w:lang w:val="en-US" w:eastAsia="zh-CN"/>
              </w:rPr>
            </w:r>
            <w:r/>
          </w:p>
        </w:tc>
        <w:tc>
          <w:tcPr>
            <w:tcW w:w="2906"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9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64"/>
        <w:keepLines w:val="0"/>
        <w:keepNext w:val="0"/>
        <w:pageBreakBefore w:val="0"/>
        <w:spacing w:line="44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备注：</w:t>
      </w:r>
      <w:r>
        <w:rPr>
          <w:rFonts w:hint="eastAsia" w:ascii="宋体" w:hAnsi="宋体" w:eastAsia="宋体" w:cs="宋体"/>
          <w:color w:val="000000"/>
          <w:sz w:val="22"/>
          <w:szCs w:val="22"/>
          <w:highlight w:val="none"/>
        </w:rPr>
      </w:r>
      <w:r/>
    </w:p>
    <w:p>
      <w:pPr>
        <w:pStyle w:val="864"/>
        <w:keepLines w:val="0"/>
        <w:keepNext w:val="0"/>
        <w:pageBreakBefore w:val="0"/>
        <w:spacing w:line="44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投标报价应包括投标人为完成招标文件规定服务内容所需的的人工费、材料费、机械费、设备费、运输费（含上下货力资费）、保险费、各类措施费、管理费、利润、规费、税金等一切费用。投标人应充分考虑招标人对项目的服务范围、规模、性质、服务期、质量等要求以及服务期间的市场风险和国家政策性调整风险，并计入报价中，最终全费用单价不作调整。</w:t>
      </w:r>
      <w:r>
        <w:rPr>
          <w:rFonts w:hint="eastAsia" w:ascii="宋体" w:hAnsi="宋体" w:eastAsia="宋体" w:cs="宋体"/>
          <w:color w:val="000000"/>
          <w:sz w:val="22"/>
          <w:szCs w:val="22"/>
          <w:highlight w:val="none"/>
          <w:lang w:val="en-US" w:eastAsia="zh-CN"/>
        </w:rPr>
      </w:r>
      <w:r/>
    </w:p>
    <w:p>
      <w:pPr>
        <w:pStyle w:val="864"/>
        <w:keepLines w:val="0"/>
        <w:keepNext w:val="0"/>
        <w:pageBreakBefore w:val="0"/>
        <w:spacing w:line="440" w:lineRule="exact"/>
        <w:widowControl w:val="off"/>
        <w:rPr>
          <w:rFonts w:ascii="宋体" w:hAnsi="宋体" w:eastAsia="宋体" w:cs="Times New Roman"/>
          <w:color w:val="000000"/>
          <w:sz w:val="24"/>
          <w:highlight w:val="none"/>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.“投标分项报价表”中</w:t>
      </w:r>
      <w:r>
        <w:rPr>
          <w:rFonts w:hint="eastAsia" w:ascii="宋体" w:hAnsi="宋体" w:eastAsia="宋体" w:cs="宋体"/>
          <w:color w:val="000000"/>
          <w:sz w:val="22"/>
          <w:szCs w:val="22"/>
          <w:highlight w:val="none"/>
          <w:lang w:val="en-US" w:eastAsia="zh-CN"/>
        </w:rPr>
        <w:t xml:space="preserve">总</w:t>
      </w:r>
      <w:r>
        <w:rPr>
          <w:rFonts w:hint="eastAsia" w:ascii="宋体" w:hAnsi="宋体" w:eastAsia="宋体" w:cs="宋体"/>
          <w:color w:val="000000"/>
          <w:sz w:val="22"/>
          <w:szCs w:val="22"/>
          <w:highlight w:val="none"/>
          <w:lang w:eastAsia="zh-CN"/>
        </w:rPr>
        <w:t xml:space="preserve">价</w:t>
      </w:r>
      <w:r>
        <w:rPr>
          <w:rFonts w:hint="eastAsia" w:ascii="宋体" w:hAnsi="宋体" w:eastAsia="宋体" w:cs="宋体"/>
          <w:color w:val="000000"/>
          <w:sz w:val="22"/>
          <w:szCs w:val="22"/>
          <w:highlight w:val="none"/>
        </w:rPr>
        <w:t xml:space="preserve">应当与“开标一览表”中</w:t>
      </w:r>
      <w:r>
        <w:rPr>
          <w:rFonts w:hint="eastAsia" w:ascii="宋体" w:hAnsi="宋体" w:eastAsia="宋体" w:cs="宋体"/>
          <w:color w:val="000000"/>
          <w:sz w:val="22"/>
          <w:szCs w:val="22"/>
          <w:highlight w:val="none"/>
          <w:lang w:eastAsia="zh-CN"/>
        </w:rPr>
        <w:t xml:space="preserve">报价</w:t>
      </w:r>
      <w:r>
        <w:rPr>
          <w:rFonts w:hint="eastAsia" w:ascii="宋体" w:hAnsi="宋体" w:eastAsia="宋体" w:cs="宋体"/>
          <w:color w:val="000000"/>
          <w:sz w:val="22"/>
          <w:szCs w:val="22"/>
          <w:highlight w:val="none"/>
        </w:rPr>
        <w:t xml:space="preserve">一致。</w:t>
      </w:r>
      <w:r>
        <w:rPr>
          <w:rFonts w:ascii="宋体" w:hAnsi="宋体" w:eastAsia="宋体" w:cs="Times New Roman"/>
          <w:color w:val="000000"/>
          <w:sz w:val="24"/>
          <w:highlight w:val="none"/>
        </w:rPr>
      </w:r>
      <w:r/>
    </w:p>
    <w:p>
      <w:pPr>
        <w:pStyle w:val="91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ind w:firstLine="7502"/>
        <w:jc w:val="both"/>
        <w:spacing w:beforeAutospacing="0" w:afterAutospacing="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投标人（加盖CA电子签章）：</w:t>
      </w:r>
      <w:r>
        <w:rPr>
          <w:rFonts w:ascii="宋体" w:hAnsi="宋体" w:eastAsia="宋体" w:cs="宋体"/>
          <w:color w:val="000000"/>
          <w:sz w:val="24"/>
          <w:szCs w:val="24"/>
          <w:highlight w:val="none"/>
        </w:rPr>
      </w:r>
      <w:r/>
    </w:p>
    <w:p>
      <w:pPr>
        <w:pStyle w:val="917"/>
        <w:jc w:val="center"/>
        <w:spacing w:beforeAutospacing="0" w:afterAutospacing="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黑体" w:hAnsi="黑体" w:eastAsia="黑体" w:cs="黑体"/>
          <w:b w:val="0"/>
          <w:bCs/>
          <w:color w:val="000000"/>
          <w:sz w:val="32"/>
          <w:szCs w:val="32"/>
          <w:highlight w:val="none"/>
        </w:rPr>
        <w:br w:type="page" w:clear="all"/>
      </w:r>
      <w:r>
        <w:rPr>
          <w:rFonts w:hint="eastAsia" w:ascii="黑体" w:hAnsi="黑体" w:eastAsia="黑体" w:cs="黑体"/>
          <w:b w:val="0"/>
          <w:bCs/>
          <w:color w:val="000000"/>
          <w:sz w:val="32"/>
          <w:szCs w:val="32"/>
          <w:highlight w:val="none"/>
        </w:rPr>
        <w:t xml:space="preserve">十</w:t>
      </w:r>
      <w:r>
        <w:rPr>
          <w:rFonts w:hint="eastAsia" w:ascii="黑体" w:hAnsi="黑体" w:eastAsia="黑体" w:cs="黑体"/>
          <w:b w:val="0"/>
          <w:bCs/>
          <w:color w:val="000000"/>
          <w:sz w:val="32"/>
          <w:szCs w:val="32"/>
          <w:highlight w:val="none"/>
          <w:lang w:val="en-US" w:eastAsia="zh-CN"/>
        </w:rPr>
        <w:t xml:space="preserve">二</w:t>
      </w:r>
      <w:r>
        <w:rPr>
          <w:rFonts w:hint="eastAsia" w:ascii="黑体" w:hAnsi="黑体" w:eastAsia="黑体" w:cs="黑体"/>
          <w:b w:val="0"/>
          <w:bCs/>
          <w:color w:val="000000"/>
          <w:sz w:val="32"/>
          <w:szCs w:val="32"/>
          <w:highlight w:val="none"/>
        </w:rPr>
        <w:t xml:space="preserve">、投标分项报价表</w:t>
      </w:r>
      <w:bookmarkEnd w:id="418"/>
      <w:r>
        <w:rPr>
          <w:rFonts w:hint="eastAsia" w:ascii="黑体" w:hAnsi="黑体" w:eastAsia="黑体" w:cs="黑体"/>
          <w:b w:val="0"/>
          <w:bCs/>
          <w:color w:val="000000"/>
          <w:sz w:val="32"/>
          <w:szCs w:val="32"/>
          <w:highlight w:val="none"/>
          <w:lang w:eastAsia="zh-CN"/>
        </w:rPr>
        <w:t xml:space="preserve">（</w:t>
      </w:r>
      <w:r>
        <w:rPr>
          <w:rFonts w:hint="eastAsia" w:ascii="黑体" w:hAnsi="黑体" w:eastAsia="黑体" w:cs="黑体"/>
          <w:b w:val="0"/>
          <w:bCs/>
          <w:color w:val="000000"/>
          <w:sz w:val="32"/>
          <w:szCs w:val="32"/>
          <w:highlight w:val="none"/>
          <w:lang w:val="en-US" w:eastAsia="zh-CN"/>
        </w:rPr>
        <w:t xml:space="preserve">包2</w:t>
      </w:r>
      <w:r>
        <w:rPr>
          <w:rFonts w:hint="eastAsia" w:ascii="黑体" w:hAnsi="黑体" w:eastAsia="黑体" w:cs="黑体"/>
          <w:b w:val="0"/>
          <w:bCs/>
          <w:color w:val="000000"/>
          <w:sz w:val="32"/>
          <w:szCs w:val="32"/>
          <w:highlight w:val="none"/>
          <w:lang w:eastAsia="zh-CN"/>
        </w:rPr>
        <w:t xml:space="preserve">）</w:t>
      </w:r>
      <w:r>
        <w:rPr>
          <w:rFonts w:hint="eastAsia" w:ascii="黑体" w:hAnsi="黑体" w:eastAsia="黑体" w:cs="黑体"/>
          <w:b w:val="0"/>
          <w:bCs/>
          <w:color w:val="000000"/>
          <w:sz w:val="32"/>
          <w:szCs w:val="32"/>
          <w:highlight w:val="none"/>
          <w:lang w:eastAsia="zh-CN"/>
        </w:rPr>
      </w:r>
      <w:r/>
    </w:p>
    <w:p>
      <w:pPr>
        <w:pStyle w:val="917"/>
        <w:numPr>
          <w:ilvl w:val="0"/>
          <w:numId w:val="0"/>
        </w:numPr>
        <w:jc w:val="center"/>
        <w:spacing w:beforeAutospacing="0" w:afterAutospacing="0" w:line="0" w:lineRule="atLeast"/>
        <w:widowControl w:val="off"/>
        <w:rPr>
          <w:rFonts w:hint="eastAsia" w:ascii="黑体" w:hAnsi="黑体" w:eastAsia="黑体" w:cs="黑体"/>
          <w:b w:val="0"/>
          <w:bCs/>
          <w:color w:val="000000"/>
          <w:sz w:val="32"/>
          <w:szCs w:val="32"/>
          <w:highlight w:val="none"/>
        </w:rPr>
      </w:pPr>
      <w:r>
        <w:rPr>
          <w:rFonts w:hint="eastAsia" w:ascii="黑体" w:hAnsi="黑体" w:eastAsia="黑体" w:cs="黑体"/>
          <w:b w:val="0"/>
          <w:bCs/>
          <w:color w:val="000000"/>
          <w:sz w:val="32"/>
          <w:szCs w:val="32"/>
          <w:highlight w:val="none"/>
        </w:rPr>
      </w:r>
      <w:r/>
    </w:p>
    <w:tbl>
      <w:tblPr>
        <w:tblW w:w="14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
        <w:gridCol w:w="1080"/>
        <w:gridCol w:w="1483"/>
        <w:gridCol w:w="1417"/>
        <w:gridCol w:w="1533"/>
        <w:gridCol w:w="1183"/>
        <w:gridCol w:w="1566"/>
        <w:gridCol w:w="1184"/>
        <w:gridCol w:w="1500"/>
        <w:gridCol w:w="2884"/>
        <w:gridCol w:w="788"/>
      </w:tblGrid>
      <w:tr>
        <w:trPr>
          <w:trHeight w:val="366"/>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村/社区</w:t>
            </w:r>
            <w:r>
              <w:rPr>
                <w:rFonts w:hint="eastAsia" w:ascii="宋体" w:hAnsi="宋体" w:eastAsia="宋体" w:cs="宋体"/>
                <w:i w:val="0"/>
                <w:iCs w:val="0"/>
                <w:color w:val="000000"/>
                <w:sz w:val="21"/>
                <w:szCs w:val="21"/>
                <w:highlight w:val="none"/>
                <w:u w:val="none"/>
              </w:rPr>
            </w:r>
            <w:r/>
          </w:p>
        </w:tc>
        <w:tc>
          <w:tcPr>
            <w:tcW w:w="1483"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河道名称</w:t>
            </w:r>
            <w:r>
              <w:rPr>
                <w:rFonts w:hint="eastAsia" w:ascii="宋体" w:hAnsi="宋体" w:eastAsia="宋体" w:cs="宋体"/>
                <w:i w:val="0"/>
                <w:iCs w:val="0"/>
                <w:color w:val="000000"/>
                <w:sz w:val="21"/>
                <w:szCs w:val="21"/>
                <w:highlight w:val="none"/>
                <w:u w:val="none"/>
              </w:rPr>
            </w:r>
            <w:r/>
          </w:p>
        </w:tc>
        <w:tc>
          <w:tcPr>
            <w:tcW w:w="141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长度（米）</w:t>
            </w:r>
            <w:r>
              <w:rPr>
                <w:rFonts w:hint="eastAsia" w:ascii="宋体" w:hAnsi="宋体" w:eastAsia="宋体" w:cs="宋体"/>
                <w:i w:val="0"/>
                <w:iCs w:val="0"/>
                <w:color w:val="000000"/>
                <w:sz w:val="21"/>
                <w:szCs w:val="21"/>
                <w:highlight w:val="none"/>
                <w:u w:val="none"/>
              </w:rPr>
            </w:r>
            <w:r/>
          </w:p>
        </w:tc>
        <w:tc>
          <w:tcPr>
            <w:tcW w:w="1533"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河道合计长度（米）</w:t>
            </w:r>
            <w:r>
              <w:rPr>
                <w:rFonts w:hint="eastAsia" w:ascii="宋体" w:hAnsi="宋体" w:eastAsia="宋体" w:cs="宋体"/>
                <w:i w:val="0"/>
                <w:iCs w:val="0"/>
                <w:color w:val="000000"/>
                <w:sz w:val="21"/>
                <w:szCs w:val="21"/>
                <w:highlight w:val="none"/>
                <w:u w:val="none"/>
              </w:rPr>
            </w:r>
            <w:r/>
          </w:p>
        </w:tc>
        <w:tc>
          <w:tcPr>
            <w:gridSpan w:val="4"/>
            <w:tcW w:w="543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全费用综合单价（元/米）</w:t>
            </w:r>
            <w:r>
              <w:rPr>
                <w:rFonts w:hint="eastAsia" w:ascii="宋体" w:hAnsi="宋体" w:eastAsia="宋体" w:cs="宋体"/>
                <w:i w:val="0"/>
                <w:iCs w:val="0"/>
                <w:color w:val="000000"/>
                <w:sz w:val="21"/>
                <w:szCs w:val="21"/>
                <w:highlight w:val="none"/>
                <w:u w:val="none"/>
                <w:lang w:val="en-US" w:eastAsia="zh-CN" w:bidi="ar"/>
              </w:rPr>
            </w:r>
            <w:r/>
          </w:p>
        </w:tc>
        <w:tc>
          <w:tcPr>
            <w:tcW w:w="2884"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合价（元）</w:t>
            </w:r>
            <w:r>
              <w:rPr>
                <w:rFonts w:hint="eastAsia" w:ascii="宋体" w:hAnsi="宋体" w:eastAsia="宋体" w:cs="宋体"/>
                <w:i w:val="0"/>
                <w:iCs w:val="0"/>
                <w:color w:val="000000"/>
                <w:sz w:val="21"/>
                <w:szCs w:val="21"/>
                <w:highlight w:val="none"/>
                <w:u w:val="none"/>
                <w:lang w:val="en-US" w:eastAsia="zh-CN" w:bidi="ar"/>
              </w:rPr>
            </w:r>
            <w:r/>
          </w:p>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（河道合计长度*合计单价）</w:t>
            </w:r>
            <w:r>
              <w:rPr>
                <w:rFonts w:hint="eastAsia" w:ascii="宋体" w:hAnsi="宋体" w:eastAsia="宋体" w:cs="宋体"/>
                <w:i w:val="0"/>
                <w:iCs w:val="0"/>
                <w:color w:val="000000"/>
                <w:sz w:val="21"/>
                <w:szCs w:val="21"/>
                <w:highlight w:val="none"/>
                <w:u w:val="none"/>
                <w:lang w:val="en-US" w:eastAsia="zh-CN" w:bidi="ar"/>
              </w:rPr>
            </w:r>
            <w:r/>
          </w:p>
        </w:tc>
        <w:tc>
          <w:tcPr>
            <w:tcW w:w="788" w:type="dxa"/>
            <w:vAlign w:val="center"/>
            <w:vMerge w:val="restart"/>
            <w:textDirection w:val="lrTb"/>
            <w:noWrap/>
          </w:tcPr>
          <w:p>
            <w:pPr>
              <w:pStyle w:val="86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ascii="宋体" w:hAnsi="宋体" w:eastAsia="宋体" w:cs="宋体"/>
                <w:i w:val="0"/>
                <w:iCs w:val="0"/>
                <w:color w:val="000000"/>
                <w:sz w:val="21"/>
                <w:szCs w:val="21"/>
                <w:highlight w:val="none"/>
                <w:u w:val="none"/>
                <w:lang w:val="en-US" w:eastAsia="zh-CN" w:bidi="ar"/>
              </w:rPr>
            </w:r>
            <w:r/>
          </w:p>
        </w:tc>
      </w:tr>
      <w:tr>
        <w:trPr>
          <w:trHeight w:val="274"/>
        </w:trPr>
        <w:tc>
          <w:tcPr>
            <w:tcW w:w="377"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80"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483"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33"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c>
          <w:tcPr>
            <w:tcW w:w="1183" w:type="dxa"/>
            <w:vAlign w:val="center"/>
            <w:textDirection w:val="lrTb"/>
            <w:noWrap/>
          </w:tcPr>
          <w:p>
            <w:pPr>
              <w:pStyle w:val="86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河道保洁单价</w:t>
            </w:r>
            <w:r>
              <w:rPr>
                <w:rFonts w:ascii="宋体" w:hAnsi="宋体" w:eastAsia="宋体" w:cs="宋体"/>
                <w:i w:val="0"/>
                <w:iCs w:val="0"/>
                <w:color w:val="000000"/>
                <w:sz w:val="21"/>
                <w:szCs w:val="21"/>
                <w:highlight w:val="none"/>
                <w:u w:val="none"/>
                <w:lang w:val="en-US" w:eastAsia="zh-CN" w:bidi="ar"/>
              </w:rPr>
            </w:r>
            <w:r/>
          </w:p>
        </w:tc>
        <w:tc>
          <w:tcPr>
            <w:tcW w:w="1566"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河坡（两侧）修整单价</w:t>
            </w:r>
            <w:r>
              <w:rPr>
                <w:rFonts w:hint="eastAsia" w:ascii="宋体" w:hAnsi="宋体" w:eastAsia="宋体" w:cs="宋体"/>
                <w:i w:val="0"/>
                <w:iCs w:val="0"/>
                <w:color w:val="000000"/>
                <w:sz w:val="21"/>
                <w:szCs w:val="21"/>
                <w:highlight w:val="none"/>
                <w:u w:val="none"/>
                <w:lang w:val="en-US" w:eastAsia="zh-CN" w:bidi="ar"/>
              </w:rPr>
            </w:r>
            <w:r/>
          </w:p>
        </w:tc>
        <w:tc>
          <w:tcPr>
            <w:tcW w:w="1184"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河坡垃圾清理单价</w:t>
            </w:r>
            <w:r>
              <w:rPr>
                <w:rFonts w:hint="eastAsia" w:ascii="宋体" w:hAnsi="宋体" w:eastAsia="宋体" w:cs="宋体"/>
                <w:i w:val="0"/>
                <w:iCs w:val="0"/>
                <w:color w:val="000000"/>
                <w:sz w:val="21"/>
                <w:szCs w:val="21"/>
                <w:highlight w:val="none"/>
                <w:u w:val="none"/>
                <w:lang w:val="en-US" w:eastAsia="zh-CN" w:bidi="ar"/>
              </w:rPr>
            </w:r>
            <w:r/>
          </w:p>
        </w:tc>
        <w:tc>
          <w:tcPr>
            <w:tcW w:w="1500"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合计单价</w:t>
            </w:r>
            <w:r>
              <w:rPr>
                <w:rFonts w:hint="eastAsia" w:ascii="宋体" w:hAnsi="宋体" w:eastAsia="宋体" w:cs="宋体"/>
                <w:i w:val="0"/>
                <w:iCs w:val="0"/>
                <w:color w:val="000000"/>
                <w:sz w:val="21"/>
                <w:szCs w:val="21"/>
                <w:highlight w:val="none"/>
                <w:u w:val="none"/>
                <w:lang w:val="en-US" w:eastAsia="zh-CN" w:bidi="ar"/>
              </w:rPr>
            </w:r>
            <w:r/>
          </w:p>
        </w:tc>
        <w:tc>
          <w:tcPr>
            <w:tcW w:w="2884"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788" w:type="dxa"/>
            <w:vAlign w:val="center"/>
            <w:vMerge w:val="continue"/>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25"/>
                <w:rFonts w:hint="eastAsia" w:ascii="宋体" w:hAnsi="宋体" w:eastAsia="宋体" w:cs="宋体"/>
                <w:color w:val="000000"/>
                <w:sz w:val="21"/>
                <w:szCs w:val="21"/>
                <w:highlight w:val="none"/>
                <w:lang w:val="en-US" w:eastAsia="zh-CN" w:bidi="ar"/>
              </w:rPr>
              <w:t xml:space="preserve">王姚</w:t>
            </w: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旧七总河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1170</w:t>
            </w:r>
            <w:r>
              <w:rPr>
                <w:rFonts w:hint="eastAsia" w:ascii="宋体" w:hAnsi="宋体" w:eastAsia="宋体" w:cs="宋体"/>
                <w:i w:val="0"/>
                <w:iCs w:val="0"/>
                <w:color w:val="000000"/>
                <w:sz w:val="21"/>
                <w:szCs w:val="21"/>
                <w:highlight w:val="none"/>
                <w:u w:val="none"/>
              </w:rPr>
            </w:r>
            <w:r/>
          </w:p>
        </w:tc>
        <w:tc>
          <w:tcPr>
            <w:tcW w:w="1533"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18970</w:t>
            </w:r>
            <w:r>
              <w:rPr>
                <w:rFonts w:ascii="宋体" w:hAnsi="宋体" w:eastAsia="宋体" w:cs="宋体"/>
                <w:i w:val="0"/>
                <w:iCs w:val="0"/>
                <w:color w:val="000000"/>
                <w:sz w:val="21"/>
                <w:szCs w:val="21"/>
                <w:highlight w:val="none"/>
                <w:u w:val="none"/>
                <w:lang w:val="en-US" w:eastAsia="zh-CN"/>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中心河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八总河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九总河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六总河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七总河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十总河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五总河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旧八总河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rPr>
                <w:rFonts w:hint="eastAsia" w:ascii="宋体" w:hAnsi="宋体" w:eastAsia="宋体" w:cs="宋体"/>
                <w:i w:val="0"/>
                <w:iCs w:val="0"/>
                <w:color w:val="000000"/>
                <w:sz w:val="21"/>
                <w:szCs w:val="21"/>
                <w:highlight w:val="none"/>
                <w:u w:val="none"/>
                <w:lang w:val="en-US" w:eastAsia="zh-CN" w:bidi="ar"/>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十一总河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小生产河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25"/>
                <w:rFonts w:hint="eastAsia" w:ascii="宋体" w:hAnsi="宋体" w:eastAsia="宋体" w:cs="宋体"/>
                <w:color w:val="000000"/>
                <w:sz w:val="21"/>
                <w:szCs w:val="21"/>
                <w:highlight w:val="none"/>
                <w:lang w:val="en-US" w:eastAsia="zh-CN" w:bidi="ar"/>
              </w:rPr>
              <w:t xml:space="preserve">烈士</w:t>
            </w: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德喜河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1900</w:t>
            </w:r>
            <w:r>
              <w:rPr>
                <w:rFonts w:hint="eastAsia" w:ascii="宋体" w:hAnsi="宋体" w:eastAsia="宋体" w:cs="宋体"/>
                <w:i w:val="0"/>
                <w:iCs w:val="0"/>
                <w:color w:val="000000"/>
                <w:sz w:val="21"/>
                <w:szCs w:val="21"/>
                <w:highlight w:val="none"/>
                <w:u w:val="none"/>
              </w:rPr>
            </w:r>
            <w:r/>
          </w:p>
        </w:tc>
        <w:tc>
          <w:tcPr>
            <w:tcW w:w="1533"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15870</w:t>
            </w:r>
            <w:r>
              <w:rPr>
                <w:rFonts w:ascii="宋体" w:hAnsi="宋体" w:eastAsia="宋体" w:cs="宋体"/>
                <w:i w:val="0"/>
                <w:iCs w:val="0"/>
                <w:color w:val="000000"/>
                <w:sz w:val="21"/>
                <w:szCs w:val="21"/>
                <w:highlight w:val="none"/>
                <w:u w:val="none"/>
                <w:lang w:val="en-US" w:eastAsia="zh-CN"/>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中心河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八总河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旧八总河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九总河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十总河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Style w:val="1125"/>
                <w:rFonts w:hint="eastAsia" w:ascii="宋体" w:hAnsi="宋体" w:eastAsia="宋体" w:cs="宋体"/>
                <w:i w:val="0"/>
                <w:iCs w:val="0"/>
                <w:color w:val="000000"/>
                <w:sz w:val="21"/>
                <w:szCs w:val="21"/>
                <w:highlight w:val="none"/>
                <w:lang w:val="en-US" w:eastAsia="zh-CN" w:bidi="ar"/>
              </w:rPr>
              <w:suppressLineNumbers w:val="0"/>
            </w:pPr>
            <w:r>
              <w:rPr>
                <w:rStyle w:val="1125"/>
                <w:rFonts w:hint="eastAsia" w:ascii="宋体" w:hAnsi="宋体" w:eastAsia="宋体" w:cs="宋体"/>
                <w:i w:val="0"/>
                <w:iCs w:val="0"/>
                <w:color w:val="000000"/>
                <w:sz w:val="21"/>
                <w:szCs w:val="21"/>
                <w:highlight w:val="none"/>
                <w:lang w:val="en-US" w:eastAsia="zh-CN" w:bidi="ar"/>
              </w:rPr>
              <w:t xml:space="preserve">十一总河</w:t>
            </w:r>
            <w:r>
              <w:rPr>
                <w:rStyle w:val="1125"/>
                <w:rFonts w:hint="eastAsia" w:ascii="宋体" w:hAnsi="宋体" w:eastAsia="宋体" w:cs="宋体"/>
                <w:i w:val="0"/>
                <w:iCs w:val="0"/>
                <w:color w:val="000000"/>
                <w:sz w:val="21"/>
                <w:szCs w:val="21"/>
                <w:highlight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庆元</w:t>
            </w: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德喜河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1400</w:t>
            </w:r>
            <w:r>
              <w:rPr>
                <w:rFonts w:hint="eastAsia" w:ascii="宋体" w:hAnsi="宋体" w:eastAsia="宋体" w:cs="宋体"/>
                <w:i w:val="0"/>
                <w:iCs w:val="0"/>
                <w:color w:val="000000"/>
                <w:sz w:val="21"/>
                <w:szCs w:val="21"/>
                <w:highlight w:val="none"/>
                <w:u w:val="none"/>
              </w:rPr>
            </w:r>
            <w:r/>
          </w:p>
        </w:tc>
        <w:tc>
          <w:tcPr>
            <w:tcW w:w="1533"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14380</w:t>
            </w:r>
            <w:r>
              <w:rPr>
                <w:rFonts w:ascii="宋体" w:hAnsi="宋体" w:eastAsia="宋体" w:cs="宋体"/>
                <w:i w:val="0"/>
                <w:iCs w:val="0"/>
                <w:color w:val="000000"/>
                <w:sz w:val="21"/>
                <w:szCs w:val="21"/>
                <w:highlight w:val="none"/>
                <w:u w:val="none"/>
                <w:lang w:val="en-US" w:eastAsia="zh-CN"/>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东</w:t>
            </w:r>
            <w:r>
              <w:rPr>
                <w:rFonts w:hint="eastAsia" w:ascii="宋体" w:hAnsi="宋体" w:eastAsia="宋体" w:cs="宋体"/>
                <w:i w:val="0"/>
                <w:iCs w:val="0"/>
                <w:color w:val="000000"/>
                <w:sz w:val="21"/>
                <w:szCs w:val="21"/>
                <w:highlight w:val="none"/>
                <w:u w:val="none"/>
                <w:lang w:val="en-US" w:eastAsia="zh-CN" w:bidi="ar"/>
              </w:rPr>
              <w:t xml:space="preserve">旧六总河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西</w:t>
            </w:r>
            <w:r>
              <w:rPr>
                <w:rFonts w:hint="eastAsia" w:ascii="宋体" w:hAnsi="宋体" w:eastAsia="宋体" w:cs="宋体"/>
                <w:i w:val="0"/>
                <w:iCs w:val="0"/>
                <w:color w:val="000000"/>
                <w:sz w:val="21"/>
                <w:szCs w:val="21"/>
                <w:highlight w:val="none"/>
                <w:u w:val="none"/>
                <w:lang w:val="en-US" w:eastAsia="zh-CN" w:bidi="ar"/>
              </w:rPr>
              <w:t xml:space="preserve">旧六总河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旧七总河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旧八总河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八总河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六总河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3100</w:t>
            </w:r>
            <w:r>
              <w:rPr>
                <w:rFonts w:hint="eastAsia" w:ascii="宋体" w:hAnsi="宋体" w:eastAsia="宋体" w:cs="宋体"/>
                <w:i w:val="0"/>
                <w:iCs w:val="0"/>
                <w:color w:val="000000"/>
                <w:sz w:val="21"/>
                <w:szCs w:val="21"/>
                <w:highlight w:val="none"/>
                <w:u w:val="none"/>
                <w:lang w:val="en-US" w:eastAsia="zh-CN" w:bidi="ar"/>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七总河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lang w:val="en-US" w:eastAsia="zh-CN" w:bidi="ar"/>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restart"/>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元坎</w:t>
            </w: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德喜河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533" w:type="dxa"/>
            <w:vAlign w:val="center"/>
            <w:vMerge w:val="restart"/>
            <w:textDirection w:val="lrTb"/>
            <w:noWrap/>
          </w:tcPr>
          <w:p>
            <w:pPr>
              <w:pStyle w:val="86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15830</w:t>
            </w:r>
            <w:r>
              <w:rPr>
                <w:rFonts w:ascii="宋体" w:hAnsi="宋体" w:eastAsia="宋体" w:cs="宋体"/>
                <w:i w:val="0"/>
                <w:iCs w:val="0"/>
                <w:color w:val="000000"/>
                <w:sz w:val="21"/>
                <w:szCs w:val="21"/>
                <w:highlight w:val="none"/>
                <w:u w:val="none"/>
                <w:lang w:val="en-US" w:eastAsia="zh-CN"/>
              </w:rPr>
            </w:r>
            <w:r/>
          </w:p>
        </w:tc>
        <w:tc>
          <w:tcPr>
            <w:tcW w:w="1183"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restart"/>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三总河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3190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旧五总港</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540</w:t>
            </w:r>
            <w:r>
              <w:rPr>
                <w:rFonts w:hint="eastAsia" w:ascii="宋体" w:hAnsi="宋体" w:eastAsia="宋体" w:cs="宋体"/>
                <w:i w:val="0"/>
                <w:iCs w:val="0"/>
                <w:color w:val="000000"/>
                <w:sz w:val="21"/>
                <w:szCs w:val="21"/>
                <w:highlight w:val="none"/>
                <w:u w:val="none"/>
                <w:lang w:val="en-US" w:eastAsia="zh-CN" w:bidi="ar"/>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lang w:val="en-US" w:eastAsia="zh-CN" w:bidi="ar"/>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3"/>
        </w:trPr>
        <w:tc>
          <w:tcPr>
            <w:tcW w:w="377"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483"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头总河</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textDirection w:val="lrTb"/>
            <w:noWrap/>
          </w:tcPr>
          <w:p>
            <w:pPr>
              <w:pStyle w:val="86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153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3"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6"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00"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84" w:type="dxa"/>
            <w:vAlign w:val="center"/>
            <w:vMerge w:val="continue"/>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9"/>
        </w:trPr>
        <w:tc>
          <w:tcPr>
            <w:gridSpan w:val="9"/>
            <w:tcW w:w="11323"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合计（元）</w:t>
            </w:r>
            <w:r>
              <w:rPr>
                <w:rFonts w:hint="eastAsia" w:ascii="宋体" w:hAnsi="宋体" w:eastAsia="宋体" w:cs="宋体"/>
                <w:i w:val="0"/>
                <w:iCs w:val="0"/>
                <w:color w:val="000000"/>
                <w:sz w:val="21"/>
                <w:szCs w:val="21"/>
                <w:highlight w:val="none"/>
                <w:u w:val="none"/>
                <w:lang w:val="en-US" w:eastAsia="zh-CN"/>
              </w:rPr>
            </w:r>
            <w:r/>
          </w:p>
        </w:tc>
        <w:tc>
          <w:tcPr>
            <w:tcW w:w="2884"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8" w:type="dxa"/>
            <w:vAlign w:val="center"/>
            <w:textDirection w:val="lrTb"/>
            <w:noWrap/>
          </w:tcPr>
          <w:p>
            <w:pPr>
              <w:pStyle w:val="86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64"/>
        <w:keepLines w:val="0"/>
        <w:keepNext w:val="0"/>
        <w:pageBreakBefore w:val="0"/>
        <w:spacing w:line="4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bookmarkEnd w:id="417"/>
      <w:r>
        <w:rPr>
          <w:rFonts w:hint="eastAsia" w:ascii="宋体" w:hAnsi="宋体" w:eastAsia="宋体" w:cs="Times New Roman"/>
          <w:color w:val="000000"/>
          <w:sz w:val="21"/>
          <w:szCs w:val="21"/>
          <w:highlight w:val="none"/>
        </w:rPr>
      </w:r>
      <w:r/>
    </w:p>
    <w:p>
      <w:pPr>
        <w:pStyle w:val="864"/>
        <w:keepLines w:val="0"/>
        <w:keepNext w:val="0"/>
        <w:pageBreakBefore w:val="0"/>
        <w:spacing w:line="440" w:lineRule="exact"/>
        <w:widowControl w:val="off"/>
        <w:rPr>
          <w:rFonts w:ascii="宋体" w:hAnsi="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1.投标报价应包括投标人为完成招标文件规定服务内容所需的的人工费、材料费、机械费、设备费、运输费（含上下货力资费）、保险费、各类措施费、管理费、利润、规费、税金等一切费用。投标人应充分考虑招标人对项目的服务范围、规模、性质、服务期、质量等要求以及服务期间的市场风险和国家政策性调整风险，并计入报价中，最终全费用单价不作调整。</w:t>
      </w:r>
      <w:r>
        <w:rPr>
          <w:rFonts w:ascii="宋体" w:hAnsi="宋体" w:cs="Times New Roman"/>
          <w:color w:val="000000"/>
          <w:sz w:val="21"/>
          <w:szCs w:val="21"/>
          <w:highlight w:val="none"/>
          <w:lang w:val="en-US" w:eastAsia="zh-CN"/>
        </w:rPr>
      </w:r>
      <w:r/>
    </w:p>
    <w:p>
      <w:pPr>
        <w:pStyle w:val="864"/>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.“投标分项报价表”中</w:t>
      </w:r>
      <w:r>
        <w:rPr>
          <w:rFonts w:hint="eastAsia" w:ascii="宋体" w:hAnsi="宋体" w:cs="Times New Roman"/>
          <w:color w:val="000000"/>
          <w:sz w:val="21"/>
          <w:szCs w:val="21"/>
          <w:highlight w:val="none"/>
          <w:lang w:val="en-US" w:eastAsia="zh-CN"/>
        </w:rPr>
        <w:t xml:space="preserve">总</w:t>
      </w:r>
      <w:r>
        <w:rPr>
          <w:rFonts w:hint="eastAsia" w:ascii="宋体" w:hAnsi="宋体" w:cs="Times New Roman"/>
          <w:color w:val="000000"/>
          <w:sz w:val="21"/>
          <w:szCs w:val="21"/>
          <w:highlight w:val="none"/>
          <w:lang w:eastAsia="zh-CN"/>
        </w:rPr>
        <w:t xml:space="preserve">价</w:t>
      </w:r>
      <w:r>
        <w:rPr>
          <w:rFonts w:hint="eastAsia" w:ascii="宋体" w:hAnsi="宋体" w:eastAsia="宋体" w:cs="Times New Roman"/>
          <w:color w:val="000000"/>
          <w:sz w:val="21"/>
          <w:szCs w:val="21"/>
          <w:highlight w:val="none"/>
        </w:rPr>
        <w:t xml:space="preserve">应当与“开标一览表”中</w:t>
      </w:r>
      <w:r>
        <w:rPr>
          <w:rFonts w:hint="eastAsia" w:ascii="宋体" w:hAnsi="宋体" w:cs="Times New Roman"/>
          <w:color w:val="000000"/>
          <w:sz w:val="21"/>
          <w:szCs w:val="21"/>
          <w:highlight w:val="none"/>
          <w:lang w:eastAsia="zh-CN"/>
        </w:rPr>
        <w:t xml:space="preserve">报价</w:t>
      </w:r>
      <w:r>
        <w:rPr>
          <w:rFonts w:hint="eastAsia" w:ascii="宋体" w:hAnsi="宋体" w:eastAsia="宋体" w:cs="Times New Roman"/>
          <w:color w:val="000000"/>
          <w:sz w:val="21"/>
          <w:szCs w:val="21"/>
          <w:highlight w:val="none"/>
        </w:rPr>
        <w:t xml:space="preserve">一致。</w:t>
      </w:r>
      <w:r>
        <w:rPr>
          <w:rFonts w:hint="eastAsia" w:ascii="宋体" w:hAnsi="宋体" w:eastAsia="宋体" w:cs="宋体"/>
          <w:color w:val="000000"/>
          <w:highlight w:val="none"/>
        </w:rPr>
      </w:r>
      <w:r/>
    </w:p>
    <w:p>
      <w:pPr>
        <w:pStyle w:val="917"/>
        <w:ind w:firstLine="7022"/>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7"/>
        <w:ind w:firstLine="7022"/>
        <w:jc w:val="both"/>
        <w:spacing w:beforeAutospacing="0" w:afterAutospacing="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投标人（加盖CA电子签章）：</w:t>
      </w:r>
      <w:r>
        <w:rPr>
          <w:rFonts w:ascii="宋体" w:hAnsi="宋体" w:eastAsia="宋体" w:cs="宋体"/>
          <w:color w:val="000000"/>
          <w:sz w:val="24"/>
          <w:szCs w:val="24"/>
          <w:highlight w:val="none"/>
        </w:rPr>
      </w:r>
      <w:r/>
    </w:p>
    <w:p>
      <w:pPr>
        <w:pStyle w:val="917"/>
        <w:jc w:val="center"/>
        <w:spacing w:beforeAutospacing="0" w:afterAutospacing="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64"/>
        <w:ind w:firstLine="7200"/>
        <w:jc w:val="both"/>
        <w:widowControl w:val="off"/>
        <w:rPr>
          <w:rFonts w:hint="eastAsia" w:ascii="宋体" w:hAnsi="宋体" w:eastAsia="宋体" w:cs="宋体"/>
          <w:color w:val="000000"/>
          <w:sz w:val="24"/>
          <w:szCs w:val="24"/>
          <w:highlight w:val="none"/>
        </w:rPr>
        <w:sectPr>
          <w:footerReference w:type="default" r:id="rId15"/>
          <w:footerReference w:type="first" r:id="rId16"/>
          <w:footnotePr/>
          <w:endnotePr/>
          <w:type w:val="nextPage"/>
          <w:pgSz w:w="16838" w:h="11906" w:orient="landscape"/>
          <w:pgMar w:top="1797" w:right="1440" w:bottom="1797" w:left="1440" w:header="851" w:footer="992" w:gutter="0"/>
          <w:pgNumType w:start="1"/>
          <w:cols w:num="1" w:sep="0" w:space="1701" w:equalWidth="1"/>
          <w:docGrid w:linePitch="360"/>
          <w:titlePg/>
        </w:sectPr>
      </w:pP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jc w:val="center"/>
        <w:widowControl w:val="off"/>
        <w:rPr>
          <w:rFonts w:ascii="黑体" w:hAnsi="黑体" w:eastAsia="黑体"/>
          <w:bCs/>
          <w:iCs/>
          <w:color w:val="000000"/>
          <w:sz w:val="32"/>
          <w:szCs w:val="32"/>
          <w:highlight w:val="none"/>
        </w:rPr>
      </w:pPr>
      <w:r/>
      <w:bookmarkStart w:id="419" w:name="OLE_LINK81"/>
      <w:r>
        <w:rPr>
          <w:rFonts w:hint="eastAsia" w:ascii="黑体" w:hAnsi="黑体" w:eastAsia="黑体" w:cs="黑体"/>
          <w:b w:val="0"/>
          <w:bCs/>
          <w:color w:val="000000"/>
          <w:sz w:val="32"/>
          <w:szCs w:val="32"/>
          <w:highlight w:val="none"/>
        </w:rPr>
        <w:t xml:space="preserve">十</w:t>
      </w:r>
      <w:r>
        <w:rPr>
          <w:rFonts w:hint="eastAsia" w:ascii="黑体" w:hAnsi="黑体" w:eastAsia="黑体" w:cs="黑体"/>
          <w:b w:val="0"/>
          <w:bCs/>
          <w:color w:val="000000"/>
          <w:sz w:val="32"/>
          <w:szCs w:val="32"/>
          <w:highlight w:val="none"/>
          <w:lang w:val="en-US" w:eastAsia="zh-CN"/>
        </w:rPr>
        <w:t xml:space="preserve">三</w:t>
      </w:r>
      <w:r>
        <w:rPr>
          <w:rFonts w:hint="eastAsia" w:ascii="黑体" w:hAnsi="黑体" w:eastAsia="黑体" w:cs="黑体"/>
          <w:b w:val="0"/>
          <w:bCs/>
          <w:color w:val="000000"/>
          <w:sz w:val="32"/>
          <w:szCs w:val="32"/>
          <w:highlight w:val="none"/>
        </w:rPr>
        <w:t xml:space="preserve">、</w:t>
      </w:r>
      <w:bookmarkStart w:id="420" w:name="OLE_LINK76"/>
      <w:r>
        <w:rPr>
          <w:rFonts w:ascii="黑体" w:hAnsi="黑体" w:eastAsia="黑体"/>
          <w:b w:val="0"/>
          <w:bCs/>
          <w:iCs/>
          <w:color w:val="000000"/>
          <w:sz w:val="32"/>
          <w:szCs w:val="32"/>
          <w:highlight w:val="none"/>
        </w:rPr>
        <w:t xml:space="preserve">技术要求响应及偏离表</w:t>
      </w:r>
      <w:bookmarkEnd w:id="420"/>
      <w:r>
        <w:rPr>
          <w:rFonts w:hint="eastAsia" w:ascii="黑体" w:hAnsi="黑体" w:eastAsia="黑体"/>
          <w:b w:val="0"/>
          <w:bCs/>
          <w:iCs/>
          <w:color w:val="000000"/>
          <w:sz w:val="32"/>
          <w:szCs w:val="32"/>
          <w:highlight w:val="none"/>
          <w:lang w:eastAsia="zh-CN"/>
        </w:rPr>
        <w:t xml:space="preserve">（</w:t>
      </w:r>
      <w:r>
        <w:rPr>
          <w:rFonts w:hint="eastAsia" w:ascii="黑体" w:hAnsi="黑体" w:eastAsia="黑体"/>
          <w:b w:val="0"/>
          <w:bCs/>
          <w:iCs/>
          <w:color w:val="000000"/>
          <w:sz w:val="32"/>
          <w:szCs w:val="32"/>
          <w:highlight w:val="none"/>
          <w:lang w:val="en-US" w:eastAsia="zh-CN"/>
        </w:rPr>
        <w:t xml:space="preserve">包   ）</w:t>
      </w:r>
      <w:r>
        <w:rPr>
          <w:rFonts w:ascii="黑体" w:hAnsi="黑体" w:eastAsia="黑体"/>
          <w:bCs/>
          <w:iCs/>
          <w:color w:val="000000"/>
          <w:sz w:val="32"/>
          <w:szCs w:val="32"/>
          <w:highlight w:val="none"/>
        </w:rPr>
      </w:r>
      <w:r/>
    </w:p>
    <w:tbl>
      <w:tblPr>
        <w:tblW w:w="0" w:type="auto"/>
        <w:tblCellSpacing w:w="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0"/>
        <w:gridCol w:w="2068"/>
        <w:gridCol w:w="2249"/>
        <w:gridCol w:w="1268"/>
      </w:tblGrid>
      <w:tr>
        <w:trPr>
          <w:tblCellSpacing w:w="0" w:type="dxa"/>
          <w:trHeight w:val="706"/>
        </w:trPr>
        <w:tc>
          <w:tcPr>
            <w:tcW w:w="825" w:type="dxa"/>
            <w:vAlign w:val="center"/>
            <w:textDirection w:val="lrTb"/>
            <w:noWrap w:val="false"/>
          </w:tcPr>
          <w:p>
            <w:pPr>
              <w:pStyle w:val="965"/>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W w:w="2230" w:type="dxa"/>
            <w:vAlign w:val="center"/>
            <w:textDirection w:val="lrTb"/>
            <w:noWrap w:val="false"/>
          </w:tcPr>
          <w:p>
            <w:pPr>
              <w:pStyle w:val="965"/>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W w:w="2068" w:type="dxa"/>
            <w:vAlign w:val="center"/>
            <w:textDirection w:val="lrTb"/>
            <w:noWrap w:val="false"/>
          </w:tcPr>
          <w:p>
            <w:pPr>
              <w:pStyle w:val="965"/>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tcW w:w="2249" w:type="dxa"/>
            <w:vAlign w:val="center"/>
            <w:textDirection w:val="lrTb"/>
            <w:noWrap w:val="false"/>
          </w:tcPr>
          <w:p>
            <w:pPr>
              <w:pStyle w:val="965"/>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超出、符合或偏离</w:t>
            </w:r>
            <w:r>
              <w:rPr>
                <w:rFonts w:ascii="Times New Roman" w:hAnsi="Times New Roman" w:cs="Times New Roman"/>
                <w:color w:val="000000"/>
                <w:highlight w:val="none"/>
              </w:rPr>
            </w:r>
            <w:r/>
          </w:p>
        </w:tc>
        <w:tc>
          <w:tcPr>
            <w:tcW w:w="1268" w:type="dxa"/>
            <w:vAlign w:val="center"/>
            <w:textDirection w:val="lrTb"/>
            <w:noWrap w:val="false"/>
          </w:tcPr>
          <w:p>
            <w:pPr>
              <w:pStyle w:val="965"/>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证明材料</w:t>
            </w: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jc w:val="cente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r>
        <w:trPr>
          <w:tblCellSpacing w:w="0" w:type="dxa"/>
          <w:trHeight w:val="814"/>
        </w:trPr>
        <w:tc>
          <w:tcPr>
            <w:tcW w:w="825"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30"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tc>
        <w:tc>
          <w:tcPr>
            <w:tcW w:w="20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2249"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c>
          <w:tcPr>
            <w:tcW w:w="1268" w:type="dxa"/>
            <w:vAlign w:val="center"/>
            <w:textDirection w:val="lrTb"/>
            <w:noWrap w:val="false"/>
          </w:tcPr>
          <w:p>
            <w:pPr>
              <w:pStyle w:val="965"/>
              <w:ind w:firstLine="480"/>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tc>
      </w:tr>
    </w:tbl>
    <w:p>
      <w:pPr>
        <w:pStyle w:val="965"/>
        <w:ind w:firstLine="480"/>
        <w:rPr>
          <w:rFonts w:ascii="宋体" w:hAnsi="宋体" w:eastAsia="宋体" w:cs="Times New Roman"/>
          <w:color w:val="000000"/>
          <w:highlight w:val="none"/>
        </w:rPr>
      </w:pPr>
      <w:r>
        <w:rPr>
          <w:rFonts w:hint="eastAsia" w:ascii="Times New Roman" w:hAnsi="Times New Roman" w:cs="Times New Roman"/>
          <w:color w:val="000000"/>
          <w:highlight w:val="none"/>
        </w:rPr>
        <w:t xml:space="preserve">注：</w:t>
      </w:r>
      <w:bookmarkEnd w:id="419"/>
      <w:r/>
      <w:bookmarkStart w:id="421" w:name="OLE_LINK86"/>
      <w:r>
        <w:rPr>
          <w:rFonts w:hint="eastAsia" w:ascii="宋体" w:hAnsi="宋体" w:eastAsia="宋体" w:cs="Times New Roman"/>
          <w:color w:val="000000"/>
          <w:highlight w:val="none"/>
        </w:rPr>
        <w:t xml:space="preserve">行数不够，可自行添加</w:t>
      </w:r>
      <w:bookmarkEnd w:id="421"/>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r>
      <w:r/>
    </w:p>
    <w:p>
      <w:pPr>
        <w:pStyle w:val="864"/>
        <w:ind w:firstLine="440"/>
        <w:rPr>
          <w:color w:val="000000"/>
          <w:highlight w:val="none"/>
        </w:rPr>
      </w:pPr>
      <w:r>
        <w:rPr>
          <w:color w:val="000000"/>
          <w:highlight w:val="none"/>
        </w:rPr>
      </w:r>
      <w:r/>
    </w:p>
    <w:p>
      <w:pPr>
        <w:pStyle w:val="917"/>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投标人（加盖CA电子签章）：</w:t>
      </w:r>
      <w:r>
        <w:rPr>
          <w:rFonts w:ascii="宋体" w:hAnsi="宋体" w:eastAsia="宋体" w:cs="宋体"/>
          <w:color w:val="000000"/>
          <w:highlight w:val="none"/>
        </w:rPr>
      </w:r>
      <w:r/>
    </w:p>
    <w:p>
      <w:pPr>
        <w:pStyle w:val="917"/>
        <w:jc w:val="center"/>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17"/>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日期：</w:t>
      </w:r>
      <w:r>
        <w:rPr>
          <w:rFonts w:ascii="宋体" w:hAnsi="宋体" w:eastAsia="宋体" w:cs="宋体"/>
          <w:color w:val="000000"/>
          <w:highlight w:val="none"/>
        </w:rPr>
      </w:r>
      <w:r/>
    </w:p>
    <w:p>
      <w:pPr>
        <w:pStyle w:val="977"/>
        <w:rPr>
          <w:color w:val="000000"/>
          <w:highlight w:val="none"/>
        </w:rPr>
      </w:pPr>
      <w:r>
        <w:rPr>
          <w:color w:val="000000"/>
          <w:highlight w:val="none"/>
        </w:rPr>
      </w:r>
      <w:r/>
    </w:p>
    <w:p>
      <w:pPr>
        <w:pStyle w:val="917"/>
        <w:ind w:firstLine="643"/>
        <w:jc w:val="center"/>
        <w:spacing w:beforeAutospacing="0" w:afterAutospacing="0"/>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917"/>
        <w:ind w:firstLine="643"/>
        <w:jc w:val="center"/>
        <w:spacing w:beforeAutospacing="0" w:afterAutospacing="0"/>
        <w:rPr>
          <w:rFonts w:ascii="黑体" w:hAnsi="黑体" w:eastAsia="黑体" w:cs="黑体"/>
          <w:b/>
          <w:color w:val="000000"/>
          <w:sz w:val="32"/>
          <w:szCs w:val="32"/>
          <w:highlight w:val="none"/>
        </w:rPr>
      </w:pPr>
      <w:r>
        <w:rPr>
          <w:rFonts w:ascii="黑体" w:hAnsi="黑体" w:eastAsia="黑体" w:cs="黑体"/>
          <w:b/>
          <w:color w:val="000000"/>
          <w:sz w:val="32"/>
          <w:szCs w:val="32"/>
          <w:highlight w:val="none"/>
        </w:rPr>
      </w:r>
      <w:r/>
    </w:p>
    <w:p>
      <w:pPr>
        <w:pStyle w:val="864"/>
        <w:rPr>
          <w:rFonts w:ascii="黑体" w:hAnsi="黑体" w:eastAsia="黑体" w:cs="黑体"/>
          <w:b/>
          <w:color w:val="000000"/>
          <w:sz w:val="32"/>
          <w:szCs w:val="32"/>
          <w:highlight w:val="none"/>
        </w:rPr>
      </w:pPr>
      <w:r/>
      <w:bookmarkStart w:id="422" w:name="OLE_LINK79"/>
      <w:r>
        <w:rPr>
          <w:rFonts w:ascii="黑体" w:hAnsi="黑体" w:eastAsia="黑体" w:cs="黑体"/>
          <w:b/>
          <w:color w:val="000000"/>
          <w:sz w:val="32"/>
          <w:szCs w:val="32"/>
          <w:highlight w:val="none"/>
        </w:rPr>
        <w:br w:type="page" w:clear="all"/>
      </w:r>
      <w:r>
        <w:rPr>
          <w:rFonts w:ascii="黑体" w:hAnsi="黑体" w:eastAsia="黑体" w:cs="黑体"/>
          <w:b/>
          <w:color w:val="000000"/>
          <w:sz w:val="32"/>
          <w:szCs w:val="32"/>
          <w:highlight w:val="none"/>
        </w:rPr>
      </w:r>
      <w:r/>
    </w:p>
    <w:p>
      <w:pPr>
        <w:pStyle w:val="917"/>
        <w:ind w:firstLine="643"/>
        <w:jc w:val="center"/>
        <w:spacing w:beforeAutospacing="0" w:afterAutospacing="0"/>
        <w:rPr>
          <w:rFonts w:ascii="黑体" w:hAnsi="黑体" w:eastAsia="黑体" w:cs="黑体"/>
          <w:color w:val="000000"/>
          <w:sz w:val="32"/>
          <w:szCs w:val="32"/>
          <w:highlight w:val="none"/>
        </w:rPr>
      </w:pPr>
      <w:r>
        <w:rPr>
          <w:rFonts w:hint="eastAsia" w:ascii="黑体" w:hAnsi="黑体" w:eastAsia="黑体" w:cs="黑体"/>
          <w:b/>
          <w:color w:val="000000"/>
          <w:sz w:val="32"/>
          <w:szCs w:val="32"/>
          <w:highlight w:val="none"/>
        </w:rPr>
        <w:t xml:space="preserve">十</w:t>
      </w:r>
      <w:r>
        <w:rPr>
          <w:rFonts w:hint="eastAsia" w:ascii="黑体" w:hAnsi="黑体" w:eastAsia="黑体" w:cs="黑体"/>
          <w:b/>
          <w:color w:val="000000"/>
          <w:sz w:val="32"/>
          <w:szCs w:val="32"/>
          <w:highlight w:val="none"/>
          <w:lang w:val="en-US" w:eastAsia="zh-CN"/>
        </w:rPr>
        <w:t xml:space="preserve">四</w:t>
      </w:r>
      <w:r>
        <w:rPr>
          <w:rFonts w:hint="eastAsia" w:ascii="黑体" w:hAnsi="黑体" w:eastAsia="黑体" w:cs="黑体"/>
          <w:b/>
          <w:color w:val="000000"/>
          <w:sz w:val="32"/>
          <w:szCs w:val="32"/>
          <w:highlight w:val="none"/>
        </w:rPr>
        <w:t xml:space="preserve">、</w:t>
      </w:r>
      <w:bookmarkStart w:id="423" w:name="OLE_LINK47"/>
      <w:r/>
      <w:bookmarkStart w:id="424" w:name="OLE_LINK66"/>
      <w:r/>
      <w:bookmarkStart w:id="425" w:name="OLE_LINK46"/>
      <w:r>
        <w:rPr>
          <w:rFonts w:hint="eastAsia" w:ascii="黑体" w:hAnsi="黑体" w:eastAsia="黑体" w:cs="黑体"/>
          <w:bCs/>
          <w:color w:val="000000"/>
          <w:sz w:val="32"/>
          <w:szCs w:val="32"/>
          <w:highlight w:val="none"/>
        </w:rPr>
        <w:t xml:space="preserve">商务要求响应及偏离表</w:t>
      </w:r>
      <w:r>
        <w:rPr>
          <w:rFonts w:hint="eastAsia" w:ascii="黑体" w:hAnsi="黑体" w:eastAsia="黑体" w:cs="黑体"/>
          <w:bCs/>
          <w:color w:val="000000"/>
          <w:sz w:val="32"/>
          <w:szCs w:val="32"/>
          <w:highlight w:val="none"/>
          <w:lang w:eastAsia="zh-CN"/>
        </w:rPr>
        <w:t xml:space="preserve">（</w:t>
      </w:r>
      <w:r>
        <w:rPr>
          <w:rFonts w:hint="eastAsia" w:ascii="黑体" w:hAnsi="黑体" w:eastAsia="黑体" w:cs="黑体"/>
          <w:bCs/>
          <w:color w:val="000000"/>
          <w:sz w:val="32"/>
          <w:szCs w:val="32"/>
          <w:highlight w:val="none"/>
          <w:lang w:val="en-US" w:eastAsia="zh-CN"/>
        </w:rPr>
        <w:t xml:space="preserve">包   ）</w:t>
      </w:r>
      <w:r>
        <w:rPr>
          <w:rFonts w:ascii="黑体" w:hAnsi="黑体" w:eastAsia="黑体" w:cs="黑体"/>
          <w:color w:val="000000"/>
          <w:sz w:val="32"/>
          <w:szCs w:val="32"/>
          <w:highlight w:val="none"/>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序号</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招标文件要求</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证明</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材料</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tc>
      </w:tr>
    </w:tbl>
    <w:p>
      <w:pPr>
        <w:pStyle w:val="917"/>
        <w:jc w:val="both"/>
        <w:spacing w:beforeAutospacing="0" w:afterAutospacing="0"/>
        <w:rPr>
          <w:rFonts w:ascii="宋体" w:hAnsi="宋体" w:eastAsia="宋体"/>
          <w:color w:val="000000"/>
          <w:highlight w:val="none"/>
        </w:rPr>
      </w:pPr>
      <w:r>
        <w:rPr>
          <w:rFonts w:hint="eastAsia" w:ascii="宋体" w:hAnsi="宋体" w:eastAsia="宋体" w:cs="宋体"/>
          <w:color w:val="000000"/>
          <w:highlight w:val="none"/>
        </w:rPr>
        <w:t xml:space="preserve">注： 行数不够，可自行添加。</w:t>
      </w:r>
      <w:bookmarkEnd w:id="422"/>
      <w:r/>
      <w:bookmarkEnd w:id="424"/>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bookmarkEnd w:id="423"/>
      <w:r/>
      <w:bookmarkEnd w:id="425"/>
      <w:r>
        <w:rPr>
          <w:rFonts w:ascii="宋体" w:hAnsi="宋体" w:eastAsia="宋体"/>
          <w:color w:val="000000"/>
          <w:highlight w:val="none"/>
        </w:rPr>
      </w:r>
      <w:r/>
    </w:p>
    <w:p>
      <w:pPr>
        <w:pStyle w:val="917"/>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投标人（加盖CA电子签章）：</w:t>
      </w:r>
      <w:r>
        <w:rPr>
          <w:rFonts w:ascii="宋体" w:hAnsi="宋体" w:eastAsia="宋体" w:cs="宋体"/>
          <w:color w:val="000000"/>
          <w:highlight w:val="none"/>
        </w:rPr>
      </w:r>
      <w:r/>
    </w:p>
    <w:p>
      <w:pPr>
        <w:pStyle w:val="917"/>
        <w:jc w:val="center"/>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17"/>
        <w:ind w:firstLine="48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日期：</w:t>
      </w:r>
      <w:r>
        <w:rPr>
          <w:rFonts w:ascii="宋体" w:hAnsi="宋体" w:eastAsia="宋体" w:cs="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center"/>
        <w:spacing w:beforeAutospacing="0" w:afterAutospacing="0"/>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jc w:val="both"/>
        <w:spacing w:beforeAutospacing="0" w:afterAutospacing="0"/>
        <w:rPr>
          <w:rFonts w:ascii="宋体" w:hAnsi="宋体" w:eastAsia="宋体"/>
          <w:color w:val="000000"/>
          <w:highlight w:val="none"/>
        </w:rPr>
      </w:pPr>
      <w:r>
        <w:rPr>
          <w:rFonts w:ascii="宋体" w:hAnsi="宋体" w:eastAsia="宋体"/>
          <w:color w:val="000000"/>
          <w:highlight w:val="none"/>
        </w:rPr>
      </w:r>
      <w:r/>
    </w:p>
    <w:p>
      <w:pPr>
        <w:pStyle w:val="917"/>
        <w:ind w:firstLine="643"/>
        <w:jc w:val="center"/>
        <w:spacing w:beforeAutospacing="0" w:afterAutospacing="0"/>
        <w:rPr>
          <w:rFonts w:ascii="宋体" w:hAnsi="宋体" w:eastAsia="宋体" w:cs="黑体"/>
          <w:b/>
          <w:bCs/>
          <w:i/>
          <w:color w:val="000000"/>
          <w:sz w:val="32"/>
          <w:szCs w:val="32"/>
          <w:highlight w:val="none"/>
          <w:u w:val="single"/>
        </w:rPr>
      </w:pPr>
      <w:r>
        <w:rPr>
          <w:rFonts w:ascii="宋体" w:hAnsi="宋体" w:eastAsia="宋体" w:cs="黑体"/>
          <w:b/>
          <w:bCs/>
          <w:i/>
          <w:color w:val="000000"/>
          <w:sz w:val="32"/>
          <w:szCs w:val="32"/>
          <w:highlight w:val="none"/>
          <w:u w:val="single"/>
        </w:rPr>
      </w:r>
      <w:r/>
    </w:p>
    <w:p>
      <w:pPr>
        <w:pStyle w:val="864"/>
        <w:ind w:firstLine="643"/>
        <w:jc w:val="center"/>
        <w:spacing w:before="240" w:after="240"/>
        <w:rPr>
          <w:rFonts w:hint="eastAsia" w:eastAsia="黑体"/>
          <w:color w:val="000000"/>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highlight w:val="none"/>
          <w:u w:val="single"/>
        </w:rPr>
        <w:br w:type="page" w:clear="all"/>
      </w:r>
      <w:r>
        <w:rPr>
          <w:rFonts w:ascii="黑体" w:hAnsi="黑体" w:eastAsia="黑体" w:cs="黑体"/>
          <w:b w:val="0"/>
          <w:bCs/>
          <w:i/>
          <w:color w:val="000000"/>
          <w:sz w:val="32"/>
          <w:highlight w:val="none"/>
          <w:u w:val="single"/>
        </w:rPr>
        <w:t xml:space="preserve">十</w:t>
      </w:r>
      <w:r>
        <w:rPr>
          <w:rFonts w:hint="eastAsia" w:ascii="黑体" w:hAnsi="黑体" w:eastAsia="黑体" w:cs="黑体"/>
          <w:b w:val="0"/>
          <w:bCs/>
          <w:i/>
          <w:color w:val="000000"/>
          <w:sz w:val="32"/>
          <w:highlight w:val="none"/>
          <w:u w:val="single"/>
          <w:lang w:val="en-US" w:eastAsia="zh-CN"/>
        </w:rPr>
        <w:t xml:space="preserve">五</w:t>
      </w:r>
      <w:r>
        <w:rPr>
          <w:rFonts w:ascii="黑体" w:hAnsi="黑体" w:eastAsia="黑体" w:cs="黑体"/>
          <w:b w:val="0"/>
          <w:bCs/>
          <w:i/>
          <w:color w:val="000000"/>
          <w:sz w:val="32"/>
          <w:highlight w:val="none"/>
          <w:u w:val="single"/>
        </w:rPr>
        <w:t xml:space="preserve">、开标一览表</w:t>
      </w:r>
      <w:r>
        <w:rPr>
          <w:rFonts w:hint="eastAsia" w:ascii="黑体" w:hAnsi="黑体" w:eastAsia="黑体" w:cs="黑体"/>
          <w:b w:val="0"/>
          <w:bCs/>
          <w:i/>
          <w:color w:val="000000"/>
          <w:sz w:val="32"/>
          <w:highlight w:val="none"/>
          <w:u w:val="single"/>
          <w:lang w:eastAsia="zh-CN"/>
        </w:rPr>
        <w:t xml:space="preserve">（</w:t>
      </w:r>
      <w:r>
        <w:rPr>
          <w:rFonts w:hint="eastAsia" w:ascii="黑体" w:hAnsi="黑体" w:eastAsia="黑体" w:cs="黑体"/>
          <w:b w:val="0"/>
          <w:bCs/>
          <w:i/>
          <w:color w:val="000000"/>
          <w:sz w:val="32"/>
          <w:highlight w:val="none"/>
          <w:u w:val="single"/>
          <w:lang w:val="en-US" w:eastAsia="zh-CN"/>
        </w:rPr>
        <w:t xml:space="preserve">包1</w:t>
      </w:r>
      <w:r>
        <w:rPr>
          <w:rFonts w:hint="eastAsia" w:ascii="黑体" w:hAnsi="黑体" w:eastAsia="黑体" w:cs="黑体"/>
          <w:b w:val="0"/>
          <w:bCs/>
          <w:i/>
          <w:color w:val="000000"/>
          <w:sz w:val="32"/>
          <w:highlight w:val="none"/>
          <w:u w:val="single"/>
          <w:lang w:eastAsia="zh-CN"/>
        </w:rPr>
        <w:t xml:space="preserve">）</w:t>
      </w:r>
      <w:r>
        <w:rPr>
          <w:rFonts w:hint="eastAsia" w:eastAsia="黑体"/>
          <w:color w:val="000000"/>
          <w:highlight w:val="none"/>
          <w:lang w:eastAsia="zh-CN"/>
        </w:rPr>
      </w:r>
      <w:r/>
    </w:p>
    <w:p>
      <w:pPr>
        <w:pStyle w:val="864"/>
        <w:ind w:firstLine="482"/>
        <w:jc w:val="center"/>
        <w:spacing w:before="50" w:after="5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color w:val="000000"/>
          <w:highlight w:val="none"/>
        </w:rPr>
      </w:r>
      <w:r/>
    </w:p>
    <w:p>
      <w:pPr>
        <w:pStyle w:val="917"/>
        <w:keepLines w:val="0"/>
        <w:keepNext w:val="0"/>
        <w:widowControl/>
        <w:suppressLineNumbers w:val="0"/>
      </w:pPr>
      <w:r>
        <w:t xml:space="preserve">项目编号： </w:t>
      </w:r>
      <w:r/>
    </w:p>
    <w:p>
      <w:pPr>
        <w:pStyle w:val="917"/>
        <w:keepLines w:val="0"/>
        <w:keepNext w:val="0"/>
        <w:widowControl/>
        <w:suppressLineNumbers w:val="0"/>
      </w:pPr>
      <w:r>
        <w:t xml:space="preserve">货币单位：人民币元</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77"/>
        <w:gridCol w:w="2339"/>
        <w:gridCol w:w="3406"/>
      </w:tblGrid>
      <w:tr>
        <w:trPr>
          <w:tblCellSpacing w:w="15" w:type="dxa"/>
          <w:trHeight w:val="850"/>
        </w:trPr>
        <w:tc>
          <w:tcPr>
            <w:tcW w:w="3615" w:type="dxa"/>
            <w:vAlign w:val="center"/>
            <w:textDirection w:val="lrTb"/>
            <w:noWrap w:val="false"/>
          </w:tcPr>
          <w:p>
            <w:pPr>
              <w:pStyle w:val="917"/>
              <w:keepLines w:val="0"/>
              <w:keepNext w:val="0"/>
              <w:widowControl/>
              <w:suppressLineNumbers w:val="0"/>
            </w:pPr>
            <w:r>
              <w:t xml:space="preserve"> 项目名称</w:t>
            </w:r>
            <w:r/>
          </w:p>
        </w:tc>
        <w:tc>
          <w:tcPr>
            <w:tcW w:w="3375" w:type="dxa"/>
            <w:vAlign w:val="center"/>
            <w:textDirection w:val="lrTb"/>
            <w:noWrap w:val="false"/>
          </w:tcPr>
          <w:p>
            <w:pPr>
              <w:pStyle w:val="917"/>
              <w:keepLines w:val="0"/>
              <w:keepNext w:val="0"/>
              <w:widowControl/>
              <w:suppressLineNumbers w:val="0"/>
            </w:pPr>
            <w:r>
              <w:t xml:space="preserve">项目内容</w:t>
            </w:r>
            <w:r/>
          </w:p>
        </w:tc>
        <w:tc>
          <w:tcPr>
            <w:tcW w:w="4260" w:type="dxa"/>
            <w:vAlign w:val="center"/>
            <w:textDirection w:val="lrTb"/>
            <w:noWrap w:val="false"/>
          </w:tcPr>
          <w:p>
            <w:pPr>
              <w:pStyle w:val="917"/>
              <w:keepLines w:val="0"/>
              <w:keepNext w:val="0"/>
              <w:widowControl/>
              <w:suppressLineNumbers w:val="0"/>
            </w:pPr>
            <w:r>
              <w:t xml:space="preserve">总价（小写）</w:t>
            </w:r>
            <w:r/>
          </w:p>
        </w:tc>
      </w:tr>
      <w:tr>
        <w:trPr>
          <w:tblCellSpacing w:w="15" w:type="dxa"/>
          <w:trHeight w:val="850"/>
        </w:trPr>
        <w:tc>
          <w:tcPr>
            <w:tcW w:w="3615" w:type="dxa"/>
            <w:vAlign w:val="center"/>
            <w:textDirection w:val="lrTb"/>
            <w:noWrap w:val="false"/>
          </w:tcPr>
          <w:p>
            <w:pPr>
              <w:pStyle w:val="864"/>
              <w:jc w:val="left"/>
              <w:keepLines w:val="0"/>
              <w:keepNext w:val="0"/>
              <w:widowControl/>
              <w:suppressLineNumbers w:val="0"/>
            </w:pPr>
            <w:r/>
            <w:r/>
          </w:p>
        </w:tc>
        <w:tc>
          <w:tcPr>
            <w:tcW w:w="3375" w:type="dxa"/>
            <w:vAlign w:val="center"/>
            <w:textDirection w:val="lrTb"/>
            <w:noWrap w:val="false"/>
          </w:tcPr>
          <w:p>
            <w:pPr>
              <w:pStyle w:val="917"/>
              <w:keepLines w:val="0"/>
              <w:keepNext w:val="0"/>
              <w:widowControl/>
              <w:suppressLineNumbers w:val="0"/>
            </w:pPr>
            <w:r>
              <w:t xml:space="preserve">详见投标文件</w:t>
            </w:r>
            <w:r/>
          </w:p>
        </w:tc>
        <w:tc>
          <w:tcPr>
            <w:tcW w:w="4260" w:type="dxa"/>
            <w:vAlign w:val="center"/>
            <w:textDirection w:val="lrTb"/>
            <w:noWrap w:val="false"/>
          </w:tcPr>
          <w:p>
            <w:pPr>
              <w:pStyle w:val="917"/>
              <w:keepLines w:val="0"/>
              <w:keepNext w:val="0"/>
              <w:widowControl/>
              <w:suppressLineNumbers w:val="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fldChar w:fldCharType="end"/>
            </w:r>
            <w:r>
              <w:t xml:space="preserve">   元</w:t>
            </w:r>
            <w:r/>
          </w:p>
        </w:tc>
      </w:tr>
      <w:tr>
        <w:trPr>
          <w:tblCellSpacing w:w="15" w:type="dxa"/>
          <w:trHeight w:val="850"/>
        </w:trPr>
        <w:tc>
          <w:tcPr>
            <w:tcW w:w="3615" w:type="dxa"/>
            <w:vAlign w:val="center"/>
            <w:textDirection w:val="lrTb"/>
            <w:noWrap w:val="false"/>
          </w:tcPr>
          <w:p>
            <w:pPr>
              <w:pStyle w:val="917"/>
              <w:keepLines w:val="0"/>
              <w:keepNext w:val="0"/>
              <w:widowControl/>
              <w:suppressLineNumbers w:val="0"/>
            </w:pPr>
            <w:r>
              <w:t xml:space="preserve">总价（大写）：</w:t>
            </w:r>
            <w:r/>
          </w:p>
        </w:tc>
        <w:tc>
          <w:tcPr>
            <w:gridSpan w:val="2"/>
            <w:tcW w:w="7620" w:type="dxa"/>
            <w:vAlign w:val="center"/>
            <w:textDirection w:val="lrTb"/>
            <w:noWrap w:val="false"/>
          </w:tcPr>
          <w:p>
            <w:pPr>
              <w:pStyle w:val="917"/>
              <w:keepLines w:val="0"/>
              <w:keepNext w:val="0"/>
              <w:widowControl/>
              <w:suppressLineNumbers w:val="0"/>
            </w:pPr>
            <w:r>
              <w:t xml:space="preserve">金额大写  </w:t>
            </w:r>
            <w:r/>
          </w:p>
        </w:tc>
      </w:tr>
    </w:tbl>
    <w:p>
      <w:pPr>
        <w:pStyle w:val="917"/>
        <w:jc w:val="left"/>
        <w:keepLines w:val="0"/>
        <w:keepNext w:val="0"/>
        <w:widowControl/>
        <w:suppressLineNumbers w:val="0"/>
      </w:pPr>
      <w:r>
        <w:t xml:space="preserve">投标人公章：                               （电子签章）</w:t>
      </w:r>
      <w:r/>
    </w:p>
    <w:p>
      <w:pPr>
        <w:pStyle w:val="917"/>
        <w:jc w:val="right"/>
        <w:keepLines w:val="0"/>
        <w:keepNext w:val="0"/>
        <w:widowControl/>
        <w:suppressLineNumbers w:val="0"/>
      </w:pPr>
      <w:r>
        <w:t xml:space="preserve"> </w:t>
      </w:r>
      <w:r/>
    </w:p>
    <w:p>
      <w:pPr>
        <w:pStyle w:val="864"/>
        <w:ind w:firstLine="480"/>
        <w:jc w:val="right"/>
        <w:widowControl w:val="off"/>
        <w:rPr>
          <w:rFonts w:ascii="Calibri" w:hAnsi="Calibri" w:eastAsia="宋体" w:cs="Times New Roman"/>
          <w:sz w:val="24"/>
          <w:szCs w:val="24"/>
        </w:rPr>
      </w:pPr>
      <w:r>
        <w:t xml:space="preserve">日期：</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9"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20" o:title=""/>
              </v:shape>
            </w:pict>
          </mc:Fallback>
        </mc:AlternateContent>
      </w:r>
      <w:r>
        <w:fldChar w:fldCharType="end"/>
      </w:r>
      <w:r>
        <w:t xml:space="preserve"> 日</w:t>
      </w:r>
      <w:r>
        <w:rPr>
          <w:rFonts w:ascii="Calibri" w:hAnsi="Calibri" w:eastAsia="宋体" w:cs="Times New Roman"/>
          <w:sz w:val="24"/>
          <w:szCs w:val="24"/>
        </w:rPr>
      </w:r>
      <w:r/>
    </w:p>
    <w:p>
      <w:pPr>
        <w:pStyle w:val="864"/>
        <w:ind w:firstLine="480"/>
        <w:jc w:val="righ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4"/>
        <w:ind w:firstLine="643"/>
        <w:jc w:val="center"/>
        <w:spacing w:before="240" w:after="240"/>
        <w:rPr>
          <w:rFonts w:hint="eastAsia" w:eastAsia="黑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ascii="黑体" w:hAnsi="黑体" w:eastAsia="黑体" w:cs="黑体"/>
          <w:b w:val="0"/>
          <w:bCs/>
          <w:i/>
          <w:color w:val="000000"/>
          <w:sz w:val="32"/>
          <w:highlight w:val="none"/>
          <w:u w:val="single"/>
        </w:rPr>
        <w:t xml:space="preserve">十</w:t>
      </w:r>
      <w:r>
        <w:rPr>
          <w:rFonts w:hint="eastAsia" w:ascii="黑体" w:hAnsi="黑体" w:eastAsia="黑体" w:cs="黑体"/>
          <w:b w:val="0"/>
          <w:bCs/>
          <w:i/>
          <w:color w:val="000000"/>
          <w:sz w:val="32"/>
          <w:highlight w:val="none"/>
          <w:u w:val="single"/>
          <w:lang w:val="en-US" w:eastAsia="zh-CN"/>
        </w:rPr>
        <w:t xml:space="preserve">五</w:t>
      </w:r>
      <w:r>
        <w:rPr>
          <w:rFonts w:ascii="黑体" w:hAnsi="黑体" w:eastAsia="黑体" w:cs="黑体"/>
          <w:b w:val="0"/>
          <w:bCs/>
          <w:i/>
          <w:color w:val="000000"/>
          <w:sz w:val="32"/>
          <w:highlight w:val="none"/>
          <w:u w:val="single"/>
        </w:rPr>
        <w:t xml:space="preserve">、开标一览表</w:t>
      </w:r>
      <w:r>
        <w:rPr>
          <w:rFonts w:hint="eastAsia" w:ascii="黑体" w:hAnsi="黑体" w:eastAsia="黑体" w:cs="黑体"/>
          <w:b w:val="0"/>
          <w:bCs/>
          <w:i/>
          <w:color w:val="000000"/>
          <w:sz w:val="32"/>
          <w:highlight w:val="none"/>
          <w:u w:val="single"/>
          <w:lang w:eastAsia="zh-CN"/>
        </w:rPr>
        <w:t xml:space="preserve">（</w:t>
      </w:r>
      <w:r>
        <w:rPr>
          <w:rFonts w:hint="eastAsia" w:ascii="黑体" w:hAnsi="黑体" w:eastAsia="黑体" w:cs="黑体"/>
          <w:b w:val="0"/>
          <w:bCs/>
          <w:i/>
          <w:color w:val="000000"/>
          <w:sz w:val="32"/>
          <w:highlight w:val="none"/>
          <w:u w:val="single"/>
          <w:lang w:val="en-US" w:eastAsia="zh-CN"/>
        </w:rPr>
        <w:t xml:space="preserve">包2</w:t>
      </w:r>
      <w:r>
        <w:rPr>
          <w:rFonts w:hint="eastAsia" w:ascii="黑体" w:hAnsi="黑体" w:eastAsia="黑体" w:cs="黑体"/>
          <w:b w:val="0"/>
          <w:bCs/>
          <w:i/>
          <w:color w:val="000000"/>
          <w:sz w:val="32"/>
          <w:highlight w:val="none"/>
          <w:u w:val="single"/>
          <w:lang w:eastAsia="zh-CN"/>
        </w:rPr>
        <w:t xml:space="preserve">）</w:t>
      </w:r>
      <w:r>
        <w:rPr>
          <w:rFonts w:hint="eastAsia" w:eastAsia="黑体"/>
          <w:color w:val="000000"/>
          <w:highlight w:val="none"/>
          <w:lang w:eastAsia="zh-CN"/>
        </w:rPr>
      </w:r>
      <w:r/>
    </w:p>
    <w:p>
      <w:pPr>
        <w:pStyle w:val="864"/>
        <w:ind w:firstLine="482"/>
        <w:jc w:val="center"/>
        <w:spacing w:before="50" w:after="5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color w:val="000000"/>
          <w:highlight w:val="none"/>
        </w:rPr>
      </w:r>
      <w:r/>
    </w:p>
    <w:p>
      <w:pPr>
        <w:pStyle w:val="917"/>
        <w:keepLines w:val="0"/>
        <w:keepNext w:val="0"/>
        <w:widowControl/>
        <w:suppressLineNumbers w:val="0"/>
      </w:pPr>
      <w:r>
        <w:t xml:space="preserve">项目编号： </w:t>
      </w:r>
      <w:r/>
    </w:p>
    <w:p>
      <w:pPr>
        <w:pStyle w:val="917"/>
        <w:keepLines w:val="0"/>
        <w:keepNext w:val="0"/>
        <w:widowControl/>
        <w:suppressLineNumbers w:val="0"/>
      </w:pPr>
      <w:r>
        <w:t xml:space="preserve">货币单位：人民币元</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77"/>
        <w:gridCol w:w="2339"/>
        <w:gridCol w:w="3406"/>
      </w:tblGrid>
      <w:tr>
        <w:trPr>
          <w:tblCellSpacing w:w="15" w:type="dxa"/>
          <w:trHeight w:val="850"/>
        </w:trPr>
        <w:tc>
          <w:tcPr>
            <w:tcW w:w="3615" w:type="dxa"/>
            <w:vAlign w:val="center"/>
            <w:textDirection w:val="lrTb"/>
            <w:noWrap w:val="false"/>
          </w:tcPr>
          <w:p>
            <w:pPr>
              <w:pStyle w:val="917"/>
              <w:keepLines w:val="0"/>
              <w:keepNext w:val="0"/>
              <w:widowControl/>
              <w:suppressLineNumbers w:val="0"/>
            </w:pPr>
            <w:r>
              <w:t xml:space="preserve"> 项目名称</w:t>
            </w:r>
            <w:r/>
          </w:p>
        </w:tc>
        <w:tc>
          <w:tcPr>
            <w:tcW w:w="3375" w:type="dxa"/>
            <w:vAlign w:val="center"/>
            <w:textDirection w:val="lrTb"/>
            <w:noWrap w:val="false"/>
          </w:tcPr>
          <w:p>
            <w:pPr>
              <w:pStyle w:val="917"/>
              <w:keepLines w:val="0"/>
              <w:keepNext w:val="0"/>
              <w:widowControl/>
              <w:suppressLineNumbers w:val="0"/>
            </w:pPr>
            <w:r>
              <w:t xml:space="preserve">项目内容</w:t>
            </w:r>
            <w:r/>
          </w:p>
        </w:tc>
        <w:tc>
          <w:tcPr>
            <w:tcW w:w="4260" w:type="dxa"/>
            <w:vAlign w:val="center"/>
            <w:textDirection w:val="lrTb"/>
            <w:noWrap w:val="false"/>
          </w:tcPr>
          <w:p>
            <w:pPr>
              <w:pStyle w:val="917"/>
              <w:keepLines w:val="0"/>
              <w:keepNext w:val="0"/>
              <w:widowControl/>
              <w:suppressLineNumbers w:val="0"/>
            </w:pPr>
            <w:r>
              <w:t xml:space="preserve">总价（小写）</w:t>
            </w:r>
            <w:r/>
          </w:p>
        </w:tc>
      </w:tr>
      <w:tr>
        <w:trPr>
          <w:tblCellSpacing w:w="15" w:type="dxa"/>
          <w:trHeight w:val="850"/>
        </w:trPr>
        <w:tc>
          <w:tcPr>
            <w:tcW w:w="3615" w:type="dxa"/>
            <w:vAlign w:val="center"/>
            <w:textDirection w:val="lrTb"/>
            <w:noWrap w:val="false"/>
          </w:tcPr>
          <w:p>
            <w:pPr>
              <w:pStyle w:val="864"/>
              <w:jc w:val="left"/>
              <w:keepLines w:val="0"/>
              <w:keepNext w:val="0"/>
              <w:widowControl/>
              <w:suppressLineNumbers w:val="0"/>
            </w:pPr>
            <w:r/>
            <w:r/>
          </w:p>
        </w:tc>
        <w:tc>
          <w:tcPr>
            <w:tcW w:w="3375" w:type="dxa"/>
            <w:vAlign w:val="center"/>
            <w:textDirection w:val="lrTb"/>
            <w:noWrap w:val="false"/>
          </w:tcPr>
          <w:p>
            <w:pPr>
              <w:pStyle w:val="917"/>
              <w:keepLines w:val="0"/>
              <w:keepNext w:val="0"/>
              <w:widowControl/>
              <w:suppressLineNumbers w:val="0"/>
            </w:pPr>
            <w:r>
              <w:t xml:space="preserve">详见投标文件</w:t>
            </w:r>
            <w:r/>
          </w:p>
        </w:tc>
        <w:tc>
          <w:tcPr>
            <w:tcW w:w="4260" w:type="dxa"/>
            <w:vAlign w:val="center"/>
            <w:textDirection w:val="lrTb"/>
            <w:noWrap w:val="false"/>
          </w:tcPr>
          <w:p>
            <w:pPr>
              <w:pStyle w:val="917"/>
              <w:keepLines w:val="0"/>
              <w:keepNext w:val="0"/>
              <w:widowControl/>
              <w:suppressLineNumbers w:val="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21" o:title=""/>
                    </v:shape>
                  </w:pict>
                </mc:Fallback>
              </mc:AlternateContent>
            </w:r>
            <w:r>
              <w:fldChar w:fldCharType="end"/>
            </w:r>
            <w:r>
              <w:t xml:space="preserve">   元</w:t>
            </w:r>
            <w:r/>
          </w:p>
        </w:tc>
      </w:tr>
      <w:tr>
        <w:trPr>
          <w:tblCellSpacing w:w="15" w:type="dxa"/>
          <w:trHeight w:val="850"/>
        </w:trPr>
        <w:tc>
          <w:tcPr>
            <w:tcW w:w="3615" w:type="dxa"/>
            <w:vAlign w:val="center"/>
            <w:textDirection w:val="lrTb"/>
            <w:noWrap w:val="false"/>
          </w:tcPr>
          <w:p>
            <w:pPr>
              <w:pStyle w:val="917"/>
              <w:keepLines w:val="0"/>
              <w:keepNext w:val="0"/>
              <w:widowControl/>
              <w:suppressLineNumbers w:val="0"/>
            </w:pPr>
            <w:r>
              <w:t xml:space="preserve">总价（大写）：</w:t>
            </w:r>
            <w:r/>
          </w:p>
        </w:tc>
        <w:tc>
          <w:tcPr>
            <w:gridSpan w:val="2"/>
            <w:tcW w:w="7620" w:type="dxa"/>
            <w:vAlign w:val="center"/>
            <w:textDirection w:val="lrTb"/>
            <w:noWrap w:val="false"/>
          </w:tcPr>
          <w:p>
            <w:pPr>
              <w:pStyle w:val="917"/>
              <w:keepLines w:val="0"/>
              <w:keepNext w:val="0"/>
              <w:widowControl/>
              <w:suppressLineNumbers w:val="0"/>
            </w:pPr>
            <w:r>
              <w:t xml:space="preserve">金额大写  </w:t>
            </w:r>
            <w:r/>
          </w:p>
        </w:tc>
      </w:tr>
    </w:tbl>
    <w:p>
      <w:pPr>
        <w:pStyle w:val="917"/>
        <w:jc w:val="left"/>
        <w:keepLines w:val="0"/>
        <w:keepNext w:val="0"/>
        <w:widowControl/>
        <w:suppressLineNumbers w:val="0"/>
      </w:pPr>
      <w:r>
        <w:t xml:space="preserve">投标人公章：                               （电子签章）</w:t>
      </w:r>
      <w:r/>
    </w:p>
    <w:p>
      <w:pPr>
        <w:pStyle w:val="917"/>
        <w:jc w:val="right"/>
        <w:keepLines w:val="0"/>
        <w:keepNext w:val="0"/>
        <w:widowControl/>
        <w:suppressLineNumbers w:val="0"/>
      </w:pPr>
      <w:r>
        <w:t xml:space="preserve"> </w:t>
      </w:r>
      <w:r/>
    </w:p>
    <w:p>
      <w:pPr>
        <w:pStyle w:val="864"/>
        <w:ind w:firstLine="480"/>
        <w:jc w:val="right"/>
        <w:widowControl w:val="off"/>
        <w:rPr>
          <w:rFonts w:ascii="Calibri" w:hAnsi="Calibri" w:eastAsia="宋体" w:cs="Times New Roman"/>
          <w:sz w:val="24"/>
          <w:szCs w:val="24"/>
        </w:rPr>
      </w:pPr>
      <w:r>
        <w:t xml:space="preserve">日期：</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22"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23"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18.0pt;mso-wrap-distance-left:0.0pt;mso-wrap-distance-top:0.0pt;mso-wrap-distance-right:0.0pt;mso-wrap-distance-bottom:0.0pt;" stroked="f">
                <v:path textboxrect="0,0,0,0"/>
                <v:imagedata r:id="rId24" o:title=""/>
              </v:shape>
            </w:pict>
          </mc:Fallback>
        </mc:AlternateContent>
      </w:r>
      <w:r>
        <w:fldChar w:fldCharType="end"/>
      </w:r>
      <w:r>
        <w:t xml:space="preserve"> 日</w:t>
      </w:r>
      <w:r>
        <w:rPr>
          <w:rFonts w:ascii="Calibri" w:hAnsi="Calibri" w:eastAsia="宋体" w:cs="Times New Roman"/>
          <w:sz w:val="24"/>
          <w:szCs w:val="24"/>
        </w:rPr>
      </w:r>
      <w:r/>
    </w:p>
    <w:p>
      <w:pPr>
        <w:pStyle w:val="864"/>
        <w:ind w:firstLine="480"/>
        <w:jc w:val="right"/>
        <w:widowControl w:val="off"/>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r>
      <w:r/>
    </w:p>
    <w:p>
      <w:pPr>
        <w:pStyle w:val="864"/>
        <w:jc w:val="both"/>
        <w:widowControl w:val="off"/>
        <w:rPr>
          <w:rFonts w:ascii="Calibri" w:hAnsi="Calibri" w:eastAsia="宋体" w:cs="Times New Roman"/>
          <w:color w:val="000000"/>
          <w:sz w:val="24"/>
          <w:highlight w:val="none"/>
        </w:rPr>
      </w:pPr>
      <w:r>
        <w:rPr>
          <w:rFonts w:ascii="Calibri" w:hAnsi="Calibri" w:eastAsia="宋体" w:cs="Times New Roman"/>
          <w:color w:val="000000"/>
          <w:sz w:val="24"/>
          <w:highlight w:val="none"/>
        </w:rPr>
        <w:t xml:space="preserve"> </w:t>
      </w:r>
      <w:r>
        <w:rPr>
          <w:rFonts w:ascii="Calibri" w:hAnsi="Calibri" w:eastAsia="宋体" w:cs="Times New Roman"/>
          <w:color w:val="000000"/>
          <w:sz w:val="24"/>
          <w:highlight w:val="none"/>
        </w:rPr>
      </w:r>
      <w:r/>
    </w:p>
    <w:p>
      <w:pPr>
        <w:pStyle w:val="864"/>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864"/>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864"/>
        <w:ind w:firstLine="482"/>
        <w:jc w:val="center"/>
        <w:spacing w:before="50" w:after="50"/>
        <w:rPr>
          <w:rFonts w:ascii="宋体" w:hAnsi="宋体" w:eastAsia="宋体"/>
          <w:color w:val="000000"/>
          <w:highlight w:val="none"/>
        </w:rPr>
      </w:pPr>
      <w:r>
        <w:rPr>
          <w:rFonts w:ascii="宋体" w:hAnsi="宋体" w:eastAsia="宋体"/>
          <w:color w:val="000000"/>
          <w:highlight w:val="none"/>
        </w:rPr>
      </w:r>
      <w:r/>
    </w:p>
    <w:p>
      <w:pPr>
        <w:pStyle w:val="864"/>
        <w:ind w:firstLine="482"/>
        <w:jc w:val="center"/>
        <w:spacing w:before="50" w:after="50"/>
        <w:rPr>
          <w:rFonts w:ascii="宋体" w:hAnsi="宋体" w:eastAsia="宋体"/>
          <w:color w:val="000000"/>
          <w:highlight w:val="none"/>
        </w:rPr>
      </w:pPr>
      <w:r>
        <w:rPr>
          <w:rFonts w:ascii="宋体" w:hAnsi="宋体" w:eastAsia="宋体"/>
          <w:color w:val="000000"/>
          <w:highlight w:val="none"/>
        </w:rPr>
      </w:r>
      <w:r/>
    </w:p>
    <w:p>
      <w:pPr>
        <w:pStyle w:val="977"/>
        <w:rPr>
          <w:color w:val="000000"/>
          <w:highlight w:val="none"/>
        </w:rPr>
      </w:pPr>
      <w:r>
        <w:rPr>
          <w:color w:val="000000"/>
          <w:highlight w:val="none"/>
        </w:rPr>
      </w:r>
      <w:r/>
    </w:p>
    <w:p>
      <w:pPr>
        <w:pStyle w:val="977"/>
        <w:rPr>
          <w:color w:val="000000"/>
          <w:highlight w:val="none"/>
        </w:rPr>
      </w:pPr>
      <w:r>
        <w:rPr>
          <w:color w:val="000000"/>
          <w:highlight w:val="none"/>
        </w:rPr>
      </w:r>
      <w:r/>
    </w:p>
    <w:p>
      <w:pPr>
        <w:pStyle w:val="977"/>
        <w:ind w:left="0" w:firstLine="0"/>
        <w:rPr>
          <w:color w:val="000000"/>
          <w:highlight w:val="none"/>
        </w:rPr>
      </w:pPr>
      <w:r>
        <w:rPr>
          <w:color w:val="000000"/>
          <w:highlight w:val="none"/>
        </w:rPr>
      </w:r>
      <w:r/>
    </w:p>
    <w:p>
      <w:pPr>
        <w:pStyle w:val="864"/>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864"/>
        <w:jc w:val="center"/>
        <w:spacing w:before="50" w:after="50"/>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六</w:t>
      </w:r>
      <w:r>
        <w:rPr>
          <w:rFonts w:hint="eastAsia" w:ascii="黑体" w:hAnsi="黑体" w:eastAsia="黑体" w:cs="黑体"/>
          <w:b w:val="0"/>
          <w:bCs w:val="0"/>
          <w:color w:val="000000"/>
          <w:sz w:val="32"/>
          <w:szCs w:val="32"/>
          <w:highlight w:val="none"/>
        </w:rPr>
        <w:t xml:space="preserve">、实施方案</w:t>
      </w:r>
      <w:r>
        <w:rPr>
          <w:rFonts w:hint="eastAsia" w:ascii="黑体" w:hAnsi="黑体" w:eastAsia="黑体" w:cs="黑体"/>
          <w:b w:val="0"/>
          <w:bCs w:val="0"/>
          <w:color w:val="000000"/>
          <w:sz w:val="32"/>
          <w:szCs w:val="32"/>
          <w:highlight w:val="none"/>
        </w:rPr>
      </w:r>
      <w:r/>
    </w:p>
    <w:p>
      <w:pPr>
        <w:pStyle w:val="917"/>
        <w:jc w:val="both"/>
        <w:spacing w:beforeAutospacing="0" w:afterAutospacing="0"/>
        <w:tabs>
          <w:tab w:val="left" w:pos="2160" w:leader="none"/>
        </w:tabs>
        <w:rPr>
          <w:rFonts w:ascii="宋体" w:hAnsi="宋体" w:eastAsia="宋体"/>
          <w:color w:val="000000"/>
          <w:highlight w:val="none"/>
        </w:rPr>
      </w:pPr>
      <w:r>
        <w:rPr>
          <w:rFonts w:ascii="宋体" w:hAnsi="宋体" w:eastAsia="宋体"/>
          <w:color w:val="000000"/>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ind w:firstLine="643"/>
        <w:spacing w:line="499" w:lineRule="atLeast"/>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64"/>
        <w:jc w:val="center"/>
        <w:rPr>
          <w:rFonts w:ascii="宋体" w:hAnsi="宋体" w:eastAsia="宋体" w:cs="宋体"/>
          <w:b/>
          <w:bCs/>
          <w:color w:val="000000"/>
          <w:sz w:val="32"/>
          <w:szCs w:val="32"/>
          <w:highlight w:val="none"/>
        </w:rPr>
      </w:pPr>
      <w:r/>
      <w:bookmarkStart w:id="426" w:name="OLE_LINK65"/>
      <w:r/>
      <w:bookmarkStart w:id="427" w:name="OLE_LINK31"/>
      <w:r/>
      <w:bookmarkStart w:id="428" w:name="OLE_LINK21"/>
      <w:r/>
      <w:bookmarkStart w:id="429" w:name="OLE_LINK45"/>
      <w:r>
        <w:rPr>
          <w:rFonts w:ascii="宋体" w:hAnsi="宋体" w:eastAsia="宋体" w:cs="宋体"/>
          <w:b/>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七</w:t>
      </w:r>
      <w:r>
        <w:rPr>
          <w:rFonts w:hint="eastAsia" w:ascii="黑体" w:hAnsi="黑体" w:eastAsia="黑体" w:cs="黑体"/>
          <w:b w:val="0"/>
          <w:bCs w:val="0"/>
          <w:color w:val="000000"/>
          <w:sz w:val="32"/>
          <w:szCs w:val="32"/>
          <w:highlight w:val="none"/>
        </w:rPr>
        <w:t xml:space="preserve">、盐城经济技术开发区政府采购事前信用承诺书</w:t>
      </w:r>
      <w:r>
        <w:rPr>
          <w:rFonts w:ascii="宋体" w:hAnsi="宋体" w:eastAsia="宋体" w:cs="宋体"/>
          <w:b/>
          <w:bCs/>
          <w:color w:val="000000"/>
          <w:sz w:val="32"/>
          <w:szCs w:val="32"/>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为营造我区公开、公平、公正、诚实守信的政府采购交易环境，树立诚信守法的投标人形象，本人代表本单位作出以下承诺：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highlight w:val="none"/>
        </w:rPr>
      </w:r>
      <w:r/>
    </w:p>
    <w:p>
      <w:pPr>
        <w:pStyle w:val="864"/>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ascii="宋体" w:hAnsi="宋体" w:eastAsia="宋体" w:cs="宋体"/>
          <w:color w:val="000000"/>
          <w:sz w:val="24"/>
          <w:highlight w:val="none"/>
        </w:rPr>
      </w:r>
      <w:r/>
    </w:p>
    <w:p>
      <w:pPr>
        <w:pStyle w:val="864"/>
        <w:spacing w:line="499"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p>
      <w:pPr>
        <w:pStyle w:val="864"/>
        <w:ind w:firstLine="4320"/>
        <w:spacing w:line="499"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864"/>
        <w:jc w:val="center"/>
        <w:spacing w:line="499" w:lineRule="atLeas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color w:val="000000"/>
          <w:sz w:val="24"/>
          <w:highlight w:val="none"/>
        </w:rPr>
      </w:r>
      <w:r/>
    </w:p>
    <w:p>
      <w:pPr>
        <w:pStyle w:val="864"/>
        <w:jc w:val="center"/>
        <w:spacing w:line="499"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bookmarkEnd w:id="40"/>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180"/>
      <w:r/>
      <w:bookmarkEnd w:id="348"/>
      <w:r/>
      <w:bookmarkEnd w:id="357"/>
      <w:r/>
      <w:bookmarkEnd w:id="358"/>
      <w:r/>
      <w:bookmarkEnd w:id="405"/>
      <w:r/>
      <w:bookmarkEnd w:id="406"/>
      <w:r/>
      <w:bookmarkEnd w:id="407"/>
      <w:r/>
      <w:bookmarkEnd w:id="426"/>
      <w:r/>
      <w:bookmarkEnd w:id="427"/>
      <w:r/>
      <w:bookmarkEnd w:id="428"/>
      <w:r/>
      <w:bookmarkEnd w:id="429"/>
      <w:r>
        <w:rPr>
          <w:rFonts w:hint="eastAsia" w:ascii="宋体" w:hAnsi="宋体" w:eastAsia="宋体" w:cs="宋体"/>
          <w:color w:val="000000"/>
          <w:sz w:val="24"/>
          <w:highlight w:val="none"/>
        </w:rPr>
      </w:r>
      <w:r/>
    </w:p>
    <w:p>
      <w:pPr>
        <w:pStyle w:val="864"/>
        <w:jc w:val="center"/>
        <w:spacing w:line="499" w:lineRule="atLeast"/>
        <w:rPr>
          <w:rFonts w:ascii="宋体" w:hAnsi="宋体" w:eastAsia="宋体" w:cs="宋体"/>
          <w:b/>
          <w:color w:val="000000"/>
          <w:sz w:val="32"/>
          <w:szCs w:val="32"/>
          <w:highlight w:val="none"/>
        </w:rPr>
      </w:pPr>
      <w:r>
        <w:rPr>
          <w:rFonts w:hint="eastAsia" w:ascii="宋体" w:hAnsi="宋体" w:eastAsia="宋体" w:cs="宋体"/>
          <w:color w:val="000000"/>
          <w:sz w:val="24"/>
          <w:highlight w:val="none"/>
        </w:rPr>
        <w:br w:type="page" w:clear="all"/>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八</w:t>
      </w:r>
      <w:r>
        <w:rPr>
          <w:rFonts w:hint="eastAsia" w:ascii="黑体" w:hAnsi="黑体" w:eastAsia="黑体" w:cs="黑体"/>
          <w:b w:val="0"/>
          <w:bCs w:val="0"/>
          <w:color w:val="000000"/>
          <w:sz w:val="32"/>
          <w:szCs w:val="32"/>
          <w:highlight w:val="none"/>
        </w:rPr>
        <w:t xml:space="preserve">、招标文件中规定要求提供的证明材料和投标人认为需要提供的其他材料</w:t>
      </w:r>
      <w:r>
        <w:rPr>
          <w:rFonts w:ascii="宋体" w:hAnsi="宋体" w:eastAsia="宋体" w:cs="宋体"/>
          <w:b/>
          <w:color w:val="000000"/>
          <w:sz w:val="32"/>
          <w:szCs w:val="32"/>
          <w:highlight w:val="none"/>
        </w:rPr>
      </w:r>
      <w:r/>
    </w:p>
    <w:p>
      <w:pPr>
        <w:pStyle w:val="917"/>
        <w:ind w:firstLine="643"/>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17"/>
        <w:ind w:firstLine="643"/>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质疑函范本</w:t>
      </w:r>
      <w:r>
        <w:rPr>
          <w:rFonts w:ascii="宋体" w:hAnsi="宋体" w:eastAsia="宋体" w:cs="宋体"/>
          <w:b/>
          <w:bCs/>
          <w:color w:val="000000"/>
          <w:sz w:val="32"/>
          <w:szCs w:val="32"/>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一、质疑供应商基本信息</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二、质疑项目基本情况</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三、质疑事项具体内容</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质疑事项2</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四、与质疑事项相关的质疑请求</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7"/>
        <w:ind w:firstLine="420"/>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日期：    </w:t>
      </w:r>
      <w:r>
        <w:rPr>
          <w:rFonts w:ascii="宋体" w:hAnsi="宋体" w:eastAsia="宋体" w:cs="宋体"/>
          <w:color w:val="000000"/>
          <w:sz w:val="21"/>
          <w:szCs w:val="21"/>
          <w:highlight w:val="none"/>
        </w:rPr>
      </w:r>
      <w:r/>
    </w:p>
    <w:p>
      <w:pPr>
        <w:pStyle w:val="917"/>
        <w:ind w:firstLine="482"/>
        <w:jc w:val="both"/>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质疑函制作说明：</w:t>
      </w:r>
      <w:r>
        <w:rPr>
          <w:rFonts w:ascii="宋体" w:hAnsi="宋体" w:eastAsia="宋体" w:cs="宋体"/>
          <w:color w:val="000000"/>
          <w:sz w:val="21"/>
          <w:szCs w:val="21"/>
          <w:highlight w:val="none"/>
        </w:rPr>
      </w:r>
      <w:r/>
    </w:p>
    <w:p>
      <w:pPr>
        <w:pStyle w:val="917"/>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rPr>
          <w:rFonts w:ascii="宋体" w:hAnsi="宋体" w:eastAsia="宋体" w:cs="宋体"/>
          <w:color w:val="000000"/>
          <w:sz w:val="21"/>
          <w:szCs w:val="21"/>
          <w:highlight w:val="none"/>
        </w:rPr>
      </w:r>
      <w:r/>
    </w:p>
    <w:p>
      <w:pPr>
        <w:pStyle w:val="917"/>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sz w:val="21"/>
          <w:szCs w:val="21"/>
          <w:highlight w:val="none"/>
        </w:rPr>
      </w:r>
      <w:r/>
    </w:p>
    <w:p>
      <w:pPr>
        <w:pStyle w:val="917"/>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rPr>
          <w:rFonts w:ascii="宋体" w:hAnsi="宋体" w:eastAsia="宋体" w:cs="宋体"/>
          <w:color w:val="000000"/>
          <w:sz w:val="21"/>
          <w:szCs w:val="21"/>
          <w:highlight w:val="none"/>
        </w:rPr>
      </w:r>
      <w:r/>
    </w:p>
    <w:p>
      <w:pPr>
        <w:pStyle w:val="917"/>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rPr>
          <w:rFonts w:ascii="宋体" w:hAnsi="宋体" w:eastAsia="宋体" w:cs="宋体"/>
          <w:color w:val="000000"/>
          <w:sz w:val="21"/>
          <w:szCs w:val="21"/>
          <w:highlight w:val="none"/>
        </w:rPr>
      </w:r>
      <w:r/>
    </w:p>
    <w:p>
      <w:pPr>
        <w:pStyle w:val="917"/>
        <w:ind w:firstLine="482"/>
        <w:spacing w:beforeAutospacing="0" w:afterAutospacing="0"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rPr>
          <w:rFonts w:ascii="宋体" w:hAnsi="宋体" w:eastAsia="宋体" w:cs="宋体"/>
          <w:color w:val="000000"/>
          <w:sz w:val="21"/>
          <w:szCs w:val="21"/>
          <w:highlight w:val="none"/>
        </w:rPr>
      </w:r>
      <w:r/>
    </w:p>
    <w:p>
      <w:pPr>
        <w:pStyle w:val="917"/>
        <w:ind w:firstLine="482"/>
        <w:spacing w:beforeAutospacing="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楷体_GB2312">
    <w:panose1 w:val="02010609060101010101"/>
  </w:font>
  <w:font w:name="仿宋">
    <w:panose1 w:val="0201060906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楷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270"/>
      <w:jc w:val="center"/>
      <w:rPr>
        <w:rFonts w:hint="eastAsia" w:ascii="宋体" w:hAnsi="宋体"/>
        <w:b/>
        <w:color w:val="ff0000"/>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64"/>
                    </w:pPr>
                    <w:r/>
                    <w:r/>
                  </w:p>
                </w:txbxContent>
              </v:textbox>
            </v:shape>
          </w:pict>
        </mc:Fallback>
      </mc:AlternateContent>
    </w:r>
    <w:r>
      <w:rPr>
        <w:rFonts w:hint="eastAsia" w:ascii="宋体" w:hAnsi="宋体"/>
        <w:b/>
        <w:color w:val="ff0000"/>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86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86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rPr>
        <w:rFonts w:eastAsia="宋体"/>
        <w:lang w:val="en-US" w:eastAsia="zh-CN"/>
      </w:rPr>
    </w:pPr>
    <w:r>
      <w:rPr>
        <w:rFonts w:eastAsia="宋体"/>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8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86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4"/>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rPr>
        <w:rFonts w:hint="eastAsia"/>
        <w:b/>
        <w:szCs w:val="21"/>
      </w:rPr>
    </w:pPr>
    <w:r>
      <w:rPr>
        <w:rFonts w:hint="eastAsia"/>
        <w:b/>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7"/>
      <w:isLgl w:val="false"/>
      <w:suff w:val="tab"/>
      <w:lvlText w:val="%1、"/>
      <w:lvlJc w:val="left"/>
      <w:pPr>
        <w:pStyle w:val="864"/>
        <w:ind w:left="360" w:hanging="360"/>
      </w:pPr>
    </w:lvl>
    <w:lvl w:ilvl="1">
      <w:start w:val="1"/>
      <w:numFmt w:val="lowerLetter"/>
      <w:isLgl w:val="false"/>
      <w:suff w:val="tab"/>
      <w:lvlText w:val="%2)"/>
      <w:lvlJc w:val="left"/>
      <w:pPr>
        <w:pStyle w:val="864"/>
        <w:ind w:left="840" w:hanging="420"/>
      </w:p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864"/>
    <w:next w:val="864"/>
    <w:link w:val="951"/>
    <w:uiPriority w:val="9"/>
    <w:qFormat/>
    <w:pPr>
      <w:keepLines/>
      <w:keepNext/>
      <w:spacing w:before="480" w:after="200"/>
      <w:outlineLvl w:val="0"/>
    </w:pPr>
    <w:rPr>
      <w:rFonts w:ascii="Arial" w:hAnsi="Arial" w:eastAsia="Arial" w:cs="Arial"/>
      <w:sz w:val="40"/>
      <w:szCs w:val="40"/>
    </w:rPr>
  </w:style>
  <w:style w:type="paragraph" w:styleId="835">
    <w:name w:val="Heading 2"/>
    <w:basedOn w:val="864"/>
    <w:next w:val="864"/>
    <w:link w:val="950"/>
    <w:uiPriority w:val="9"/>
    <w:unhideWhenUsed/>
    <w:qFormat/>
    <w:pPr>
      <w:keepLines/>
      <w:keepNext/>
      <w:spacing w:before="360" w:after="200"/>
      <w:outlineLvl w:val="1"/>
    </w:pPr>
    <w:rPr>
      <w:rFonts w:ascii="Arial" w:hAnsi="Arial" w:eastAsia="Arial" w:cs="Arial"/>
      <w:sz w:val="34"/>
    </w:rPr>
  </w:style>
  <w:style w:type="paragraph" w:styleId="836">
    <w:name w:val="Heading 3"/>
    <w:basedOn w:val="864"/>
    <w:next w:val="864"/>
    <w:link w:val="939"/>
    <w:uiPriority w:val="9"/>
    <w:unhideWhenUsed/>
    <w:qFormat/>
    <w:pPr>
      <w:keepLines/>
      <w:keepNext/>
      <w:spacing w:before="320" w:after="200"/>
      <w:outlineLvl w:val="2"/>
    </w:pPr>
    <w:rPr>
      <w:rFonts w:ascii="Arial" w:hAnsi="Arial" w:eastAsia="Arial" w:cs="Arial"/>
      <w:sz w:val="30"/>
      <w:szCs w:val="30"/>
    </w:rPr>
  </w:style>
  <w:style w:type="paragraph" w:styleId="837">
    <w:name w:val="Heading 4"/>
    <w:basedOn w:val="864"/>
    <w:next w:val="864"/>
    <w:link w:val="949"/>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64"/>
    <w:next w:val="864"/>
    <w:link w:val="948"/>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6"/>
    <w:basedOn w:val="864"/>
    <w:next w:val="864"/>
    <w:link w:val="947"/>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64"/>
    <w:next w:val="864"/>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64"/>
    <w:next w:val="864"/>
    <w:link w:val="945"/>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64"/>
    <w:next w:val="864"/>
    <w:link w:val="954"/>
    <w:uiPriority w:val="9"/>
    <w:unhideWhenUsed/>
    <w:qFormat/>
    <w:pPr>
      <w:keepLines/>
      <w:keepNext/>
      <w:spacing w:before="320" w:after="200"/>
      <w:outlineLvl w:val="8"/>
    </w:pPr>
    <w:rPr>
      <w:rFonts w:ascii="Arial" w:hAnsi="Arial" w:eastAsia="Arial" w:cs="Arial"/>
      <w:i/>
      <w:iCs/>
      <w:sz w:val="21"/>
      <w:szCs w:val="21"/>
    </w:rPr>
  </w:style>
  <w:style w:type="paragraph" w:styleId="843">
    <w:name w:val="Title"/>
    <w:basedOn w:val="864"/>
    <w:next w:val="864"/>
    <w:link w:val="944"/>
    <w:uiPriority w:val="10"/>
    <w:qFormat/>
    <w:pPr>
      <w:contextualSpacing/>
      <w:spacing w:before="300" w:after="200"/>
    </w:pPr>
    <w:rPr>
      <w:sz w:val="48"/>
      <w:szCs w:val="48"/>
    </w:rPr>
  </w:style>
  <w:style w:type="paragraph" w:styleId="844">
    <w:name w:val="Subtitle"/>
    <w:basedOn w:val="864"/>
    <w:next w:val="864"/>
    <w:link w:val="953"/>
    <w:uiPriority w:val="11"/>
    <w:qFormat/>
    <w:pPr>
      <w:spacing w:before="200" w:after="200"/>
    </w:pPr>
    <w:rPr>
      <w:sz w:val="24"/>
      <w:szCs w:val="24"/>
    </w:rPr>
  </w:style>
  <w:style w:type="paragraph" w:styleId="845">
    <w:name w:val="Header"/>
    <w:basedOn w:val="864"/>
    <w:link w:val="934"/>
    <w:uiPriority w:val="99"/>
    <w:unhideWhenUsed/>
    <w:pPr>
      <w:spacing w:after="0" w:line="240" w:lineRule="auto"/>
      <w:tabs>
        <w:tab w:val="center" w:pos="7143" w:leader="none"/>
        <w:tab w:val="right" w:pos="14287" w:leader="none"/>
      </w:tabs>
    </w:pPr>
  </w:style>
  <w:style w:type="paragraph" w:styleId="846">
    <w:name w:val="Footer"/>
    <w:basedOn w:val="864"/>
    <w:link w:val="932"/>
    <w:uiPriority w:val="99"/>
    <w:unhideWhenUsed/>
    <w:pPr>
      <w:spacing w:after="0" w:line="240" w:lineRule="auto"/>
      <w:tabs>
        <w:tab w:val="center" w:pos="7143" w:leader="none"/>
        <w:tab w:val="right" w:pos="14287" w:leader="none"/>
      </w:tabs>
    </w:pPr>
  </w:style>
  <w:style w:type="paragraph" w:styleId="847">
    <w:name w:val="Caption"/>
    <w:basedOn w:val="864"/>
    <w:next w:val="864"/>
    <w:uiPriority w:val="35"/>
    <w:semiHidden/>
    <w:unhideWhenUsed/>
    <w:qFormat/>
    <w:pPr>
      <w:spacing w:line="276" w:lineRule="auto"/>
    </w:pPr>
    <w:rPr>
      <w:b/>
      <w:bCs/>
      <w:color w:val="4f81bd" w:themeColor="accent1"/>
      <w:sz w:val="18"/>
      <w:szCs w:val="18"/>
    </w:rPr>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Hyperlink"/>
    <w:uiPriority w:val="99"/>
    <w:unhideWhenUsed/>
    <w:rPr>
      <w:color w:val="0000ff" w:themeColor="hyperlink"/>
      <w:u w:val="single"/>
    </w:rPr>
  </w:style>
  <w:style w:type="paragraph" w:styleId="850">
    <w:name w:val="footnote text"/>
    <w:basedOn w:val="864"/>
    <w:link w:val="941"/>
    <w:uiPriority w:val="99"/>
    <w:semiHidden/>
    <w:unhideWhenUsed/>
    <w:pPr>
      <w:spacing w:after="40" w:line="240" w:lineRule="auto"/>
    </w:pPr>
    <w:rPr>
      <w:sz w:val="18"/>
    </w:rPr>
  </w:style>
  <w:style w:type="character" w:styleId="851">
    <w:name w:val="footnote reference"/>
    <w:uiPriority w:val="99"/>
    <w:unhideWhenUsed/>
    <w:rPr>
      <w:vertAlign w:val="superscript"/>
    </w:rPr>
  </w:style>
  <w:style w:type="paragraph" w:styleId="852">
    <w:name w:val="endnote text"/>
    <w:basedOn w:val="864"/>
    <w:link w:val="940"/>
    <w:uiPriority w:val="99"/>
    <w:semiHidden/>
    <w:unhideWhenUsed/>
    <w:pPr>
      <w:spacing w:after="0" w:line="240" w:lineRule="auto"/>
    </w:pPr>
    <w:rPr>
      <w:sz w:val="20"/>
    </w:rPr>
  </w:style>
  <w:style w:type="character" w:styleId="853">
    <w:name w:val="endnote reference"/>
    <w:uiPriority w:val="99"/>
    <w:semiHidden/>
    <w:unhideWhenUsed/>
    <w:rPr>
      <w:vertAlign w:val="superscript"/>
    </w:rPr>
  </w:style>
  <w:style w:type="paragraph" w:styleId="854">
    <w:name w:val="toc 1"/>
    <w:basedOn w:val="864"/>
    <w:next w:val="864"/>
    <w:uiPriority w:val="39"/>
    <w:unhideWhenUsed/>
    <w:pPr>
      <w:ind w:left="0" w:right="0" w:firstLine="0"/>
      <w:spacing w:after="57"/>
    </w:pPr>
  </w:style>
  <w:style w:type="paragraph" w:styleId="855">
    <w:name w:val="toc 2"/>
    <w:basedOn w:val="864"/>
    <w:next w:val="864"/>
    <w:uiPriority w:val="39"/>
    <w:unhideWhenUsed/>
    <w:pPr>
      <w:ind w:left="283" w:right="0" w:firstLine="0"/>
      <w:spacing w:after="57"/>
    </w:pPr>
  </w:style>
  <w:style w:type="paragraph" w:styleId="856">
    <w:name w:val="toc 3"/>
    <w:basedOn w:val="864"/>
    <w:next w:val="864"/>
    <w:uiPriority w:val="39"/>
    <w:unhideWhenUsed/>
    <w:pPr>
      <w:ind w:left="567" w:right="0" w:firstLine="0"/>
      <w:spacing w:after="57"/>
    </w:pPr>
  </w:style>
  <w:style w:type="paragraph" w:styleId="857">
    <w:name w:val="toc 4"/>
    <w:basedOn w:val="864"/>
    <w:next w:val="864"/>
    <w:uiPriority w:val="39"/>
    <w:unhideWhenUsed/>
    <w:pPr>
      <w:ind w:left="850" w:right="0" w:firstLine="0"/>
      <w:spacing w:after="57"/>
    </w:pPr>
  </w:style>
  <w:style w:type="paragraph" w:styleId="858">
    <w:name w:val="toc 5"/>
    <w:basedOn w:val="864"/>
    <w:next w:val="864"/>
    <w:uiPriority w:val="39"/>
    <w:unhideWhenUsed/>
    <w:pPr>
      <w:ind w:left="1134" w:right="0" w:firstLine="0"/>
      <w:spacing w:after="57"/>
    </w:pPr>
  </w:style>
  <w:style w:type="paragraph" w:styleId="859">
    <w:name w:val="toc 6"/>
    <w:basedOn w:val="864"/>
    <w:next w:val="864"/>
    <w:uiPriority w:val="39"/>
    <w:unhideWhenUsed/>
    <w:pPr>
      <w:ind w:left="1417" w:right="0" w:firstLine="0"/>
      <w:spacing w:after="57"/>
    </w:pPr>
  </w:style>
  <w:style w:type="paragraph" w:styleId="860">
    <w:name w:val="toc 7"/>
    <w:basedOn w:val="864"/>
    <w:next w:val="864"/>
    <w:uiPriority w:val="39"/>
    <w:unhideWhenUsed/>
    <w:pPr>
      <w:ind w:left="1701" w:right="0" w:firstLine="0"/>
      <w:spacing w:after="57"/>
    </w:pPr>
  </w:style>
  <w:style w:type="paragraph" w:styleId="861">
    <w:name w:val="toc 8"/>
    <w:basedOn w:val="864"/>
    <w:next w:val="864"/>
    <w:uiPriority w:val="39"/>
    <w:unhideWhenUsed/>
    <w:pPr>
      <w:ind w:left="1984" w:right="0" w:firstLine="0"/>
      <w:spacing w:after="57"/>
    </w:pPr>
  </w:style>
  <w:style w:type="paragraph" w:styleId="862">
    <w:name w:val="toc 9"/>
    <w:basedOn w:val="864"/>
    <w:next w:val="864"/>
    <w:uiPriority w:val="39"/>
    <w:unhideWhenUsed/>
    <w:pPr>
      <w:ind w:left="2268" w:right="0" w:firstLine="0"/>
      <w:spacing w:after="57"/>
    </w:pPr>
  </w:style>
  <w:style w:type="paragraph" w:styleId="863">
    <w:name w:val="table of figures"/>
    <w:basedOn w:val="864"/>
    <w:next w:val="864"/>
    <w:uiPriority w:val="99"/>
    <w:unhideWhenUsed/>
    <w:pPr>
      <w:spacing w:after="0" w:afterAutospacing="0"/>
    </w:pPr>
  </w:style>
  <w:style w:type="paragraph" w:styleId="864" w:default="1">
    <w:name w:val="Normal"/>
    <w:next w:val="867"/>
    <w:link w:val="864"/>
    <w:qFormat/>
    <w:rPr>
      <w:rFonts w:ascii="Calibri" w:hAnsi="Calibri" w:eastAsia="宋体" w:cs="Times New Roman"/>
      <w:sz w:val="21"/>
      <w:szCs w:val="24"/>
    </w:rPr>
  </w:style>
  <w:style w:type="paragraph" w:styleId="865">
    <w:name w:val="标题 1"/>
    <w:basedOn w:val="864"/>
    <w:next w:val="864"/>
    <w:link w:val="878"/>
    <w:uiPriority w:val="9"/>
    <w:qFormat/>
    <w:pPr>
      <w:keepLines/>
      <w:keepNext/>
      <w:spacing w:before="480" w:after="200"/>
      <w:outlineLvl w:val="0"/>
    </w:pPr>
    <w:rPr>
      <w:rFonts w:ascii="Arial" w:hAnsi="Arial" w:eastAsia="Arial" w:cs="Arial"/>
      <w:sz w:val="40"/>
      <w:szCs w:val="40"/>
    </w:rPr>
  </w:style>
  <w:style w:type="paragraph" w:styleId="866">
    <w:name w:val="标题 2"/>
    <w:basedOn w:val="864"/>
    <w:next w:val="864"/>
    <w:link w:val="879"/>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867">
    <w:name w:val="标题 3"/>
    <w:basedOn w:val="864"/>
    <w:next w:val="877"/>
    <w:link w:val="876"/>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868">
    <w:name w:val="标题 4"/>
    <w:basedOn w:val="864"/>
    <w:next w:val="864"/>
    <w:link w:val="880"/>
    <w:uiPriority w:val="9"/>
    <w:unhideWhenUsed/>
    <w:qFormat/>
    <w:pPr>
      <w:keepLines/>
      <w:keepNext/>
      <w:spacing w:before="320" w:after="200"/>
      <w:outlineLvl w:val="3"/>
    </w:pPr>
    <w:rPr>
      <w:rFonts w:ascii="Arial" w:hAnsi="Arial" w:eastAsia="Arial" w:cs="Arial"/>
      <w:b/>
      <w:bCs/>
      <w:sz w:val="26"/>
      <w:szCs w:val="26"/>
    </w:rPr>
  </w:style>
  <w:style w:type="paragraph" w:styleId="869">
    <w:name w:val="标题 5"/>
    <w:basedOn w:val="864"/>
    <w:next w:val="864"/>
    <w:link w:val="881"/>
    <w:uiPriority w:val="9"/>
    <w:unhideWhenUsed/>
    <w:qFormat/>
    <w:pPr>
      <w:keepLines/>
      <w:keepNext/>
      <w:spacing w:before="320" w:after="200"/>
      <w:outlineLvl w:val="4"/>
    </w:pPr>
    <w:rPr>
      <w:rFonts w:ascii="Arial" w:hAnsi="Arial" w:eastAsia="Arial" w:cs="Arial"/>
      <w:b/>
      <w:bCs/>
      <w:sz w:val="24"/>
    </w:rPr>
  </w:style>
  <w:style w:type="paragraph" w:styleId="870">
    <w:name w:val="标题 6"/>
    <w:basedOn w:val="864"/>
    <w:next w:val="864"/>
    <w:link w:val="882"/>
    <w:uiPriority w:val="9"/>
    <w:unhideWhenUsed/>
    <w:qFormat/>
    <w:pPr>
      <w:keepLines/>
      <w:keepNext/>
      <w:spacing w:before="320" w:after="200"/>
      <w:outlineLvl w:val="5"/>
    </w:pPr>
    <w:rPr>
      <w:rFonts w:ascii="Arial" w:hAnsi="Arial" w:eastAsia="Arial" w:cs="Arial"/>
      <w:b/>
      <w:bCs/>
      <w:sz w:val="22"/>
      <w:szCs w:val="22"/>
    </w:rPr>
  </w:style>
  <w:style w:type="paragraph" w:styleId="871">
    <w:name w:val="标题 7"/>
    <w:basedOn w:val="864"/>
    <w:next w:val="864"/>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标题 8"/>
    <w:basedOn w:val="864"/>
    <w:next w:val="864"/>
    <w:link w:val="884"/>
    <w:uiPriority w:val="9"/>
    <w:unhideWhenUsed/>
    <w:qFormat/>
    <w:pPr>
      <w:keepLines/>
      <w:keepNext/>
      <w:spacing w:before="320" w:after="200"/>
      <w:outlineLvl w:val="7"/>
    </w:pPr>
    <w:rPr>
      <w:rFonts w:ascii="Arial" w:hAnsi="Arial" w:eastAsia="Arial" w:cs="Arial"/>
      <w:i/>
      <w:iCs/>
      <w:sz w:val="22"/>
      <w:szCs w:val="22"/>
    </w:rPr>
  </w:style>
  <w:style w:type="paragraph" w:styleId="873">
    <w:name w:val="标题 9"/>
    <w:basedOn w:val="864"/>
    <w:next w:val="864"/>
    <w:link w:val="885"/>
    <w:uiPriority w:val="9"/>
    <w:unhideWhenUsed/>
    <w:qFormat/>
    <w:pPr>
      <w:keepLines/>
      <w:keepNext/>
      <w:spacing w:before="320" w:after="200"/>
      <w:outlineLvl w:val="8"/>
    </w:pPr>
    <w:rPr>
      <w:rFonts w:ascii="Arial" w:hAnsi="Arial" w:eastAsia="Arial" w:cs="Arial"/>
      <w:i/>
      <w:iCs/>
      <w:szCs w:val="21"/>
    </w:rPr>
  </w:style>
  <w:style w:type="character" w:styleId="874">
    <w:name w:val="默认段落字体"/>
    <w:next w:val="874"/>
    <w:link w:val="864"/>
    <w:uiPriority w:val="1"/>
    <w:unhideWhenUsed/>
  </w:style>
  <w:style w:type="table" w:styleId="875">
    <w:name w:val="普通表格"/>
    <w:next w:val="875"/>
    <w:link w:val="864"/>
    <w:uiPriority w:val="99"/>
    <w:unhideWhenUsed/>
    <w:qFormat/>
    <w:tblPr/>
  </w:style>
  <w:style w:type="character" w:styleId="876">
    <w:name w:val="标题 3 字符"/>
    <w:next w:val="876"/>
    <w:link w:val="867"/>
    <w:qFormat/>
    <w:rPr>
      <w:rFonts w:ascii="Times New Roman" w:hAnsi="Times New Roman" w:eastAsia="楷体"/>
      <w:b/>
      <w:bCs/>
      <w:sz w:val="26"/>
      <w:szCs w:val="32"/>
      <w:lang w:val="en-US" w:eastAsia="zh-CN" w:bidi="ar-SA"/>
    </w:rPr>
  </w:style>
  <w:style w:type="paragraph" w:styleId="877">
    <w:name w:val="正文缩进"/>
    <w:basedOn w:val="864"/>
    <w:next w:val="877"/>
    <w:link w:val="864"/>
    <w:qFormat/>
    <w:pPr>
      <w:ind w:firstLine="420"/>
    </w:pPr>
    <w:rPr>
      <w:rFonts w:ascii="Times New Roman" w:hAnsi="Times New Roman" w:eastAsia="宋体" w:cs="Times New Roman"/>
      <w:sz w:val="20"/>
      <w:szCs w:val="21"/>
    </w:rPr>
  </w:style>
  <w:style w:type="character" w:styleId="878">
    <w:name w:val="标题 1 字符"/>
    <w:basedOn w:val="874"/>
    <w:next w:val="878"/>
    <w:link w:val="865"/>
    <w:uiPriority w:val="9"/>
    <w:qFormat/>
    <w:rPr>
      <w:rFonts w:ascii="Arial" w:hAnsi="Arial" w:eastAsia="Arial" w:cs="Arial"/>
      <w:sz w:val="40"/>
      <w:szCs w:val="40"/>
    </w:rPr>
  </w:style>
  <w:style w:type="character" w:styleId="879">
    <w:name w:val="标题 2 字符"/>
    <w:basedOn w:val="874"/>
    <w:next w:val="879"/>
    <w:link w:val="866"/>
    <w:uiPriority w:val="9"/>
    <w:qFormat/>
    <w:rPr>
      <w:rFonts w:ascii="Arial" w:hAnsi="Arial" w:eastAsia="Arial" w:cs="Arial"/>
      <w:sz w:val="34"/>
    </w:rPr>
  </w:style>
  <w:style w:type="character" w:styleId="880">
    <w:name w:val="标题 4 字符"/>
    <w:basedOn w:val="874"/>
    <w:next w:val="880"/>
    <w:link w:val="868"/>
    <w:uiPriority w:val="9"/>
    <w:qFormat/>
    <w:rPr>
      <w:rFonts w:ascii="Arial" w:hAnsi="Arial" w:eastAsia="Arial" w:cs="Arial"/>
      <w:b/>
      <w:bCs/>
      <w:sz w:val="26"/>
      <w:szCs w:val="26"/>
    </w:rPr>
  </w:style>
  <w:style w:type="character" w:styleId="881">
    <w:name w:val="标题 5 字符"/>
    <w:basedOn w:val="874"/>
    <w:next w:val="881"/>
    <w:link w:val="869"/>
    <w:uiPriority w:val="9"/>
    <w:qFormat/>
    <w:rPr>
      <w:rFonts w:ascii="Arial" w:hAnsi="Arial" w:eastAsia="Arial" w:cs="Arial"/>
      <w:b/>
      <w:bCs/>
      <w:sz w:val="24"/>
      <w:szCs w:val="24"/>
    </w:rPr>
  </w:style>
  <w:style w:type="character" w:styleId="882">
    <w:name w:val="标题 6 字符"/>
    <w:basedOn w:val="874"/>
    <w:next w:val="882"/>
    <w:link w:val="870"/>
    <w:uiPriority w:val="9"/>
    <w:qFormat/>
    <w:rPr>
      <w:rFonts w:ascii="Arial" w:hAnsi="Arial" w:eastAsia="Arial" w:cs="Arial"/>
      <w:b/>
      <w:bCs/>
      <w:sz w:val="22"/>
      <w:szCs w:val="22"/>
    </w:rPr>
  </w:style>
  <w:style w:type="character" w:styleId="883">
    <w:name w:val="标题 7 字符"/>
    <w:basedOn w:val="874"/>
    <w:next w:val="883"/>
    <w:link w:val="871"/>
    <w:uiPriority w:val="9"/>
    <w:qFormat/>
    <w:rPr>
      <w:rFonts w:ascii="Arial" w:hAnsi="Arial" w:eastAsia="Arial" w:cs="Arial"/>
      <w:b/>
      <w:bCs/>
      <w:i/>
      <w:iCs/>
      <w:sz w:val="22"/>
      <w:szCs w:val="22"/>
    </w:rPr>
  </w:style>
  <w:style w:type="character" w:styleId="884">
    <w:name w:val="标题 8 字符"/>
    <w:basedOn w:val="874"/>
    <w:next w:val="884"/>
    <w:link w:val="872"/>
    <w:uiPriority w:val="9"/>
    <w:qFormat/>
    <w:rPr>
      <w:rFonts w:ascii="Arial" w:hAnsi="Arial" w:eastAsia="Arial" w:cs="Arial"/>
      <w:i/>
      <w:iCs/>
      <w:sz w:val="22"/>
      <w:szCs w:val="22"/>
    </w:rPr>
  </w:style>
  <w:style w:type="character" w:styleId="885">
    <w:name w:val="标题 9 字符"/>
    <w:basedOn w:val="874"/>
    <w:next w:val="885"/>
    <w:link w:val="873"/>
    <w:uiPriority w:val="9"/>
    <w:qFormat/>
    <w:rPr>
      <w:rFonts w:ascii="Arial" w:hAnsi="Arial" w:eastAsia="Arial" w:cs="Arial"/>
      <w:i/>
      <w:iCs/>
      <w:sz w:val="21"/>
      <w:szCs w:val="21"/>
    </w:rPr>
  </w:style>
  <w:style w:type="paragraph" w:styleId="886">
    <w:name w:val="目录 7"/>
    <w:basedOn w:val="864"/>
    <w:next w:val="864"/>
    <w:link w:val="864"/>
    <w:uiPriority w:val="39"/>
    <w:unhideWhenUsed/>
    <w:qFormat/>
    <w:pPr>
      <w:ind w:left="1701"/>
      <w:spacing w:after="57"/>
    </w:pPr>
  </w:style>
  <w:style w:type="paragraph" w:styleId="887">
    <w:name w:val="题注"/>
    <w:basedOn w:val="864"/>
    <w:next w:val="864"/>
    <w:link w:val="864"/>
    <w:uiPriority w:val="35"/>
    <w:unhideWhenUsed/>
    <w:qFormat/>
    <w:pPr>
      <w:spacing w:line="276" w:lineRule="auto"/>
    </w:pPr>
    <w:rPr>
      <w:b/>
      <w:bCs/>
      <w:color w:val="4874cb"/>
      <w:sz w:val="18"/>
      <w:szCs w:val="18"/>
    </w:rPr>
  </w:style>
  <w:style w:type="paragraph" w:styleId="888">
    <w:name w:val="批注文字"/>
    <w:basedOn w:val="864"/>
    <w:next w:val="888"/>
    <w:link w:val="889"/>
    <w:qFormat/>
  </w:style>
  <w:style w:type="character" w:styleId="889">
    <w:name w:val="批注文字 字符"/>
    <w:basedOn w:val="874"/>
    <w:next w:val="889"/>
    <w:link w:val="888"/>
    <w:rPr>
      <w:sz w:val="21"/>
      <w:szCs w:val="24"/>
    </w:rPr>
  </w:style>
  <w:style w:type="paragraph" w:styleId="890">
    <w:name w:val="正文文本"/>
    <w:basedOn w:val="864"/>
    <w:next w:val="890"/>
    <w:link w:val="891"/>
    <w:qFormat/>
    <w:pPr>
      <w:spacing w:after="120"/>
    </w:pPr>
  </w:style>
  <w:style w:type="character" w:styleId="891">
    <w:name w:val="正文文本 字符"/>
    <w:basedOn w:val="874"/>
    <w:next w:val="891"/>
    <w:link w:val="890"/>
    <w:qFormat/>
    <w:rPr>
      <w:sz w:val="21"/>
      <w:szCs w:val="24"/>
    </w:rPr>
  </w:style>
  <w:style w:type="paragraph" w:styleId="892">
    <w:name w:val="正文文本缩进"/>
    <w:basedOn w:val="864"/>
    <w:next w:val="894"/>
    <w:link w:val="893"/>
    <w:qFormat/>
    <w:pPr>
      <w:ind w:firstLine="600"/>
      <w:spacing w:line="360" w:lineRule="auto"/>
    </w:pPr>
    <w:rPr>
      <w:rFonts w:ascii="仿宋_GB2312" w:eastAsia="仿宋_GB2312"/>
      <w:sz w:val="30"/>
    </w:rPr>
  </w:style>
  <w:style w:type="character" w:styleId="893">
    <w:name w:val="正文文本缩进 字符"/>
    <w:basedOn w:val="874"/>
    <w:next w:val="893"/>
    <w:link w:val="892"/>
    <w:qFormat/>
    <w:rPr>
      <w:rFonts w:ascii="仿宋_GB2312" w:eastAsia="仿宋_GB2312"/>
      <w:sz w:val="30"/>
      <w:szCs w:val="24"/>
    </w:rPr>
  </w:style>
  <w:style w:type="paragraph" w:styleId="894">
    <w:name w:val="寄信人地址"/>
    <w:basedOn w:val="864"/>
    <w:next w:val="894"/>
    <w:link w:val="864"/>
    <w:qFormat/>
    <w:rPr>
      <w:rFonts w:ascii="Arial" w:hAnsi="Arial"/>
    </w:rPr>
  </w:style>
  <w:style w:type="paragraph" w:styleId="895">
    <w:name w:val="目录 5"/>
    <w:basedOn w:val="864"/>
    <w:next w:val="864"/>
    <w:link w:val="864"/>
    <w:uiPriority w:val="39"/>
    <w:unhideWhenUsed/>
    <w:qFormat/>
    <w:pPr>
      <w:ind w:left="1134"/>
      <w:spacing w:after="57"/>
    </w:pPr>
  </w:style>
  <w:style w:type="paragraph" w:styleId="896">
    <w:name w:val="目录 3"/>
    <w:basedOn w:val="864"/>
    <w:next w:val="864"/>
    <w:link w:val="864"/>
    <w:uiPriority w:val="39"/>
    <w:unhideWhenUsed/>
    <w:qFormat/>
    <w:pPr>
      <w:ind w:left="567"/>
      <w:spacing w:after="57"/>
    </w:pPr>
  </w:style>
  <w:style w:type="paragraph" w:styleId="897">
    <w:name w:val="纯文本"/>
    <w:basedOn w:val="864"/>
    <w:next w:val="897"/>
    <w:link w:val="898"/>
    <w:qFormat/>
    <w:rPr>
      <w:rFonts w:ascii="宋体" w:hAnsi="Courier New" w:eastAsia="宋体" w:cs="Times New Roman"/>
      <w:szCs w:val="20"/>
    </w:rPr>
  </w:style>
  <w:style w:type="character" w:styleId="898">
    <w:name w:val="纯文本 字符"/>
    <w:basedOn w:val="874"/>
    <w:next w:val="898"/>
    <w:link w:val="897"/>
    <w:qFormat/>
    <w:rPr>
      <w:rFonts w:ascii="宋体" w:hAnsi="Courier New" w:eastAsia="宋体" w:cs="Times New Roman"/>
      <w:sz w:val="21"/>
    </w:rPr>
  </w:style>
  <w:style w:type="paragraph" w:styleId="899">
    <w:name w:val="目录 8"/>
    <w:basedOn w:val="864"/>
    <w:next w:val="864"/>
    <w:link w:val="864"/>
    <w:uiPriority w:val="39"/>
    <w:unhideWhenUsed/>
    <w:qFormat/>
    <w:pPr>
      <w:ind w:left="1984"/>
      <w:spacing w:after="57"/>
    </w:pPr>
  </w:style>
  <w:style w:type="paragraph" w:styleId="900">
    <w:name w:val="正文文本缩进 2"/>
    <w:basedOn w:val="864"/>
    <w:next w:val="864"/>
    <w:link w:val="864"/>
    <w:uiPriority w:val="99"/>
    <w:qFormat/>
    <w:pPr>
      <w:ind w:left="420"/>
      <w:jc w:val="left"/>
      <w:spacing w:after="120" w:line="480" w:lineRule="auto"/>
      <w:widowControl w:val="off"/>
    </w:pPr>
    <w:rPr>
      <w:rFonts w:ascii="宋体" w:hAnsi="宋体" w:cs="宋体"/>
      <w:sz w:val="22"/>
      <w:szCs w:val="22"/>
      <w:lang w:val="zh-CN" w:bidi="zh-CN"/>
    </w:rPr>
  </w:style>
  <w:style w:type="paragraph" w:styleId="901">
    <w:name w:val="尾注文本"/>
    <w:basedOn w:val="864"/>
    <w:next w:val="901"/>
    <w:link w:val="902"/>
    <w:uiPriority w:val="99"/>
    <w:unhideWhenUsed/>
    <w:qFormat/>
    <w:rPr>
      <w:sz w:val="20"/>
    </w:rPr>
  </w:style>
  <w:style w:type="character" w:styleId="902">
    <w:name w:val="尾注文本 字符"/>
    <w:next w:val="902"/>
    <w:link w:val="901"/>
    <w:uiPriority w:val="99"/>
    <w:qFormat/>
    <w:rPr>
      <w:sz w:val="20"/>
    </w:rPr>
  </w:style>
  <w:style w:type="paragraph" w:styleId="903">
    <w:name w:val="页脚"/>
    <w:basedOn w:val="864"/>
    <w:next w:val="903"/>
    <w:link w:val="904"/>
    <w:uiPriority w:val="99"/>
    <w:qFormat/>
    <w:pPr>
      <w:tabs>
        <w:tab w:val="center" w:pos="4153" w:leader="none"/>
        <w:tab w:val="right" w:pos="8306" w:leader="none"/>
      </w:tabs>
    </w:pPr>
    <w:rPr>
      <w:sz w:val="18"/>
      <w:szCs w:val="18"/>
    </w:rPr>
  </w:style>
  <w:style w:type="character" w:styleId="904">
    <w:name w:val="页脚 字符"/>
    <w:basedOn w:val="874"/>
    <w:next w:val="904"/>
    <w:link w:val="903"/>
    <w:uiPriority w:val="99"/>
    <w:qFormat/>
    <w:rPr>
      <w:sz w:val="18"/>
      <w:szCs w:val="18"/>
    </w:rPr>
  </w:style>
  <w:style w:type="paragraph" w:styleId="905">
    <w:name w:val="页眉"/>
    <w:basedOn w:val="864"/>
    <w:next w:val="905"/>
    <w:link w:val="906"/>
    <w:uiPriority w:val="99"/>
    <w:qFormat/>
    <w:pPr>
      <w:jc w:val="center"/>
      <w:tabs>
        <w:tab w:val="center" w:pos="4153" w:leader="none"/>
        <w:tab w:val="right" w:pos="8306" w:leader="none"/>
      </w:tabs>
    </w:pPr>
    <w:rPr>
      <w:sz w:val="18"/>
      <w:szCs w:val="18"/>
    </w:rPr>
  </w:style>
  <w:style w:type="character" w:styleId="906">
    <w:name w:val="页眉 字符"/>
    <w:basedOn w:val="874"/>
    <w:next w:val="906"/>
    <w:link w:val="905"/>
    <w:uiPriority w:val="99"/>
    <w:qFormat/>
    <w:rPr>
      <w:sz w:val="18"/>
      <w:szCs w:val="18"/>
    </w:rPr>
  </w:style>
  <w:style w:type="paragraph" w:styleId="907">
    <w:name w:val="目录 1"/>
    <w:basedOn w:val="864"/>
    <w:next w:val="864"/>
    <w:link w:val="864"/>
    <w:uiPriority w:val="39"/>
    <w:unhideWhenUsed/>
    <w:qFormat/>
    <w:pPr>
      <w:spacing w:after="57"/>
    </w:pPr>
  </w:style>
  <w:style w:type="paragraph" w:styleId="908">
    <w:name w:val="目录 4"/>
    <w:basedOn w:val="864"/>
    <w:next w:val="864"/>
    <w:link w:val="864"/>
    <w:uiPriority w:val="39"/>
    <w:unhideWhenUsed/>
    <w:qFormat/>
    <w:pPr>
      <w:ind w:left="850"/>
      <w:spacing w:after="57"/>
    </w:pPr>
  </w:style>
  <w:style w:type="paragraph" w:styleId="909">
    <w:name w:val="副标题"/>
    <w:basedOn w:val="864"/>
    <w:next w:val="864"/>
    <w:link w:val="910"/>
    <w:uiPriority w:val="99"/>
    <w:qFormat/>
    <w:pPr>
      <w:spacing w:before="200" w:after="200"/>
    </w:pPr>
    <w:rPr>
      <w:sz w:val="24"/>
    </w:rPr>
  </w:style>
  <w:style w:type="character" w:styleId="910">
    <w:name w:val="副标题 字符"/>
    <w:basedOn w:val="874"/>
    <w:next w:val="910"/>
    <w:link w:val="909"/>
    <w:uiPriority w:val="11"/>
    <w:qFormat/>
    <w:rPr>
      <w:sz w:val="24"/>
      <w:szCs w:val="24"/>
    </w:rPr>
  </w:style>
  <w:style w:type="paragraph" w:styleId="911">
    <w:name w:val="脚注文本"/>
    <w:basedOn w:val="864"/>
    <w:next w:val="911"/>
    <w:link w:val="912"/>
    <w:uiPriority w:val="99"/>
    <w:unhideWhenUsed/>
    <w:qFormat/>
    <w:pPr>
      <w:spacing w:after="40"/>
    </w:pPr>
    <w:rPr>
      <w:sz w:val="18"/>
    </w:rPr>
  </w:style>
  <w:style w:type="character" w:styleId="912">
    <w:name w:val="脚注文本 字符"/>
    <w:next w:val="912"/>
    <w:link w:val="911"/>
    <w:uiPriority w:val="99"/>
    <w:qFormat/>
    <w:rPr>
      <w:sz w:val="18"/>
    </w:rPr>
  </w:style>
  <w:style w:type="paragraph" w:styleId="913">
    <w:name w:val="目录 6"/>
    <w:basedOn w:val="864"/>
    <w:next w:val="864"/>
    <w:link w:val="864"/>
    <w:uiPriority w:val="39"/>
    <w:unhideWhenUsed/>
    <w:qFormat/>
    <w:pPr>
      <w:ind w:left="1417"/>
      <w:spacing w:after="57"/>
    </w:pPr>
  </w:style>
  <w:style w:type="paragraph" w:styleId="914">
    <w:name w:val="图表目录"/>
    <w:basedOn w:val="864"/>
    <w:next w:val="864"/>
    <w:link w:val="864"/>
    <w:uiPriority w:val="99"/>
    <w:unhideWhenUsed/>
    <w:qFormat/>
  </w:style>
  <w:style w:type="paragraph" w:styleId="915">
    <w:name w:val="目录 2"/>
    <w:basedOn w:val="864"/>
    <w:next w:val="864"/>
    <w:link w:val="864"/>
    <w:uiPriority w:val="39"/>
    <w:unhideWhenUsed/>
    <w:qFormat/>
    <w:pPr>
      <w:ind w:left="283"/>
      <w:spacing w:after="57"/>
    </w:pPr>
  </w:style>
  <w:style w:type="paragraph" w:styleId="916">
    <w:name w:val="目录 9"/>
    <w:basedOn w:val="864"/>
    <w:next w:val="864"/>
    <w:link w:val="864"/>
    <w:uiPriority w:val="39"/>
    <w:unhideWhenUsed/>
    <w:qFormat/>
    <w:pPr>
      <w:ind w:left="2268"/>
      <w:spacing w:after="57"/>
    </w:pPr>
  </w:style>
  <w:style w:type="paragraph" w:styleId="917">
    <w:name w:val="普通(网站)"/>
    <w:basedOn w:val="864"/>
    <w:next w:val="917"/>
    <w:link w:val="918"/>
    <w:uiPriority w:val="99"/>
    <w:qFormat/>
    <w:pPr>
      <w:spacing w:beforeAutospacing="1" w:afterAutospacing="1"/>
    </w:pPr>
    <w:rPr>
      <w:rFonts w:cs="Times New Roman"/>
      <w:sz w:val="24"/>
    </w:rPr>
  </w:style>
  <w:style w:type="character" w:styleId="918">
    <w:name w:val="普通(网站) 字符"/>
    <w:next w:val="918"/>
    <w:link w:val="917"/>
    <w:qFormat/>
    <w:rPr>
      <w:rFonts w:cs="Times New Roman"/>
      <w:sz w:val="24"/>
      <w:szCs w:val="24"/>
    </w:rPr>
  </w:style>
  <w:style w:type="paragraph" w:styleId="919">
    <w:name w:val="标题"/>
    <w:basedOn w:val="864"/>
    <w:next w:val="864"/>
    <w:link w:val="920"/>
    <w:uiPriority w:val="10"/>
    <w:qFormat/>
    <w:pPr>
      <w:contextualSpacing/>
      <w:spacing w:before="300" w:after="200"/>
    </w:pPr>
    <w:rPr>
      <w:sz w:val="48"/>
      <w:szCs w:val="48"/>
    </w:rPr>
  </w:style>
  <w:style w:type="character" w:styleId="920">
    <w:name w:val="标题 字符"/>
    <w:basedOn w:val="874"/>
    <w:next w:val="920"/>
    <w:link w:val="919"/>
    <w:uiPriority w:val="10"/>
    <w:qFormat/>
    <w:rPr>
      <w:sz w:val="48"/>
      <w:szCs w:val="48"/>
    </w:rPr>
  </w:style>
  <w:style w:type="paragraph" w:styleId="921">
    <w:name w:val="正文首行缩进"/>
    <w:basedOn w:val="864"/>
    <w:next w:val="864"/>
    <w:link w:val="922"/>
    <w:uiPriority w:val="99"/>
    <w:unhideWhenUsed/>
    <w:qFormat/>
    <w:pPr>
      <w:ind w:firstLine="420"/>
    </w:pPr>
    <w:rPr>
      <w:rFonts w:ascii="Times New Roman" w:hAnsi="Times New Roman" w:eastAsia="宋体" w:cs="Times New Roman"/>
    </w:rPr>
  </w:style>
  <w:style w:type="character" w:styleId="922">
    <w:name w:val="正文文本首行缩进 字符"/>
    <w:basedOn w:val="891"/>
    <w:next w:val="922"/>
    <w:link w:val="921"/>
    <w:uiPriority w:val="99"/>
    <w:qFormat/>
    <w:rPr>
      <w:rFonts w:ascii="Times New Roman" w:hAnsi="Times New Roman" w:eastAsia="宋体" w:cs="Times New Roman"/>
      <w:sz w:val="21"/>
      <w:szCs w:val="24"/>
    </w:rPr>
  </w:style>
  <w:style w:type="paragraph" w:styleId="923">
    <w:name w:val="正文首行缩进 2"/>
    <w:basedOn w:val="892"/>
    <w:next w:val="864"/>
    <w:link w:val="924"/>
    <w:qFormat/>
    <w:pPr>
      <w:ind w:left="420" w:firstLine="420"/>
      <w:spacing w:before="50" w:after="120"/>
    </w:pPr>
    <w:rPr>
      <w:rFonts w:ascii="Calibri" w:eastAsia="宋体"/>
    </w:rPr>
  </w:style>
  <w:style w:type="character" w:styleId="924">
    <w:name w:val="正文文本首行缩进 2 字符"/>
    <w:basedOn w:val="893"/>
    <w:next w:val="924"/>
    <w:link w:val="923"/>
    <w:rPr>
      <w:rFonts w:ascii="Calibri" w:eastAsia="宋体"/>
      <w:sz w:val="30"/>
      <w:szCs w:val="24"/>
    </w:rPr>
  </w:style>
  <w:style w:type="table" w:styleId="925">
    <w:name w:val="网格型"/>
    <w:basedOn w:val="875"/>
    <w:next w:val="925"/>
    <w:link w:val="864"/>
    <w:uiPriority w:val="59"/>
    <w:qFormat/>
    <w:tblPr/>
  </w:style>
  <w:style w:type="character" w:styleId="926">
    <w:name w:val="要点"/>
    <w:basedOn w:val="874"/>
    <w:next w:val="926"/>
    <w:link w:val="864"/>
    <w:uiPriority w:val="1"/>
    <w:qFormat/>
    <w:rPr>
      <w:b/>
    </w:rPr>
  </w:style>
  <w:style w:type="character" w:styleId="927">
    <w:name w:val="尾注引用"/>
    <w:basedOn w:val="874"/>
    <w:next w:val="927"/>
    <w:link w:val="864"/>
    <w:uiPriority w:val="99"/>
    <w:unhideWhenUsed/>
    <w:qFormat/>
    <w:rPr>
      <w:vertAlign w:val="superscript"/>
    </w:rPr>
  </w:style>
  <w:style w:type="character" w:styleId="928">
    <w:name w:val="超链接"/>
    <w:next w:val="928"/>
    <w:link w:val="864"/>
    <w:uiPriority w:val="99"/>
    <w:unhideWhenUsed/>
    <w:qFormat/>
    <w:rPr>
      <w:color w:val="0026e5"/>
      <w:u w:val="single"/>
    </w:rPr>
  </w:style>
  <w:style w:type="character" w:styleId="929">
    <w:name w:val="脚注引用"/>
    <w:basedOn w:val="874"/>
    <w:next w:val="929"/>
    <w:link w:val="864"/>
    <w:uiPriority w:val="99"/>
    <w:unhideWhenUsed/>
    <w:qFormat/>
    <w:rPr>
      <w:vertAlign w:val="superscript"/>
    </w:rPr>
  </w:style>
  <w:style w:type="character" w:styleId="930">
    <w:name w:val="font101"/>
    <w:basedOn w:val="874"/>
    <w:next w:val="930"/>
    <w:link w:val="864"/>
    <w:qFormat/>
    <w:rPr>
      <w:rFonts w:hint="eastAsia" w:ascii="宋体" w:hAnsi="宋体" w:eastAsia="宋体" w:cs="宋体"/>
      <w:color w:val="ff0000"/>
      <w:sz w:val="20"/>
      <w:szCs w:val="20"/>
      <w:u w:val="none"/>
    </w:rPr>
  </w:style>
  <w:style w:type="character" w:styleId="931">
    <w:name w:val="font91"/>
    <w:basedOn w:val="874"/>
    <w:next w:val="931"/>
    <w:link w:val="864"/>
    <w:qFormat/>
    <w:rPr>
      <w:rFonts w:hint="eastAsia" w:ascii="宋体" w:hAnsi="宋体" w:eastAsia="宋体" w:cs="宋体"/>
      <w:color w:val="000000"/>
      <w:sz w:val="20"/>
      <w:szCs w:val="20"/>
      <w:u w:val="none"/>
    </w:rPr>
  </w:style>
  <w:style w:type="character" w:styleId="932">
    <w:name w:val="Caption Char"/>
    <w:next w:val="932"/>
    <w:link w:val="864"/>
    <w:uiPriority w:val="99"/>
    <w:qFormat/>
  </w:style>
  <w:style w:type="character" w:styleId="933">
    <w:name w:val="Footer Char"/>
    <w:basedOn w:val="874"/>
    <w:next w:val="933"/>
    <w:link w:val="864"/>
    <w:uiPriority w:val="99"/>
    <w:qFormat/>
  </w:style>
  <w:style w:type="character" w:styleId="934">
    <w:name w:val="Header Char"/>
    <w:basedOn w:val="874"/>
    <w:next w:val="934"/>
    <w:link w:val="864"/>
    <w:uiPriority w:val="99"/>
    <w:qFormat/>
  </w:style>
  <w:style w:type="character" w:styleId="935">
    <w:name w:val="明显引用 字符"/>
    <w:next w:val="935"/>
    <w:link w:val="936"/>
    <w:uiPriority w:val="30"/>
    <w:qFormat/>
    <w:rPr>
      <w:i/>
    </w:rPr>
  </w:style>
  <w:style w:type="paragraph" w:styleId="936">
    <w:name w:val="Intense Quote"/>
    <w:basedOn w:val="864"/>
    <w:next w:val="864"/>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引用 字符"/>
    <w:next w:val="937"/>
    <w:link w:val="938"/>
    <w:uiPriority w:val="29"/>
    <w:qFormat/>
    <w:rPr>
      <w:i/>
    </w:rPr>
  </w:style>
  <w:style w:type="paragraph" w:styleId="938">
    <w:name w:val="Quote"/>
    <w:basedOn w:val="864"/>
    <w:next w:val="864"/>
    <w:link w:val="937"/>
    <w:uiPriority w:val="29"/>
    <w:qFormat/>
    <w:pPr>
      <w:ind w:left="720" w:right="720"/>
    </w:pPr>
    <w:rPr>
      <w:i/>
    </w:rPr>
  </w:style>
  <w:style w:type="character" w:styleId="939">
    <w:name w:val="Heading 3 Char"/>
    <w:basedOn w:val="874"/>
    <w:next w:val="939"/>
    <w:link w:val="864"/>
    <w:uiPriority w:val="9"/>
    <w:qFormat/>
    <w:rPr>
      <w:rFonts w:ascii="Arial" w:hAnsi="Arial" w:eastAsia="Arial" w:cs="Arial"/>
      <w:sz w:val="30"/>
      <w:szCs w:val="30"/>
    </w:rPr>
  </w:style>
  <w:style w:type="character" w:styleId="940">
    <w:name w:val="Endnote Text Char"/>
    <w:next w:val="940"/>
    <w:link w:val="864"/>
    <w:uiPriority w:val="99"/>
    <w:qFormat/>
    <w:rPr>
      <w:sz w:val="20"/>
    </w:rPr>
  </w:style>
  <w:style w:type="character" w:styleId="941">
    <w:name w:val="Footnote Text Char"/>
    <w:next w:val="941"/>
    <w:link w:val="864"/>
    <w:uiPriority w:val="99"/>
    <w:qFormat/>
    <w:rPr>
      <w:sz w:val="18"/>
    </w:rPr>
  </w:style>
  <w:style w:type="character" w:styleId="942">
    <w:name w:val="Intense Quote Char"/>
    <w:next w:val="942"/>
    <w:link w:val="864"/>
    <w:uiPriority w:val="30"/>
    <w:qFormat/>
    <w:rPr>
      <w:i/>
    </w:rPr>
  </w:style>
  <w:style w:type="character" w:styleId="943">
    <w:name w:val="Quote Char"/>
    <w:next w:val="943"/>
    <w:link w:val="864"/>
    <w:uiPriority w:val="29"/>
    <w:qFormat/>
    <w:rPr>
      <w:i/>
    </w:rPr>
  </w:style>
  <w:style w:type="character" w:styleId="944">
    <w:name w:val="Title Char"/>
    <w:basedOn w:val="874"/>
    <w:next w:val="944"/>
    <w:link w:val="864"/>
    <w:uiPriority w:val="10"/>
    <w:qFormat/>
    <w:rPr>
      <w:sz w:val="48"/>
      <w:szCs w:val="48"/>
    </w:rPr>
  </w:style>
  <w:style w:type="character" w:styleId="945">
    <w:name w:val="Heading 8 Char"/>
    <w:basedOn w:val="874"/>
    <w:next w:val="945"/>
    <w:link w:val="864"/>
    <w:uiPriority w:val="9"/>
    <w:qFormat/>
    <w:rPr>
      <w:rFonts w:ascii="Arial" w:hAnsi="Arial" w:eastAsia="Arial" w:cs="Arial"/>
      <w:i/>
      <w:iCs/>
      <w:sz w:val="22"/>
      <w:szCs w:val="22"/>
    </w:rPr>
  </w:style>
  <w:style w:type="character" w:styleId="946">
    <w:name w:val="Heading 7 Char"/>
    <w:basedOn w:val="874"/>
    <w:next w:val="946"/>
    <w:link w:val="864"/>
    <w:uiPriority w:val="9"/>
    <w:qFormat/>
    <w:rPr>
      <w:rFonts w:ascii="Arial" w:hAnsi="Arial" w:eastAsia="Arial" w:cs="Arial"/>
      <w:b/>
      <w:bCs/>
      <w:i/>
      <w:iCs/>
      <w:sz w:val="22"/>
      <w:szCs w:val="22"/>
    </w:rPr>
  </w:style>
  <w:style w:type="character" w:styleId="947">
    <w:name w:val="Heading 6 Char"/>
    <w:basedOn w:val="874"/>
    <w:next w:val="947"/>
    <w:link w:val="864"/>
    <w:uiPriority w:val="9"/>
    <w:qFormat/>
    <w:rPr>
      <w:rFonts w:ascii="Arial" w:hAnsi="Arial" w:eastAsia="Arial" w:cs="Arial"/>
      <w:b/>
      <w:bCs/>
      <w:sz w:val="22"/>
      <w:szCs w:val="22"/>
    </w:rPr>
  </w:style>
  <w:style w:type="character" w:styleId="948">
    <w:name w:val="Heading 5 Char"/>
    <w:basedOn w:val="874"/>
    <w:next w:val="948"/>
    <w:link w:val="864"/>
    <w:uiPriority w:val="9"/>
    <w:qFormat/>
    <w:rPr>
      <w:rFonts w:ascii="Arial" w:hAnsi="Arial" w:eastAsia="Arial" w:cs="Arial"/>
      <w:b/>
      <w:bCs/>
      <w:sz w:val="24"/>
      <w:szCs w:val="24"/>
    </w:rPr>
  </w:style>
  <w:style w:type="character" w:styleId="949">
    <w:name w:val="Heading 4 Char"/>
    <w:basedOn w:val="874"/>
    <w:next w:val="949"/>
    <w:link w:val="864"/>
    <w:uiPriority w:val="9"/>
    <w:qFormat/>
    <w:rPr>
      <w:rFonts w:ascii="Arial" w:hAnsi="Arial" w:eastAsia="Arial" w:cs="Arial"/>
      <w:b/>
      <w:bCs/>
      <w:sz w:val="26"/>
      <w:szCs w:val="26"/>
    </w:rPr>
  </w:style>
  <w:style w:type="character" w:styleId="950">
    <w:name w:val="Heading 2 Char"/>
    <w:basedOn w:val="874"/>
    <w:next w:val="950"/>
    <w:link w:val="864"/>
    <w:uiPriority w:val="9"/>
    <w:qFormat/>
    <w:rPr>
      <w:rFonts w:ascii="Arial" w:hAnsi="Arial" w:eastAsia="Arial" w:cs="Arial"/>
      <w:sz w:val="34"/>
    </w:rPr>
  </w:style>
  <w:style w:type="character" w:styleId="951">
    <w:name w:val="Heading 1 Char"/>
    <w:basedOn w:val="874"/>
    <w:next w:val="951"/>
    <w:link w:val="864"/>
    <w:uiPriority w:val="9"/>
    <w:qFormat/>
    <w:rPr>
      <w:rFonts w:ascii="Arial" w:hAnsi="Arial" w:eastAsia="Arial" w:cs="Arial"/>
      <w:sz w:val="40"/>
      <w:szCs w:val="40"/>
    </w:rPr>
  </w:style>
  <w:style w:type="character" w:styleId="952">
    <w:name w:val="副标题 字符1"/>
    <w:next w:val="952"/>
    <w:link w:val="864"/>
    <w:uiPriority w:val="99"/>
    <w:qFormat/>
    <w:rPr>
      <w:rFonts w:ascii="Cambria" w:hAnsi="Cambria" w:cs="宋体"/>
      <w:b/>
      <w:bCs/>
      <w:sz w:val="32"/>
      <w:szCs w:val="32"/>
    </w:rPr>
  </w:style>
  <w:style w:type="character" w:styleId="953">
    <w:name w:val="Subtitle Char"/>
    <w:basedOn w:val="874"/>
    <w:next w:val="953"/>
    <w:link w:val="864"/>
    <w:uiPriority w:val="11"/>
    <w:qFormat/>
    <w:rPr>
      <w:sz w:val="24"/>
      <w:szCs w:val="24"/>
    </w:rPr>
  </w:style>
  <w:style w:type="character" w:styleId="954">
    <w:name w:val="Heading 9 Char"/>
    <w:basedOn w:val="874"/>
    <w:next w:val="954"/>
    <w:link w:val="864"/>
    <w:uiPriority w:val="9"/>
    <w:qFormat/>
    <w:rPr>
      <w:rFonts w:ascii="Arial" w:hAnsi="Arial" w:eastAsia="Arial" w:cs="Arial"/>
      <w:i/>
      <w:iCs/>
      <w:sz w:val="21"/>
      <w:szCs w:val="21"/>
    </w:rPr>
  </w:style>
  <w:style w:type="paragraph" w:styleId="955">
    <w:name w:val="批注文字1"/>
    <w:basedOn w:val="864"/>
    <w:next w:val="955"/>
    <w:link w:val="864"/>
    <w:uiPriority w:val="99"/>
    <w:qFormat/>
    <w:pPr>
      <w:jc w:val="left"/>
    </w:pPr>
    <w:rPr>
      <w:rFonts w:ascii="Times New Roman" w:hAnsi="Times New Roman" w:eastAsia="宋体" w:cs="Times New Roman"/>
      <w:sz w:val="20"/>
      <w:szCs w:val="21"/>
    </w:rPr>
  </w:style>
  <w:style w:type="paragraph" w:styleId="956">
    <w:name w:val="Table Text"/>
    <w:basedOn w:val="864"/>
    <w:next w:val="956"/>
    <w:link w:val="864"/>
    <w:semiHidden/>
    <w:qFormat/>
    <w:rPr>
      <w:rFonts w:ascii="宋体" w:hAnsi="宋体" w:eastAsia="宋体" w:cs="宋体"/>
      <w:sz w:val="24"/>
      <w:szCs w:val="24"/>
      <w:lang w:val="en-US" w:eastAsia="en-US" w:bidi="ar-SA"/>
    </w:rPr>
  </w:style>
  <w:style w:type="paragraph" w:styleId="957">
    <w:name w:val="项目编号1"/>
    <w:basedOn w:val="864"/>
    <w:next w:val="864"/>
    <w:link w:val="864"/>
    <w:qFormat/>
    <w:pPr>
      <w:numPr>
        <w:ilvl w:val="0"/>
        <w:numId w:val="1"/>
      </w:numPr>
      <w:spacing w:line="360" w:lineRule="auto"/>
    </w:pPr>
    <w:rPr>
      <w:rFonts w:ascii="宋体" w:hAnsi="Times New Roman" w:eastAsia="宋体" w:cs="Times New Roman"/>
      <w:sz w:val="24"/>
    </w:rPr>
  </w:style>
  <w:style w:type="paragraph" w:styleId="958">
    <w:name w:val="列出段落1"/>
    <w:basedOn w:val="864"/>
    <w:next w:val="958"/>
    <w:link w:val="864"/>
    <w:uiPriority w:val="34"/>
    <w:qFormat/>
    <w:pPr>
      <w:ind w:firstLine="420"/>
    </w:pPr>
    <w:rPr>
      <w:rFonts w:cs="Times New Roman"/>
      <w:lang w:eastAsia="en-US"/>
    </w:rPr>
  </w:style>
  <w:style w:type="paragraph" w:styleId="959">
    <w:name w:val="正文文本缩进1"/>
    <w:basedOn w:val="864"/>
    <w:next w:val="959"/>
    <w:link w:val="864"/>
    <w:qFormat/>
    <w:pPr>
      <w:ind w:left="420"/>
      <w:spacing w:after="120"/>
    </w:pPr>
  </w:style>
  <w:style w:type="paragraph" w:styleId="960">
    <w:name w:val="普通正文"/>
    <w:basedOn w:val="864"/>
    <w:next w:val="960"/>
    <w:link w:val="864"/>
    <w:qFormat/>
    <w:pPr>
      <w:ind w:firstLine="480"/>
      <w:spacing w:before="120" w:after="120" w:line="360" w:lineRule="auto"/>
    </w:pPr>
    <w:rPr>
      <w:rFonts w:ascii="Arial" w:hAnsi="Arial" w:eastAsia="等线" w:cs="Arial"/>
      <w:sz w:val="24"/>
    </w:rPr>
  </w:style>
  <w:style w:type="paragraph" w:styleId="961">
    <w:name w:val="页脚1"/>
    <w:basedOn w:val="864"/>
    <w:next w:val="961"/>
    <w:link w:val="864"/>
    <w:uiPriority w:val="99"/>
    <w:unhideWhenUsed/>
    <w:qFormat/>
    <w:pPr>
      <w:tabs>
        <w:tab w:val="center" w:pos="4153" w:leader="none"/>
        <w:tab w:val="right" w:pos="8306" w:leader="none"/>
      </w:tabs>
    </w:pPr>
    <w:rPr>
      <w:sz w:val="18"/>
      <w:szCs w:val="18"/>
    </w:rPr>
  </w:style>
  <w:style w:type="paragraph" w:styleId="962">
    <w:name w:val="列出段落3"/>
    <w:basedOn w:val="864"/>
    <w:next w:val="962"/>
    <w:link w:val="864"/>
    <w:qFormat/>
    <w:pPr>
      <w:ind w:firstLine="420"/>
    </w:pPr>
    <w:rPr>
      <w:rFonts w:ascii="Calibri" w:hAnsi="Calibri" w:eastAsia="宋体" w:cs="Times New Roman"/>
      <w:szCs w:val="21"/>
    </w:rPr>
  </w:style>
  <w:style w:type="paragraph" w:styleId="963">
    <w:name w:val="List Paragraph"/>
    <w:basedOn w:val="864"/>
    <w:next w:val="963"/>
    <w:link w:val="864"/>
    <w:uiPriority w:val="1"/>
    <w:unhideWhenUsed/>
    <w:qFormat/>
    <w:pPr>
      <w:ind w:firstLine="420"/>
    </w:pPr>
  </w:style>
  <w:style w:type="paragraph" w:styleId="964">
    <w:name w:val="Table Paragraph"/>
    <w:basedOn w:val="864"/>
    <w:next w:val="964"/>
    <w:link w:val="864"/>
    <w:uiPriority w:val="1"/>
    <w:unhideWhenUsed/>
    <w:qFormat/>
    <w:rPr>
      <w:rFonts w:ascii="Times New Roman" w:hAnsi="Times New Roman" w:eastAsia="宋体" w:cs="Times New Roman"/>
      <w:sz w:val="24"/>
    </w:rPr>
  </w:style>
  <w:style w:type="paragraph" w:styleId="965">
    <w:name w:val="普通(网站)1"/>
    <w:basedOn w:val="864"/>
    <w:next w:val="965"/>
    <w:link w:val="864"/>
    <w:qFormat/>
    <w:pPr>
      <w:spacing w:before="100" w:beforeAutospacing="1" w:after="100" w:afterAutospacing="1"/>
    </w:pPr>
    <w:rPr>
      <w:rFonts w:ascii="宋体" w:hAnsi="宋体" w:eastAsia="宋体" w:cs="宋体"/>
      <w:sz w:val="24"/>
    </w:rPr>
  </w:style>
  <w:style w:type="paragraph" w:styleId="966">
    <w:name w:val="Default"/>
    <w:basedOn w:val="864"/>
    <w:next w:val="966"/>
    <w:link w:val="864"/>
    <w:semiHidden/>
    <w:qFormat/>
    <w:rPr>
      <w:rFonts w:ascii="宋体" w:hAnsi="Calibri" w:cs="宋体"/>
      <w:color w:val="000000"/>
      <w:sz w:val="24"/>
    </w:rPr>
  </w:style>
  <w:style w:type="paragraph" w:styleId="967">
    <w:name w:val="TOC 标题11"/>
    <w:next w:val="967"/>
    <w:link w:val="864"/>
    <w:uiPriority w:val="39"/>
    <w:unhideWhenUsed/>
    <w:qFormat/>
    <w:rPr>
      <w:rFonts w:ascii="Calibri" w:hAnsi="Calibri" w:eastAsia="宋体" w:cs="Times New Roman"/>
    </w:rPr>
  </w:style>
  <w:style w:type="paragraph" w:styleId="968">
    <w:name w:val="No Spacing"/>
    <w:next w:val="968"/>
    <w:link w:val="864"/>
    <w:uiPriority w:val="1"/>
    <w:qFormat/>
    <w:rPr>
      <w:rFonts w:ascii="Calibri" w:hAnsi="Calibri" w:eastAsia="宋体" w:cs="Times New Roman"/>
    </w:rPr>
  </w:style>
  <w:style w:type="paragraph" w:styleId="969">
    <w:name w:val="TOC 标题111"/>
    <w:next w:val="969"/>
    <w:link w:val="864"/>
    <w:uiPriority w:val="39"/>
    <w:unhideWhenUsed/>
    <w:qFormat/>
    <w:rPr>
      <w:rFonts w:ascii="Calibri" w:hAnsi="Calibri" w:eastAsia="宋体" w:cs="Times New Roman"/>
    </w:rPr>
  </w:style>
  <w:style w:type="paragraph" w:styleId="970">
    <w:name w:val="TOC 标题112"/>
    <w:next w:val="970"/>
    <w:link w:val="864"/>
    <w:uiPriority w:val="39"/>
    <w:unhideWhenUsed/>
    <w:qFormat/>
    <w:rPr>
      <w:rFonts w:ascii="Calibri" w:hAnsi="Calibri" w:eastAsia="宋体" w:cs="Times New Roman"/>
    </w:rPr>
  </w:style>
  <w:style w:type="paragraph" w:styleId="971">
    <w:name w:val="正文文本缩进11"/>
    <w:basedOn w:val="864"/>
    <w:next w:val="971"/>
    <w:link w:val="864"/>
    <w:qFormat/>
    <w:pPr>
      <w:ind w:firstLine="645"/>
    </w:pPr>
    <w:rPr>
      <w:rFonts w:ascii="楷体_GB2312" w:eastAsia="楷体_GB2312" w:cs="Times New Roman"/>
      <w:sz w:val="32"/>
    </w:rPr>
  </w:style>
  <w:style w:type="paragraph" w:styleId="972">
    <w:name w:val="TOC 标题113"/>
    <w:next w:val="972"/>
    <w:link w:val="864"/>
    <w:uiPriority w:val="39"/>
    <w:unhideWhenUsed/>
    <w:qFormat/>
    <w:rPr>
      <w:rFonts w:ascii="Calibri" w:hAnsi="Calibri" w:eastAsia="宋体" w:cs="Times New Roman"/>
    </w:rPr>
  </w:style>
  <w:style w:type="paragraph" w:styleId="973">
    <w:name w:val="TOC 标题1"/>
    <w:next w:val="973"/>
    <w:link w:val="864"/>
    <w:uiPriority w:val="39"/>
    <w:unhideWhenUsed/>
    <w:qFormat/>
    <w:rPr>
      <w:rFonts w:ascii="Calibri" w:hAnsi="Calibri" w:eastAsia="宋体" w:cs="Times New Roman"/>
    </w:rPr>
  </w:style>
  <w:style w:type="paragraph" w:styleId="974">
    <w:name w:val="TOC Heading"/>
    <w:next w:val="974"/>
    <w:link w:val="864"/>
    <w:uiPriority w:val="39"/>
    <w:unhideWhenUsed/>
    <w:rPr>
      <w:rFonts w:ascii="Calibri" w:hAnsi="Calibri" w:eastAsia="宋体" w:cs="Times New Roman"/>
    </w:rPr>
  </w:style>
  <w:style w:type="paragraph" w:styleId="975">
    <w:name w:val="A正文"/>
    <w:next w:val="975"/>
    <w:link w:val="864"/>
    <w:qFormat/>
    <w:pPr>
      <w:ind w:firstLine="200"/>
      <w:jc w:val="both"/>
      <w:widowControl w:val="off"/>
    </w:pPr>
    <w:rPr>
      <w:rFonts w:ascii="Times New Roman" w:hAnsi="Times New Roman" w:eastAsia="宋体" w:cs="Times New Roman"/>
      <w:sz w:val="28"/>
      <w:szCs w:val="28"/>
    </w:rPr>
  </w:style>
  <w:style w:type="paragraph" w:styleId="976">
    <w:name w:val="AONormal"/>
    <w:next w:val="976"/>
    <w:link w:val="864"/>
    <w:qFormat/>
    <w:pPr>
      <w:ind w:firstLine="440"/>
      <w:spacing w:line="400" w:lineRule="exact"/>
    </w:pPr>
    <w:rPr>
      <w:rFonts w:ascii="华文楷体" w:hAnsi="华文楷体" w:eastAsia="华文楷体" w:cs="华文楷体"/>
      <w:sz w:val="22"/>
      <w:szCs w:val="21"/>
    </w:rPr>
  </w:style>
  <w:style w:type="paragraph" w:styleId="977">
    <w:name w:val="正文首行缩进 21"/>
    <w:basedOn w:val="971"/>
    <w:next w:val="977"/>
    <w:link w:val="864"/>
    <w:qFormat/>
    <w:pPr>
      <w:ind w:firstLine="420"/>
    </w:pPr>
  </w:style>
  <w:style w:type="table" w:styleId="978">
    <w:name w:val="普通表格1"/>
    <w:next w:val="978"/>
    <w:link w:val="864"/>
    <w:semiHidden/>
    <w:tblPr/>
  </w:style>
  <w:style w:type="table" w:styleId="979">
    <w:name w:val="Table Normal"/>
    <w:next w:val="979"/>
    <w:link w:val="864"/>
    <w:uiPriority w:val="2"/>
    <w:unhideWhenUsed/>
    <w:qFormat/>
    <w:rPr>
      <w:rFonts w:ascii="Times New Roman" w:hAnsi="Times New Roman" w:eastAsia="宋体" w:cs="Times New Roman"/>
    </w:rPr>
    <w:tblPr/>
  </w:style>
  <w:style w:type="table" w:styleId="980">
    <w:name w:val="Bordered - Accent 5"/>
    <w:basedOn w:val="875"/>
    <w:next w:val="980"/>
    <w:link w:val="864"/>
    <w:uiPriority w:val="99"/>
    <w:qFormat/>
    <w:tblPr/>
  </w:style>
  <w:style w:type="table" w:styleId="981">
    <w:name w:val="Bordered - Accent 3"/>
    <w:basedOn w:val="875"/>
    <w:next w:val="981"/>
    <w:link w:val="864"/>
    <w:uiPriority w:val="99"/>
    <w:qFormat/>
    <w:tblPr/>
  </w:style>
  <w:style w:type="table" w:styleId="982">
    <w:name w:val="Bordered - Accent 2"/>
    <w:basedOn w:val="875"/>
    <w:next w:val="982"/>
    <w:link w:val="864"/>
    <w:uiPriority w:val="99"/>
    <w:qFormat/>
    <w:tblPr/>
  </w:style>
  <w:style w:type="table" w:styleId="983">
    <w:name w:val="Bordered"/>
    <w:basedOn w:val="875"/>
    <w:next w:val="983"/>
    <w:link w:val="864"/>
    <w:uiPriority w:val="99"/>
    <w:qFormat/>
    <w:tblPr/>
  </w:style>
  <w:style w:type="table" w:styleId="984">
    <w:name w:val="Bordered &amp; Lined - Accent 5"/>
    <w:basedOn w:val="875"/>
    <w:next w:val="984"/>
    <w:link w:val="864"/>
    <w:uiPriority w:val="99"/>
    <w:qFormat/>
    <w:rPr>
      <w:color w:val="404040"/>
    </w:rPr>
    <w:tblPr/>
  </w:style>
  <w:style w:type="table" w:styleId="985">
    <w:name w:val="Bordered &amp; Lined - Accent 6"/>
    <w:basedOn w:val="875"/>
    <w:next w:val="985"/>
    <w:link w:val="864"/>
    <w:uiPriority w:val="99"/>
    <w:qFormat/>
    <w:rPr>
      <w:color w:val="404040"/>
    </w:rPr>
    <w:tblPr/>
  </w:style>
  <w:style w:type="table" w:styleId="986">
    <w:name w:val="Bordered &amp; Lined - Accent 3"/>
    <w:basedOn w:val="875"/>
    <w:next w:val="986"/>
    <w:link w:val="864"/>
    <w:uiPriority w:val="99"/>
    <w:qFormat/>
    <w:rPr>
      <w:color w:val="404040"/>
    </w:rPr>
    <w:tblPr/>
  </w:style>
  <w:style w:type="table" w:styleId="987">
    <w:name w:val="Bordered &amp; Lined - Accent"/>
    <w:basedOn w:val="875"/>
    <w:next w:val="987"/>
    <w:link w:val="864"/>
    <w:uiPriority w:val="99"/>
    <w:qFormat/>
    <w:rPr>
      <w:color w:val="404040"/>
    </w:rPr>
    <w:tblPr/>
  </w:style>
  <w:style w:type="table" w:styleId="988">
    <w:name w:val="Lined - Accent 4"/>
    <w:basedOn w:val="875"/>
    <w:next w:val="988"/>
    <w:link w:val="864"/>
    <w:uiPriority w:val="99"/>
    <w:rPr>
      <w:color w:val="404040"/>
    </w:rPr>
    <w:tblPr/>
  </w:style>
  <w:style w:type="table" w:styleId="989">
    <w:name w:val="Lined - Accent 3"/>
    <w:basedOn w:val="875"/>
    <w:next w:val="989"/>
    <w:link w:val="864"/>
    <w:uiPriority w:val="99"/>
    <w:qFormat/>
    <w:rPr>
      <w:color w:val="404040"/>
    </w:rPr>
    <w:tblPr/>
  </w:style>
  <w:style w:type="table" w:styleId="990">
    <w:name w:val="Lined - Accent 2"/>
    <w:basedOn w:val="875"/>
    <w:next w:val="990"/>
    <w:link w:val="864"/>
    <w:uiPriority w:val="99"/>
    <w:qFormat/>
    <w:rPr>
      <w:color w:val="404040"/>
    </w:rPr>
    <w:tblPr/>
  </w:style>
  <w:style w:type="table" w:styleId="991">
    <w:name w:val="Lined - Accent 1"/>
    <w:basedOn w:val="875"/>
    <w:next w:val="991"/>
    <w:link w:val="864"/>
    <w:uiPriority w:val="99"/>
    <w:qFormat/>
    <w:rPr>
      <w:color w:val="404040"/>
    </w:rPr>
    <w:tblPr/>
  </w:style>
  <w:style w:type="table" w:styleId="992">
    <w:name w:val="List Table 7 Colorful - Accent 6"/>
    <w:basedOn w:val="875"/>
    <w:next w:val="992"/>
    <w:link w:val="864"/>
    <w:uiPriority w:val="99"/>
    <w:qFormat/>
    <w:tblPr/>
  </w:style>
  <w:style w:type="table" w:styleId="993">
    <w:name w:val="List Table 7 Colorful - Accent 4"/>
    <w:basedOn w:val="875"/>
    <w:next w:val="993"/>
    <w:link w:val="864"/>
    <w:uiPriority w:val="99"/>
    <w:qFormat/>
    <w:tblPr/>
  </w:style>
  <w:style w:type="table" w:styleId="994">
    <w:name w:val="List Table 7 Colorful - Accent 2"/>
    <w:basedOn w:val="875"/>
    <w:next w:val="994"/>
    <w:link w:val="864"/>
    <w:uiPriority w:val="99"/>
    <w:qFormat/>
    <w:tblPr/>
  </w:style>
  <w:style w:type="table" w:styleId="995">
    <w:name w:val="List Table 6 Colorful - Accent 5"/>
    <w:basedOn w:val="875"/>
    <w:next w:val="995"/>
    <w:link w:val="864"/>
    <w:uiPriority w:val="99"/>
    <w:qFormat/>
    <w:tblPr/>
  </w:style>
  <w:style w:type="table" w:styleId="996">
    <w:name w:val="List Table 6 Colorful - Accent 3"/>
    <w:basedOn w:val="875"/>
    <w:next w:val="996"/>
    <w:link w:val="864"/>
    <w:uiPriority w:val="99"/>
    <w:qFormat/>
    <w:tblPr/>
  </w:style>
  <w:style w:type="table" w:styleId="997">
    <w:name w:val="List Table 6 Colorful - Accent 2"/>
    <w:basedOn w:val="875"/>
    <w:next w:val="997"/>
    <w:link w:val="864"/>
    <w:uiPriority w:val="99"/>
    <w:qFormat/>
    <w:tblPr/>
  </w:style>
  <w:style w:type="table" w:styleId="998">
    <w:name w:val="List Table 5 Dark - Accent 5"/>
    <w:basedOn w:val="875"/>
    <w:next w:val="998"/>
    <w:link w:val="864"/>
    <w:uiPriority w:val="99"/>
    <w:qFormat/>
    <w:tblPr/>
  </w:style>
  <w:style w:type="table" w:styleId="999">
    <w:name w:val="Bordered &amp; Lined - Accent 4"/>
    <w:basedOn w:val="875"/>
    <w:next w:val="999"/>
    <w:link w:val="864"/>
    <w:uiPriority w:val="99"/>
    <w:qFormat/>
    <w:rPr>
      <w:color w:val="404040"/>
    </w:rPr>
    <w:tblPr/>
  </w:style>
  <w:style w:type="table" w:styleId="1000">
    <w:name w:val="List Table 5 Dark - Accent 4"/>
    <w:basedOn w:val="875"/>
    <w:next w:val="1000"/>
    <w:link w:val="864"/>
    <w:uiPriority w:val="99"/>
    <w:qFormat/>
    <w:tblPr/>
  </w:style>
  <w:style w:type="table" w:styleId="1001">
    <w:name w:val="List Table 5 Dark - Accent 3"/>
    <w:basedOn w:val="875"/>
    <w:next w:val="1001"/>
    <w:link w:val="864"/>
    <w:uiPriority w:val="99"/>
    <w:qFormat/>
    <w:tblPr/>
  </w:style>
  <w:style w:type="table" w:styleId="1002">
    <w:name w:val="Bordered - Accent 6"/>
    <w:basedOn w:val="875"/>
    <w:next w:val="1002"/>
    <w:link w:val="864"/>
    <w:uiPriority w:val="99"/>
    <w:qFormat/>
    <w:tblPr/>
  </w:style>
  <w:style w:type="table" w:styleId="1003">
    <w:name w:val="List Table 5 Dark - Accent 1"/>
    <w:basedOn w:val="875"/>
    <w:next w:val="1003"/>
    <w:link w:val="864"/>
    <w:uiPriority w:val="99"/>
    <w:qFormat/>
    <w:tblPr/>
  </w:style>
  <w:style w:type="table" w:styleId="1004">
    <w:name w:val="List Table 4 - Accent 5"/>
    <w:basedOn w:val="875"/>
    <w:next w:val="1004"/>
    <w:link w:val="864"/>
    <w:uiPriority w:val="99"/>
    <w:qFormat/>
    <w:tblPr/>
  </w:style>
  <w:style w:type="table" w:styleId="1005">
    <w:name w:val="List Table 4 - Accent 2"/>
    <w:basedOn w:val="875"/>
    <w:next w:val="1005"/>
    <w:link w:val="864"/>
    <w:uiPriority w:val="99"/>
    <w:qFormat/>
    <w:tblPr/>
  </w:style>
  <w:style w:type="table" w:styleId="1006">
    <w:name w:val="List Table 4 - Accent 1"/>
    <w:basedOn w:val="875"/>
    <w:next w:val="1006"/>
    <w:link w:val="864"/>
    <w:uiPriority w:val="99"/>
    <w:qFormat/>
    <w:tblPr/>
  </w:style>
  <w:style w:type="table" w:styleId="1007">
    <w:name w:val="List Table 3 - Accent 6"/>
    <w:basedOn w:val="875"/>
    <w:next w:val="1007"/>
    <w:link w:val="864"/>
    <w:uiPriority w:val="99"/>
    <w:qFormat/>
    <w:tblPr/>
  </w:style>
  <w:style w:type="table" w:styleId="1008">
    <w:name w:val="List Table 6 Colorful - Accent 4"/>
    <w:basedOn w:val="875"/>
    <w:next w:val="1008"/>
    <w:link w:val="864"/>
    <w:uiPriority w:val="99"/>
    <w:qFormat/>
    <w:tblPr/>
  </w:style>
  <w:style w:type="table" w:styleId="1009">
    <w:name w:val="List Table 3 - Accent 3"/>
    <w:basedOn w:val="875"/>
    <w:next w:val="1009"/>
    <w:link w:val="864"/>
    <w:uiPriority w:val="99"/>
    <w:qFormat/>
    <w:tblPr/>
  </w:style>
  <w:style w:type="table" w:styleId="1010">
    <w:name w:val="List Table 3 - Accent 2"/>
    <w:basedOn w:val="875"/>
    <w:next w:val="1010"/>
    <w:link w:val="864"/>
    <w:uiPriority w:val="99"/>
    <w:qFormat/>
    <w:tblPr/>
  </w:style>
  <w:style w:type="table" w:styleId="1011">
    <w:name w:val="List Table 2 - Accent 5"/>
    <w:basedOn w:val="875"/>
    <w:next w:val="1011"/>
    <w:link w:val="864"/>
    <w:uiPriority w:val="99"/>
    <w:qFormat/>
    <w:tblPr/>
  </w:style>
  <w:style w:type="table" w:styleId="1012">
    <w:name w:val="List Table 2 - Accent 4"/>
    <w:basedOn w:val="875"/>
    <w:next w:val="1012"/>
    <w:link w:val="864"/>
    <w:uiPriority w:val="99"/>
    <w:qFormat/>
    <w:tblPr/>
  </w:style>
  <w:style w:type="table" w:styleId="1013">
    <w:name w:val="List Table 2 - Accent 3"/>
    <w:basedOn w:val="875"/>
    <w:next w:val="1013"/>
    <w:link w:val="864"/>
    <w:uiPriority w:val="99"/>
    <w:qFormat/>
    <w:tblPr/>
  </w:style>
  <w:style w:type="table" w:styleId="1014">
    <w:name w:val="List Table 2 - Accent 2"/>
    <w:basedOn w:val="875"/>
    <w:next w:val="1014"/>
    <w:link w:val="864"/>
    <w:uiPriority w:val="99"/>
    <w:qFormat/>
    <w:tblPr/>
  </w:style>
  <w:style w:type="table" w:styleId="1015">
    <w:name w:val="List Table 2 - Accent 1"/>
    <w:basedOn w:val="875"/>
    <w:next w:val="1015"/>
    <w:link w:val="864"/>
    <w:uiPriority w:val="99"/>
    <w:qFormat/>
    <w:tblPr/>
  </w:style>
  <w:style w:type="table" w:styleId="1016">
    <w:name w:val="List Table 1 Light - Accent 6"/>
    <w:basedOn w:val="875"/>
    <w:next w:val="1016"/>
    <w:link w:val="864"/>
    <w:uiPriority w:val="99"/>
    <w:qFormat/>
    <w:tblPr/>
  </w:style>
  <w:style w:type="table" w:styleId="1017">
    <w:name w:val="Lined - Accent 5"/>
    <w:basedOn w:val="875"/>
    <w:next w:val="1017"/>
    <w:link w:val="864"/>
    <w:uiPriority w:val="99"/>
    <w:qFormat/>
    <w:rPr>
      <w:color w:val="404040"/>
    </w:rPr>
    <w:tblPr/>
  </w:style>
  <w:style w:type="table" w:styleId="1018">
    <w:name w:val="List Table 1 Light - Accent 5"/>
    <w:basedOn w:val="875"/>
    <w:next w:val="1018"/>
    <w:link w:val="864"/>
    <w:uiPriority w:val="99"/>
    <w:qFormat/>
    <w:tblPr/>
  </w:style>
  <w:style w:type="table" w:styleId="1019">
    <w:name w:val="List Table 1 Light - Accent 1"/>
    <w:basedOn w:val="875"/>
    <w:next w:val="1019"/>
    <w:link w:val="864"/>
    <w:uiPriority w:val="99"/>
    <w:qFormat/>
    <w:tblPr/>
  </w:style>
  <w:style w:type="table" w:styleId="1020">
    <w:name w:val="Grid Table 7 Colorful - Accent 6"/>
    <w:basedOn w:val="875"/>
    <w:next w:val="1020"/>
    <w:link w:val="864"/>
    <w:uiPriority w:val="99"/>
    <w:qFormat/>
    <w:tblPr/>
  </w:style>
  <w:style w:type="table" w:styleId="1021">
    <w:name w:val="Lined - Accent 6"/>
    <w:basedOn w:val="875"/>
    <w:next w:val="1021"/>
    <w:link w:val="864"/>
    <w:uiPriority w:val="99"/>
    <w:qFormat/>
    <w:rPr>
      <w:color w:val="404040"/>
    </w:rPr>
    <w:tblPr/>
  </w:style>
  <w:style w:type="table" w:styleId="1022">
    <w:name w:val="Grid Table 7 Colorful - Accent 4"/>
    <w:basedOn w:val="875"/>
    <w:next w:val="1022"/>
    <w:link w:val="864"/>
    <w:uiPriority w:val="99"/>
    <w:qFormat/>
    <w:tblPr/>
  </w:style>
  <w:style w:type="table" w:styleId="1023">
    <w:name w:val="Grid Table 7 Colorful - Accent 3"/>
    <w:basedOn w:val="875"/>
    <w:next w:val="1023"/>
    <w:link w:val="864"/>
    <w:uiPriority w:val="99"/>
    <w:qFormat/>
    <w:tblPr/>
  </w:style>
  <w:style w:type="table" w:styleId="1024">
    <w:name w:val="Grid Table 7 Colorful - Accent 2"/>
    <w:basedOn w:val="875"/>
    <w:next w:val="1024"/>
    <w:link w:val="864"/>
    <w:uiPriority w:val="99"/>
    <w:qFormat/>
    <w:tblPr/>
  </w:style>
  <w:style w:type="table" w:styleId="1025">
    <w:name w:val="Bordered - Accent 1"/>
    <w:basedOn w:val="875"/>
    <w:next w:val="1025"/>
    <w:link w:val="864"/>
    <w:uiPriority w:val="99"/>
    <w:qFormat/>
    <w:tblPr/>
  </w:style>
  <w:style w:type="table" w:styleId="1026">
    <w:name w:val="Grid Table 7 Colorful - Accent 1"/>
    <w:basedOn w:val="875"/>
    <w:next w:val="1026"/>
    <w:link w:val="864"/>
    <w:uiPriority w:val="99"/>
    <w:qFormat/>
    <w:tblPr/>
  </w:style>
  <w:style w:type="table" w:styleId="1027">
    <w:name w:val="Grid Table 6 Colorful - Accent 6"/>
    <w:basedOn w:val="875"/>
    <w:next w:val="1027"/>
    <w:link w:val="864"/>
    <w:uiPriority w:val="99"/>
    <w:qFormat/>
    <w:tblPr/>
  </w:style>
  <w:style w:type="table" w:styleId="1028">
    <w:name w:val="Grid Table 6 Colorful - Accent 4"/>
    <w:basedOn w:val="875"/>
    <w:next w:val="1028"/>
    <w:link w:val="864"/>
    <w:uiPriority w:val="99"/>
    <w:qFormat/>
    <w:tblPr/>
  </w:style>
  <w:style w:type="table" w:styleId="1029">
    <w:name w:val="Grid Table 6 Colorful - Accent 2"/>
    <w:basedOn w:val="875"/>
    <w:next w:val="1029"/>
    <w:link w:val="864"/>
    <w:uiPriority w:val="99"/>
    <w:qFormat/>
    <w:tblPr/>
  </w:style>
  <w:style w:type="table" w:styleId="1030">
    <w:name w:val="Grid Table 5 Dark - Accent 6"/>
    <w:basedOn w:val="875"/>
    <w:next w:val="1030"/>
    <w:link w:val="864"/>
    <w:uiPriority w:val="99"/>
    <w:qFormat/>
    <w:tblPr/>
  </w:style>
  <w:style w:type="table" w:styleId="1031">
    <w:name w:val="List Table 3 - Accent 1"/>
    <w:basedOn w:val="875"/>
    <w:next w:val="1031"/>
    <w:link w:val="864"/>
    <w:uiPriority w:val="99"/>
    <w:qFormat/>
    <w:tblPr/>
  </w:style>
  <w:style w:type="table" w:styleId="1032">
    <w:name w:val="Grid Table 5 Dark - Accent 5"/>
    <w:basedOn w:val="875"/>
    <w:next w:val="1032"/>
    <w:link w:val="864"/>
    <w:uiPriority w:val="99"/>
    <w:qFormat/>
    <w:tblPr/>
  </w:style>
  <w:style w:type="table" w:styleId="1033">
    <w:name w:val="Grid Table 5 Dark - Accent 3"/>
    <w:basedOn w:val="875"/>
    <w:next w:val="1033"/>
    <w:link w:val="864"/>
    <w:uiPriority w:val="99"/>
    <w:qFormat/>
    <w:tblPr/>
  </w:style>
  <w:style w:type="table" w:styleId="1034">
    <w:name w:val="Grid Table 5 Dark - Accent 2"/>
    <w:basedOn w:val="875"/>
    <w:next w:val="1034"/>
    <w:link w:val="864"/>
    <w:uiPriority w:val="99"/>
    <w:qFormat/>
    <w:tblPr/>
  </w:style>
  <w:style w:type="table" w:styleId="1035">
    <w:name w:val="Grid Table 5 Dark- Accent 1"/>
    <w:basedOn w:val="875"/>
    <w:next w:val="1035"/>
    <w:link w:val="864"/>
    <w:uiPriority w:val="99"/>
    <w:qFormat/>
    <w:tblPr/>
  </w:style>
  <w:style w:type="table" w:styleId="1036">
    <w:name w:val="Grid Table 4 - Accent 6"/>
    <w:basedOn w:val="875"/>
    <w:next w:val="1036"/>
    <w:link w:val="864"/>
    <w:uiPriority w:val="59"/>
    <w:qFormat/>
    <w:tblPr/>
  </w:style>
  <w:style w:type="table" w:styleId="1037">
    <w:name w:val="Grid Table 4 - Accent 5"/>
    <w:basedOn w:val="875"/>
    <w:next w:val="1037"/>
    <w:link w:val="864"/>
    <w:uiPriority w:val="59"/>
    <w:qFormat/>
    <w:tblPr/>
  </w:style>
  <w:style w:type="table" w:styleId="1038">
    <w:name w:val="Grid Table 4 - Accent 4"/>
    <w:basedOn w:val="875"/>
    <w:next w:val="1038"/>
    <w:link w:val="864"/>
    <w:uiPriority w:val="59"/>
    <w:qFormat/>
    <w:tblPr/>
  </w:style>
  <w:style w:type="table" w:styleId="1039">
    <w:name w:val="Grid Table 4 - Accent 2"/>
    <w:basedOn w:val="875"/>
    <w:next w:val="1039"/>
    <w:link w:val="864"/>
    <w:uiPriority w:val="59"/>
    <w:qFormat/>
    <w:tblPr/>
  </w:style>
  <w:style w:type="table" w:styleId="1040">
    <w:name w:val="Grid Table 4 - Accent 1"/>
    <w:basedOn w:val="875"/>
    <w:next w:val="1040"/>
    <w:link w:val="864"/>
    <w:uiPriority w:val="59"/>
    <w:qFormat/>
    <w:tblPr/>
  </w:style>
  <w:style w:type="table" w:styleId="1041">
    <w:name w:val="Grid Table 3 - Accent 5"/>
    <w:basedOn w:val="875"/>
    <w:next w:val="1041"/>
    <w:link w:val="864"/>
    <w:uiPriority w:val="99"/>
    <w:qFormat/>
    <w:tblPr/>
  </w:style>
  <w:style w:type="table" w:styleId="1042">
    <w:name w:val="Grid Table 3 - Accent 4"/>
    <w:basedOn w:val="875"/>
    <w:next w:val="1042"/>
    <w:link w:val="864"/>
    <w:uiPriority w:val="99"/>
    <w:qFormat/>
    <w:tblPr/>
  </w:style>
  <w:style w:type="table" w:styleId="1043">
    <w:name w:val="List Table 7 Colorful - Accent 3"/>
    <w:basedOn w:val="875"/>
    <w:next w:val="1043"/>
    <w:link w:val="864"/>
    <w:uiPriority w:val="99"/>
    <w:qFormat/>
    <w:tblPr/>
  </w:style>
  <w:style w:type="table" w:styleId="1044">
    <w:name w:val="Grid Table 3 - Accent 3"/>
    <w:basedOn w:val="875"/>
    <w:next w:val="1044"/>
    <w:link w:val="864"/>
    <w:uiPriority w:val="99"/>
    <w:qFormat/>
    <w:tblPr/>
  </w:style>
  <w:style w:type="table" w:styleId="1045">
    <w:name w:val="Grid Table 3 - Accent 2"/>
    <w:basedOn w:val="875"/>
    <w:next w:val="1045"/>
    <w:link w:val="864"/>
    <w:uiPriority w:val="99"/>
    <w:qFormat/>
    <w:tblPr/>
  </w:style>
  <w:style w:type="table" w:styleId="1046">
    <w:name w:val="Grid Table 3 - Accent 1"/>
    <w:basedOn w:val="875"/>
    <w:next w:val="1046"/>
    <w:link w:val="864"/>
    <w:uiPriority w:val="99"/>
    <w:qFormat/>
    <w:tblPr/>
  </w:style>
  <w:style w:type="table" w:styleId="1047">
    <w:name w:val="Grid Table 2 - Accent 6"/>
    <w:basedOn w:val="875"/>
    <w:next w:val="1047"/>
    <w:link w:val="864"/>
    <w:uiPriority w:val="99"/>
    <w:qFormat/>
    <w:tblPr/>
  </w:style>
  <w:style w:type="table" w:styleId="1048">
    <w:name w:val="Bordered &amp; Lined - Accent 2"/>
    <w:basedOn w:val="875"/>
    <w:next w:val="1048"/>
    <w:link w:val="864"/>
    <w:uiPriority w:val="99"/>
    <w:qFormat/>
    <w:rPr>
      <w:color w:val="404040"/>
    </w:rPr>
    <w:tblPr/>
  </w:style>
  <w:style w:type="table" w:styleId="1049">
    <w:name w:val="Grid Table 2 - Accent 4"/>
    <w:basedOn w:val="875"/>
    <w:next w:val="1049"/>
    <w:link w:val="864"/>
    <w:uiPriority w:val="99"/>
    <w:qFormat/>
    <w:tblPr/>
  </w:style>
  <w:style w:type="table" w:styleId="1050">
    <w:name w:val="List Table 2 - Accent 6"/>
    <w:basedOn w:val="875"/>
    <w:next w:val="1050"/>
    <w:link w:val="864"/>
    <w:uiPriority w:val="99"/>
    <w:qFormat/>
    <w:tblPr/>
  </w:style>
  <w:style w:type="table" w:styleId="1051">
    <w:name w:val="Grid Table 2 - Accent 3"/>
    <w:basedOn w:val="875"/>
    <w:next w:val="1051"/>
    <w:link w:val="864"/>
    <w:uiPriority w:val="99"/>
    <w:qFormat/>
    <w:tblPr/>
  </w:style>
  <w:style w:type="table" w:styleId="1052">
    <w:name w:val="Grid Table 6 Colorful - Accent 3"/>
    <w:basedOn w:val="875"/>
    <w:next w:val="1052"/>
    <w:link w:val="864"/>
    <w:uiPriority w:val="99"/>
    <w:qFormat/>
    <w:tblPr/>
  </w:style>
  <w:style w:type="table" w:styleId="1053">
    <w:name w:val="Grid Table 2 - Accent 2"/>
    <w:basedOn w:val="875"/>
    <w:next w:val="1053"/>
    <w:link w:val="864"/>
    <w:uiPriority w:val="99"/>
    <w:qFormat/>
    <w:tblPr/>
  </w:style>
  <w:style w:type="table" w:styleId="1054">
    <w:name w:val="Grid Table 1 Light - Accent 6"/>
    <w:basedOn w:val="875"/>
    <w:next w:val="1054"/>
    <w:link w:val="864"/>
    <w:uiPriority w:val="99"/>
    <w:qFormat/>
    <w:tblPr/>
  </w:style>
  <w:style w:type="table" w:styleId="1055">
    <w:name w:val="Grid Table 1 Light - Accent 4"/>
    <w:basedOn w:val="875"/>
    <w:next w:val="1055"/>
    <w:link w:val="864"/>
    <w:uiPriority w:val="99"/>
    <w:qFormat/>
    <w:tblPr/>
  </w:style>
  <w:style w:type="table" w:styleId="1056">
    <w:name w:val="Grid Table 1 Light - Accent 3"/>
    <w:basedOn w:val="875"/>
    <w:next w:val="1056"/>
    <w:link w:val="864"/>
    <w:uiPriority w:val="99"/>
    <w:qFormat/>
    <w:tblPr/>
  </w:style>
  <w:style w:type="table" w:styleId="1057">
    <w:name w:val="Grid Table 1 Light - Accent 2"/>
    <w:basedOn w:val="875"/>
    <w:next w:val="1057"/>
    <w:link w:val="864"/>
    <w:uiPriority w:val="99"/>
    <w:qFormat/>
    <w:tblPr/>
  </w:style>
  <w:style w:type="table" w:styleId="1058">
    <w:name w:val="Table Grid Light"/>
    <w:basedOn w:val="875"/>
    <w:next w:val="1058"/>
    <w:link w:val="864"/>
    <w:uiPriority w:val="59"/>
    <w:qFormat/>
    <w:tblPr/>
  </w:style>
  <w:style w:type="table" w:styleId="1059">
    <w:name w:val="清单表 7 彩色1"/>
    <w:basedOn w:val="875"/>
    <w:next w:val="1059"/>
    <w:link w:val="864"/>
    <w:uiPriority w:val="99"/>
    <w:qFormat/>
    <w:tblPr/>
  </w:style>
  <w:style w:type="table" w:styleId="1060">
    <w:name w:val="List Table 1 Light - Accent 2"/>
    <w:basedOn w:val="875"/>
    <w:next w:val="1060"/>
    <w:link w:val="864"/>
    <w:uiPriority w:val="99"/>
    <w:qFormat/>
    <w:tblPr/>
  </w:style>
  <w:style w:type="table" w:styleId="1061">
    <w:name w:val="清单表 5 深色1"/>
    <w:basedOn w:val="875"/>
    <w:next w:val="1061"/>
    <w:link w:val="864"/>
    <w:uiPriority w:val="99"/>
    <w:qFormat/>
    <w:tblPr/>
  </w:style>
  <w:style w:type="table" w:styleId="1062">
    <w:name w:val="清单表 41"/>
    <w:basedOn w:val="875"/>
    <w:next w:val="1062"/>
    <w:link w:val="864"/>
    <w:uiPriority w:val="99"/>
    <w:qFormat/>
    <w:tblPr/>
  </w:style>
  <w:style w:type="table" w:styleId="1063">
    <w:name w:val="清单表 31"/>
    <w:basedOn w:val="875"/>
    <w:next w:val="1063"/>
    <w:link w:val="864"/>
    <w:uiPriority w:val="99"/>
    <w:qFormat/>
    <w:tblPr/>
  </w:style>
  <w:style w:type="table" w:styleId="1064">
    <w:name w:val="清单表 21"/>
    <w:basedOn w:val="875"/>
    <w:next w:val="1064"/>
    <w:link w:val="864"/>
    <w:uiPriority w:val="99"/>
    <w:qFormat/>
    <w:tblPr/>
  </w:style>
  <w:style w:type="table" w:styleId="1065">
    <w:name w:val="清单表 1 浅色1"/>
    <w:basedOn w:val="875"/>
    <w:next w:val="1065"/>
    <w:link w:val="864"/>
    <w:uiPriority w:val="99"/>
    <w:qFormat/>
    <w:tblPr/>
  </w:style>
  <w:style w:type="table" w:styleId="1066">
    <w:name w:val="网格表 6 彩色1"/>
    <w:basedOn w:val="875"/>
    <w:next w:val="1066"/>
    <w:link w:val="864"/>
    <w:uiPriority w:val="99"/>
    <w:qFormat/>
    <w:tblPr/>
  </w:style>
  <w:style w:type="table" w:styleId="1067">
    <w:name w:val="网格表 21"/>
    <w:basedOn w:val="875"/>
    <w:next w:val="1067"/>
    <w:link w:val="864"/>
    <w:uiPriority w:val="99"/>
    <w:qFormat/>
    <w:tblPr/>
  </w:style>
  <w:style w:type="table" w:styleId="1068">
    <w:name w:val="Grid Table 3 - Accent 6"/>
    <w:basedOn w:val="875"/>
    <w:next w:val="1068"/>
    <w:link w:val="864"/>
    <w:uiPriority w:val="99"/>
    <w:qFormat/>
    <w:tblPr/>
  </w:style>
  <w:style w:type="table" w:styleId="1069">
    <w:name w:val="网格表 1 浅色1"/>
    <w:basedOn w:val="875"/>
    <w:next w:val="1069"/>
    <w:link w:val="864"/>
    <w:uiPriority w:val="99"/>
    <w:qFormat/>
    <w:tblPr/>
  </w:style>
  <w:style w:type="table" w:styleId="1070">
    <w:name w:val="无格式表格 51"/>
    <w:basedOn w:val="875"/>
    <w:next w:val="1070"/>
    <w:link w:val="864"/>
    <w:uiPriority w:val="99"/>
    <w:qFormat/>
    <w:tblPr/>
  </w:style>
  <w:style w:type="table" w:styleId="1071">
    <w:name w:val="无格式表格 41"/>
    <w:basedOn w:val="875"/>
    <w:next w:val="1071"/>
    <w:link w:val="864"/>
    <w:uiPriority w:val="99"/>
    <w:qFormat/>
    <w:tblPr/>
  </w:style>
  <w:style w:type="table" w:styleId="1072">
    <w:name w:val="无格式表格 31"/>
    <w:basedOn w:val="875"/>
    <w:next w:val="1072"/>
    <w:link w:val="864"/>
    <w:uiPriority w:val="99"/>
    <w:qFormat/>
    <w:tblPr/>
  </w:style>
  <w:style w:type="table" w:styleId="1073">
    <w:name w:val="无格式表格 11"/>
    <w:basedOn w:val="875"/>
    <w:next w:val="1073"/>
    <w:link w:val="864"/>
    <w:uiPriority w:val="59"/>
    <w:qFormat/>
    <w:tblPr/>
  </w:style>
  <w:style w:type="table" w:styleId="1074">
    <w:name w:val="List Table 7 Colorful"/>
    <w:basedOn w:val="875"/>
    <w:next w:val="1074"/>
    <w:link w:val="864"/>
    <w:uiPriority w:val="99"/>
    <w:pPr>
      <w:spacing w:after="0" w:line="240" w:lineRule="auto"/>
    </w:pPr>
    <w:tblPr/>
  </w:style>
  <w:style w:type="table" w:styleId="1075">
    <w:name w:val="List Table 4 - Accent 6"/>
    <w:basedOn w:val="875"/>
    <w:next w:val="1075"/>
    <w:link w:val="864"/>
    <w:uiPriority w:val="99"/>
    <w:qFormat/>
    <w:tblPr/>
  </w:style>
  <w:style w:type="table" w:styleId="1076">
    <w:name w:val="List Table 4"/>
    <w:basedOn w:val="875"/>
    <w:next w:val="1076"/>
    <w:link w:val="864"/>
    <w:uiPriority w:val="99"/>
    <w:qFormat/>
    <w:pPr>
      <w:spacing w:after="0" w:line="240" w:lineRule="auto"/>
    </w:pPr>
    <w:tblPr/>
  </w:style>
  <w:style w:type="table" w:styleId="1077">
    <w:name w:val="Grid Table 4 - Accent 3"/>
    <w:basedOn w:val="875"/>
    <w:next w:val="1077"/>
    <w:link w:val="864"/>
    <w:uiPriority w:val="59"/>
    <w:qFormat/>
    <w:tblPr/>
  </w:style>
  <w:style w:type="table" w:styleId="1078">
    <w:name w:val="List Table 3"/>
    <w:basedOn w:val="875"/>
    <w:next w:val="1078"/>
    <w:link w:val="864"/>
    <w:uiPriority w:val="99"/>
    <w:pPr>
      <w:spacing w:after="0" w:line="240" w:lineRule="auto"/>
    </w:pPr>
    <w:tblPr/>
  </w:style>
  <w:style w:type="table" w:styleId="1079">
    <w:name w:val="List Table 3 - Accent 5"/>
    <w:basedOn w:val="875"/>
    <w:next w:val="1079"/>
    <w:link w:val="864"/>
    <w:uiPriority w:val="99"/>
    <w:qFormat/>
    <w:tblPr/>
  </w:style>
  <w:style w:type="table" w:styleId="1080">
    <w:name w:val="Grid Table 6 Colorful - Accent 1"/>
    <w:basedOn w:val="875"/>
    <w:next w:val="1080"/>
    <w:link w:val="864"/>
    <w:uiPriority w:val="99"/>
    <w:qFormat/>
    <w:tblPr/>
  </w:style>
  <w:style w:type="table" w:styleId="1081">
    <w:name w:val="List Table 1 Light"/>
    <w:basedOn w:val="875"/>
    <w:next w:val="1081"/>
    <w:link w:val="864"/>
    <w:uiPriority w:val="99"/>
    <w:qFormat/>
    <w:pPr>
      <w:spacing w:after="0" w:line="240" w:lineRule="auto"/>
    </w:pPr>
    <w:tblPr/>
  </w:style>
  <w:style w:type="table" w:styleId="1082">
    <w:name w:val="Grid Table 7 Colorful"/>
    <w:basedOn w:val="875"/>
    <w:next w:val="1082"/>
    <w:link w:val="864"/>
    <w:uiPriority w:val="99"/>
    <w:qFormat/>
    <w:pPr>
      <w:spacing w:after="0" w:line="240" w:lineRule="auto"/>
    </w:pPr>
    <w:tblPr/>
  </w:style>
  <w:style w:type="table" w:styleId="1083">
    <w:name w:val="Grid Table 5 Dark"/>
    <w:basedOn w:val="875"/>
    <w:next w:val="1083"/>
    <w:link w:val="864"/>
    <w:uiPriority w:val="99"/>
    <w:qFormat/>
    <w:pPr>
      <w:spacing w:after="0" w:line="240" w:lineRule="auto"/>
    </w:pPr>
    <w:tblPr/>
  </w:style>
  <w:style w:type="table" w:styleId="1084">
    <w:name w:val="List Table 6 Colorful - Accent 6"/>
    <w:basedOn w:val="875"/>
    <w:next w:val="1084"/>
    <w:link w:val="864"/>
    <w:uiPriority w:val="99"/>
    <w:qFormat/>
    <w:tblPr/>
  </w:style>
  <w:style w:type="table" w:styleId="1085">
    <w:name w:val="Grid Table 4"/>
    <w:basedOn w:val="875"/>
    <w:next w:val="1085"/>
    <w:link w:val="864"/>
    <w:uiPriority w:val="59"/>
    <w:qFormat/>
    <w:pPr>
      <w:spacing w:after="0" w:line="240" w:lineRule="auto"/>
    </w:pPr>
    <w:tblPr/>
  </w:style>
  <w:style w:type="table" w:styleId="1086">
    <w:name w:val="Grid Table 3"/>
    <w:basedOn w:val="875"/>
    <w:next w:val="1086"/>
    <w:link w:val="864"/>
    <w:uiPriority w:val="99"/>
    <w:qFormat/>
    <w:pPr>
      <w:spacing w:after="0" w:line="240" w:lineRule="auto"/>
    </w:pPr>
    <w:tblPr/>
  </w:style>
  <w:style w:type="table" w:styleId="1087">
    <w:name w:val="Plain Table 5"/>
    <w:basedOn w:val="875"/>
    <w:next w:val="1087"/>
    <w:link w:val="864"/>
    <w:uiPriority w:val="99"/>
    <w:qFormat/>
    <w:pPr>
      <w:spacing w:after="0" w:line="240" w:lineRule="auto"/>
    </w:pPr>
    <w:tblPr/>
  </w:style>
  <w:style w:type="table" w:styleId="1088">
    <w:name w:val="List Table 2"/>
    <w:basedOn w:val="875"/>
    <w:next w:val="1088"/>
    <w:link w:val="864"/>
    <w:uiPriority w:val="99"/>
    <w:qFormat/>
    <w:pPr>
      <w:spacing w:after="0" w:line="240" w:lineRule="auto"/>
    </w:pPr>
    <w:tblPr/>
  </w:style>
  <w:style w:type="table" w:styleId="1089">
    <w:name w:val="Plain Table 4"/>
    <w:basedOn w:val="875"/>
    <w:next w:val="1089"/>
    <w:link w:val="864"/>
    <w:uiPriority w:val="99"/>
    <w:pPr>
      <w:spacing w:after="0" w:line="240" w:lineRule="auto"/>
    </w:pPr>
    <w:tblPr/>
  </w:style>
  <w:style w:type="table" w:styleId="1090">
    <w:name w:val="Plain Table 2"/>
    <w:basedOn w:val="875"/>
    <w:next w:val="1090"/>
    <w:link w:val="864"/>
    <w:uiPriority w:val="59"/>
    <w:pPr>
      <w:spacing w:after="0" w:line="240" w:lineRule="auto"/>
    </w:pPr>
    <w:tblPr/>
  </w:style>
  <w:style w:type="table" w:styleId="1091">
    <w:name w:val="Grid Table 6 Colorful - Accent 5"/>
    <w:basedOn w:val="875"/>
    <w:next w:val="1091"/>
    <w:link w:val="864"/>
    <w:uiPriority w:val="99"/>
    <w:qFormat/>
    <w:tblPr/>
  </w:style>
  <w:style w:type="table" w:styleId="1092">
    <w:name w:val="网格表 5 深色1"/>
    <w:basedOn w:val="875"/>
    <w:next w:val="1092"/>
    <w:link w:val="864"/>
    <w:uiPriority w:val="99"/>
    <w:qFormat/>
    <w:tblPr/>
  </w:style>
  <w:style w:type="table" w:styleId="1093">
    <w:name w:val="Plain Table 1"/>
    <w:basedOn w:val="875"/>
    <w:next w:val="1093"/>
    <w:link w:val="864"/>
    <w:uiPriority w:val="59"/>
    <w:pPr>
      <w:spacing w:after="0" w:line="240" w:lineRule="auto"/>
    </w:pPr>
    <w:tblPr/>
  </w:style>
  <w:style w:type="table" w:styleId="1094">
    <w:name w:val="网格表 41"/>
    <w:basedOn w:val="875"/>
    <w:next w:val="1094"/>
    <w:link w:val="864"/>
    <w:uiPriority w:val="59"/>
    <w:qFormat/>
    <w:tblPr/>
  </w:style>
  <w:style w:type="table" w:styleId="1095">
    <w:name w:val="清单表 6 彩色1"/>
    <w:basedOn w:val="875"/>
    <w:next w:val="1095"/>
    <w:link w:val="864"/>
    <w:uiPriority w:val="99"/>
    <w:qFormat/>
    <w:tblPr/>
  </w:style>
  <w:style w:type="table" w:styleId="1096">
    <w:name w:val="无格式表格 21"/>
    <w:basedOn w:val="875"/>
    <w:next w:val="1096"/>
    <w:link w:val="864"/>
    <w:uiPriority w:val="59"/>
    <w:qFormat/>
    <w:tblPr/>
  </w:style>
  <w:style w:type="table" w:styleId="1097">
    <w:name w:val="Grid Table 1 Light - Accent 5"/>
    <w:basedOn w:val="875"/>
    <w:next w:val="1097"/>
    <w:link w:val="864"/>
    <w:uiPriority w:val="99"/>
    <w:qFormat/>
    <w:tblPr/>
  </w:style>
  <w:style w:type="table" w:styleId="1098">
    <w:name w:val="网格表 7 彩色1"/>
    <w:basedOn w:val="875"/>
    <w:next w:val="1098"/>
    <w:link w:val="864"/>
    <w:uiPriority w:val="99"/>
    <w:qFormat/>
    <w:tblPr/>
  </w:style>
  <w:style w:type="table" w:styleId="1099">
    <w:name w:val="Grid Table 2 - Accent 1"/>
    <w:basedOn w:val="875"/>
    <w:next w:val="1099"/>
    <w:link w:val="864"/>
    <w:uiPriority w:val="99"/>
    <w:qFormat/>
    <w:tblPr/>
  </w:style>
  <w:style w:type="table" w:styleId="1100">
    <w:name w:val="Grid Table 7 Colorful - Accent 5"/>
    <w:basedOn w:val="875"/>
    <w:next w:val="1100"/>
    <w:link w:val="864"/>
    <w:uiPriority w:val="99"/>
    <w:qFormat/>
    <w:tblPr/>
  </w:style>
  <w:style w:type="table" w:styleId="1101">
    <w:name w:val="List Table 7 Colorful - Accent 1"/>
    <w:basedOn w:val="875"/>
    <w:next w:val="1101"/>
    <w:link w:val="864"/>
    <w:uiPriority w:val="99"/>
    <w:qFormat/>
    <w:tblPr/>
  </w:style>
  <w:style w:type="table" w:styleId="1102">
    <w:name w:val="List Table 3 - Accent 4"/>
    <w:basedOn w:val="875"/>
    <w:next w:val="1102"/>
    <w:link w:val="864"/>
    <w:uiPriority w:val="99"/>
    <w:qFormat/>
    <w:tblPr/>
  </w:style>
  <w:style w:type="table" w:styleId="1103">
    <w:name w:val="Grid Table 2 - Accent 5"/>
    <w:basedOn w:val="875"/>
    <w:next w:val="1103"/>
    <w:link w:val="864"/>
    <w:uiPriority w:val="99"/>
    <w:qFormat/>
    <w:tblPr/>
  </w:style>
  <w:style w:type="table" w:styleId="1104">
    <w:name w:val="Grid Table 2"/>
    <w:basedOn w:val="875"/>
    <w:next w:val="1104"/>
    <w:link w:val="864"/>
    <w:uiPriority w:val="99"/>
    <w:pPr>
      <w:spacing w:after="0" w:line="240" w:lineRule="auto"/>
    </w:pPr>
    <w:tblPr/>
  </w:style>
  <w:style w:type="table" w:styleId="1105">
    <w:name w:val="Plain Table 3"/>
    <w:basedOn w:val="875"/>
    <w:next w:val="1105"/>
    <w:link w:val="864"/>
    <w:uiPriority w:val="99"/>
    <w:pPr>
      <w:spacing w:after="0" w:line="240" w:lineRule="auto"/>
    </w:pPr>
    <w:tblPr/>
  </w:style>
  <w:style w:type="table" w:styleId="1106">
    <w:name w:val="List Table 7 Colorful - Accent 5"/>
    <w:basedOn w:val="875"/>
    <w:next w:val="1106"/>
    <w:link w:val="864"/>
    <w:uiPriority w:val="99"/>
    <w:qFormat/>
    <w:tblPr/>
  </w:style>
  <w:style w:type="table" w:styleId="1107">
    <w:name w:val="List Table 1 Light - Accent 4"/>
    <w:basedOn w:val="875"/>
    <w:next w:val="1107"/>
    <w:link w:val="864"/>
    <w:uiPriority w:val="99"/>
    <w:qFormat/>
    <w:tblPr/>
  </w:style>
  <w:style w:type="table" w:styleId="1108">
    <w:name w:val="Lined - Accent"/>
    <w:basedOn w:val="875"/>
    <w:next w:val="1108"/>
    <w:link w:val="864"/>
    <w:uiPriority w:val="99"/>
    <w:qFormat/>
    <w:rPr>
      <w:color w:val="404040"/>
    </w:rPr>
    <w:tblPr/>
  </w:style>
  <w:style w:type="table" w:styleId="1109">
    <w:name w:val="Grid Table 5 Dark- Accent 4"/>
    <w:basedOn w:val="875"/>
    <w:next w:val="1109"/>
    <w:link w:val="864"/>
    <w:uiPriority w:val="99"/>
    <w:qFormat/>
    <w:tblPr/>
  </w:style>
  <w:style w:type="table" w:styleId="1110">
    <w:name w:val="List Table 6 Colorful - Accent 1"/>
    <w:basedOn w:val="875"/>
    <w:next w:val="1110"/>
    <w:link w:val="864"/>
    <w:uiPriority w:val="99"/>
    <w:qFormat/>
    <w:tblPr/>
  </w:style>
  <w:style w:type="table" w:styleId="1111">
    <w:name w:val="List Table 5 Dark - Accent 6"/>
    <w:basedOn w:val="875"/>
    <w:next w:val="1111"/>
    <w:link w:val="864"/>
    <w:uiPriority w:val="99"/>
    <w:qFormat/>
    <w:tblPr/>
  </w:style>
  <w:style w:type="table" w:styleId="1112">
    <w:name w:val="List Table 5 Dark"/>
    <w:basedOn w:val="875"/>
    <w:next w:val="1112"/>
    <w:link w:val="864"/>
    <w:uiPriority w:val="99"/>
    <w:pPr>
      <w:spacing w:after="0" w:line="240" w:lineRule="auto"/>
    </w:pPr>
    <w:tblPr/>
  </w:style>
  <w:style w:type="table" w:styleId="1113">
    <w:name w:val="Grid Table 1 Light - Accent 1"/>
    <w:basedOn w:val="875"/>
    <w:next w:val="1113"/>
    <w:link w:val="864"/>
    <w:uiPriority w:val="99"/>
    <w:tblPr/>
  </w:style>
  <w:style w:type="table" w:styleId="1114">
    <w:name w:val="List Table 1 Light - Accent 3"/>
    <w:basedOn w:val="875"/>
    <w:next w:val="1114"/>
    <w:link w:val="864"/>
    <w:uiPriority w:val="99"/>
    <w:qFormat/>
    <w:tblPr/>
  </w:style>
  <w:style w:type="table" w:styleId="1115">
    <w:name w:val="Bordered - Accent 4"/>
    <w:basedOn w:val="875"/>
    <w:next w:val="1115"/>
    <w:link w:val="864"/>
    <w:uiPriority w:val="99"/>
    <w:qFormat/>
    <w:tblPr/>
  </w:style>
  <w:style w:type="table" w:styleId="1116">
    <w:name w:val="Bordered &amp; Lined - Accent 1"/>
    <w:basedOn w:val="875"/>
    <w:next w:val="1116"/>
    <w:link w:val="864"/>
    <w:uiPriority w:val="99"/>
    <w:qFormat/>
    <w:rPr>
      <w:color w:val="404040"/>
    </w:rPr>
    <w:tblPr/>
  </w:style>
  <w:style w:type="table" w:styleId="1117">
    <w:name w:val="List Table 4 - Accent 3"/>
    <w:basedOn w:val="875"/>
    <w:next w:val="1117"/>
    <w:link w:val="864"/>
    <w:uiPriority w:val="99"/>
    <w:qFormat/>
    <w:tblPr/>
  </w:style>
  <w:style w:type="table" w:styleId="1118">
    <w:name w:val="List Table 5 Dark - Accent 2"/>
    <w:basedOn w:val="875"/>
    <w:next w:val="1118"/>
    <w:link w:val="864"/>
    <w:uiPriority w:val="99"/>
    <w:qFormat/>
    <w:tblPr/>
  </w:style>
  <w:style w:type="table" w:styleId="1119">
    <w:name w:val="网格表 31"/>
    <w:basedOn w:val="875"/>
    <w:next w:val="1119"/>
    <w:link w:val="864"/>
    <w:uiPriority w:val="99"/>
    <w:qFormat/>
    <w:tblPr/>
  </w:style>
  <w:style w:type="table" w:styleId="1120">
    <w:name w:val="Grid Table 1 Light"/>
    <w:basedOn w:val="875"/>
    <w:next w:val="1120"/>
    <w:link w:val="864"/>
    <w:uiPriority w:val="99"/>
    <w:qFormat/>
    <w:pPr>
      <w:spacing w:after="0" w:line="240" w:lineRule="auto"/>
    </w:pPr>
    <w:tblPr/>
  </w:style>
  <w:style w:type="table" w:styleId="1121">
    <w:name w:val="网格型1"/>
    <w:basedOn w:val="978"/>
    <w:next w:val="1121"/>
    <w:link w:val="864"/>
    <w:pPr>
      <w:jc w:val="both"/>
      <w:widowControl w:val="off"/>
    </w:pPr>
    <w:tblPr/>
  </w:style>
  <w:style w:type="table" w:styleId="1122">
    <w:name w:val="List Table 4 - Accent 4"/>
    <w:basedOn w:val="875"/>
    <w:next w:val="1122"/>
    <w:link w:val="864"/>
    <w:uiPriority w:val="99"/>
    <w:qFormat/>
    <w:tblPr/>
  </w:style>
  <w:style w:type="table" w:styleId="1123">
    <w:name w:val="List Table 6 Colorful"/>
    <w:basedOn w:val="875"/>
    <w:next w:val="1123"/>
    <w:link w:val="864"/>
    <w:uiPriority w:val="99"/>
    <w:qFormat/>
    <w:pPr>
      <w:spacing w:after="0" w:line="240" w:lineRule="auto"/>
    </w:pPr>
    <w:tblPr/>
  </w:style>
  <w:style w:type="table" w:styleId="1124">
    <w:name w:val="Grid Table 6 Colorful"/>
    <w:basedOn w:val="875"/>
    <w:next w:val="1124"/>
    <w:link w:val="864"/>
    <w:uiPriority w:val="99"/>
    <w:pPr>
      <w:spacing w:after="0" w:line="240" w:lineRule="auto"/>
    </w:pPr>
    <w:tblPr/>
  </w:style>
  <w:style w:type="character" w:styleId="1125">
    <w:name w:val="font31"/>
    <w:basedOn w:val="874"/>
    <w:next w:val="1125"/>
    <w:link w:val="864"/>
    <w:rPr>
      <w:rFonts w:hint="eastAsia" w:ascii="仿宋" w:hAnsi="仿宋" w:eastAsia="仿宋" w:cs="仿宋"/>
      <w:color w:val="000000"/>
      <w:sz w:val="20"/>
      <w:szCs w:val="20"/>
      <w:u w:val="none"/>
    </w:rPr>
  </w:style>
  <w:style w:type="character" w:styleId="1126" w:default="1">
    <w:name w:val="Default Paragraph Font"/>
    <w:uiPriority w:val="1"/>
    <w:semiHidden/>
    <w:unhideWhenUsed/>
  </w:style>
  <w:style w:type="numbering" w:styleId="1127" w:default="1">
    <w:name w:val="No List"/>
    <w:uiPriority w:val="99"/>
    <w:semiHidden/>
    <w:unhideWhenUsed/>
  </w:style>
  <w:style w:type="table" w:styleId="1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wmf"/><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 Id="rId21" Type="http://schemas.openxmlformats.org/officeDocument/2006/relationships/image" Target="media/image5.wmf"/><Relationship Id="rId22" Type="http://schemas.openxmlformats.org/officeDocument/2006/relationships/image" Target="media/image6.wmf"/><Relationship Id="rId23" Type="http://schemas.openxmlformats.org/officeDocument/2006/relationships/image" Target="media/image7.wmf"/><Relationship Id="rId24" Type="http://schemas.openxmlformats.org/officeDocument/2006/relationships/image" Target="media/image8.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朱艳艳</cp:lastModifiedBy>
  <cp:revision>8</cp:revision>
  <dcterms:created xsi:type="dcterms:W3CDTF">2025-11-15T01:41:00Z</dcterms:created>
  <dcterms:modified xsi:type="dcterms:W3CDTF">2026-07-06T09:20:38Z</dcterms:modified>
</cp:coreProperties>
</file>