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hint="eastAsia" w:eastAsia="方正小标宋_GBK"/>
          <w:bCs/>
          <w:color w:val="auto"/>
          <w:spacing w:val="20"/>
          <w:sz w:val="44"/>
          <w:highlight w:val="none"/>
          <w:lang w:eastAsia="zh-CN"/>
        </w:rPr>
      </w:pPr>
      <w:r>
        <w:rPr>
          <w:rFonts w:hint="eastAsia" w:eastAsia="方正小标宋_GBK"/>
          <w:bCs/>
          <w:color w:val="auto"/>
          <w:spacing w:val="20"/>
          <w:sz w:val="44"/>
          <w:highlight w:val="none"/>
          <w:lang w:eastAsia="zh-CN"/>
        </w:rPr>
        <w:t xml:space="preserve">启东市大洋港小学新建综合楼专用教室教学设备采购项目</w:t>
      </w:r>
      <w:r/>
    </w:p>
    <w:p>
      <w:pPr>
        <w:jc w:val="center"/>
        <w:rPr>
          <w:rFonts w:eastAsia="方正小标宋_GBK"/>
          <w:bCs/>
          <w:color w:val="auto"/>
          <w:sz w:val="100"/>
          <w:szCs w:val="100"/>
          <w:highlight w:val="none"/>
        </w:rPr>
      </w:pPr>
      <w:r>
        <w:rPr>
          <w:rFonts w:eastAsia="方正小标宋_GBK"/>
          <w:bCs/>
          <w:color w:val="auto"/>
          <w:sz w:val="100"/>
          <w:szCs w:val="100"/>
          <w:highlight w:val="none"/>
        </w:rPr>
        <w:t xml:space="preserve">政府采购招标文件</w:t>
      </w:r>
      <w:r/>
    </w:p>
    <w:p>
      <w:pPr>
        <w:pStyle w:val="893"/>
        <w:spacing w:line="500" w:lineRule="exact"/>
        <w:rPr>
          <w:rFonts w:eastAsia="方正小标宋_GBK"/>
          <w:b w:val="0"/>
          <w:bCs/>
          <w:color w:val="auto"/>
          <w:highlight w:val="none"/>
        </w:rPr>
      </w:pPr>
      <w:r>
        <w:rPr>
          <w:rFonts w:eastAsia="方正小标宋_GBK"/>
          <w:b w:val="0"/>
          <w:bCs/>
          <w:color w:val="auto"/>
          <w:highlight w:val="none"/>
        </w:rPr>
      </w:r>
      <w:r/>
    </w:p>
    <w:p>
      <w:pPr>
        <w:pStyle w:val="893"/>
        <w:spacing w:line="500" w:lineRule="exact"/>
        <w:rPr>
          <w:rFonts w:eastAsia="方正小标宋_GBK"/>
          <w:b w:val="0"/>
          <w:bCs/>
          <w:color w:val="auto"/>
          <w:sz w:val="36"/>
          <w:szCs w:val="36"/>
          <w:highlight w:val="none"/>
        </w:rPr>
      </w:pPr>
      <w:r>
        <w:rPr>
          <w:rFonts w:eastAsia="方正小标宋_GBK"/>
          <w:b w:val="0"/>
          <w:bCs/>
          <w:color w:val="auto"/>
          <w:sz w:val="36"/>
          <w:szCs w:val="36"/>
          <w:highlight w:val="none"/>
        </w:rPr>
        <w:t xml:space="preserve">项目编号：</w:t>
      </w:r>
      <w:r>
        <w:rPr>
          <w:rFonts w:hint="eastAsia" w:eastAsia="方正小标宋_GBK"/>
          <w:b w:val="0"/>
          <w:bCs/>
          <w:color w:val="auto"/>
          <w:sz w:val="36"/>
          <w:szCs w:val="36"/>
          <w:highlight w:val="none"/>
        </w:rPr>
        <w:t xml:space="preserve">JSZC-320681-SHBL-G2026-0006</w:t>
      </w:r>
      <w:r/>
    </w:p>
    <w:p>
      <w:pPr>
        <w:jc w:val="center"/>
        <w:spacing w:line="500" w:lineRule="exact"/>
        <w:rPr>
          <w:rFonts w:eastAsia="仿宋_GB2312"/>
          <w:b/>
          <w:color w:val="auto"/>
          <w:sz w:val="36"/>
          <w:highlight w:val="none"/>
        </w:rPr>
      </w:pPr>
      <w:r>
        <w:rPr>
          <w:rFonts w:eastAsia="仿宋_GB2312"/>
          <w:b/>
          <w:color w:val="auto"/>
          <w:sz w:val="36"/>
          <w:highlight w:val="none"/>
        </w:rPr>
      </w:r>
      <w:r/>
    </w:p>
    <w:p>
      <w:pPr>
        <w:jc w:val="center"/>
        <w:spacing w:line="500" w:lineRule="exact"/>
        <w:rPr>
          <w:rFonts w:eastAsia="仿宋_GB2312"/>
          <w:b/>
          <w:color w:val="auto"/>
          <w:sz w:val="36"/>
          <w:highlight w:val="none"/>
        </w:rPr>
      </w:pPr>
      <w:r>
        <w:rPr>
          <w:rFonts w:eastAsia="仿宋_GB2312"/>
          <w:b/>
          <w:color w:val="auto"/>
          <w:sz w:val="36"/>
          <w:highlight w:val="none"/>
        </w:rPr>
      </w:r>
      <w:r/>
    </w:p>
    <w:p>
      <w:pPr>
        <w:jc w:val="center"/>
        <w:spacing w:line="500" w:lineRule="exact"/>
        <w:rPr>
          <w:rFonts w:eastAsia="仿宋_GB2312"/>
          <w:b/>
          <w:color w:val="auto"/>
          <w:sz w:val="36"/>
          <w:highlight w:val="none"/>
        </w:rPr>
      </w:pPr>
      <w:r>
        <w:rPr>
          <w:rFonts w:eastAsia="仿宋_GB2312"/>
          <w:b/>
          <w:color w:val="auto"/>
          <w:sz w:val="36"/>
          <w:highlight w:val="none"/>
        </w:rPr>
      </w:r>
      <w:r/>
    </w:p>
    <w:p>
      <w:pPr>
        <w:spacing w:line="500" w:lineRule="exact"/>
        <w:rPr>
          <w:rFonts w:eastAsia="仿宋_GB2312"/>
          <w:color w:val="auto"/>
          <w:highlight w:val="none"/>
        </w:rPr>
      </w:pPr>
      <w:r>
        <w:rPr>
          <w:rFonts w:eastAsia="仿宋_GB2312"/>
          <w:color w:val="auto"/>
          <w:highlight w:val="none"/>
        </w:rPr>
      </w:r>
      <w:r/>
    </w:p>
    <w:p>
      <w:pPr>
        <w:jc w:val="center"/>
        <w:spacing w:line="500" w:lineRule="exact"/>
        <w:rPr>
          <w:rFonts w:eastAsia="仿宋_GB2312"/>
          <w:color w:val="auto"/>
          <w:sz w:val="32"/>
          <w:highlight w:val="none"/>
        </w:rPr>
      </w:pPr>
      <w:r>
        <w:rPr>
          <w:rFonts w:eastAsia="仿宋_GB2312"/>
          <w:color w:val="auto"/>
          <w:sz w:val="32"/>
          <w:highlight w:val="none"/>
        </w:rPr>
      </w:r>
      <w:r/>
    </w:p>
    <w:p>
      <w:pPr>
        <w:jc w:val="center"/>
        <w:spacing w:line="500" w:lineRule="exact"/>
        <w:rPr>
          <w:rFonts w:eastAsia="仿宋_GB2312"/>
          <w:color w:val="auto"/>
          <w:sz w:val="32"/>
          <w:highlight w:val="none"/>
        </w:rPr>
      </w:pPr>
      <w:r>
        <w:rPr>
          <w:rFonts w:eastAsia="仿宋_GB2312"/>
          <w:color w:val="auto"/>
          <w:sz w:val="32"/>
          <w:highlight w:val="none"/>
        </w:rPr>
      </w:r>
      <w:r/>
    </w:p>
    <w:p>
      <w:pPr>
        <w:jc w:val="center"/>
        <w:spacing w:line="500" w:lineRule="exact"/>
        <w:rPr>
          <w:rFonts w:eastAsia="仿宋_GB2312"/>
          <w:color w:val="auto"/>
          <w:sz w:val="32"/>
          <w:highlight w:val="none"/>
        </w:rPr>
      </w:pPr>
      <w:r>
        <w:rPr>
          <w:rFonts w:eastAsia="仿宋_GB2312"/>
          <w:color w:val="auto"/>
          <w:sz w:val="32"/>
          <w:highlight w:val="none"/>
        </w:rPr>
      </w:r>
      <w:r/>
    </w:p>
    <w:p>
      <w:pPr>
        <w:jc w:val="center"/>
        <w:spacing w:line="500" w:lineRule="exact"/>
        <w:rPr>
          <w:rFonts w:eastAsia="仿宋_GB2312"/>
          <w:color w:val="auto"/>
          <w:sz w:val="32"/>
          <w:highlight w:val="none"/>
        </w:rPr>
      </w:pPr>
      <w:r>
        <w:rPr>
          <w:rFonts w:eastAsia="仿宋_GB2312"/>
          <w:color w:val="auto"/>
          <w:sz w:val="32"/>
          <w:highlight w:val="none"/>
        </w:rPr>
      </w:r>
      <w:r/>
    </w:p>
    <w:p>
      <w:pPr>
        <w:jc w:val="center"/>
        <w:spacing w:line="500" w:lineRule="exact"/>
        <w:rPr>
          <w:rFonts w:eastAsia="仿宋_GB2312"/>
          <w:color w:val="auto"/>
          <w:sz w:val="32"/>
          <w:highlight w:val="none"/>
        </w:rPr>
      </w:pPr>
      <w:r>
        <w:rPr>
          <w:rFonts w:eastAsia="仿宋_GB2312"/>
          <w:color w:val="auto"/>
          <w:sz w:val="32"/>
          <w:highlight w:val="none"/>
        </w:rPr>
      </w:r>
      <w:r/>
    </w:p>
    <w:p>
      <w:pPr>
        <w:jc w:val="center"/>
        <w:spacing w:line="500" w:lineRule="exact"/>
        <w:rPr>
          <w:rFonts w:eastAsia="仿宋_GB2312"/>
          <w:color w:val="auto"/>
          <w:sz w:val="32"/>
          <w:highlight w:val="none"/>
        </w:rPr>
      </w:pPr>
      <w:r>
        <w:rPr>
          <w:rFonts w:eastAsia="仿宋_GB2312"/>
          <w:color w:val="auto"/>
          <w:sz w:val="32"/>
          <w:highlight w:val="none"/>
        </w:rPr>
      </w:r>
      <w:r/>
    </w:p>
    <w:p>
      <w:pPr>
        <w:jc w:val="center"/>
        <w:spacing w:line="500" w:lineRule="exact"/>
        <w:rPr>
          <w:rFonts w:hint="eastAsia" w:eastAsia="楷体"/>
          <w:bCs/>
          <w:color w:val="auto"/>
          <w:spacing w:val="20"/>
          <w:sz w:val="44"/>
          <w:highlight w:val="none"/>
          <w:lang w:eastAsia="zh-CN"/>
        </w:rPr>
      </w:pPr>
      <w:r>
        <w:rPr>
          <w:rFonts w:hint="eastAsia" w:eastAsia="楷体"/>
          <w:bCs/>
          <w:color w:val="auto"/>
          <w:spacing w:val="20"/>
          <w:sz w:val="44"/>
          <w:highlight w:val="none"/>
          <w:lang w:eastAsia="zh-CN"/>
        </w:rPr>
        <w:t xml:space="preserve">启东市大洋港小学</w:t>
      </w:r>
      <w:r/>
    </w:p>
    <w:p>
      <w:pPr>
        <w:pStyle w:val="903"/>
        <w:ind w:firstLine="0"/>
        <w:rPr>
          <w:rFonts w:ascii="Times New Roman" w:hAnsi="Times New Roman" w:eastAsia="楷体"/>
          <w:color w:val="auto"/>
          <w:sz w:val="44"/>
          <w:szCs w:val="44"/>
          <w:highlight w:val="none"/>
        </w:rPr>
      </w:pPr>
      <w:r>
        <w:rPr>
          <w:rFonts w:hint="eastAsia" w:ascii="Times New Roman" w:hAnsi="Times New Roman" w:eastAsia="楷体"/>
          <w:color w:val="auto"/>
          <w:sz w:val="44"/>
          <w:szCs w:val="44"/>
          <w:highlight w:val="none"/>
          <w:lang w:val="en-US" w:eastAsia="zh-CN"/>
        </w:rPr>
        <w:t xml:space="preserve">2026</w:t>
      </w:r>
      <w:r>
        <w:rPr>
          <w:rFonts w:ascii="Times New Roman" w:hAnsi="Times New Roman" w:eastAsia="楷体"/>
          <w:color w:val="auto"/>
          <w:sz w:val="44"/>
          <w:szCs w:val="44"/>
          <w:highlight w:val="none"/>
        </w:rPr>
        <w:t xml:space="preserve">年</w:t>
      </w:r>
      <w:r>
        <w:rPr>
          <w:rFonts w:hint="eastAsia" w:ascii="Times New Roman" w:hAnsi="Times New Roman" w:eastAsia="楷体"/>
          <w:color w:val="auto"/>
          <w:sz w:val="44"/>
          <w:szCs w:val="44"/>
          <w:highlight w:val="none"/>
          <w:lang w:val="en-US" w:eastAsia="zh-CN"/>
        </w:rPr>
        <w:t xml:space="preserve">07</w:t>
      </w:r>
      <w:r>
        <w:rPr>
          <w:rFonts w:ascii="Times New Roman" w:hAnsi="Times New Roman" w:eastAsia="楷体"/>
          <w:color w:val="auto"/>
          <w:sz w:val="44"/>
          <w:szCs w:val="44"/>
          <w:highlight w:val="none"/>
        </w:rPr>
        <w:t xml:space="preserve">月</w:t>
      </w:r>
      <w:r>
        <w:rPr>
          <w:rFonts w:hint="eastAsia" w:ascii="Times New Roman" w:hAnsi="Times New Roman" w:eastAsia="楷体"/>
          <w:color w:val="auto"/>
          <w:sz w:val="44"/>
          <w:szCs w:val="44"/>
          <w:highlight w:val="none"/>
          <w:lang w:val="en-US" w:eastAsia="zh-CN"/>
        </w:rPr>
        <w:t xml:space="preserve">09</w:t>
      </w:r>
      <w:r>
        <w:rPr>
          <w:rFonts w:ascii="Times New Roman" w:hAnsi="Times New Roman" w:eastAsia="楷体"/>
          <w:color w:val="auto"/>
          <w:sz w:val="44"/>
          <w:szCs w:val="44"/>
          <w:highlight w:val="none"/>
        </w:rPr>
        <w:t xml:space="preserve">日</w:t>
      </w:r>
      <w:r/>
    </w:p>
    <w:p>
      <w:pPr>
        <w:ind w:left="-158"/>
        <w:rPr>
          <w:b/>
          <w:color w:val="auto"/>
          <w:sz w:val="26"/>
          <w:szCs w:val="28"/>
          <w:highlight w:val="none"/>
          <w:u w:val="single"/>
        </w:rPr>
      </w:pPr>
      <w:r/>
      <w:bookmarkStart w:id="0" w:name="_Hlk194478377"/>
      <w:r>
        <w:rPr>
          <w:b/>
          <w:color w:val="auto"/>
          <w:sz w:val="26"/>
          <w:szCs w:val="28"/>
          <w:highlight w:val="none"/>
          <w:u w:val="single"/>
        </w:rPr>
        <w:t xml:space="preserve">________________________________________________________________</w:t>
      </w:r>
      <w:bookmarkEnd w:id="0"/>
      <w:r/>
      <w:r/>
    </w:p>
    <w:p>
      <w:pPr>
        <w:ind w:left="-158"/>
        <w:rPr>
          <w:rFonts w:eastAsia="方正仿宋_GBK"/>
          <w:color w:val="auto"/>
          <w:sz w:val="32"/>
          <w:szCs w:val="32"/>
          <w:highlight w:val="none"/>
        </w:rPr>
      </w:pPr>
      <w:r>
        <w:rPr>
          <w:rFonts w:eastAsia="方正仿宋_GBK"/>
          <w:b/>
          <w:color w:val="auto"/>
          <w:sz w:val="32"/>
          <w:szCs w:val="32"/>
          <w:highlight w:val="none"/>
        </w:rPr>
        <w:t xml:space="preserve">地址：</w:t>
      </w:r>
      <w:r>
        <w:rPr>
          <w:rFonts w:hint="eastAsia" w:ascii="Times New Roman" w:hAnsi="Times New Roman" w:eastAsia="方正仿宋_GBK" w:cs="Times New Roman"/>
          <w:color w:val="auto"/>
          <w:sz w:val="28"/>
          <w:szCs w:val="28"/>
          <w:highlight w:val="none"/>
          <w:lang w:eastAsia="zh-CN"/>
        </w:rPr>
        <w:t xml:space="preserve">启东市吕四港镇鹤城北路</w:t>
      </w:r>
      <w:r/>
    </w:p>
    <w:p>
      <w:pPr>
        <w:ind w:left="-158"/>
        <w:rPr>
          <w:rFonts w:eastAsia="方正仿宋_GBK"/>
          <w:color w:val="auto"/>
          <w:sz w:val="32"/>
          <w:szCs w:val="32"/>
          <w:highlight w:val="none"/>
        </w:rPr>
      </w:pPr>
      <w:r>
        <w:rPr>
          <w:rFonts w:eastAsia="方正仿宋_GBK"/>
          <w:b/>
          <w:color w:val="auto"/>
          <w:sz w:val="32"/>
          <w:szCs w:val="32"/>
          <w:highlight w:val="none"/>
        </w:rPr>
        <w:t xml:space="preserve">邮政编码：</w:t>
      </w:r>
      <w:r>
        <w:rPr>
          <w:rFonts w:eastAsia="方正仿宋_GBK"/>
          <w:color w:val="auto"/>
          <w:sz w:val="32"/>
          <w:szCs w:val="32"/>
          <w:highlight w:val="none"/>
        </w:rPr>
        <w:t xml:space="preserve">226200</w:t>
      </w:r>
      <w:r/>
    </w:p>
    <w:p>
      <w:pPr>
        <w:ind w:left="-158" w:right="-601"/>
        <w:rPr>
          <w:rFonts w:eastAsia="方正仿宋_GBK"/>
          <w:b/>
          <w:color w:val="auto"/>
          <w:sz w:val="32"/>
          <w:szCs w:val="32"/>
          <w:highlight w:val="none"/>
        </w:rPr>
      </w:pPr>
      <w:r>
        <w:rPr>
          <w:rFonts w:eastAsia="方正仿宋_GBK"/>
          <w:b/>
          <w:color w:val="auto"/>
          <w:sz w:val="32"/>
          <w:szCs w:val="32"/>
          <w:highlight w:val="none"/>
        </w:rPr>
        <w:t xml:space="preserve">江苏政府采购网</w:t>
      </w:r>
      <w:r/>
    </w:p>
    <w:p>
      <w:pPr>
        <w:jc w:val="center"/>
        <w:widowControl/>
        <w:rPr>
          <w:rFonts w:eastAsia="方正黑体_GBK"/>
          <w:color w:val="auto"/>
          <w:sz w:val="44"/>
          <w:szCs w:val="44"/>
          <w:highlight w:val="none"/>
        </w:rPr>
      </w:pPr>
      <w:r>
        <w:rPr>
          <w:rFonts w:eastAsia="方正黑体_GBK"/>
          <w:color w:val="auto"/>
          <w:sz w:val="44"/>
          <w:szCs w:val="44"/>
          <w:highlight w:val="none"/>
        </w:rPr>
        <w:br w:type="page" w:clear="all"/>
      </w:r>
      <w:r>
        <w:rPr>
          <w:rFonts w:eastAsia="方正黑体_GBK"/>
          <w:color w:val="auto"/>
          <w:sz w:val="44"/>
          <w:szCs w:val="44"/>
          <w:highlight w:val="none"/>
        </w:rPr>
        <w:t xml:space="preserve">目 录</w:t>
      </w:r>
      <w:r/>
    </w:p>
    <w:p>
      <w:pPr>
        <w:jc w:val="center"/>
        <w:spacing w:line="360" w:lineRule="auto"/>
        <w:rPr>
          <w:rFonts w:eastAsia="方正黑体_GBK"/>
          <w:color w:val="auto"/>
          <w:sz w:val="32"/>
          <w:szCs w:val="32"/>
          <w:highlight w:val="none"/>
        </w:rPr>
      </w:pPr>
      <w:r>
        <w:rPr>
          <w:rFonts w:eastAsia="方正黑体_GBK"/>
          <w:color w:val="auto"/>
          <w:sz w:val="32"/>
          <w:szCs w:val="32"/>
          <w:highlight w:val="none"/>
        </w:rPr>
      </w:r>
      <w:r/>
    </w:p>
    <w:p>
      <w:pPr>
        <w:jc w:val="center"/>
        <w:spacing w:line="360" w:lineRule="auto"/>
        <w:rPr>
          <w:rFonts w:eastAsia="方正黑体_GBK"/>
          <w:color w:val="auto"/>
          <w:sz w:val="32"/>
          <w:szCs w:val="32"/>
          <w:highlight w:val="none"/>
        </w:rPr>
      </w:pPr>
      <w:r>
        <w:rPr>
          <w:rFonts w:eastAsia="方正黑体_GBK"/>
          <w:color w:val="auto"/>
          <w:sz w:val="32"/>
          <w:szCs w:val="32"/>
          <w:highlight w:val="none"/>
        </w:rPr>
      </w:r>
      <w:r/>
    </w:p>
    <w:p>
      <w:pPr>
        <w:ind w:firstLine="640"/>
        <w:spacing w:line="360" w:lineRule="auto"/>
        <w:tabs>
          <w:tab w:val="left" w:pos="7740" w:leader="none"/>
        </w:tabs>
        <w:rPr>
          <w:rFonts w:eastAsia="方正黑体_GBK"/>
          <w:color w:val="auto"/>
          <w:spacing w:val="2"/>
          <w:sz w:val="32"/>
          <w:szCs w:val="32"/>
          <w:highlight w:val="none"/>
        </w:rPr>
      </w:pPr>
      <w:r>
        <w:rPr>
          <w:rFonts w:eastAsia="方正黑体_GBK"/>
          <w:bCs/>
          <w:color w:val="auto"/>
          <w:sz w:val="32"/>
          <w:szCs w:val="32"/>
          <w:highlight w:val="none"/>
        </w:rPr>
        <w:t xml:space="preserve">第一部分  投标邀请</w:t>
      </w:r>
      <w:r/>
    </w:p>
    <w:p>
      <w:pPr>
        <w:ind w:firstLine="640"/>
        <w:spacing w:line="360" w:lineRule="auto"/>
        <w:tabs>
          <w:tab w:val="left" w:pos="7740" w:leader="none"/>
        </w:tabs>
        <w:rPr>
          <w:rFonts w:eastAsia="方正黑体_GBK"/>
          <w:color w:val="auto"/>
          <w:spacing w:val="2"/>
          <w:sz w:val="32"/>
          <w:szCs w:val="32"/>
          <w:highlight w:val="none"/>
        </w:rPr>
      </w:pPr>
      <w:r>
        <w:rPr>
          <w:rFonts w:eastAsia="方正黑体_GBK"/>
          <w:bCs/>
          <w:color w:val="auto"/>
          <w:sz w:val="32"/>
          <w:szCs w:val="32"/>
          <w:highlight w:val="none"/>
        </w:rPr>
        <w:t xml:space="preserve">第二部分  投标须知</w:t>
      </w:r>
      <w:r/>
    </w:p>
    <w:p>
      <w:pPr>
        <w:ind w:firstLine="640"/>
        <w:spacing w:line="360" w:lineRule="auto"/>
        <w:tabs>
          <w:tab w:val="left" w:pos="7740" w:leader="none"/>
        </w:tabs>
        <w:rPr>
          <w:rFonts w:eastAsia="方正黑体_GBK"/>
          <w:color w:val="auto"/>
          <w:spacing w:val="2"/>
          <w:sz w:val="32"/>
          <w:szCs w:val="32"/>
          <w:highlight w:val="none"/>
        </w:rPr>
      </w:pPr>
      <w:r>
        <w:rPr>
          <w:rFonts w:eastAsia="方正黑体_GBK"/>
          <w:bCs/>
          <w:color w:val="auto"/>
          <w:sz w:val="32"/>
          <w:szCs w:val="32"/>
          <w:highlight w:val="none"/>
        </w:rPr>
        <w:t xml:space="preserve">第三部分  项目需求</w:t>
      </w:r>
      <w:r/>
    </w:p>
    <w:p>
      <w:pPr>
        <w:ind w:firstLine="640"/>
        <w:spacing w:line="360" w:lineRule="auto"/>
        <w:tabs>
          <w:tab w:val="left" w:pos="7740" w:leader="none"/>
        </w:tabs>
        <w:rPr>
          <w:rFonts w:eastAsia="方正黑体_GBK"/>
          <w:color w:val="auto"/>
          <w:spacing w:val="2"/>
          <w:sz w:val="32"/>
          <w:szCs w:val="32"/>
          <w:highlight w:val="none"/>
        </w:rPr>
      </w:pPr>
      <w:r>
        <w:rPr>
          <w:rFonts w:eastAsia="方正黑体_GBK"/>
          <w:color w:val="auto"/>
          <w:sz w:val="32"/>
          <w:szCs w:val="32"/>
          <w:highlight w:val="none"/>
        </w:rPr>
        <w:t xml:space="preserve">第四部分  </w:t>
      </w:r>
      <w:r>
        <w:rPr>
          <w:rFonts w:eastAsia="方正黑体_GBK"/>
          <w:bCs/>
          <w:color w:val="auto"/>
          <w:sz w:val="32"/>
          <w:szCs w:val="32"/>
          <w:highlight w:val="none"/>
        </w:rPr>
        <w:t xml:space="preserve">开标和评标</w:t>
      </w:r>
      <w:r/>
    </w:p>
    <w:p>
      <w:pPr>
        <w:ind w:firstLine="640"/>
        <w:spacing w:line="360" w:lineRule="auto"/>
        <w:tabs>
          <w:tab w:val="left" w:pos="7740" w:leader="none"/>
        </w:tabs>
        <w:rPr>
          <w:rFonts w:eastAsia="方正黑体_GBK"/>
          <w:color w:val="auto"/>
          <w:spacing w:val="2"/>
          <w:sz w:val="32"/>
          <w:szCs w:val="32"/>
          <w:highlight w:val="none"/>
        </w:rPr>
      </w:pPr>
      <w:r>
        <w:rPr>
          <w:rFonts w:eastAsia="方正黑体_GBK"/>
          <w:bCs/>
          <w:color w:val="auto"/>
          <w:sz w:val="32"/>
          <w:szCs w:val="32"/>
          <w:highlight w:val="none"/>
        </w:rPr>
        <w:t xml:space="preserve">第五部分  投标文件格式</w:t>
      </w:r>
      <w:r/>
    </w:p>
    <w:p>
      <w:pPr>
        <w:spacing w:line="500" w:lineRule="exact"/>
        <w:rPr>
          <w:rFonts w:eastAsia="方正黑体_GBK"/>
          <w:b/>
          <w:color w:val="auto"/>
          <w:sz w:val="32"/>
          <w:szCs w:val="32"/>
          <w:highlight w:val="none"/>
        </w:rPr>
      </w:pPr>
      <w:r>
        <w:rPr>
          <w:rFonts w:eastAsia="方正黑体_GBK"/>
          <w:b/>
          <w:color w:val="auto"/>
          <w:sz w:val="32"/>
          <w:szCs w:val="32"/>
          <w:highlight w:val="none"/>
        </w:rPr>
      </w:r>
      <w:r/>
    </w:p>
    <w:p>
      <w:pPr>
        <w:spacing w:line="500" w:lineRule="exact"/>
        <w:tabs>
          <w:tab w:val="left" w:pos="7740" w:leader="none"/>
        </w:tabs>
        <w:rPr>
          <w:rFonts w:eastAsia="楷体_GB2312"/>
          <w:b/>
          <w:color w:val="auto"/>
          <w:spacing w:val="2"/>
          <w:sz w:val="32"/>
          <w:szCs w:val="32"/>
          <w:highlight w:val="none"/>
        </w:rPr>
      </w:pPr>
      <w:r>
        <w:rPr>
          <w:rFonts w:eastAsia="楷体_GB2312"/>
          <w:b/>
          <w:color w:val="auto"/>
          <w:spacing w:val="2"/>
          <w:sz w:val="32"/>
          <w:szCs w:val="32"/>
          <w:highlight w:val="none"/>
        </w:rPr>
      </w:r>
      <w:r/>
    </w:p>
    <w:p>
      <w:pPr>
        <w:spacing w:line="500" w:lineRule="exact"/>
        <w:tabs>
          <w:tab w:val="left" w:pos="7740" w:leader="none"/>
        </w:tabs>
        <w:rPr>
          <w:rFonts w:eastAsia="楷体_GB2312"/>
          <w:b/>
          <w:color w:val="auto"/>
          <w:spacing w:val="2"/>
          <w:sz w:val="32"/>
          <w:szCs w:val="32"/>
          <w:highlight w:val="none"/>
        </w:rPr>
      </w:pPr>
      <w:r>
        <w:rPr>
          <w:rFonts w:eastAsia="楷体_GB2312"/>
          <w:b/>
          <w:color w:val="auto"/>
          <w:spacing w:val="2"/>
          <w:sz w:val="32"/>
          <w:szCs w:val="32"/>
          <w:highlight w:val="none"/>
        </w:rPr>
      </w:r>
      <w:r/>
    </w:p>
    <w:p>
      <w:pPr>
        <w:spacing w:line="500" w:lineRule="exact"/>
        <w:tabs>
          <w:tab w:val="left" w:pos="7740" w:leader="none"/>
        </w:tabs>
        <w:rPr>
          <w:rFonts w:eastAsia="楷体_GB2312"/>
          <w:b/>
          <w:bCs/>
          <w:color w:val="auto"/>
          <w:sz w:val="32"/>
          <w:szCs w:val="32"/>
          <w:highlight w:val="none"/>
        </w:rPr>
      </w:pPr>
      <w:r>
        <w:rPr>
          <w:rFonts w:eastAsia="楷体_GB2312"/>
          <w:b/>
          <w:bCs/>
          <w:color w:val="auto"/>
          <w:sz w:val="32"/>
          <w:szCs w:val="32"/>
          <w:highlight w:val="none"/>
        </w:rPr>
      </w:r>
      <w:r/>
    </w:p>
    <w:p>
      <w:pPr>
        <w:spacing w:line="500" w:lineRule="exact"/>
        <w:rPr>
          <w:rFonts w:eastAsia="楷体_GB2312"/>
          <w:b/>
          <w:color w:val="auto"/>
          <w:sz w:val="44"/>
          <w:szCs w:val="44"/>
          <w:highlight w:val="none"/>
        </w:rPr>
        <w:outlineLvl w:val="0"/>
      </w:pPr>
      <w:r>
        <w:rPr>
          <w:rFonts w:eastAsia="楷体_GB2312"/>
          <w:b/>
          <w:color w:val="auto"/>
          <w:sz w:val="44"/>
          <w:szCs w:val="44"/>
          <w:highlight w:val="none"/>
        </w:rPr>
      </w:r>
      <w:r/>
    </w:p>
    <w:p>
      <w:pPr>
        <w:spacing w:line="500" w:lineRule="exact"/>
        <w:rPr>
          <w:rFonts w:eastAsia="仿宋_GB2312"/>
          <w:color w:val="auto"/>
          <w:sz w:val="44"/>
          <w:szCs w:val="44"/>
          <w:highlight w:val="none"/>
        </w:rPr>
        <w:outlineLvl w:val="0"/>
      </w:pPr>
      <w:r>
        <w:rPr>
          <w:rFonts w:eastAsia="仿宋_GB2312"/>
          <w:color w:val="auto"/>
          <w:sz w:val="44"/>
          <w:szCs w:val="44"/>
          <w:highlight w:val="none"/>
        </w:rPr>
      </w:r>
      <w:r/>
    </w:p>
    <w:p>
      <w:pPr>
        <w:spacing w:line="500" w:lineRule="exact"/>
        <w:rPr>
          <w:rFonts w:eastAsia="仿宋_GB2312"/>
          <w:color w:val="auto"/>
          <w:sz w:val="44"/>
          <w:szCs w:val="44"/>
          <w:highlight w:val="none"/>
        </w:rPr>
        <w:outlineLvl w:val="0"/>
      </w:pPr>
      <w:r>
        <w:rPr>
          <w:rFonts w:eastAsia="仿宋_GB2312"/>
          <w:color w:val="auto"/>
          <w:sz w:val="44"/>
          <w:szCs w:val="44"/>
          <w:highlight w:val="none"/>
        </w:rPr>
      </w:r>
      <w:r/>
    </w:p>
    <w:p>
      <w:pPr>
        <w:spacing w:line="500" w:lineRule="exact"/>
        <w:rPr>
          <w:rFonts w:eastAsia="仿宋_GB2312"/>
          <w:color w:val="auto"/>
          <w:sz w:val="44"/>
          <w:szCs w:val="44"/>
          <w:highlight w:val="none"/>
        </w:rPr>
        <w:outlineLvl w:val="0"/>
      </w:pPr>
      <w:r>
        <w:rPr>
          <w:rFonts w:eastAsia="仿宋_GB2312"/>
          <w:color w:val="auto"/>
          <w:sz w:val="44"/>
          <w:szCs w:val="44"/>
          <w:highlight w:val="none"/>
        </w:rPr>
      </w:r>
      <w:r/>
    </w:p>
    <w:p>
      <w:pPr>
        <w:spacing w:line="500" w:lineRule="exact"/>
        <w:rPr>
          <w:rFonts w:eastAsia="仿宋_GB2312"/>
          <w:color w:val="auto"/>
          <w:sz w:val="44"/>
          <w:szCs w:val="44"/>
          <w:highlight w:val="none"/>
        </w:rPr>
        <w:outlineLvl w:val="0"/>
      </w:pPr>
      <w:r>
        <w:rPr>
          <w:rFonts w:eastAsia="仿宋_GB2312"/>
          <w:color w:val="auto"/>
          <w:sz w:val="44"/>
          <w:szCs w:val="44"/>
          <w:highlight w:val="none"/>
        </w:rPr>
      </w:r>
      <w:r/>
    </w:p>
    <w:p>
      <w:pPr>
        <w:spacing w:line="500" w:lineRule="exact"/>
        <w:rPr>
          <w:rFonts w:eastAsia="仿宋_GB2312"/>
          <w:color w:val="auto"/>
          <w:sz w:val="44"/>
          <w:szCs w:val="44"/>
          <w:highlight w:val="none"/>
        </w:rPr>
        <w:outlineLvl w:val="0"/>
      </w:pPr>
      <w:r>
        <w:rPr>
          <w:rFonts w:eastAsia="仿宋_GB2312"/>
          <w:color w:val="auto"/>
          <w:sz w:val="44"/>
          <w:szCs w:val="44"/>
          <w:highlight w:val="none"/>
        </w:rPr>
      </w:r>
      <w:r/>
    </w:p>
    <w:p>
      <w:pPr>
        <w:spacing w:line="500" w:lineRule="exact"/>
        <w:rPr>
          <w:rFonts w:eastAsia="仿宋_GB2312"/>
          <w:color w:val="auto"/>
          <w:sz w:val="44"/>
          <w:szCs w:val="44"/>
          <w:highlight w:val="none"/>
        </w:rPr>
        <w:outlineLvl w:val="0"/>
      </w:pPr>
      <w:r>
        <w:rPr>
          <w:rFonts w:eastAsia="仿宋_GB2312"/>
          <w:color w:val="auto"/>
          <w:sz w:val="44"/>
          <w:szCs w:val="44"/>
          <w:highlight w:val="none"/>
        </w:rPr>
      </w:r>
      <w:r/>
    </w:p>
    <w:p>
      <w:pPr>
        <w:spacing w:line="500" w:lineRule="exact"/>
        <w:rPr>
          <w:rFonts w:eastAsia="仿宋_GB2312"/>
          <w:color w:val="auto"/>
          <w:sz w:val="44"/>
          <w:szCs w:val="44"/>
          <w:highlight w:val="none"/>
        </w:rPr>
        <w:outlineLvl w:val="0"/>
      </w:pPr>
      <w:r>
        <w:rPr>
          <w:rFonts w:eastAsia="仿宋_GB2312"/>
          <w:color w:val="auto"/>
          <w:sz w:val="44"/>
          <w:szCs w:val="44"/>
          <w:highlight w:val="none"/>
        </w:rPr>
      </w:r>
      <w:r>
        <w:rPr>
          <w:rFonts w:eastAsia="仿宋_GB2312"/>
          <w:color w:val="auto"/>
          <w:sz w:val="44"/>
          <w:szCs w:val="44"/>
          <w:highlight w:val="none"/>
        </w:rPr>
      </w:r>
      <w:r/>
    </w:p>
    <w:p>
      <w:pPr>
        <w:spacing w:line="500" w:lineRule="exact"/>
        <w:rPr>
          <w:rFonts w:eastAsia="仿宋_GB2312"/>
          <w:color w:val="auto"/>
          <w:sz w:val="44"/>
          <w:szCs w:val="44"/>
          <w:highlight w:val="none"/>
        </w:rPr>
        <w:outlineLvl w:val="0"/>
      </w:pPr>
      <w:r>
        <w:rPr>
          <w:rFonts w:eastAsia="仿宋_GB2312"/>
          <w:color w:val="auto"/>
          <w:sz w:val="44"/>
          <w:szCs w:val="44"/>
          <w:highlight w:val="none"/>
        </w:rPr>
      </w:r>
      <w:r/>
    </w:p>
    <w:p>
      <w:pPr>
        <w:spacing w:line="500" w:lineRule="exact"/>
        <w:rPr>
          <w:rFonts w:eastAsia="仿宋_GB2312"/>
          <w:color w:val="auto"/>
          <w:sz w:val="44"/>
          <w:szCs w:val="44"/>
          <w:highlight w:val="none"/>
        </w:rPr>
        <w:outlineLvl w:val="0"/>
      </w:pPr>
      <w:r>
        <w:rPr>
          <w:rFonts w:eastAsia="仿宋_GB2312"/>
          <w:color w:val="auto"/>
          <w:sz w:val="44"/>
          <w:szCs w:val="44"/>
          <w:highlight w:val="none"/>
        </w:rPr>
      </w:r>
      <w:r/>
    </w:p>
    <w:p>
      <w:pPr>
        <w:spacing w:line="500" w:lineRule="exact"/>
        <w:rPr>
          <w:rFonts w:eastAsia="仿宋_GB2312"/>
          <w:color w:val="auto"/>
          <w:sz w:val="44"/>
          <w:szCs w:val="44"/>
          <w:highlight w:val="none"/>
        </w:rPr>
        <w:outlineLvl w:val="0"/>
      </w:pPr>
      <w:r>
        <w:rPr>
          <w:rFonts w:eastAsia="仿宋_GB2312"/>
          <w:color w:val="auto"/>
          <w:sz w:val="44"/>
          <w:szCs w:val="44"/>
          <w:highlight w:val="none"/>
        </w:rPr>
      </w:r>
      <w:r/>
    </w:p>
    <w:p>
      <w:pPr>
        <w:jc w:val="center"/>
        <w:spacing w:line="500" w:lineRule="exact"/>
        <w:rPr>
          <w:rFonts w:eastAsia="方正小标宋_GBK"/>
          <w:bCs/>
          <w:color w:val="auto"/>
          <w:sz w:val="36"/>
          <w:szCs w:val="36"/>
          <w:highlight w:val="none"/>
        </w:rPr>
        <w:outlineLvl w:val="0"/>
      </w:pPr>
      <w:r>
        <w:rPr>
          <w:rFonts w:eastAsia="方正小标宋_GBK"/>
          <w:bCs/>
          <w:color w:val="auto"/>
          <w:sz w:val="36"/>
          <w:szCs w:val="36"/>
          <w:highlight w:val="none"/>
        </w:rPr>
        <w:t xml:space="preserve">第一部分  </w:t>
      </w:r>
      <w:bookmarkStart w:id="1" w:name="OLE_LINK7"/>
      <w:r/>
      <w:bookmarkStart w:id="2" w:name="OLE_LINK5"/>
      <w:r>
        <w:rPr>
          <w:rFonts w:eastAsia="方正小标宋_GBK"/>
          <w:bCs/>
          <w:color w:val="auto"/>
          <w:sz w:val="36"/>
          <w:szCs w:val="36"/>
          <w:highlight w:val="none"/>
        </w:rPr>
        <w:t xml:space="preserve">投标邀请</w:t>
      </w:r>
      <w:r/>
    </w:p>
    <w:p>
      <w:pPr>
        <w:ind w:firstLine="560"/>
        <w:spacing w:line="500" w:lineRule="exact"/>
        <w:rPr>
          <w:rFonts w:eastAsia="方正仿宋_GBK"/>
          <w:color w:val="auto"/>
          <w:sz w:val="28"/>
          <w:szCs w:val="28"/>
          <w:highlight w:val="none"/>
        </w:rPr>
      </w:pPr>
      <w:r/>
      <w:bookmarkStart w:id="3" w:name="OLE_LINK6"/>
      <w:r>
        <w:rPr>
          <w:rFonts w:eastAsia="方正仿宋_GBK"/>
          <w:color w:val="auto"/>
          <w:sz w:val="28"/>
          <w:szCs w:val="28"/>
          <w:highlight w:val="none"/>
        </w:rPr>
        <w:t xml:space="preserve">受[</w:t>
      </w:r>
      <w:r>
        <w:rPr>
          <w:rFonts w:hint="eastAsia" w:eastAsia="方正仿宋_GBK"/>
          <w:color w:val="auto"/>
          <w:sz w:val="28"/>
          <w:szCs w:val="28"/>
          <w:highlight w:val="none"/>
          <w:lang w:eastAsia="zh-CN"/>
        </w:rPr>
        <w:t xml:space="preserve">启东市大洋港小学</w:t>
      </w:r>
      <w:r>
        <w:rPr>
          <w:rFonts w:eastAsia="方正仿宋_GBK"/>
          <w:color w:val="auto"/>
          <w:sz w:val="28"/>
          <w:szCs w:val="28"/>
          <w:highlight w:val="none"/>
        </w:rPr>
        <w:t xml:space="preserve">]的委托，</w:t>
      </w:r>
      <w:r>
        <w:rPr>
          <w:rFonts w:hint="eastAsia" w:eastAsia="方正仿宋_GBK"/>
          <w:color w:val="auto"/>
          <w:sz w:val="28"/>
          <w:szCs w:val="28"/>
          <w:highlight w:val="none"/>
          <w:lang w:eastAsia="zh-CN"/>
        </w:rPr>
        <w:t xml:space="preserve">上海碧凌工程咨询有限公司</w:t>
      </w:r>
      <w:r>
        <w:rPr>
          <w:rFonts w:eastAsia="方正仿宋_GBK"/>
          <w:color w:val="auto"/>
          <w:sz w:val="28"/>
          <w:szCs w:val="28"/>
          <w:highlight w:val="none"/>
        </w:rPr>
        <w:t xml:space="preserve">就[</w:t>
      </w:r>
      <w:r>
        <w:rPr>
          <w:rFonts w:hint="eastAsia" w:eastAsia="方正仿宋_GBK"/>
          <w:color w:val="auto"/>
          <w:sz w:val="28"/>
          <w:szCs w:val="28"/>
          <w:highlight w:val="none"/>
          <w:lang w:eastAsia="zh-CN"/>
        </w:rPr>
        <w:t xml:space="preserve">启东市大洋港小学新建综合楼专用教室教学设备采购项目</w:t>
      </w:r>
      <w:r>
        <w:rPr>
          <w:rFonts w:eastAsia="方正仿宋_GBK"/>
          <w:color w:val="auto"/>
          <w:sz w:val="28"/>
          <w:szCs w:val="28"/>
          <w:highlight w:val="none"/>
        </w:rPr>
        <w:t xml:space="preserve">]（项目编号：</w:t>
      </w:r>
      <w:r>
        <w:rPr>
          <w:rFonts w:hint="eastAsia" w:eastAsia="方正仿宋_GBK"/>
          <w:color w:val="auto"/>
          <w:sz w:val="28"/>
          <w:szCs w:val="28"/>
          <w:highlight w:val="none"/>
        </w:rPr>
        <w:t xml:space="preserve">JSZC-320681-SHBL-G2026-0006</w:t>
      </w:r>
      <w:r>
        <w:rPr>
          <w:rFonts w:eastAsia="方正仿宋_GBK"/>
          <w:color w:val="auto"/>
          <w:sz w:val="28"/>
          <w:szCs w:val="28"/>
          <w:highlight w:val="none"/>
        </w:rPr>
        <w:t xml:space="preserve">）进行公开招标采购，欢迎符合条件的供应商投标。</w:t>
      </w:r>
      <w:r/>
    </w:p>
    <w:p>
      <w:pPr>
        <w:ind w:firstLine="560"/>
        <w:spacing w:line="500" w:lineRule="exact"/>
        <w:rPr>
          <w:rFonts w:eastAsia="方正仿宋_GBK"/>
          <w:color w:val="auto"/>
          <w:sz w:val="28"/>
          <w:szCs w:val="28"/>
          <w:highlight w:val="none"/>
        </w:rPr>
        <w:pBdr>
          <w:top w:val="single" w:color="auto" w:sz="4" w:space="1"/>
          <w:left w:val="single" w:color="auto" w:sz="4" w:space="4"/>
          <w:bottom w:val="single" w:color="auto" w:sz="4" w:space="1"/>
          <w:right w:val="single" w:color="auto" w:sz="4" w:space="4"/>
        </w:pBdr>
      </w:pPr>
      <w:r>
        <w:rPr>
          <w:rFonts w:eastAsia="方正仿宋_GBK"/>
          <w:color w:val="auto"/>
          <w:sz w:val="28"/>
          <w:szCs w:val="28"/>
          <w:highlight w:val="none"/>
        </w:rPr>
        <w:t xml:space="preserve">项目概况</w:t>
      </w:r>
      <w:r/>
    </w:p>
    <w:p>
      <w:pPr>
        <w:ind w:firstLine="560"/>
        <w:spacing w:line="500" w:lineRule="exact"/>
        <w:rPr>
          <w:rFonts w:eastAsia="方正仿宋_GBK"/>
          <w:color w:val="auto"/>
          <w:sz w:val="28"/>
          <w:szCs w:val="28"/>
          <w:highlight w:val="none"/>
        </w:rPr>
        <w:pBdr>
          <w:top w:val="single" w:color="auto" w:sz="4" w:space="1"/>
          <w:left w:val="single" w:color="auto" w:sz="4" w:space="4"/>
          <w:bottom w:val="single" w:color="auto" w:sz="4" w:space="1"/>
          <w:right w:val="single" w:color="auto" w:sz="4" w:space="4"/>
        </w:pBdr>
      </w:pPr>
      <w:r>
        <w:rPr>
          <w:rFonts w:eastAsia="方正仿宋_GBK"/>
          <w:color w:val="auto"/>
          <w:sz w:val="28"/>
          <w:szCs w:val="28"/>
          <w:highlight w:val="none"/>
        </w:rPr>
        <w:t xml:space="preserve">[</w:t>
      </w:r>
      <w:r>
        <w:rPr>
          <w:rFonts w:hint="eastAsia" w:eastAsia="方正仿宋_GBK"/>
          <w:color w:val="auto"/>
          <w:sz w:val="28"/>
          <w:szCs w:val="28"/>
          <w:highlight w:val="none"/>
          <w:lang w:eastAsia="zh-CN"/>
        </w:rPr>
        <w:t xml:space="preserve">启东市大洋港小学新建综合楼专用教室教学设备采购项目</w:t>
      </w:r>
      <w:r>
        <w:rPr>
          <w:rFonts w:eastAsia="方正仿宋_GBK"/>
          <w:color w:val="auto"/>
          <w:sz w:val="28"/>
          <w:szCs w:val="28"/>
          <w:highlight w:val="none"/>
        </w:rPr>
        <w:t xml:space="preserve">]的潜在投标人应在江苏政府采购网获取招标文件，并于</w:t>
      </w:r>
      <w:r>
        <w:rPr>
          <w:rFonts w:hint="eastAsia" w:eastAsia="方正仿宋_GBK"/>
          <w:color w:val="auto"/>
          <w:sz w:val="28"/>
          <w:szCs w:val="28"/>
          <w:highlight w:val="none"/>
          <w:lang w:val="en-US" w:eastAsia="zh-CN"/>
        </w:rPr>
        <w:t xml:space="preserve">2026</w:t>
      </w:r>
      <w:r>
        <w:rPr>
          <w:rFonts w:eastAsia="方正仿宋_GBK"/>
          <w:color w:val="auto"/>
          <w:sz w:val="28"/>
          <w:szCs w:val="28"/>
          <w:highlight w:val="none"/>
        </w:rPr>
        <w:t xml:space="preserve"> </w:t>
      </w:r>
      <w:r>
        <w:rPr>
          <w:rFonts w:eastAsia="方正仿宋_GBK"/>
          <w:color w:val="auto"/>
          <w:sz w:val="28"/>
          <w:szCs w:val="28"/>
          <w:highlight w:val="none"/>
        </w:rPr>
        <w:t xml:space="preserve">年</w:t>
      </w:r>
      <w:r>
        <w:rPr>
          <w:rFonts w:hint="eastAsia" w:eastAsia="方正仿宋_GBK"/>
          <w:color w:val="auto"/>
          <w:sz w:val="28"/>
          <w:szCs w:val="28"/>
          <w:highlight w:val="none"/>
          <w:lang w:val="en-US" w:eastAsia="zh-CN"/>
        </w:rPr>
        <w:t xml:space="preserve">7</w:t>
      </w:r>
      <w:r>
        <w:rPr>
          <w:rFonts w:eastAsia="方正仿宋_GBK"/>
          <w:color w:val="auto"/>
          <w:sz w:val="28"/>
          <w:szCs w:val="28"/>
          <w:highlight w:val="none"/>
        </w:rPr>
        <w:t xml:space="preserve">月</w:t>
      </w:r>
      <w:r>
        <w:rPr>
          <w:rFonts w:hint="eastAsia" w:eastAsia="方正仿宋_GBK"/>
          <w:color w:val="auto"/>
          <w:sz w:val="28"/>
          <w:szCs w:val="28"/>
          <w:highlight w:val="none"/>
          <w:lang w:val="en-US" w:eastAsia="zh-CN"/>
        </w:rPr>
        <w:t xml:space="preserve">30</w:t>
      </w:r>
      <w:r>
        <w:rPr>
          <w:rFonts w:eastAsia="方正仿宋_GBK"/>
          <w:color w:val="auto"/>
          <w:sz w:val="28"/>
          <w:szCs w:val="28"/>
          <w:highlight w:val="none"/>
        </w:rPr>
        <w:t xml:space="preserve">日9点00分（北京时间）前递交投标文件。</w:t>
      </w:r>
      <w:r/>
    </w:p>
    <w:p>
      <w:pPr>
        <w:ind w:firstLine="560"/>
        <w:spacing w:line="500" w:lineRule="exact"/>
        <w:rPr>
          <w:rFonts w:ascii="方正黑体_GBK" w:hAnsi="方正黑体_GBK" w:eastAsia="方正黑体_GBK" w:cs="方正黑体_GBK"/>
          <w:bCs/>
          <w:color w:val="auto"/>
          <w:sz w:val="28"/>
          <w:szCs w:val="28"/>
          <w:highlight w:val="none"/>
        </w:rPr>
      </w:pPr>
      <w:r>
        <w:rPr>
          <w:rFonts w:hint="eastAsia" w:ascii="方正黑体_GBK" w:hAnsi="方正黑体_GBK" w:eastAsia="方正黑体_GBK" w:cs="方正黑体_GBK"/>
          <w:bCs/>
          <w:color w:val="auto"/>
          <w:sz w:val="28"/>
          <w:szCs w:val="28"/>
          <w:highlight w:val="none"/>
        </w:rPr>
        <w:t xml:space="preserve">一、项目基本情况</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项目编号：</w:t>
      </w:r>
      <w:r>
        <w:rPr>
          <w:rFonts w:hint="eastAsia" w:eastAsia="方正仿宋_GBK"/>
          <w:color w:val="auto"/>
          <w:sz w:val="28"/>
          <w:szCs w:val="28"/>
          <w:highlight w:val="none"/>
        </w:rPr>
        <w:t xml:space="preserve">JSZC-320681-SHBL-G2026-0006 </w:t>
      </w:r>
      <w:r>
        <w:rPr>
          <w:rFonts w:eastAsia="方正仿宋_GBK"/>
          <w:color w:val="auto"/>
          <w:sz w:val="28"/>
          <w:szCs w:val="28"/>
          <w:highlight w:val="none"/>
        </w:rPr>
        <w:t xml:space="preserve"> </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项目名称：</w:t>
      </w:r>
      <w:r>
        <w:rPr>
          <w:rFonts w:hint="eastAsia" w:eastAsia="方正仿宋_GBK"/>
          <w:color w:val="auto"/>
          <w:sz w:val="28"/>
          <w:szCs w:val="28"/>
          <w:highlight w:val="none"/>
          <w:lang w:eastAsia="zh-CN"/>
        </w:rPr>
        <w:t xml:space="preserve">启东市大洋港小学新建综合楼专用教室教学设备采购项目</w:t>
      </w:r>
      <w:r>
        <w:rPr>
          <w:rFonts w:hint="eastAsia" w:eastAsia="方正仿宋_GBK"/>
          <w:color w:val="auto"/>
          <w:sz w:val="28"/>
          <w:szCs w:val="28"/>
          <w:highlight w:val="none"/>
        </w:rPr>
        <w:t xml:space="preserve"> </w:t>
      </w:r>
      <w:r>
        <w:rPr>
          <w:rFonts w:eastAsia="方正仿宋_GBK"/>
          <w:color w:val="auto"/>
          <w:sz w:val="28"/>
          <w:szCs w:val="28"/>
          <w:highlight w:val="none"/>
        </w:rPr>
        <w:t xml:space="preserve"> </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项目类型：</w:t>
      </w:r>
      <w:r>
        <w:rPr>
          <w:rFonts w:eastAsia="方正仿宋_GBK"/>
          <w:color w:val="auto"/>
          <w:sz w:val="28"/>
          <w:szCs w:val="28"/>
          <w:highlight w:val="none"/>
        </w:rPr>
        <w:t xml:space="preserve">货物</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所属行业：</w:t>
      </w:r>
      <w:r>
        <w:rPr>
          <w:rFonts w:hint="eastAsia" w:ascii="Times New Roman" w:hAnsi="Times New Roman" w:eastAsia="方正仿宋_GBK"/>
          <w:color w:val="auto"/>
          <w:sz w:val="28"/>
          <w:szCs w:val="28"/>
          <w:highlight w:val="none"/>
        </w:rPr>
        <w:t xml:space="preserve">工业</w:t>
      </w:r>
      <w:r>
        <w:rPr>
          <w:rFonts w:hint="eastAsia" w:eastAsia="方正仿宋_GBK"/>
          <w:color w:val="auto"/>
          <w:sz w:val="28"/>
          <w:szCs w:val="28"/>
          <w:highlight w:val="none"/>
        </w:rPr>
        <w:t xml:space="preserve"> </w:t>
      </w:r>
      <w:r>
        <w:rPr>
          <w:rFonts w:eastAsia="方正仿宋_GBK"/>
          <w:color w:val="auto"/>
          <w:sz w:val="28"/>
          <w:szCs w:val="28"/>
          <w:highlight w:val="none"/>
        </w:rPr>
        <w:t xml:space="preserve"> </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预算金额：</w:t>
      </w:r>
      <w:r>
        <w:rPr>
          <w:rFonts w:hint="eastAsia" w:eastAsia="方正仿宋_GBK"/>
          <w:color w:val="auto"/>
          <w:sz w:val="28"/>
          <w:szCs w:val="28"/>
          <w:highlight w:val="none"/>
          <w:lang w:val="en-US" w:eastAsia="zh-CN"/>
        </w:rPr>
        <w:t xml:space="preserve">350</w:t>
      </w:r>
      <w:r>
        <w:rPr>
          <w:rFonts w:eastAsia="方正仿宋_GBK"/>
          <w:color w:val="auto"/>
          <w:sz w:val="28"/>
          <w:szCs w:val="28"/>
          <w:highlight w:val="none"/>
        </w:rPr>
        <w:t xml:space="preserve">万元</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最高限价：</w:t>
      </w:r>
      <w:r>
        <w:rPr>
          <w:rFonts w:hint="eastAsia" w:eastAsia="方正仿宋_GBK"/>
          <w:color w:val="auto"/>
          <w:sz w:val="28"/>
          <w:szCs w:val="28"/>
          <w:highlight w:val="none"/>
          <w:lang w:val="en-US" w:eastAsia="zh-CN"/>
        </w:rPr>
        <w:t xml:space="preserve">350</w:t>
      </w:r>
      <w:r>
        <w:rPr>
          <w:rFonts w:eastAsia="方正仿宋_GBK"/>
          <w:color w:val="auto"/>
          <w:sz w:val="28"/>
          <w:szCs w:val="28"/>
          <w:highlight w:val="none"/>
        </w:rPr>
        <w:t xml:space="preserve">万元</w:t>
      </w:r>
      <w:r>
        <w:rPr>
          <w:rFonts w:hint="eastAsia" w:eastAsia="方正仿宋_GBK"/>
          <w:color w:val="auto"/>
          <w:sz w:val="28"/>
          <w:szCs w:val="28"/>
          <w:highlight w:val="none"/>
        </w:rPr>
        <w:t xml:space="preserve"> </w:t>
      </w:r>
      <w:r>
        <w:rPr>
          <w:rFonts w:eastAsia="方正仿宋_GBK"/>
          <w:color w:val="auto"/>
          <w:sz w:val="28"/>
          <w:szCs w:val="28"/>
          <w:highlight w:val="none"/>
        </w:rPr>
        <w:t xml:space="preserve"> </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采购需求：详见招标文件，请仔细研究。</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合同履行期限：详见招标文件第三部分项目需求。</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本项目是否接受联合体投标：</w:t>
      </w:r>
      <w:r>
        <w:rPr>
          <w:rFonts w:eastAsia="方正仿宋_GBK"/>
          <w:color w:val="auto"/>
          <w:sz w:val="28"/>
          <w:szCs w:val="28"/>
          <w:highlight w:val="none"/>
        </w:rPr>
        <w:t xml:space="preserve">否</w:t>
      </w:r>
      <w:r>
        <w:rPr>
          <w:rFonts w:eastAsia="方正仿宋_GBK"/>
          <w:color w:val="auto"/>
          <w:sz w:val="28"/>
          <w:szCs w:val="28"/>
          <w:highlight w:val="none"/>
        </w:rPr>
        <w:t xml:space="preserve">。</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本项目是否接受分包：</w:t>
      </w:r>
      <w:r>
        <w:rPr>
          <w:rFonts w:eastAsia="方正仿宋_GBK"/>
          <w:color w:val="auto"/>
          <w:sz w:val="28"/>
          <w:szCs w:val="28"/>
          <w:highlight w:val="none"/>
        </w:rPr>
        <w:t xml:space="preserve">否</w:t>
      </w:r>
      <w:r>
        <w:rPr>
          <w:rFonts w:eastAsia="方正仿宋_GBK"/>
          <w:color w:val="auto"/>
          <w:sz w:val="28"/>
          <w:szCs w:val="28"/>
          <w:highlight w:val="none"/>
        </w:rPr>
        <w:t xml:space="preserve">。</w:t>
      </w:r>
      <w:r/>
    </w:p>
    <w:p>
      <w:pPr>
        <w:ind w:firstLine="560"/>
        <w:spacing w:line="500" w:lineRule="exact"/>
        <w:rPr>
          <w:rFonts w:ascii="方正黑体_GBK" w:hAnsi="方正黑体_GBK" w:eastAsia="方正黑体_GBK" w:cs="方正黑体_GBK"/>
          <w:bCs/>
          <w:color w:val="auto"/>
          <w:sz w:val="28"/>
          <w:szCs w:val="28"/>
          <w:highlight w:val="none"/>
        </w:rPr>
      </w:pPr>
      <w:r>
        <w:rPr>
          <w:rFonts w:ascii="方正黑体_GBK" w:hAnsi="方正黑体_GBK" w:eastAsia="方正黑体_GBK" w:cs="方正黑体_GBK"/>
          <w:bCs/>
          <w:color w:val="auto"/>
          <w:sz w:val="28"/>
          <w:szCs w:val="28"/>
          <w:highlight w:val="none"/>
        </w:rPr>
        <w:t xml:space="preserve">二、申请人的资格要求</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1.满足《中华人民共和国政府采购法》第二十二条规定。</w:t>
      </w:r>
      <w:r/>
    </w:p>
    <w:p>
      <w:pPr>
        <w:ind w:firstLine="560"/>
        <w:spacing w:line="500" w:lineRule="exact"/>
        <w:rPr>
          <w:rFonts w:eastAsia="方正仿宋_GBK"/>
          <w:color w:val="auto"/>
          <w:sz w:val="28"/>
          <w:szCs w:val="28"/>
          <w:highlight w:val="none"/>
          <w:u w:val="single"/>
        </w:rPr>
      </w:pPr>
      <w:r>
        <w:rPr>
          <w:rFonts w:eastAsia="方正仿宋_GBK"/>
          <w:color w:val="auto"/>
          <w:sz w:val="28"/>
          <w:szCs w:val="28"/>
          <w:highlight w:val="none"/>
        </w:rPr>
        <w:t xml:space="preserve">2.落实政府采购政策需满足的资格要求：</w:t>
      </w:r>
      <w:r>
        <w:rPr>
          <w:rFonts w:eastAsia="方正仿宋_GBK"/>
          <w:color w:val="auto"/>
          <w:sz w:val="28"/>
          <w:szCs w:val="28"/>
          <w:highlight w:val="none"/>
          <w:u w:val="single"/>
        </w:rPr>
        <w:t xml:space="preserve">本项目属于非专门面向中小企业采购的项目，无落实政府采购政策需满足的资格要求</w:t>
      </w:r>
      <w:r>
        <w:rPr>
          <w:rFonts w:eastAsia="方正仿宋_GBK"/>
          <w:bCs/>
          <w:color w:val="auto"/>
          <w:sz w:val="28"/>
          <w:szCs w:val="28"/>
          <w:highlight w:val="none"/>
          <w:u w:val="single"/>
        </w:rPr>
        <w:t xml:space="preserve">。</w:t>
      </w:r>
      <w:r/>
    </w:p>
    <w:p>
      <w:pPr>
        <w:ind w:firstLine="560"/>
        <w:spacing w:line="500" w:lineRule="exact"/>
        <w:rPr>
          <w:rFonts w:eastAsia="方正仿宋_GBK"/>
          <w:color w:val="auto"/>
          <w:sz w:val="28"/>
          <w:szCs w:val="28"/>
          <w:highlight w:val="none"/>
          <w:u w:val="single"/>
        </w:rPr>
      </w:pPr>
      <w:r>
        <w:rPr>
          <w:rFonts w:eastAsia="方正仿宋_GBK"/>
          <w:color w:val="auto"/>
          <w:sz w:val="28"/>
          <w:szCs w:val="28"/>
          <w:highlight w:val="none"/>
        </w:rPr>
        <w:t xml:space="preserve">3.本项目的特定资格要求：</w:t>
      </w:r>
      <w:bookmarkStart w:id="4" w:name="_Hlk212714035"/>
      <w:r>
        <w:rPr>
          <w:rFonts w:eastAsia="方正仿宋_GBK"/>
          <w:color w:val="auto"/>
          <w:sz w:val="28"/>
          <w:szCs w:val="28"/>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4"/>
      <w:r/>
      <w:r/>
    </w:p>
    <w:p>
      <w:pPr>
        <w:ind w:firstLine="560"/>
        <w:spacing w:line="500" w:lineRule="exact"/>
        <w:rPr>
          <w:rFonts w:ascii="方正黑体_GBK" w:hAnsi="方正黑体_GBK" w:eastAsia="方正黑体_GBK" w:cs="方正黑体_GBK"/>
          <w:bCs/>
          <w:color w:val="auto"/>
          <w:sz w:val="28"/>
          <w:szCs w:val="28"/>
          <w:highlight w:val="none"/>
        </w:rPr>
      </w:pPr>
      <w:r>
        <w:rPr>
          <w:rFonts w:ascii="方正黑体_GBK" w:hAnsi="方正黑体_GBK" w:eastAsia="方正黑体_GBK" w:cs="方正黑体_GBK"/>
          <w:bCs/>
          <w:color w:val="auto"/>
          <w:sz w:val="28"/>
          <w:szCs w:val="28"/>
          <w:highlight w:val="none"/>
        </w:rPr>
        <w:t xml:space="preserve">三、获取招标文件</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时间：自本公告发布之日起至</w:t>
      </w:r>
      <w:r>
        <w:rPr>
          <w:rFonts w:hint="eastAsia" w:eastAsia="方正仿宋_GBK"/>
          <w:color w:val="auto"/>
          <w:sz w:val="28"/>
          <w:szCs w:val="28"/>
          <w:highlight w:val="none"/>
          <w:lang w:val="en-US" w:eastAsia="zh-CN"/>
        </w:rPr>
        <w:t xml:space="preserve">2026</w:t>
      </w:r>
      <w:r>
        <w:rPr>
          <w:rFonts w:eastAsia="方正仿宋_GBK"/>
          <w:color w:val="auto"/>
          <w:sz w:val="28"/>
          <w:szCs w:val="28"/>
          <w:highlight w:val="none"/>
        </w:rPr>
        <w:t xml:space="preserve">年</w:t>
      </w:r>
      <w:r>
        <w:rPr>
          <w:rFonts w:hint="eastAsia" w:eastAsia="方正仿宋_GBK"/>
          <w:color w:val="auto"/>
          <w:sz w:val="28"/>
          <w:szCs w:val="28"/>
          <w:highlight w:val="none"/>
          <w:lang w:val="en-US" w:eastAsia="zh-CN"/>
        </w:rPr>
        <w:t xml:space="preserve">7</w:t>
      </w:r>
      <w:r>
        <w:rPr>
          <w:rFonts w:eastAsia="方正仿宋_GBK"/>
          <w:color w:val="auto"/>
          <w:sz w:val="28"/>
          <w:szCs w:val="28"/>
          <w:highlight w:val="none"/>
        </w:rPr>
        <w:t xml:space="preserve">月</w:t>
      </w:r>
      <w:r>
        <w:rPr>
          <w:rFonts w:hint="eastAsia" w:eastAsia="方正仿宋_GBK"/>
          <w:color w:val="auto"/>
          <w:sz w:val="28"/>
          <w:szCs w:val="28"/>
          <w:highlight w:val="none"/>
          <w:lang w:val="en-US" w:eastAsia="zh-CN"/>
        </w:rPr>
        <w:t xml:space="preserve">30</w:t>
      </w:r>
      <w:r>
        <w:rPr>
          <w:rFonts w:eastAsia="方正仿宋_GBK"/>
          <w:color w:val="auto"/>
          <w:sz w:val="28"/>
          <w:szCs w:val="28"/>
          <w:highlight w:val="none"/>
        </w:rPr>
        <w:t xml:space="preserve">日</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地点：江苏政府采购网（网上注册登记成功后系统内免费下载）</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方式：本项目采用网上注册登记方式。</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2.潜在供应商访问“苏采云”系统的网络地址和方法：“苏采云”系统的网址：http://jszfcg.jsczt.cn/。</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4.采购文件（后缀名为“.kedt”）、供应商操作指南及政府采购客户端工具可通过“苏采云”系统－已报名项目－报名详情页面内相应链接进行下载。</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5.招标代理机构（采购代理机构）将数据电文形式的采购文件加载至“苏采云”系统，供潜在供应商下载或者查阅。</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6.请潜在投标单位提前安装相应的控件（详见《江苏省政府采购管理交易系统（苏采云）供应商操作指南》）并使用谷歌浏览器登录“苏采云”系统参与不见面开评标。</w:t>
      </w:r>
      <w:r/>
    </w:p>
    <w:p>
      <w:pPr>
        <w:ind w:firstLine="560"/>
        <w:spacing w:line="500" w:lineRule="exact"/>
        <w:rPr>
          <w:rFonts w:eastAsia="方正仿宋_GBK"/>
          <w:b/>
          <w:color w:val="auto"/>
          <w:sz w:val="28"/>
          <w:szCs w:val="28"/>
          <w:highlight w:val="none"/>
        </w:rPr>
      </w:pPr>
      <w:r>
        <w:rPr>
          <w:rFonts w:eastAsia="方正仿宋_GBK"/>
          <w:b/>
          <w:color w:val="auto"/>
          <w:sz w:val="28"/>
          <w:szCs w:val="28"/>
          <w:highlight w:val="none"/>
        </w:rPr>
        <w:t xml:space="preserve">注：如潜在供应商未按上述要求操作，将自行承担所产生的风险。</w:t>
      </w:r>
      <w:r/>
    </w:p>
    <w:p>
      <w:pPr>
        <w:ind w:firstLine="560"/>
        <w:spacing w:line="500" w:lineRule="exact"/>
        <w:rPr>
          <w:rFonts w:ascii="方正黑体_GBK" w:hAnsi="方正黑体_GBK" w:eastAsia="方正黑体_GBK" w:cs="方正黑体_GBK"/>
          <w:bCs/>
          <w:color w:val="auto"/>
          <w:sz w:val="28"/>
          <w:szCs w:val="28"/>
          <w:highlight w:val="none"/>
        </w:rPr>
      </w:pPr>
      <w:r>
        <w:rPr>
          <w:rFonts w:ascii="方正黑体_GBK" w:hAnsi="方正黑体_GBK" w:eastAsia="方正黑体_GBK" w:cs="方正黑体_GBK"/>
          <w:bCs/>
          <w:color w:val="auto"/>
          <w:sz w:val="28"/>
          <w:szCs w:val="28"/>
          <w:highlight w:val="none"/>
        </w:rPr>
        <w:t xml:space="preserve">四、提交投标文件截止时间、开标时间和地点</w:t>
      </w:r>
      <w:r/>
    </w:p>
    <w:p>
      <w:pPr>
        <w:ind w:firstLine="560"/>
        <w:spacing w:line="500" w:lineRule="exact"/>
        <w:rPr>
          <w:rFonts w:eastAsia="方正仿宋_GBK"/>
          <w:i/>
          <w:color w:val="auto"/>
          <w:sz w:val="28"/>
          <w:szCs w:val="28"/>
          <w:highlight w:val="none"/>
          <w:u w:val="single"/>
        </w:rPr>
      </w:pPr>
      <w:r>
        <w:rPr>
          <w:rFonts w:eastAsia="方正仿宋_GBK"/>
          <w:color w:val="auto"/>
          <w:sz w:val="28"/>
          <w:szCs w:val="28"/>
          <w:highlight w:val="none"/>
        </w:rPr>
        <w:t xml:space="preserve">1.</w:t>
      </w:r>
      <w:r>
        <w:rPr>
          <w:rFonts w:hint="eastAsia" w:eastAsia="方正仿宋_GBK"/>
          <w:color w:val="auto"/>
          <w:sz w:val="28"/>
          <w:szCs w:val="28"/>
          <w:highlight w:val="none"/>
          <w:lang w:val="en-US" w:eastAsia="zh-CN"/>
        </w:rPr>
        <w:t xml:space="preserve">2026</w:t>
      </w:r>
      <w:r>
        <w:rPr>
          <w:rFonts w:eastAsia="方正仿宋_GBK"/>
          <w:color w:val="auto"/>
          <w:sz w:val="28"/>
          <w:szCs w:val="28"/>
          <w:highlight w:val="none"/>
        </w:rPr>
        <w:t xml:space="preserve">年</w:t>
      </w:r>
      <w:r>
        <w:rPr>
          <w:rFonts w:hint="eastAsia" w:eastAsia="方正仿宋_GBK"/>
          <w:color w:val="auto"/>
          <w:sz w:val="28"/>
          <w:szCs w:val="28"/>
          <w:highlight w:val="none"/>
          <w:lang w:val="en-US" w:eastAsia="zh-CN"/>
        </w:rPr>
        <w:t xml:space="preserve">7</w:t>
      </w:r>
      <w:r>
        <w:rPr>
          <w:rFonts w:eastAsia="方正仿宋_GBK"/>
          <w:color w:val="auto"/>
          <w:sz w:val="28"/>
          <w:szCs w:val="28"/>
          <w:highlight w:val="none"/>
        </w:rPr>
        <w:t xml:space="preserve">月</w:t>
      </w:r>
      <w:r>
        <w:rPr>
          <w:rFonts w:hint="eastAsia" w:eastAsia="方正仿宋_GBK"/>
          <w:color w:val="auto"/>
          <w:sz w:val="28"/>
          <w:szCs w:val="28"/>
          <w:highlight w:val="none"/>
          <w:lang w:val="en-US" w:eastAsia="zh-CN"/>
        </w:rPr>
        <w:t xml:space="preserve">30</w:t>
      </w:r>
      <w:r>
        <w:rPr>
          <w:rFonts w:eastAsia="方正仿宋_GBK"/>
          <w:color w:val="auto"/>
          <w:sz w:val="28"/>
          <w:szCs w:val="28"/>
          <w:highlight w:val="none"/>
        </w:rPr>
        <w:t xml:space="preserve">日9点00分（北京时间）</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逾时，交易系统将拒绝接受上传投标文件电子文档。</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地点：各供应商请关注开标大厅交流区，在开标结束后，请勿离开开标大厅。</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2.线上开标地点：“苏采云”系统（网址：http://jszfcg.jsczt.cn/）“开标大厅”。</w:t>
      </w:r>
      <w:r/>
    </w:p>
    <w:p>
      <w:pPr>
        <w:ind w:firstLine="560"/>
        <w:spacing w:line="500" w:lineRule="exact"/>
        <w:rPr>
          <w:rFonts w:eastAsia="方正仿宋_GBK"/>
          <w:i/>
          <w:color w:val="auto"/>
          <w:sz w:val="28"/>
          <w:szCs w:val="28"/>
          <w:highlight w:val="none"/>
        </w:rPr>
      </w:pPr>
      <w:r>
        <w:rPr>
          <w:rFonts w:eastAsia="方正仿宋_GBK"/>
          <w:color w:val="auto"/>
          <w:sz w:val="28"/>
          <w:szCs w:val="28"/>
          <w:highlight w:val="none"/>
        </w:rPr>
        <w:t xml:space="preserve">3.响应文件的解密：开标当天各供应商及时登录不见面开标大厅，响应文件递交截止时间后，采购人将在系统内公布投标</w:t>
      </w:r>
      <w:r>
        <w:rPr>
          <w:rFonts w:eastAsia="方正仿宋_GBK"/>
          <w:color w:val="auto"/>
          <w:sz w:val="28"/>
          <w:szCs w:val="28"/>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500" w:lineRule="exact"/>
        <w:rPr>
          <w:rFonts w:ascii="方正黑体_GBK" w:hAnsi="方正黑体_GBK" w:eastAsia="方正黑体_GBK" w:cs="方正黑体_GBK"/>
          <w:bCs/>
          <w:color w:val="auto"/>
          <w:sz w:val="28"/>
          <w:szCs w:val="28"/>
          <w:highlight w:val="none"/>
        </w:rPr>
      </w:pPr>
      <w:r>
        <w:rPr>
          <w:rFonts w:ascii="方正黑体_GBK" w:hAnsi="方正黑体_GBK" w:eastAsia="方正黑体_GBK" w:cs="方正黑体_GBK"/>
          <w:bCs/>
          <w:color w:val="auto"/>
          <w:sz w:val="28"/>
          <w:szCs w:val="28"/>
          <w:highlight w:val="none"/>
        </w:rPr>
        <w:t xml:space="preserve">五、公告期限</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自本公告发布之日起5个工作日。</w:t>
      </w:r>
      <w:r/>
    </w:p>
    <w:p>
      <w:pPr>
        <w:ind w:firstLine="560"/>
        <w:spacing w:line="500" w:lineRule="exact"/>
        <w:rPr>
          <w:rFonts w:ascii="方正黑体_GBK" w:hAnsi="方正黑体_GBK" w:eastAsia="方正黑体_GBK" w:cs="方正黑体_GBK"/>
          <w:bCs/>
          <w:color w:val="auto"/>
          <w:sz w:val="28"/>
          <w:szCs w:val="28"/>
          <w:highlight w:val="none"/>
        </w:rPr>
      </w:pPr>
      <w:r>
        <w:rPr>
          <w:rFonts w:ascii="方正黑体_GBK" w:hAnsi="方正黑体_GBK" w:eastAsia="方正黑体_GBK" w:cs="方正黑体_GBK"/>
          <w:bCs/>
          <w:color w:val="auto"/>
          <w:sz w:val="28"/>
          <w:szCs w:val="28"/>
          <w:highlight w:val="none"/>
        </w:rPr>
        <w:t xml:space="preserve">六、其他补充事宜</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1.投标保证金：免收</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2.项目开标活动模式：不见面远程开标模式，投标人在各自地点通过“苏采云”系统参加开标会。</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3.项目演示、样品、答辩等：</w:t>
      </w:r>
      <w:r/>
    </w:p>
    <w:p>
      <w:pPr>
        <w:ind w:firstLine="560"/>
        <w:spacing w:line="500" w:lineRule="exact"/>
        <w:rPr>
          <w:rFonts w:hint="eastAsia" w:ascii="Calibri" w:hAnsi="Calibri" w:eastAsia="方正仿宋_GBK" w:cs="Calibri"/>
          <w:color w:val="auto"/>
          <w:sz w:val="28"/>
          <w:szCs w:val="28"/>
          <w:highlight w:val="none"/>
          <w:lang w:val="en-US" w:eastAsia="zh-CN"/>
        </w:rPr>
      </w:pPr>
      <w:r>
        <w:rPr>
          <w:rFonts w:hint="default" w:ascii="Calibri" w:hAnsi="Calibri" w:eastAsia="方正仿宋_GBK" w:cs="Calibri"/>
          <w:color w:val="auto"/>
          <w:sz w:val="28"/>
          <w:szCs w:val="28"/>
          <w:highlight w:val="none"/>
        </w:rPr>
        <w:t xml:space="preserve">①</w:t>
      </w:r>
      <w:r>
        <w:rPr>
          <w:rFonts w:hint="eastAsia" w:ascii="Calibri" w:hAnsi="Calibri" w:eastAsia="方正仿宋_GBK" w:cs="Calibri"/>
          <w:color w:val="auto"/>
          <w:sz w:val="28"/>
          <w:szCs w:val="28"/>
          <w:highlight w:val="none"/>
          <w:lang w:val="en-US" w:eastAsia="zh-CN"/>
        </w:rPr>
        <w:t xml:space="preserve">项目演示</w:t>
      </w:r>
      <w:r>
        <w:rPr>
          <w:rFonts w:hint="eastAsia" w:eastAsia="方正仿宋_GBK"/>
          <w:color w:val="auto"/>
          <w:sz w:val="28"/>
          <w:szCs w:val="28"/>
          <w:highlight w:val="none"/>
          <w:lang w:val="en-US" w:eastAsia="zh-CN"/>
        </w:rPr>
        <w:t xml:space="preserve">：</w:t>
      </w:r>
      <w:r>
        <w:rPr>
          <w:rFonts w:eastAsia="方正仿宋_GBK"/>
          <w:color w:val="auto"/>
          <w:sz w:val="28"/>
          <w:szCs w:val="28"/>
          <w:highlight w:val="none"/>
        </w:rPr>
        <w:t xml:space="preserve">供应商需按照招标文件规定的演示内容制作演示视频文件，视频文件的格式为*.mp4或*.avi，供应商须将视频文件分段压缩为*.zip文件上传（单个文件不得大于50M，所有文件总共不得大于300M），上传的演示视频将作为投标文件的组成部分。）</w:t>
      </w:r>
      <w:r>
        <w:rPr>
          <w:rFonts w:hint="eastAsia" w:ascii="Calibri" w:hAnsi="Calibri" w:eastAsia="方正仿宋_GBK" w:cs="Calibri"/>
          <w:color w:val="auto"/>
          <w:sz w:val="28"/>
          <w:szCs w:val="28"/>
          <w:highlight w:val="none"/>
          <w:lang w:val="en-US" w:eastAsia="zh-CN"/>
        </w:rPr>
        <w:t xml:space="preserve">。</w:t>
      </w:r>
      <w:r/>
    </w:p>
    <w:p>
      <w:pPr>
        <w:ind w:firstLine="560"/>
        <w:spacing w:line="500" w:lineRule="exact"/>
        <w:rPr>
          <w:rFonts w:hint="eastAsia" w:ascii="Calibri" w:hAnsi="Calibri" w:eastAsia="方正仿宋_GBK" w:cs="Calibri"/>
          <w:color w:val="auto"/>
          <w:sz w:val="28"/>
          <w:szCs w:val="28"/>
          <w:highlight w:val="none"/>
          <w:lang w:val="en-US" w:eastAsia="zh-CN"/>
        </w:rPr>
      </w:pPr>
      <w:r>
        <w:rPr>
          <w:rFonts w:hint="default" w:ascii="Calibri" w:hAnsi="Calibri" w:eastAsia="方正仿宋_GBK" w:cs="Calibri"/>
          <w:color w:val="auto"/>
          <w:sz w:val="28"/>
          <w:szCs w:val="28"/>
          <w:highlight w:val="none"/>
        </w:rPr>
        <w:t xml:space="preserve">②</w:t>
      </w:r>
      <w:r>
        <w:rPr>
          <w:rFonts w:hint="eastAsia" w:ascii="Calibri" w:hAnsi="Calibri" w:eastAsia="方正仿宋_GBK" w:cs="Calibri"/>
          <w:color w:val="auto"/>
          <w:sz w:val="28"/>
          <w:szCs w:val="28"/>
          <w:highlight w:val="none"/>
          <w:lang w:val="en-US" w:eastAsia="zh-CN"/>
        </w:rPr>
        <w:t xml:space="preserve">样品：详见样品清单</w:t>
      </w:r>
      <w:r/>
    </w:p>
    <w:p>
      <w:pPr>
        <w:ind w:firstLine="560"/>
        <w:spacing w:line="500" w:lineRule="exact"/>
        <w:rPr>
          <w:rFonts w:hint="default" w:ascii="Times New Roman" w:hAnsi="Times New Roman" w:eastAsia="方正仿宋_GBK" w:cs="Times New Roman"/>
          <w:color w:val="auto"/>
          <w:sz w:val="28"/>
          <w:szCs w:val="28"/>
          <w:highlight w:val="none"/>
          <w:lang w:val="en-US" w:eastAsia="zh-CN"/>
        </w:rPr>
      </w:pPr>
      <w:r>
        <w:rPr>
          <w:rFonts w:hint="eastAsia" w:ascii="Times New Roman" w:hAnsi="Times New Roman" w:eastAsia="方正仿宋_GBK" w:cs="Times New Roman"/>
          <w:color w:val="auto"/>
          <w:sz w:val="28"/>
          <w:szCs w:val="28"/>
          <w:highlight w:val="none"/>
        </w:rPr>
        <w:t xml:space="preserve">投标样品接收截止时间及接收地点：202</w:t>
      </w:r>
      <w:r>
        <w:rPr>
          <w:rFonts w:hint="eastAsia" w:ascii="Times New Roman" w:hAnsi="Times New Roman" w:eastAsia="方正仿宋_GBK" w:cs="Times New Roman"/>
          <w:color w:val="auto"/>
          <w:sz w:val="28"/>
          <w:szCs w:val="28"/>
          <w:highlight w:val="none"/>
          <w:lang w:val="en-US" w:eastAsia="zh-CN"/>
        </w:rPr>
        <w:t xml:space="preserve">6</w:t>
      </w:r>
      <w:r>
        <w:rPr>
          <w:rFonts w:hint="eastAsia" w:ascii="Times New Roman" w:hAnsi="Times New Roman" w:eastAsia="方正仿宋_GBK" w:cs="Times New Roman"/>
          <w:color w:val="auto"/>
          <w:sz w:val="28"/>
          <w:szCs w:val="28"/>
          <w:highlight w:val="none"/>
        </w:rPr>
        <w:t xml:space="preserve">年</w:t>
      </w:r>
      <w:r>
        <w:rPr>
          <w:rFonts w:hint="eastAsia" w:eastAsia="方正仿宋_GBK" w:cs="Times New Roman"/>
          <w:color w:val="auto"/>
          <w:sz w:val="28"/>
          <w:szCs w:val="28"/>
          <w:highlight w:val="none"/>
          <w:lang w:val="en-US" w:eastAsia="zh-CN"/>
        </w:rPr>
        <w:t xml:space="preserve">7</w:t>
      </w:r>
      <w:r>
        <w:rPr>
          <w:rFonts w:hint="eastAsia" w:ascii="Times New Roman" w:hAnsi="Times New Roman" w:eastAsia="方正仿宋_GBK" w:cs="Times New Roman"/>
          <w:color w:val="auto"/>
          <w:sz w:val="28"/>
          <w:szCs w:val="28"/>
          <w:highlight w:val="none"/>
        </w:rPr>
        <w:t xml:space="preserve">月</w:t>
      </w:r>
      <w:r>
        <w:rPr>
          <w:rFonts w:hint="eastAsia" w:eastAsia="方正仿宋_GBK" w:cs="Times New Roman"/>
          <w:color w:val="auto"/>
          <w:sz w:val="28"/>
          <w:szCs w:val="28"/>
          <w:highlight w:val="none"/>
          <w:lang w:val="en-US" w:eastAsia="zh-CN"/>
        </w:rPr>
        <w:t xml:space="preserve">30</w:t>
      </w:r>
      <w:r>
        <w:rPr>
          <w:rFonts w:hint="eastAsia" w:ascii="Times New Roman" w:hAnsi="Times New Roman" w:eastAsia="方正仿宋_GBK" w:cs="Times New Roman"/>
          <w:color w:val="auto"/>
          <w:sz w:val="28"/>
          <w:szCs w:val="28"/>
          <w:highlight w:val="none"/>
        </w:rPr>
        <w:t xml:space="preserve">日</w:t>
      </w:r>
      <w:r>
        <w:rPr>
          <w:rFonts w:hint="eastAsia" w:eastAsia="方正仿宋_GBK" w:cs="Times New Roman"/>
          <w:color w:val="auto"/>
          <w:sz w:val="28"/>
          <w:szCs w:val="28"/>
          <w:highlight w:val="none"/>
          <w:lang w:val="en-US" w:eastAsia="zh-CN"/>
        </w:rPr>
        <w:t xml:space="preserve">09</w:t>
      </w:r>
      <w:r>
        <w:rPr>
          <w:rFonts w:hint="eastAsia" w:ascii="Times New Roman" w:hAnsi="Times New Roman" w:eastAsia="方正仿宋_GBK" w:cs="Times New Roman"/>
          <w:color w:val="auto"/>
          <w:sz w:val="28"/>
          <w:szCs w:val="28"/>
          <w:highlight w:val="none"/>
        </w:rPr>
        <w:t xml:space="preserve">点</w:t>
      </w:r>
      <w:r>
        <w:rPr>
          <w:rFonts w:hint="eastAsia" w:eastAsia="方正仿宋_GBK" w:cs="Times New Roman"/>
          <w:color w:val="auto"/>
          <w:sz w:val="28"/>
          <w:szCs w:val="28"/>
          <w:highlight w:val="none"/>
          <w:lang w:val="en-US" w:eastAsia="zh-CN"/>
        </w:rPr>
        <w:t xml:space="preserve">00</w:t>
      </w:r>
      <w:r>
        <w:rPr>
          <w:rFonts w:hint="eastAsia" w:ascii="Times New Roman" w:hAnsi="Times New Roman" w:eastAsia="方正仿宋_GBK" w:cs="Times New Roman"/>
          <w:color w:val="auto"/>
          <w:sz w:val="28"/>
          <w:szCs w:val="28"/>
          <w:highlight w:val="none"/>
        </w:rPr>
        <w:t xml:space="preserve">分（北京时间），</w:t>
      </w:r>
      <w:r>
        <w:rPr>
          <w:rFonts w:hint="eastAsia" w:ascii="Times New Roman" w:hAnsi="Times New Roman" w:eastAsia="方正仿宋_GBK" w:cs="Times New Roman"/>
          <w:color w:val="auto"/>
          <w:sz w:val="28"/>
          <w:szCs w:val="28"/>
          <w:highlight w:val="none"/>
          <w:lang w:val="en-US" w:eastAsia="zh-CN"/>
        </w:rPr>
        <w:t xml:space="preserve">启东市汇龙镇南苑西路国动产业园18号501室</w:t>
      </w:r>
      <w:r>
        <w:rPr>
          <w:rFonts w:hint="eastAsia" w:ascii="Times New Roman" w:hAnsi="Times New Roman" w:eastAsia="方正仿宋_GBK" w:cs="Times New Roman"/>
          <w:color w:val="auto"/>
          <w:sz w:val="28"/>
          <w:szCs w:val="28"/>
          <w:highlight w:val="none"/>
          <w:lang w:eastAsia="zh-CN"/>
        </w:rPr>
        <w:t xml:space="preserve">。</w:t>
      </w:r>
      <w:r>
        <w:rPr>
          <w:rFonts w:hint="eastAsia" w:ascii="Times New Roman" w:hAnsi="Times New Roman" w:eastAsia="方正仿宋_GBK" w:cs="Times New Roman"/>
          <w:color w:val="auto"/>
          <w:sz w:val="28"/>
          <w:szCs w:val="28"/>
          <w:highlight w:val="none"/>
          <w:lang w:val="en-US" w:eastAsia="zh-CN"/>
        </w:rPr>
        <w:t xml:space="preserve">样品联系人：陈燕，联系电话：18932203970。</w:t>
      </w:r>
      <w:r/>
    </w:p>
    <w:p>
      <w:pPr>
        <w:ind w:firstLine="560"/>
        <w:spacing w:line="500" w:lineRule="exact"/>
        <w:rPr>
          <w:rFonts w:ascii="Times New Roman" w:hAnsi="Times New Roman" w:eastAsia="方正仿宋_GBK"/>
          <w:color w:val="auto"/>
          <w:sz w:val="28"/>
          <w:szCs w:val="28"/>
          <w:highlight w:val="none"/>
        </w:rPr>
      </w:pPr>
      <w:r>
        <w:rPr>
          <w:rFonts w:hint="eastAsia" w:ascii="Times New Roman" w:hAnsi="Times New Roman" w:eastAsia="方正仿宋_GBK" w:cs="Times New Roman"/>
          <w:b w:val="0"/>
          <w:bCs w:val="0"/>
          <w:color w:val="auto"/>
          <w:sz w:val="28"/>
          <w:szCs w:val="28"/>
          <w:highlight w:val="none"/>
        </w:rPr>
        <w:t xml:space="preserve">投标人如未按要求在规定时间内递交样品或投标单位名称不能对应开标当日系统内投标单位名称的，</w:t>
      </w:r>
      <w:r>
        <w:rPr>
          <w:rFonts w:hint="eastAsia" w:eastAsia="方正仿宋_GBK"/>
          <w:bCs/>
          <w:color w:val="auto"/>
          <w:sz w:val="28"/>
          <w:szCs w:val="28"/>
          <w:highlight w:val="none"/>
        </w:rPr>
        <w:t xml:space="preserve">作无效投标（响应）处理</w:t>
      </w:r>
      <w:r>
        <w:rPr>
          <w:rFonts w:hint="eastAsia" w:ascii="Times New Roman" w:hAnsi="Times New Roman" w:eastAsia="方正仿宋_GBK" w:cs="Times New Roman"/>
          <w:b w:val="0"/>
          <w:bCs w:val="0"/>
          <w:color w:val="auto"/>
          <w:sz w:val="28"/>
          <w:szCs w:val="28"/>
          <w:highlight w:val="none"/>
        </w:rPr>
        <w:t xml:space="preserve">。</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spacing w:line="500" w:lineRule="exact"/>
        <w:rPr>
          <w:rFonts w:ascii="方正黑体_GBK" w:hAnsi="方正黑体_GBK" w:eastAsia="方正黑体_GBK" w:cs="方正黑体_GBK"/>
          <w:bCs/>
          <w:color w:val="auto"/>
          <w:sz w:val="28"/>
          <w:szCs w:val="28"/>
          <w:highlight w:val="none"/>
        </w:rPr>
      </w:pPr>
      <w:r>
        <w:rPr>
          <w:rFonts w:ascii="方正黑体_GBK" w:hAnsi="方正黑体_GBK" w:eastAsia="方正黑体_GBK" w:cs="方正黑体_GBK"/>
          <w:bCs/>
          <w:color w:val="auto"/>
          <w:sz w:val="28"/>
          <w:szCs w:val="28"/>
          <w:highlight w:val="none"/>
        </w:rPr>
        <w:t xml:space="preserve">七、本次招标联系方式</w:t>
      </w:r>
      <w:r/>
    </w:p>
    <w:p>
      <w:pPr>
        <w:ind w:firstLine="560"/>
        <w:spacing w:line="500" w:lineRule="exact"/>
        <w:rPr>
          <w:rFonts w:ascii="Times New Roman" w:hAnsi="Times New Roman" w:eastAsia="方正仿宋_GBK"/>
          <w:color w:val="auto"/>
          <w:sz w:val="28"/>
          <w:szCs w:val="28"/>
          <w:highlight w:val="none"/>
        </w:rPr>
      </w:pPr>
      <w:r>
        <w:rPr>
          <w:rFonts w:ascii="Times New Roman" w:hAnsi="Times New Roman" w:eastAsia="方正仿宋_GBK"/>
          <w:color w:val="auto"/>
          <w:sz w:val="28"/>
          <w:szCs w:val="28"/>
          <w:highlight w:val="none"/>
        </w:rPr>
        <w:t xml:space="preserve">1</w:t>
      </w:r>
      <w:r>
        <w:rPr>
          <w:rFonts w:hint="eastAsia" w:ascii="Times New Roman" w:hAnsi="Times New Roman" w:eastAsia="方正仿宋_GBK"/>
          <w:color w:val="auto"/>
          <w:sz w:val="28"/>
          <w:szCs w:val="28"/>
          <w:highlight w:val="none"/>
        </w:rPr>
        <w:t xml:space="preserve">．</w:t>
      </w:r>
      <w:r>
        <w:rPr>
          <w:rFonts w:ascii="Times New Roman" w:hAnsi="Times New Roman" w:eastAsia="方正仿宋_GBK"/>
          <w:color w:val="auto"/>
          <w:sz w:val="28"/>
          <w:szCs w:val="28"/>
          <w:highlight w:val="none"/>
        </w:rPr>
        <w:t xml:space="preserve">采购人信息</w:t>
      </w:r>
      <w:r/>
    </w:p>
    <w:p>
      <w:pPr>
        <w:ind w:firstLine="560"/>
        <w:spacing w:line="500" w:lineRule="exact"/>
        <w:rPr>
          <w:rFonts w:ascii="Times New Roman" w:hAnsi="Times New Roman" w:eastAsia="方正仿宋_GBK"/>
          <w:color w:val="auto"/>
          <w:sz w:val="28"/>
          <w:szCs w:val="28"/>
          <w:highlight w:val="none"/>
        </w:rPr>
      </w:pPr>
      <w:r>
        <w:rPr>
          <w:rFonts w:ascii="Times New Roman" w:hAnsi="Times New Roman" w:eastAsia="方正仿宋_GBK"/>
          <w:color w:val="auto"/>
          <w:sz w:val="28"/>
          <w:szCs w:val="28"/>
          <w:highlight w:val="none"/>
        </w:rPr>
        <w:t xml:space="preserve">名</w:t>
      </w:r>
      <w:r>
        <w:rPr>
          <w:rFonts w:hint="eastAsia" w:ascii="Times New Roman" w:hAnsi="Times New Roman" w:eastAsia="方正仿宋_GBK"/>
          <w:color w:val="auto"/>
          <w:sz w:val="28"/>
          <w:szCs w:val="28"/>
          <w:highlight w:val="none"/>
        </w:rPr>
        <w:t xml:space="preserve"> </w:t>
      </w:r>
      <w:r>
        <w:rPr>
          <w:rFonts w:ascii="Times New Roman" w:hAnsi="Times New Roman" w:eastAsia="方正仿宋_GBK"/>
          <w:color w:val="auto"/>
          <w:sz w:val="28"/>
          <w:szCs w:val="28"/>
          <w:highlight w:val="none"/>
        </w:rPr>
        <w:t xml:space="preserve"> 称：</w:t>
      </w:r>
      <w:r>
        <w:rPr>
          <w:rFonts w:hint="eastAsia" w:ascii="Times New Roman" w:hAnsi="Times New Roman" w:eastAsia="方正仿宋_GBK" w:cs="Times New Roman"/>
          <w:color w:val="auto"/>
          <w:sz w:val="28"/>
          <w:szCs w:val="28"/>
          <w:highlight w:val="none"/>
          <w:lang w:eastAsia="zh-CN"/>
        </w:rPr>
        <w:t xml:space="preserve">启东市大洋港小学</w:t>
      </w:r>
      <w:r/>
    </w:p>
    <w:p>
      <w:pPr>
        <w:ind w:firstLine="560"/>
        <w:spacing w:line="500" w:lineRule="exact"/>
        <w:rPr>
          <w:rFonts w:hint="eastAsia" w:ascii="Times New Roman" w:hAnsi="Times New Roman" w:eastAsia="方正仿宋_GBK"/>
          <w:color w:val="auto"/>
          <w:sz w:val="28"/>
          <w:szCs w:val="28"/>
          <w:highlight w:val="none"/>
          <w:lang w:eastAsia="zh-CN"/>
        </w:rPr>
      </w:pPr>
      <w:r>
        <w:rPr>
          <w:rFonts w:ascii="Times New Roman" w:hAnsi="Times New Roman" w:eastAsia="方正仿宋_GBK"/>
          <w:color w:val="auto"/>
          <w:sz w:val="28"/>
          <w:szCs w:val="28"/>
          <w:highlight w:val="none"/>
        </w:rPr>
        <w:t xml:space="preserve">地</w:t>
      </w:r>
      <w:r>
        <w:rPr>
          <w:rFonts w:hint="eastAsia" w:ascii="Times New Roman" w:hAnsi="Times New Roman" w:eastAsia="方正仿宋_GBK"/>
          <w:color w:val="auto"/>
          <w:sz w:val="28"/>
          <w:szCs w:val="28"/>
          <w:highlight w:val="none"/>
        </w:rPr>
        <w:t xml:space="preserve"> </w:t>
      </w:r>
      <w:r>
        <w:rPr>
          <w:rFonts w:ascii="Times New Roman" w:hAnsi="Times New Roman" w:eastAsia="方正仿宋_GBK"/>
          <w:color w:val="auto"/>
          <w:sz w:val="28"/>
          <w:szCs w:val="28"/>
          <w:highlight w:val="none"/>
        </w:rPr>
        <w:t xml:space="preserve"> 址：</w:t>
      </w:r>
      <w:r>
        <w:rPr>
          <w:rFonts w:hint="eastAsia" w:ascii="Times New Roman" w:hAnsi="Times New Roman" w:eastAsia="方正仿宋_GBK" w:cs="Times New Roman"/>
          <w:color w:val="auto"/>
          <w:sz w:val="28"/>
          <w:szCs w:val="28"/>
          <w:highlight w:val="none"/>
          <w:lang w:eastAsia="zh-CN"/>
        </w:rPr>
        <w:t xml:space="preserve">启东市吕四港镇鹤城北路</w:t>
      </w:r>
      <w:r/>
    </w:p>
    <w:p>
      <w:pPr>
        <w:ind w:firstLine="560"/>
        <w:spacing w:line="500" w:lineRule="exact"/>
        <w:rPr>
          <w:rFonts w:hint="default" w:ascii="Times New Roman" w:hAnsi="Times New Roman" w:eastAsia="方正仿宋_GBK"/>
          <w:color w:val="auto"/>
          <w:sz w:val="28"/>
          <w:szCs w:val="28"/>
          <w:highlight w:val="none"/>
          <w:lang w:val="en-US" w:eastAsia="zh-CN"/>
        </w:rPr>
      </w:pPr>
      <w:r>
        <w:rPr>
          <w:rFonts w:ascii="Times New Roman" w:hAnsi="Times New Roman" w:eastAsia="方正仿宋_GBK"/>
          <w:color w:val="auto"/>
          <w:sz w:val="28"/>
          <w:szCs w:val="28"/>
          <w:highlight w:val="none"/>
        </w:rPr>
        <w:t xml:space="preserve">联系人：</w:t>
      </w:r>
      <w:r>
        <w:rPr>
          <w:rFonts w:hint="eastAsia" w:eastAsia="方正仿宋_GBK"/>
          <w:color w:val="auto"/>
          <w:sz w:val="28"/>
          <w:szCs w:val="28"/>
          <w:highlight w:val="none"/>
          <w:lang w:val="en-US" w:eastAsia="zh-CN"/>
        </w:rPr>
        <w:t xml:space="preserve">高先生</w:t>
      </w:r>
      <w:r/>
    </w:p>
    <w:p>
      <w:pPr>
        <w:ind w:firstLine="560"/>
        <w:spacing w:line="500" w:lineRule="exact"/>
        <w:rPr>
          <w:rFonts w:ascii="Times New Roman" w:hAnsi="Times New Roman" w:eastAsia="方正仿宋_GBK"/>
          <w:color w:val="auto"/>
          <w:sz w:val="28"/>
          <w:szCs w:val="28"/>
          <w:highlight w:val="none"/>
        </w:rPr>
      </w:pPr>
      <w:r>
        <w:rPr>
          <w:rFonts w:ascii="Times New Roman" w:hAnsi="Times New Roman" w:eastAsia="方正仿宋_GBK"/>
          <w:color w:val="auto"/>
          <w:sz w:val="28"/>
          <w:szCs w:val="28"/>
          <w:highlight w:val="none"/>
        </w:rPr>
        <w:t xml:space="preserve">联系方式：</w:t>
      </w:r>
      <w:r>
        <w:rPr>
          <w:rFonts w:hint="eastAsia" w:ascii="Times New Roman" w:hAnsi="Times New Roman" w:eastAsia="方正仿宋_GBK"/>
          <w:color w:val="auto"/>
          <w:sz w:val="28"/>
          <w:szCs w:val="28"/>
          <w:highlight w:val="none"/>
        </w:rPr>
        <w:t xml:space="preserve">13921651982</w:t>
      </w:r>
      <w:r/>
    </w:p>
    <w:p>
      <w:pPr>
        <w:ind w:firstLine="560"/>
        <w:spacing w:line="500" w:lineRule="exact"/>
        <w:rPr>
          <w:rFonts w:ascii="Times New Roman" w:hAnsi="Times New Roman" w:eastAsia="方正仿宋_GBK"/>
          <w:color w:val="auto"/>
          <w:sz w:val="28"/>
          <w:szCs w:val="28"/>
          <w:highlight w:val="none"/>
        </w:rPr>
      </w:pPr>
      <w:r>
        <w:rPr>
          <w:rFonts w:ascii="Times New Roman" w:hAnsi="Times New Roman" w:eastAsia="方正仿宋_GBK"/>
          <w:color w:val="auto"/>
          <w:sz w:val="28"/>
          <w:szCs w:val="28"/>
          <w:highlight w:val="none"/>
        </w:rPr>
        <w:t xml:space="preserve">2</w:t>
      </w:r>
      <w:r>
        <w:rPr>
          <w:rFonts w:hint="eastAsia" w:ascii="Times New Roman" w:hAnsi="Times New Roman" w:eastAsia="方正仿宋_GBK"/>
          <w:color w:val="auto"/>
          <w:sz w:val="28"/>
          <w:szCs w:val="28"/>
          <w:highlight w:val="none"/>
        </w:rPr>
        <w:t xml:space="preserve">．采购代理机构</w:t>
      </w:r>
      <w:r/>
    </w:p>
    <w:p>
      <w:pPr>
        <w:ind w:firstLine="560"/>
        <w:spacing w:line="500" w:lineRule="exact"/>
        <w:rPr>
          <w:rFonts w:hint="default" w:ascii="Times New Roman" w:hAnsi="Times New Roman" w:eastAsia="方正仿宋_GBK"/>
          <w:color w:val="auto"/>
          <w:sz w:val="28"/>
          <w:szCs w:val="28"/>
          <w:highlight w:val="none"/>
          <w:lang w:val="en-US" w:eastAsia="zh-CN"/>
        </w:rPr>
      </w:pPr>
      <w:r>
        <w:rPr>
          <w:rFonts w:hint="eastAsia" w:ascii="Times New Roman" w:hAnsi="Times New Roman" w:eastAsia="方正仿宋_GBK"/>
          <w:color w:val="auto"/>
          <w:sz w:val="28"/>
          <w:szCs w:val="28"/>
          <w:highlight w:val="none"/>
        </w:rPr>
        <w:t xml:space="preserve">名  称：</w:t>
      </w:r>
      <w:r>
        <w:rPr>
          <w:rFonts w:hint="eastAsia" w:ascii="Times New Roman" w:hAnsi="Times New Roman" w:eastAsia="方正仿宋_GBK"/>
          <w:color w:val="auto"/>
          <w:sz w:val="28"/>
          <w:szCs w:val="28"/>
          <w:highlight w:val="none"/>
          <w:lang w:val="en-US" w:eastAsia="zh-CN"/>
        </w:rPr>
        <w:t xml:space="preserve">上海碧凌工程咨询有限公司</w:t>
      </w:r>
      <w:r/>
    </w:p>
    <w:p>
      <w:pPr>
        <w:ind w:firstLine="560"/>
        <w:spacing w:line="500" w:lineRule="exact"/>
        <w:rPr>
          <w:rFonts w:hint="default" w:ascii="Times New Roman" w:hAnsi="Times New Roman" w:eastAsia="方正仿宋_GBK"/>
          <w:color w:val="auto"/>
          <w:sz w:val="28"/>
          <w:szCs w:val="28"/>
          <w:highlight w:val="none"/>
          <w:lang w:val="en-US" w:eastAsia="zh-CN"/>
        </w:rPr>
      </w:pPr>
      <w:r>
        <w:rPr>
          <w:rFonts w:hint="eastAsia" w:ascii="Times New Roman" w:hAnsi="Times New Roman" w:eastAsia="方正仿宋_GBK"/>
          <w:color w:val="auto"/>
          <w:sz w:val="28"/>
          <w:szCs w:val="28"/>
          <w:highlight w:val="none"/>
        </w:rPr>
        <w:t xml:space="preserve">地  址：</w:t>
      </w:r>
      <w:r>
        <w:rPr>
          <w:rFonts w:hint="eastAsia" w:ascii="Times New Roman" w:hAnsi="Times New Roman" w:eastAsia="方正仿宋_GBK"/>
          <w:color w:val="auto"/>
          <w:sz w:val="28"/>
          <w:szCs w:val="28"/>
          <w:highlight w:val="none"/>
          <w:lang w:val="en-US" w:eastAsia="zh-CN"/>
        </w:rPr>
        <w:t xml:space="preserve">启东市南苑西路国动产业园18号501</w:t>
      </w:r>
      <w:r/>
    </w:p>
    <w:p>
      <w:pPr>
        <w:ind w:firstLine="560"/>
        <w:spacing w:line="500" w:lineRule="exact"/>
        <w:rPr>
          <w:rFonts w:hint="eastAsia" w:ascii="Times New Roman" w:hAnsi="Times New Roman" w:eastAsia="方正仿宋_GBK"/>
          <w:color w:val="auto"/>
          <w:sz w:val="28"/>
          <w:szCs w:val="28"/>
          <w:highlight w:val="none"/>
          <w:lang w:eastAsia="zh-CN"/>
        </w:rPr>
      </w:pPr>
      <w:r>
        <w:rPr>
          <w:rFonts w:hint="eastAsia" w:ascii="Times New Roman" w:hAnsi="Times New Roman" w:eastAsia="方正仿宋_GBK"/>
          <w:color w:val="auto"/>
          <w:sz w:val="28"/>
          <w:szCs w:val="28"/>
          <w:highlight w:val="none"/>
        </w:rPr>
        <w:t xml:space="preserve">联系方式：</w:t>
      </w:r>
      <w:r>
        <w:rPr>
          <w:rFonts w:hint="eastAsia" w:ascii="Times New Roman" w:hAnsi="Times New Roman" w:eastAsia="方正仿宋_GBK"/>
          <w:color w:val="auto"/>
          <w:sz w:val="28"/>
          <w:szCs w:val="28"/>
          <w:highlight w:val="none"/>
          <w:lang w:eastAsia="zh-CN"/>
        </w:rPr>
        <w:t xml:space="preserve">18932203970</w:t>
      </w:r>
      <w:r/>
    </w:p>
    <w:p>
      <w:pPr>
        <w:ind w:firstLine="560"/>
        <w:spacing w:line="500" w:lineRule="exact"/>
        <w:rPr>
          <w:rFonts w:eastAsia="方正仿宋_GBK"/>
          <w:color w:val="auto"/>
          <w:sz w:val="28"/>
          <w:szCs w:val="28"/>
          <w:highlight w:val="none"/>
        </w:rPr>
      </w:pPr>
      <w:r>
        <w:rPr>
          <w:rFonts w:ascii="Times New Roman" w:hAnsi="Times New Roman" w:eastAsia="方正仿宋_GBK"/>
          <w:color w:val="auto"/>
          <w:sz w:val="28"/>
          <w:szCs w:val="28"/>
          <w:highlight w:val="none"/>
        </w:rPr>
        <w:t xml:space="preserve">3</w:t>
      </w:r>
      <w:r>
        <w:rPr>
          <w:rFonts w:hint="eastAsia" w:ascii="Times New Roman" w:hAnsi="Times New Roman" w:eastAsia="方正仿宋_GBK"/>
          <w:color w:val="auto"/>
          <w:sz w:val="28"/>
          <w:szCs w:val="28"/>
          <w:highlight w:val="none"/>
        </w:rPr>
        <w:t xml:space="preserve">．</w:t>
      </w:r>
      <w:r>
        <w:rPr>
          <w:rFonts w:hint="eastAsia" w:eastAsia="方正仿宋_GBK"/>
          <w:color w:val="auto"/>
          <w:sz w:val="28"/>
          <w:szCs w:val="28"/>
          <w:highlight w:val="none"/>
        </w:rPr>
        <w:t xml:space="preserve">软件技术支持</w:t>
      </w:r>
      <w:r/>
    </w:p>
    <w:p>
      <w:pPr>
        <w:ind w:firstLine="560"/>
        <w:spacing w:line="500" w:lineRule="exact"/>
        <w:rPr>
          <w:rFonts w:eastAsia="方正仿宋_GBK"/>
          <w:color w:val="auto"/>
          <w:sz w:val="28"/>
          <w:szCs w:val="28"/>
          <w:highlight w:val="none"/>
        </w:rPr>
      </w:pPr>
      <w:r>
        <w:rPr>
          <w:rFonts w:ascii="Times New Roman" w:hAnsi="Times New Roman" w:eastAsia="方正仿宋_GBK"/>
          <w:color w:val="auto"/>
          <w:sz w:val="28"/>
          <w:szCs w:val="28"/>
          <w:highlight w:val="none"/>
        </w:rPr>
        <w:t xml:space="preserve">交易系统软件维护人员：</w:t>
      </w:r>
      <w:r>
        <w:rPr>
          <w:rFonts w:hint="eastAsia" w:ascii="Times New Roman" w:hAnsi="Times New Roman" w:eastAsia="方正仿宋_GBK"/>
          <w:color w:val="auto"/>
          <w:sz w:val="28"/>
          <w:szCs w:val="28"/>
          <w:highlight w:val="none"/>
        </w:rPr>
        <w:t xml:space="preserve">0519-86722801、0519-86722806</w:t>
      </w:r>
      <w:r/>
    </w:p>
    <w:p>
      <w:pPr>
        <w:spacing w:line="500" w:lineRule="exact"/>
        <w:rPr>
          <w:rFonts w:eastAsia="方正仿宋_GBK"/>
          <w:b/>
          <w:color w:val="auto"/>
          <w:sz w:val="28"/>
          <w:szCs w:val="28"/>
          <w:highlight w:val="none"/>
        </w:rPr>
      </w:pPr>
      <w:r>
        <w:rPr>
          <w:rFonts w:eastAsia="方正仿宋_GBK"/>
          <w:b/>
          <w:color w:val="auto"/>
          <w:sz w:val="28"/>
          <w:szCs w:val="28"/>
          <w:highlight w:val="none"/>
        </w:rPr>
      </w:r>
      <w:r/>
    </w:p>
    <w:p>
      <w:pPr>
        <w:spacing w:line="500" w:lineRule="exact"/>
        <w:rPr>
          <w:b/>
          <w:color w:val="auto"/>
          <w:sz w:val="28"/>
          <w:szCs w:val="28"/>
          <w:highlight w:val="none"/>
        </w:rPr>
      </w:pPr>
      <w:r>
        <w:rPr>
          <w:b/>
          <w:color w:val="auto"/>
          <w:sz w:val="28"/>
          <w:szCs w:val="28"/>
          <w:highlight w:val="none"/>
        </w:rPr>
      </w:r>
      <w:r/>
    </w:p>
    <w:p>
      <w:pPr>
        <w:jc w:val="center"/>
        <w:spacing w:line="500" w:lineRule="exact"/>
        <w:rPr>
          <w:rFonts w:eastAsia="方正小标宋_GBK"/>
          <w:bCs/>
          <w:color w:val="auto"/>
          <w:sz w:val="36"/>
          <w:szCs w:val="36"/>
          <w:highlight w:val="none"/>
        </w:rPr>
        <w:outlineLvl w:val="0"/>
      </w:pPr>
      <w:r>
        <w:rPr>
          <w:rFonts w:eastAsia="方正小标宋_GBK"/>
          <w:bCs/>
          <w:color w:val="auto"/>
          <w:sz w:val="36"/>
          <w:szCs w:val="36"/>
          <w:highlight w:val="none"/>
        </w:rPr>
        <w:br w:type="page" w:clear="all"/>
      </w:r>
      <w:r>
        <w:rPr>
          <w:rFonts w:eastAsia="方正小标宋_GBK"/>
          <w:bCs/>
          <w:color w:val="auto"/>
          <w:sz w:val="36"/>
          <w:szCs w:val="36"/>
          <w:highlight w:val="none"/>
        </w:rPr>
        <w:t xml:space="preserve">第二部分  投标须知</w:t>
      </w:r>
      <w:r/>
    </w:p>
    <w:p>
      <w:pPr>
        <w:ind w:firstLine="560"/>
        <w:spacing w:line="500" w:lineRule="exact"/>
        <w:rPr>
          <w:rFonts w:ascii="方正黑体_GBK" w:hAnsi="方正黑体_GBK" w:eastAsia="方正黑体_GBK" w:cs="方正黑体_GBK"/>
          <w:bCs/>
          <w:color w:val="auto"/>
          <w:sz w:val="28"/>
          <w:szCs w:val="28"/>
          <w:highlight w:val="none"/>
        </w:rPr>
      </w:pPr>
      <w:r/>
      <w:bookmarkStart w:id="5" w:name="_Toc20823275"/>
      <w:r/>
      <w:bookmarkStart w:id="6" w:name="_Toc16938519"/>
      <w:r/>
      <w:bookmarkStart w:id="7" w:name="_Toc120614214"/>
      <w:r/>
      <w:bookmarkStart w:id="8" w:name="_Toc513029203"/>
      <w:r>
        <w:rPr>
          <w:rFonts w:ascii="方正黑体_GBK" w:hAnsi="方正黑体_GBK" w:eastAsia="方正黑体_GBK" w:cs="方正黑体_GBK"/>
          <w:bCs/>
          <w:color w:val="auto"/>
          <w:sz w:val="28"/>
          <w:szCs w:val="28"/>
          <w:highlight w:val="none"/>
        </w:rPr>
        <w:t xml:space="preserve">一、总则</w:t>
      </w:r>
      <w:bookmarkEnd w:id="5"/>
      <w:r/>
      <w:bookmarkEnd w:id="6"/>
      <w:r/>
      <w:bookmarkEnd w:id="7"/>
      <w:r/>
      <w:bookmarkEnd w:id="8"/>
      <w:r/>
      <w:r/>
    </w:p>
    <w:p>
      <w:pPr>
        <w:pStyle w:val="892"/>
        <w:ind w:firstLine="560"/>
        <w:jc w:val="both"/>
        <w:spacing w:line="500" w:lineRule="exact"/>
        <w:rPr>
          <w:rFonts w:eastAsia="方正仿宋_GBK"/>
          <w:b/>
          <w:bCs/>
          <w:color w:val="auto"/>
          <w:sz w:val="28"/>
          <w:szCs w:val="28"/>
          <w:highlight w:val="none"/>
        </w:rPr>
      </w:pPr>
      <w:r/>
      <w:bookmarkStart w:id="9" w:name="_Hlt16619475"/>
      <w:r/>
      <w:bookmarkEnd w:id="9"/>
      <w:r/>
      <w:bookmarkStart w:id="10" w:name="_Toc458694821"/>
      <w:r/>
      <w:bookmarkStart w:id="11" w:name="_Toc513029204"/>
      <w:r/>
      <w:bookmarkStart w:id="12" w:name="_Toc16938520"/>
      <w:r/>
      <w:bookmarkStart w:id="13" w:name="_Toc20823276"/>
      <w:r>
        <w:rPr>
          <w:rFonts w:eastAsia="方正仿宋_GBK"/>
          <w:color w:val="auto"/>
          <w:sz w:val="28"/>
          <w:szCs w:val="28"/>
          <w:highlight w:val="none"/>
        </w:rPr>
        <w:t xml:space="preserve">1</w:t>
      </w:r>
      <w:bookmarkEnd w:id="10"/>
      <w:r>
        <w:rPr>
          <w:rFonts w:eastAsia="方正仿宋_GBK"/>
          <w:color w:val="auto"/>
          <w:sz w:val="28"/>
          <w:szCs w:val="28"/>
          <w:highlight w:val="none"/>
        </w:rPr>
        <w:t xml:space="preserve">.招标方式</w:t>
      </w:r>
      <w:bookmarkEnd w:id="11"/>
      <w:r/>
      <w:bookmarkEnd w:id="12"/>
      <w:r/>
      <w:bookmarkEnd w:id="13"/>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1.1本次招标采取公开招标方式，本招标文件仅适用于招标公告中所述项目。</w:t>
      </w:r>
      <w:r/>
    </w:p>
    <w:p>
      <w:pPr>
        <w:pStyle w:val="892"/>
        <w:ind w:firstLine="560"/>
        <w:jc w:val="both"/>
        <w:spacing w:line="500" w:lineRule="exact"/>
        <w:rPr>
          <w:rFonts w:eastAsia="方正仿宋_GBK"/>
          <w:color w:val="auto"/>
          <w:sz w:val="28"/>
          <w:szCs w:val="28"/>
          <w:highlight w:val="none"/>
        </w:rPr>
      </w:pPr>
      <w:r/>
      <w:bookmarkStart w:id="14" w:name="_Toc513029205"/>
      <w:r/>
      <w:bookmarkStart w:id="15" w:name="_Toc16938521"/>
      <w:r/>
      <w:bookmarkStart w:id="16" w:name="_Toc20823277"/>
      <w:r>
        <w:rPr>
          <w:rFonts w:eastAsia="方正仿宋_GBK"/>
          <w:color w:val="auto"/>
          <w:sz w:val="28"/>
          <w:szCs w:val="28"/>
          <w:highlight w:val="none"/>
        </w:rPr>
        <w:t xml:space="preserve">2.合格的投标人</w:t>
      </w:r>
      <w:bookmarkEnd w:id="14"/>
      <w:r/>
      <w:bookmarkEnd w:id="15"/>
      <w:r/>
      <w:bookmarkEnd w:id="16"/>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2.1满足招标公告中供应商的资格要求的规定。</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2.2满足本文件实质性条款的规定。</w:t>
      </w:r>
      <w:r/>
    </w:p>
    <w:p>
      <w:pPr>
        <w:pStyle w:val="892"/>
        <w:ind w:firstLine="560"/>
        <w:jc w:val="both"/>
        <w:spacing w:line="500" w:lineRule="exact"/>
        <w:rPr>
          <w:rFonts w:eastAsia="方正仿宋_GBK"/>
          <w:color w:val="auto"/>
          <w:sz w:val="28"/>
          <w:szCs w:val="28"/>
          <w:highlight w:val="none"/>
        </w:rPr>
      </w:pPr>
      <w:r/>
      <w:bookmarkStart w:id="17" w:name="_Toc16938522"/>
      <w:r/>
      <w:bookmarkStart w:id="18" w:name="_Toc20823278"/>
      <w:r/>
      <w:bookmarkStart w:id="19" w:name="_Toc513029206"/>
      <w:r>
        <w:rPr>
          <w:rFonts w:eastAsia="方正仿宋_GBK"/>
          <w:color w:val="auto"/>
          <w:sz w:val="28"/>
          <w:szCs w:val="28"/>
          <w:highlight w:val="none"/>
        </w:rPr>
        <w:t xml:space="preserve">3.适用法律</w:t>
      </w:r>
      <w:bookmarkEnd w:id="17"/>
      <w:r/>
      <w:bookmarkEnd w:id="18"/>
      <w:r/>
      <w:bookmarkEnd w:id="19"/>
      <w:r/>
      <w:r/>
    </w:p>
    <w:p>
      <w:pPr>
        <w:ind w:firstLine="490"/>
        <w:spacing w:line="500" w:lineRule="exact"/>
        <w:rPr>
          <w:rFonts w:eastAsia="方正仿宋_GBK"/>
          <w:color w:val="auto"/>
          <w:sz w:val="28"/>
          <w:szCs w:val="28"/>
          <w:highlight w:val="none"/>
        </w:rPr>
      </w:pPr>
      <w:r>
        <w:rPr>
          <w:rFonts w:eastAsia="方正仿宋_GBK"/>
          <w:color w:val="auto"/>
          <w:sz w:val="28"/>
          <w:szCs w:val="28"/>
          <w:highlight w:val="none"/>
        </w:rPr>
        <w:t xml:space="preserve">3.1本次招标及由此产生的合同受中华人民共和国有关的法律法规制约和保护。</w:t>
      </w:r>
      <w:r/>
    </w:p>
    <w:p>
      <w:pPr>
        <w:pStyle w:val="892"/>
        <w:ind w:firstLine="560"/>
        <w:jc w:val="both"/>
        <w:spacing w:line="500" w:lineRule="exact"/>
        <w:rPr>
          <w:rFonts w:eastAsia="方正仿宋_GBK"/>
          <w:color w:val="auto"/>
          <w:sz w:val="28"/>
          <w:szCs w:val="28"/>
          <w:highlight w:val="none"/>
        </w:rPr>
      </w:pPr>
      <w:r/>
      <w:bookmarkStart w:id="20" w:name="_Toc16938523"/>
      <w:r/>
      <w:bookmarkStart w:id="21" w:name="_Toc462564067"/>
      <w:r/>
      <w:bookmarkStart w:id="22" w:name="_Toc20823279"/>
      <w:r/>
      <w:bookmarkStart w:id="23" w:name="_Toc513029207"/>
      <w:r>
        <w:rPr>
          <w:rFonts w:eastAsia="方正仿宋_GBK"/>
          <w:color w:val="auto"/>
          <w:sz w:val="28"/>
          <w:szCs w:val="28"/>
          <w:highlight w:val="none"/>
        </w:rPr>
        <w:t xml:space="preserve">4.投标费用</w:t>
      </w:r>
      <w:bookmarkEnd w:id="20"/>
      <w:r/>
      <w:bookmarkEnd w:id="21"/>
      <w:r/>
      <w:bookmarkEnd w:id="22"/>
      <w:r/>
      <w:bookmarkEnd w:id="23"/>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4.1</w:t>
      </w:r>
      <w:r>
        <w:rPr>
          <w:rFonts w:eastAsia="方正仿宋_GBK"/>
          <w:color w:val="auto"/>
          <w:sz w:val="28"/>
          <w:szCs w:val="28"/>
          <w:highlight w:val="none"/>
        </w:rPr>
        <w:t xml:space="preserve">投标人应自行承担所有与参加投标有关的费用，无论投标过程中的做法和结果如何，在任何情况下均无义务和责任承担这些费用。</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4.2本次招标</w:t>
      </w:r>
      <w:r>
        <w:rPr>
          <w:rFonts w:hint="eastAsia" w:eastAsia="方正仿宋_GBK"/>
          <w:color w:val="auto"/>
          <w:sz w:val="28"/>
          <w:szCs w:val="28"/>
          <w:highlight w:val="none"/>
          <w:lang w:val="en-US" w:eastAsia="zh-CN"/>
        </w:rPr>
        <w:t xml:space="preserve">代理机构</w:t>
      </w:r>
      <w:r>
        <w:rPr>
          <w:rFonts w:eastAsia="方正仿宋_GBK"/>
          <w:color w:val="auto"/>
          <w:sz w:val="28"/>
          <w:szCs w:val="28"/>
          <w:highlight w:val="none"/>
        </w:rPr>
        <w:t xml:space="preserve">和采购人不收取标书工本费与中标服务费。</w:t>
      </w:r>
      <w:r/>
    </w:p>
    <w:p>
      <w:pPr>
        <w:pStyle w:val="892"/>
        <w:ind w:firstLine="560"/>
        <w:jc w:val="both"/>
        <w:spacing w:line="500" w:lineRule="exact"/>
        <w:rPr>
          <w:rFonts w:eastAsia="方正仿宋_GBK"/>
          <w:color w:val="auto"/>
          <w:sz w:val="28"/>
          <w:szCs w:val="28"/>
          <w:highlight w:val="none"/>
        </w:rPr>
      </w:pPr>
      <w:r>
        <w:rPr>
          <w:rFonts w:eastAsia="方正仿宋_GBK"/>
          <w:color w:val="auto"/>
          <w:sz w:val="28"/>
          <w:szCs w:val="28"/>
          <w:highlight w:val="none"/>
        </w:rPr>
        <w:t xml:space="preserve">5.招标文件的约束力</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5.1</w:t>
      </w:r>
      <w:r>
        <w:rPr>
          <w:rFonts w:eastAsia="方正仿宋_GBK"/>
          <w:color w:val="auto"/>
          <w:sz w:val="28"/>
          <w:szCs w:val="28"/>
          <w:highlight w:val="none"/>
        </w:rPr>
        <w:t xml:space="preserve">投标人一旦参加本项目采购活动，即被认为接受了本招标文件的规定和约束。</w:t>
      </w:r>
      <w:r/>
    </w:p>
    <w:p>
      <w:pPr>
        <w:pStyle w:val="892"/>
        <w:ind w:firstLine="560"/>
        <w:jc w:val="both"/>
        <w:spacing w:line="500" w:lineRule="exact"/>
        <w:rPr>
          <w:rFonts w:eastAsia="方正仿宋_GBK"/>
          <w:color w:val="auto"/>
          <w:sz w:val="28"/>
          <w:szCs w:val="28"/>
          <w:highlight w:val="none"/>
        </w:rPr>
      </w:pPr>
      <w:r>
        <w:rPr>
          <w:rFonts w:eastAsia="方正仿宋_GBK"/>
          <w:color w:val="auto"/>
          <w:sz w:val="28"/>
          <w:szCs w:val="28"/>
          <w:highlight w:val="none"/>
        </w:rPr>
        <w:t xml:space="preserve">6.招标文件的解释</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6.1</w:t>
      </w:r>
      <w:r>
        <w:rPr>
          <w:rFonts w:eastAsia="方正仿宋_GBK"/>
          <w:color w:val="auto"/>
          <w:sz w:val="28"/>
          <w:szCs w:val="28"/>
          <w:highlight w:val="none"/>
        </w:rPr>
        <w:t xml:space="preserve">招标文件需求部分（供应商资格要求、项目需求、商务技术评分标准）由采购人解释，其他部分由</w:t>
      </w:r>
      <w:r>
        <w:rPr>
          <w:rFonts w:hint="eastAsia" w:eastAsia="方正仿宋_GBK"/>
          <w:color w:val="auto"/>
          <w:sz w:val="28"/>
          <w:szCs w:val="28"/>
          <w:highlight w:val="none"/>
          <w:lang w:val="en-US" w:eastAsia="zh-CN"/>
        </w:rPr>
        <w:t xml:space="preserve">代理机构</w:t>
      </w:r>
      <w:r>
        <w:rPr>
          <w:rFonts w:eastAsia="方正仿宋_GBK"/>
          <w:color w:val="auto"/>
          <w:sz w:val="28"/>
          <w:szCs w:val="28"/>
          <w:highlight w:val="none"/>
        </w:rPr>
        <w:t xml:space="preserve">解释。</w:t>
      </w:r>
      <w:r/>
    </w:p>
    <w:p>
      <w:pPr>
        <w:ind w:firstLine="560"/>
        <w:spacing w:line="500" w:lineRule="exact"/>
        <w:rPr>
          <w:rFonts w:ascii="方正黑体_GBK" w:hAnsi="方正黑体_GBK" w:eastAsia="方正黑体_GBK" w:cs="方正黑体_GBK"/>
          <w:bCs/>
          <w:color w:val="auto"/>
          <w:sz w:val="28"/>
          <w:szCs w:val="28"/>
          <w:highlight w:val="none"/>
        </w:rPr>
      </w:pPr>
      <w:r/>
      <w:bookmarkStart w:id="24" w:name="_Toc120614215"/>
      <w:r/>
      <w:bookmarkStart w:id="25" w:name="_Toc16938525"/>
      <w:r/>
      <w:bookmarkStart w:id="26" w:name="_Toc20823281"/>
      <w:r/>
      <w:bookmarkStart w:id="27" w:name="_Toc513029209"/>
      <w:r>
        <w:rPr>
          <w:rFonts w:ascii="方正黑体_GBK" w:hAnsi="方正黑体_GBK" w:eastAsia="方正黑体_GBK" w:cs="方正黑体_GBK"/>
          <w:bCs/>
          <w:color w:val="auto"/>
          <w:sz w:val="28"/>
          <w:szCs w:val="28"/>
          <w:highlight w:val="none"/>
        </w:rPr>
        <w:t xml:space="preserve">二、招标文件</w:t>
      </w:r>
      <w:bookmarkEnd w:id="24"/>
      <w:r/>
      <w:bookmarkEnd w:id="25"/>
      <w:r/>
      <w:bookmarkEnd w:id="26"/>
      <w:r/>
      <w:bookmarkEnd w:id="27"/>
      <w:r/>
      <w:r/>
    </w:p>
    <w:p>
      <w:pPr>
        <w:pStyle w:val="892"/>
        <w:ind w:firstLine="560"/>
        <w:jc w:val="both"/>
        <w:spacing w:line="500" w:lineRule="exact"/>
        <w:rPr>
          <w:rFonts w:eastAsia="方正仿宋_GBK"/>
          <w:color w:val="auto"/>
          <w:sz w:val="28"/>
          <w:szCs w:val="28"/>
          <w:highlight w:val="none"/>
        </w:rPr>
      </w:pPr>
      <w:r/>
      <w:bookmarkStart w:id="28" w:name="_Toc513029210"/>
      <w:r/>
      <w:bookmarkStart w:id="29" w:name="_Toc20823282"/>
      <w:r/>
      <w:bookmarkStart w:id="30" w:name="_Toc16938526"/>
      <w:r>
        <w:rPr>
          <w:rFonts w:eastAsia="方正仿宋_GBK"/>
          <w:color w:val="auto"/>
          <w:sz w:val="28"/>
          <w:szCs w:val="28"/>
          <w:highlight w:val="none"/>
        </w:rPr>
        <w:t xml:space="preserve">1.招标文件构成</w:t>
      </w:r>
      <w:bookmarkEnd w:id="28"/>
      <w:r/>
      <w:bookmarkEnd w:id="29"/>
      <w:r/>
      <w:bookmarkEnd w:id="30"/>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1.1</w:t>
      </w:r>
      <w:r>
        <w:rPr>
          <w:rFonts w:eastAsia="方正仿宋_GBK"/>
          <w:color w:val="auto"/>
          <w:sz w:val="28"/>
          <w:szCs w:val="28"/>
          <w:highlight w:val="none"/>
        </w:rPr>
        <w:t xml:space="preserve">招标文件由以下部分组成：</w:t>
      </w:r>
      <w:r/>
    </w:p>
    <w:p>
      <w:pPr>
        <w:ind w:firstLine="420"/>
        <w:spacing w:line="500" w:lineRule="exact"/>
        <w:rPr>
          <w:rFonts w:eastAsia="方正仿宋_GBK"/>
          <w:color w:val="auto"/>
          <w:sz w:val="28"/>
          <w:szCs w:val="28"/>
          <w:highlight w:val="none"/>
        </w:rPr>
      </w:pPr>
      <w:r>
        <w:rPr>
          <w:rFonts w:eastAsia="方正仿宋_GBK"/>
          <w:color w:val="auto"/>
          <w:sz w:val="28"/>
          <w:szCs w:val="28"/>
          <w:highlight w:val="none"/>
        </w:rPr>
        <w:t xml:space="preserve">（1）投标邀请</w:t>
      </w:r>
      <w:r/>
    </w:p>
    <w:p>
      <w:pPr>
        <w:ind w:firstLine="420"/>
        <w:spacing w:line="500" w:lineRule="exact"/>
        <w:rPr>
          <w:rFonts w:eastAsia="方正仿宋_GBK"/>
          <w:color w:val="auto"/>
          <w:sz w:val="28"/>
          <w:szCs w:val="28"/>
          <w:highlight w:val="none"/>
        </w:rPr>
      </w:pPr>
      <w:r>
        <w:rPr>
          <w:rFonts w:eastAsia="方正仿宋_GBK"/>
          <w:color w:val="auto"/>
          <w:sz w:val="28"/>
          <w:szCs w:val="28"/>
          <w:highlight w:val="none"/>
        </w:rPr>
        <w:t xml:space="preserve">（2）投标须知</w:t>
      </w:r>
      <w:r/>
    </w:p>
    <w:p>
      <w:pPr>
        <w:ind w:firstLine="420"/>
        <w:spacing w:line="500" w:lineRule="exact"/>
        <w:rPr>
          <w:rFonts w:eastAsia="方正仿宋_GBK"/>
          <w:color w:val="auto"/>
          <w:sz w:val="28"/>
          <w:szCs w:val="28"/>
          <w:highlight w:val="none"/>
        </w:rPr>
      </w:pPr>
      <w:r>
        <w:rPr>
          <w:rFonts w:eastAsia="方正仿宋_GBK"/>
          <w:color w:val="auto"/>
          <w:sz w:val="28"/>
          <w:szCs w:val="28"/>
          <w:highlight w:val="none"/>
        </w:rPr>
        <w:t xml:space="preserve">（3）项目需求</w:t>
      </w:r>
      <w:r/>
    </w:p>
    <w:p>
      <w:pPr>
        <w:ind w:firstLine="420"/>
        <w:spacing w:line="500" w:lineRule="exact"/>
        <w:rPr>
          <w:rFonts w:eastAsia="方正仿宋_GBK"/>
          <w:color w:val="auto"/>
          <w:sz w:val="28"/>
          <w:szCs w:val="28"/>
          <w:highlight w:val="none"/>
        </w:rPr>
      </w:pPr>
      <w:r>
        <w:rPr>
          <w:rFonts w:eastAsia="方正仿宋_GBK"/>
          <w:color w:val="auto"/>
          <w:sz w:val="28"/>
          <w:szCs w:val="28"/>
          <w:highlight w:val="none"/>
        </w:rPr>
        <w:t xml:space="preserve">（4）开标和评标</w:t>
      </w:r>
      <w:r/>
    </w:p>
    <w:p>
      <w:pPr>
        <w:ind w:firstLine="420"/>
        <w:spacing w:line="500" w:lineRule="exact"/>
        <w:rPr>
          <w:rFonts w:eastAsia="方正仿宋_GBK"/>
          <w:color w:val="auto"/>
          <w:sz w:val="28"/>
          <w:szCs w:val="28"/>
          <w:highlight w:val="none"/>
        </w:rPr>
      </w:pPr>
      <w:r>
        <w:rPr>
          <w:rFonts w:eastAsia="方正仿宋_GBK"/>
          <w:color w:val="auto"/>
          <w:sz w:val="28"/>
          <w:szCs w:val="28"/>
          <w:highlight w:val="none"/>
        </w:rPr>
        <w:t xml:space="preserve">（5）投标文件格式</w:t>
      </w:r>
      <w:r/>
    </w:p>
    <w:p>
      <w:pPr>
        <w:ind w:firstLine="420"/>
        <w:spacing w:line="500" w:lineRule="exact"/>
        <w:rPr>
          <w:rFonts w:eastAsia="方正仿宋_GBK"/>
          <w:color w:val="auto"/>
          <w:sz w:val="28"/>
          <w:szCs w:val="28"/>
          <w:highlight w:val="none"/>
        </w:rPr>
      </w:pPr>
      <w:r>
        <w:rPr>
          <w:rFonts w:eastAsia="方正仿宋_GBK"/>
          <w:color w:val="auto"/>
          <w:sz w:val="28"/>
          <w:szCs w:val="28"/>
          <w:highlight w:val="none"/>
        </w:rPr>
        <w:t xml:space="preserve">（6）附件（如有）</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请仔细检查招标文件是否齐全，如有缺漏请立即与</w:t>
      </w:r>
      <w:r>
        <w:rPr>
          <w:rFonts w:hint="eastAsia" w:eastAsia="方正仿宋_GBK"/>
          <w:color w:val="auto"/>
          <w:sz w:val="28"/>
          <w:szCs w:val="28"/>
          <w:highlight w:val="none"/>
          <w:lang w:val="en-US" w:eastAsia="zh-CN"/>
        </w:rPr>
        <w:t xml:space="preserve">代理机构</w:t>
      </w:r>
      <w:r>
        <w:rPr>
          <w:rFonts w:eastAsia="方正仿宋_GBK"/>
          <w:color w:val="auto"/>
          <w:sz w:val="28"/>
          <w:szCs w:val="28"/>
          <w:highlight w:val="none"/>
        </w:rPr>
        <w:t xml:space="preserve">联系解决。</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1.2</w:t>
      </w:r>
      <w:r>
        <w:rPr>
          <w:rFonts w:eastAsia="方正仿宋_GBK"/>
          <w:color w:val="auto"/>
          <w:sz w:val="28"/>
          <w:szCs w:val="28"/>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2"/>
        <w:ind w:firstLine="560"/>
        <w:jc w:val="both"/>
        <w:spacing w:line="500" w:lineRule="exact"/>
        <w:rPr>
          <w:rFonts w:eastAsia="方正仿宋_GBK"/>
          <w:color w:val="auto"/>
          <w:sz w:val="28"/>
          <w:szCs w:val="28"/>
          <w:highlight w:val="none"/>
        </w:rPr>
      </w:pPr>
      <w:r/>
      <w:bookmarkStart w:id="31" w:name="_Toc16938527"/>
      <w:r/>
      <w:bookmarkStart w:id="32" w:name="_Toc513029211"/>
      <w:r/>
      <w:bookmarkStart w:id="33" w:name="_Toc462564070"/>
      <w:r/>
      <w:bookmarkStart w:id="34" w:name="_Toc20823283"/>
      <w:r>
        <w:rPr>
          <w:rFonts w:eastAsia="方正仿宋_GBK"/>
          <w:color w:val="auto"/>
          <w:sz w:val="28"/>
          <w:szCs w:val="28"/>
          <w:highlight w:val="none"/>
        </w:rPr>
        <w:t xml:space="preserve">2.招标文件的澄清</w:t>
      </w:r>
      <w:bookmarkEnd w:id="31"/>
      <w:r/>
      <w:bookmarkEnd w:id="32"/>
      <w:r/>
      <w:bookmarkEnd w:id="33"/>
      <w:r/>
      <w:bookmarkEnd w:id="34"/>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2.1</w:t>
      </w:r>
      <w:r>
        <w:rPr>
          <w:rFonts w:eastAsia="方正仿宋_GBK"/>
          <w:color w:val="auto"/>
          <w:sz w:val="28"/>
          <w:szCs w:val="28"/>
          <w:highlight w:val="none"/>
        </w:rPr>
        <w:t xml:space="preserve">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2.2采购人视情组织答疑会</w:t>
      </w:r>
      <w:r/>
    </w:p>
    <w:p>
      <w:pPr>
        <w:pStyle w:val="892"/>
        <w:ind w:firstLine="560"/>
        <w:jc w:val="both"/>
        <w:spacing w:line="500" w:lineRule="exact"/>
        <w:rPr>
          <w:rFonts w:eastAsia="方正仿宋_GBK"/>
          <w:color w:val="auto"/>
          <w:sz w:val="28"/>
          <w:szCs w:val="28"/>
          <w:highlight w:val="none"/>
        </w:rPr>
      </w:pPr>
      <w:r/>
      <w:bookmarkStart w:id="35" w:name="_Toc462564071"/>
      <w:r/>
      <w:bookmarkStart w:id="36" w:name="_Toc20823284"/>
      <w:r/>
      <w:bookmarkStart w:id="37" w:name="_Toc513029212"/>
      <w:r/>
      <w:bookmarkStart w:id="38" w:name="_Toc16938528"/>
      <w:r>
        <w:rPr>
          <w:rFonts w:eastAsia="方正仿宋_GBK"/>
          <w:color w:val="auto"/>
          <w:sz w:val="28"/>
          <w:szCs w:val="28"/>
          <w:highlight w:val="none"/>
        </w:rPr>
        <w:t xml:space="preserve">3.招标文件的修改</w:t>
      </w:r>
      <w:bookmarkEnd w:id="35"/>
      <w:r/>
      <w:bookmarkEnd w:id="36"/>
      <w:r/>
      <w:bookmarkEnd w:id="37"/>
      <w:r/>
      <w:bookmarkEnd w:id="38"/>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3.1</w:t>
      </w:r>
      <w:r>
        <w:rPr>
          <w:rFonts w:eastAsia="方正仿宋_GBK"/>
          <w:color w:val="auto"/>
          <w:sz w:val="28"/>
          <w:szCs w:val="28"/>
          <w:highlight w:val="none"/>
        </w:rPr>
        <w:t xml:space="preserve">在投标截止时间前，</w:t>
      </w:r>
      <w:r>
        <w:rPr>
          <w:rFonts w:hint="eastAsia" w:eastAsia="方正仿宋_GBK"/>
          <w:color w:val="auto"/>
          <w:sz w:val="28"/>
          <w:szCs w:val="28"/>
          <w:highlight w:val="none"/>
          <w:lang w:val="en-US" w:eastAsia="zh-CN"/>
        </w:rPr>
        <w:t xml:space="preserve">采购人</w:t>
      </w:r>
      <w:r>
        <w:rPr>
          <w:rFonts w:eastAsia="方正仿宋_GBK"/>
          <w:color w:val="auto"/>
          <w:sz w:val="28"/>
          <w:szCs w:val="28"/>
          <w:highlight w:val="none"/>
        </w:rPr>
        <w:t xml:space="preserve">可以对招标文件进行修改。</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3.2</w:t>
      </w:r>
      <w:r>
        <w:rPr>
          <w:rFonts w:hint="eastAsia" w:eastAsia="方正仿宋_GBK"/>
          <w:color w:val="auto"/>
          <w:sz w:val="28"/>
          <w:szCs w:val="28"/>
          <w:highlight w:val="none"/>
          <w:lang w:val="en-US" w:eastAsia="zh-CN"/>
        </w:rPr>
        <w:t xml:space="preserve">采购人</w:t>
      </w:r>
      <w:r>
        <w:rPr>
          <w:rFonts w:eastAsia="方正仿宋_GBK"/>
          <w:color w:val="auto"/>
          <w:sz w:val="28"/>
          <w:szCs w:val="28"/>
          <w:highlight w:val="none"/>
        </w:rPr>
        <w:t xml:space="preserve">有权按照法定的要求推迟投标截止日期和开标日期。</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3.3</w:t>
      </w:r>
      <w:r>
        <w:rPr>
          <w:rFonts w:eastAsia="方正仿宋_GBK"/>
          <w:color w:val="auto"/>
          <w:sz w:val="28"/>
          <w:szCs w:val="28"/>
          <w:highlight w:val="none"/>
        </w:rPr>
        <w:t xml:space="preserve">招标文件的修改将在江苏政府采购网公布，补充文件将作为招标文件的组成部分，并对投标人具有约束力。</w:t>
      </w:r>
      <w:r/>
    </w:p>
    <w:p>
      <w:pPr>
        <w:ind w:firstLine="560"/>
        <w:spacing w:line="500" w:lineRule="exact"/>
        <w:rPr>
          <w:rFonts w:ascii="方正黑体_GBK" w:hAnsi="方正黑体_GBK" w:eastAsia="方正黑体_GBK" w:cs="方正黑体_GBK"/>
          <w:bCs/>
          <w:color w:val="auto"/>
          <w:sz w:val="28"/>
          <w:szCs w:val="28"/>
          <w:highlight w:val="none"/>
        </w:rPr>
      </w:pPr>
      <w:r/>
      <w:bookmarkStart w:id="39" w:name="_Toc120614216"/>
      <w:r/>
      <w:bookmarkStart w:id="40" w:name="_Toc513029213"/>
      <w:r/>
      <w:bookmarkStart w:id="41" w:name="_Toc20823285"/>
      <w:r/>
      <w:bookmarkStart w:id="42" w:name="_Toc16938529"/>
      <w:r/>
      <w:bookmarkStart w:id="43" w:name="_Toc462564072"/>
      <w:r>
        <w:rPr>
          <w:rFonts w:ascii="方正黑体_GBK" w:hAnsi="方正黑体_GBK" w:eastAsia="方正黑体_GBK" w:cs="方正黑体_GBK"/>
          <w:bCs/>
          <w:color w:val="auto"/>
          <w:sz w:val="28"/>
          <w:szCs w:val="28"/>
          <w:highlight w:val="none"/>
        </w:rPr>
        <w:t xml:space="preserve">三、投标文件的编制</w:t>
      </w:r>
      <w:bookmarkEnd w:id="39"/>
      <w:r/>
      <w:bookmarkEnd w:id="40"/>
      <w:r/>
      <w:bookmarkEnd w:id="41"/>
      <w:r/>
      <w:bookmarkEnd w:id="42"/>
      <w:r/>
      <w:bookmarkEnd w:id="43"/>
      <w:r/>
      <w:r/>
    </w:p>
    <w:p>
      <w:pPr>
        <w:pStyle w:val="892"/>
        <w:ind w:firstLine="560"/>
        <w:jc w:val="both"/>
        <w:spacing w:line="500" w:lineRule="exact"/>
        <w:rPr>
          <w:rFonts w:eastAsia="方正仿宋_GBK"/>
          <w:color w:val="auto"/>
          <w:sz w:val="28"/>
          <w:szCs w:val="28"/>
          <w:highlight w:val="none"/>
        </w:rPr>
      </w:pPr>
      <w:r/>
      <w:bookmarkStart w:id="44" w:name="_Toc513029214"/>
      <w:r/>
      <w:bookmarkStart w:id="45" w:name="_Toc20823286"/>
      <w:r/>
      <w:bookmarkStart w:id="46" w:name="_Toc16938530"/>
      <w:r/>
      <w:bookmarkStart w:id="47" w:name="_Toc462564073"/>
      <w:r>
        <w:rPr>
          <w:rFonts w:eastAsia="方正仿宋_GBK"/>
          <w:color w:val="auto"/>
          <w:sz w:val="28"/>
          <w:szCs w:val="28"/>
          <w:highlight w:val="none"/>
        </w:rPr>
        <w:t xml:space="preserve">1.投标文件的语言及度量衡单位</w:t>
      </w:r>
      <w:bookmarkEnd w:id="44"/>
      <w:r/>
      <w:bookmarkEnd w:id="45"/>
      <w:r/>
      <w:bookmarkEnd w:id="46"/>
      <w:r/>
      <w:bookmarkEnd w:id="47"/>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1.1</w:t>
      </w:r>
      <w:r>
        <w:rPr>
          <w:rFonts w:eastAsia="方正仿宋_GBK"/>
          <w:color w:val="auto"/>
          <w:sz w:val="28"/>
          <w:szCs w:val="28"/>
          <w:highlight w:val="none"/>
        </w:rPr>
        <w:t xml:space="preserve">投标人提交的投标文件以及投标人与</w:t>
      </w:r>
      <w:r>
        <w:rPr>
          <w:rFonts w:hint="eastAsia" w:eastAsia="方正仿宋_GBK"/>
          <w:color w:val="auto"/>
          <w:sz w:val="28"/>
          <w:szCs w:val="28"/>
          <w:highlight w:val="none"/>
          <w:lang w:val="en-US" w:eastAsia="zh-CN"/>
        </w:rPr>
        <w:t xml:space="preserve">代理机构</w:t>
      </w:r>
      <w:r>
        <w:rPr>
          <w:rFonts w:eastAsia="方正仿宋_GBK"/>
          <w:color w:val="auto"/>
          <w:sz w:val="28"/>
          <w:szCs w:val="28"/>
          <w:highlight w:val="none"/>
        </w:rPr>
        <w:t xml:space="preserve">就有关投标的所有来往通知、函件和文件均应使用</w:t>
      </w:r>
      <w:r>
        <w:rPr>
          <w:rFonts w:eastAsia="方正仿宋_GBK"/>
          <w:bCs/>
          <w:color w:val="auto"/>
          <w:sz w:val="28"/>
          <w:szCs w:val="28"/>
          <w:highlight w:val="none"/>
        </w:rPr>
        <w:t xml:space="preserve">简体中文</w:t>
      </w:r>
      <w:r>
        <w:rPr>
          <w:rFonts w:eastAsia="方正仿宋_GBK"/>
          <w:color w:val="auto"/>
          <w:sz w:val="28"/>
          <w:szCs w:val="28"/>
          <w:highlight w:val="none"/>
        </w:rPr>
        <w:t xml:space="preserve">。</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1.2</w:t>
      </w:r>
      <w:r>
        <w:rPr>
          <w:rFonts w:eastAsia="方正仿宋_GBK"/>
          <w:color w:val="auto"/>
          <w:sz w:val="28"/>
          <w:szCs w:val="28"/>
          <w:highlight w:val="none"/>
        </w:rPr>
        <w:t xml:space="preserve">除技术性能另有规定外，投标文件所使用的度量衡单位，均须采用国家法定计量单位。</w:t>
      </w:r>
      <w:r/>
    </w:p>
    <w:p>
      <w:pPr>
        <w:pStyle w:val="892"/>
        <w:ind w:firstLine="560"/>
        <w:jc w:val="both"/>
        <w:spacing w:line="500" w:lineRule="exact"/>
        <w:rPr>
          <w:rFonts w:eastAsia="方正仿宋_GBK"/>
          <w:color w:val="auto"/>
          <w:sz w:val="28"/>
          <w:szCs w:val="28"/>
          <w:highlight w:val="none"/>
        </w:rPr>
      </w:pPr>
      <w:r/>
      <w:bookmarkStart w:id="48" w:name="_Toc462564074"/>
      <w:r/>
      <w:bookmarkStart w:id="49" w:name="_Toc16938531"/>
      <w:r/>
      <w:bookmarkStart w:id="50" w:name="_Toc513029215"/>
      <w:r/>
      <w:bookmarkStart w:id="51" w:name="_Toc20823287"/>
      <w:r>
        <w:rPr>
          <w:rFonts w:eastAsia="方正仿宋_GBK"/>
          <w:color w:val="auto"/>
          <w:sz w:val="28"/>
          <w:szCs w:val="28"/>
          <w:highlight w:val="none"/>
        </w:rPr>
        <w:t xml:space="preserve">2.投标文件构成</w:t>
      </w:r>
      <w:bookmarkEnd w:id="48"/>
      <w:r/>
      <w:bookmarkEnd w:id="49"/>
      <w:r/>
      <w:bookmarkEnd w:id="50"/>
      <w:r/>
      <w:bookmarkEnd w:id="51"/>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2.1</w:t>
      </w:r>
      <w:r>
        <w:rPr>
          <w:rFonts w:eastAsia="方正仿宋_GBK"/>
          <w:color w:val="auto"/>
          <w:sz w:val="28"/>
          <w:szCs w:val="28"/>
          <w:highlight w:val="none"/>
        </w:rPr>
        <w:t xml:space="preserve">投标人编写的投标文件应包括资格证明文件、符合性证明文件、开标一览表、分项报价</w:t>
      </w:r>
      <w:r>
        <w:rPr>
          <w:rFonts w:hint="eastAsia" w:eastAsia="方正仿宋_GBK"/>
          <w:color w:val="auto"/>
          <w:sz w:val="28"/>
          <w:szCs w:val="28"/>
          <w:highlight w:val="none"/>
        </w:rPr>
        <w:t xml:space="preserve">明细</w:t>
      </w:r>
      <w:r>
        <w:rPr>
          <w:rFonts w:eastAsia="方正仿宋_GBK"/>
          <w:color w:val="auto"/>
          <w:sz w:val="28"/>
          <w:szCs w:val="28"/>
          <w:highlight w:val="none"/>
        </w:rPr>
        <w:t xml:space="preserve">表、其他证明文件等部分。投标人按“第五部分 投标文件格式” 及“苏采云系统”中电子投标（响应）文件格式目录要求的内容编写投标文件。</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2.2如标书制作工具中格式和内容与“江苏政府采购网”发布的招标文件不一致，请以“江苏政府采购网”发布的招标文件为准。</w:t>
      </w:r>
      <w:bookmarkStart w:id="52" w:name="_Toc14577357"/>
      <w:r/>
      <w:bookmarkStart w:id="53" w:name="_Toc49090509"/>
      <w:r/>
      <w:bookmarkStart w:id="54" w:name="_Toc513029219"/>
      <w:r/>
      <w:bookmarkStart w:id="55" w:name="_Toc14577354"/>
      <w:r/>
      <w:bookmarkStart w:id="56" w:name="_Toc49090507"/>
      <w:r/>
      <w:bookmarkStart w:id="57" w:name="_Toc513029216"/>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w:t>
      </w:r>
      <w:r>
        <w:rPr>
          <w:rFonts w:hint="eastAsia" w:eastAsia="方正仿宋_GBK"/>
          <w:color w:val="auto"/>
          <w:sz w:val="28"/>
          <w:szCs w:val="28"/>
          <w:highlight w:val="none"/>
        </w:rPr>
        <w:t xml:space="preserve">.</w:t>
      </w:r>
      <w:r>
        <w:rPr>
          <w:rFonts w:eastAsia="方正仿宋_GBK"/>
          <w:color w:val="auto"/>
          <w:sz w:val="28"/>
          <w:szCs w:val="28"/>
          <w:highlight w:val="none"/>
        </w:rPr>
        <w:t xml:space="preserve">证明投标人及投标标的符合招标文件规定的文件</w:t>
      </w:r>
      <w:bookmarkEnd w:id="52"/>
      <w:r/>
      <w:bookmarkEnd w:id="53"/>
      <w:r/>
      <w:bookmarkEnd w:id="54"/>
      <w:r/>
      <w:bookmarkEnd w:id="55"/>
      <w:r/>
      <w:bookmarkEnd w:id="56"/>
      <w:r/>
      <w:bookmarkEnd w:id="57"/>
      <w:r/>
      <w:r/>
    </w:p>
    <w:p>
      <w:pPr>
        <w:ind w:firstLine="560"/>
        <w:spacing w:line="500" w:lineRule="exact"/>
        <w:rPr>
          <w:rFonts w:eastAsia="方正仿宋_GBK"/>
          <w:color w:val="auto"/>
          <w:sz w:val="28"/>
          <w:szCs w:val="28"/>
          <w:highlight w:val="none"/>
        </w:rPr>
      </w:pPr>
      <w:r/>
      <w:bookmarkStart w:id="58" w:name="_Toc14577355"/>
      <w:r/>
      <w:bookmarkStart w:id="59" w:name="_Toc49090508"/>
      <w:r>
        <w:rPr>
          <w:rFonts w:eastAsia="方正仿宋_GBK"/>
          <w:color w:val="auto"/>
          <w:sz w:val="28"/>
          <w:szCs w:val="28"/>
          <w:highlight w:val="none"/>
        </w:rPr>
        <w:t xml:space="preserve">3.1投标人应按照法律、法规、规章和规范性文件以及招标文件要求提交证明文件，证明其及投标标的符合招标文件规定。</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3.2招标文件对证明文件无明确形式要求的，证明文件可以以文字资料、图纸和数据等形式提交。</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w:t>
      </w:r>
      <w:bookmarkEnd w:id="58"/>
      <w:r/>
      <w:bookmarkEnd w:id="59"/>
      <w:r>
        <w:rPr>
          <w:rFonts w:eastAsia="方正仿宋_GBK"/>
          <w:color w:val="auto"/>
          <w:sz w:val="28"/>
          <w:szCs w:val="28"/>
          <w:highlight w:val="none"/>
        </w:rPr>
        <w:t xml:space="preserve">分项报价</w:t>
      </w:r>
      <w:r>
        <w:rPr>
          <w:rFonts w:hint="eastAsia" w:eastAsia="方正仿宋_GBK"/>
          <w:color w:val="auto"/>
          <w:sz w:val="28"/>
          <w:szCs w:val="28"/>
          <w:highlight w:val="none"/>
        </w:rPr>
        <w:t xml:space="preserve">明细</w:t>
      </w:r>
      <w:r>
        <w:rPr>
          <w:rFonts w:eastAsia="方正仿宋_GBK"/>
          <w:color w:val="auto"/>
          <w:sz w:val="28"/>
          <w:szCs w:val="28"/>
          <w:highlight w:val="none"/>
        </w:rPr>
        <w:t xml:space="preserve">表</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4.1投</w:t>
      </w:r>
      <w:bookmarkStart w:id="60" w:name="_Hlt26954840"/>
      <w:r/>
      <w:bookmarkEnd w:id="60"/>
      <w:r>
        <w:rPr>
          <w:rFonts w:eastAsia="方正仿宋_GBK"/>
          <w:color w:val="auto"/>
          <w:sz w:val="28"/>
          <w:szCs w:val="28"/>
          <w:highlight w:val="none"/>
        </w:rPr>
        <w:t xml:space="preserve">标人应按照招标文件规定格式填报</w:t>
      </w:r>
      <w:bookmarkStart w:id="61" w:name="_Hlt26670399"/>
      <w:r/>
      <w:bookmarkEnd w:id="61"/>
      <w:r>
        <w:rPr>
          <w:rFonts w:eastAsia="方正仿宋_GBK"/>
          <w:color w:val="auto"/>
          <w:sz w:val="28"/>
          <w:szCs w:val="28"/>
          <w:highlight w:val="none"/>
        </w:rPr>
        <w:t xml:space="preserve">分项报价</w:t>
      </w:r>
      <w:r>
        <w:rPr>
          <w:rFonts w:hint="eastAsia" w:eastAsia="方正仿宋_GBK"/>
          <w:color w:val="auto"/>
          <w:sz w:val="28"/>
          <w:szCs w:val="28"/>
          <w:highlight w:val="none"/>
        </w:rPr>
        <w:t xml:space="preserve">明细</w:t>
      </w:r>
      <w:r>
        <w:rPr>
          <w:rFonts w:eastAsia="方正仿宋_GBK"/>
          <w:color w:val="auto"/>
          <w:sz w:val="28"/>
          <w:szCs w:val="28"/>
          <w:highlight w:val="none"/>
        </w:rPr>
        <w:t xml:space="preserve">表。</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4.2投标货币。投标文件中的单价和总价无特殊规定的采用人民币报价，以元为单位标注。招标文件中另有规定的按规定执行。</w:t>
      </w:r>
      <w:r/>
    </w:p>
    <w:p>
      <w:pPr>
        <w:ind w:firstLine="560"/>
        <w:spacing w:line="500" w:lineRule="exact"/>
        <w:rPr>
          <w:rFonts w:eastAsia="方正仿宋_GBK"/>
          <w:color w:val="auto"/>
          <w:sz w:val="28"/>
          <w:szCs w:val="28"/>
          <w:highlight w:val="none"/>
        </w:rPr>
      </w:pPr>
      <w:r/>
      <w:bookmarkStart w:id="62" w:name="_Hlt26954842"/>
      <w:r/>
      <w:bookmarkEnd w:id="62"/>
      <w:r/>
      <w:bookmarkStart w:id="63" w:name="_Hlt26954846"/>
      <w:r/>
      <w:bookmarkEnd w:id="63"/>
      <w:r/>
      <w:bookmarkStart w:id="64" w:name="_Hlt26954848"/>
      <w:r/>
      <w:bookmarkEnd w:id="64"/>
      <w:r/>
      <w:bookmarkStart w:id="65" w:name="_Hlt26670425"/>
      <w:r/>
      <w:bookmarkEnd w:id="65"/>
      <w:r/>
      <w:bookmarkStart w:id="66" w:name="_Hlt26670403"/>
      <w:r/>
      <w:bookmarkEnd w:id="66"/>
      <w:r/>
      <w:bookmarkStart w:id="67" w:name="_Hlt26954731"/>
      <w:r/>
      <w:bookmarkEnd w:id="67"/>
      <w:r/>
      <w:bookmarkStart w:id="68" w:name="_Hlt26954844"/>
      <w:r/>
      <w:bookmarkEnd w:id="68"/>
      <w:r/>
      <w:bookmarkStart w:id="69" w:name="_Hlt26670482"/>
      <w:r/>
      <w:bookmarkEnd w:id="69"/>
      <w:r/>
      <w:bookmarkStart w:id="70" w:name="_Hlt26668983"/>
      <w:r/>
      <w:bookmarkEnd w:id="70"/>
      <w:r/>
      <w:bookmarkStart w:id="71" w:name="_Hlt26670486"/>
      <w:r/>
      <w:bookmarkEnd w:id="71"/>
      <w:r>
        <w:rPr>
          <w:rFonts w:eastAsia="方正仿宋_GBK"/>
          <w:color w:val="auto"/>
          <w:sz w:val="28"/>
          <w:szCs w:val="28"/>
          <w:highlight w:val="none"/>
        </w:rPr>
        <w:t xml:space="preserve">5.技术</w:t>
      </w:r>
      <w:r>
        <w:rPr>
          <w:rFonts w:hint="eastAsia" w:eastAsia="方正仿宋_GBK"/>
          <w:color w:val="auto"/>
          <w:sz w:val="28"/>
          <w:szCs w:val="28"/>
          <w:highlight w:val="none"/>
        </w:rPr>
        <w:t xml:space="preserve">部分正负</w:t>
      </w:r>
      <w:r>
        <w:rPr>
          <w:rFonts w:eastAsia="方正仿宋_GBK"/>
          <w:color w:val="auto"/>
          <w:sz w:val="28"/>
          <w:szCs w:val="28"/>
          <w:highlight w:val="none"/>
        </w:rPr>
        <w:t xml:space="preserve">偏离表、商务</w:t>
      </w:r>
      <w:r>
        <w:rPr>
          <w:rFonts w:hint="eastAsia" w:eastAsia="方正仿宋_GBK"/>
          <w:color w:val="auto"/>
          <w:sz w:val="28"/>
          <w:szCs w:val="28"/>
          <w:highlight w:val="none"/>
        </w:rPr>
        <w:t xml:space="preserve">部分正负</w:t>
      </w:r>
      <w:r>
        <w:rPr>
          <w:rFonts w:eastAsia="方正仿宋_GBK"/>
          <w:color w:val="auto"/>
          <w:sz w:val="28"/>
          <w:szCs w:val="28"/>
          <w:highlight w:val="none"/>
        </w:rPr>
        <w:t xml:space="preserve">偏离表</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5.1投标人需</w:t>
      </w:r>
      <w:r>
        <w:rPr>
          <w:rFonts w:hint="eastAsia" w:eastAsia="方正仿宋_GBK"/>
          <w:color w:val="auto"/>
          <w:sz w:val="28"/>
          <w:szCs w:val="28"/>
          <w:highlight w:val="none"/>
        </w:rPr>
        <w:t xml:space="preserve">按</w:t>
      </w:r>
      <w:r>
        <w:rPr>
          <w:rFonts w:eastAsia="方正仿宋_GBK"/>
          <w:color w:val="auto"/>
          <w:sz w:val="28"/>
          <w:szCs w:val="28"/>
          <w:highlight w:val="none"/>
        </w:rPr>
        <w:t xml:space="preserve">招标文件中的技术要求与商务要求作出响应或偏离，并说明原因。</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5.2投标人可在投标文件中提供认为需要的其他技术文件或说明。</w:t>
      </w:r>
      <w:r/>
    </w:p>
    <w:p>
      <w:pPr>
        <w:ind w:firstLine="560"/>
        <w:spacing w:line="500" w:lineRule="exact"/>
        <w:rPr>
          <w:rFonts w:eastAsia="方正仿宋_GBK"/>
          <w:color w:val="auto"/>
          <w:sz w:val="28"/>
          <w:szCs w:val="28"/>
          <w:highlight w:val="none"/>
        </w:rPr>
      </w:pPr>
      <w:r/>
      <w:bookmarkStart w:id="72" w:name="_Toc14577359"/>
      <w:r/>
      <w:bookmarkStart w:id="73" w:name="_Toc49090510"/>
      <w:r>
        <w:rPr>
          <w:rFonts w:eastAsia="方正仿宋_GBK"/>
          <w:color w:val="auto"/>
          <w:sz w:val="28"/>
          <w:szCs w:val="28"/>
          <w:highlight w:val="none"/>
        </w:rPr>
        <w:t xml:space="preserve">6.投标函和开标一览表</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6.1投标人应按照招标文件中提供的格式完整、正确填写投标函、开标一览表。</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6.2对于采用货币报价的项目，开标一览表中的投标总报价应与分项报价</w:t>
      </w:r>
      <w:r>
        <w:rPr>
          <w:rFonts w:hint="eastAsia" w:eastAsia="方正仿宋_GBK"/>
          <w:color w:val="auto"/>
          <w:sz w:val="28"/>
          <w:szCs w:val="28"/>
          <w:highlight w:val="none"/>
        </w:rPr>
        <w:t xml:space="preserve">明细</w:t>
      </w:r>
      <w:r>
        <w:rPr>
          <w:rFonts w:eastAsia="方正仿宋_GBK"/>
          <w:color w:val="auto"/>
          <w:sz w:val="28"/>
          <w:szCs w:val="28"/>
          <w:highlight w:val="none"/>
        </w:rPr>
        <w:t xml:space="preserve">表中的投标总报价一致，如不一致，不作为无效投标处理，但评标时按开标一览表中价格为准。</w:t>
      </w:r>
      <w:bookmarkEnd w:id="72"/>
      <w:r/>
      <w:bookmarkEnd w:id="73"/>
      <w:r/>
      <w:r/>
    </w:p>
    <w:p>
      <w:pPr>
        <w:pStyle w:val="892"/>
        <w:ind w:firstLine="560"/>
        <w:jc w:val="both"/>
        <w:spacing w:line="500" w:lineRule="exact"/>
        <w:rPr>
          <w:rFonts w:eastAsia="方正仿宋_GBK"/>
          <w:color w:val="auto"/>
          <w:sz w:val="28"/>
          <w:szCs w:val="28"/>
          <w:highlight w:val="none"/>
        </w:rPr>
      </w:pPr>
      <w:r/>
      <w:bookmarkStart w:id="74" w:name="_Hlt26954838"/>
      <w:r/>
      <w:bookmarkEnd w:id="74"/>
      <w:r/>
      <w:bookmarkStart w:id="75" w:name="_Hlt26670360"/>
      <w:r/>
      <w:bookmarkEnd w:id="75"/>
      <w:r/>
      <w:bookmarkStart w:id="76" w:name="_Hlt26668975"/>
      <w:r/>
      <w:bookmarkEnd w:id="76"/>
      <w:r/>
      <w:bookmarkStart w:id="77" w:name="_Toc49090511"/>
      <w:r/>
      <w:bookmarkStart w:id="78" w:name="_Toc14577360"/>
      <w:r>
        <w:rPr>
          <w:rFonts w:eastAsia="方正仿宋_GBK"/>
          <w:color w:val="auto"/>
          <w:sz w:val="28"/>
          <w:szCs w:val="28"/>
          <w:highlight w:val="none"/>
        </w:rPr>
        <w:t xml:space="preserve">7.投标有效期</w:t>
      </w:r>
      <w:bookmarkEnd w:id="77"/>
      <w:r/>
      <w:bookmarkEnd w:id="78"/>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7.1投标有效期为</w:t>
      </w:r>
      <w:r>
        <w:rPr>
          <w:rFonts w:hint="eastAsia" w:eastAsia="方正仿宋_GBK"/>
          <w:bCs/>
          <w:color w:val="auto"/>
          <w:sz w:val="28"/>
          <w:szCs w:val="28"/>
          <w:highlight w:val="none"/>
          <w:lang w:val="en-US" w:eastAsia="zh-CN"/>
        </w:rPr>
        <w:t xml:space="preserve">采购人</w:t>
      </w:r>
      <w:r>
        <w:rPr>
          <w:rFonts w:eastAsia="方正仿宋_GBK"/>
          <w:bCs/>
          <w:color w:val="auto"/>
          <w:sz w:val="28"/>
          <w:szCs w:val="28"/>
          <w:highlight w:val="none"/>
        </w:rPr>
        <w:t xml:space="preserve">规定的开标之日后</w:t>
      </w:r>
      <w:r>
        <w:rPr>
          <w:rFonts w:eastAsia="方正仿宋_GBK"/>
          <w:b/>
          <w:color w:val="auto"/>
          <w:sz w:val="28"/>
          <w:szCs w:val="28"/>
          <w:highlight w:val="none"/>
          <w:u w:val="single"/>
        </w:rPr>
        <w:t xml:space="preserve">六十（60）天</w:t>
      </w:r>
      <w:r>
        <w:rPr>
          <w:rFonts w:eastAsia="方正仿宋_GBK"/>
          <w:bCs/>
          <w:color w:val="auto"/>
          <w:sz w:val="28"/>
          <w:szCs w:val="28"/>
          <w:highlight w:val="none"/>
        </w:rPr>
        <w:t xml:space="preserve">。投标有效期比规定短的将被视为非响应性投标而予以拒绝。</w:t>
      </w:r>
      <w:r/>
    </w:p>
    <w:p>
      <w:pPr>
        <w:ind w:firstLine="560"/>
        <w:spacing w:line="500" w:lineRule="exact"/>
        <w:rPr>
          <w:rFonts w:eastAsia="方正仿宋_GBK"/>
          <w:b/>
          <w:bCs/>
          <w:color w:val="auto"/>
          <w:sz w:val="28"/>
          <w:szCs w:val="28"/>
          <w:highlight w:val="none"/>
        </w:rPr>
      </w:pPr>
      <w:r>
        <w:rPr>
          <w:rFonts w:eastAsia="方正仿宋_GBK"/>
          <w:color w:val="auto"/>
          <w:sz w:val="28"/>
          <w:szCs w:val="28"/>
          <w:highlight w:val="none"/>
        </w:rPr>
        <w:t xml:space="preserve">8.投标有效期的延长</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8.1在特殊情况下，</w:t>
      </w:r>
      <w:r>
        <w:rPr>
          <w:rFonts w:hint="eastAsia" w:eastAsia="方正仿宋_GBK"/>
          <w:bCs/>
          <w:color w:val="auto"/>
          <w:sz w:val="28"/>
          <w:szCs w:val="28"/>
          <w:highlight w:val="none"/>
          <w:lang w:val="en-US" w:eastAsia="zh-CN"/>
        </w:rPr>
        <w:t xml:space="preserve">采购人</w:t>
      </w:r>
      <w:r>
        <w:rPr>
          <w:rFonts w:eastAsia="方正仿宋_GBK"/>
          <w:bCs/>
          <w:color w:val="auto"/>
          <w:sz w:val="28"/>
          <w:szCs w:val="28"/>
          <w:highlight w:val="none"/>
        </w:rPr>
        <w:t xml:space="preserve">于原投标有效期满之前，可向投标人提出延长投标有效期的要求。这种要求与答复均应采用书面形式。投标人可以拒绝</w:t>
      </w:r>
      <w:r>
        <w:rPr>
          <w:rFonts w:hint="eastAsia" w:eastAsia="方正仿宋_GBK"/>
          <w:bCs/>
          <w:color w:val="auto"/>
          <w:sz w:val="28"/>
          <w:szCs w:val="28"/>
          <w:highlight w:val="none"/>
          <w:lang w:val="en-US" w:eastAsia="zh-CN"/>
        </w:rPr>
        <w:t xml:space="preserve">采购人</w:t>
      </w:r>
      <w:r>
        <w:rPr>
          <w:rFonts w:eastAsia="方正仿宋_GBK"/>
          <w:bCs/>
          <w:color w:val="auto"/>
          <w:sz w:val="28"/>
          <w:szCs w:val="28"/>
          <w:highlight w:val="none"/>
        </w:rPr>
        <w:t xml:space="preserve">的这一要求而放弃投标，同意延长投标有效期的投标人既不能要求也不允许修改其投标文件。</w:t>
      </w:r>
      <w:r>
        <w:rPr>
          <w:rFonts w:eastAsia="方正仿宋_GBK"/>
          <w:color w:val="auto"/>
          <w:sz w:val="28"/>
          <w:szCs w:val="28"/>
          <w:highlight w:val="none"/>
        </w:rPr>
        <w:t xml:space="preserve">受投标有效期约束的所有权利与义务均延长至新的有效期</w:t>
      </w:r>
      <w:r>
        <w:rPr>
          <w:rFonts w:eastAsia="方正仿宋_GBK"/>
          <w:bCs/>
          <w:color w:val="auto"/>
          <w:sz w:val="28"/>
          <w:szCs w:val="28"/>
          <w:highlight w:val="none"/>
        </w:rPr>
        <w:t xml:space="preserve">。</w:t>
      </w:r>
      <w:r/>
    </w:p>
    <w:p>
      <w:pPr>
        <w:ind w:firstLine="560"/>
        <w:spacing w:line="500" w:lineRule="exact"/>
        <w:rPr>
          <w:rFonts w:ascii="方正黑体_GBK" w:hAnsi="方正黑体_GBK" w:eastAsia="方正黑体_GBK" w:cs="方正黑体_GBK"/>
          <w:bCs/>
          <w:color w:val="auto"/>
          <w:sz w:val="28"/>
          <w:szCs w:val="28"/>
          <w:highlight w:val="none"/>
        </w:rPr>
      </w:pPr>
      <w:r/>
      <w:bookmarkStart w:id="79" w:name="_Hlt26954852"/>
      <w:r/>
      <w:bookmarkEnd w:id="79"/>
      <w:r/>
      <w:bookmarkStart w:id="80" w:name="_Hlt26954739"/>
      <w:r/>
      <w:bookmarkEnd w:id="80"/>
      <w:r/>
      <w:bookmarkStart w:id="81" w:name="_Toc20823296"/>
      <w:r/>
      <w:bookmarkStart w:id="82" w:name="_Toc120614217"/>
      <w:r/>
      <w:bookmarkStart w:id="83" w:name="_Toc513029224"/>
      <w:r/>
      <w:bookmarkStart w:id="84" w:name="_Toc16938540"/>
      <w:r>
        <w:rPr>
          <w:rFonts w:ascii="方正黑体_GBK" w:hAnsi="方正黑体_GBK" w:eastAsia="方正黑体_GBK" w:cs="方正黑体_GBK"/>
          <w:bCs/>
          <w:color w:val="auto"/>
          <w:sz w:val="28"/>
          <w:szCs w:val="28"/>
          <w:highlight w:val="none"/>
        </w:rPr>
        <w:t xml:space="preserve">四、投标文件的递交</w:t>
      </w:r>
      <w:bookmarkEnd w:id="81"/>
      <w:r/>
      <w:bookmarkEnd w:id="82"/>
      <w:r/>
      <w:bookmarkEnd w:id="83"/>
      <w:r/>
      <w:bookmarkEnd w:id="84"/>
      <w:r/>
      <w:r/>
    </w:p>
    <w:p>
      <w:pPr>
        <w:pStyle w:val="892"/>
        <w:ind w:firstLine="560"/>
        <w:jc w:val="both"/>
        <w:spacing w:line="500" w:lineRule="exact"/>
        <w:rPr>
          <w:rFonts w:eastAsia="方正仿宋_GBK"/>
          <w:color w:val="auto"/>
          <w:sz w:val="28"/>
          <w:szCs w:val="28"/>
          <w:highlight w:val="none"/>
        </w:rPr>
      </w:pPr>
      <w:r/>
      <w:bookmarkStart w:id="85" w:name="_Toc462564084"/>
      <w:r/>
      <w:bookmarkStart w:id="86" w:name="_Toc513029225"/>
      <w:r/>
      <w:bookmarkStart w:id="87" w:name="_Toc20823297"/>
      <w:r/>
      <w:bookmarkStart w:id="88" w:name="_Toc16938541"/>
      <w:r>
        <w:rPr>
          <w:rFonts w:eastAsia="方正仿宋_GBK"/>
          <w:color w:val="auto"/>
          <w:sz w:val="28"/>
          <w:szCs w:val="28"/>
          <w:highlight w:val="none"/>
        </w:rPr>
        <w:t xml:space="preserve">1.投标文件</w:t>
      </w:r>
      <w:bookmarkEnd w:id="85"/>
      <w:r/>
      <w:bookmarkEnd w:id="86"/>
      <w:r/>
      <w:bookmarkEnd w:id="87"/>
      <w:r/>
      <w:bookmarkEnd w:id="88"/>
      <w:r>
        <w:rPr>
          <w:rFonts w:eastAsia="方正仿宋_GBK"/>
          <w:color w:val="auto"/>
          <w:sz w:val="28"/>
          <w:szCs w:val="28"/>
          <w:highlight w:val="none"/>
        </w:rPr>
        <w:t xml:space="preserve">的递交</w:t>
      </w:r>
      <w:r/>
    </w:p>
    <w:p>
      <w:pPr>
        <w:ind w:firstLine="556"/>
        <w:spacing w:line="500" w:lineRule="exact"/>
        <w:rPr>
          <w:rFonts w:eastAsia="方正仿宋_GBK"/>
          <w:bCs/>
          <w:color w:val="auto"/>
          <w:sz w:val="28"/>
          <w:szCs w:val="28"/>
          <w:highlight w:val="none"/>
        </w:rPr>
      </w:pPr>
      <w:r>
        <w:rPr>
          <w:rFonts w:eastAsia="方正仿宋_GBK"/>
          <w:bCs/>
          <w:color w:val="auto"/>
          <w:sz w:val="28"/>
          <w:szCs w:val="28"/>
          <w:highlight w:val="none"/>
        </w:rPr>
        <w:t xml:space="preserve">1.1</w:t>
      </w:r>
      <w:bookmarkStart w:id="89" w:name="_Toc16938542"/>
      <w:r/>
      <w:bookmarkStart w:id="90" w:name="_Toc20823298"/>
      <w:r/>
      <w:bookmarkStart w:id="91" w:name="_Toc513029226"/>
      <w:r>
        <w:rPr>
          <w:rFonts w:eastAsia="方正仿宋_GBK"/>
          <w:bCs/>
          <w:color w:val="auto"/>
          <w:sz w:val="28"/>
          <w:szCs w:val="28"/>
          <w:highlight w:val="none"/>
        </w:rPr>
        <w:t xml:space="preserve">投标人应当按照江苏政府采购网—资料下载中《江苏省政府采购管理交易系统（苏采云）供应商操作指南》规定，在</w:t>
      </w:r>
      <w:r>
        <w:rPr>
          <w:rFonts w:eastAsia="方正仿宋_GBK"/>
          <w:color w:val="auto"/>
          <w:sz w:val="28"/>
          <w:szCs w:val="28"/>
          <w:highlight w:val="none"/>
        </w:rPr>
        <w:t xml:space="preserve">响应文件提交</w:t>
      </w:r>
      <w:r>
        <w:rPr>
          <w:rFonts w:eastAsia="方正仿宋_GBK"/>
          <w:bCs/>
          <w:color w:val="auto"/>
          <w:sz w:val="28"/>
          <w:szCs w:val="28"/>
          <w:highlight w:val="none"/>
        </w:rPr>
        <w:t xml:space="preserve">截止时间前按要求制作并上传电子响应文件。</w:t>
      </w:r>
      <w:r/>
    </w:p>
    <w:p>
      <w:pPr>
        <w:pStyle w:val="892"/>
        <w:ind w:firstLine="560"/>
        <w:jc w:val="both"/>
        <w:spacing w:line="500" w:lineRule="exact"/>
        <w:rPr>
          <w:rFonts w:eastAsia="方正仿宋_GBK"/>
          <w:color w:val="auto"/>
          <w:sz w:val="28"/>
          <w:szCs w:val="28"/>
          <w:highlight w:val="none"/>
        </w:rPr>
      </w:pPr>
      <w:r>
        <w:rPr>
          <w:rFonts w:eastAsia="方正仿宋_GBK"/>
          <w:color w:val="auto"/>
          <w:sz w:val="28"/>
          <w:szCs w:val="28"/>
          <w:highlight w:val="none"/>
        </w:rPr>
        <w:t xml:space="preserve">2.投标截止日期</w:t>
      </w:r>
      <w:bookmarkEnd w:id="89"/>
      <w:r/>
      <w:bookmarkEnd w:id="90"/>
      <w:r/>
      <w:bookmarkEnd w:id="91"/>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2.1投标人上传电子投标文件的时间不得迟于招标公告中规定的投标截止时间。</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投标人应充分考虑到网络环境、网络带宽、CA数字证书及电子签章故障等风险因素，如因投标人自身原因造成的电子投标文件上传不成功由投标人自行承担全部责任。</w:t>
      </w:r>
      <w:r/>
    </w:p>
    <w:p>
      <w:pPr>
        <w:ind w:firstLine="560"/>
        <w:spacing w:line="500" w:lineRule="exact"/>
        <w:rPr>
          <w:rFonts w:eastAsia="方正仿宋_GBK"/>
          <w:bCs/>
          <w:color w:val="auto"/>
          <w:sz w:val="28"/>
          <w:szCs w:val="28"/>
          <w:highlight w:val="none"/>
        </w:rPr>
      </w:pPr>
      <w:r>
        <w:rPr>
          <w:rFonts w:eastAsia="方正仿宋_GBK"/>
          <w:color w:val="auto"/>
          <w:sz w:val="28"/>
          <w:szCs w:val="28"/>
          <w:highlight w:val="none"/>
        </w:rPr>
        <w:t xml:space="preserve">2.2</w:t>
      </w:r>
      <w:r>
        <w:rPr>
          <w:rFonts w:hint="eastAsia" w:eastAsia="方正仿宋_GBK"/>
          <w:bCs/>
          <w:color w:val="auto"/>
          <w:sz w:val="28"/>
          <w:szCs w:val="28"/>
          <w:highlight w:val="none"/>
          <w:lang w:val="en-US" w:eastAsia="zh-CN"/>
        </w:rPr>
        <w:t xml:space="preserve">采购人</w:t>
      </w:r>
      <w:r>
        <w:rPr>
          <w:rFonts w:eastAsia="方正仿宋_GBK"/>
          <w:bCs/>
          <w:color w:val="auto"/>
          <w:sz w:val="28"/>
          <w:szCs w:val="28"/>
          <w:highlight w:val="none"/>
        </w:rPr>
        <w:t xml:space="preserve">可以按照规定，通过修改招标文件酌情延长投标截止日期，在此情况下，投标人的所有权利和义务以及投标人受制的截止日期均应以延长后新的截止日期为准。</w:t>
      </w:r>
      <w:r/>
    </w:p>
    <w:p>
      <w:pPr>
        <w:pStyle w:val="892"/>
        <w:ind w:firstLine="560"/>
        <w:jc w:val="both"/>
        <w:spacing w:line="500" w:lineRule="exact"/>
        <w:rPr>
          <w:rFonts w:eastAsia="方正仿宋_GBK"/>
          <w:color w:val="auto"/>
          <w:sz w:val="28"/>
          <w:szCs w:val="28"/>
          <w:highlight w:val="none"/>
        </w:rPr>
      </w:pPr>
      <w:r/>
      <w:bookmarkStart w:id="92" w:name="_Toc16938543"/>
      <w:r/>
      <w:bookmarkStart w:id="93" w:name="_Toc20823299"/>
      <w:r/>
      <w:bookmarkStart w:id="94" w:name="_Toc513029227"/>
      <w:r>
        <w:rPr>
          <w:rFonts w:eastAsia="方正仿宋_GBK"/>
          <w:color w:val="auto"/>
          <w:sz w:val="28"/>
          <w:szCs w:val="28"/>
          <w:highlight w:val="none"/>
        </w:rPr>
        <w:t xml:space="preserve">3.投标文件</w:t>
      </w:r>
      <w:bookmarkEnd w:id="92"/>
      <w:r/>
      <w:bookmarkEnd w:id="93"/>
      <w:r/>
      <w:bookmarkEnd w:id="94"/>
      <w:r>
        <w:rPr>
          <w:rFonts w:eastAsia="方正仿宋_GBK"/>
          <w:color w:val="auto"/>
          <w:sz w:val="28"/>
          <w:szCs w:val="28"/>
          <w:highlight w:val="none"/>
        </w:rPr>
        <w:t xml:space="preserve">的拒收</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3.1</w:t>
      </w:r>
      <w:r>
        <w:rPr>
          <w:rFonts w:hint="eastAsia" w:eastAsia="方正仿宋_GBK"/>
          <w:bCs/>
          <w:color w:val="auto"/>
          <w:sz w:val="28"/>
          <w:szCs w:val="28"/>
          <w:highlight w:val="none"/>
          <w:lang w:val="en-US" w:eastAsia="zh-CN"/>
        </w:rPr>
        <w:t xml:space="preserve">采购人</w:t>
      </w:r>
      <w:r>
        <w:rPr>
          <w:rFonts w:eastAsia="方正仿宋_GBK"/>
          <w:bCs/>
          <w:color w:val="auto"/>
          <w:sz w:val="28"/>
          <w:szCs w:val="28"/>
          <w:highlight w:val="none"/>
        </w:rPr>
        <w:t xml:space="preserve">拒绝接收在其规定的投标截止时间后上传的任何投标文件。</w:t>
      </w:r>
      <w:r/>
    </w:p>
    <w:p>
      <w:pPr>
        <w:pStyle w:val="892"/>
        <w:ind w:firstLine="560"/>
        <w:jc w:val="both"/>
        <w:spacing w:line="500" w:lineRule="exact"/>
        <w:rPr>
          <w:rFonts w:eastAsia="方正仿宋_GBK"/>
          <w:color w:val="auto"/>
          <w:sz w:val="28"/>
          <w:szCs w:val="28"/>
          <w:highlight w:val="none"/>
        </w:rPr>
      </w:pPr>
      <w:r/>
      <w:bookmarkStart w:id="95" w:name="_Toc20823300"/>
      <w:r/>
      <w:bookmarkStart w:id="96" w:name="_Toc513029228"/>
      <w:r/>
      <w:bookmarkStart w:id="97" w:name="_Toc16938544"/>
      <w:r>
        <w:rPr>
          <w:rFonts w:eastAsia="方正仿宋_GBK"/>
          <w:color w:val="auto"/>
          <w:sz w:val="28"/>
          <w:szCs w:val="28"/>
          <w:highlight w:val="none"/>
        </w:rPr>
        <w:t xml:space="preserve">4.投标文件的撤回和修改</w:t>
      </w:r>
      <w:bookmarkEnd w:id="95"/>
      <w:r/>
      <w:bookmarkEnd w:id="96"/>
      <w:r/>
      <w:bookmarkEnd w:id="97"/>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4.1投标文件的撤回</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4.1.1电子投标文件的撤回</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投标人可在投标截止时间前，撤回其电子投标文件，具体操作方法见《江苏省政府采购管理交易系统（苏采云）供应商操作指南》。</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4.1.2投标人撤回电子投标文件，则认为其不再参与本项目投标活动。</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4.2投标文件的修改</w:t>
      </w:r>
      <w:r/>
    </w:p>
    <w:p>
      <w:pPr>
        <w:ind w:firstLine="555"/>
        <w:spacing w:line="500" w:lineRule="exact"/>
        <w:rPr>
          <w:rFonts w:eastAsia="方正仿宋_GBK"/>
          <w:bCs/>
          <w:color w:val="auto"/>
          <w:sz w:val="28"/>
          <w:szCs w:val="28"/>
          <w:highlight w:val="none"/>
        </w:rPr>
      </w:pPr>
      <w:r>
        <w:rPr>
          <w:rFonts w:eastAsia="方正仿宋_GBK"/>
          <w:bCs/>
          <w:color w:val="auto"/>
          <w:sz w:val="28"/>
          <w:szCs w:val="28"/>
          <w:highlight w:val="none"/>
        </w:rPr>
        <w:t xml:space="preserve">投标人可在投标截止时间前，对其电子投标文件进行修改，具体操作方法见</w:t>
      </w:r>
      <w:r>
        <w:rPr>
          <w:rFonts w:eastAsia="方正仿宋_GBK"/>
          <w:color w:val="auto"/>
          <w:sz w:val="28"/>
          <w:szCs w:val="28"/>
          <w:highlight w:val="none"/>
        </w:rPr>
        <w:t xml:space="preserve">《江苏省政府采购管理交易系统（苏采云）供应商操作指南》</w:t>
      </w:r>
      <w:r>
        <w:rPr>
          <w:rFonts w:eastAsia="方正仿宋_GBK"/>
          <w:bCs/>
          <w:color w:val="auto"/>
          <w:sz w:val="28"/>
          <w:szCs w:val="28"/>
          <w:highlight w:val="none"/>
        </w:rPr>
        <w:t xml:space="preserve">。</w:t>
      </w:r>
      <w:r/>
    </w:p>
    <w:p>
      <w:pPr>
        <w:ind w:firstLine="555"/>
        <w:spacing w:line="500" w:lineRule="exact"/>
        <w:rPr>
          <w:rFonts w:eastAsia="方正仿宋_GBK"/>
          <w:bCs/>
          <w:color w:val="auto"/>
          <w:sz w:val="28"/>
          <w:szCs w:val="28"/>
          <w:highlight w:val="none"/>
        </w:rPr>
      </w:pPr>
      <w:r>
        <w:rPr>
          <w:rFonts w:eastAsia="方正仿宋_GBK"/>
          <w:color w:val="auto"/>
          <w:sz w:val="28"/>
          <w:szCs w:val="28"/>
          <w:highlight w:val="none"/>
        </w:rPr>
        <w:t xml:space="preserve">4.3</w:t>
      </w:r>
      <w:r>
        <w:rPr>
          <w:rFonts w:eastAsia="方正仿宋_GBK"/>
          <w:bCs/>
          <w:color w:val="auto"/>
          <w:sz w:val="28"/>
          <w:szCs w:val="28"/>
          <w:highlight w:val="none"/>
        </w:rPr>
        <w:t xml:space="preserve">在投标截止时间之后，投标人不得对其电子投标文件作任何修改。</w:t>
      </w:r>
      <w:r/>
    </w:p>
    <w:p>
      <w:pPr>
        <w:ind w:firstLine="555"/>
        <w:spacing w:line="500" w:lineRule="exact"/>
        <w:rPr>
          <w:rFonts w:eastAsia="方正仿宋_GBK"/>
          <w:bCs/>
          <w:color w:val="auto"/>
          <w:sz w:val="28"/>
          <w:szCs w:val="28"/>
          <w:highlight w:val="none"/>
        </w:rPr>
      </w:pPr>
      <w:r>
        <w:rPr>
          <w:rFonts w:eastAsia="方正仿宋_GBK"/>
          <w:color w:val="auto"/>
          <w:sz w:val="28"/>
          <w:szCs w:val="28"/>
          <w:highlight w:val="none"/>
        </w:rPr>
        <w:t xml:space="preserve">4.4</w:t>
      </w:r>
      <w:r>
        <w:rPr>
          <w:rFonts w:eastAsia="方正仿宋_GBK"/>
          <w:bCs/>
          <w:color w:val="auto"/>
          <w:sz w:val="28"/>
          <w:szCs w:val="28"/>
          <w:highlight w:val="none"/>
        </w:rPr>
        <w:t xml:space="preserve">在投标截止时间至招标文件中规定的投标有效期满之间的这段时间内，投标人不得撤回其投标。</w:t>
      </w:r>
      <w:r/>
    </w:p>
    <w:p>
      <w:pPr>
        <w:ind w:firstLine="560"/>
        <w:spacing w:line="500" w:lineRule="exact"/>
        <w:rPr>
          <w:rFonts w:ascii="方正黑体_GBK" w:hAnsi="方正黑体_GBK" w:eastAsia="方正黑体_GBK" w:cs="方正黑体_GBK"/>
          <w:bCs/>
          <w:color w:val="auto"/>
          <w:sz w:val="28"/>
          <w:szCs w:val="28"/>
          <w:highlight w:val="none"/>
        </w:rPr>
      </w:pPr>
      <w:r/>
      <w:bookmarkStart w:id="98" w:name="_Toc20823301"/>
      <w:r/>
      <w:bookmarkStart w:id="99" w:name="_Toc513029229"/>
      <w:r/>
      <w:bookmarkStart w:id="100" w:name="_Toc120614218"/>
      <w:r/>
      <w:bookmarkStart w:id="101" w:name="_Toc16938545"/>
      <w:r>
        <w:rPr>
          <w:rFonts w:ascii="方正黑体_GBK" w:hAnsi="方正黑体_GBK" w:eastAsia="方正黑体_GBK" w:cs="方正黑体_GBK"/>
          <w:bCs/>
          <w:color w:val="auto"/>
          <w:sz w:val="28"/>
          <w:szCs w:val="28"/>
          <w:highlight w:val="none"/>
        </w:rPr>
        <w:t xml:space="preserve">五、开标与评标</w:t>
      </w:r>
      <w:bookmarkEnd w:id="98"/>
      <w:r/>
      <w:bookmarkEnd w:id="99"/>
      <w:r/>
      <w:bookmarkEnd w:id="100"/>
      <w:r/>
      <w:bookmarkEnd w:id="101"/>
      <w:r/>
      <w:r/>
    </w:p>
    <w:p>
      <w:pPr>
        <w:pStyle w:val="892"/>
        <w:ind w:firstLine="560"/>
        <w:jc w:val="both"/>
        <w:spacing w:line="500" w:lineRule="exact"/>
        <w:rPr>
          <w:rFonts w:eastAsia="方正仿宋_GBK"/>
          <w:color w:val="auto"/>
          <w:sz w:val="28"/>
          <w:szCs w:val="28"/>
          <w:highlight w:val="none"/>
        </w:rPr>
      </w:pPr>
      <w:r/>
      <w:bookmarkStart w:id="102" w:name="_Toc513029230"/>
      <w:r/>
      <w:bookmarkStart w:id="103" w:name="_Toc16938546"/>
      <w:r/>
      <w:bookmarkStart w:id="104" w:name="_Toc20823302"/>
      <w:r>
        <w:rPr>
          <w:rFonts w:eastAsia="方正仿宋_GBK"/>
          <w:color w:val="auto"/>
          <w:sz w:val="28"/>
          <w:szCs w:val="28"/>
          <w:highlight w:val="none"/>
        </w:rPr>
        <w:t xml:space="preserve">1开标</w:t>
      </w:r>
      <w:bookmarkEnd w:id="102"/>
      <w:r/>
      <w:bookmarkEnd w:id="103"/>
      <w:r/>
      <w:bookmarkEnd w:id="104"/>
      <w:r/>
      <w:r/>
    </w:p>
    <w:p>
      <w:pPr>
        <w:ind w:firstLine="556"/>
        <w:spacing w:line="500" w:lineRule="exact"/>
        <w:rPr>
          <w:rFonts w:eastAsia="方正仿宋_GBK"/>
          <w:bCs/>
          <w:color w:val="auto"/>
          <w:sz w:val="28"/>
          <w:szCs w:val="28"/>
          <w:highlight w:val="none"/>
        </w:rPr>
      </w:pPr>
      <w:r>
        <w:rPr>
          <w:rFonts w:eastAsia="方正仿宋_GBK"/>
          <w:bCs/>
          <w:color w:val="auto"/>
          <w:sz w:val="28"/>
          <w:szCs w:val="28"/>
          <w:highlight w:val="none"/>
        </w:rPr>
        <w:t xml:space="preserve">1.1</w:t>
      </w:r>
      <w:r>
        <w:rPr>
          <w:rFonts w:hint="eastAsia" w:eastAsia="方正仿宋_GBK"/>
          <w:bCs/>
          <w:color w:val="auto"/>
          <w:sz w:val="28"/>
          <w:szCs w:val="28"/>
          <w:highlight w:val="none"/>
          <w:lang w:val="en-US" w:eastAsia="zh-CN"/>
        </w:rPr>
        <w:t xml:space="preserve">采购人</w:t>
      </w:r>
      <w:r>
        <w:rPr>
          <w:rFonts w:eastAsia="方正仿宋_GBK"/>
          <w:bCs/>
          <w:color w:val="auto"/>
          <w:sz w:val="28"/>
          <w:szCs w:val="28"/>
          <w:highlight w:val="none"/>
        </w:rPr>
        <w:t xml:space="preserve">将在招标公告中规定的时间和地点组织公开开标。</w:t>
      </w:r>
      <w:r/>
    </w:p>
    <w:p>
      <w:pPr>
        <w:ind w:firstLine="556"/>
        <w:spacing w:line="500" w:lineRule="exact"/>
        <w:rPr>
          <w:rFonts w:eastAsia="方正仿宋_GBK"/>
          <w:color w:val="auto"/>
          <w:sz w:val="28"/>
          <w:szCs w:val="28"/>
          <w:highlight w:val="none"/>
        </w:rPr>
      </w:pPr>
      <w:r>
        <w:rPr>
          <w:rFonts w:eastAsia="方正仿宋_GBK"/>
          <w:bCs/>
          <w:color w:val="auto"/>
          <w:sz w:val="28"/>
          <w:szCs w:val="28"/>
          <w:highlight w:val="none"/>
        </w:rPr>
        <w:t xml:space="preserve">1.2开标仪</w:t>
      </w:r>
      <w:r>
        <w:rPr>
          <w:rFonts w:eastAsia="方正仿宋_GBK"/>
          <w:color w:val="auto"/>
          <w:sz w:val="28"/>
          <w:szCs w:val="28"/>
          <w:highlight w:val="none"/>
        </w:rPr>
        <w:t xml:space="preserve">式由</w:t>
      </w:r>
      <w:r>
        <w:rPr>
          <w:rFonts w:hint="eastAsia" w:eastAsia="方正仿宋_GBK"/>
          <w:color w:val="auto"/>
          <w:sz w:val="28"/>
          <w:szCs w:val="28"/>
          <w:highlight w:val="none"/>
          <w:lang w:val="en-US" w:eastAsia="zh-CN"/>
        </w:rPr>
        <w:t xml:space="preserve">代理机构</w:t>
      </w:r>
      <w:r>
        <w:rPr>
          <w:rFonts w:eastAsia="方正仿宋_GBK"/>
          <w:color w:val="auto"/>
          <w:sz w:val="28"/>
          <w:szCs w:val="28"/>
          <w:highlight w:val="none"/>
        </w:rPr>
        <w:t xml:space="preserve">组织，在“苏采云”系统中进行开标，并公布各投标人的报价。</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1.3投标人在开标过程中涉及的投标文件解密、开标结果确认等工作，按照《</w:t>
      </w:r>
      <w:r>
        <w:rPr>
          <w:rFonts w:eastAsia="方正仿宋_GBK"/>
          <w:color w:val="auto"/>
          <w:sz w:val="28"/>
          <w:szCs w:val="28"/>
          <w:highlight w:val="none"/>
        </w:rPr>
        <w:t xml:space="preserve">江苏省政府采购管理交易系统（苏采云）供应商操作指南</w:t>
      </w:r>
      <w:r>
        <w:rPr>
          <w:rFonts w:eastAsia="方正仿宋_GBK"/>
          <w:bCs/>
          <w:color w:val="auto"/>
          <w:sz w:val="28"/>
          <w:szCs w:val="28"/>
          <w:highlight w:val="none"/>
        </w:rPr>
        <w:t xml:space="preserve">》执行。</w:t>
      </w:r>
      <w:r/>
    </w:p>
    <w:p>
      <w:pPr>
        <w:pStyle w:val="892"/>
        <w:ind w:firstLine="560"/>
        <w:jc w:val="both"/>
        <w:spacing w:line="500" w:lineRule="exact"/>
        <w:rPr>
          <w:rFonts w:eastAsia="方正仿宋_GBK"/>
          <w:color w:val="auto"/>
          <w:sz w:val="28"/>
          <w:szCs w:val="28"/>
          <w:highlight w:val="none"/>
        </w:rPr>
      </w:pPr>
      <w:r/>
      <w:bookmarkStart w:id="105" w:name="_Toc16938547"/>
      <w:r/>
      <w:bookmarkStart w:id="106" w:name="_Toc513029231"/>
      <w:r/>
      <w:bookmarkStart w:id="107" w:name="_Toc20823303"/>
      <w:r>
        <w:rPr>
          <w:rFonts w:eastAsia="方正仿宋_GBK"/>
          <w:color w:val="auto"/>
          <w:sz w:val="28"/>
          <w:szCs w:val="28"/>
          <w:highlight w:val="none"/>
        </w:rPr>
        <w:t xml:space="preserve">2评标委员会</w:t>
      </w:r>
      <w:r/>
    </w:p>
    <w:p>
      <w:pPr>
        <w:ind w:firstLine="560"/>
        <w:spacing w:line="500" w:lineRule="exact"/>
        <w:rPr>
          <w:rFonts w:eastAsia="方正仿宋_GBK"/>
          <w:b/>
          <w:color w:val="auto"/>
          <w:sz w:val="28"/>
          <w:szCs w:val="28"/>
          <w:highlight w:val="none"/>
        </w:rPr>
      </w:pPr>
      <w:r>
        <w:rPr>
          <w:rFonts w:eastAsia="方正仿宋_GBK"/>
          <w:color w:val="auto"/>
          <w:sz w:val="28"/>
          <w:szCs w:val="28"/>
          <w:highlight w:val="none"/>
        </w:rPr>
        <w:t xml:space="preserve">2.1开标后，</w:t>
      </w:r>
      <w:r>
        <w:rPr>
          <w:rFonts w:hint="eastAsia" w:eastAsia="方正仿宋_GBK"/>
          <w:color w:val="auto"/>
          <w:sz w:val="28"/>
          <w:szCs w:val="28"/>
          <w:highlight w:val="none"/>
          <w:lang w:val="en-US" w:eastAsia="zh-CN"/>
        </w:rPr>
        <w:t xml:space="preserve">代理机构</w:t>
      </w:r>
      <w:r>
        <w:rPr>
          <w:rFonts w:eastAsia="方正仿宋_GBK"/>
          <w:color w:val="auto"/>
          <w:sz w:val="28"/>
          <w:szCs w:val="28"/>
          <w:highlight w:val="none"/>
        </w:rPr>
        <w:t xml:space="preserve">将组织评标委员会（以下简称评委会）进行</w:t>
      </w:r>
      <w:r>
        <w:rPr>
          <w:rFonts w:eastAsia="方正仿宋_GBK"/>
          <w:color w:val="auto"/>
          <w:sz w:val="28"/>
          <w:szCs w:val="28"/>
          <w:highlight w:val="none"/>
        </w:rPr>
        <w:t xml:space="preserve">评标。</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2.2评委会由采购人代表和有关技术、经济等方面的专家组成，且人员构成符合政府采购有关规定。</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2.3评委会独立工作，负责评审所有投标文件并确定中标候选人。</w:t>
      </w:r>
      <w:r/>
    </w:p>
    <w:p>
      <w:pPr>
        <w:pStyle w:val="892"/>
        <w:ind w:firstLine="560"/>
        <w:jc w:val="both"/>
        <w:spacing w:line="500" w:lineRule="exact"/>
        <w:rPr>
          <w:rFonts w:eastAsia="方正仿宋_GBK"/>
          <w:color w:val="auto"/>
          <w:sz w:val="28"/>
          <w:szCs w:val="28"/>
          <w:highlight w:val="none"/>
        </w:rPr>
      </w:pPr>
      <w:r>
        <w:rPr>
          <w:rFonts w:eastAsia="方正仿宋_GBK"/>
          <w:color w:val="auto"/>
          <w:sz w:val="28"/>
          <w:szCs w:val="28"/>
          <w:highlight w:val="none"/>
        </w:rPr>
        <w:t xml:space="preserve">3.评标过程的保密与公正</w:t>
      </w:r>
      <w:bookmarkEnd w:id="105"/>
      <w:r/>
      <w:bookmarkEnd w:id="106"/>
      <w:r/>
      <w:bookmarkEnd w:id="107"/>
      <w:r/>
      <w:r/>
    </w:p>
    <w:p>
      <w:pPr>
        <w:ind w:firstLine="560"/>
        <w:spacing w:line="500" w:lineRule="exact"/>
        <w:rPr>
          <w:rFonts w:eastAsia="方正仿宋_GBK"/>
          <w:bCs/>
          <w:color w:val="auto"/>
          <w:sz w:val="28"/>
          <w:szCs w:val="28"/>
          <w:highlight w:val="none"/>
        </w:rPr>
      </w:pPr>
      <w:r>
        <w:rPr>
          <w:rFonts w:eastAsia="方正仿宋_GBK"/>
          <w:color w:val="auto"/>
          <w:sz w:val="28"/>
          <w:szCs w:val="28"/>
          <w:highlight w:val="none"/>
        </w:rPr>
        <w:t xml:space="preserve">3.1</w:t>
      </w:r>
      <w:r>
        <w:rPr>
          <w:rFonts w:eastAsia="方正仿宋_GBK"/>
          <w:bCs/>
          <w:color w:val="auto"/>
          <w:sz w:val="28"/>
          <w:szCs w:val="28"/>
          <w:highlight w:val="none"/>
        </w:rPr>
        <w:t xml:space="preserve">公开开标后，直至向中标的投标人授予合同时止，凡是与审查、澄清、评价和比较投标的有关资料以及授标建议等，采购人、评委、</w:t>
      </w:r>
      <w:r>
        <w:rPr>
          <w:rFonts w:hint="eastAsia" w:eastAsia="方正仿宋_GBK"/>
          <w:bCs/>
          <w:color w:val="auto"/>
          <w:sz w:val="28"/>
          <w:szCs w:val="28"/>
          <w:highlight w:val="none"/>
          <w:lang w:val="en-US" w:eastAsia="zh-CN"/>
        </w:rPr>
        <w:t xml:space="preserve">代理机构</w:t>
      </w:r>
      <w:r>
        <w:rPr>
          <w:rFonts w:eastAsia="方正仿宋_GBK"/>
          <w:bCs/>
          <w:color w:val="auto"/>
          <w:sz w:val="28"/>
          <w:szCs w:val="28"/>
          <w:highlight w:val="none"/>
        </w:rPr>
        <w:t xml:space="preserve">均不得向投标人或与评标无关的其他人员透露。</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3.2在评标过程中，投标人不得以任何行为影响评标过程，否则其投标文件将被作为无效投标文件。</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3.3在评标期间，</w:t>
      </w:r>
      <w:r>
        <w:rPr>
          <w:rFonts w:hint="eastAsia" w:eastAsia="方正仿宋_GBK"/>
          <w:color w:val="auto"/>
          <w:sz w:val="28"/>
          <w:szCs w:val="28"/>
          <w:highlight w:val="none"/>
          <w:lang w:val="en-US" w:eastAsia="zh-CN"/>
        </w:rPr>
        <w:t xml:space="preserve">代理机构</w:t>
      </w:r>
      <w:r>
        <w:rPr>
          <w:rFonts w:eastAsia="方正仿宋_GBK"/>
          <w:color w:val="auto"/>
          <w:sz w:val="28"/>
          <w:szCs w:val="28"/>
          <w:highlight w:val="none"/>
        </w:rPr>
        <w:t xml:space="preserve">将设专门人员与投标人联系。</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3.4</w:t>
      </w:r>
      <w:r>
        <w:rPr>
          <w:rFonts w:hint="eastAsia" w:eastAsia="方正仿宋_GBK"/>
          <w:color w:val="auto"/>
          <w:sz w:val="28"/>
          <w:szCs w:val="28"/>
          <w:highlight w:val="none"/>
          <w:lang w:val="en-US" w:eastAsia="zh-CN"/>
        </w:rPr>
        <w:t xml:space="preserve">代理机构</w:t>
      </w:r>
      <w:r>
        <w:rPr>
          <w:rFonts w:eastAsia="方正仿宋_GBK"/>
          <w:color w:val="auto"/>
          <w:sz w:val="28"/>
          <w:szCs w:val="28"/>
          <w:highlight w:val="none"/>
        </w:rPr>
        <w:t xml:space="preserve">和评标委员会不向未中标的投标人解释未中标原因，也不公布评标过程中的相关细节。</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3.5采用综合评分法的项目，未中标的投标人可于中标结果公告期限届满之日起通过“苏采云”系统查看自己的评审得分及排序情况。</w:t>
      </w:r>
      <w:r/>
    </w:p>
    <w:p>
      <w:pPr>
        <w:pStyle w:val="892"/>
        <w:ind w:firstLine="560"/>
        <w:jc w:val="both"/>
        <w:spacing w:line="500" w:lineRule="exact"/>
        <w:rPr>
          <w:rFonts w:eastAsia="方正仿宋_GBK"/>
          <w:color w:val="auto"/>
          <w:sz w:val="28"/>
          <w:szCs w:val="28"/>
          <w:highlight w:val="none"/>
        </w:rPr>
      </w:pPr>
      <w:r/>
      <w:bookmarkStart w:id="108" w:name="_Toc513029232"/>
      <w:r/>
      <w:bookmarkStart w:id="109" w:name="_Toc16938548"/>
      <w:r/>
      <w:bookmarkStart w:id="110" w:name="_Toc20823304"/>
      <w:r>
        <w:rPr>
          <w:rFonts w:eastAsia="方正仿宋_GBK"/>
          <w:color w:val="auto"/>
          <w:sz w:val="28"/>
          <w:szCs w:val="28"/>
          <w:highlight w:val="none"/>
        </w:rPr>
        <w:t xml:space="preserve">4.投标的澄清</w:t>
      </w:r>
      <w:bookmarkEnd w:id="108"/>
      <w:r/>
      <w:bookmarkEnd w:id="109"/>
      <w:r/>
      <w:bookmarkEnd w:id="110"/>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4.1评标期间，为有助于投标文件的审查、评价和比较，评委会有权以电子函件形式要求投标人对其投标文件进行澄清，但并非对每个投标人都作澄清要求。</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4.2接到评委会澄清要求的投标人应派人按评委会规定的时间和格式在“苏采云”系统中作出澄清，澄清的内容作为投标文件的补充部分，但投标的价格和实质性的内容不得做任何更改。具体操作方式见</w:t>
      </w:r>
      <w:r>
        <w:rPr>
          <w:rFonts w:eastAsia="方正仿宋_GBK"/>
          <w:bCs/>
          <w:color w:val="auto"/>
          <w:sz w:val="28"/>
          <w:szCs w:val="28"/>
          <w:highlight w:val="none"/>
        </w:rPr>
        <w:t xml:space="preserve">《</w:t>
      </w:r>
      <w:r>
        <w:rPr>
          <w:rFonts w:eastAsia="方正仿宋_GBK"/>
          <w:color w:val="auto"/>
          <w:sz w:val="28"/>
          <w:szCs w:val="28"/>
          <w:highlight w:val="none"/>
        </w:rPr>
        <w:t xml:space="preserve">江苏省政府采购管理交易系统（苏采云）供应商操作指南</w:t>
      </w:r>
      <w:r>
        <w:rPr>
          <w:rFonts w:eastAsia="方正仿宋_GBK"/>
          <w:bCs/>
          <w:color w:val="auto"/>
          <w:sz w:val="28"/>
          <w:szCs w:val="28"/>
          <w:highlight w:val="none"/>
        </w:rPr>
        <w:t xml:space="preserve">》</w:t>
      </w:r>
      <w:r>
        <w:rPr>
          <w:rFonts w:eastAsia="方正仿宋_GBK"/>
          <w:color w:val="auto"/>
          <w:sz w:val="28"/>
          <w:szCs w:val="28"/>
          <w:highlight w:val="none"/>
        </w:rPr>
        <w:t xml:space="preserve">。</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4.3接到评委会澄清要求的投标人如未按规定作出澄清，其风险由投标人自行承担。</w:t>
      </w:r>
      <w:r/>
    </w:p>
    <w:p>
      <w:pPr>
        <w:pStyle w:val="892"/>
        <w:ind w:firstLine="560"/>
        <w:jc w:val="both"/>
        <w:spacing w:line="500" w:lineRule="exact"/>
        <w:rPr>
          <w:rFonts w:eastAsia="方正仿宋_GBK"/>
          <w:color w:val="auto"/>
          <w:sz w:val="28"/>
          <w:szCs w:val="28"/>
          <w:highlight w:val="none"/>
        </w:rPr>
      </w:pPr>
      <w:r/>
      <w:bookmarkStart w:id="111" w:name="_Toc16938549"/>
      <w:r/>
      <w:bookmarkStart w:id="112" w:name="_Toc20823305"/>
      <w:r/>
      <w:bookmarkStart w:id="113" w:name="_Toc513029233"/>
      <w:r>
        <w:rPr>
          <w:rFonts w:eastAsia="方正仿宋_GBK"/>
          <w:color w:val="auto"/>
          <w:sz w:val="28"/>
          <w:szCs w:val="28"/>
          <w:highlight w:val="none"/>
        </w:rPr>
        <w:t xml:space="preserve">5对投标文件的初审</w:t>
      </w:r>
      <w:bookmarkEnd w:id="111"/>
      <w:r/>
      <w:bookmarkEnd w:id="112"/>
      <w:r/>
      <w:bookmarkEnd w:id="113"/>
      <w:r/>
      <w:r/>
    </w:p>
    <w:p>
      <w:pPr>
        <w:ind w:firstLine="560"/>
        <w:spacing w:line="500" w:lineRule="exact"/>
        <w:rPr>
          <w:rFonts w:eastAsia="方正仿宋_GBK"/>
          <w:bCs/>
          <w:color w:val="auto"/>
          <w:sz w:val="28"/>
          <w:szCs w:val="28"/>
          <w:highlight w:val="none"/>
        </w:rPr>
      </w:pPr>
      <w:r>
        <w:rPr>
          <w:rFonts w:eastAsia="方正仿宋_GBK"/>
          <w:color w:val="auto"/>
          <w:sz w:val="28"/>
          <w:szCs w:val="28"/>
          <w:highlight w:val="none"/>
        </w:rPr>
        <w:t xml:space="preserve">5.1</w:t>
      </w:r>
      <w:r>
        <w:rPr>
          <w:rFonts w:eastAsia="方正仿宋_GBK"/>
          <w:bCs/>
          <w:color w:val="auto"/>
          <w:sz w:val="28"/>
          <w:szCs w:val="28"/>
          <w:highlight w:val="none"/>
        </w:rPr>
        <w:t xml:space="preserve">投标文件初审分为资格审查和符合性审查。</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5.1.1资格审查：依据法律法规和招标文件的规定，由采购人对投标文件中的资格证明文件进行审查。进入评标程序后，资格审查的结论，采购人以书面形式向评委会进行反馈。</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采购人在进行资格性审查的同时，将在“信用中国”网站查询供应商的信用记录，以确定供应商是否具备参加投标的资格，查询结果留存并归档。</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5.1.2符合性审查：依据招标文件的规定，由评委会从投标文件的有效性、完整性和对招标文件的响应程度</w:t>
      </w:r>
      <w:r>
        <w:rPr>
          <w:rFonts w:hint="eastAsia" w:eastAsia="方正仿宋_GBK"/>
          <w:bCs/>
          <w:color w:val="auto"/>
          <w:sz w:val="28"/>
          <w:szCs w:val="28"/>
          <w:highlight w:val="none"/>
        </w:rPr>
        <w:t xml:space="preserve">（包括技术部分、商务部分和其他投标材料的响应）</w:t>
      </w:r>
      <w:r>
        <w:rPr>
          <w:rFonts w:eastAsia="方正仿宋_GBK"/>
          <w:bCs/>
          <w:color w:val="auto"/>
          <w:sz w:val="28"/>
          <w:szCs w:val="28"/>
          <w:highlight w:val="none"/>
        </w:rPr>
        <w:t xml:space="preserve">进行审查，以确定是否对招标文件的实质性要求作出响应。</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5.1.3未通过资格审查或符合性审查的投标人，</w:t>
      </w:r>
      <w:r>
        <w:rPr>
          <w:rFonts w:hint="eastAsia" w:eastAsia="方正仿宋_GBK"/>
          <w:bCs/>
          <w:color w:val="auto"/>
          <w:sz w:val="28"/>
          <w:szCs w:val="28"/>
          <w:highlight w:val="none"/>
          <w:lang w:val="en-US" w:eastAsia="zh-CN"/>
        </w:rPr>
        <w:t xml:space="preserve">代理机构</w:t>
      </w:r>
      <w:r>
        <w:rPr>
          <w:rFonts w:eastAsia="方正仿宋_GBK"/>
          <w:bCs/>
          <w:color w:val="auto"/>
          <w:sz w:val="28"/>
          <w:szCs w:val="28"/>
          <w:highlight w:val="none"/>
        </w:rPr>
        <w:t xml:space="preserve">将告知未通过资格审查或符合性审查的原因，评审结束后，</w:t>
      </w:r>
      <w:r>
        <w:rPr>
          <w:rFonts w:hint="eastAsia" w:eastAsia="方正仿宋_GBK"/>
          <w:bCs/>
          <w:color w:val="auto"/>
          <w:sz w:val="28"/>
          <w:szCs w:val="28"/>
          <w:highlight w:val="none"/>
          <w:lang w:val="en-US" w:eastAsia="zh-CN"/>
        </w:rPr>
        <w:t xml:space="preserve">代理机构</w:t>
      </w:r>
      <w:r>
        <w:rPr>
          <w:rFonts w:eastAsia="方正仿宋_GBK"/>
          <w:bCs/>
          <w:color w:val="auto"/>
          <w:sz w:val="28"/>
          <w:szCs w:val="28"/>
          <w:highlight w:val="none"/>
        </w:rPr>
        <w:t xml:space="preserve">将不再告知未通过资格审查或符合性审查的原因。</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eastAsia="方正仿宋_GBK"/>
          <w:bCs/>
          <w:color w:val="auto"/>
          <w:sz w:val="28"/>
          <w:szCs w:val="28"/>
          <w:highlight w:val="none"/>
        </w:rPr>
      </w:pPr>
      <w:r>
        <w:rPr>
          <w:rFonts w:eastAsia="方正仿宋_GBK"/>
          <w:color w:val="auto"/>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eastAsia="方正仿宋_GBK"/>
          <w:bCs/>
          <w:color w:val="auto"/>
          <w:sz w:val="28"/>
          <w:szCs w:val="28"/>
          <w:highlight w:val="none"/>
        </w:rPr>
        <w:t xml:space="preserve">评委决定投标文件的响应性只根据投标文件本身的内容，而不寻求外部的证据。</w:t>
      </w:r>
      <w:r/>
    </w:p>
    <w:p>
      <w:pPr>
        <w:ind w:firstLine="560"/>
        <w:spacing w:line="500" w:lineRule="exact"/>
        <w:rPr>
          <w:rFonts w:eastAsia="方正仿宋_GBK"/>
          <w:bCs/>
          <w:color w:val="auto"/>
          <w:sz w:val="28"/>
          <w:szCs w:val="28"/>
          <w:highlight w:val="none"/>
        </w:rPr>
      </w:pPr>
      <w:r>
        <w:rPr>
          <w:rFonts w:eastAsia="方正仿宋_GBK"/>
          <w:color w:val="auto"/>
          <w:sz w:val="28"/>
          <w:szCs w:val="28"/>
          <w:highlight w:val="none"/>
        </w:rPr>
        <w:t xml:space="preserve">5.3</w:t>
      </w:r>
      <w:r>
        <w:rPr>
          <w:rFonts w:eastAsia="方正仿宋_GBK"/>
          <w:bCs/>
          <w:color w:val="auto"/>
          <w:sz w:val="28"/>
          <w:szCs w:val="28"/>
          <w:highlight w:val="none"/>
        </w:rPr>
        <w:t xml:space="preserve">如果投标文件实质上没有响应招标文件的要求，评委会将予以拒绝，投标人不得通过修改或撤销不符合要求的偏离或保留而使其投标成为实质性响应的投标。</w:t>
      </w:r>
      <w:r/>
    </w:p>
    <w:p>
      <w:pPr>
        <w:ind w:firstLine="560"/>
        <w:spacing w:line="500" w:lineRule="exact"/>
        <w:rPr>
          <w:rFonts w:eastAsia="方正仿宋_GBK"/>
          <w:bCs/>
          <w:color w:val="auto"/>
          <w:sz w:val="28"/>
          <w:szCs w:val="28"/>
          <w:highlight w:val="none"/>
        </w:rPr>
      </w:pPr>
      <w:r>
        <w:rPr>
          <w:rFonts w:eastAsia="方正仿宋_GBK"/>
          <w:color w:val="auto"/>
          <w:sz w:val="28"/>
          <w:szCs w:val="28"/>
          <w:highlight w:val="none"/>
        </w:rPr>
        <w:t xml:space="preserve">5.4</w:t>
      </w:r>
      <w:r>
        <w:rPr>
          <w:rFonts w:eastAsia="方正仿宋_GBK"/>
          <w:bCs/>
          <w:color w:val="auto"/>
          <w:sz w:val="28"/>
          <w:szCs w:val="28"/>
          <w:highlight w:val="none"/>
        </w:rPr>
        <w:t xml:space="preserve">评委会将对确定为实质性响应的投标进行进一步审核，看其是否有计算上或累加上的算术错误，修正错误的原则如下：</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（1）投标文件中开标一览表内容与投标文件中相应内容不一致的，以开标一览表为准。</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（2）大写金额和小写金额不一致的，以大写金额为准。</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（3）单价金额小数点或者百分比有明显错位的，以开标一览表的总价为准，并修改单价。</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（4）总价金额与按单价汇总金额不一致的，以单价金额计算结果为准。</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同时出现两种以上错误的，按照前款规定的顺序修正。</w:t>
      </w:r>
      <w:r/>
    </w:p>
    <w:p>
      <w:pPr>
        <w:ind w:firstLine="560"/>
        <w:spacing w:line="500" w:lineRule="exact"/>
        <w:rPr>
          <w:rFonts w:eastAsia="方正仿宋_GBK"/>
          <w:bCs/>
          <w:color w:val="auto"/>
          <w:sz w:val="28"/>
          <w:szCs w:val="28"/>
          <w:highlight w:val="none"/>
        </w:rPr>
      </w:pPr>
      <w:r>
        <w:rPr>
          <w:rFonts w:eastAsia="方正仿宋_GBK"/>
          <w:color w:val="auto"/>
          <w:sz w:val="28"/>
          <w:szCs w:val="28"/>
          <w:highlight w:val="none"/>
        </w:rPr>
        <w:t xml:space="preserve">5.5</w:t>
      </w:r>
      <w:r>
        <w:rPr>
          <w:rFonts w:eastAsia="方正仿宋_GBK"/>
          <w:bCs/>
          <w:color w:val="auto"/>
          <w:sz w:val="28"/>
          <w:szCs w:val="28"/>
          <w:highlight w:val="none"/>
        </w:rPr>
        <w:t xml:space="preserve">评委会将按上述修正错误的方法调整投标文件中的投标报价，并通过</w:t>
      </w:r>
      <w:r>
        <w:rPr>
          <w:rFonts w:eastAsia="方正仿宋_GBK"/>
          <w:color w:val="auto"/>
          <w:sz w:val="28"/>
          <w:szCs w:val="28"/>
          <w:highlight w:val="none"/>
        </w:rPr>
        <w:t xml:space="preserve">“苏采云”</w:t>
      </w:r>
      <w:r>
        <w:rPr>
          <w:rFonts w:eastAsia="方正仿宋_GBK"/>
          <w:bCs/>
          <w:color w:val="auto"/>
          <w:sz w:val="28"/>
          <w:szCs w:val="28"/>
          <w:highlight w:val="none"/>
        </w:rPr>
        <w:t xml:space="preserve">系统告知投标人，调整后的价格应对投标人具有约束力。如果投标人不接受修正后的价格，则其投标将被拒绝。</w:t>
      </w:r>
      <w:r/>
    </w:p>
    <w:p>
      <w:pPr>
        <w:ind w:firstLine="560"/>
        <w:spacing w:line="500" w:lineRule="exact"/>
        <w:rPr>
          <w:rFonts w:eastAsia="方正仿宋_GBK"/>
          <w:bCs/>
          <w:color w:val="auto"/>
          <w:sz w:val="28"/>
          <w:szCs w:val="28"/>
          <w:highlight w:val="none"/>
        </w:rPr>
      </w:pPr>
      <w:r>
        <w:rPr>
          <w:rFonts w:eastAsia="方正仿宋_GBK"/>
          <w:color w:val="auto"/>
          <w:sz w:val="28"/>
          <w:szCs w:val="28"/>
          <w:highlight w:val="none"/>
        </w:rPr>
        <w:t xml:space="preserve">5.6</w:t>
      </w:r>
      <w:r>
        <w:rPr>
          <w:rFonts w:eastAsia="方正仿宋_GBK"/>
          <w:bCs/>
          <w:color w:val="auto"/>
          <w:sz w:val="28"/>
          <w:szCs w:val="28"/>
          <w:highlight w:val="none"/>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eastAsia="方正仿宋_GBK"/>
          <w:color w:val="auto"/>
          <w:sz w:val="28"/>
          <w:szCs w:val="28"/>
          <w:highlight w:val="none"/>
        </w:rPr>
      </w:pPr>
      <w:r/>
      <w:bookmarkStart w:id="114" w:name="_Toc16938550"/>
      <w:r/>
      <w:bookmarkStart w:id="115" w:name="_Toc513029234"/>
      <w:r/>
      <w:bookmarkStart w:id="116" w:name="_Toc20823306"/>
      <w:r>
        <w:rPr>
          <w:rFonts w:eastAsia="方正仿宋_GBK"/>
          <w:color w:val="auto"/>
          <w:sz w:val="28"/>
          <w:szCs w:val="28"/>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非单一产品采购项目，招标文件中将载明其中的核心产品。多家投标人提供的核心产品品牌相同的，按前两款规定处理。</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5.8投标人在开、评标全过程中应保持通信畅通，并安排专人与</w:t>
      </w:r>
      <w:r>
        <w:rPr>
          <w:rFonts w:hint="eastAsia" w:eastAsia="方正仿宋_GBK"/>
          <w:color w:val="auto"/>
          <w:sz w:val="28"/>
          <w:szCs w:val="28"/>
          <w:highlight w:val="none"/>
          <w:lang w:val="en-US" w:eastAsia="zh-CN"/>
        </w:rPr>
        <w:t xml:space="preserve">代理机构</w:t>
      </w:r>
      <w:r>
        <w:rPr>
          <w:rFonts w:eastAsia="方正仿宋_GBK"/>
          <w:color w:val="auto"/>
          <w:sz w:val="28"/>
          <w:szCs w:val="28"/>
          <w:highlight w:val="none"/>
        </w:rPr>
        <w:t xml:space="preserve">及评标委员会联系。</w:t>
      </w:r>
      <w:bookmarkEnd w:id="114"/>
      <w:r/>
      <w:bookmarkEnd w:id="115"/>
      <w:r/>
      <w:bookmarkEnd w:id="116"/>
      <w:r/>
      <w:r/>
    </w:p>
    <w:p>
      <w:pPr>
        <w:pStyle w:val="892"/>
        <w:ind w:firstLine="560"/>
        <w:jc w:val="both"/>
        <w:spacing w:line="500" w:lineRule="exact"/>
        <w:rPr>
          <w:rFonts w:eastAsia="方正仿宋_GBK"/>
          <w:color w:val="auto"/>
          <w:sz w:val="28"/>
          <w:szCs w:val="28"/>
          <w:highlight w:val="none"/>
        </w:rPr>
      </w:pPr>
      <w:r>
        <w:rPr>
          <w:rFonts w:eastAsia="方正仿宋_GBK"/>
          <w:color w:val="auto"/>
          <w:sz w:val="28"/>
          <w:szCs w:val="28"/>
          <w:highlight w:val="none"/>
        </w:rPr>
        <w:t xml:space="preserve">6.无效投标条款和废标条款</w:t>
      </w:r>
      <w:r/>
    </w:p>
    <w:p>
      <w:pPr>
        <w:ind w:firstLine="560"/>
        <w:spacing w:line="500" w:lineRule="exact"/>
        <w:rPr>
          <w:rFonts w:eastAsia="方正仿宋_GBK"/>
          <w:bCs/>
          <w:color w:val="auto"/>
          <w:sz w:val="28"/>
          <w:szCs w:val="28"/>
          <w:highlight w:val="none"/>
        </w:rPr>
      </w:pPr>
      <w:r/>
      <w:bookmarkStart w:id="117" w:name="_Toc16938551"/>
      <w:r/>
      <w:bookmarkStart w:id="118" w:name="_Toc513029235"/>
      <w:r/>
      <w:bookmarkStart w:id="119" w:name="_Toc20823307"/>
      <w:r>
        <w:rPr>
          <w:rFonts w:eastAsia="方正仿宋_GBK"/>
          <w:bCs/>
          <w:color w:val="auto"/>
          <w:sz w:val="28"/>
          <w:szCs w:val="28"/>
          <w:highlight w:val="none"/>
        </w:rPr>
        <w:t xml:space="preserve">6.1无效投标条款</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6.1.1投标人在</w:t>
      </w:r>
      <w:r>
        <w:rPr>
          <w:rFonts w:eastAsia="方正仿宋_GBK"/>
          <w:color w:val="auto"/>
          <w:sz w:val="28"/>
          <w:szCs w:val="28"/>
          <w:highlight w:val="none"/>
        </w:rPr>
        <w:t xml:space="preserve">“苏采云”</w:t>
      </w:r>
      <w:r>
        <w:rPr>
          <w:rFonts w:eastAsia="方正仿宋_GBK"/>
          <w:bCs/>
          <w:color w:val="auto"/>
          <w:sz w:val="28"/>
          <w:szCs w:val="28"/>
          <w:highlight w:val="none"/>
        </w:rPr>
        <w:t xml:space="preserve">系统规定的时间内未成功解密电子投标文件的。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6.1.2投标人未按照招标文件要求上传电子投标文件的。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6.1.3同一投标人提交两个（含两个）以上不同的投标报价的。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6.1.4投标人不具备招标文件中规定资格要求的。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6.1.5投标人的报价超过了采购预算或最高限价的。</w:t>
      </w:r>
      <w:r/>
    </w:p>
    <w:p>
      <w:pPr>
        <w:ind w:firstLine="560"/>
        <w:spacing w:line="500" w:lineRule="exact"/>
        <w:rPr>
          <w:rFonts w:eastAsia="方正仿宋_GBK"/>
          <w:bCs/>
          <w:i/>
          <w:color w:val="auto"/>
          <w:sz w:val="28"/>
          <w:szCs w:val="28"/>
          <w:highlight w:val="none"/>
          <w:u w:val="single"/>
        </w:rPr>
      </w:pPr>
      <w:r>
        <w:rPr>
          <w:rFonts w:eastAsia="方正仿宋_GBK"/>
          <w:bCs/>
          <w:color w:val="auto"/>
          <w:sz w:val="28"/>
          <w:szCs w:val="28"/>
          <w:highlight w:val="none"/>
        </w:rPr>
        <w:t xml:space="preserve">6.1.6未通过符合性检查的。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6.1.7不符合招标文件中规定的其他实质性要求和条件的。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6.1.9投标文件含有采购人不能接受的附加条件的。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6.1.10异常低价投标（响应）审查的情形和具体要求：</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6.1.10</w:t>
      </w:r>
      <w:r>
        <w:rPr>
          <w:rFonts w:hint="eastAsia" w:eastAsia="方正仿宋_GBK"/>
          <w:bCs/>
          <w:color w:val="auto"/>
          <w:sz w:val="28"/>
          <w:szCs w:val="28"/>
          <w:highlight w:val="none"/>
        </w:rPr>
        <w:t xml:space="preserve">.1</w:t>
      </w:r>
      <w:r>
        <w:rPr>
          <w:rFonts w:eastAsia="方正仿宋_GBK"/>
          <w:bCs/>
          <w:color w:val="auto"/>
          <w:sz w:val="28"/>
          <w:szCs w:val="28"/>
          <w:highlight w:val="none"/>
        </w:rPr>
        <w:t xml:space="preserve">评审过程中出现下列情形之一的，评标委员会应当启动异常低价投标（响应）审查程序：</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①投标（响应）报价低于全部通过符合性审查供应商投标（响应）报价平均值</w:t>
      </w:r>
      <w:r>
        <w:rPr>
          <w:rFonts w:eastAsia="方正仿宋_GBK"/>
          <w:bCs/>
          <w:color w:val="auto"/>
          <w:sz w:val="28"/>
          <w:szCs w:val="28"/>
          <w:highlight w:val="none"/>
        </w:rPr>
        <w:t xml:space="preserve">50</w:t>
      </w:r>
      <w:r>
        <w:rPr>
          <w:rFonts w:eastAsia="方正仿宋_GBK"/>
          <w:bCs/>
          <w:color w:val="auto"/>
          <w:sz w:val="28"/>
          <w:szCs w:val="28"/>
          <w:highlight w:val="none"/>
        </w:rPr>
        <w:t xml:space="preserve">%的，即投标（响应）报价&lt;全部通过符合性审查供应商投标（响应）报价平均值×</w:t>
      </w:r>
      <w:r>
        <w:rPr>
          <w:rFonts w:eastAsia="方正仿宋_GBK"/>
          <w:bCs/>
          <w:color w:val="auto"/>
          <w:sz w:val="28"/>
          <w:szCs w:val="28"/>
          <w:highlight w:val="none"/>
        </w:rPr>
        <w:t xml:space="preserve">50</w:t>
      </w:r>
      <w:r>
        <w:rPr>
          <w:rFonts w:eastAsia="方正仿宋_GBK"/>
          <w:bCs/>
          <w:color w:val="auto"/>
          <w:sz w:val="28"/>
          <w:szCs w:val="28"/>
          <w:highlight w:val="none"/>
        </w:rPr>
        <w:t xml:space="preserve">%；</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②投标（响应）报价低于通过符合性审查的次低报价供应商投标（响应）报价</w:t>
      </w:r>
      <w:r>
        <w:rPr>
          <w:rFonts w:eastAsia="方正仿宋_GBK"/>
          <w:bCs/>
          <w:color w:val="auto"/>
          <w:sz w:val="28"/>
          <w:szCs w:val="28"/>
          <w:highlight w:val="none"/>
        </w:rPr>
        <w:t xml:space="preserve">50</w:t>
      </w:r>
      <w:r>
        <w:rPr>
          <w:rFonts w:eastAsia="方正仿宋_GBK"/>
          <w:bCs/>
          <w:color w:val="auto"/>
          <w:sz w:val="28"/>
          <w:szCs w:val="28"/>
          <w:highlight w:val="none"/>
        </w:rPr>
        <w:t xml:space="preserve">%的，即投标（响应）报价&lt;通过符合性审查的次低报价供应商投标（响应）报价×</w:t>
      </w:r>
      <w:r>
        <w:rPr>
          <w:rFonts w:eastAsia="方正仿宋_GBK"/>
          <w:bCs/>
          <w:color w:val="auto"/>
          <w:sz w:val="28"/>
          <w:szCs w:val="28"/>
          <w:highlight w:val="none"/>
        </w:rPr>
        <w:t xml:space="preserve">50</w:t>
      </w:r>
      <w:r>
        <w:rPr>
          <w:rFonts w:eastAsia="方正仿宋_GBK"/>
          <w:bCs/>
          <w:color w:val="auto"/>
          <w:sz w:val="28"/>
          <w:szCs w:val="28"/>
          <w:highlight w:val="none"/>
        </w:rPr>
        <w:t xml:space="preserve">%；</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③投标（响应）报价低于采购项目最高限价</w:t>
      </w:r>
      <w:r>
        <w:rPr>
          <w:rFonts w:eastAsia="方正仿宋_GBK"/>
          <w:bCs/>
          <w:color w:val="auto"/>
          <w:sz w:val="28"/>
          <w:szCs w:val="28"/>
          <w:highlight w:val="none"/>
        </w:rPr>
        <w:t xml:space="preserve">45</w:t>
      </w:r>
      <w:r>
        <w:rPr>
          <w:rFonts w:eastAsia="方正仿宋_GBK"/>
          <w:bCs/>
          <w:color w:val="auto"/>
          <w:sz w:val="28"/>
          <w:szCs w:val="28"/>
          <w:highlight w:val="none"/>
        </w:rPr>
        <w:t xml:space="preserve">%的，即投标（响应）报价&lt;采购项目最高限价×</w:t>
      </w:r>
      <w:r>
        <w:rPr>
          <w:rFonts w:eastAsia="方正仿宋_GBK"/>
          <w:bCs/>
          <w:color w:val="auto"/>
          <w:sz w:val="28"/>
          <w:szCs w:val="28"/>
          <w:highlight w:val="none"/>
        </w:rPr>
        <w:t xml:space="preserve">45</w:t>
      </w:r>
      <w:r>
        <w:rPr>
          <w:rFonts w:eastAsia="方正仿宋_GBK"/>
          <w:bCs/>
          <w:color w:val="auto"/>
          <w:sz w:val="28"/>
          <w:szCs w:val="28"/>
          <w:highlight w:val="none"/>
        </w:rPr>
        <w:t xml:space="preserve">%；</w:t>
      </w:r>
      <w:r/>
    </w:p>
    <w:p>
      <w:pPr>
        <w:ind w:firstLine="560"/>
        <w:spacing w:line="500" w:lineRule="exact"/>
        <w:rPr>
          <w:rFonts w:eastAsia="方正仿宋_GBK"/>
          <w:bCs/>
          <w:color w:val="auto"/>
          <w:sz w:val="28"/>
          <w:szCs w:val="28"/>
          <w:highlight w:val="none"/>
        </w:rPr>
      </w:pPr>
      <w:r>
        <w:rPr>
          <w:rFonts w:hint="eastAsia" w:eastAsia="方正仿宋_GBK"/>
          <w:bCs/>
          <w:color w:val="auto"/>
          <w:sz w:val="28"/>
          <w:szCs w:val="28"/>
          <w:highlight w:val="none"/>
        </w:rPr>
        <w:t xml:space="preserve">④</w:t>
      </w:r>
      <w:r>
        <w:rPr>
          <w:rFonts w:eastAsia="方正仿宋_GBK"/>
          <w:bCs/>
          <w:color w:val="auto"/>
          <w:sz w:val="28"/>
          <w:szCs w:val="28"/>
          <w:highlight w:val="none"/>
        </w:rPr>
        <w:t xml:space="preserve">评标委员会基于专业判断，认为供应商报价过低，有可能影响产品质量或者不能诚信履约的其他情形。</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6.1.10</w:t>
      </w:r>
      <w:r>
        <w:rPr>
          <w:rFonts w:hint="eastAsia" w:eastAsia="方正仿宋_GBK"/>
          <w:bCs/>
          <w:color w:val="auto"/>
          <w:sz w:val="28"/>
          <w:szCs w:val="28"/>
          <w:highlight w:val="none"/>
        </w:rPr>
        <w:t xml:space="preserve">.2</w:t>
      </w:r>
      <w:r>
        <w:rPr>
          <w:rFonts w:eastAsia="方正仿宋_GBK"/>
          <w:bCs/>
          <w:color w:val="auto"/>
          <w:sz w:val="28"/>
          <w:szCs w:val="28"/>
          <w:highlight w:val="none"/>
        </w:rPr>
        <w:t xml:space="preserve">启动异常低价投标（响应）审查后，属于前述第① 项至第</w:t>
      </w:r>
      <w:r>
        <w:rPr>
          <w:rFonts w:hint="eastAsia" w:eastAsia="方正仿宋_GBK"/>
          <w:bCs/>
          <w:color w:val="auto"/>
          <w:sz w:val="28"/>
          <w:szCs w:val="28"/>
          <w:highlight w:val="none"/>
        </w:rPr>
        <w:t xml:space="preserve">④</w:t>
      </w:r>
      <w:r>
        <w:rPr>
          <w:rFonts w:eastAsia="方正仿宋_GBK"/>
          <w:bCs/>
          <w:color w:val="auto"/>
          <w:sz w:val="28"/>
          <w:szCs w:val="28"/>
          <w:highlight w:val="none"/>
        </w:rPr>
        <w:t xml:space="preserve"> 项情形的，评标委员会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6.1.11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6.1.12投标文件未按照招标文件要求加盖电子签章。</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6.1.13不同投标人的投标文件经系统查询Mac地址、标书制作工具客户端标识码一致的。（符合本条款不同的投标人不得参加本项目的后续采购事项，并移送政府采购监管部门进行处理。）</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6.1.14其他法律、法规及本招标文件规定的属于无效投标的情形。</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6.2废标条款：</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6.2.1符合专业条件的供应商或者对招标文件作实质响应的供应商不足三家的。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6.2.2出现影响采购公正的违法、违规行为的。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6.2.3因重大变故，采购任务取消的。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6.2.4评标委员会认定招标文件存在歧义、重大缺陷导致评审工作无法进行。</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6.2.5因</w:t>
      </w:r>
      <w:r>
        <w:rPr>
          <w:rFonts w:eastAsia="方正仿宋_GBK"/>
          <w:color w:val="auto"/>
          <w:sz w:val="28"/>
          <w:szCs w:val="28"/>
          <w:highlight w:val="none"/>
        </w:rPr>
        <w:t xml:space="preserve">“苏采云”系统故障</w:t>
      </w:r>
      <w:r>
        <w:rPr>
          <w:rFonts w:eastAsia="方正仿宋_GBK"/>
          <w:bCs/>
          <w:color w:val="auto"/>
          <w:sz w:val="28"/>
          <w:szCs w:val="28"/>
          <w:highlight w:val="none"/>
        </w:rPr>
        <w:t xml:space="preserve">原因造成开评标无法继续进行的。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6.3投标截止时间结束后参加投标的供应商不足三家的处理：</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6.3.1如出现投标截止时间结束后参加投标的供应商或者在评标期间对招标文件做出实质响应的供应商不足三家情况，按政府采购相关规定执行。</w:t>
      </w:r>
      <w:bookmarkEnd w:id="117"/>
      <w:r/>
      <w:bookmarkEnd w:id="118"/>
      <w:r/>
      <w:bookmarkEnd w:id="119"/>
      <w:r/>
      <w:r/>
    </w:p>
    <w:p>
      <w:pPr>
        <w:ind w:firstLine="560"/>
        <w:spacing w:line="500" w:lineRule="exact"/>
        <w:rPr>
          <w:rFonts w:ascii="方正黑体_GBK" w:hAnsi="方正黑体_GBK" w:eastAsia="方正黑体_GBK" w:cs="方正黑体_GBK"/>
          <w:bCs/>
          <w:color w:val="auto"/>
          <w:sz w:val="28"/>
          <w:szCs w:val="28"/>
          <w:highlight w:val="none"/>
        </w:rPr>
      </w:pPr>
      <w:r/>
      <w:bookmarkStart w:id="120" w:name="_Toc120614219"/>
      <w:r>
        <w:rPr>
          <w:rFonts w:ascii="方正黑体_GBK" w:hAnsi="方正黑体_GBK" w:eastAsia="方正黑体_GBK" w:cs="方正黑体_GBK"/>
          <w:bCs/>
          <w:color w:val="auto"/>
          <w:sz w:val="28"/>
          <w:szCs w:val="28"/>
          <w:highlight w:val="none"/>
        </w:rPr>
        <w:t xml:space="preserve">六、定标</w:t>
      </w:r>
      <w:bookmarkEnd w:id="120"/>
      <w:r/>
      <w:r/>
    </w:p>
    <w:p>
      <w:pPr>
        <w:ind w:firstLine="560"/>
        <w:spacing w:line="500" w:lineRule="exact"/>
        <w:rPr>
          <w:rFonts w:eastAsia="方正仿宋_GBK"/>
          <w:bCs/>
          <w:color w:val="auto"/>
          <w:sz w:val="28"/>
          <w:szCs w:val="28"/>
          <w:highlight w:val="none"/>
        </w:rPr>
      </w:pPr>
      <w:r/>
      <w:bookmarkStart w:id="121" w:name="_Toc20823310"/>
      <w:r/>
      <w:bookmarkStart w:id="122" w:name="_Toc16938554"/>
      <w:r>
        <w:rPr>
          <w:rFonts w:eastAsia="方正仿宋_GBK"/>
          <w:bCs/>
          <w:color w:val="auto"/>
          <w:sz w:val="28"/>
          <w:szCs w:val="28"/>
          <w:highlight w:val="none"/>
        </w:rPr>
        <w:t xml:space="preserve">1.确定</w:t>
      </w:r>
      <w:bookmarkEnd w:id="121"/>
      <w:r/>
      <w:bookmarkEnd w:id="122"/>
      <w:r>
        <w:rPr>
          <w:rFonts w:eastAsia="方正仿宋_GBK"/>
          <w:bCs/>
          <w:color w:val="auto"/>
          <w:sz w:val="28"/>
          <w:szCs w:val="28"/>
          <w:highlight w:val="none"/>
        </w:rPr>
        <w:t xml:space="preserve">中标单位</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1.1中标候选人的选取原则和数量见招标文件第四部分规定。</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1.2</w:t>
      </w:r>
      <w:r>
        <w:rPr>
          <w:rFonts w:eastAsia="方正仿宋_GBK"/>
          <w:color w:val="auto"/>
          <w:sz w:val="28"/>
          <w:szCs w:val="28"/>
          <w:highlight w:val="none"/>
        </w:rPr>
        <w:t xml:space="preserve">采购人应根据评委会推荐的中标候选人确定中标人。</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1.3</w:t>
      </w:r>
      <w:r>
        <w:rPr>
          <w:rFonts w:hint="eastAsia" w:eastAsia="方正仿宋_GBK"/>
          <w:color w:val="auto"/>
          <w:sz w:val="28"/>
          <w:szCs w:val="28"/>
          <w:highlight w:val="none"/>
          <w:lang w:val="en-US" w:eastAsia="zh-CN"/>
        </w:rPr>
        <w:t xml:space="preserve">代理机构</w:t>
      </w:r>
      <w:r>
        <w:rPr>
          <w:rFonts w:eastAsia="方正仿宋_GBK"/>
          <w:color w:val="auto"/>
          <w:sz w:val="28"/>
          <w:szCs w:val="28"/>
          <w:highlight w:val="none"/>
        </w:rPr>
        <w:t xml:space="preserve">将在江苏政府采购网发布中标公告，公告期限为1个工作日。</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1.4若有充分证据证明，中标人出现下列情况之一的，一经查实，将被取消中标资格：</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1.4.1提供虚假材料谋取中标的。</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1.4.2向采购人、</w:t>
      </w:r>
      <w:r>
        <w:rPr>
          <w:rFonts w:hint="eastAsia" w:eastAsia="方正仿宋_GBK"/>
          <w:color w:val="auto"/>
          <w:sz w:val="28"/>
          <w:szCs w:val="28"/>
          <w:highlight w:val="none"/>
          <w:lang w:val="en-US" w:eastAsia="zh-CN"/>
        </w:rPr>
        <w:t xml:space="preserve">代理机构</w:t>
      </w:r>
      <w:r>
        <w:rPr>
          <w:rFonts w:eastAsia="方正仿宋_GBK"/>
          <w:color w:val="auto"/>
          <w:sz w:val="28"/>
          <w:szCs w:val="28"/>
          <w:highlight w:val="none"/>
        </w:rPr>
        <w:t xml:space="preserve">行贿或者提供其他不正当利益的。</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1.4.3恶意竞争，投标总报价明显低于其自身合理成本且又无法提供证明的。</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1.4.4属于本文件规定的无效条件，但在评标过程中又未被评委会发现的。</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1.4.5与采购人或者其他供应商恶意串通的。</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1.4.6采取不正当手段诋毁、排挤其他供应商的。</w:t>
      </w:r>
      <w:r/>
    </w:p>
    <w:p>
      <w:pPr>
        <w:ind w:firstLine="560"/>
        <w:spacing w:line="500" w:lineRule="exact"/>
        <w:rPr>
          <w:rFonts w:eastAsia="方正仿宋_GBK"/>
          <w:color w:val="auto"/>
          <w:sz w:val="28"/>
          <w:szCs w:val="28"/>
          <w:highlight w:val="none"/>
        </w:rPr>
      </w:pPr>
      <w:r/>
      <w:bookmarkStart w:id="123" w:name="_Toc200451960"/>
      <w:r>
        <w:rPr>
          <w:rFonts w:eastAsia="方正仿宋_GBK"/>
          <w:color w:val="auto"/>
          <w:sz w:val="28"/>
          <w:szCs w:val="28"/>
          <w:highlight w:val="none"/>
        </w:rPr>
        <w:t xml:space="preserve">1.5.</w:t>
      </w:r>
      <w:r>
        <w:rPr>
          <w:rFonts w:eastAsia="方正仿宋_GBK"/>
          <w:color w:val="auto"/>
          <w:sz w:val="28"/>
          <w:szCs w:val="28"/>
          <w:highlight w:val="none"/>
        </w:rPr>
        <w:t xml:space="preserve">有下列情形之一的，视为投标人串通投标，投标无效：</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1.5.1不同投标人的投标文件由同一单位或者个人编制；</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1.5.2不同投标人委托同一单位或者个人办理投标事宜；</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1.5.3不同投标人的投标文件载明的项目管理成员或者联系人员为同一人；</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1.5.4不同投标人的投标文件异常一致或者投标报价呈规律性差异；</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1.5.5不同投标人的投标文件相互混装；</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2.质疑处理</w:t>
      </w:r>
      <w:bookmarkEnd w:id="123"/>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2.1提出质疑的供应商应当是参与所质疑项目采购活动的供应商。潜在供应商依法获取其可质疑的采购文件的，可以对采购文件提出质疑。</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2.2供应商认为采购文件、采购过程和采购结果使自己的权益受到损害的，可以在知道或应知其权益受到损害之日起7个工作日内，以书面形式向采购人提出质疑。上述应知其权益受到损害之日，是指：</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2.2.1</w:t>
      </w:r>
      <w:r>
        <w:rPr>
          <w:rFonts w:eastAsia="方正仿宋_GBK"/>
          <w:color w:val="auto"/>
          <w:sz w:val="28"/>
          <w:szCs w:val="28"/>
          <w:highlight w:val="none"/>
        </w:rPr>
        <w:t xml:space="preserve">对可以质疑的采购文件提出质疑的，为收到采购文件之日或者采购文件公告期限届满之日；</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2.2.2</w:t>
      </w:r>
      <w:r>
        <w:rPr>
          <w:rFonts w:eastAsia="方正仿宋_GBK"/>
          <w:color w:val="auto"/>
          <w:sz w:val="28"/>
          <w:szCs w:val="28"/>
          <w:highlight w:val="none"/>
        </w:rPr>
        <w:t xml:space="preserve">对采购过程提出质疑的，为各采购程序环节结束之日；</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2.2.3</w:t>
      </w:r>
      <w:r>
        <w:rPr>
          <w:rFonts w:eastAsia="方正仿宋_GBK"/>
          <w:color w:val="auto"/>
          <w:sz w:val="28"/>
          <w:szCs w:val="28"/>
          <w:highlight w:val="none"/>
        </w:rPr>
        <w:t xml:space="preserve">对中标或者成交结果提出质疑的，为中标或者成交结果公告期限届满之日。</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供应商应当在法定质疑期内一次性提出针对同一采购程序环节的质疑。</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eastAsia="方正仿宋_GBK"/>
          <w:b/>
          <w:color w:val="auto"/>
          <w:sz w:val="28"/>
          <w:szCs w:val="28"/>
          <w:highlight w:val="none"/>
        </w:rPr>
      </w:pPr>
      <w:r>
        <w:rPr>
          <w:rFonts w:eastAsia="方正仿宋_GBK"/>
          <w:color w:val="auto"/>
          <w:sz w:val="28"/>
          <w:szCs w:val="28"/>
          <w:highlight w:val="none"/>
        </w:rPr>
        <w:t xml:space="preserve">2.4对采购方式、招标文件中项目需求、供应商资格条件、评标方法和评标标准、资格审查结果等应当由采购人答复的质疑，请向采购人提出，由采购人负责答复。供应商对其他事项的质疑，请向</w:t>
      </w:r>
      <w:r>
        <w:rPr>
          <w:rFonts w:hint="eastAsia" w:eastAsia="方正仿宋_GBK"/>
          <w:color w:val="auto"/>
          <w:sz w:val="28"/>
          <w:szCs w:val="28"/>
          <w:highlight w:val="none"/>
          <w:lang w:val="en-US" w:eastAsia="zh-CN"/>
        </w:rPr>
        <w:t xml:space="preserve">采购人</w:t>
      </w:r>
      <w:r>
        <w:rPr>
          <w:rFonts w:eastAsia="方正仿宋_GBK"/>
          <w:color w:val="auto"/>
          <w:sz w:val="28"/>
          <w:szCs w:val="28"/>
          <w:highlight w:val="none"/>
        </w:rPr>
        <w:t xml:space="preserve">提出，由</w:t>
      </w:r>
      <w:r>
        <w:rPr>
          <w:rFonts w:hint="eastAsia" w:eastAsia="方正仿宋_GBK"/>
          <w:color w:val="auto"/>
          <w:sz w:val="28"/>
          <w:szCs w:val="28"/>
          <w:highlight w:val="none"/>
          <w:lang w:val="en-US" w:eastAsia="zh-CN"/>
        </w:rPr>
        <w:t xml:space="preserve">采购人</w:t>
      </w:r>
      <w:r>
        <w:rPr>
          <w:rFonts w:eastAsia="方正仿宋_GBK"/>
          <w:color w:val="auto"/>
          <w:sz w:val="28"/>
          <w:szCs w:val="28"/>
          <w:highlight w:val="none"/>
        </w:rPr>
        <w:t xml:space="preserve">负责答复。</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供应商于法定期限内提起质疑，向采购人以书面形式提交质疑函。</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采购人质疑接收人及联系方式，见招标文件第一章。</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2.5以下情形的质疑不予受理</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2.5.1内容不符合《政府采购质疑和投诉办法》第十二条规定的质疑。</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2.5.2超出政府采购法定期限的质疑。</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2.5.3未参加投标活动的供应商或在投标活动中自身权益未受到损害的供应商所提出的质疑。</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2.5.4供应商组成联合体参加投标，联合体中任何一方或多方未按要求签字、盖章、加盖公章的质疑。</w:t>
      </w:r>
      <w:r/>
    </w:p>
    <w:p>
      <w:pPr>
        <w:ind w:firstLine="546"/>
        <w:spacing w:line="500" w:lineRule="exact"/>
        <w:rPr>
          <w:rFonts w:eastAsia="方正仿宋_GBK"/>
          <w:color w:val="auto"/>
          <w:sz w:val="28"/>
          <w:szCs w:val="28"/>
          <w:highlight w:val="none"/>
        </w:rPr>
      </w:pPr>
      <w:r>
        <w:rPr>
          <w:rFonts w:eastAsia="方正仿宋_GBK"/>
          <w:color w:val="auto"/>
          <w:sz w:val="28"/>
          <w:szCs w:val="28"/>
          <w:highlight w:val="none"/>
        </w:rPr>
        <w:t xml:space="preserve">2.6供应商提出书面质疑必须有理、有据，不得捏造事实、提供虚假材料进行恶意质疑。否则，一经查实，</w:t>
      </w:r>
      <w:r>
        <w:rPr>
          <w:rFonts w:hint="eastAsia" w:eastAsia="方正仿宋_GBK"/>
          <w:color w:val="auto"/>
          <w:sz w:val="28"/>
          <w:szCs w:val="28"/>
          <w:highlight w:val="none"/>
          <w:lang w:val="en-US" w:eastAsia="zh-CN"/>
        </w:rPr>
        <w:t xml:space="preserve">采购人</w:t>
      </w:r>
      <w:r>
        <w:rPr>
          <w:rFonts w:eastAsia="方正仿宋_GBK"/>
          <w:color w:val="auto"/>
          <w:sz w:val="28"/>
          <w:szCs w:val="28"/>
          <w:highlight w:val="none"/>
        </w:rPr>
        <w:t xml:space="preserve">有权依据政府采购的有关规定，报请政府采购监管部门对该供应商进行相应的行政处罚和记录该供应商的失信信息。</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3中标通知书</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3.l中标结果确定后，</w:t>
      </w:r>
      <w:r>
        <w:rPr>
          <w:rFonts w:hint="eastAsia" w:eastAsia="方正仿宋_GBK"/>
          <w:color w:val="auto"/>
          <w:sz w:val="28"/>
          <w:szCs w:val="28"/>
          <w:highlight w:val="none"/>
          <w:lang w:val="en-US" w:eastAsia="zh-CN"/>
        </w:rPr>
        <w:t xml:space="preserve">采购人</w:t>
      </w:r>
      <w:r>
        <w:rPr>
          <w:rFonts w:eastAsia="方正仿宋_GBK"/>
          <w:color w:val="auto"/>
          <w:sz w:val="28"/>
          <w:szCs w:val="28"/>
          <w:highlight w:val="none"/>
        </w:rPr>
        <w:t xml:space="preserve">将向中标供应商发出中标通知书</w:t>
      </w:r>
      <w:r>
        <w:rPr>
          <w:rFonts w:eastAsia="方正仿宋_GBK"/>
          <w:bCs/>
          <w:color w:val="auto"/>
          <w:sz w:val="28"/>
          <w:szCs w:val="28"/>
          <w:highlight w:val="none"/>
        </w:rPr>
        <w:t xml:space="preserve">（详见招标文件第四部分）</w:t>
      </w:r>
      <w:r>
        <w:rPr>
          <w:rFonts w:eastAsia="方正仿宋_GBK"/>
          <w:color w:val="auto"/>
          <w:sz w:val="28"/>
          <w:szCs w:val="28"/>
          <w:highlight w:val="none"/>
        </w:rPr>
        <w:t xml:space="preserve">。</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3.2中标通知书将是合同的一个组成部分。对采购人和中标供应商均具有法律效力。中标通知书发出后，采购人改变中标结果的，或者中标供应商放弃中标项目的，应当依法承担法律责任。</w:t>
      </w:r>
      <w:r/>
    </w:p>
    <w:p>
      <w:pPr>
        <w:ind w:firstLine="560"/>
        <w:spacing w:line="500" w:lineRule="exact"/>
        <w:rPr>
          <w:rFonts w:ascii="方正黑体_GBK" w:hAnsi="方正黑体_GBK" w:eastAsia="方正黑体_GBK" w:cs="方正黑体_GBK"/>
          <w:bCs/>
          <w:color w:val="auto"/>
          <w:sz w:val="28"/>
          <w:szCs w:val="28"/>
          <w:highlight w:val="none"/>
        </w:rPr>
      </w:pPr>
      <w:r/>
      <w:bookmarkStart w:id="124" w:name="_Toc120614220"/>
      <w:r/>
      <w:bookmarkStart w:id="125" w:name="_Toc20823308"/>
      <w:r/>
      <w:bookmarkStart w:id="126" w:name="_Toc16938552"/>
      <w:r/>
      <w:bookmarkStart w:id="127" w:name="_Toc513029236"/>
      <w:r>
        <w:rPr>
          <w:rFonts w:ascii="方正黑体_GBK" w:hAnsi="方正黑体_GBK" w:eastAsia="方正黑体_GBK" w:cs="方正黑体_GBK"/>
          <w:bCs/>
          <w:color w:val="auto"/>
          <w:sz w:val="28"/>
          <w:szCs w:val="28"/>
          <w:highlight w:val="none"/>
        </w:rPr>
        <w:t xml:space="preserve">七、授予合同</w:t>
      </w:r>
      <w:bookmarkEnd w:id="124"/>
      <w:r/>
      <w:bookmarkEnd w:id="125"/>
      <w:r/>
      <w:bookmarkEnd w:id="126"/>
      <w:r/>
      <w:bookmarkEnd w:id="127"/>
      <w:r/>
      <w:r/>
    </w:p>
    <w:p>
      <w:pPr>
        <w:ind w:firstLine="560"/>
        <w:spacing w:line="500" w:lineRule="exact"/>
        <w:rPr>
          <w:rFonts w:eastAsia="方正仿宋_GBK"/>
          <w:color w:val="auto"/>
          <w:sz w:val="28"/>
          <w:szCs w:val="28"/>
          <w:highlight w:val="none"/>
        </w:rPr>
      </w:pPr>
      <w:r/>
      <w:bookmarkStart w:id="128" w:name="_Toc20823309"/>
      <w:r/>
      <w:bookmarkStart w:id="129" w:name="_Toc513029237"/>
      <w:r/>
      <w:bookmarkStart w:id="130" w:name="_Toc16938553"/>
      <w:r>
        <w:rPr>
          <w:rFonts w:eastAsia="方正仿宋_GBK"/>
          <w:color w:val="auto"/>
          <w:sz w:val="28"/>
          <w:szCs w:val="28"/>
          <w:highlight w:val="none"/>
        </w:rPr>
        <w:t xml:space="preserve">1.签订合同</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1</w:t>
      </w:r>
      <w:r>
        <w:rPr>
          <w:rFonts w:eastAsia="方正仿宋_GBK"/>
          <w:color w:val="auto"/>
          <w:sz w:val="28"/>
          <w:szCs w:val="28"/>
          <w:highlight w:val="none"/>
        </w:rPr>
        <w:t xml:space="preserve">.l中标人应当在中标通知书发出之日起三十日内，按照招标文件确定的事项与采购人签订政府采购合同。</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1.2招标文件、中标人的投标文件及招标过程中有关澄清、承诺文件均应作为合同附件。</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2.货物和服务的追加、减少和添购</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eastAsia="方正仿宋_GBK"/>
          <w:b/>
          <w:color w:val="auto"/>
          <w:sz w:val="28"/>
          <w:szCs w:val="28"/>
          <w:highlight w:val="none"/>
        </w:rPr>
      </w:pPr>
      <w:r>
        <w:rPr>
          <w:rFonts w:eastAsia="方正仿宋_GBK"/>
          <w:color w:val="auto"/>
          <w:sz w:val="28"/>
          <w:szCs w:val="28"/>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28"/>
      <w:r/>
      <w:bookmarkEnd w:id="129"/>
      <w:r/>
      <w:bookmarkEnd w:id="130"/>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3.合同信用融资扶持政策</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spacing w:line="500" w:lineRule="exact"/>
        <w:rPr>
          <w:color w:val="auto"/>
          <w:highlight w:val="none"/>
        </w:rPr>
      </w:pPr>
      <w:r>
        <w:rPr>
          <w:color w:val="auto"/>
          <w:highlight w:val="none"/>
        </w:rPr>
      </w:r>
      <w:r/>
    </w:p>
    <w:p>
      <w:pPr>
        <w:spacing w:line="500" w:lineRule="exact"/>
        <w:rPr>
          <w:color w:val="auto"/>
          <w:highlight w:val="none"/>
        </w:rPr>
      </w:pPr>
      <w:r>
        <w:rPr>
          <w:color w:val="auto"/>
          <w:highlight w:val="none"/>
        </w:rPr>
      </w:r>
      <w:r/>
    </w:p>
    <w:p>
      <w:pPr>
        <w:jc w:val="center"/>
        <w:spacing w:line="500" w:lineRule="exact"/>
        <w:rPr>
          <w:rFonts w:eastAsia="方正小标宋_GBK"/>
          <w:bCs/>
          <w:color w:val="auto"/>
          <w:sz w:val="36"/>
          <w:szCs w:val="36"/>
          <w:highlight w:val="none"/>
        </w:rPr>
        <w:outlineLvl w:val="0"/>
      </w:pPr>
      <w:r>
        <w:rPr>
          <w:color w:val="auto"/>
          <w:highlight w:val="none"/>
        </w:rPr>
        <w:br w:type="page" w:clear="all"/>
      </w:r>
      <w:r>
        <w:rPr>
          <w:rFonts w:eastAsia="方正小标宋_GBK"/>
          <w:bCs/>
          <w:color w:val="auto"/>
          <w:sz w:val="36"/>
          <w:szCs w:val="36"/>
          <w:highlight w:val="none"/>
        </w:rPr>
        <w:t xml:space="preserve">第三部分  项目需求</w:t>
      </w:r>
      <w:r/>
    </w:p>
    <w:p>
      <w:pPr>
        <w:ind w:firstLine="560"/>
        <w:spacing w:line="500" w:lineRule="exact"/>
        <w:rPr>
          <w:rFonts w:eastAsia="方正仿宋_GBK"/>
          <w:b/>
          <w:bCs/>
          <w:color w:val="auto"/>
          <w:sz w:val="28"/>
          <w:szCs w:val="28"/>
          <w:highlight w:val="none"/>
        </w:rPr>
      </w:pPr>
      <w:r>
        <w:rPr>
          <w:rFonts w:eastAsia="方正仿宋_GBK"/>
          <w:b/>
          <w:bCs/>
          <w:color w:val="auto"/>
          <w:sz w:val="28"/>
          <w:szCs w:val="28"/>
          <w:highlight w:val="none"/>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0"/>
        <w:spacing w:line="500" w:lineRule="exact"/>
        <w:rPr>
          <w:rFonts w:eastAsia="方正仿宋_GBK"/>
          <w:b/>
          <w:bCs/>
          <w:color w:val="auto"/>
          <w:sz w:val="28"/>
          <w:szCs w:val="28"/>
          <w:highlight w:val="none"/>
        </w:rPr>
      </w:pPr>
      <w:r>
        <w:rPr>
          <w:rFonts w:eastAsia="方正仿宋_GBK"/>
          <w:b/>
          <w:bCs/>
          <w:color w:val="auto"/>
          <w:sz w:val="28"/>
          <w:szCs w:val="28"/>
          <w:highlight w:val="none"/>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480"/>
        <w:spacing w:line="36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一、项目概况</w:t>
      </w:r>
      <w:r/>
    </w:p>
    <w:p>
      <w:pPr>
        <w:ind w:firstLine="480"/>
        <w:spacing w:line="36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启东市大洋港小学</w:t>
      </w:r>
      <w:r>
        <w:rPr>
          <w:rFonts w:hint="eastAsia" w:ascii="Times New Roman" w:hAnsi="Times New Roman" w:cs="Times New Roman"/>
          <w:color w:val="auto"/>
          <w:sz w:val="24"/>
          <w:szCs w:val="24"/>
          <w:highlight w:val="none"/>
          <w:lang w:val="zh-CN" w:eastAsia="zh-CN"/>
        </w:rPr>
        <w:t xml:space="preserve">新建综合楼</w:t>
      </w:r>
      <w:r>
        <w:rPr>
          <w:rFonts w:hint="eastAsia" w:ascii="Times New Roman" w:hAnsi="Times New Roman" w:cs="Times New Roman"/>
          <w:color w:val="auto"/>
          <w:sz w:val="24"/>
          <w:szCs w:val="24"/>
          <w:highlight w:val="none"/>
          <w:lang w:val="en-US" w:eastAsia="zh-CN"/>
        </w:rPr>
        <w:t xml:space="preserve">，需采购一批新的配套设施设备，以供学校教学使用。</w:t>
      </w:r>
      <w:r/>
    </w:p>
    <w:p>
      <w:pPr>
        <w:ind w:firstLine="480"/>
        <w:spacing w:line="36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各房间数量：体育器材室1间，学生餐厅1间，科学教室及辅房各2间，美术教室及辅房各1间，音乐教室及辅房各2间，书法教室1间，劳技教室及辅房各1间，心理咨询室3间，舞蹈教室1间，支部活动室1间，会议室1间，校园文化1项</w:t>
      </w:r>
      <w:r/>
    </w:p>
    <w:p>
      <w:pPr>
        <w:ind w:left="-850" w:right="-1191" w:firstLine="1337"/>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二、需执行的国家相关标准、行业标准或其他标准、规范</w:t>
      </w:r>
      <w:r/>
    </w:p>
    <w:p>
      <w:pPr>
        <w:ind w:left="-357" w:right="-1191" w:firstLine="63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（一）强制性标准</w:t>
      </w:r>
      <w:r/>
    </w:p>
    <w:p>
      <w:pPr>
        <w:ind w:right="-1474" w:firstLine="420"/>
        <w:spacing w:line="440" w:lineRule="exact"/>
        <w:rPr>
          <w:rFonts w:hint="eastAsia" w:ascii="宋体" w:hAnsi="宋体" w:eastAsia="宋体" w:cs="宋体"/>
          <w:color w:val="auto"/>
          <w:szCs w:val="21"/>
          <w:highlight w:val="none"/>
        </w:rPr>
      </w:pPr>
      <w:r/>
      <w:bookmarkStart w:id="131" w:name="OLE_LINK33"/>
      <w:r>
        <w:rPr>
          <w:rFonts w:hint="eastAsia" w:ascii="宋体" w:hAnsi="宋体" w:eastAsia="宋体" w:cs="宋体"/>
          <w:color w:val="auto"/>
          <w:szCs w:val="21"/>
          <w:highlight w:val="none"/>
        </w:rPr>
        <w:t xml:space="preserve">GB 18584-2024 《家具中有害物质限量》</w:t>
      </w:r>
      <w:r/>
    </w:p>
    <w:p>
      <w:pPr>
        <w:ind w:right="-1474"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28008-2024 《家具结构安全技术规范》</w:t>
      </w:r>
      <w:r/>
    </w:p>
    <w:p>
      <w:pPr>
        <w:ind w:right="-1474"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20286-2006 《公共场所阻燃制品及组件燃烧性能要求和标识》</w:t>
      </w:r>
      <w:r/>
    </w:p>
    <w:p>
      <w:pPr>
        <w:ind w:right="-1474"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17927-2024 《家具阻燃性能安全技术规范》</w:t>
      </w:r>
      <w:r/>
    </w:p>
    <w:p>
      <w:pPr>
        <w:ind w:right="-1474"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18583-2008 《室内装饰装修材料胶粘剂中有害物质限量》</w:t>
      </w:r>
      <w:r/>
    </w:p>
    <w:p>
      <w:pPr>
        <w:ind w:right="-1474"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6566-2010 《建筑材料放射性核素限量》</w:t>
      </w:r>
      <w:r/>
    </w:p>
    <w:p>
      <w:pPr>
        <w:ind w:right="-1474"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18580-2025 《室内装饰装修材料人造板及其制品中甲醛释放限量》</w:t>
      </w:r>
      <w:r/>
    </w:p>
    <w:p>
      <w:pPr>
        <w:ind w:right="-1474"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30981.2-2025 《涂料中有害物质限量 第2部分:工业涂料》</w:t>
      </w:r>
      <w:r/>
    </w:p>
    <w:p>
      <w:pPr>
        <w:ind w:right="-1474"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18401-2010 《国家纺织产品基本安全技术规范》</w:t>
      </w:r>
      <w:r/>
    </w:p>
    <w:p>
      <w:pPr>
        <w:ind w:right="-1474" w:firstLine="420"/>
        <w:spacing w:line="44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GB 8624-2012 《建筑材料及制品燃烧性能分级》</w:t>
      </w:r>
      <w:r/>
    </w:p>
    <w:p>
      <w:pPr>
        <w:ind w:right="-1474" w:firstLine="420"/>
        <w:spacing w:line="44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GB 33372-2020 《胶粘剂挥发性有机化合物限量》</w:t>
      </w:r>
      <w:r/>
    </w:p>
    <w:p>
      <w:pPr>
        <w:ind w:right="-1474"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28489-2022 《乐器有害物质限量》</w:t>
      </w:r>
      <w:r/>
    </w:p>
    <w:p>
      <w:pPr>
        <w:ind w:right="-1474"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21027-2020 《学生用品的安全通用要求》</w:t>
      </w:r>
      <w:r/>
    </w:p>
    <w:p>
      <w:pPr>
        <w:ind w:right="-1474" w:firstLine="420"/>
        <w:spacing w:line="440" w:lineRule="exact"/>
        <w:rPr>
          <w:rStyle w:val="902"/>
          <w:rFonts w:hint="eastAsia" w:ascii="宋体" w:hAnsi="宋体" w:eastAsia="宋体" w:cs="宋体"/>
          <w:b w:val="0"/>
          <w:color w:val="auto"/>
          <w:szCs w:val="21"/>
          <w:highlight w:val="none"/>
          <w:shd w:val="clear" w:color="auto" w:fill="ffffff"/>
        </w:rPr>
      </w:pPr>
      <w:r>
        <w:rPr>
          <w:rStyle w:val="902"/>
          <w:rFonts w:hint="eastAsia" w:ascii="宋体" w:hAnsi="宋体" w:eastAsia="宋体" w:cs="宋体"/>
          <w:b w:val="0"/>
          <w:color w:val="auto"/>
          <w:szCs w:val="21"/>
          <w:highlight w:val="none"/>
          <w:shd w:val="clear" w:color="auto" w:fill="ffffff"/>
        </w:rPr>
        <w:t xml:space="preserve">GB 19272-2011 《室外健身器材的安全 通用要求》</w:t>
      </w:r>
      <w:r/>
    </w:p>
    <w:p>
      <w:pPr>
        <w:ind w:right="-1474" w:firstLine="420"/>
        <w:spacing w:line="440" w:lineRule="exact"/>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GB 4806.9-2023/GB 4806.7-2023 《食品安全国家标准食品接触用材料》</w:t>
      </w:r>
      <w:r/>
    </w:p>
    <w:p>
      <w:pPr>
        <w:ind w:right="-1474"/>
        <w:spacing w:line="440" w:lineRule="exact"/>
        <w:rPr>
          <w:rFonts w:hint="eastAsia" w:asciiTheme="minorEastAsia" w:hAnsiTheme="minorEastAsia"/>
          <w:bCs/>
          <w:color w:val="auto"/>
          <w:szCs w:val="21"/>
          <w:highlight w:val="none"/>
        </w:rPr>
      </w:pPr>
      <w:r>
        <w:rPr>
          <w:rFonts w:hint="eastAsia" w:asciiTheme="minorEastAsia" w:hAnsiTheme="minorEastAsia"/>
          <w:bCs/>
          <w:color w:val="auto"/>
          <w:szCs w:val="21"/>
          <w:highlight w:val="none"/>
        </w:rPr>
        <w:t xml:space="preserve">（二）质量及技术标准</w:t>
      </w:r>
      <w:r/>
    </w:p>
    <w:p>
      <w:pPr>
        <w:ind w:right="-1474" w:firstLine="420"/>
        <w:spacing w:line="440" w:lineRule="exact"/>
        <w:rPr>
          <w:rFonts w:hint="eastAsia" w:asciiTheme="minorEastAsia" w:hAnsiTheme="minorEastAsia"/>
          <w:bCs/>
          <w:color w:val="auto"/>
          <w:szCs w:val="21"/>
          <w:highlight w:val="none"/>
        </w:rPr>
      </w:pPr>
      <w:r>
        <w:rPr>
          <w:rFonts w:hint="eastAsia" w:asciiTheme="minorEastAsia" w:hAnsiTheme="minorEastAsia"/>
          <w:bCs/>
          <w:color w:val="auto"/>
          <w:szCs w:val="21"/>
          <w:highlight w:val="none"/>
        </w:rPr>
        <w:t xml:space="preserve">重要标准：</w:t>
      </w:r>
      <w:r/>
    </w:p>
    <w:p>
      <w:pPr>
        <w:ind w:right="-1474" w:firstLine="420"/>
        <w:spacing w:line="440" w:lineRule="exact"/>
        <w:rPr>
          <w:rFonts w:hint="eastAsia" w:asciiTheme="minorEastAsia" w:hAnsiTheme="minorEastAsia"/>
          <w:bCs/>
          <w:color w:val="auto"/>
          <w:szCs w:val="21"/>
          <w:highlight w:val="none"/>
        </w:rPr>
      </w:pPr>
      <w:r>
        <w:rPr>
          <w:rFonts w:hint="eastAsia" w:asciiTheme="minorEastAsia" w:hAnsiTheme="minorEastAsia"/>
          <w:bCs/>
          <w:color w:val="auto"/>
          <w:szCs w:val="21"/>
          <w:highlight w:val="none"/>
        </w:rPr>
        <w:t xml:space="preserve">GB/T 35607-2024 《绿色产品评价 家具》</w:t>
      </w:r>
      <w:r/>
    </w:p>
    <w:p>
      <w:pPr>
        <w:ind w:right="-1474" w:firstLine="420"/>
        <w:spacing w:line="440" w:lineRule="exact"/>
        <w:rPr>
          <w:rFonts w:hint="eastAsia" w:asciiTheme="minorEastAsia" w:hAnsiTheme="minorEastAsia"/>
          <w:bCs/>
          <w:color w:val="auto"/>
          <w:szCs w:val="21"/>
          <w:highlight w:val="none"/>
        </w:rPr>
      </w:pPr>
      <w:r>
        <w:rPr>
          <w:rFonts w:hint="eastAsia" w:asciiTheme="minorEastAsia" w:hAnsiTheme="minorEastAsia"/>
          <w:bCs/>
          <w:color w:val="auto"/>
          <w:szCs w:val="21"/>
          <w:highlight w:val="none"/>
        </w:rPr>
        <w:t xml:space="preserve">GB/T 3325-2024 《金属家具通用技术条件》</w:t>
      </w:r>
      <w:r/>
    </w:p>
    <w:p>
      <w:pPr>
        <w:ind w:right="-1474" w:firstLine="420"/>
        <w:spacing w:line="440" w:lineRule="exact"/>
        <w:rPr>
          <w:rFonts w:hint="eastAsia" w:asciiTheme="minorEastAsia" w:hAnsiTheme="minorEastAsia"/>
          <w:bCs/>
          <w:color w:val="auto"/>
          <w:szCs w:val="21"/>
          <w:highlight w:val="none"/>
        </w:rPr>
      </w:pPr>
      <w:r>
        <w:rPr>
          <w:rFonts w:hint="eastAsia" w:asciiTheme="minorEastAsia" w:hAnsiTheme="minorEastAsia"/>
          <w:bCs/>
          <w:color w:val="auto"/>
          <w:szCs w:val="21"/>
          <w:highlight w:val="none"/>
        </w:rPr>
        <w:t xml:space="preserve">GB/T 3324-2024 《木家具通用技术条件》</w:t>
      </w:r>
      <w:r/>
    </w:p>
    <w:p>
      <w:pPr>
        <w:ind w:right="-1474" w:firstLine="420"/>
        <w:spacing w:line="440" w:lineRule="exact"/>
        <w:rPr>
          <w:rFonts w:hint="eastAsia" w:asciiTheme="minorEastAsia" w:hAnsiTheme="minorEastAsia"/>
          <w:bCs/>
          <w:color w:val="auto"/>
          <w:szCs w:val="21"/>
          <w:highlight w:val="none"/>
        </w:rPr>
      </w:pPr>
      <w:r>
        <w:rPr>
          <w:rFonts w:asciiTheme="minorEastAsia" w:hAnsiTheme="minorEastAsia"/>
          <w:bCs/>
          <w:color w:val="auto"/>
          <w:szCs w:val="21"/>
          <w:highlight w:val="none"/>
        </w:rPr>
        <w:t xml:space="preserve">GB/T 24820-2024</w:t>
      </w:r>
      <w:r>
        <w:rPr>
          <w:rFonts w:hint="eastAsia" w:asciiTheme="minorEastAsia" w:hAnsiTheme="minorEastAsia"/>
          <w:bCs/>
          <w:color w:val="auto"/>
          <w:szCs w:val="21"/>
          <w:highlight w:val="none"/>
        </w:rPr>
        <w:t xml:space="preserve"> 《实验室家具通用技术条件》</w:t>
      </w:r>
      <w:r/>
    </w:p>
    <w:p>
      <w:pPr>
        <w:ind w:right="-1474" w:firstLine="420"/>
        <w:spacing w:line="44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GB/T 32487-2016 《塑料家具通用技术条件》</w:t>
      </w:r>
      <w:r/>
    </w:p>
    <w:p>
      <w:pPr>
        <w:ind w:right="-1474" w:firstLine="420"/>
        <w:spacing w:line="440" w:lineRule="exact"/>
        <w:rPr>
          <w:rFonts w:hint="eastAsia" w:asciiTheme="minorEastAsia" w:hAnsiTheme="minorEastAsia"/>
          <w:bCs/>
          <w:color w:val="auto"/>
          <w:szCs w:val="21"/>
          <w:highlight w:val="none"/>
        </w:rPr>
      </w:pPr>
      <w:r>
        <w:rPr>
          <w:rFonts w:hint="eastAsia" w:asciiTheme="minorEastAsia" w:hAnsiTheme="minorEastAsia"/>
          <w:bCs/>
          <w:color w:val="auto"/>
          <w:szCs w:val="21"/>
          <w:highlight w:val="none"/>
        </w:rPr>
        <w:t xml:space="preserve">其他标准：</w:t>
      </w:r>
      <w:r/>
    </w:p>
    <w:p>
      <w:pPr>
        <w:ind w:right="-1474" w:firstLine="420"/>
        <w:spacing w:line="44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GB/T 15102-2017 《浸渍胶膜纸饰面纤维板和刨花板》</w:t>
      </w:r>
      <w:r/>
    </w:p>
    <w:p>
      <w:pPr>
        <w:ind w:right="-1474" w:firstLine="420"/>
        <w:spacing w:line="440" w:lineRule="exact"/>
        <w:rPr>
          <w:rFonts w:hint="eastAsia" w:asciiTheme="minorEastAsia" w:hAnsiTheme="minorEastAsia"/>
          <w:color w:val="auto"/>
          <w:szCs w:val="21"/>
          <w:highlight w:val="none"/>
        </w:rPr>
      </w:pPr>
      <w:r>
        <w:rPr>
          <w:rFonts w:asciiTheme="minorEastAsia" w:hAnsiTheme="minorEastAsia"/>
          <w:color w:val="auto"/>
          <w:szCs w:val="21"/>
          <w:highlight w:val="none"/>
        </w:rPr>
        <w:t xml:space="preserve">GB/T 34722-2025</w:t>
      </w:r>
      <w:r>
        <w:rPr>
          <w:rFonts w:hint="eastAsia" w:asciiTheme="minorEastAsia" w:hAnsiTheme="minorEastAsia"/>
          <w:color w:val="auto"/>
          <w:szCs w:val="21"/>
          <w:highlight w:val="none"/>
        </w:rPr>
        <w:t xml:space="preserve"> </w:t>
      </w:r>
      <w:r>
        <w:rPr>
          <w:rFonts w:asciiTheme="minorEastAsia" w:hAnsiTheme="minorEastAsia"/>
          <w:color w:val="auto"/>
          <w:szCs w:val="21"/>
          <w:highlight w:val="none"/>
        </w:rPr>
        <w:t xml:space="preserve">《浸渍胶膜纸饰面胶合板和细木工板》</w:t>
      </w:r>
      <w:r/>
    </w:p>
    <w:p>
      <w:pPr>
        <w:ind w:right="-1474" w:firstLine="420"/>
        <w:spacing w:line="44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GB/T 35601-2024 《绿色产品评价 人造板和木质地板》</w:t>
      </w:r>
      <w:r/>
    </w:p>
    <w:p>
      <w:pPr>
        <w:ind w:right="-1474" w:firstLine="420"/>
        <w:spacing w:line="44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GB/T 35602-2017 《绿色产品评价 涂料》</w:t>
      </w:r>
      <w:r/>
    </w:p>
    <w:p>
      <w:pPr>
        <w:ind w:right="-1474" w:firstLine="420"/>
        <w:spacing w:line="44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GB/T 39600-2021 《人造板及其制品甲醛释放量分级》</w:t>
      </w:r>
      <w:r/>
    </w:p>
    <w:p>
      <w:pPr>
        <w:ind w:right="-1474" w:firstLine="420"/>
        <w:spacing w:line="44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GB/T 17657-2022 《人造板及饰面人造板理化性能试验方法》</w:t>
      </w:r>
      <w:r/>
    </w:p>
    <w:p>
      <w:pPr>
        <w:ind w:right="-1474" w:firstLine="420"/>
        <w:spacing w:line="44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GB/T 16799-2018 《家具用皮革》</w:t>
      </w:r>
      <w:r/>
    </w:p>
    <w:p>
      <w:pPr>
        <w:ind w:right="23" w:firstLine="420"/>
        <w:spacing w:line="44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QB/T 2709-2005 《皮革物理和机械试验厚度的测定》</w:t>
      </w:r>
      <w:r/>
    </w:p>
    <w:p>
      <w:pPr>
        <w:ind w:right="-1474" w:firstLine="420"/>
        <w:spacing w:line="44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QB/T 2710-2018 《皮革物理和机械试验抗张强度和伸长率的测定》</w:t>
      </w:r>
      <w:r/>
    </w:p>
    <w:p>
      <w:pPr>
        <w:ind w:right="-1474" w:firstLine="420"/>
        <w:spacing w:line="44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GB/T 29525-2013 《座椅升降气弹簧技术条件》</w:t>
      </w:r>
      <w:r/>
    </w:p>
    <w:p>
      <w:pPr>
        <w:ind w:right="-1474" w:firstLine="420"/>
        <w:spacing w:line="44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GB/T 10802-2023 《通用软质聚氨酯泡沫塑料》</w:t>
      </w:r>
      <w:r/>
    </w:p>
    <w:p>
      <w:pPr>
        <w:ind w:right="-1474" w:firstLine="420"/>
        <w:spacing w:line="44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GB/T 11718-2021 《中密度纤维板》</w:t>
      </w:r>
      <w:r/>
    </w:p>
    <w:p>
      <w:pPr>
        <w:ind w:right="-1474" w:firstLine="420"/>
        <w:spacing w:line="44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GB/T 14532-2017 《办公家具木制柜、架》</w:t>
      </w:r>
      <w:r/>
    </w:p>
    <w:p>
      <w:pPr>
        <w:ind w:right="-1474" w:firstLine="420"/>
        <w:spacing w:line="440" w:lineRule="exact"/>
        <w:rPr>
          <w:rFonts w:hint="eastAsia" w:asciiTheme="minorEastAsia" w:hAnsiTheme="minorEastAsia"/>
          <w:color w:val="auto"/>
          <w:szCs w:val="21"/>
          <w:highlight w:val="none"/>
        </w:rPr>
      </w:pPr>
      <w:r>
        <w:rPr>
          <w:rFonts w:asciiTheme="minorEastAsia" w:hAnsiTheme="minorEastAsia"/>
          <w:color w:val="auto"/>
          <w:szCs w:val="21"/>
          <w:highlight w:val="none"/>
        </w:rPr>
        <w:t xml:space="preserve">GB/T 11253-2019</w:t>
      </w:r>
      <w:r>
        <w:rPr>
          <w:rFonts w:hint="eastAsia" w:asciiTheme="minorEastAsia" w:hAnsiTheme="minorEastAsia"/>
          <w:color w:val="auto"/>
          <w:szCs w:val="21"/>
          <w:highlight w:val="none"/>
        </w:rPr>
        <w:t xml:space="preserve"> 《碳素结构钢冷轧钢板及钢带》</w:t>
      </w:r>
      <w:r/>
    </w:p>
    <w:p>
      <w:pPr>
        <w:ind w:right="-1474" w:firstLine="420"/>
        <w:spacing w:line="44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GB/T 28203-2011 《家具用连接件技术要求及试验方法》</w:t>
      </w:r>
      <w:r/>
    </w:p>
    <w:p>
      <w:pPr>
        <w:ind w:right="-1474" w:firstLine="420"/>
        <w:spacing w:line="440" w:lineRule="exact"/>
        <w:rPr>
          <w:rFonts w:hint="eastAsia" w:asciiTheme="minorEastAsia" w:hAnsiTheme="minorEastAsia"/>
          <w:color w:val="auto"/>
          <w:szCs w:val="21"/>
          <w:highlight w:val="none"/>
        </w:rPr>
      </w:pPr>
      <w:r>
        <w:rPr>
          <w:rFonts w:asciiTheme="minorEastAsia" w:hAnsiTheme="minorEastAsia"/>
          <w:color w:val="auto"/>
          <w:szCs w:val="21"/>
          <w:highlight w:val="none"/>
        </w:rPr>
        <w:t xml:space="preserve">GB/T 30646-2014</w:t>
      </w:r>
      <w:r>
        <w:rPr>
          <w:rFonts w:hint="eastAsia" w:asciiTheme="minorEastAsia" w:hAnsiTheme="minorEastAsia"/>
          <w:color w:val="auto"/>
          <w:szCs w:val="21"/>
          <w:highlight w:val="none"/>
        </w:rPr>
        <w:t xml:space="preserve"> 《涂料中邻苯二甲酸酯含量的测定 气相色谱 / 质谱联用法》</w:t>
      </w:r>
      <w:r/>
    </w:p>
    <w:p>
      <w:pPr>
        <w:ind w:right="-1474" w:firstLine="420"/>
        <w:spacing w:line="440" w:lineRule="exact"/>
        <w:rPr>
          <w:rFonts w:hint="eastAsia" w:asciiTheme="minorEastAsia" w:hAnsiTheme="minorEastAsia"/>
          <w:color w:val="auto"/>
          <w:szCs w:val="21"/>
          <w:highlight w:val="none"/>
        </w:rPr>
      </w:pPr>
      <w:r>
        <w:rPr>
          <w:rFonts w:asciiTheme="minorEastAsia" w:hAnsiTheme="minorEastAsia"/>
          <w:color w:val="auto"/>
          <w:szCs w:val="21"/>
          <w:highlight w:val="none"/>
        </w:rPr>
        <w:t xml:space="preserve">GB/T 40971-2021</w:t>
      </w:r>
      <w:r>
        <w:rPr>
          <w:rFonts w:hint="eastAsia" w:asciiTheme="minorEastAsia" w:hAnsiTheme="minorEastAsia"/>
          <w:color w:val="auto"/>
          <w:szCs w:val="21"/>
          <w:highlight w:val="none"/>
        </w:rPr>
        <w:t xml:space="preserve"> 《家具产品及其材料中禁限用物质测定方法 多环芳烃》</w:t>
      </w:r>
      <w:r/>
    </w:p>
    <w:p>
      <w:pPr>
        <w:ind w:right="-1474" w:firstLine="420"/>
        <w:spacing w:line="440" w:lineRule="exact"/>
        <w:rPr>
          <w:rFonts w:hint="eastAsia" w:asciiTheme="minorEastAsia" w:hAnsiTheme="minorEastAsia"/>
          <w:color w:val="auto"/>
          <w:szCs w:val="21"/>
          <w:highlight w:val="none"/>
        </w:rPr>
      </w:pPr>
      <w:r>
        <w:rPr>
          <w:rFonts w:asciiTheme="minorEastAsia" w:hAnsiTheme="minorEastAsia"/>
          <w:color w:val="auto"/>
          <w:szCs w:val="21"/>
          <w:highlight w:val="none"/>
        </w:rPr>
        <w:t xml:space="preserve">GB/T 37639-2019</w:t>
      </w:r>
      <w:r>
        <w:rPr>
          <w:rFonts w:hint="eastAsia" w:asciiTheme="minorEastAsia" w:hAnsiTheme="minorEastAsia"/>
          <w:color w:val="auto"/>
          <w:szCs w:val="21"/>
          <w:highlight w:val="none"/>
        </w:rPr>
        <w:t xml:space="preserve"> 《塑料制品中多溴联苯和多溴二苯醚的测定 气相色谱 - 质谱法》</w:t>
      </w:r>
      <w:r/>
    </w:p>
    <w:p>
      <w:pPr>
        <w:ind w:right="-1474" w:firstLine="420"/>
        <w:spacing w:line="440" w:lineRule="exact"/>
        <w:rPr>
          <w:rFonts w:hint="eastAsia" w:asciiTheme="minorEastAsia" w:hAnsiTheme="minorEastAsia"/>
          <w:color w:val="auto"/>
          <w:szCs w:val="21"/>
          <w:highlight w:val="none"/>
        </w:rPr>
      </w:pPr>
      <w:r>
        <w:rPr>
          <w:rFonts w:asciiTheme="minorEastAsia" w:hAnsiTheme="minorEastAsia"/>
          <w:color w:val="auto"/>
          <w:szCs w:val="21"/>
          <w:highlight w:val="none"/>
        </w:rPr>
        <w:t xml:space="preserve">GB/T 12000-2017</w:t>
      </w:r>
      <w:r>
        <w:rPr>
          <w:rFonts w:hint="eastAsia" w:asciiTheme="minorEastAsia" w:hAnsiTheme="minorEastAsia"/>
          <w:color w:val="auto"/>
          <w:szCs w:val="21"/>
          <w:highlight w:val="none"/>
        </w:rPr>
        <w:t xml:space="preserve"> 《塑料 暴露于湿热、水喷雾和盐雾中影响的测定》</w:t>
      </w:r>
      <w:r/>
    </w:p>
    <w:p>
      <w:pPr>
        <w:ind w:right="-1474" w:firstLine="420"/>
        <w:spacing w:line="440" w:lineRule="exact"/>
        <w:rPr>
          <w:rFonts w:hint="eastAsia" w:asciiTheme="minorEastAsia" w:hAnsiTheme="minorEastAsia"/>
          <w:color w:val="auto"/>
          <w:szCs w:val="21"/>
          <w:highlight w:val="none"/>
        </w:rPr>
      </w:pPr>
      <w:r>
        <w:rPr>
          <w:rFonts w:asciiTheme="minorEastAsia" w:hAnsiTheme="minorEastAsia"/>
          <w:color w:val="auto"/>
          <w:szCs w:val="21"/>
          <w:highlight w:val="none"/>
        </w:rPr>
        <w:t xml:space="preserve">GB/T 9341-2008</w:t>
      </w:r>
      <w:r>
        <w:rPr>
          <w:rFonts w:hint="eastAsia" w:asciiTheme="minorEastAsia" w:hAnsiTheme="minorEastAsia"/>
          <w:color w:val="auto"/>
          <w:szCs w:val="21"/>
          <w:highlight w:val="none"/>
        </w:rPr>
        <w:t xml:space="preserve"> 《塑料 弯曲性能的测定》</w:t>
      </w:r>
      <w:r/>
    </w:p>
    <w:p>
      <w:pPr>
        <w:ind w:right="-1474" w:firstLine="420"/>
        <w:spacing w:line="440" w:lineRule="exact"/>
        <w:rPr>
          <w:rFonts w:hint="eastAsia" w:asciiTheme="minorEastAsia" w:hAnsiTheme="minorEastAsia"/>
          <w:color w:val="auto"/>
          <w:szCs w:val="21"/>
          <w:highlight w:val="none"/>
        </w:rPr>
      </w:pPr>
      <w:r>
        <w:rPr>
          <w:rFonts w:asciiTheme="minorEastAsia" w:hAnsiTheme="minorEastAsia"/>
          <w:color w:val="auto"/>
          <w:szCs w:val="21"/>
          <w:highlight w:val="none"/>
        </w:rPr>
        <w:t xml:space="preserve">GB/T 1865-2009</w:t>
      </w:r>
      <w:r>
        <w:rPr>
          <w:rFonts w:hint="eastAsia" w:asciiTheme="minorEastAsia" w:hAnsiTheme="minorEastAsia"/>
          <w:color w:val="auto"/>
          <w:szCs w:val="21"/>
          <w:highlight w:val="none"/>
        </w:rPr>
        <w:t xml:space="preserve"> 《色漆和清漆 人工气候老化和人工辐射曝露 滤过的氙弧辐射》</w:t>
      </w:r>
      <w:r/>
    </w:p>
    <w:p>
      <w:pPr>
        <w:ind w:right="-1474" w:firstLine="420"/>
        <w:spacing w:line="44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GB/T 40908-2021 《家具产品及其材料中禁限用物质测定方法阻燃剂》</w:t>
      </w:r>
      <w:r/>
    </w:p>
    <w:p>
      <w:pPr>
        <w:ind w:right="-1474" w:firstLine="420"/>
        <w:spacing w:line="44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GB/T 4340.1-2024 《金属材料维氏硬度试验第1 部分：试验方法》</w:t>
      </w:r>
      <w:r/>
    </w:p>
    <w:p>
      <w:pPr>
        <w:ind w:right="-1474" w:firstLine="420"/>
        <w:spacing w:line="44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GB/T 230.1-2018 《金属材料 洛氏硬度试验 第 1 部分：试验方法》</w:t>
      </w:r>
      <w:r/>
    </w:p>
    <w:p>
      <w:pPr>
        <w:ind w:right="-1474" w:firstLine="420"/>
        <w:spacing w:line="44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GB/T 2423.18-2021 《环境试验 第 2 部分：试验方法 试验 Kb：盐雾，交变（氯化钠溶液）》</w:t>
      </w:r>
      <w:r/>
    </w:p>
    <w:p>
      <w:pPr>
        <w:ind w:right="-1474" w:firstLine="420"/>
        <w:spacing w:line="44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GB/T 11547-2008 《塑料 耐液体化学试剂性能的测定》</w:t>
      </w:r>
      <w:r/>
    </w:p>
    <w:p>
      <w:pPr>
        <w:ind w:right="-1474" w:firstLine="420"/>
        <w:spacing w:line="44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GB/T 1633-2000 《热塑性塑料维卡软化温度（VST）的测定》</w:t>
      </w:r>
      <w:r/>
    </w:p>
    <w:p>
      <w:pPr>
        <w:ind w:right="-1474" w:firstLine="420"/>
        <w:spacing w:line="44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GB/T 1741-2020 《漆膜耐霉菌性测定法》</w:t>
      </w:r>
      <w:r/>
    </w:p>
    <w:p>
      <w:pPr>
        <w:ind w:right="-1474" w:firstLine="420"/>
        <w:spacing w:line="44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GB/T 24128-2018 《塑料 塑料防霉剂的防霉效果评估》</w:t>
      </w:r>
      <w:r/>
    </w:p>
    <w:p>
      <w:pPr>
        <w:ind w:right="-1474" w:firstLine="420"/>
        <w:spacing w:line="44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GB/T 31402-2023 《塑料和其他无孔材料表面抗菌活性的测定》</w:t>
      </w:r>
      <w:r/>
    </w:p>
    <w:p>
      <w:pPr>
        <w:ind w:right="-1474" w:firstLine="420"/>
        <w:spacing w:line="44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GB/T 43355-2023 《塑料和其他无孔材料表面抗病毒活性的测定》</w:t>
      </w:r>
      <w:r/>
    </w:p>
    <w:p>
      <w:pPr>
        <w:ind w:right="-1474" w:firstLine="420"/>
        <w:spacing w:line="44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GB/T 10125-2021 《人造气(氛腐蚀试验 盐雾验》</w:t>
      </w:r>
      <w:r/>
    </w:p>
    <w:p>
      <w:pPr>
        <w:ind w:right="-1474" w:firstLine="420"/>
        <w:spacing w:line="44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GB/T 6461-2002 《金属基体上金属和其他无机覆盖层经腐蚀试验后的试样和试件的评级》</w:t>
      </w:r>
      <w:r/>
    </w:p>
    <w:p>
      <w:pPr>
        <w:ind w:right="-1474" w:firstLine="420"/>
        <w:spacing w:line="44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GB/T 21604-2022 《化学品急性皮肤刺激性/腐蚀性试验方法》</w:t>
      </w:r>
      <w:r/>
    </w:p>
    <w:p>
      <w:pPr>
        <w:ind w:right="-1474" w:firstLine="420"/>
        <w:spacing w:line="44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GB/T 17897-2016 《金属和合金的腐蚀 不锈钢三氯化铁点腐蚀试验方法》</w:t>
      </w:r>
      <w:r/>
    </w:p>
    <w:p>
      <w:pPr>
        <w:ind w:right="-1474" w:firstLine="420"/>
        <w:spacing w:line="44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GB/T 44690-2024 《人造板及其制品挥发性有机化合物释放量分级》</w:t>
      </w:r>
      <w:r/>
    </w:p>
    <w:p>
      <w:pPr>
        <w:ind w:right="-1474" w:firstLine="420"/>
        <w:spacing w:line="44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GB/T 26696-2011 《家具用高分子材料台面板》</w:t>
      </w:r>
      <w:r/>
    </w:p>
    <w:p>
      <w:pPr>
        <w:ind w:right="-1474" w:firstLine="420"/>
        <w:spacing w:line="44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GB/T 20285-2006 《材料产烟毒性危险分级》</w:t>
      </w:r>
      <w:r/>
    </w:p>
    <w:p>
      <w:pPr>
        <w:ind w:right="-1474" w:firstLine="420"/>
        <w:spacing w:line="44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GB/T 3398.1-2008 《塑料硬度测定第1 部分：球压痕法》</w:t>
      </w:r>
      <w:r/>
    </w:p>
    <w:p>
      <w:pPr>
        <w:ind w:right="23" w:firstLine="420"/>
        <w:spacing w:line="44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GB/T 3682.1-2018 《塑料热塑性塑料熔体质量流动速率（MFR）和熔体体积流动速率MVR）的测定第1 部分：标准方法》</w:t>
      </w:r>
      <w:r/>
    </w:p>
    <w:p>
      <w:pPr>
        <w:ind w:right="-1474" w:firstLine="420"/>
        <w:spacing w:line="44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GB/T 24128-2018 《塑料防霉剂的防霉效果评估》</w:t>
      </w:r>
      <w:r/>
    </w:p>
    <w:p>
      <w:pPr>
        <w:ind w:right="23" w:firstLine="420"/>
        <w:spacing w:line="44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QB/T 3827-1999 《轻工产品金属镀层和化学处理层的耐腐蚀试验方法 乙酸盐雾试验(ASS)法》</w:t>
      </w:r>
      <w:r/>
    </w:p>
    <w:p>
      <w:pPr>
        <w:ind w:right="23" w:firstLine="420"/>
        <w:spacing w:line="44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QB/T 3826-1999 《轻工产品金属镀层和化学处理层的耐腐蚀试验方法 中性盐雾试验(NSS)法》</w:t>
      </w:r>
      <w:r/>
    </w:p>
    <w:p>
      <w:pPr>
        <w:ind w:right="-1474" w:firstLine="420"/>
        <w:spacing w:line="44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QB/T 3832-1999 《轻工产品金属镀层腐蚀试验结果的评价》</w:t>
      </w:r>
      <w:r/>
    </w:p>
    <w:p>
      <w:pPr>
        <w:ind w:right="-1474" w:firstLine="420"/>
        <w:spacing w:line="44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QB/T 2189-2013 《家具五金杯状暗铰链》</w:t>
      </w:r>
      <w:r/>
    </w:p>
    <w:p>
      <w:pPr>
        <w:ind w:right="-1474" w:firstLine="420"/>
        <w:spacing w:line="44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QB/T 1621-2015 《家具锁》</w:t>
      </w:r>
      <w:r/>
    </w:p>
    <w:p>
      <w:pPr>
        <w:ind w:right="-1474" w:firstLine="420"/>
        <w:spacing w:line="44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QB/T 2454-2013 《家具五金抽屉导轨》</w:t>
      </w:r>
      <w:r/>
    </w:p>
    <w:p>
      <w:pPr>
        <w:ind w:right="-1474" w:firstLine="420"/>
        <w:spacing w:line="44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QB/T 4765-2014 《家具用脚轮》</w:t>
      </w:r>
      <w:r/>
    </w:p>
    <w:p>
      <w:pPr>
        <w:ind w:right="-1474" w:firstLine="420"/>
        <w:spacing w:line="44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QB/T 2280-2016 《办公家具 办公椅》</w:t>
      </w:r>
      <w:r/>
    </w:p>
    <w:p>
      <w:pPr>
        <w:ind w:right="-1474" w:firstLine="420"/>
        <w:spacing w:line="44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QB/T 4463-2025 《家具用封边条技术要求》</w:t>
      </w:r>
      <w:r/>
    </w:p>
    <w:p>
      <w:pPr>
        <w:ind w:right="-1474" w:firstLine="420"/>
        <w:spacing w:line="44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QB/T 1952.1-2023 《软体家具 沙发》</w:t>
      </w:r>
      <w:r/>
    </w:p>
    <w:p>
      <w:pPr>
        <w:ind w:right="-1474" w:firstLine="420"/>
        <w:spacing w:line="44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HG/T 2006-2022 《热固性和热塑性粉末涂料》</w:t>
      </w:r>
      <w:r/>
    </w:p>
    <w:p>
      <w:pPr>
        <w:ind w:right="-1474" w:firstLine="420"/>
        <w:spacing w:line="44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HJ 2537-2014 《环境标志产品技术要求 水性涂料》</w:t>
      </w:r>
      <w:r/>
    </w:p>
    <w:p>
      <w:pPr>
        <w:ind w:right="-1474" w:firstLine="420"/>
        <w:spacing w:line="44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JB/T 7901-2023 《金属材料实验室均匀腐蚀全浸试验方法》</w:t>
      </w:r>
      <w:r/>
    </w:p>
    <w:p>
      <w:pPr>
        <w:ind w:right="-1474" w:firstLine="420"/>
        <w:spacing w:line="44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JC/T 2039-2010《抗菌防霉木质装饰板抗菌性能》</w:t>
      </w:r>
      <w:r/>
    </w:p>
    <w:p>
      <w:pPr>
        <w:ind w:right="-1474" w:firstLine="420"/>
        <w:spacing w:line="44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ISO 21702:2019 《塑料及其它非多孔表面抗病毒活性的测定》</w:t>
      </w:r>
      <w:bookmarkEnd w:id="131"/>
      <w:r/>
      <w:r/>
    </w:p>
    <w:p>
      <w:pPr>
        <w:ind w:firstLine="420"/>
        <w:spacing w:line="44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及其他与本次采购的家具相关的现行最新标准；采购需求内所涉及到的标准若与现行标准冲突，均已现行的最新版本为准。</w:t>
      </w:r>
      <w:r/>
    </w:p>
    <w:p>
      <w:pPr>
        <w:ind w:firstLine="480"/>
        <w:spacing w:line="500" w:lineRule="exact"/>
        <w:rPr>
          <w:rFonts w:hint="eastAsia" w:ascii="方正黑体_GBK" w:hAnsi="方正黑体_GBK" w:eastAsia="方正黑体_GBK" w:cs="方正黑体_GBK"/>
          <w:color w:val="auto"/>
          <w:sz w:val="28"/>
          <w:szCs w:val="28"/>
          <w:highlight w:val="none"/>
        </w:rPr>
      </w:pPr>
      <w:r>
        <w:rPr>
          <w:rFonts w:hint="eastAsia" w:ascii="Times New Roman" w:hAnsi="Times New Roman" w:cs="Times New Roman"/>
          <w:color w:val="auto"/>
          <w:sz w:val="24"/>
          <w:szCs w:val="24"/>
          <w:highlight w:val="none"/>
          <w:lang w:val="en-US" w:eastAsia="zh-CN"/>
        </w:rPr>
        <w:t xml:space="preserve">三、采购清单</w:t>
      </w:r>
      <w:r/>
    </w:p>
    <w:tbl>
      <w:tblPr>
        <w:tblStyle w:val="895"/>
        <w:tblW w:w="5426" w:type="pct"/>
        <w:tblInd w:w="-164" w:type="dxa"/>
        <w:tblLayout w:type="fixed"/>
        <w:tblCellMar>
          <w:left w:w="108" w:type="dxa"/>
          <w:top w:w="0" w:type="dxa"/>
          <w:right w:w="108" w:type="dxa"/>
          <w:bottom w:w="0" w:type="dxa"/>
        </w:tblCellMar>
        <w:tblLook w:val="04A0" w:firstRow="1" w:lastRow="0" w:firstColumn="1" w:lastColumn="0" w:noHBand="0" w:noVBand="1"/>
      </w:tblPr>
      <w:tblGrid>
        <w:gridCol w:w="622"/>
        <w:gridCol w:w="1125"/>
        <w:gridCol w:w="6587"/>
        <w:gridCol w:w="610"/>
        <w:gridCol w:w="478"/>
        <w:gridCol w:w="411"/>
      </w:tblGrid>
      <w:tr>
        <w:trPr>
          <w:trHeight w:val="553"/>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技术参数</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备注</w:t>
            </w:r>
            <w:r/>
          </w:p>
        </w:tc>
      </w:tr>
      <w:tr>
        <w:trPr>
          <w:trHeight w:val="379"/>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1F小学体育器材室配备清单</w:t>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体育器材架</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1.规格:长2000</w:t>
            </w:r>
            <w:bookmarkStart w:id="132" w:name="OLE_LINK1"/>
            <w:r>
              <w:rPr>
                <w:rFonts w:hint="eastAsia" w:ascii="宋体" w:hAnsi="宋体" w:eastAsia="宋体" w:cs="宋体"/>
                <w:color w:val="auto"/>
                <w:sz w:val="20"/>
                <w:szCs w:val="20"/>
                <w:highlight w:val="none"/>
                <w:lang w:bidi="ar"/>
              </w:rPr>
              <w:t xml:space="preserve">±</w:t>
            </w:r>
            <w:bookmarkEnd w:id="132"/>
            <w:r>
              <w:rPr>
                <w:rFonts w:hint="eastAsia" w:ascii="宋体" w:hAnsi="宋体" w:eastAsia="宋体" w:cs="宋体"/>
                <w:color w:val="auto"/>
                <w:sz w:val="20"/>
                <w:szCs w:val="20"/>
                <w:highlight w:val="none"/>
                <w:lang w:bidi="ar"/>
              </w:rPr>
              <w:t xml:space="preserve">50×宽600±50×高2000±50mm。中仓立柱尺寸≥75*35mm</w:t>
            </w:r>
            <w:r>
              <w:rPr>
                <w:rFonts w:hint="eastAsia" w:ascii="宋体" w:hAnsi="宋体" w:eastAsia="宋体" w:cs="宋体"/>
                <w:color w:val="auto"/>
                <w:sz w:val="20"/>
                <w:szCs w:val="20"/>
                <w:highlight w:val="none"/>
                <w:lang w:eastAsia="zh-CN" w:bidi="ar"/>
              </w:rPr>
              <w:t xml:space="preserve">，</w:t>
            </w:r>
            <w:r>
              <w:rPr>
                <w:rFonts w:hint="eastAsia" w:ascii="宋体" w:hAnsi="宋体" w:eastAsia="宋体" w:cs="宋体"/>
                <w:color w:val="auto"/>
                <w:sz w:val="20"/>
                <w:szCs w:val="20"/>
                <w:highlight w:val="none"/>
                <w:lang w:bidi="ar"/>
              </w:rPr>
              <w:t xml:space="preserve">层板壁厚≥0.35mm，立柱</w:t>
            </w:r>
            <w:bookmarkStart w:id="133" w:name="OLE_LINK34"/>
            <w:r>
              <w:rPr>
                <w:rFonts w:hint="eastAsia" w:ascii="宋体" w:hAnsi="宋体" w:eastAsia="宋体" w:cs="宋体"/>
                <w:color w:val="auto"/>
                <w:sz w:val="20"/>
                <w:szCs w:val="20"/>
                <w:highlight w:val="none"/>
                <w:lang w:bidi="ar"/>
              </w:rPr>
              <w:t xml:space="preserve">壁厚</w:t>
            </w:r>
            <w:bookmarkEnd w:id="133"/>
            <w:r>
              <w:rPr>
                <w:rFonts w:hint="eastAsia" w:ascii="宋体" w:hAnsi="宋体" w:eastAsia="宋体" w:cs="宋体"/>
                <w:color w:val="auto"/>
                <w:sz w:val="20"/>
                <w:szCs w:val="20"/>
                <w:highlight w:val="none"/>
                <w:lang w:bidi="ar"/>
              </w:rPr>
              <w:t xml:space="preserve">≥0.7mm，横梁壁厚≥0.7mm。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2.材质：采用冷轧钢。</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3.功能：供放置体育器材使用，承重量大。</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4.结构：≥4层，蝴蝶孔设计，安装容易，搬运方便。货架零部件均经过除锈、酸洗、磷化、喷涂等表面处理，结实耐用。</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体育器材橱（柜)</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1.规格: 1850mm×900mm×400mm（±10mm）。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2.材质：冷轧钢，壁厚≥0.7mm。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3.功能：收纳体育资料或体育器材。</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4.结构：上为玻璃对开门，下为钢质门，隔板可调。经过除锈、酸洗、磷化、喷涂等表面处理。</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跳高架</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1.规格:立柱高1.45（±1）m，刻度900-2500mm。双立柱，立柱尺寸≥50×50mm的方管。横托</w:t>
            </w:r>
            <w:bookmarkStart w:id="134" w:name="OLE_LINK51"/>
            <w:r>
              <w:rPr>
                <w:rFonts w:hint="eastAsia" w:ascii="宋体" w:hAnsi="宋体" w:eastAsia="宋体" w:cs="宋体"/>
                <w:color w:val="auto"/>
                <w:sz w:val="20"/>
                <w:szCs w:val="20"/>
                <w:highlight w:val="none"/>
                <w:lang w:bidi="ar"/>
              </w:rPr>
              <w:t xml:space="preserve">尺寸</w:t>
            </w:r>
            <w:bookmarkEnd w:id="134"/>
            <w:r>
              <w:rPr>
                <w:rFonts w:hint="eastAsia" w:ascii="宋体" w:hAnsi="宋体" w:eastAsia="宋体" w:cs="宋体"/>
                <w:color w:val="auto"/>
                <w:sz w:val="20"/>
                <w:szCs w:val="20"/>
                <w:highlight w:val="none"/>
                <w:lang w:bidi="ar"/>
              </w:rPr>
              <w:t xml:space="preserve">≥40×60mm，壁厚≥0.7mm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2.材质：立柱铝合金，底座钢质。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3.功能：适用于跳高比赛和练习使用。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结构：跳高架由底座、立柱、横杆托架构成。底座选用≥2mm厚铁板一次冲压成型，避免了焊接造成的接口腐蚀。底部设有≥4个滚轮，移动方便。跳高架底座底部设有微调机构，通过调节微调机构可满足场地不平整引起的跳高架的稳定性和横杆的高度要求。</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付</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跳高垫</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1.规格:3000×2000×300mm（±10mm）。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2.材质：垫套材质为精细帆布，内胆材质为优质海绵材质。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3.功能：跳高垫是田径运动中必不可少的器材之一，其作用是为跳高运动员提供一个更加稳固和弹性的平台。</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4.结构：跳垫的四角为直角，四周仿皮革包角，体操垫长度方向两侧设提手，表面平整，无皱折。当载荷落至体操垫时，外层不起皱，里外层不发生相对位移。</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跳高横杆</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1.规格:横杆直径≥30mm，总长为≥4000mm，重量≥1610±10g。</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2.材质：玻璃钢材料制作。</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3.功能：搭配调高架使用，跳高运动员所跳高度的参照标准。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4.结构：跳高横杆由横杆和横杆接头组成。</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252"/>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跨栏架</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1.规格:跨栏架可调高度为≥762mm、≥840mm、≥914mm、≥990mm、≥1067mm，共≥五档；跨栏板为≥1200×70×20mm。竖向立管为直径32mm的圆管，底部方管≥50×50mm</w:t>
            </w:r>
            <w:r>
              <w:rPr>
                <w:rFonts w:hint="eastAsia" w:ascii="宋体" w:hAnsi="宋体" w:eastAsia="宋体" w:cs="宋体"/>
                <w:color w:val="auto"/>
                <w:sz w:val="20"/>
                <w:szCs w:val="20"/>
                <w:highlight w:val="none"/>
                <w:lang w:eastAsia="zh-CN" w:bidi="ar"/>
              </w:rPr>
              <w:t xml:space="preserve">，</w:t>
            </w:r>
            <w:r>
              <w:rPr>
                <w:rFonts w:hint="eastAsia" w:ascii="宋体" w:hAnsi="宋体" w:eastAsia="宋体" w:cs="宋体"/>
                <w:color w:val="auto"/>
                <w:sz w:val="20"/>
                <w:szCs w:val="20"/>
                <w:highlight w:val="none"/>
                <w:lang w:bidi="ar"/>
              </w:rPr>
              <w:t xml:space="preserve">圆管</w:t>
            </w:r>
            <w:r>
              <w:rPr>
                <w:rFonts w:hint="eastAsia" w:ascii="宋体" w:hAnsi="宋体" w:eastAsia="宋体" w:cs="宋体"/>
                <w:color w:val="auto"/>
                <w:sz w:val="20"/>
                <w:szCs w:val="20"/>
                <w:highlight w:val="none"/>
                <w:lang w:eastAsia="zh-CN" w:bidi="ar"/>
              </w:rPr>
              <w:t xml:space="preserve">、</w:t>
            </w:r>
            <w:r>
              <w:rPr>
                <w:rFonts w:hint="eastAsia" w:ascii="宋体" w:hAnsi="宋体" w:eastAsia="宋体" w:cs="宋体"/>
                <w:color w:val="auto"/>
                <w:sz w:val="20"/>
                <w:szCs w:val="20"/>
                <w:highlight w:val="none"/>
                <w:lang w:bidi="ar"/>
              </w:rPr>
              <w:t xml:space="preserve">方管壁厚≥0.7mm,。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2.材质：跨栏架镀锌管材质，栏板为PVC材质。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3.功能：田径比赛跨栏运动使用。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4.结构：跨栏架由底部方管、竖向立管、伸缩管、调高定位销及上沿跨栏板等组成。竖向立管内置可调节高度，伸缩管上配置有与其所需高度相对应的高度定位孔，调高灵活，定位准确，锁紧可靠。</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钉鞋</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1.规格: ≥7钉，尺码：35-44码。</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2.材质：面料：透气网布，人工皮革；鞋底：EVA耐磨鞋底。</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3.功能：运动跑步、跳远，田径类项目使用。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4.特点：牢固、高强度钢钉、透气网格、防滑。</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双</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标志筒</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1.规格：高度约为520±10mm，带孔。</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2.材质：全塑料制品。</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3.功能：测距，定位、及标识性。</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4.结构：呈圆锥体状，放置平稳。产品质量佳，外观优。</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实心球</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1.规格:圆周长420-780±10mm，直径135±10mm，重量≥2kg。</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2.材质：充气式橡塑实心球。</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3.功能：提高身体协调性、提高身体灵活性。</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4.结构：圆球形，球体表面应进行防滑处理,不应有颗粒脱落、裂缝等缺陷，手感柔软。</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标志杆</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1.规格:标志杆高1500±10mm，直径25±10mm；底座直径195±10mm，高100±10mm。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2.材质：标志杆为PVC材质，底座为圆形ABS材质。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3.功能：训练器材标志物。</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4.结构：由三角形红色旗面，立柱和底座组成。</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划线器</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1.规格:可调线宽40（±10mm）mm，可装粉≥10升。</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2.材质：优质冷轧钢, 壁厚≥0.7mm。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3.功能：干粉划线器，用于场地划线。</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4.结构：三轮车斗式，带手推把柄，带盖。</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助跳板</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1.规格:1220mm×300mm×100mm（±10mm）。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2.材质：优质樟子松材质；表面光滑，无毛刺。</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3.功能：跳远助跳板。</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4.结构：一块木板，带橡皮泥。</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体能训练绳梯</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1.规格：绳梯长度9500±100mm，每节宽36±2mm，长500±10mm，≥19节。</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2.材质：柔软塑胶材料制成+优质编织绳。</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3.功能：提高脚步移动速度，提高身体灵活性，平衡性和协调性。</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气排球</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1.规格：≥5号气排球；圆周长：640-680mm；重量130-145g。</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2.材质：标准密度TPE材质。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3.功能：适用于初学、训练、日常使用。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4.结构：气密性好，精密走线，耐打耐磨。</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排球架</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1.主管直径≥89mm×壁厚2.5mm，内管为≥76×壁厚2.0mm，升降拉销式。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2.配重箱外形尺寸：600×400×300（±10mm）mm；箱体壁厚≥2.0mm。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3.高度调节范围为2240-2430mm。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4.材质：钢管,静电喷涂。</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5.功能：用于排球场地支撑拦网使用。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6.结构：移动箱式。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7.赠送网子。</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副</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排球网</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1.规格:9600mm×1000mm（±10mm）。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2.材质：聚乙烯材质。无毛刺，带钢丝绳。</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3.功能：排球架配套使用。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4.结构：四边，网面平整，多股编织；包边边角平整精密锁边,做工精细，不易磨损开线。</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垒球</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1.规格：12寸垒球，圆周长≥280±10mm，重量≥130±5g。</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2.材质：PU材质。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3.功能：适用于中小学体育运动需求。</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4.结构：球面材料采用PU材料缝制，内有软木心，并缠绕5-10g腈纶线。</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装球车</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1.规格：900×700×800mm（±10mm）。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2.材质：采用冷轧钢，壁厚≥0.7mm,四角为圆角。</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3.功能：适用于装篮球、排球、足球等球类物品。</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4.结构：由钢架、滑轮组成，四轮移动。</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拔河绳</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1.规格：绳长≥30m，直径≥40mm。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2.材质：麻绳。</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3.功能：用于拔河运动或比赛。</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4.结构：用麻绳多股绞合而成。绳的两端结孔，绳的质地无霉变、腐朽、虫咬等缺陷。</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橡皮拉力带</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轻阻力，拉力带采用合成橡胶TPE 制作，环保，无味，弹性好强度高，不易断裂，不易老化</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条</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橡皮拉力带</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重阻力，拉力带采用合成橡胶TPE 制作，环保，无味，弹性好，强度高，不易断裂，不易老化</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条</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身高体重测试仪</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单机:</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1.直接测量人体的身高体重，反映被测者身体匀称度和发育形态指数（BMI）；</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2.身高测试触头可折叠，与主体控制版无线通讯。</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3.身高触头供电方式采用可更换2450/3.3V纽扣电池。</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4.测试仪采用≥4.3寸电容触摸屏，分辨率480×272，LED高亮背光100级亮度调节，G+G结构，表面硬度≥6H，防止碰撞，显示测试值（同屏显示身高体重数值及BMI指数），界面美观，操作简单。</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5.触摸按键，具备单机测试功能。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6.测试仪具有同步语音播报身高、体重测试数值功能，可设置开启或关闭。</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7.带有基座水平调节装置；配有脚轮，方便移动。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主机:</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1.采用32位ARM 4 核Cortex-A7 1.2GHz CPU，原生Android系统13及以上，能够安装APK程序以拓展使用功能及产品升级 ，屏幕采用≥7寸600×1024高清触摸电容屏；主机≥1GB以上运行内存，≥8GB EMCC存储空间。可直插U盘播放测试视频录像。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2.主机具备≥2个USB标准接口（非外接扩展），可直接插入U盘导入≥300000条测试名单信息，也可直接导出测试成绩至U盘自动生成Excel表格。主机同时支持学生名单的无线同步和离线导入功能。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3.主机内置二维码识别摄像头，能自动识别测试者二维码身份信息。主机采用硅胶按键，经久耐用，适用于大规模测试。</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主机具多种身份识别功能：可通过触摸屏输入、外置条码扫描仪等识别方法；输入学号具备自动递增功能；主机菜单具备单项查询，集体查询，分组查询，具有年级班级组别日期等多种筛选数据方式，查询便捷。</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5.主机支持U盘直接导入国标和自定义评分标准，主机内嵌国标可以根据年级性别项目进行实时评分，适用于体测；也可以自定义导入评分标准对测试结果进行评分，适用于考试。</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6.主机查询结果能一屏同时显示测试学校、年级、班级、学生姓名、性别、测试成绩、测试日期及时间，方便后期督查。主机具有日志管理，记录操作人员在主机上的所有操作，便于异常情况的追溯。</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7.主机具有数据备份和恢复功能，可以备份任意时间段体测程序里面的所有数据，可以备份多次保存在存储芯片里面。支持一键恢复，根据日期选择要恢复的备份，自动恢复测试数据。</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8.主要技术参数：</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测量范围：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身高：90cm～215cm      体重：0kg ～200kg</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分度值：身高：0.1cm    体重：0.1kg</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误差：身高：±0.1cm       体重：±0.1kg </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肺活量测试仪</w:t>
            </w:r>
            <w:r/>
          </w:p>
        </w:tc>
        <w:tc>
          <w:tcPr>
            <w:tcBorders>
              <w:top w:val="single" w:color="000000" w:sz="4" w:space="0"/>
              <w:left w:val="single" w:color="000000" w:sz="4" w:space="0"/>
              <w:bottom w:val="single" w:color="000000" w:sz="4" w:space="0"/>
              <w:right w:val="single" w:color="000000" w:sz="4" w:space="0"/>
            </w:tcBorders>
            <w:tcW w:w="3349" w:type="pct"/>
            <w:vAlign w:val="bottom"/>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单机:</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1.测定人体呼吸的最大通气能力，测试数值反映肺的容积和肺的扩展能力。</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2.使用高精密传感器，精度高，吹管优化设计与处理，不易产生积水，防补气（防作弊）功能，补气时自动锁定数据。</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测试仪采用一体化设计，采用LCD液晶显示屏，视域（W×H)≥39.0×17.0，具备LED高亮背光，读数方便,具有锁定功能。采用内置锂电池供电，Type-C接口充电，低功耗设计，30秒内未使用自动逐级调低亮度直至息屏，带低电量提示功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4.单机开关复合功能按键，具备单机测试开始/结束功能。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5.与主机无线连接，测试结果一目了然，一键式操作，具有单机测试及清零功能。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主机:</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1.采用32位ARM 4 核Cortex-A7 1.2GHz CPU，原生Android系统13及以上，能够安装APK程序以拓展使用功能及产品升级 ，屏幕采用≥7寸600×1024高清触摸电容屏；主机≥1GB以上运行内存，≥8GB EMCC存储空间。可直插U盘播放测试视频录像。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2.主机具备≥2个USB标准接口（非外接扩展），可直接插入U盘导入≥300000条测试名单信息，也可直接导出测试成绩至U盘自动生成Excel表格。主机同时支持学生名单的无线同步和离线导入功能。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3.主机内置二维码识别摄像头，能自动识别测试者二维码身份信息。主机采用硅胶按键，经久耐用，适用于大规模测试。</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主机具多种身份识别功能：可通过触摸屏输入、外置条码扫描仪等识别方法；输入学号具备自动递增功能；主机菜单具备单项查询，集体查询，分组查询，具有年级班级组别日期等多种筛选数据方式，查询便捷。</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5.主机支持U盘直接导入国标和自定义评分标准，主机内嵌国标可以根据年级性别项目进行实时评分，适用于体测；也可以自定义导入评分标准对测试结果进行评分，适用于考试。</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6.主机查询结果能一屏同时显示测试学校、年级、班级、学生姓名、性别、测试成绩、测试日期及时间，方便后期督查。主机具有日志管理，记录操作人员在主机上的所有操作，便于异常情况的追溯。</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7.主机具有数据备份和恢复功能，可以备份任意时间段体测程序里面的所有数据，可以备份多次保存在存储芯片里面。支持一键恢复，根据日期选择要恢复的备份，自动恢复测试数据。</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8.主要技术参数</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量程：0～9999ml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分度值：1ml</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误差：±0.5%FS </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坐位体前屈测试仪</w:t>
            </w:r>
            <w:r/>
          </w:p>
        </w:tc>
        <w:tc>
          <w:tcPr>
            <w:tcBorders>
              <w:top w:val="single" w:color="000000" w:sz="4" w:space="0"/>
              <w:left w:val="single" w:color="000000" w:sz="4" w:space="0"/>
              <w:bottom w:val="single" w:color="000000" w:sz="4" w:space="0"/>
              <w:right w:val="single" w:color="000000" w:sz="4" w:space="0"/>
            </w:tcBorders>
            <w:tcW w:w="3349" w:type="pct"/>
            <w:vAlign w:val="bottom"/>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单机:</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1.单机采用≥3.5寸led点阵屏，实体按键。</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2.单机采用双向光电开关，自动识别手推板前推和回退，手推板可自动回弹归位，具有防作弊成绩自动锁定功能。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3.单机采用锂电池供电，内置2000mAh锂电池，可持续工作20个小时以上；采用microusb接口充电。</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4.单机主控显示部分和测试杆间顶针式连接，可灵活自由拆卸，进行充电及日常保管维护。</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5.单机主控部分开关复合功能按键，具备单机测试开始/结束功能。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6.带辅助测试床体板，含海绵座垫及硬质蹬脚板。</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主机:</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1.采用32位ARM 4 核Cortex-A7 1.2GHz CPU，原生Android系统13及以上，能够安装APK程序以拓展使用功能及产品升级 ，屏幕采用≥7寸600×1024高清触摸电容屏；主机≥1GB以上运行内存，≥8GB EMCC存储空间。可直插U盘播放测试视频录像。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2.主机具备≥2个USB标准接口（非外接扩展），可直接插入U盘导入≥300000条测试名单信息，也可直接导出测试成绩至U盘自动生成Excel表格。主机同时支持学生名单的无线同步和离线导入功能。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3.主机内置二维码识别摄像头，能自动识别测试者二维码身份信息。主机采用硅胶按键，经久耐用，适用于大规模测试。</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主机具多种身份识别功能：可通过触摸屏输入、外置条码扫描仪等识别方法；输入学号具备自动递增功能；主机菜单具备单项查询，集体查询，分组查询，具有年级班级组别日期等多种筛选数据方式，查询便捷。</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5.主机支持U盘直接导入国标和自定义评分标准，主机内嵌国标可以根据年级性别项目进行实时评分，适用于体测；也可以自定义导入评分标准对测试结果进行评分，适用于考试。</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6.主机查询结果能一屏同时显示测试学校、年级、班级、学生姓名、性别、测试成绩、测试日期及时间，方便后期督查。主机具有日志管理，记录操作人员在主机上的所有操作，便于异常情况的追溯。</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7.主机具有数据备份和恢复功能，可以备份任意时间段体测程序里面的所有数据，可以备份多次保存在存储芯片里面。支持一键恢复，根据日期选择要恢复的备份，自动恢复测试数据。</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8.主要技术参数</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测量范围：-20cm～40cm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分度值：0.1cm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误差：0cm   </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跳绳测试仪</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外设：                                                                                               自动测量一分钟倒计时跳绳个数，通过一分钟跳绳测试反应学生的下肢爆发力和身体协调能力。</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内置3个高精度、高灵敏的磁电感应传感器，精准识别绳子正转、反转和跳绳速度的快慢，一分钟内可识别1500次以上的跳绳个数；采用360度旋转防绕设计，内置P6等级高转速无噪音轴承，不卡顿，速度更流畅，让跳跃更省心；</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2、具有绊脚分析功能，可记录在运动中绊脚次数。达到数据汇总分析功能；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3、ABS+PC材质手柄，防滑纹理设计，快速导汗，带防脱落和作弊挂绳，防止跳绳过程中脱落伤及人员；</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4、内置倒计时运动功能，可自由设置运动时间，10S倒计时会自动声音提示，让运动更科学；</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5、智能高清显示屏，时时显示倒计时间、跳动个数、设备电量、无线连接状态等。</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6、内置500毫安时及以上容量的锂电池，长达13小时连续使用，可续航使用50天，充电采用标准Type-c接口，让测试无忧虑；</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7、与数据服务器连接测试时，标配10人同测，最多可扩充至60人同时测试，提高测试效率；          </w:t>
            </w:r>
            <w:r>
              <w:rPr>
                <w:rFonts w:hint="eastAsia" w:ascii="宋体" w:hAnsi="宋体" w:eastAsia="宋体" w:cs="宋体"/>
                <w:color w:val="auto"/>
                <w:sz w:val="20"/>
                <w:szCs w:val="20"/>
                <w:highlight w:val="none"/>
                <w:lang w:bidi="ar"/>
              </w:rPr>
              <w:t xml:space="preserve">                                                                                                                                                                                                                                                                </w:t>
            </w:r>
            <w:r>
              <w:rPr>
                <w:rFonts w:hint="eastAsia" w:ascii="宋体" w:hAnsi="宋体" w:eastAsia="宋体" w:cs="宋体"/>
                <w:color w:val="auto"/>
                <w:sz w:val="20"/>
                <w:szCs w:val="20"/>
                <w:highlight w:val="none"/>
                <w:lang w:bidi="ar"/>
              </w:rPr>
              <w:t xml:space="preserve">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主要技术参数：</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1）测量次数：1-9999次 ，计时：0分0秒-99分59秒 ，计数精度：±1个。                                                     7寸主机：                                                                </w:t>
            </w:r>
            <w:r>
              <w:rPr>
                <w:rFonts w:hint="eastAsia" w:ascii="宋体" w:hAnsi="宋体" w:eastAsia="宋体" w:cs="宋体"/>
                <w:color w:val="auto"/>
                <w:sz w:val="20"/>
                <w:szCs w:val="20"/>
                <w:highlight w:val="none"/>
                <w:lang w:bidi="ar"/>
              </w:rPr>
              <w:t xml:space="preserve">                                       1、采用四核1.7GHz，64位架构四核处理器，高性能，低功耗,安卓10系统，运行内存2G，存储内存32G；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2、7寸高清屏1024×600分辨率高清高亮屏（满足户外使用），G+G触摸屏，支持10点触控；                                                         </w:t>
            </w:r>
            <w:r>
              <w:rPr>
                <w:rFonts w:hint="eastAsia" w:ascii="宋体" w:hAnsi="宋体" w:eastAsia="宋体" w:cs="宋体"/>
                <w:color w:val="auto"/>
                <w:sz w:val="20"/>
                <w:szCs w:val="20"/>
                <w:highlight w:val="none"/>
                <w:lang w:bidi="ar"/>
              </w:rPr>
              <w:t xml:space="preserve">                                                                                          3、支持WIFI无线投屏，可双屏同步显示测试过程和结果，以方便学生实时查看测试过程的相关测试数据；                                                                                                                     </w:t>
            </w:r>
            <w:r>
              <w:rPr>
                <w:rFonts w:hint="eastAsia" w:ascii="宋体" w:hAnsi="宋体" w:eastAsia="宋体" w:cs="宋体"/>
                <w:color w:val="auto"/>
                <w:sz w:val="20"/>
                <w:szCs w:val="20"/>
                <w:highlight w:val="none"/>
                <w:lang w:bidi="ar"/>
              </w:rPr>
              <w:t xml:space="preserve">                                                                                                                                                                                                                                  4、内置13个由数字等组成的触摸按键，方便录入测试人员信息；</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5、内置NFC刷卡模块，内置二维码扫描仪（非外接型），自动识别测试者身份信息；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6、内置7.4V 10000毫安时超大容量锂电池，可供连续使用12小时；内置电池快充芯片，3小时完成电池充满状态；</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7、内置SD存储卡接口，可与机器硬盘同步存储用户数据，双份存储，保障数据安全；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8、内置出考场成绩查看的打印功能，支持现场电子化真人笔迹签字，并加以“北京时间”的水印，将有签名的成绩照片本地保存和同步上传平台功能；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9、标配标准耳机接口×1、以太网接口×1、RJ45接口×1、SD卡接口×1；具备≥2个USB标准接口（非外接扩展），可直接插入U盘导入≥1000000条测试名单信息，也可直接导出测试成绩至U盘自动生成Excel表格。主机同时支持学生名单的无线同步和离线导入功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10、具多种身份识别功能：可通过触摸屏输入、非接触式IC卡（兼容校园一卡通）、条码扫描仪等识别方法；输入学号具备自动递增功能；服务器具备单项查询，集体查询，分组查询，具有年级班级组别日期等多种筛选数据方式，查询便捷。</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11、支持U盘直接导入国标和自定义评分标准，主机内嵌国标可以根据年级性别项目进行实时评分，适用于体测；也可以自定义导入评分标准对测试结果进行评分，适用于考试。所有学生测试界面时时针对成绩进行优良差评分显示；</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12、支持头像管理，主机可以通过U盘批量导入学生头像100000条以上，也可以通过云平台从网络实时无线下载学生头像。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13、查询结果能一屏同时显示测试学校、年级、班级、学生姓名、性别、测试成绩、测试日期及时间，方便后期督查。主机具有日志管理，记录操作人员在主机上的所有操作，便于异常情况的追溯。</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14、具有数据备份和恢复功能，可以备份任意时间段体测程序里面的所有数据，可以备份多次保存在存储芯片里面。支持一键恢复，根据日期选择要恢复的备份，自动恢复测试数据。</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办公桌椅</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桌子尺寸:1200×600×750mm（±10mm）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基材：环保型饰面刨花板制作，台面板厚度≥25mm,其余板材厚度≥18mm。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饰面：正反三聚氰胺贴面(厚度≥0.6mm)。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封边：≥2mm厚同色优质PVC封边。</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桌架：国产钢结构，壁厚≥1.5mm。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涂装：涂膜厚50-70μm。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胶水：优质环保型胶水。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五金件：优质五金配件。</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椅背：PP背框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椅座：≥12mm座板，定型绵，弹力布座布</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底盘：原位锁定蝴蝶底盘</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扶手：PP连体固定扶手</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气杆：行程≥100mm沉口≥50mm三级气杆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椅脚：≥340mmPP五星脚</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椅轮：≥60/25黑色PA轮</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32"/>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1F学生餐厅配备清单</w:t>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学生餐桌</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（八人连体餐桌椅）</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外形尺寸：2000×600×760mm（±10mm）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桌面:≥2000×600×30mm，不锈钢</w:t>
            </w:r>
            <w:bookmarkStart w:id="135" w:name="OLE_LINK35"/>
            <w:r>
              <w:rPr>
                <w:rFonts w:hint="eastAsia" w:ascii="宋体" w:hAnsi="宋体" w:eastAsia="宋体" w:cs="宋体"/>
                <w:color w:val="auto"/>
                <w:sz w:val="20"/>
                <w:szCs w:val="20"/>
                <w:highlight w:val="none"/>
                <w:lang w:bidi="ar"/>
              </w:rPr>
              <w:t xml:space="preserve">壁厚</w:t>
            </w:r>
            <w:bookmarkEnd w:id="135"/>
            <w:r>
              <w:rPr>
                <w:rFonts w:hint="eastAsia" w:ascii="宋体" w:hAnsi="宋体" w:eastAsia="宋体" w:cs="宋体"/>
                <w:color w:val="auto"/>
                <w:sz w:val="20"/>
                <w:szCs w:val="20"/>
                <w:highlight w:val="none"/>
                <w:lang w:bidi="ar"/>
              </w:rPr>
              <w:t xml:space="preserve">≥0.6mm板材，</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桌托架:≥25×50×壁厚1.2mm镀锌铁管.</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主架:≥50×50×壁厚1.2mm，不锈钢方管.</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座椅:≥1900×230×25mm，不锈钢壁厚≥0.5mm板材，四周中性硅酮结构胶封边，配优质防滑耐磨套脚.</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老师餐桌</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（四人）</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桌面：1200×600×25mm（±10mm），材质：桌面为≥18mm实木多层板基材；台架选用优质不锈钢管及钢板底座，表面做拉丝处理。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材质：坐垫部分为多层曲木板基材，表面贴防火防水装饰板，四周经多次打磨油漆防水封边；椅脚选用优质不锈钢钢管，表面经多次打磨亮光处理。</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双门控时电蒸饭车</w:t>
            </w:r>
            <w:r/>
          </w:p>
        </w:tc>
        <w:tc>
          <w:tcPr>
            <w:tcBorders>
              <w:top w:val="single" w:color="000000" w:sz="4" w:space="0"/>
              <w:left w:val="single" w:color="000000" w:sz="4" w:space="0"/>
              <w:bottom w:val="single" w:color="000000" w:sz="4" w:space="0"/>
              <w:right w:val="single" w:color="000000" w:sz="4" w:space="0"/>
            </w:tcBorders>
            <w:tcW w:w="3349" w:type="pct"/>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尺寸：1400×600×1600mm（±10mm），配24盘                                                               材料采用不锈钢板制作，箱体内胆采用壁厚≥1.0mm不锈钢板制作；柜体、侧板采用</w:t>
            </w:r>
            <w:bookmarkStart w:id="136" w:name="OLE_LINK36"/>
            <w:r>
              <w:rPr>
                <w:rFonts w:hint="eastAsia" w:ascii="宋体" w:hAnsi="宋体" w:eastAsia="宋体" w:cs="宋体"/>
                <w:color w:val="auto"/>
                <w:sz w:val="20"/>
                <w:szCs w:val="20"/>
                <w:highlight w:val="none"/>
                <w:lang w:bidi="ar"/>
              </w:rPr>
              <w:t xml:space="preserve">壁厚</w:t>
            </w:r>
            <w:bookmarkEnd w:id="136"/>
            <w:r>
              <w:rPr>
                <w:rFonts w:hint="eastAsia" w:ascii="宋体" w:hAnsi="宋体" w:eastAsia="宋体" w:cs="宋体"/>
                <w:color w:val="auto"/>
                <w:sz w:val="20"/>
                <w:szCs w:val="20"/>
                <w:highlight w:val="none"/>
                <w:lang w:bidi="ar"/>
              </w:rPr>
              <w:t xml:space="preserve">≥1.0mm不锈钢板制，自动加水装置。</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控时功能使得蒸饭箱能够精确控制蒸煮过程，</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满足不同的烹饪需求 。</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双门热风循环消毒柜</w:t>
            </w:r>
            <w:r/>
          </w:p>
        </w:tc>
        <w:tc>
          <w:tcPr>
            <w:tcBorders>
              <w:top w:val="single" w:color="000000" w:sz="4" w:space="0"/>
              <w:left w:val="single" w:color="000000" w:sz="4" w:space="0"/>
              <w:bottom w:val="single" w:color="000000" w:sz="4" w:space="0"/>
              <w:right w:val="single" w:color="000000" w:sz="4" w:space="0"/>
            </w:tcBorders>
            <w:tcW w:w="3349" w:type="pct"/>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尺寸：1150×600×1800mm（±10mm）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采用壁厚≥1.2mm不锈钢板制作.。采用微电脑精确控温超大数码显示 强制柜内热风循环，高温消毒无死角 采用红外线加温消毒方式。适用与耐温150℃以上的餐具进行归类消毒</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28"/>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平板拖车</w:t>
            </w:r>
            <w:r/>
          </w:p>
        </w:tc>
        <w:tc>
          <w:tcPr>
            <w:tcBorders>
              <w:top w:val="single" w:color="000000" w:sz="4" w:space="0"/>
              <w:left w:val="single" w:color="000000" w:sz="4" w:space="0"/>
              <w:bottom w:val="single" w:color="000000" w:sz="4" w:space="0"/>
              <w:right w:val="single" w:color="000000" w:sz="4" w:space="0"/>
            </w:tcBorders>
            <w:tcW w:w="3349" w:type="pct"/>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尺寸：600×900×900mm（±10mm）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采用壁厚≥1.0不锈钢板制作，配脚轮</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898"/>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食品留样柜</w:t>
            </w:r>
            <w:r/>
          </w:p>
        </w:tc>
        <w:tc>
          <w:tcPr>
            <w:tcBorders>
              <w:top w:val="single" w:color="000000" w:sz="4" w:space="0"/>
              <w:left w:val="single" w:color="000000" w:sz="4" w:space="0"/>
              <w:bottom w:val="single" w:color="000000" w:sz="4" w:space="0"/>
              <w:right w:val="single" w:color="000000" w:sz="4" w:space="0"/>
            </w:tcBorders>
            <w:tcW w:w="3349" w:type="pct"/>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尺寸：600×550×1300mm（±10mm）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型号：DC-G0.5</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功率：140W 电压：220V  保鲜温度：+3℃～+10℃</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刀具消毒柜</w:t>
            </w:r>
            <w:r/>
          </w:p>
        </w:tc>
        <w:tc>
          <w:tcPr>
            <w:tcBorders>
              <w:top w:val="single" w:color="000000" w:sz="4" w:space="0"/>
              <w:left w:val="single" w:color="000000" w:sz="4" w:space="0"/>
              <w:bottom w:val="single" w:color="000000" w:sz="4" w:space="0"/>
              <w:right w:val="single" w:color="000000" w:sz="4" w:space="0"/>
            </w:tcBorders>
            <w:tcW w:w="3349" w:type="pct"/>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电压: 220V SPN, 50Hz  电量: 15W  ,内置紫外线（UV）灯,</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智能定时，高效杀菌</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设有开门停灯及≥120分钟时间调控；</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817"/>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双层操作台</w:t>
            </w:r>
            <w:r/>
          </w:p>
        </w:tc>
        <w:tc>
          <w:tcPr>
            <w:tcBorders>
              <w:top w:val="single" w:color="000000" w:sz="4" w:space="0"/>
              <w:left w:val="single" w:color="000000" w:sz="4" w:space="0"/>
              <w:bottom w:val="single" w:color="000000" w:sz="4" w:space="0"/>
              <w:right w:val="single" w:color="000000" w:sz="4" w:space="0"/>
            </w:tcBorders>
            <w:tcW w:w="3349" w:type="pct"/>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尺寸：1800×800×800mm（±10mm）；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不锈钢壁厚≥1.0板材,台面内衬厚度≥18mm防水机制板，用壁厚≥1.0mm不锈钢板加强筋加固,脚为不锈钢管配可调节子弹脚。</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828"/>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保温汤桶车</w:t>
            </w:r>
            <w:r/>
          </w:p>
        </w:tc>
        <w:tc>
          <w:tcPr>
            <w:tcBorders>
              <w:top w:val="single" w:color="000000" w:sz="4" w:space="0"/>
              <w:left w:val="single" w:color="000000" w:sz="4" w:space="0"/>
              <w:bottom w:val="single" w:color="000000" w:sz="4" w:space="0"/>
              <w:right w:val="single" w:color="000000" w:sz="4" w:space="0"/>
            </w:tcBorders>
            <w:tcW w:w="3349" w:type="pct"/>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尺寸：700×700×800mm（±10mm）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材料采用不锈钢材质，珐纹处理，氩焊处满焊，打磨处理,箱体壁厚≥1.2mm，车轮选用聚安脂静音轮，后轮带刹车</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851"/>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电热开水器</w:t>
            </w:r>
            <w:r/>
          </w:p>
        </w:tc>
        <w:tc>
          <w:tcPr>
            <w:tcBorders>
              <w:top w:val="single" w:color="000000" w:sz="4" w:space="0"/>
              <w:left w:val="single" w:color="000000" w:sz="4" w:space="0"/>
              <w:bottom w:val="single" w:color="000000" w:sz="4" w:space="0"/>
              <w:right w:val="single" w:color="000000" w:sz="4" w:space="0"/>
            </w:tcBorders>
            <w:tcW w:w="3349" w:type="pct"/>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12KW含架</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内胆304加厚不锈钢板制作，配有自动温控系统及优质电热管，带自动进水，缺水断电功能，电压380V,功率12KW</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八格保温台</w:t>
            </w:r>
            <w:r/>
          </w:p>
        </w:tc>
        <w:tc>
          <w:tcPr>
            <w:tcBorders>
              <w:top w:val="single" w:color="000000" w:sz="4" w:space="0"/>
              <w:left w:val="single" w:color="000000" w:sz="4" w:space="0"/>
              <w:bottom w:val="single" w:color="000000" w:sz="4" w:space="0"/>
              <w:right w:val="single" w:color="000000" w:sz="4" w:space="0"/>
            </w:tcBorders>
            <w:tcW w:w="3349" w:type="pct"/>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尺寸：1500×700×800mm（±10mm）   1/2份数盆八只</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采用壁厚≥1.0不锈钢板制作。封板</w:t>
            </w:r>
            <w:bookmarkStart w:id="137" w:name="OLE_LINK37"/>
            <w:r>
              <w:rPr>
                <w:rFonts w:hint="eastAsia" w:ascii="宋体" w:hAnsi="宋体" w:eastAsia="宋体" w:cs="宋体"/>
                <w:color w:val="auto"/>
                <w:sz w:val="20"/>
                <w:szCs w:val="20"/>
                <w:highlight w:val="none"/>
                <w:lang w:bidi="ar"/>
              </w:rPr>
              <w:t xml:space="preserve">壁厚</w:t>
            </w:r>
            <w:bookmarkEnd w:id="137"/>
            <w:r>
              <w:rPr>
                <w:rFonts w:hint="eastAsia" w:ascii="宋体" w:hAnsi="宋体" w:eastAsia="宋体" w:cs="宋体"/>
                <w:color w:val="auto"/>
                <w:sz w:val="20"/>
                <w:szCs w:val="20"/>
                <w:highlight w:val="none"/>
                <w:lang w:bidi="ar"/>
              </w:rPr>
              <w:t xml:space="preserve">≥0.8不锈钢板，菜池加盖，菜池用壁厚≥0.8不锈钢板，不锈钢电热管≥2支，脚用≥Ø38×壁厚0.9㎜不锈钢圆管制作，不锈钢脚可调节，电力220V,功率4KW</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四层不锈钢货架</w:t>
            </w:r>
            <w:r/>
          </w:p>
        </w:tc>
        <w:tc>
          <w:tcPr>
            <w:tcBorders>
              <w:top w:val="single" w:color="000000" w:sz="4" w:space="0"/>
              <w:left w:val="single" w:color="000000" w:sz="4" w:space="0"/>
              <w:bottom w:val="single" w:color="000000" w:sz="4" w:space="0"/>
              <w:right w:val="single" w:color="000000" w:sz="4" w:space="0"/>
            </w:tcBorders>
            <w:tcW w:w="3349" w:type="pct"/>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尺寸：1500×500×1550mm（±10mm）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采用厚壁厚≥1.0mm不锈钢板制作,横档层板采用壁厚≥1.0mm不锈钢板制作；立柱采用壁厚≥38×38×1.0mm不锈钢方管，配可调子弹脚。</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39</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更衣柜</w:t>
            </w:r>
            <w:r/>
          </w:p>
        </w:tc>
        <w:tc>
          <w:tcPr>
            <w:tcBorders>
              <w:top w:val="single" w:color="000000" w:sz="4" w:space="0"/>
              <w:left w:val="single" w:color="000000" w:sz="4" w:space="0"/>
              <w:bottom w:val="single" w:color="000000" w:sz="4" w:space="0"/>
              <w:right w:val="single" w:color="000000" w:sz="4" w:space="0"/>
            </w:tcBorders>
            <w:tcW w:w="3349" w:type="pct"/>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尺寸：1100×400×1800mm（±10mm）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采用壁厚不小于0.7mm不锈钢板制作，脚用≥Ø51×壁厚1.2㎜不锈钢圆管配不锈钢加重调节脚,分上层下层，每层三扇门；内部无挂衣杆，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每扇门上附锁,配钥匙，六门。</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单星盆水池</w:t>
            </w:r>
            <w:r/>
          </w:p>
        </w:tc>
        <w:tc>
          <w:tcPr>
            <w:tcBorders>
              <w:top w:val="single" w:color="000000" w:sz="4" w:space="0"/>
              <w:left w:val="single" w:color="000000" w:sz="4" w:space="0"/>
              <w:bottom w:val="single" w:color="000000" w:sz="4" w:space="0"/>
              <w:right w:val="single" w:color="000000" w:sz="4" w:space="0"/>
            </w:tcBorders>
            <w:tcW w:w="3349" w:type="pct"/>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尺寸：1200×700×800mm（±10mm）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星盆采用壁厚≥1.0mm不锈钢制作；≥4根支脚应采用≥直径38×38×1.0mm壁厚的不锈钢方管焊接成型，所有脚管都必须安装不锈钢子弹形底端可调脚；星盆整体的所有焊接口须满焊打磨光滑，确保无一处发生漏焊现象。</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立式四门冷柜</w:t>
            </w:r>
            <w:r/>
          </w:p>
        </w:tc>
        <w:tc>
          <w:tcPr>
            <w:tcBorders>
              <w:top w:val="single" w:color="000000" w:sz="4" w:space="0"/>
              <w:left w:val="single" w:color="000000" w:sz="4" w:space="0"/>
              <w:bottom w:val="single" w:color="000000" w:sz="4" w:space="0"/>
              <w:right w:val="single" w:color="000000" w:sz="4" w:space="0"/>
            </w:tcBorders>
            <w:tcW w:w="3349" w:type="pct"/>
            <w:textDirection w:val="lrTb"/>
            <w:noWrap w:val="false"/>
          </w:tcPr>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1、门体及功能配置： 四门发泡门冷柜</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2、制冷方式：风冷；温度范围：-15~-18℃</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3、容积：990L(±5%）；  电压：AC220v/50Hz；  功率：320W+420W ；插头：国标10A；</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4、采用电子温控器，柜内温度一目了然；</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5、柜内外不锈钢材质耐用易清洁</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6、冷柜保温夹芯板芯材采用环戊烷聚胺脂隔热保温材料；保温层厚度50mm(±5%）；</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7、采用无CFC的环保雪种；（冷凝器蒸发器）制冷系统全铝管制造；</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8、活动式强力风冷系统,温度均恒无差异</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9、门体自动回归；</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所有产品具有：</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一级能效标识，产品对应型号在中国能效标识网已完成备案，并且获得《中国节能产品认证证书》 </w:t>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本产品为低碳绿色产品，提供产品碳标签评价证书、低碳产品供应商证书、碳标签标识使用授权书</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加温送餐车</w:t>
            </w:r>
            <w:r/>
          </w:p>
        </w:tc>
        <w:tc>
          <w:tcPr>
            <w:tcBorders>
              <w:top w:val="single" w:color="000000" w:sz="4" w:space="0"/>
              <w:left w:val="single" w:color="000000" w:sz="4" w:space="0"/>
              <w:bottom w:val="single" w:color="000000" w:sz="4" w:space="0"/>
              <w:right w:val="single" w:color="000000" w:sz="4" w:space="0"/>
            </w:tcBorders>
            <w:tcW w:w="3349" w:type="pct"/>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双门≥24层，可放≥96只餐盘</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不锈钢板材，加温独立控制，</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使用优质脚轮，触摸式电脑版。</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02"/>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2F小学科学实验室配备清单</w:t>
            </w:r>
            <w:r/>
          </w:p>
        </w:tc>
      </w:tr>
      <w:tr>
        <w:trPr>
          <w:trHeight w:val="357"/>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基础设备</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教师演示讲台</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1、尺寸：2800（长）×700（宽）×850mm（高）（±10mm）。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2.台面：采用≥12.7mm厚双面膜实芯理化板台面，台面边缘用同质材料板双层加厚至≥25.4mm。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3.柜体：采用≥1.0mm优质镀锌钢板，采用CO2保护焊焊接，打磨处理，表面经耐酸碱粉末烤漆处理（烤漆膜厚度平均值≥70μm）；整体结构设计合理，预留电脑主机、键盘托、实物展台、教师电源位置；</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4.拉手：采用C型不锈钢拉手，用“强磁”测试拉手的不锈钢材质，造型独特美观；</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5.防撞胶垫：装于抽屉及门板内侧，减缓碰撞，保护柜体；</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6.门板及抽面：采用双层钢板，必须两层组装是设计，保证两层双面都喷涂处理，中间采用隔音材料，保证关门减少噪音；</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7.连接件：采用ABS专用连接组装件；</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8.合页：采用优质不锈钢模具一体成型，强度必须达到一个正常成年座在门上方合页不脱落；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9.滑轨：三节重型滚珠滑轨，承重性强，滑动性能良好，无噪音；</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10.固定桌脚：采用柜体内置可调ABS调整脚，保证调整脚前后都可以调节高低。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82"/>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教师洗眼器</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1、台面安装方式，平时放置于台面，紧急使用时可随意抽起，使用方便。</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2、洗眼喷头：具有过滤泡棉及防尘功能，上面防尘盖平常可防尘，使用时可随时被水冲开，并降低突然打开时短暂的高水压，避免冲伤眼睛。</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3、控水阀采用黄铜制作，经高亮度环氧树脂涂层处理，外观美观大方，阀门可自动关闭，密封可靠。</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4、供水软管：采用2m长不锈钢软管。</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教师大号三联水嘴</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1、主体：加厚铜质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2、涂层：高亮度环氧树脂涂层，耐腐蚀、耐热，防紫外线辐射</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3、陶瓷阀芯90°旋转，使用寿命开关50万次，静态最大耐压20巴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4、经久耐用，不会出现渗水、断裂现象</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5、鹅颈管可360°旋转</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6、可拆卸铜质水嘴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7、开关旋钮：高密度PP，人体工学设计，手感舒适</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付</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PP水槽</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1、规格：550×450×300mm（±10mm），采用实验室专用高密度PP一体化成型水槽，易清洁，耐腐蚀，且利于台面残水自然回流，美观实用；具耐酸碱、耐有机溶剂、耐紫外线等特点。</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47</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六边形实验桌</w:t>
            </w:r>
            <w:r/>
          </w:p>
        </w:tc>
        <w:tc>
          <w:tcPr>
            <w:tcBorders>
              <w:top w:val="single" w:color="000000" w:sz="4" w:space="0"/>
              <w:left w:val="single" w:color="000000" w:sz="4" w:space="0"/>
              <w:bottom w:val="single" w:color="000000" w:sz="4" w:space="0"/>
              <w:right w:val="single" w:color="000000" w:sz="4" w:space="0"/>
            </w:tcBorders>
            <w:tcW w:w="3349" w:type="pct"/>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1、尺寸：1400（长）×1212（宽）×780mm（高）（±10mm）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1、台面：采用厚度≥12.7mm 双面膜耐腐蚀实芯理化板制作，台面为六边形设计，四角倒 R15 圆角，边缘经防水封边工艺处理。台面耐强酸强碱、耐高温、防潮阻燃、无毛细孔、不易膨胀龟裂、不变形、绝缘防静电，承重性能优异，便于日常清洁维护。台面集成嵌入式电源插座，满足设备供电需求。</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柜体结构：落地式一体化设计：内部预留标准主机位空间，可兼容常规台式电脑主机放置，布线规整有序。底柜正面采用平装嵌入式无突出结构，避免衣物勾挂；所有钣金接缝均采用满焊工艺，焊接处打磨抛光至连续平滑，无毛刺、无锐角。</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3、主框架：采用裸板实际壁厚≥1.0mm 的优质一级镀锌钢板，经数控冲压、折弯一体成型，焊接后整体磷化处理，再经环氧树脂静电粉末喷涂，耐酸碱腐蚀、防锈性能优异。</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4、门板与封闭式收纳：采用裸板实际壁厚≥1.0mm 的优质一级镀锌钢板制作，双包边防变形结构，内部填充降噪缓冲材料，配备阻尼铰链，开合静音且抗冲击不变形。</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5、开放式收纳系统：柜体侧面配置开放式洞洞板收纳区，搭配金属挂篮、挂钩等配件，可灵活收纳文具、工具、小型绿植等物品，提升空间利用率；侧面预留开放式置物平台，可临时放置常用物品。</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6、桌面侧面嵌入式配置国标五孔电源插座，满足教学设备、电脑等用电需求，线路采用隐藏式布线设计。</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椅子</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尺寸：530×465×820mm（±10mm）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1；椅座采用优质棉绒弹力面料。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2.优质高回弹密度发泡海绵。</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3；采用水基型胶粘剂,。</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4；椅身：Y字形靠背稳定结构，采用全新PP+纤维，环保可回收使用无污染，能通过≥120K靠背拉力测试。</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5；椅架全铝合金材质压铸成型结构，表面抛光打磨防刮耐磨防锈处理，易堆叠，脚架左右两侧自带联排卡扣，防止摆放杂乱。脚架内侧设有4个防刮胶垫，隔开空间防椅子堆叠时候的刮花</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265"/>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49</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lang w:eastAsia="zh-CN"/>
              </w:rPr>
            </w:pP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color w:val="auto"/>
                <w:sz w:val="20"/>
                <w:szCs w:val="20"/>
                <w:highlight w:val="none"/>
                <w:lang w:bidi="ar"/>
              </w:rPr>
              <w:t xml:space="preserve">实验室专用学生凳</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val="en-US" w:eastAsia="zh-CN" w:bidi="ar"/>
              </w:rPr>
              <w:t xml:space="preserve">核心产品</w:t>
            </w:r>
            <w:r>
              <w:rPr>
                <w:rFonts w:hint="eastAsia" w:ascii="宋体" w:hAnsi="宋体" w:cs="宋体"/>
                <w:color w:val="auto"/>
                <w:sz w:val="20"/>
                <w:szCs w:val="20"/>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规格：Φ315*415-515mm（±10mm）</w:t>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凳脚材质：5个凳脚采用19-20×30×壁厚2.0mmP型钢管生产制作，底座连接底座采用铝合金模具一次性压铸成型，牢固稳定性强，结构牢固，底部设有活动静音轮或ABS调整脚。烤漆处理，长时间使用也不会产生表面烤漆剥落现象 可选气压或螺纹升降，升降距离为50mm，最高离地距离为510mm。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2.凳面材质：凳面双色注塑，底部下部采用高轻度塑料支撑表面再注塑一层TPE软胶，产品耐磨性强，耐腐蚀，防污染，易清洁软胶凳面更好解决学生的身体疲劳。</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1、金属件：喷漆(塑)涂层：1、应无漏喷、锈蚀、脱色、掉色符合要求；2、应光滑均匀，色泽一致，应无流挂、疙瘩、皱皮、飞漆符合要求</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结构安全：正常使用时，可接触到的边、角都应进行倒圆、倒角、砂光或以其他合适的方式进行保护。倒圆半径应不小于0.5mm。固定零部件的结合应牢固无松动，应无少件、透钉、漏钉。正常使用时，其他部件表面应无锐边、锐角</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3、金属喷漆(塑)涂层-耐盐浴划道两侧3mm外，应无鼓泡、锈蚀、剥落和起皱等现象符合要求</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教师电源交直流主控台</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尺寸：500×260mm（±10mm）                                                                          1.安全电源总控台配备高响应度的总漏电保护器和分组短路保护器，可分组控制学生的高压电源，每组最大负载电流25A，总负载电流为63A，在线路中有漏电或过流的时候，会自动启动保护并切断电路，确保教师及学生实验的安全进行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w:t>
            </w:r>
            <w:r>
              <w:rPr>
                <w:rFonts w:hint="eastAsia" w:ascii="宋体" w:hAnsi="宋体" w:eastAsia="宋体" w:cs="宋体"/>
                <w:color w:val="auto"/>
                <w:sz w:val="20"/>
                <w:szCs w:val="20"/>
                <w:highlight w:val="none"/>
                <w:lang w:bidi="ar"/>
              </w:rPr>
              <w:t xml:space="preserve">.安全电源总控台采用耐磨、耐腐蚀、耐高温（≤140℃）的PC薄膜面板，指针表显示总电源220V输入电压和各组工作电流，面板清晰简洁，操作简单方便；在正常开启后有总电源和分组电源指示，交流电压指示处有总电源220V输入电压指示，当学生电源端有负载时，每组对应的电流表会有指示，无负载时电流表不动作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3.220V交流输出为两位带安全门的国标五孔插座，为教师做实验提供220V电源</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655"/>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学生实验电源</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符合 JY/T0374-2004《教学实验室设备电源系统》标准，采用国内知名品牌，输出交流220V电源，并具备过载和短路保护功能。</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63"/>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52</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塑料水槽柜</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numPr>
                <w:ilvl w:val="0"/>
                <w:numId w:val="1"/>
              </w:num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尺寸：600×600×780mm（±10mm）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1.全钢结构：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2.台面：采用厚度≥12.7mm双面膜实芯理化板台面，台面边缘用同质材料板双层加厚至≥25.4mm。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3.柜体：采用壁厚≥1.0mm优质镀锌钢板，采用CO2保护焊焊接，打磨处理，表面经耐酸碱粉末烤漆处理（烤漆膜厚度平均值≥70μm）；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4.防撞胶垫：装于门板内侧，减缓碰撞，保护柜体；</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5.门板及抽面：采用双层钢板，必须两层组装是设计，保证两层双面都喷涂处理，中间采用隔音材料，保证关门减少噪音；</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6.连接件：采用ABS专用连接组装件；</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7.合页：采用优质不锈钢模具一体成型，强度必须达到一个正常成年座在门上方合页不脱落；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8.固定桌脚：采用柜体内置可调ABS调整脚，保证调整脚前后都可以调节高低。            </w:t>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9.配1组水槽</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53</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水嘴</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1、双联定制型鹅颈式实验室专用水嘴；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2、鹅颈出水管采用铜质加厚铜管弯制成型，铜质出水水咀采用螺纹式安装，可方便拆卸；</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3、开关手柄采用PP旋转式手柄，两个出水鹅颈可以向前折叠，不用时可以掩藏在水槽柜内。</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4、上水接口自带成型螺纹，可方便连接上水软管。</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付</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洞洞板展示架</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规格：双面三层货架.</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尺寸：960×610×1560mm（±10mm）.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板材：厚壁厚≥1.4mm.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材质：金属.</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组合式收纳盒</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规格：单个盒子尺寸：180×180×80mm</w:t>
            </w:r>
            <w:bookmarkStart w:id="138" w:name="OLE_LINK3"/>
            <w:r>
              <w:rPr>
                <w:rFonts w:hint="eastAsia" w:ascii="宋体" w:hAnsi="宋体" w:eastAsia="宋体" w:cs="宋体"/>
                <w:color w:val="auto"/>
                <w:sz w:val="20"/>
                <w:szCs w:val="20"/>
                <w:highlight w:val="none"/>
                <w:lang w:bidi="ar"/>
              </w:rPr>
              <w:t xml:space="preserve">（±10mm）</w:t>
            </w:r>
            <w:bookmarkEnd w:id="138"/>
            <w:r>
              <w:rPr>
                <w:rFonts w:hint="eastAsia" w:ascii="宋体" w:hAnsi="宋体" w:eastAsia="宋体" w:cs="宋体"/>
                <w:color w:val="auto"/>
                <w:sz w:val="20"/>
                <w:szCs w:val="20"/>
                <w:highlight w:val="none"/>
                <w:lang w:bidi="ar"/>
              </w:rPr>
              <w:t xml:space="preserve">.</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内含：一组</w:t>
            </w:r>
            <w:bookmarkStart w:id="139" w:name="OLE_LINK2"/>
            <w:r>
              <w:rPr>
                <w:rFonts w:hint="eastAsia" w:ascii="宋体" w:hAnsi="宋体" w:eastAsia="宋体" w:cs="宋体"/>
                <w:color w:val="auto"/>
                <w:sz w:val="20"/>
                <w:szCs w:val="20"/>
                <w:highlight w:val="none"/>
                <w:lang w:bidi="ar"/>
              </w:rPr>
              <w:t xml:space="preserve">≥</w:t>
            </w:r>
            <w:bookmarkEnd w:id="139"/>
            <w:r>
              <w:rPr>
                <w:rFonts w:hint="eastAsia" w:ascii="宋体" w:hAnsi="宋体" w:eastAsia="宋体" w:cs="宋体"/>
                <w:color w:val="auto"/>
                <w:sz w:val="20"/>
                <w:szCs w:val="20"/>
                <w:highlight w:val="none"/>
                <w:lang w:bidi="ar"/>
              </w:rPr>
              <w:t xml:space="preserve">48个、配送支柱.</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材质：PP塑料.</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82"/>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2F小学科学实验室辅房配备清单</w:t>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塑料水槽柜</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水槽柜：金属柜体和PP注塑成型底座相结合，采用螺丝固定连接在一起，安全牢固，造型采用上大下小，操作侧前倾的外形，方便使用。四周圆弧角设计，安全，美观。柜体采用壁厚≥1mm厚冷轧钢板外壳 ，后设检修门，方便安装维修，表面静电粉末喷涂、防水、防锈、防撞 。底座采用一体成型pp塑料底座，环保，耐酸碱，有效将柜体抬离里面，直径50MM橡胶底脚于底座采用8mm螺纹连接，牢固，防滑。水槽：尺寸450×580×250（±10mm）采用环保型PP材料一次性注塑成型，耐强酸碱及有机溶剂，壁厚</w:t>
            </w:r>
            <w:bookmarkStart w:id="140" w:name="OLE_LINK4"/>
            <w:r>
              <w:rPr>
                <w:rFonts w:hint="eastAsia" w:ascii="宋体" w:hAnsi="宋体" w:eastAsia="宋体" w:cs="宋体"/>
                <w:color w:val="auto"/>
                <w:sz w:val="20"/>
                <w:szCs w:val="20"/>
                <w:highlight w:val="none"/>
                <w:lang w:bidi="ar"/>
              </w:rPr>
              <w:t xml:space="preserve">≥</w:t>
            </w:r>
            <w:bookmarkEnd w:id="140"/>
            <w:r>
              <w:rPr>
                <w:rFonts w:hint="eastAsia" w:ascii="宋体" w:hAnsi="宋体" w:eastAsia="宋体" w:cs="宋体"/>
                <w:color w:val="auto"/>
                <w:sz w:val="20"/>
                <w:szCs w:val="20"/>
                <w:highlight w:val="none"/>
                <w:lang w:bidi="ar"/>
              </w:rPr>
              <w:t xml:space="preserve">3mm，具有防溢出功能。</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57</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水嘴</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1、双联定制型鹅颈式实验室专用水嘴；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2、鹅颈出水管采用铜质加厚铜管弯制成型，铜质出水水咀采用螺纹式安装，可方便拆卸；</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3、开关手柄采用PP旋转式手柄，两个出水鹅颈可以向前折叠，不用时可以掩藏在水槽柜内。</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4、上水接口自带成型螺纹，可方便连接上水软管。</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付</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58</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洗眼器</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1、台面安装方式，平时放置于台面，紧急使用时可随意抽起，使用方便。</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2、洗眼喷头：具有过滤泡棉及防尘功能，上面防尘盖平常可防尘，使用时可随时被水冲开，并降低突然打开时短暂的高水压，避免冲伤眼睛。</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3、控水阀采用黄铜制作，经高亮度环氧树脂涂层处理，外观美观大方，阀门可自动关闭，密封可靠。</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4、供水软管：采用壁厚≥2m长不锈钢软管。</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59</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试剂架</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尺寸：2200×300×550mm（±10mm），单层。</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1、立柱采用≥80mm×42mm×壁厚1mm 铝合金专用型材，挡条采用≥40mm×15mm×壁厚1mm 的铝合金专用型材。</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2、支撑件采用壁厚≥1mm 厚的镀锌钢板冲压成型。支撑件用不锈钢内六角螺丝及小铁条固定在立柱上，可以上下自由调节。金属件外喷纯环氧树脂高温固化。</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固定件采用壁厚≥4mm厚的专用合金件，充分保证试剂架安装后的稳定性。4、电源插座采用10A多功能透明防溅。试剂架的上端和下端与台面连接的地方，分别采用工程塑料成型的立柱盖和立柱套。试剂架的螺丝均采用不锈钢螺丝，层板采用厚度8-12mm浮法玻璃。</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仪器柜</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1、规格：1000×500×2000mm（±10mm）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2、材质：PP材质，分上、下对开门柜体，柜体中间有层板。</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3、柜体：侧板、背板、顶板、底板采用增强型PP材质，一次注塑成型，结构紧密，耐腐蚀性强。</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4、上柜门：采用增强型PP材质一次注塑成型，外嵌钢化烤漆玻璃,中间玻璃做镂空处理，透明可视。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5、下柜门：采用增强型PP材质一次注塑成型，外嵌钢化烤漆玻璃。</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层板：上柜配两块活动层板，下柜配一块活动层板。层板为增强型PP材质一次注塑成型，层板下部有两条镀锌钢管，增强了层板承重强度，也避免了后安装钢制横梁，避免腐蚀。美观耐用。层板可以抽取，自由组合各层空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7、门把手：采用增强型PP材质一次注塑成型，美观耐用。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8、门铰链：用增强型PP材质一次注塑成型，内嵌隐藏安装方便，耐腐蚀。</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9、柜顶预留通风系统，可以与通风管路连接。</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61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椅子</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尺寸：530×465×820mm（±10mm）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1；椅座采用优质棉绒弹力面料。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2.优质高回弹密度发泡海绵。</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3；采用水基型胶粘剂,。</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4；椅身：Y字形靠背稳定结构，采用全新PP+纤维，环保可回收使用无污染，能通过≥120K靠背拉力测试。</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5；椅架全铝合金材质压铸成型结构，表面抛光打磨防刮耐磨防锈处理，易堆叠，脚架左右两侧自带联排卡扣，防止摆放杂乱。脚架内侧设有4个防刮胶垫，隔开空间防椅子堆叠时候的刮花</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228"/>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62</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办公桌椅</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桌子尺寸:1200×600×750mm（±10mm）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基材：环保型饰面刨花板制作，台面板厚度≥25mm,其余板材厚度≥18mm。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饰面：正反三聚氰胺贴面(厚度≥0.6mm)。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封边：≥2mm厚同色优质PVC封边。</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桌架：国产钢结构，壁厚≥1.5mm。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涂装：涂膜厚50-70μm。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胶水：优质环保型胶水。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五金件：优质五金配件。</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椅背：PP背框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椅座：≥12mm座板，定型绵，弹力布座布</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底盘：原位锁定蝴蝶底盘</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扶手：PP连体固定扶手</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气杆：行程≥100mm沉口≥50mm三级气杆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椅脚：≥340mmPP五星脚</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椅轮：≥60/25黑色PA轮</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24"/>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2F小学美术教室配备清单</w:t>
            </w:r>
            <w:r/>
          </w:p>
        </w:tc>
      </w:tr>
      <w:tr>
        <w:trPr>
          <w:trHeight w:val="390"/>
        </w:trPr>
        <w:tc>
          <w:tcPr>
            <w:tcBorders>
              <w:top w:val="single" w:color="000000" w:sz="4" w:space="0"/>
              <w:left w:val="single" w:color="000000" w:sz="4" w:space="0"/>
              <w:bottom w:val="single" w:color="000000" w:sz="4" w:space="0"/>
              <w:right w:val="single" w:color="000000" w:sz="4" w:space="0"/>
            </w:tcBorders>
            <w:tcW w:w="316" w:type="pct"/>
            <w:vAlign w:val="bottom"/>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572" w:type="pct"/>
            <w:vAlign w:val="bottom"/>
            <w:textDirection w:val="lrTb"/>
            <w:noWrap w:val="false"/>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教师用</w:t>
            </w:r>
            <w:r/>
          </w:p>
        </w:tc>
        <w:tc>
          <w:tcPr>
            <w:tcBorders>
              <w:top w:val="single" w:color="000000" w:sz="4" w:space="0"/>
              <w:left w:val="single" w:color="000000" w:sz="4" w:space="0"/>
              <w:bottom w:val="single" w:color="000000" w:sz="4" w:space="0"/>
              <w:right w:val="single" w:color="000000" w:sz="4" w:space="0"/>
            </w:tcBorders>
            <w:tcW w:w="3349" w:type="pct"/>
            <w:vAlign w:val="bottom"/>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310" w:type="pct"/>
            <w:vAlign w:val="bottom"/>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43" w:type="pct"/>
            <w:vAlign w:val="bottom"/>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08" w:type="pct"/>
            <w:vAlign w:val="bottom"/>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63</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讲桌</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规格：1800mm×800mm×750mm（±10mm）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基材：环保型饰面刨花板制作，台面板厚度25mm,其余板材厚度18mm。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饰面：正反三聚氰胺贴面（厚度≥0.6mm）。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封边：≥2mm厚同色优质PVC封边。</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胶水：优质环保型胶水。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五金件：优质五金配件。</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643"/>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画架</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规格：600mm×680mm×1440mm（±10mm），最大升降高度为3000mm，材质为榉木，可折叠、单摇杆可升降、四角制动脚轮。</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65</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画板</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1、规格：600mm×900mm×12mm（±10mm）；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2、材质：优质实心木材；</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3.边框气钉眼需进行表面处理。整体板面平整、表面光滑、洁净、无毛刺。</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66</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写生凳</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1.规格：凳面直径320mm（±10mm），升降高度480到650mm，凳面采用PVC包边处理，经久耐用，防止开裂；</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2.材质：优质榉木，支架用料≥22mm×39mm；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3.要求：升降式架构，升降用金属丝直径≥19mm，支撑稳定，牢固可靠，工艺精细，表面光洁，环保清漆处理，漆面均匀光亮。</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67</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移动绘画工具台</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一、适用范围：适用于美术教学使用。二规格：三层绘画工具车 材质：榉木，长度740mm（±10mm），宽度400mm（±10mm），高度800mm（±10mm），中下两层间隔高度不小于190mm，经过抛光打蜡，喷漆，防腐、防潮，静音脚轮，可制动。</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68</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写生画箱</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一、适用范围：适用于美术教学使用。二规格材质：全部采用榉木实木材质,无混合材质 ；尺寸：720x1140x1800mm,十足尺寸,不缩小画架杆子粗细尺寸；最大画框尺寸为：850mm；功能：a. 带铝制拉杆和滑轮，方便外出写生b：配带调色盘，背带c：定制的抽屉可装画笔，颜料或其它绘画材料d：画布固定板可以通过从垂直调到水平形成一个桌子。</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69</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调色盒</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一、适用范围：适用于美术教学使用。二规格1.24格软盖调色盒，密封性好，能有效的防止水分蒸发，2、材质：聚丙稀（pp）；3、要求：板厚≥2mm，密度0.9克/每立方米，拉伸强度34MPA，表面光滑平整，无污渍。</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875"/>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调色盘</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一、适用范围：适用于美术教学使用。二规格：直径不小于170mm，高不低于18mm，7格梅花形，材质为透明丙料,不易变形,不易氧化,抗震耐摔结实,方便使用。</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621"/>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71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水彩画颜料</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≥24色水彩画颜料，单支容量≥12ml</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63"/>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72</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水粉画颜料</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≥24色水彩画颜料，单支容量≥12ml</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63"/>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73</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素描纸</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规格4K，厚度≥160g素描纸,每袋≥20张。</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袋</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75"/>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74</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水粉纸</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规格4K，厚度≥160g水粉纸，每袋≥20张。</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袋</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73"/>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75</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水彩纸</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规格4K，厚度≥200g水彩纸，每袋≥10张。</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袋</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76</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水粉画笔</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一、适用范围：适用于美术教学使用。二规格水粉画笔：1-12号各一只。笔杆采用原木，表面光滑、平整无毛刺、并使用清漆处理、色泽鲜艳、均匀。笔头采用优质尼龙毛制成，绘画时笔触干脆有力，弹力十足，涂画精致。笔杆连接处用铜管镶嵌。单支长度不小于278mm，出峰不小于9mm。画笔装置于工具箱中，工具箱采用医用PP材质，透明光亮。工具箱长宽高不小于355mm×85mm×30mm（±10mm）。</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77</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水彩画笔</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一、适用范围：适用于美术教学使用。二规格水彩画笔：1-12号各一只。笔杆采用原木，表面光滑、平整无毛刺、并使用环保漆处理、色泽鲜艳、均匀。笔头选用优质狼毫毛制成，绘画时笔触干脆有力，弹力十足，涂画精致。笔杆连接处用铜管镶嵌。单支长度不小于278mm，出峰不小于9mm。画笔装置于工具箱中，工具箱采用医用PP材质，透明光亮。工具箱长宽高不小于355mm×85mm×30mm（±10mm）。</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667"/>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78</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吸水棉</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一、适用范围：适用于美术教学使用。二规格尺寸L170mm*W70mm*H30mm ：PVA高密度吸水海绵，吸水力强，适用于绘画时水性颜料吸取多余水份。</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79</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美术教学软件</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支持电脑、手机等多系统运行平台，能与美术资源库和虚拟美术博物馆无缝互联，具有教委、学校、教师、学生等多级管理架构，可实时生成学生的成长档案、组织展览活动及查询教学情况；可实时收集学校推荐的优秀作品、优质课件来不断丰富资源库，并可借助系统中的3D展览馆组织虚拟美术展览、优秀作品、课件评选等活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2、支持在线备课与VR精品讲堂：支持教师在线整合图片、视频、文档等教学素材制作教案，素材支持自主上传和从系统资源库选择；</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3、支持教师创建具备虚拟现实场景的VR精品讲堂，在3D虚拟现实场景中添加教学素材以开展VR教学活动；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4、支持在线授课与在线赏析：支持利用在线备课生成的教案进行在线授课和利用VR精品讲堂组织美术精品课；</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5、与虚拟美术博物馆互联互通，组织学生开展美术鉴赏课学习和名家名作赏析等教学活动；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6、支持美术电子作业：支持学生自主上传课堂或课后作业，并提交给授课老师；</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7、支持老师对作业进行点评，并将测评实时传给学生，形成学生的成长档案；</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8、支持学生成长档案：支持学生上传美术作品，自动形成作品档案；以时间轴的方式呈现，记录学生美术作品创作历程和成长轨迹；</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9、支持实时查看学生不同时期的作品，并能进行点评；</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10、支持在线学习交流：支持在线观看教学视频、教学课件以及在教师布置的VR精品课堂中在线学习、交流和分享：每个学生都可以创建自己的3D美术馆，展示自己的作品，接受别人的参观和点评，互动交流；</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11、在系统内，支持教师、学校、教委逐级选择优秀作品向上推送，形成各级优秀作品库，方便组织3D美术展；</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12、支持开展自主性学习和成果展示：支持学生、教师、学校等各级用户自主创建并发布具备三维仿真效果的3D美术展览；</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13、拥有3D博物馆，供师生了解中外美术简史，欣赏名家名作。可将作品及资源自助布展到全景 VR 空间，发布于互联网；</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14、观众不仅可以通过电脑、手机、iPad 等设备进入参观，还可对空间作品进行投票，点评，分享。</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15、馆藏品支持放大微观，作者、年代、作品描述等信息完善清晰，参观人员可根据导航分布图自主选择场景跳跃观赏或选择自动观赏；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16、支持用户自主选择和上传作品并自动布置到展厅内，且用户可随意手动调整作品在展厅内的摆放位置、大小，支持为每幅作品添加语音解说，支持作品点评和分享；</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56"/>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572" w:type="pct"/>
            <w:vAlign w:val="bottom"/>
            <w:textDirection w:val="lrTb"/>
            <w:noWrap w:val="false"/>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学生用</w:t>
            </w:r>
            <w:r/>
          </w:p>
        </w:tc>
        <w:tc>
          <w:tcPr>
            <w:tcBorders>
              <w:top w:val="single" w:color="000000" w:sz="4" w:space="0"/>
              <w:left w:val="single" w:color="000000" w:sz="4" w:space="0"/>
              <w:bottom w:val="single" w:color="000000" w:sz="4" w:space="0"/>
              <w:right w:val="single" w:color="000000" w:sz="4" w:space="0"/>
            </w:tcBorders>
            <w:tcW w:w="3349" w:type="pct"/>
            <w:vAlign w:val="bottom"/>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310" w:type="pct"/>
            <w:vAlign w:val="bottom"/>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43" w:type="pct"/>
            <w:vAlign w:val="bottom"/>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08" w:type="pct"/>
            <w:vAlign w:val="bottom"/>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画架</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尺寸： 580X600X1720mm（±10mm）（最大升降高度≥230mm），可调节高度 ，可通过前倾与后仰实现角度调节 ，最大夹画高度：≥125MM。材质：榉木材质，底托可置物隔层 ，可放置颜料、画笔 ，工艺精细 ，表面光洁，环保清漆处理,  漆面均匀光亮。</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画板</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1、规格:600mm×450mmmm×18mm（±10mm）；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2、材质：双面椴木，四周实木边框；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3、要求：对角线平面误差小于2mm，四边直角误差小于2mm，边框气钉眼需进行表面处理。整体板面平整、表面光滑、洁净、无毛刺。</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82</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写生凳</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1.规格：凳面直径320mm（±10mm），升降高度480到650mm，凳面采用PVC包边处理，经久耐用，防止开裂；</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2.材质：优质榉木，支架用料≥22mm×39mm；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3.要求：升降式架构，升降用金属丝直径≥19mm，支撑稳定，牢固可靠，工艺精细，表面光洁，环保清漆处理，漆面均匀光亮。</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06"/>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83</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调色板</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一、适用范围：适用于美术教学使用。规格：17格、材质：聚丙稀（pp）,表面光滑,易清洗美术绘画必备工具。</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55"/>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84</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折叠洗笔筒</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numPr>
                <w:ilvl w:val="0"/>
                <w:numId w:val="2"/>
              </w:num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适用范围：适用于美术教学使用。</w:t>
            </w:r>
            <w:r/>
          </w:p>
          <w:p>
            <w:pPr>
              <w:numPr>
                <w:ilvl w:val="-1"/>
                <w:numId w:val="0"/>
              </w:num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二规格： 上部口径195mm（±10mm），底部直径120mm（±10mm），收缩后50mm（±10mm），展开后高不低于160mm（±10mm），顶部外侧含塑料挂笔装置，可同时放置4支画笔，优质环保硅胶材质，带拎手，可折叠大容量，造型美观，适用于教学使用。</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85</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水粉画笔</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numPr>
                <w:ilvl w:val="0"/>
                <w:numId w:val="3"/>
              </w:num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适用范围：适用于美术教学使用。</w:t>
            </w:r>
            <w:r/>
          </w:p>
          <w:p>
            <w:pPr>
              <w:numPr>
                <w:ilvl w:val="-1"/>
                <w:numId w:val="0"/>
              </w:num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二规格水粉画笔：6支套装。笔杆采用原木，表面光滑、平整无毛刺、并使用清漆处理、色泽鲜艳、均匀。笔头采用优质尼龙毛制成，绘画时笔触干脆有力，弹力十足，涂画精致。笔杆连接处用铜管镶嵌。单支长度不小于278mm（±10mm），出峰不小于9mm（±10mm）。画笔装置于工具箱中，工具箱采用医用PP材质，透明光亮。工具箱长宽高355mm×85mm×30mm（±10mm）。</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86</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水彩画笔</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numPr>
                <w:ilvl w:val="0"/>
                <w:numId w:val="4"/>
              </w:num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适用范围：适用于美术教学使用。</w:t>
            </w:r>
            <w:r/>
          </w:p>
          <w:p>
            <w:pPr>
              <w:numPr>
                <w:ilvl w:val="-1"/>
                <w:numId w:val="0"/>
              </w:num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二规格水彩画笔：6支套装。笔杆采用原木，表面光滑、平整无毛刺、并使用环保漆处理、色泽鲜艳、均匀。笔头选用优质狼毫毛制成，绘画时笔触干脆有力，弹力十足，涂画精致。笔杆连接处用铜管镶嵌。单支长度不小于278mm，出峰不小于9mm。画笔装置于工具箱中，工具箱采用医用PP材质，透明光亮。工具箱长宽高355mm×85mm×30mm（±10mm）。</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61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87</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吸水棉</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numPr>
                <w:ilvl w:val="0"/>
                <w:numId w:val="5"/>
              </w:num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适用范围：适用于美术教学使用。</w:t>
            </w:r>
            <w:r/>
          </w:p>
          <w:p>
            <w:pPr>
              <w:numPr>
                <w:ilvl w:val="-1"/>
                <w:numId w:val="0"/>
              </w:num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二、规格尺寸：L170mm*W70mm*H30mm ：PVA高密度吸水海绵，吸水力强，适用于绘画时水性颜料吸取多余水份。</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86"/>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88</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水彩画颜料</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12色水彩画颜料，单支容量12ml</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51"/>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89</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水粉画颜料</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12色水粉画颜料，单支容量12ml</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59"/>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国画颜料</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12色国画颜料，单支容易12ml</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52"/>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91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素描纸</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规格4K，厚度不低于160g素描纸,每袋20张。</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袋</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05"/>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92</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水粉纸</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规格4K，厚度不低于160g水粉纸，每袋20张。</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袋</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06"/>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93</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水彩纸</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规格4K，厚度不低于200g水彩纸，每袋10张。</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袋</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77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572" w:type="pct"/>
            <w:vAlign w:val="bottom"/>
            <w:textDirection w:val="lrTb"/>
            <w:noWrap w:val="false"/>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美术教学教具及配套器材</w:t>
            </w:r>
            <w:r/>
          </w:p>
        </w:tc>
        <w:tc>
          <w:tcPr>
            <w:tcBorders>
              <w:top w:val="single" w:color="000000" w:sz="4" w:space="0"/>
              <w:left w:val="single" w:color="000000" w:sz="4" w:space="0"/>
              <w:bottom w:val="single" w:color="000000" w:sz="4" w:space="0"/>
              <w:right w:val="single" w:color="000000" w:sz="4" w:space="0"/>
            </w:tcBorders>
            <w:tcW w:w="3349" w:type="pct"/>
            <w:vAlign w:val="bottom"/>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310" w:type="pct"/>
            <w:vAlign w:val="bottom"/>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43" w:type="pct"/>
            <w:vAlign w:val="bottom"/>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08" w:type="pct"/>
            <w:vAlign w:val="bottom"/>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94</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作品展示柜</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规格：800×400×2000mm（±10mm）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基材：环保型饰面刨花板制作板材厚度≥18mm。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饰面：正反三聚氰胺贴面（厚度≥0.6mm）。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封边：≥2mm厚同色优质PVC封边。</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胶水：优质环保型胶水。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五金件：优质柜门拉手，配置优质国产锁具，优质三合一偏心连接件。</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95</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矮柜</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规格：800×400×800mm（±10mm）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基材：环保型饰面刨花板制作板材厚度≥18mm。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饰面：正反三聚氰胺贴面（厚度≥0.6mm）。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封边：≥2mm厚同色优质PVC封边。</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胶水：优质环保型胶水。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五金件：优质五金配件。</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96</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工作台</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1、规格：1800mm×800mm×740mm（±10mm），整体橡木材质，新中式风格；</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2、实木组装式结构，面板和腿全部圆角处理；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3、橡木面板厚≥20mm，外围厚度≥40mm；底部为≥50mm×50mm方腿； 4、桌面与桌腿连接处采用高度≥60mm厚度≥20mm挡板，实木挡板和桌腿连接处为总长≥200mm左右实木连接件。</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5、整体漆面处理，表面光滑有色泽。"</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875"/>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97</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衬布</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numPr>
                <w:ilvl w:val="0"/>
                <w:numId w:val="6"/>
              </w:num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适用范围： 适用于美术教学使用。</w:t>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二、1、规格：1500mm×900mm 2、材质：棉、麻、丝、绒；3、裁剪后四周锁边袋装。 4、要求染色均匀，经水洗不脱色、缩水、变形。</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98</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写生灯</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一、适用范围：适用于小学、初中美术教学使用。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二、技术要求：1. 材质：金属材料；灯罩：球型罩灯；灯杆：钢管，塑料旋钮，内置弹簧。 2. 规格：立式三节可升降、最大调节高度1500mm、照射角度0°-120°，带万向轮。3．要求：整体结实可靠，稳定性良好。表面光滑、无锈斑、划痕。</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263"/>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99</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静物台</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一、适用范围：适用于美术教学使用。二、规格尺寸：600mm×900mm（±10mm），最大高度1200mm（±10mm），台面逐级升降，可根据需求自由调节高度，可折叠台面，表面光滑无颗粒，采用榉木三合板作为台面，经打磨抛光处理，整体喷涂绿色无污染清漆，配备带 锁万向轮，可放置使用过程中移动，底部储藏式抽屉空间最大化，方便放置画笔，颜料等。</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504"/>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磁性白黑板</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1、规格：800mm×1200mm</w:t>
            </w:r>
            <w:bookmarkStart w:id="141" w:name="OLE_LINK8"/>
            <w:r>
              <w:rPr>
                <w:rFonts w:hint="eastAsia" w:ascii="宋体" w:hAnsi="宋体" w:eastAsia="宋体" w:cs="宋体"/>
                <w:color w:val="auto"/>
                <w:sz w:val="20"/>
                <w:szCs w:val="20"/>
                <w:highlight w:val="none"/>
                <w:lang w:bidi="ar"/>
              </w:rPr>
              <w:t xml:space="preserve">（±10mm）</w:t>
            </w:r>
            <w:bookmarkEnd w:id="141"/>
            <w:r>
              <w:rPr>
                <w:rFonts w:hint="eastAsia" w:ascii="宋体" w:hAnsi="宋体" w:eastAsia="宋体" w:cs="宋体"/>
                <w:color w:val="auto"/>
                <w:sz w:val="20"/>
                <w:szCs w:val="20"/>
                <w:highlight w:val="none"/>
                <w:lang w:bidi="ar"/>
              </w:rPr>
              <w:t xml:space="preserve">；2、书写面一面为白色钢质板面、一面为墨绿色钢质板面，优质厚铝合金包框，ABS塑料包角，表面平整，涂复层无脱落、起泡、龟裂、针孔、斑痕、凹凸不平等不良现象。3、用有磁性的教具在黑板各点应能吸附，带移动支架。4、磁性黑板能方便贴学生书画作业,利于讲评等。</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82"/>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人体结构活动模型</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大中小为一套，外形规格分别为：400mm×320mm×200mm（±10mm），椴木，关节金属件连接,表面无毛刺，活动灵活。</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388"/>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102</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大圆规</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numPr>
                <w:ilvl w:val="0"/>
                <w:numId w:val="7"/>
              </w:num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适用范围：适用于美术教学使用。</w:t>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二、规格尺寸：520mm（±10mm），榉木材质，由规身、粉笔套、规脚等三部分组成。规身分双片和单片，由优质木材制成，上部用M5螺栓和鱼尾螺母连接紧固。粉笔套由塑料开口夹和紧固卡圈组成，规脚由不锈钢钉和吸盘组成。</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05"/>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103</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直尺</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1000mm（±10mm） 直尺，小学美术教学用，有机玻璃制作。</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2082"/>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104</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民间美术欣赏及写生样本</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能够体现中国传统民族文化特点实物(仿)三十三件及简介。木版年画（杨柳青年画1件）、剪纸（体现套色、阴刻、阳刻特点作品各1件）、皮影人物2件、扎染、蜡染各1件、绣片2件、风筝（胖沙燕1件、瘦沙燕1件、软翅蝴蝶1件）、布老虎1个、泥老虎1个、挂饰（香包2件，中国结2件）、工艺品竹提篮1个、陕西凤翔挂虎1件、京剧脸谱（生、旦、净、末、丑各1件）、民间玩具（风车1件、空竹1件）、泥塑作品一组（5件）。</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77"/>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105</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静物样本</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美术静物26件规格：蜡果（苹果、香蕉、橘子、黄瓜、柿子椒、茄子）；器皿（花瓶、砂锅、玻璃杯、瓷盘、瓷碗、编织篮、陶罐、铝壶各两件）；玩具（毛绒玩具1件、塑料玩具1件、布质老虎1件、木质玩具1件）。</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123"/>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106</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陶瓷样本</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中国各大名窑实物(仿)14件可陈设、展示、欣赏。 新石器时代仿制品3件、拉坯成型1件、泥板成型1件、泥条成型1件、紫砂壶1件、釉下青花瓷1件、唐三彩1件、五大名窑仿制品（官、哥、汝、钧、定）各1件。</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759"/>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107</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写生教具（1）</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石膏像：阿古力巴（切面）长24*宽34*高18cm，腊空（半面）长36*宽46*高16，太阳神（头像）长12*宽11.5*高37cm，放牛娃（头像）长16*宽16*高48cm，小大卫（头像）长13.5*宽9.5*高31cm，比例适当。符合CNS5079-1979模型用熟石膏的要求，洁白光滑，无杂质，塑形准确、色泽均匀一致，无明显的流挂、疙瘩、露底、裂痕等缺陷石膏。</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108</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写生教具（2）</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numPr>
                <w:ilvl w:val="0"/>
                <w:numId w:val="8"/>
              </w:num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适用范围：适用于美术教学使用。</w:t>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二、技术要求：1．材质：优质石膏粉。2.几何形体15件 ：⑴圆球；⑵圆锥；⑶长方体；⑷正方体、⑸四棱锥；⑹圆柱体；⑺六棱柱；⑻方带方；⑼圆锥带圆；⑽方锥带；⑾多面体；⑿八棱柱；⒀六棱锥；⒁圆切；⒂十二面体；3.洁白光滑，无杂质，塑形准确、色泽均匀一致，比例适当、分形面线条清晰。</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366"/>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109</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写生教具（3）</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numPr>
                <w:ilvl w:val="0"/>
                <w:numId w:val="9"/>
              </w:num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适用范围：适用于美术教学使用。</w:t>
            </w:r>
            <w:r/>
          </w:p>
          <w:p>
            <w:pPr>
              <w:numPr>
                <w:ilvl w:val="0"/>
                <w:numId w:val="9"/>
              </w:num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技术要求：1．配置：⑴彩陶2件：直径200mm（±10mm）；⑵釉陶2件：直径200mm（±10mm）；⑶木质关节人1件: 320mm（±10mm）；⑷仿真水果6件；⑸塑料花1束；共5类10件。2．要求：形态逼真，工艺新颖，外观整洁，无反光，线条清晰，无裂纹。</w:t>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三、标志、说明书、包装、运输、贮存；</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110</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展示画框</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1.材质：原木色实木4K展示画框，线条流畅，自然纹理，表层为透明有机玻璃板，透明度高，耐用抗摔不易碎，环保E1背板，健康环保；2.规格：38cm×53cm。</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111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版画工具</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1.胶辊3件:大号胶辊辊长≥100mm手柄≥112mm，中号胶辊辊长≥75mm手柄≥112mm， 小号胶辊辊长≥35mm手柄≥110mm； 2.磨托1件：磨托头直径≥45mm,磨托手柄≥92mm； 3.笔刀3件：大号刀柄≥100mm，中号刀柄≥85mm，小号刀柄≥85mm。 4.笔刀刀头1盒  5.木刻刀12件，木手柄</w:t>
            </w:r>
            <w:r>
              <w:rPr>
                <w:rFonts w:hint="eastAsia" w:ascii="宋体" w:hAnsi="宋体" w:eastAsia="宋体" w:cs="宋体"/>
                <w:color w:val="auto"/>
                <w:sz w:val="20"/>
                <w:szCs w:val="20"/>
                <w:highlight w:val="none"/>
                <w:lang w:bidi="ar"/>
              </w:rPr>
              <w:t xml:space="preserve">长≥98mm； 6.油石1件，外观尺寸不小于70mmx49mmx21mm； 7.板刷1件，长≥138mm宽≥22mm  8.马莲1件，塑料材质直径≥97mm  9.小手据1把，木柄钢头，长约：130mm。 10.尖钻1件：双头，长≥173mm ； 11.大斜头刀1把：木柄钢头，长≥132mm； 12.调墨铲木柄钢头长≥174mm； 13.黑、红油墨各1瓶,50ml/1瓶14.石刻刀1把，长136mm。中空吹塑定位包装，包装盒采用优质环保塑料无毒无味，所有产品均有单独卡槽定位于箱子内，不得串动，便于携带存放。</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112</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绘画工具</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numPr>
                <w:ilvl w:val="0"/>
                <w:numId w:val="10"/>
              </w:num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适用范围：适用于美术教学用。</w:t>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二、技术要求：水粉画笔1-12#各一支，油画笔1-12#各一支，24眼调色盒1件，17眼调色板1件，毛笔8支：加健毛笔，大中小提斗，大中小白云，花枝俏，小依纹，中空吹塑定位包装，便于携带、存放。</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113</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美术学具</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numPr>
                <w:ilvl w:val="0"/>
                <w:numId w:val="11"/>
              </w:num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适用范围：适用于美术教学使用。</w:t>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二、技术要求：1.毛笔5支：加健毛笔，大白云、中白云、小白云、花枝俏、小依纹各1支；2.小剪刀 1件：无刃、圆头，总长度不小于150mm；3.调色盘1个：10眼梅花型，直径不小于130mm；4.笔洗1个：</w:t>
            </w:r>
            <w:r>
              <w:rPr>
                <w:rFonts w:hint="eastAsia" w:ascii="宋体" w:hAnsi="宋体" w:eastAsia="宋体" w:cs="宋体"/>
                <w:color w:val="auto"/>
                <w:sz w:val="20"/>
                <w:szCs w:val="20"/>
                <w:highlight w:val="none"/>
                <w:lang w:bidi="ar"/>
              </w:rPr>
              <w:t xml:space="preserve">可折叠，直径不小于140mm；5.美工刀1把：塑料材质手柄，长度不小于150mm；6.水溶性油墨1支：马利牌黑色100ml；7.黑色胶辊1件：滚筒长度不小于90mm，木质手柄；8.毛毡1块：尺寸不小于450*600mm；9.刻纸刀1把：合金手柄长度不小于100mm，笔刀刀头3件：猛钢刀头不小于35mm；10.水粉画笔6支：优质尼龙笔头；11.调色盒1件：24格；12.直尺1把：有机塑料材质，尺寸不小于300mm；13.工具箱1件；中空吹塑定位包装，所有产品均有单独卡槽定位于箱子内，不得串动，便于携带、存放。</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114</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泥塑工具</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型板1件:木质长≥116mm宽≥45mm；2.切割线1件：木手柄≥78mm，钢丝线长≥590mm；3.泥塑刀6件：黄杨木材质，长度≥190mm；4.喷壶1件100ml；5刮板1件：不锈钢材质长≥99mm宽≥50mm；6.拍板1件木质：长≥194mm宽≥65mm；7.海绵1件：直径≥73mm，</w:t>
            </w:r>
            <w:r>
              <w:rPr>
                <w:rFonts w:hint="eastAsia" w:ascii="宋体" w:hAnsi="宋体" w:eastAsia="宋体" w:cs="宋体"/>
                <w:color w:val="auto"/>
                <w:sz w:val="20"/>
                <w:szCs w:val="20"/>
                <w:highlight w:val="none"/>
                <w:lang w:bidi="ar"/>
              </w:rPr>
              <w:t xml:space="preserve">厚度≥26mm；8.转台1件：直径≥113mm高度≥33mm；9.艺术刀3件:木柄双头，长度≥195mm;10.大头刀1件:木质手柄长度≥105mm；11.油灰刀1件:长≥175mm宽≥37mm；12.吹釉壶1件:直径70mm高53mm；13.点釉器1件:长125mm宽27mm；14.碾辊3件:大号长≥397mm，直径≥40mm,中号长≥355mm，直径≥35mm；小号长≥303mm，直径≥30mm。中空吹塑定位包装，包装盒采用优质环保塑料无毒无味，所有产品均有单独卡槽定位于箱子内，不得串动，便于携带存放。</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115</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制作工具</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numPr>
                <w:ilvl w:val="0"/>
                <w:numId w:val="12"/>
              </w:num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适用范围：适用于美术教学用。</w:t>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二、技术要求：1、油画刀 5 把：长 210mm、205mm、180mm、185mm、170mm；2、什锦锉 5把：长 160mm；3、美工刀 1 把：长 160mm；4、钩刀 1 把：长 160mm；5、电烙铁 1 把：长 220mm；6、木刻刀 5 把：长 130mm；7、打孔器 1 件：长125mm 单孔孔径 0.6cm；8、剪刀 2 把：长</w:t>
            </w:r>
            <w:r>
              <w:rPr>
                <w:rFonts w:hint="eastAsia" w:ascii="宋体" w:hAnsi="宋体" w:eastAsia="宋体" w:cs="宋体"/>
                <w:color w:val="auto"/>
                <w:sz w:val="20"/>
                <w:szCs w:val="20"/>
                <w:highlight w:val="none"/>
                <w:lang w:bidi="ar"/>
              </w:rPr>
              <w:t xml:space="preserve"> 140mm、125mm；9、多用锯 1把：长 230mm 宽 100mm；10、尖嘴钳 1 把：长 165mm；11、板刷 1 把：145mm×20mm；12、锥子 1 件：长 120mm；13、多功能小锤 1 把：长 160mm；14、油石 1 件：70mm×50mm×20mm；15、凿子 1 件：塑料手柄，长 185mm，宽 16mm；16、篆刻刀 1 把：长 140mm；17、鸭嘴锤 1 把：长 250mm；18、包装盒 1 件:ABS材料，中空吹塑定位包装，所有产品卡槽定位于箱内，便于携带、存放。</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1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116</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国画工具</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numPr>
                <w:ilvl w:val="0"/>
                <w:numId w:val="13"/>
              </w:num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适用范围：适用于美术教学用。</w:t>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二、技术要求：①笔洗1件：直径≥15.5mm，高度≥55mm；②笔架1件：直径≥130mm，高</w:t>
            </w:r>
            <w:r>
              <w:rPr>
                <w:rFonts w:hint="eastAsia" w:ascii="宋体" w:hAnsi="宋体" w:eastAsia="宋体" w:cs="宋体"/>
                <w:color w:val="auto"/>
                <w:sz w:val="20"/>
                <w:szCs w:val="20"/>
                <w:highlight w:val="none"/>
                <w:lang w:bidi="ar"/>
              </w:rPr>
              <w:t xml:space="preserve">度≥45mm；③砚台1件：石砚、带盖，直径≥125mm，高度≥40mm；④印盒1件：直径≥80mm，带印泥；⑤墨1件：金不换，长宽高≥92mm×20mm×18mm；⑥毛笔8件：加健毛笔，大、中、小提斗，大、中、小白云，花枝俏，小依纹；⑦画毡1件：毛毡长宽厚≥500mm×500mm×3mm；⑧调色盘1件：聚丙稀材质，10眼梅花型，直径≥14mm；⑨笔帘1件：竹制，长宽≥320mm×300mm；⑩镇尺1副：≥240mm×400mm×15mm；ABS材料，中空吹塑定位包装，所有产品卡槽定位于箱内，便于携带、存放。</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117</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纸工工具</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numPr>
                <w:ilvl w:val="0"/>
                <w:numId w:val="14"/>
              </w:num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适用于美术教学用。</w:t>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二、技术要求：剪刀一件：无刃、圆头，总长度160mm，花边剪刀1件：刀头总长度60mm，直尺一件：30cm,切割垫板1块：A4幅面；笔刀一件：长140mm，笔刀刀片3件 39mm，订书器1件，订型26/6、24/6；蛇形尺一件：长300mm，打孔器一件：手握式单孔打孔器，有纸屑收集装置，手握处防滑细纹，打孔直径6mm，美工刀一件：长160mm；中空吹塑定位包装。</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86"/>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118</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不锈钢夹子</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材质：不锈钢，长度不小于145mm，强力弹簧，圆润磨边，不易伤手。</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38"/>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2F小学美术教室辅房配备清单</w:t>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119</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美术教学用品柜</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规格：800×400×2000mm</w:t>
            </w:r>
            <w:bookmarkStart w:id="142" w:name="OLE_LINK9"/>
            <w:r>
              <w:rPr>
                <w:rFonts w:hint="eastAsia" w:ascii="宋体" w:hAnsi="宋体" w:eastAsia="宋体" w:cs="宋体"/>
                <w:color w:val="auto"/>
                <w:sz w:val="20"/>
                <w:szCs w:val="20"/>
                <w:highlight w:val="none"/>
                <w:lang w:bidi="ar"/>
              </w:rPr>
              <w:t xml:space="preserve">（±10mm）</w:t>
            </w:r>
            <w:bookmarkEnd w:id="142"/>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基材：环保型饰面刨花板制作板材厚度</w:t>
            </w:r>
            <w:bookmarkStart w:id="143" w:name="OLE_LINK38"/>
            <w:r>
              <w:rPr>
                <w:rFonts w:hint="eastAsia" w:ascii="宋体" w:hAnsi="宋体" w:eastAsia="宋体" w:cs="宋体"/>
                <w:color w:val="auto"/>
                <w:sz w:val="20"/>
                <w:szCs w:val="20"/>
                <w:highlight w:val="none"/>
                <w:lang w:bidi="ar"/>
              </w:rPr>
              <w:t xml:space="preserve">≥</w:t>
            </w:r>
            <w:bookmarkEnd w:id="143"/>
            <w:r>
              <w:rPr>
                <w:rFonts w:hint="eastAsia" w:ascii="宋体" w:hAnsi="宋体" w:eastAsia="宋体" w:cs="宋体"/>
                <w:color w:val="auto"/>
                <w:sz w:val="20"/>
                <w:szCs w:val="20"/>
                <w:highlight w:val="none"/>
                <w:lang w:bidi="ar"/>
              </w:rPr>
              <w:t xml:space="preserve">18mm。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饰面：正反三聚氰胺贴面（厚度≥0.6mm）。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封边：≥2mm厚同色优质PVC封边。</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胶水：优质环保型胶水。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五金件：优质柜门拉手，配置优质国产锁具，优质三合一偏心连接件。</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120</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器材架</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1.规格：1500×500×2000mm（±10mm）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2.材质：采用壁厚≥0.7mm冷轧钢。</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3.功能：供放置体育器材使用，承重量大。</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4.结构：≥4层，蝴蝶孔设计，安装容易，搬运方便。货架零部件均经过除锈、酸洗、磷化、喷涂等表面处理，结实耐用。</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121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晾画架</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要求：尺寸（450×660×820mm（±10mm））；总共≥50层的双面晾画架；材质：金属。</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28"/>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122</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办公桌椅</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桌子尺寸:1200×600×750mm（±10mm）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基材：环保型饰面刨花板制作，台面板厚度≥25mm,其余板材厚度≥18mm。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饰面：正反三聚氰胺贴面（厚度≥0.6mm）。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封边：≥2mm厚同色优质PVC封边。</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桌架：国产钢结构，壁厚≥1.5mm。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涂装：涂膜厚50-70μm。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胶水：优质环保型胶水。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五金件：优质五金配件。</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椅背：PP背框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椅座：≥12mm座板，定型绵，弹力布座布</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底盘：原位锁定蝴蝶底盘</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扶手：PP连体固定扶手</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气杆：行程≥100mm沉口≥50mm三级气杆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椅脚：≥340mmPP五星脚</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椅轮：≥60/25黑色PA轮</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02"/>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2F小学音乐教室配备清单</w:t>
            </w:r>
            <w:r/>
          </w:p>
        </w:tc>
      </w:tr>
      <w:tr>
        <w:trPr>
          <w:trHeight w:val="473"/>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专用器材</w:t>
            </w:r>
            <w:r/>
          </w:p>
        </w:tc>
        <w:tc>
          <w:tcPr>
            <w:tcBorders>
              <w:top w:val="single" w:color="000000" w:sz="4" w:space="0"/>
              <w:left w:val="single" w:color="000000" w:sz="4" w:space="0"/>
              <w:bottom w:val="single" w:color="000000" w:sz="4" w:space="0"/>
              <w:right w:val="single" w:color="000000" w:sz="4" w:space="0"/>
            </w:tcBorders>
            <w:tcW w:w="3349" w:type="pct"/>
            <w:textDirection w:val="lrTb"/>
            <w:noWrap w:val="false"/>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08" w:type="pct"/>
            <w:vAlign w:val="bottom"/>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123</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智慧音乐教学云平台</w:t>
            </w:r>
            <w:r/>
          </w:p>
        </w:tc>
        <w:tc>
          <w:tcPr>
            <w:tcBorders>
              <w:top w:val="single" w:color="000000" w:sz="4" w:space="0"/>
              <w:left w:val="single" w:color="000000" w:sz="4" w:space="0"/>
              <w:bottom w:val="single" w:color="000000" w:sz="4" w:space="0"/>
              <w:right w:val="single" w:color="000000" w:sz="4" w:space="0"/>
            </w:tcBorders>
            <w:tcW w:w="3349" w:type="pct"/>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智慧音乐教学系统采用账号登录，登录时需要输入账号、密码。下述所有功能需在统一软件内实现，系统具有注册账号及密码找回功能，需要输入手机号，系统会自动发送验证码到对应手机，输入验证码，和密码进行密码修改。</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系统工具：该区域内的工具，可在系统内任何功能模块内使用。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1.屏幕录制：录制时，可选择单独录制系统声音、单独录制麦克风声音或两种声音全部录制，可将录制的视频保存至所需路径下。</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2.屏幕截图：可对功能界面进行截图，并保存至所需路径下。</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3.节拍器：支持单独设置节拍分子和分母的大小，范围为1-16拍；改变分子，下方电子节拍器的拍数会跟随改变。</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4.电子节拍器每一拍都支持修改声音强度为强、次强、弱以及无声；播放有实际效果。</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5.支持六种细分节拍选择（单音、双音、三连音、四连音、前八后十六、前十六后八），改变分母大小，细分节拍时值会跟随改变；播放时会跟随细分进行播放。</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6.支持手动输入数字进行调节；支持通过点击加减号进行调节。</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7.支持选择BPM进行速度调节（具有Grave、Lento、Adagio、Adagietto、Andante、Allegretto、Allegro、Vivace、Presto、Prestissimo等≥十种BPM）；支持通过点击TAP来修改速度。</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8.支持倒计时：开启倒计时后，可选择时间，时间截止后，节拍器自动停止播放。</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9.具有板书功能，支持铅笔、喷雾器、直线、虚线、箭头、方块、圆形、椭圆形、三角形的书写以及文本的插入。</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10.支持修改书写内容的颜色；支持修改插入文本的颜色；支持1-10级的粗细调整。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11.支持对书写的内容或插入的内容进行选中并拖拽位置、旋转或放大缩小。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12.支持对书写内容或插入文本进行撤销、恢复、删除等操作；支持对书写内容进行擦除、擦除全部、恢复擦除等操作。</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13.可收起左侧菜单展示栏，放大教学区域。</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14.可在某功能模块内部，在不返回首页的情况下，直接跳转至其他功能模块。</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MIDI作曲</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应支持标准完整曲谱制作，包括固定谱表模板（常规谱表模板：空白谱表、高音、中音、低音、次中音、大谱表、简谱谱表，合唱谱表模板、室内乐谱表模板、独奏谱表模板、爵士乐谱表模板、流行音乐谱表模板、乐队与打击乐器谱表模板）以及自定义乐器谱表模板（木管乐器、自由簧片、铜管、有音高打击乐器、键盘、弦乐-拨弦乐器、弦乐-弓弦乐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2．模板支持添加演奏记号与术语，如：谱号、调号、拍号、音高、时值、重复与跳转、小节线、线条记号、倚音、琶音与滑音、震音、力度记号、指法、科尔文手势、音色、品格图、功能标记等。</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3．支持修改谱例属性，如：标题、作曲、谱表数、小节数、每行小节数、调号、节拍、速度、速度文本、显隐速度、设置弱起小节、弱起小节节拍、散板以及脚踏记号的显示方式。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4．支持设置多声部属性，如：谱表类型、连谱号类型、谱号、谱表名称、副名称、双声部、X符头、音色（128种高保真音色）。</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支持排版，如：调整谱子页宽、标题字体、标题颜色、歌词字体、歌词颜色、标题与顶部间距、谱表与标题间距、标题与作曲间距、调整倚音空间（前距、间距、后距）、左右边距、底部边距、行间距、设置小节等间距等。</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支持单独修改音符属性，如：一键升降一个音或八度、添加歌词、插入文本；音符单独添加功能标记、谱号、临时记号、前倚音、后倚音、指法、琶音与滑音、震音、力度、科尔文手势、音色、品格图、换气符号、括号、脚踏符号、分隔、延音线、延长记号、X符头以及符干和音乐记号的朝向等。</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7．支持单独修改小节属性，如：谱号、调号、速度、节拍、小节线、跳跃记号、重复与跳转、换行、左右侧插入小节、删除小节等。</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8．支持多种谱例细节操作，如：显隐休止符、倚音上添加指法、移动线条记号等。</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9．支持特殊谱例操作，如：音符二重唱、跨谱表插入音符等。</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10．创作谱表时具有插入与修改两种模式，在插入模式时可以选择不同时值或类型的音符进行插入（如：五线谱或简谱的二全音符、全音符、二分音符、四分音符、八分音符、十六分音符、三十二分音符、六十四分音符等），也可以选择不同调式、不同音级的和弦原位、转位进行插入；输入音符方式有：电脑键盘1234567和CDEFGAB/系统内虚拟琴键/屏幕点击/电子钢琴实体琴键；所有插入的音符会根据音值组合法自动完成节拍分割。</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11．音符调整方式有：选中音符上下拖动/使用电脑键盘上下键/.使用系统内置功能按键（可一键升降8度）/.通过虚拟琴键/实体琴键等调整音符音高；可以使用实体键盘的F1到F7进行时值的快捷切换。</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12．支持智能插入模式，可根据点击虚拟琴键或实体琴键的时长，自动插入对应时值的音符。</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13．支持插入对应时值的休止符；支持插入附点或复附点音符；支持在音符上添加临时记号，如：升、降、重升、重降、还原等。</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14．支持自定义显隐操作面板，如：显示或隐藏谱例属性、缩略图、排版、符号面板等。</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15．支持一键显隐键盘、标尺、网格等。</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16．支持修改键位为49键、61键、88键；一键显隐音名、唱名、音组。</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17．支持修改调号；支持修改唱名类型为首调或固定调（首调即唱名跟随调号变化，固定调即唱名不会跟随调号变化）；支持修改128种高保真音色。</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18．支持删除、撤销、恢复操作；支持复制粘贴音符。</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19．支持新增、删除、刷新缩略图。</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20．支持多种谱表切换，如：五线谱、简谱、五线谱节奏谱、简谱节奏谱；支持添加多种对照谱表，如：五线谱、简谱、五线谱节奏谱、简谱节奏谱、三线谱、四线谱、六线谱、不同调式的对照谱。</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21．支持一键显隐唱名、图文、歌词、拼音、科尔文记号、直笛谱、陶笛铺、竹笛谱、葫芦丝谱等；支持一键显示小节序号、每行首个小节序号、每五小节显示、小节等间距等；一键升降一个音或八度。</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22．支持插入或删除≥80个的小图标，如：形状、动物、音符、乐器、表情等。</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23．支持插入或删除图片、视频、音频等多媒体文件；支持插入或删除文本，可修改字体、粗细、斜体、颜色等。</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24．支持对编辑完成的谱子添加范唱、伴奏、唱名、节奏旋律文件进行MP3同步，声部选择框可进行拖拽，并且可以进行实时播放。</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25．可进行声部调整，可选择单个声部或多个声部进行播放，可修改每个声部的音色以及声部的音量。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26．具有谱曲播放、男生唱名、女生唱名、真人唱名、范唱播放、伴奏播放、男声节奏、女声节奏、女生试唱、打击节奏、伴奏+旋律等≥十一种播放模式；支持在播放过程中暂停以及修改播放速度；支持选择一段音符进行播放。</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27．支持对谱子进行移调（15种调式可选）、调速（可通过时值、数字、速度术语等进行调速）等操作。</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28．支持界面放大缩小；支持新建乐谱、打开本地文件、保存以及另存为；支持合并多个文件；支持导出唱名。</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29．支持导出MIDI文件并播放、导入MIDI文件并可二次编辑播放。</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30．支持音视频剪辑功能，可对导入的音视频进行剪辑、压缩、缩放、添加logo等操作。</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31．系统支持≥12种的快捷键可供教师使用。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32．支持修改课件背景颜色；支持添加或重置课件背景图。</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33．支持从MIDI作曲一键跳转至演奏课堂，可直接进行谱子的弹奏。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34．具有板书功能，支持铅笔、喷雾器、直线、虚线、箭头、方块、圆形、椭圆形、三角形的书写以及文本的插入。</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35．支持修改书写内容的颜色；支持修改插入文本的颜色；支持1-10级的粗细调整。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36．支持对书写的内容或插入的内容进行选中并拖拽位置、旋转或放大缩小。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支持对书写内容或插入文本进行撤销、恢复、删除等操作；支持对书写内容进行擦除、擦除全部、恢复擦除等操作。</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乐理课堂</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1．具有一组大谱表，同时搭配乐理知识、虚拟琴键和曲谱展示的综合教学白板。</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2．五线谱表、虚拟音乐键盘与MIDI键盘相互映射；教师进行MIDI键盘演奏过程中，虚拟音乐键盘同时显示乐符在键盘上的弹奏位置；可显示弹奏力度，弹奏力度由强到弱7种不同颜色展示。</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3．支持修改键位为49键、61键、88键；一键显隐音名、唱名、音组。</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4．支持修改调号；支持修改唱名类型为首调或固定调（首调即唱名跟随调号变化，固定调即唱名不会跟随调号变化）；支持修改128种高保真音色。</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5．支持一键显隐键盘、间线、节奏图、五度圈，直接点击五度圈的外圈大调，可直接修改谱表调号。</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6．支持和弦与音程教学，具有32种和弦以及25种音程，以箭头对应琴键为根音，可准确展示和弦与音程的键位，白健和黑键以不同颜色进行高亮展示，对比明显。</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7．开启键位保留后，插入的音符、音程以及和弦的键位都会保持高亮不消失，直到插入下一个音符、音程以及和弦或关闭该模式后高亮消失。</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8．开启页面漫游后，通过实体琴键或虚拟琴键弹奏的音符会保留在大谱表上不消失，页面可无限延伸，可进行左右滑动。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9．在不进入其他功能页面的情况下，支持乐理知识课件讲解，包括：音、音符与音乐记号、音程、和弦、节拍、中国民族调式、自然大小调式、自然大小调的变体等，可对乐理知识课件进行模糊搜索。</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10．支持直接在五线谱表上弹奏发声，并在五线谱表的相应位置展示音符。</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11．支持节拍教学，支持单独设置节拍分子和分母的大小，范围为1-16拍；改变分子，下方电子节拍器的拍数会跟随改变。</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12．电子节拍器每一拍都支持修改声音强度为强、次强、弱以及无声；播放有实际效果。</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13．支持六种细分节拍选择（单音、双音、三连音、四连音、前八后十六、前十六后八），改变分母大小，细分节拍时值会跟随改变；播放时会跟随细分进行播放。</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14．支持手动输入数字进行调节；支持通过点击加减号进行调节。</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15．支持选择BPM进行速度调节（具有Grave、Lento、Adagio、Adagietto、Andante、Allegretto、Allegro、Vivace、Presto、Prestissimo等≥十种BPM）；支持通过点击TAP来修改速度。</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16．支持倒计时：开启倒计时后，可选择时间，时间截止后，节拍器自动停止播放。</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17．具有板书功能，支持铅笔、喷雾器、直线、虚线、箭头、方块、圆形、椭圆形、三角形的书写以及文本的插入。</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18．支持修改书写内容的颜色；支持修改插入文本的颜色；支持1-10级的粗细调整。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19．支持对书写的内容或插入的内容进行选中并拖拽位置、旋转或放大缩小。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支持对书写内容或插入文本进行撤销、恢复、删除等操作；支持对书写内容进行擦除、擦除全部、恢复擦除等操作。</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数字化五线谱电教板</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1.页面具有可配置谱表展示区域，课件展示区域，虚拟琴键以及功能操作区域。</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2.包含多种谱表类型可选（高音、低音、中音、次中音、大谱表）；可修改谱表为简谱；可以添加小节以及删除小节；可撤销恢复。</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3.包含有多种时值的音符（二全音符、全音符、二分音符、四分音符、八分音符、十六分音符、三十二分音符、六十四分音符）以及休止符和附点可以进行插入。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4.点击虚拟键盘上的琴键，会在上方谱表中插入对应的音符；点击黑键触摸区域输入升音和降音，并在谱表上显示有升音符和降音符的变音音符；支持在谱表中插入和弦与音程。</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5.支持修改键位为49键、61键、88键；一键显隐音名、唱名、音组。</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6.支持修改调号；支持修改唱名类型为首调或固定调（首调即唱名跟随调号变化，固定调即唱名不会跟随调号变化）；支持修改128种高保真音色。</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7.可通过五度圈外圈大调进行谱表调号修改；可通过移调按钮进行谱表调号修改。</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8.可修改播放速度；可修改小节拍号。</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9.可导入曲谱文件进行教学展示，可以对插入的音符或导入的曲谱进行播放、暂停、停止；播放过程中，上方音符和虚拟琴键会保持同步高亮。</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10.支持和弦与音程教学，具有32种和弦以及25种音程，以箭头对应琴键为根音，可准确展示和弦与音程的键位，白健和黑键以不同颜色进行高亮展示，对比明显。</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11.开启键位保留后，插入的音符、音程以及和弦的键位都会保持高亮不消失，直到插入下一个音符、音程以及和弦或关闭该模式后高亮消失。</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12.在不进入其他功能页面的情况下，支持乐理知识课件讲解，包括：音、音符与音乐记号、音程、和弦、节拍、中国民族调式、自然大小调式、自然大小调的变体等，可对乐理知识课件进行模糊搜索。</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13.支持节拍教学，支持单独设置节拍分子和分母的大小，范围为1-16拍；改变分子，下方电子节拍器的拍数会跟随改变。</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14.电子节拍器每一拍都支持修改声音强度为强、次强、弱以及无声；播放有实际效果。</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15.支持六种细分节拍选择（单音、双音、三连音、四连音、前八后十六、前十六后八），改变分母大小，细分节拍时值会跟随改变；播放时会跟随细分进行播放。</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16.支持手动输入数字进行调节；支持通过点击加减号进行调节。</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17.支持选择BPM进行速度调节（具有Grave、Lento、Adagio、Adagietto、Andante、Allegretto、Allegro、Vivace、Presto、Prestissimo等≥十种BPM）；支持通过点击TAP来修改速度。</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18.支持倒计时：开启倒计时后，可选择时间，时间截止后，节拍器自动停止播放。</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19.具有板书功能，支持铅笔、喷雾器、直线、虚线、箭头、方块、圆形、椭圆形、三角形的书写以及文本的插入。</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20.支持修改书写内容的颜色；支持修改插入文本的颜色；支持1-10级的粗细调整。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21.支持对书写的内容或插入的内容进行选中并拖拽位置、旋转或放大缩小。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支持对书写内容或插入文本进行撤销、恢复、删除等操作；支持对书写内容进行擦除、擦除全部、恢复擦除等操作。</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演奏课堂</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1．支持与演示终端无缝连接，虚拟键盘虚化背景展示后与实体键盘弹奏画面完全对应；可展示弹奏键位以及弹奏力度，弹奏力度由强到弱7种不同颜色展示。</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2．支持修改键位为49键、61键、88键；一键显隐键盘、轨迹、音名、唱名。</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3．支持修改调号；支持修改唱名类型为首调或固定调（首调即唱名跟随调号变化，固定调即唱名不会跟随调号变化）；支持修改128种高保真音色。</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4．支持打开本地文件；打开文件后支持跟弹模式、评分模式、谱曲模式、五线谱模式、简谱模式、瀑布流模式、混合模式、双手弹奏、左手弹奏、右手弹奏模式等10种模式。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5．支持屏幕瀑布流和键盘对照弹奏练习，得到数据演奏结果，如完美、连击、弹早了、弹晚了、弹错了、弹漏了以及总体得分详情。</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具有PK挑战功能，邀请对方进入挑战，开始挑战后，进入混合模式，曲谱演奏完毕后展示得分结果，可再次发起挑战。</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电子课本</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1．具有曲集、视唱、教材、与题库等教学资源，≥2000节课时，具有视唱练耳功能，均为免费配送；如学校有课件定制需求，厂家可免费代老师制作课件以供授课使用。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2．支持通过选择相应版本、相应课件单元、来查看相应课件内容。</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具有谱曲播放、男生唱名、女生唱名、真人唱名、范唱播放、伴奏播放、男声节奏、女声节奏、女生试唱、打击节奏、伴奏+旋律等≥十一种播放模式；支持在播放过程中暂停以及修改播放速度；支持选择一段音符进行播放。</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4．可进行声部调整，可选择单个声部或多个声部进行播放，可修改每个声部的音色以及声部的音量。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5．支持多种谱表切换，如：五线谱、简谱、五线谱节奏谱、简谱节奏谱；支持添加多种对照谱表，如：五线谱、简谱、五线谱节奏谱、简谱节奏谱、三线谱、四线谱、六线谱、不同调式的对照谱。</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6．支持一键显隐唱名、图文、歌词、拼音、科尔文记号、直笛谱、陶笛铺、竹笛谱、葫芦丝谱等；支持一键显示小节序号、每行首个小节序号、每五小节显示、小节等间距等；一键升降一个音或八度。</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7．支持一键显隐键盘、标尺、网格等。</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8．支持修改键位为49键、61键、88键；一键显隐音名、唱名、音组。</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9．支持修改调号；支持修改唱名类型为首调或固定调（首调即唱名跟随调号变化，固定调即唱名不会跟随调号变化）；支持修改128种高保真音色。</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10．课件谱曲播放时，可直接操作电子琴或电钢琴的音色按钮改变音色进行播放，可任意调用电子琴或电钢琴的音色通过电子琴或电钢琴的扬声器发声。</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11．支持从电子课本一键跳转至演奏课堂，可直接进行谱子的弹奏。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12．支持对课本进行二次编辑，可保存至自选路径下。</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13．具有视唱练耳曲目≥200首，可播放聆听模唱。</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14．具有钢琴视频教学：提供关于识谱、手型、演奏技法、曲目讲解等≥200个教学视频。</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15．具有乐理教学视频，包含音、半音、调号、谱号等教学视频≥150集。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16．支持节拍教学，支持单独设置节拍分子和分母的大小，范围为1-16拍；改变分子，下方电子节拍器的拍数会跟随改变。</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17．电子节拍器每一拍都支持修改声音强度为强、次强、弱以及无声；播放有实际效果。</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18．支持六种细分节拍选择（单音、双音、三连音、四连音、前八后十六、前十六后八），改变分母大小，细分节拍时值会跟随改变；播放时会跟随细分进行播放。</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19．支持手动输入数字进行调节；支持通过点击加减号进行调节。</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20．支持选择BPM进行速度调节（具有Grave、Lento、Adagio、Adagietto、Andante、Allegretto、Allegro、Vivace、Presto、Prestissimo等≥十种BPM）；支持通过点击TAP来修改速度。</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21．支持倒计时：开启倒计时后，可选择时间，时间截止后，节拍器自动停止播放。</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22．具有板书功能，支持铅笔、喷雾器、直线、虚线、箭头、方块、圆形、椭圆形、三角形的书写以及文本的插入。</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23．支持修改书写内容的颜色；支持修改插入文本的颜色；支持1-10级的粗细调整。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24．支持对书写的内容或插入的内容进行选中并拖拽位置、旋转或放大缩小。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支持对书写内容或插入文本进行撤销、恢复、删除等操作；支持对书写内容进行擦除、擦除全部、恢复擦除等操作。</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钢琴书屋</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1．具有钢琴曲集、演奏理论、钢琴百科三大板块。</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2．钢琴曲集：钢琴考级曲、菲伯尔、拜厄幼儿、拜厄、车尔尼、钢琴基础教程、哈农、流行钢琴、约翰.汤普森、考级教材等钢琴曲集≥2000首。均免费配送。</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3．演奏理论：车尔尼、演奏小知识；可提供基础演奏技巧和一些弹奏钢琴的小知识。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4．钢琴百科：主要是对钢琴进行一些基本的介绍，和一些演奏方面的小技巧。</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5．具有板书功能，支持铅笔、喷雾器、直线、虚线、箭头、方块、圆形、椭圆形、三角形的书写以及文本的插入。</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6．支持修改书写内容的颜色；支持修改插入文本的颜色；支持1-10级的粗细调整。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7．支持对书写的内容或插入的内容进行选中并拖拽位置、旋转或放大缩小。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8．支持对书写内容或插入文本进行撤销、恢复、删除等操作；支持对书写内容进行擦除、擦除全部、恢复擦除等操作。</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9．支持与演示终端无缝连接，虚拟键盘虚化背景展示后与实体键盘弹奏画面完全对应；可展示弹奏键位以及弹奏力度，弹奏力度由强到弱7种不同颜色展示。</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10．支持修改键位为49键、61键、88键；一键显隐键盘、轨迹、音名、唱名。</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11．支持修改调号；支持修改唱名类型为首调或固定调（首调即唱名跟随调号变化，固定调即唱名不会跟随调号变化）；支持修改128种高保真音色。</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12．支持跟弹模式、评分模式、谱曲模式、五线谱模式、简谱模式、瀑布流模式、混合模式、双手弹奏、左手弹奏、右手弹奏模式等10种模式。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13．支持屏幕瀑布流和键盘对照弹奏练习，得到数据演奏结果，如完美、连击、弹早了、弹晚了、弹错了、弹漏了以及总体得分详情。</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具有PK挑战功能，邀请对方进入挑战，开始挑战后，进入混合模式，曲谱演奏完毕后展示得分结果，可再次发起挑战。</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音乐百科</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1．包含乐器、音乐史、音乐家、戏曲家、音乐术语等相关音乐资源，均为免费配送。</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2．包括中西乐器（≥200种乐器介绍）、中西音乐家介绍（≥300位音乐家介绍）、戏曲家介绍（≥200位戏曲家介绍）、音乐术语、音乐符号、乐器构造、相关历史介绍等，≥120万字。</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3．支持在模块内部进行内容的模糊搜索。</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4．以文字、音频、图片、视频混合教学。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5．各种不同音乐术语的讲解，如：强弱记号、速度记号、演奏方法、谱号、拍号、小节、倚音、变音记号、反复记号等。</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6．≥300个的乐器或音乐术语的音视频讲解。</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7．音频和视频文件可调节播放速度、音量以及播放进度。</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8．具有板书功能，支持铅笔、喷雾器、直线、虚线、箭头、方块、圆形、椭圆形、三角形的书写以及文本的插入。</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9．支持修改书写内容的颜色；支持修改插入文本的颜色；支持1-10级的粗细调整。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10．支持对书写的内容或插入的内容进行选中并拖拽位置、旋转或放大缩小。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支持对书写内容或插入文本进行撤销、恢复、删除等操作；支持对书写内容进行擦除、擦除全部、恢复擦除等操作。</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乐器课堂</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具有竖笛、吉他、架子鼓、电子鼓机、葫芦丝、尤克里里等多种乐器教学。</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1.竖笛：点击打开谱子，则会在屏幕中间显示所打开的曲谱，点击下方虚拟键盘所展示的音则会在竖笛展示图中显示当前点击音所需要的按孔，支持插入伴奏，支持竖笛演奏录制并播放。</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2.吉他：左上方有吉他常用的和弦示图，点击任意一个和弦图，则会在下方的虚拟键盘当中显示出相对应的音，上方具有吉他常用的分解和弦节奏型和扫弦节奏型，支持插入伴奏，支持吉他弹唱演奏录制并播放。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3.葫芦丝：点击打开谱子，则会在屏幕中间显示所打开的曲谱，点击下方虚拟键盘所展示的音，则会在竖笛展示图中显示当前点击音所需要的按孔，支持插入伴奏，支持葫芦丝演奏录制并播放。</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尤克里里：左上方有尤克里里常用的和弦示图，点击任意一个和弦图，则会在下方的虚拟键盘当中显示出相对应的音，上方具有尤克里里常用的分解和弦节奏型和扫弦节奏型，支持插入伴奏，支持尤克里里弹唱演奏录制并播放。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5.架子鼓：点击对应的乐器发出不同的声音，支持插入配乐，支持架子鼓演奏录制并播放。</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电子鼓击：≥80种音轨，可随意进行排列组合，可分页展示；可选择播放当前页或播放全部页；可调整播放速度以及单次和循环播放。</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趣味音乐</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具有拯救苹果、节奏火车、识谱练一练、听音比比看、音符翻牌、音符连连看、迎接音符等≥7种音乐互动游戏，提升学生识谱、节奏、听音、弹奏等音乐综合能力。</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拯救苹果：具有练习模式和挑战模式，练习模式：根据上方掉落的音名，玩家弹奏钢琴键上的对应位置琴键来拯救苹果，可设置关卡调整苹果掉落速度，挑战模式下：可设置关卡调整苹果掉落速度，通关模式下掉落速度会逐渐加快，可以加深学生对钢琴琴键音名的记忆，可进行分值测评，可查看系统所有用户排名情况。</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2.节奏火车：学生根据背景音乐的节奏，来点击琴键或电脑键盘，根据点击时节奏的准确性，可分为完美、优秀、很好和错过4种得分，可修改不同节拍与速度进行练习，可以锻炼学生对音乐节奏的把握能力。</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识谱练一练：具有唱名，音名，琴键三种练习方式，具有五线谱、简谱、简线混排谱三种谱例显示，具有钢琴虚拟键盘展示，具有不同练习试题，学生可以根据不同谱例展示的音符，在下方选择对应的唱名、音名以及琴键；锻炼学生识谱的综合能力。</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4.听音比比看：分为练习模式和挑战模式，练习模式分为音高练习和音色练习，音高练习：系统可根据不同试题播放不同音高的音频，可重复播放试听，学生根据所听音频通过系统内 C、D、E、F、G、A、B、C 相对应的虚拟键盘进行音高练习，难度分为 8 个音高，弹错有相应提示音，选对可进入下一关卡，可查看正确答案。</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5.音色练习：具有≥24种不同的乐器，学生可根据不同试题的乐器声音，选择正确的乐器，可重复播放试听，选错有相应提示音，选对可进入下一关卡，可查看正确答案。</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6.挑战模式：根据系统播放音高的音频在琴键上选择正确的音名，可重复播放试听，选错则闯关失败，选对可进入下一关卡并且难度进行递增。</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7.音符翻牌：通过选择不同纸牌，根据纸牌上显示的音符，十秒内在下方虚拟琴键上点击对应的琴键，选对进入下一关，选错或超时需重新开始。</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8.音符连连看：通过选中两个相同且不被包围的音符，来达到使音符两两消失的效果，所有音符消除完毕即可完成游戏。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迎接音符：根据上方掉落的音符、休止符以及谱号，在下方点击对应的名称来迎接音符；可进行速度调节以及最大失败数量的调节，当失败数量达到上限时，游戏结束。</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教学管理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具有班级管理、学生管理、题库管理、音乐测评、演奏测评、电子教室等功能板块。</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班级管理：老师可以创建班级来添加班级的名称、入学年份以及班级编号，也可以自动生成班级编号，可进行班级搜索、班级名称修改删除等，可进行学生管理添加、修改、删除学生信息，学生信息包含姓名、性别、联系方式、学号、对应班级等。</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2、作业管理：可创建作业，添加修改或删除作业标题、对应班级、作业类型、作业要求等，可查看学生作业完成情况及完成时间，教师可对学生完成的作业进行批阅。</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题库管理：具有我的题库与公开题库，教师可创建题库，填入题库名称以及题库描述，可选择公开与不公开，当选择公开题库，那么我们所创建的题库将会出现在我的题库与公开题库当中，当选择不公开题库，则只会出现在我的题库当中，创建完成可编辑修改删除题库信息，可在题库中添加单选、多选、填空题等多种题型，可设置选项数量以及对应试题分值，教师可进去公开题库选择需要的相应试题供教师上课使用，可进行试题搜索和分类筛选，可选择平台上传或用户上传。</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音乐测评：创建测评可以填考试名称、考试时间、考试时长、考试班级、题库选择（可选择公开题库或我的题库）、考试总分、试题数量等，选择对应班级进行考试测评，学生提交完成后可自动生成考试数据及学生分数、可查看参加考试人员、得分情况、完成情况、正确率、学生详细答题情况。</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演奏测评：创建测评可设置名称、描述、考试班级、曲目，可选择所需文件，选择对应班级进行演奏测评；学生提交完成后可自动生成演奏测评数据及学生分数、可查看参加测评人员、得分情况、完成情况、测评次数。</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电子教室：老师可以通过控制学生端进行音频的传输，同时还可以查看学生的考勤和座位；可统一控制每个学生端，实现教师同屏、音视频同步传输；教师通过演奏测评可分配学生相应打谱任务，进行协作创作编辑；支持学生同屏展示、设定学生同屏、展现学生示范内容；实现教师与学生、学生与学生之间的同屏交流；支持视频分享一键展示教师指法；可设置横向与竖向的学生位置分布。</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音乐鉴赏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1．包含古典音乐（贝多芬、莫扎特、海顿、肖邦）、流行音乐、民族歌曲、美声歌曲、民族民间音乐（≥1000首），均为免费配送。</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具有谱曲播放、男生唱名、女生唱名、真人唱名、范唱播放、伴奏播放、男声节奏、女声节奏、女生试唱、打击节奏、伴奏+旋律等≥十一种播放模式；支持在播放过程中暂停以及修改播放速度；支持选择一段音符进行播放。</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3．可进行声部调整，可选择单个声部或多个声部进行播放，可修改每个声部的音色以及声部的音量。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4．支持多种谱表切换，如：五线谱、简谱、五线谱节奏谱、简谱节奏谱；支持添加多种对照谱表，如：五线谱、简谱、五线谱节奏谱、简谱节奏谱、三线谱、四线谱、六线谱、不同调式的对照谱。</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5．支持一键显隐唱名、图文、歌词、拼音、科尔文记号、直笛谱、陶笛铺、竹笛谱、葫芦丝谱等；支持一键显示小节序号、每行首个小节序号、每五小节显示、小节等间距等；一键升降一个音或八度。</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6．课件谱曲播放时，可直接操作电子琴或电钢琴的音色按钮改变音色进行播放，可任意调用电子琴或电钢琴的音色通过电子琴或电钢琴的扬声器发声。</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7．支持直接进行MP3格式文件播放，可调节速度、音量以及播放进度。</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8．以文字、音频、图片混合教学。</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9．具有板书功能，支持铅笔、喷雾器、直线、虚线、箭头、方块、圆形、椭圆形、三角形的书写以及文本的插入。</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10．支持修改书写内容的颜色；支持修改插入文本的颜色；支持1-10级的粗细调整。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11．支持对书写的内容或插入的内容进行选中并拖拽位置、旋转或放大缩小。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支持对书写内容或插入文本进行撤销、恢复、删除等操作；支持对书写内容进行擦除、擦除全部、恢复擦除等操作。</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曲苑杂坛</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1．包含秦腔、豫剧、越剧、京剧、川剧、黄梅戏、昆曲、评剧等≥10种戏曲种类，≥500首戏曲，均为免费配送。</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具有谱曲播放、男生唱名、女生唱名、真人唱名、范唱播放、伴奏播放、男声节奏、女声节奏、女生试唱、打击节奏、伴奏+旋律等≥十一种播放模式；支持在播放过程中暂停以及修改播放速度；支持选择一段音符进行播放。</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3．可进行声部调整，可选择单个声部或多个声部进行播放，可修改每个声部的音色以及声部的音量。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4．支持多种谱表切换，如：五线谱、简谱、五线谱节奏谱、简谱节奏谱；支持添加多种对照谱表，如：五线谱、简谱、五线谱节奏谱、简谱节奏谱、三线谱、四线谱、六线谱、不同调式的对照谱。</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5．支持一键显隐唱名、图文、歌词、拼音、科尔文记号、直笛谱、陶笛铺、竹笛谱、葫芦丝谱等；支持一键显示小节序号、每行首个小节序号、每五小节显示、小节等间距等；一键升降一个音或八度。</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6．课件谱曲播放时，可直接操作电子琴或电钢琴的音色按钮改变音色进行播放，可任意调用电子琴或电钢琴的音色通过电子琴或电钢琴的扬声器发声。</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7．支持直接进行MP3格式文件播放，可调节速度、音量以及播放进度。</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8．以文字、音频、图片混合教学。</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9．具有板书功能，支持铅笔、喷雾器、直线、虚线、箭头、方块、圆形、椭圆形、三角形的书写以及文本的插入。</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10．支持修改书写内容的颜色；支持修改插入文本的颜色；支持1-10级的粗细调整。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11．支持对书写的内容或插入的内容进行选中并拖拽位置、旋转或放大缩小。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支持对书写内容或插入文本进行撤销、恢复、删除等操作；支持对书写内容进行擦除、擦除全部、恢复擦除等操作。</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合唱团</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具有合唱曲谱、合唱知识、工具箱、管理四大模块。</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1.合唱曲谱：包含童声合唱、男生合唱、女生合唱、混声合唱等≥4种合唱类型，≥200首合唱曲谱。</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2.具有谱曲播放、男生唱名、女生唱名、真人唱名、范唱播放、伴奏播放、男声节奏、女声节奏、女生试唱、打击节奏、伴奏+旋律等≥十一种播放模式；可设置不同声部的音色；可调整播放速度。</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3.支持多种谱表切换，如：五线谱、简谱、五线谱节奏谱、简谱节奏谱；支持添加多种对照谱表，如：五线谱、简谱、五线谱节奏谱、简谱节奏谱、三线谱、四线谱、六线谱、不同调式的对照谱。</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4.具有视唱功能，可选择是否播放曲谱；可进行录音、回访以及评分。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5.具有旋律趋势功能，点击进入旋律教学模块；可选择教学模式，如：轨迹曲线教学、轨迹音块教学以及综合教学；在旋律教学模式下，曲线、音块会跟随谱子同步移动，实时展示曲谱旋律走向。</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6.支持节拍教学，支持单独设置节拍分子和分母的大小，范围为1-16拍；改变分子，下方电子节拍器的拍数会跟随改变。</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7.电子节拍器每一拍都支持修改声音强度为强、次强、弱以及无声；播放有实际效果。</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8.支持六种细分节拍选择（单音、双音、三连音、四连音、前八后十六、前十六后八），改变分母大小，细分节拍时值会跟随改变；播放时会跟随细分进行播放。</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9.支持手动输入数字进行调节；支持通过点击加减号进行调节。</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10.支持选择BPM进行速度调节（具有Grave、Lento、Adagio、Adagietto、Andante、Allegretto、Allegro、Vivace、Presto、Prestissimo等≥十种BPM）；支持通过点击TAP来修改速度。</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11.支持倒计时：开启倒计时后，可选择时间，时间截止后，节拍器自动停止播放。</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12.合唱知识：包含合唱指挥、合唱种类、合唱团体、合唱训练四个板块，支持文字、图片综合教学≥20万字。</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13.合唱工具箱：具有标准音、模唱训练、节拍器、定时器、音准训练、音组训练、稳定性训练、音域检测八大功能。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14.标准音：可进行标准音播放。</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15.模唱训练：具有C大调音阶，从二度音程到七度音程的训练。</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16.节拍器：支持60-208的速度调节，支持1-6的节拍。</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17.计时器：可进行计时、倒计时，可以调节倒计时时长。</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18.音准训练：可以播放标准音和当前音，可以设置性别以及结束时间，点击开始后系统会根据模唱的音进行评分，可以切换音高。</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19.音组训练：内置13种单音可供训练，可选择单音或多音来进行练习。开始训练后，按照选择的顺序进行音的播放，也可以重新选择需要练习的音。</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20.稳定性训练：可进行难度选择，有入门级、标准级、专业级三种选择模式。点击开始后可进行声音的录制，根据发声的稳定性，会有相应的波动显示。</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21.音域检测：具有从C1到c5的音域范围，分为低音区、中音区、高音区三个音区。系统会根据演唱的实际音高进行音域检测。</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22.合唱管理：具有创建、查看、修改、删除合唱团等功能。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23.创建：可输入名称并上传图片进行创建。</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24.查看：可查看或搜索合唱团的成员信息以及曲目信息。</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25.可创建、删除成员；可新增、查看、删除合唱曲目；可从合唱曲谱中直接调用曲目进行练习；可设置声部名称、声部长和声部成员；可点击进入合唱曲谱进行视唱练习。</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26.可查看成员的学习情况：例如成员姓名、练习时长、练习次数、最后练习时间等。</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27.具有板书功能，支持铅笔、喷雾器、直线、虚线、箭头、方块、圆形、椭圆形、三角形的书写以及文本的插入。</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28.支持修改书写内容的颜色；支持修改插入文本的颜色；支持1-10级的粗细调整。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29.支持对书写的内容或插入的内容进行选中并拖拽位置、旋转或放大缩小。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支持对书写内容或插入文本进行撤销、恢复、删除等操作；支持对书写内容进行擦除、擦除全部、恢复擦除等操作。</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124</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五线谱电教板</w:t>
            </w:r>
            <w:r/>
          </w:p>
        </w:tc>
        <w:tc>
          <w:tcPr>
            <w:tcBorders>
              <w:top w:val="single" w:color="000000" w:sz="4" w:space="0"/>
              <w:left w:val="single" w:color="000000" w:sz="4" w:space="0"/>
              <w:bottom w:val="single" w:color="000000" w:sz="4" w:space="0"/>
              <w:right w:val="single" w:color="000000" w:sz="4" w:space="0"/>
            </w:tcBorders>
            <w:tcW w:w="3349" w:type="pct"/>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1、白色板面，可白板笔书写，谱表调式等各种符号印刷在专用白板漆漆面内部，杜绝印刷符号被水性笔腐蚀的现象，整板可书写，擦拭不留痕，经久耐用；具有良好书写和耐擦拭性能；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2、一组61键电钢琴实物键盘；一组对应的智能MIDI键盘显示；一组用电子教鞭演示的可书写大谱表；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3、键盘与电子教鞭均可进行教学演示，结合导轨和可滑动的乐理标尺、和弦标尺、音程尺可实现全乐理教学；</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4、三位多功能LED显示音色、节奏、歌曲、速度、录放音等功能，二位LED显示节拍拍型,一位LED显示和弦，高度76mm的LED简谱显示，临时升降半音显示，61键智能MIDI键盘显示；</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5、音色：≥129种（其中128种标准GM音色+1组键盘打击乐音色）；</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6、自动节奏：100种；</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7、调式：不少于12种，教学演示时“#/b”升/降半音显示可转换；</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8、示范曲：800首，包含人教版中小学教材中的歌曲和练习曲，播放示范曲时可显示歌曲的调式、拍型、拍速、拍点、音名、简谱等主要音乐要素；</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9、节拍器：1/4、2/4、3/4、4/4、3/8、6/8、9/8、2/2拍共8种拍型；</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10、速度控制：节奏、节拍、歌曲的速度30～280共251档连续可调；</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11、音量控制：总音量、伴奏音量可分别由数码电位器调节，且不少于16档；</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12、录放音：录音音符不少于6000个，时间≥15分钟，断电后录音数据不丢失；</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13、和弦演示：任意和声演示，三个和弦记忆器，自动识别大三和弦、小三和弦、七和弦和小七和弦，可显示和弦名；</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14、配置USB接口，可播放MP3等格式的歌曲；</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15、具有蓝牙功能；适配手机等连接终端音频；</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16、双电子教鞭，可临时升降半音，配置环绕立体声系统和双扬声器；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17、标准MIDI输入、输出接口，麦克输入、音频输出接口；</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18、配备专用红外遥控器，可遥控操作电教板，遥控距离≥12米；</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19、最大输出功率：≥10W；</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20、音域：C～c4；音准：a1=440Hz  误差≤±3音分；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21、超宽范围的工作电源:AC100～250V/50Hz；</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22、规格尺寸：1800×950×60mm（±10mm）。</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125</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五线谱电教板支架</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1、支架采用人字结构，无缝钢管制作，倾斜度可调。</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2、钢管壁厚≥1.0mm，支架净重≥11.0Kg。</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3、外表采用静电喷塑工艺，通体黑色。</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4、支架上面要有拉钩钩住电教板，防止电教板从支架上倾倒。</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5、配置长度≥50cm宽度≥7cm的粉笔槽。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6、底部装万向轮，方便移动。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7、紧固件圴为不锈钢材质。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8、每个支架为一个包装。</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126</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钢琴</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1.铁板：采用真空铸造铁板工艺，音色纯正。</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音板：采用白松制作的加强型实木音板，上下两层白松实木木皮加强音板的抗拉张力，使音板在任何环境下都能保持稳定状态，不会变形和开裂，在各种不同的气候条件下均能保持优良的音色，音板设计非常符合钢琴共鸣系统的发声规律，产生更加优美琴声。</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3.琴弦：采用防锈钢线，音色纯净，音准稳定。</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4.弦码：采用色木多层板制作，音频振动响应精确，迅速。</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5.弦椎：采用优质羊毛毡并应用传统工艺制作的弦椎，音色圆润通畅。</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6.琴键：采用实木复合键盘，采用亚光黑键，色泽和质感如同乌木，键皮采用赛璐珞塑料，键盘表面硬度为2H以上。</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7.脚轮：采用双轮脚轮，具有转到灵活，推行顺畅，噪音低的特点。</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8.脚踏：金属铸造，踏脚负荷为3.5kg左右。</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9.外壳涂饰：采用国内名牌的不饱和树脂环保漆，并应用静电喷涂，令漆面光亮平整。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10.背柱：采用五背柱设计，保证了弦列振动的边界条件而且相应提高了钢琴总装配精度。</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11.气候适应性：钢琴在生产过程中进入干燥气候模拟处理并在出仓后进行二次精细整理，使产品适应北方气候，在寒冷干燥的环境下均处理稳定状态。</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12.击弦机：采用榉木和呢毡，保证贝宁钢琴极高的灵敏度及耐冷热性,弦椎击弦距离不少于43 mm,弦椎无晃动，制音效果好，平音头毡密度为0.16-0.22mm,三角毡密度为0.25mm-0.30mm ,色泽均匀一致，无分层，调整到位后，制音头离弦，贴弦一致，动作整齐，有效。</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13.顶杆：采用高强度材质，不易磨损变形，保证了产品的使用寿命。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14.干燥处理：木制作经过两年以上自然风干，再根据不同的部件采用不同的烘干方式释放木材的内应力，呢毡经过防潮，防霉，防蛀处理。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15.尺寸规格：1520×1210×620mm（±10mm）</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127</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音箱</w:t>
            </w:r>
            <w:r/>
          </w:p>
        </w:tc>
        <w:tc>
          <w:tcPr>
            <w:tcBorders>
              <w:top w:val="single" w:color="000000" w:sz="4" w:space="0"/>
              <w:left w:val="single" w:color="000000" w:sz="4" w:space="0"/>
              <w:bottom w:val="single" w:color="000000" w:sz="4" w:space="0"/>
              <w:right w:val="single" w:color="000000" w:sz="4" w:space="0"/>
            </w:tcBorders>
            <w:tcW w:w="3349" w:type="pct"/>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音响：低音单元：1X8寸  100磁35芯</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高音单元：2X3寸   60磁14芯</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分频器：三路三分频</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阻抗：8Ω</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中低音分频点：1.6KHz</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灵敏度：90dB</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额定功率：80W</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频率响应：50Hz-19KHz</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板材：中纤板</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表面材料：黑色PVC皮</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面罩：黑色亚光铁网</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接线柱：红黑两极接线柱</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深宽高：250×460×270mm（±10mm）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声音：低音弹性好，力度足，人声频带宽、中频密度高、高音清晰亮度好</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 </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128</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专业功放</w:t>
            </w:r>
            <w:r/>
          </w:p>
        </w:tc>
        <w:tc>
          <w:tcPr>
            <w:tcBorders>
              <w:top w:val="single" w:color="000000" w:sz="4" w:space="0"/>
              <w:left w:val="single" w:color="000000" w:sz="4" w:space="0"/>
              <w:bottom w:val="single" w:color="000000" w:sz="4" w:space="0"/>
              <w:right w:val="single" w:color="000000" w:sz="4" w:space="0"/>
            </w:tcBorders>
            <w:tcW w:w="3349" w:type="pct"/>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功放：1、输出功率：2X100W/8Ω，4X50W/8Ω</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2、灵敏度：≤220mV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3、信噪比：≥80dB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4、频率响应：20Hz-20KHz(±2dB)；</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5、音乐控制：高低音、左右平衡、音乐总音量控制旋钮；</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6、四路麦克风输入(前二后二) ，话筒1/2、话筒3/4均具一个隐藏式音量调节旋钮，话筒总音量控制旋钮；</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7、具一键蓝牙 、USB接口功能，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8、光纤、同轴输入，2组音源线路输入，1组录音输出；</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9、原装混响IC ，高品质专业大功率管，原装高速大容量滤波电容， 巨型低磁漏变压器，专业混响 、残响双效果；</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10、话筒及音乐具有独立的高、中、低音调节旋钮，延时、残响、混响调节旋钮，防啸叫按键、话筒优先按键、声场效果模式按键。</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129</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效果器</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产品特点:</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1、具有音箱处理器功能的卡拉OK效果器，各部分功能可独立调节。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2、采用24Bit数据总线和32Bit DSP。</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3、主输出设有8段参量均衡。 有压缩限幅器。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4、中置输出，后置输出及超低均设有8段参量均衡。</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5、可存储16种模式。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6、话筒输出，主输出，中置输出，超低音输出，后置输出均设有压限及延时功能。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7、内有管理者模式与用户模式，用户模式在调整参数后不能存储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8、采用美国ADI高速率CPU作为音频处理。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9、音乐：15段参量均衡，音乐到主输出高通滤波器：12dB/24dB(0Hz-303Hz）</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10、麦克风：有四种麦克风FBE反馈抑制模式：OFF 1 2 3，有麦克风压限功能，15段麦克风参量均衡</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11、回声：回声低通滤波器：5.99Hz-20.6KHz，回声高通滤波器：0Hz-1000Hz，回声参量均衡：3段，回声电平：0-100%，回声直达声电平：0-100%，回声预延时：0-200ms，回声右通道预延时：0-±50%,(相对左声道），回声总预延时：0~500ms，回声右通道延时：0-50%,(相对左声道回声延时时间），回声重复：0-90%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12、混响：混响低通滤波器可调范围：5.99Hz-20.6KHz，混响高通滤波器可调范围：0Hz-1000Hz，混响电平可调范围：0-100%，混响直达声可调范围：0-100%，回声预延时可调范围：0-200ms，混响时间可调范围：0-5000ms</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13、主输出（工作模式：唱歌／热舞（自动／手动）：音乐电平：0-200%，直达声电平：0~100%，回声电平：0~100%，混响电平：0-100%，8段音乐参量均衡，压缩限幅器，左通道延时：0~20ms，右通道延时：0-20ms，左通道静音功能，右通道静音功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14、中置输出（工作模式：唱歌／热舞（自动／手动）：音乐电平：0-200%，直达声电平：0-100%，回声电平：0~100%，混响电平：0-100%，高通滤波器：0Hz-20.6KHz，8段参量均衡，压缩限幅器，延时：0-20ms，静音功能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15、剩余噪声输出电压：≦-90dBm;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16、通道间的串音衰减：≦-50dB；                                                                                                                                         </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130</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无线话筒</w:t>
            </w:r>
            <w:r/>
          </w:p>
        </w:tc>
        <w:tc>
          <w:tcPr>
            <w:tcBorders>
              <w:top w:val="single" w:color="000000" w:sz="4" w:space="0"/>
              <w:left w:val="single" w:color="000000" w:sz="4" w:space="0"/>
              <w:bottom w:val="single" w:color="000000" w:sz="4" w:space="0"/>
              <w:right w:val="single" w:color="000000" w:sz="4" w:space="0"/>
            </w:tcBorders>
            <w:tcW w:w="3349" w:type="pct"/>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 频率范围：UHF 520-930MHz</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 调制方式：宽频FM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 可调范围：50MHz</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 通道数目：2x100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 通道间隔：250KHz</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 频率稳定度：±0.005%以内</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 动态范围：100dB</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 最大频偏：±45KHz</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9. 音频回应：80Hz-18KHz(±3dB)</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10. 综合信噪比：＞105dB</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11. 综合失真：≤0.5%</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12. 工作温度：-10℃ ~ 50℃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 接收机指标：</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 接收机方式：二次变频超外差</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 中频频率：第一中频：110MHz，第二中频10.7MHz</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 无线界面：BNC/50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 灵敏度：12dBμV(80dBS/N)</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 灵敏度范围:12-32dBμV</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 杂散抑制：≥75dB</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 最大输出电平：+10dBV</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发射器指标:</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 天线程式：腰包式发射器采用1/4波长鞭状天线，手持麦克风内置螺旋天线</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 输出功率：高频率30Mw,低频率3Mw</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 杂散抑制：-60dB</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 供电：两节AA DC 1.5V电池5. 使用时间：30mW时大于10小时，3mW时大于15小时</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131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智能电源管理器</w:t>
            </w:r>
            <w:r/>
          </w:p>
        </w:tc>
        <w:tc>
          <w:tcPr>
            <w:tcBorders>
              <w:top w:val="single" w:color="000000" w:sz="4" w:space="0"/>
              <w:left w:val="single" w:color="000000" w:sz="4" w:space="0"/>
              <w:bottom w:val="single" w:color="000000" w:sz="4" w:space="0"/>
              <w:right w:val="single" w:color="000000" w:sz="4" w:space="0"/>
            </w:tcBorders>
            <w:tcW w:w="3349" w:type="pct"/>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1、采用30A优质继电器。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2、大功率线路，满足较大功率用电系统使用。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3、带电压显示屏，显示当前使用电压数值。</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4、芯片控制，双面板贴片电路设计,稳定可靠。</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5、插座，适合各种类型插头使用。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6、可控制电源：8路</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7、每路动作时间：1秒</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尺寸：480mm×265mm×48mm（±10mm）</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132</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航空机柜</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1、产品采用高密度黑色砂面防火板，具有防火、防水、耐酸碱、耐划伤功能。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2、前后盖内粘贴防震、防潮EVA减震材料。</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3、箱盖内粘贴一套话筒成型珍珠棉。方便客户放置无线话筒发射器。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w:t>
            </w:r>
            <w:bookmarkStart w:id="144" w:name="OLE_LINK39"/>
            <w:r>
              <w:rPr>
                <w:rFonts w:hint="eastAsia" w:ascii="宋体" w:hAnsi="宋体" w:eastAsia="宋体" w:cs="宋体"/>
                <w:color w:val="auto"/>
                <w:sz w:val="20"/>
                <w:szCs w:val="20"/>
                <w:highlight w:val="none"/>
                <w:lang w:bidi="ar"/>
              </w:rPr>
              <w:t xml:space="preserve">壁厚</w:t>
            </w:r>
            <w:bookmarkEnd w:id="144"/>
            <w:r>
              <w:rPr>
                <w:rFonts w:hint="eastAsia" w:ascii="宋体" w:hAnsi="宋体" w:eastAsia="宋体" w:cs="宋体"/>
                <w:color w:val="auto"/>
                <w:sz w:val="20"/>
                <w:szCs w:val="20"/>
                <w:highlight w:val="none"/>
                <w:lang w:bidi="ar"/>
              </w:rPr>
              <w:t xml:space="preserve">≥1.5mm厚双包铝、壁厚≥1.2mm厚双V铝型材、壁厚≥1.2mm厚L型铝型材均氧化成铝本色；连接机箱的TM5×18大扁机丝和M5的法兰盘螺母均采用镀铬处理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5、4个≥3寸静音万向脚轮，滚针轴承，至少两个带刹车，方便演出固定。</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6、蝴蝶挂锁、大抽手、中角直码、大球包均采用镀铬表面处理。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7、4个牢固镀铬把手，方便设备搬运。</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8、本产品采用≥10套快装蝴蝶挂锁，牢固锁紧箱盖和箱体，便于运输流动。</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133</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音频辅材</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音箱线，两芯无氧铜音箱线。</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音频信号线≥6根：两芯带屏蔽音频信号线。</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音箱吊钩件≥4个：音箱壁架，金属材质，坚固安全</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批</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134</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合唱台</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1.尺寸：三层尺寸1220*1150*610±10mm；每层台阶款宽380±10mm，高200±10mm；小舞台尺寸:1530*1220*300±10mm；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2.材质：高密度PE；</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3.工艺：吹塑制作，材质轻，耐磨抗压，抗氧化功能强，长期使用也不会产生开裂现象，硬度和强度高，吸水性小，优良的电绝缘性，耐寒；</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4.功能：合唱台台阶可翻转设计，可调整为两层合唱台也可以变为一个整体的小舞台，侧面轮子设计方便推移。</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135</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音乐凳</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1、尺寸：W300×D300×H340mm±10mm。侧边：≥300×298×260mm±10mm,侧边设计弧度驼峰：驼峰底部宽≥150mm±10mm，抽屉：≥297×235×162mm±10mm,厚度：坐面≥6mm,凳脚≥28mm,抽屉板≥3mm；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2、材质：优质ABS注塑一体成型；</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工艺：注塑制作，耐磨抗压，硬度和强度高，吸水性小，优良的电绝缘性，耐寒，抗氧化功能强，不会产生开裂现象。侧板设计音乐字符，呈现音乐凳特色。侧边为双层结构，增加产品的坚固性及承重性，保证产品使用过程中的安全性。凳脚配有防滑橡胶条，起到耐磨、防滑的作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4、功能：配置ABS塑料抽屉，可堆叠，既可做合唱台，也可以作为收纳小柜子使用。</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136</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音乐节拍器</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1、机械式节拍器。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2、速度范围:40-208拍/分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3、机芯材料：钢化塑料</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4、摆锤：镀锌金抛光电镀</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5、外形尺寸：203mm*117mm*100mm（±10mm）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6、产品应能在各种速度中发出一种稳定的节拍。</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83"/>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137</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音叉</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钢制，440Hz  总长度122mm（±10mm）</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17"/>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学生音乐器材</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08" w:type="pct"/>
            <w:vAlign w:val="bottom"/>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59"/>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138</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音筒</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1.外观构成：彩色塑料音筒，外部有音符标注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2.规格：筒直径≧4.2cm，按音符排列，音筒长：C≧61.8cm、D≧55.1cm、E≧47.7cm、F≧45.1cm、G≧39.6cm、A≧36cm、B≧31.4cm、C≧29.1cm；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3.使用方法：双手各持一个音筒或一人手持一个音筒，敲击身体的不同部位发出声响，也可敲击桌面货地面使其发声；</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632"/>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139</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沙锤</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numPr>
                <w:ilvl w:val="0"/>
                <w:numId w:val="15"/>
              </w:num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材质：木质刻画   </w:t>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2.尺寸：长26cm，最大直径8cm，手柄长13cm，手柄最大直径2cm</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对</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140</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沙筒</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1、材质：木质；2、工艺：原木色；3：尺寸：长7cm，直径3.5cm</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对</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567"/>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141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摇铃</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1.外观构成：木棒上配有13颗金属铃铛组成，边缘排布3排各4颗铃铛，顶部一颗铃铛，手柄处为原木清漆，美观精致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2.尺寸：全长≧19cm，木质棍子最大规格直径≧1.4cm，手柄长≧4.8cm，铃铛直径≧2cm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3.使用方法：手持棒铃，左右或上下摇晃，使其铃铛同时发声，清越响亮；</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对</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142</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摇铃（串铃）</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1.外观构成：手摇铃由木制手柄、优质牛皮铃圈和5颗金属铃铛构成；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2.规格：手柄长≧10cm，直径≧1.7cm；铃圈厚≧0.2cm，皮宽≧1.8cm，皮长约≧20cm；铃铛规格≧22*22mm；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3.使用方法：使用时手持摇铃，摇晃使其发声；</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143</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棒铃</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1.外观构成：木棒上部由红色绒布包裹木棍，配有21颗金属铃铛组成，边缘排布4排各5颗铃铛，顶部一颗铃铛，手柄处为原木清漆，美观精致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2.尺寸：全长≧24.5cm，木质棍子规格≧2.3*2.1cm，手柄长≧13.1cm，直径≧1.9cm，铃铛直径≧2cm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3.使用方法：手持棒铃，左右或上下摇晃，使其铃铛同时发声，清越响亮；</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对</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287"/>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144</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双响筒</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1.外观构成：材质为木质，由筒体、手柄构成； 配敲棒一根；</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2.规格:筒体直径40mm 手柄全长160mm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3.使用方法：使用前将手柄细端与响筒旋紧固定，使用时一手持双响筒，一手持敲棒，伴随节奏使其发声，因响筒两端掏空深度不同，其发音高低也不同；</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副</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145</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响板</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1、材质：木质、原木色;2、规格：全长≧21CM，响板头长≧7.5CM，响板头直径≧5.0CM，  手柄部分长≧12.5CM,， 手柄直径≧1.5CM，主板厚度≧0.9CM;3、结构：由主板及两块盖板连接组成，主板及盖板各有两个孔，主板夹在两盖板中间，用线绳穿过两圆孔串联在一起;4、使用方法：手持响板前后晃动即可</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5"/>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146</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刮棒</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1：材质：木质椿木:；2、尺寸：长20cm，直径2cm</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副</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97"/>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147</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蛙鸣筒</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1、材质：木质  2 尺寸：长20cm，最大直径5.5cm，手柄长6.5cm，13个螺纹，螺纹长6.7cm，敲击棒长14.5cm</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副</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148</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木鱼</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1.规格：7音木鱼 2.外观构成：木鱼呈团鱼</w:t>
            </w:r>
            <w:r>
              <w:rPr>
                <w:rFonts w:hint="eastAsia" w:ascii="宋体" w:hAnsi="宋体" w:eastAsia="宋体" w:cs="宋体"/>
                <w:color w:val="auto"/>
                <w:sz w:val="20"/>
                <w:szCs w:val="20"/>
                <w:highlight w:val="none"/>
                <w:lang w:bidi="ar"/>
              </w:rPr>
              <w:t xml:space="preserve">形，腹部中空，头部正中开口，为发音空，尾部盘绕，其状昂首缩尾，背部(敲击部位)呈斜坡形，两侧三角形，底部椭圆;木制棰，手工制作，附敲槌一个，外观红色喷漆，金色画漆。3.规格：材质为椿木，尺寸为宽*高≧①9.5*7.7cm ②≧9.4*7.4cm ③≧8.3*7.2cm ④≧7.8*6.5cm ⑤≧8.0*6.1cm ⑥≧5.9*4.8cm ⑦≧5.8*4.9cm 。槌头直径≧2.3cm，球形，把为圆柱形，敲槌全长≧20cm，敲击不同尺寸的木鱼，会有不一样的声音。 3.使用方法：手持敲槌，敲击木鱼，使其发声；</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28"/>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149</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铃鼓</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1、规格：8寸</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2、材质：木质圈、不锈银色铜镲片、羊皮鼓面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3、规格：铃鼓直径≧20CM，宽度≧4.4CM，木质圈厚度≧0.6CM，单片铃片的厚度为0.1CM，铃片直径3.7cm。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4、结构：由鼓身、鼓面、5组小铃片组成</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5、使用方法：演奏时，手持铃鼓摇动鼓身即可作响</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53"/>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三角铁</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材质：钢制，3件套。成套三副三角铁15cm,20cm,25cm各一个。</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656"/>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151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碰钟</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1、材质：镀铜；2、尺寸：直径4.5cm，厚0.1cm，深度5.5cm，重0.16kg</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副</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152</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扁鼓</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1、鼓面直径400mm，高度230mm，木质鼓腔，卷曲成圆柱形，表面无疤痕、裂缝，不变形，并喷红漆。 2、击槌用硬杂木制成，前端呈球状。表面无疤痕、裂纹。 3、堂鼓的鼓身上下口径相同，中部略大，漆面光洁。 4、演奏时，发出“咚、咚”声，不得有杂音。 1、鼓面直径400mm，高度230mm，木质鼓腔，卷曲成圆柱形，表面无疤痕、裂缝，不变形，并喷红漆。 2、击槌用硬杂木制成，前端呈球状。表面无疤痕、裂纹。 3、堂鼓的鼓身上下口径相同，中部略大，漆面光洁。 4、演奏时，发出“咚、咚”声，不得有杂音。</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153</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堂鼓</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1、鼓面直径260mm，高度330mm，木质鼓腔，卷曲成圆柱形，表面无疤痕、裂缝，不变形，并喷红漆。 2、击槌用硬杂木制成，前端呈球状。表面无疤痕、裂纹。 3、堂鼓的鼓身上下口径相同，中部略大，漆面光洁。 4、演奏时，发出“咚、咚”声，不得有杂音。</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97"/>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154</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乐谱架</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材质：高强度铁板和橡胶调节钮  可调节尺寸：800mm-1500mm  版面尺寸：470mm*345mm</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287"/>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155</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音乐专用凳</w:t>
            </w:r>
            <w:r/>
          </w:p>
        </w:tc>
        <w:tc>
          <w:tcPr>
            <w:tcBorders>
              <w:top w:val="single" w:color="000000" w:sz="4" w:space="0"/>
              <w:left w:val="single" w:color="000000" w:sz="4" w:space="0"/>
              <w:bottom w:val="single" w:color="000000" w:sz="4" w:space="0"/>
              <w:right w:val="single" w:color="000000" w:sz="4" w:space="0"/>
            </w:tcBorders>
            <w:tcW w:w="3349" w:type="pct"/>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琴凳规格:400mm*250mm*400mm（±10mm）;凳面采用皮软包工艺，内材采用高弹海绵，凳架采用矩形管焊接，钢材表面经喷砂抛丸去油除锈，静电喷涂。脚垫采用PP工程塑胶注塑</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156</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移动音箱</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屏幕尺寸:≥22寸高清全触摸屏幕</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≥12寸双推大磁超重低音喇叭</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≥5寸音乐型高音号角；</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≥5寸双环中音喇叭</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内存配置:≥2000G硬盘</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电池规格:≥12.8V20000毫安磷酸电池</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全频覆盖≥9个高端喇叭</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内置dsp美声声卡</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话筒配置:专业K歌U段话筒</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箱体尺寸:475×390×750MM（±10mm）</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47"/>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2F小学音乐教室辅房配备清单</w:t>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157</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乐器收纳柜</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规格：800×400×2000mm（±10mm）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基材：环保型饰面刨花板制作板材厚度18mm。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饰面：正反三聚氰胺贴面（厚度≥0.6mm）。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封边：2mm厚同色优质PVC封边。</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胶水：优质环保型胶水。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五金件：优质柜门拉手，配置优质国产锁具，优质三合一偏心连接件。</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158</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器材架</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1.规格：1500×500×2000mm（±10mm）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2.材质：采用厚度不小于0.7mm冷轧钢。</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3.功能：供放置体育器材使用，承重量大。</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4.结构：4层，蝴蝶孔设计，安装容易，搬运方便。货架零部件均经过除锈、酸洗、磷化、喷涂等表面处理，结实耐用。</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159</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办公桌椅</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桌子尺寸:1200×600×750mm（±10mm）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基材：环保型饰面刨花板制作，台面板厚度≥25mm,其余板材厚度≥18mm。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饰面：正反三聚氰胺贴面（厚度≥0.6mm）。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封边：≥2mm厚同色优质PVC封边。</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桌架：国产钢结构，壁厚≥1.5mm。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涂装：涂膜厚50-70μm。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胶水：优质环保型胶水。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五金件：优质五金配件。</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椅背：PP背框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椅座：≥12mm座板，定型绵，弹力布座布</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底盘：原位锁定蝴蝶底盘</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扶手：PP连体固定扶手</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气杆：行程≥100mm沉口≥50mm三级气杆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椅脚：≥340mmPP五星脚</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椅轮：≥60/25黑色PA轮</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71"/>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3F小学音乐教室配备清单</w:t>
            </w:r>
            <w:r/>
          </w:p>
        </w:tc>
      </w:tr>
      <w:tr>
        <w:trPr>
          <w:trHeight w:val="528"/>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专用器材</w:t>
            </w:r>
            <w:r/>
          </w:p>
        </w:tc>
        <w:tc>
          <w:tcPr>
            <w:tcBorders>
              <w:top w:val="single" w:color="000000" w:sz="4" w:space="0"/>
              <w:left w:val="single" w:color="000000" w:sz="4" w:space="0"/>
              <w:bottom w:val="single" w:color="000000" w:sz="4" w:space="0"/>
              <w:right w:val="single" w:color="000000" w:sz="4" w:space="0"/>
            </w:tcBorders>
            <w:tcW w:w="3349" w:type="pct"/>
            <w:textDirection w:val="lrTb"/>
            <w:noWrap w:val="false"/>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08" w:type="pct"/>
            <w:vAlign w:val="bottom"/>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160</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智慧音乐教学云平台</w:t>
            </w:r>
            <w:r/>
          </w:p>
        </w:tc>
        <w:tc>
          <w:tcPr>
            <w:tcBorders>
              <w:top w:val="single" w:color="000000" w:sz="4" w:space="0"/>
              <w:left w:val="single" w:color="000000" w:sz="4" w:space="0"/>
              <w:bottom w:val="single" w:color="000000" w:sz="4" w:space="0"/>
              <w:right w:val="single" w:color="000000" w:sz="4" w:space="0"/>
            </w:tcBorders>
            <w:tcW w:w="3349" w:type="pct"/>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智慧音乐教学系统采用账号登录，登录时需要输入账号、密码。下述所有功能需在统一软件内实现，系统具有注册账号及密码找回功能，需要输入手机号，系统会自动发送验证码到对应手机，输入验证码，和密码进行密码修改。</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系统工具：该区域内的工具，可在系统内任何功能模块内使用。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1.屏幕录制：录制时，可选择单独录制系统声音、单独录制麦克风声音或两种声音全部录制，可将录制的视频保存至所需路径下。</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2.屏幕截图：可对功能界面进行截图，并保存至所需路径下。</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3.节拍器：支持单独设置节拍分子和分母的大小，范围为1-16拍；改变分子，下方电子节拍器的拍数会跟随改变。</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4.电子节拍器每一拍都支持修改声音强度为强、次强、弱以及无声；播放有实际效果。</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5.支持六种细分节拍选择（单音、双音、三连音、四连音、前八后十六、前十六后八），改变分母大小，细分节拍时值会跟随改变；播放时会跟随细分进行播放。</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6.支持手动输入数字进行调节；支持通过点击加减号进行调节。</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7.支持选择BPM进行速度调节（具有Grave、Lento、Adagio、Adagietto、Andante、Allegretto、Allegro、Vivace、Presto、Prestissimo等≥十种BPM）；支持通过点击TAP来修改速度。</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8.支持倒计时：开启倒计时后，可选择时间，时间截止后，节拍器自动停止播放。</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9.具有板书功能，支持铅笔、喷雾器、直线、虚线、箭头、方块、圆形、椭圆形、三角形的书写以及文本的插入。</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10.支持修改书写内容的颜色；支持修改插入文本的颜色；支持1-10级的粗细调整。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11.支持对书写的内容或插入的内容进行选中并拖拽位置、旋转或放大缩小。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12.支持对书写内容或插入文本进行撤销、恢复、删除等操作；支持对书写内容进行擦除、擦除全部、恢复擦除等操作。</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13.可收起左侧菜单展示栏，放大教学区域。</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14.可在某功能模块内部，在不返回首页的情况下，直接跳转至其他功能模块。</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MIDI作曲</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应支持标准完整曲谱制作，包括固定谱表模板（常规谱表模板：空白谱表、高音、中音、低音、次中音、大谱表、简谱谱表，合唱谱表模板、室内乐谱表模板、独奏谱表模板、爵士乐谱表模板、流行音乐谱表模板、乐队与打击乐器谱表模板）以及自定义乐器谱表模板（木管乐器、自由簧片、铜管、有音高打击乐器、键盘、弦乐-拨弦乐器、弦乐-弓弦乐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2．模板支持添加演奏记号与术语，如：谱号、调号、拍号、音高、时值、重复与跳转、小节线、线条记号、倚音、琶音与滑音、震音、力度记号、指法、科尔文手势、音色、品格图、功能标记等。</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3．支持修改谱例属性，如：标题、作曲、谱表数、小节数、每行小节数、调号、节拍、速度、速度文本、显隐速度、设置弱起小节、弱起小节节拍、散板以及脚踏记号的显示方式。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4．支持设置多声部属性，如：谱表类型、连谱号类型、谱号、谱表名称、副名称、双声部、X符头、音色（128种高保真音色）。</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支持排版，如：调整谱子页宽、标题字体、标题颜色、歌词字体、歌词颜色、标题与顶部间距、谱表与标题间距、标题与作曲间距、调整倚音空间（前距、间距、后距）、左右边距、底部边距、行间距、设置小节等间距等。</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支持单独修改音符属性，如：一键升降一个音或八度、添加歌词、插入文本；音符单独添加功能标记、谱号、临时记号、前倚音、后倚音、指法、琶音与滑音、震音、力度、科尔文手势、音色、品格图、换气符号、括号、脚踏符号、分隔、延音线、延长记号、X符头以及符干和音乐记号的朝向等。</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7．支持单独修改小节属性，如：谱号、调号、速度、节拍、小节线、跳跃记号、重复与跳转、换行、左右侧插入小节、删除小节等。</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8．支持多种谱例细节操作，如：显隐休止符、倚音上添加指法、移动线条记号等。</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9．支持特殊谱例操作，如：音符二重唱、跨谱表插入音符等。</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10．创作谱表时具有插入与修改两种模式，在插入模式时可以选择不同时值或类型的音符进行插入（如：五线谱或简谱的二全音符、全音符、二分音符、四分音符、八分音符、十六分音符、三十二分音符、六十四分音符等），也可以选择不同调式、不同音级的和弦原位、转位进行插入；输入音符方式有：电脑键盘1234567和CDEFGAB/系统内虚拟琴键/屏幕点击/电子钢琴实体琴键；所有插入的音符会根据音值组合法自动完成节拍分割。</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11．音符调整方式有：选中音符上下拖动/使用电脑键盘上下键/.使用系统内置功能按键（可一键升降8度）/.通过虚拟琴键/实体琴键等调整音符音高；可以使用实体键盘的F1到F7进行时值的快捷切换。</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12．支持智能插入模式，可根据点击虚拟琴键或实体琴键的时长，自动插入对应时值的音符。</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13．支持插入对应时值的休止符；支持插入附点或复附点音符；支持在音符上添加临时记号，如：升、降、重升、重降、还原等。</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14．支持自定义显隐操作面板，如：显示或隐藏谱例属性、缩略图、排版、符号面板等。</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15．支持一键显隐键盘、标尺、网格等。</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16．支持修改键位为49键、61键、88键；一键显隐音名、唱名、音组。</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17．支持修改调号；支持修改唱名类型为首调或固定调（首调即唱名跟随调号变化，固定调即唱名不会跟随调号变化）；支持修改128种高保真音色。</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18．支持删除、撤销、恢复操作；支持复制粘贴音符。</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19．支持新增、删除、刷新缩略图。</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20．支持多种谱表切换，如：五线谱、简谱、五线谱节奏谱、简谱节奏谱；支持添加多种对照谱表，如：五线谱、简谱、五线谱节奏谱、简谱节奏谱、三线谱、四线谱、六线谱、不同调式的对照谱。</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21．支持一键显隐唱名、图文、歌词、拼音、科尔文记号、直笛谱、陶笛铺、竹笛谱、葫芦丝谱等；支持一键显示小节序号、每行首个小节序号、每五小节显示、小节等间距等；一键升降一个音或八度。</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22．支持插入或删除≥80个的小图标，如：形状、动物、音符、乐器、表情等。</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23．支持插入或删除图片、视频、音频等多媒体文件；支持插入或删除文本，可修改字体、粗细、斜体、颜色等。</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24．支持对编辑完成的谱子添加范唱、伴奏、唱名、节奏旋律文件进行MP3同步，声部选择框可进行拖拽，并且可以进行实时播放。</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25．可进行声部调整，可选择单个声部或多个声部进行播放，可修改每个声部的音色以及声部的音量。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26．具有谱曲播放、男生唱名、女生唱名、真人唱名、范唱播放、伴奏播放、男声节奏、女声节奏、女生试唱、打击节奏、伴奏+旋律等≥十一种播放模式；支持在播放过程中暂停以及修改播放速度；支持选择一段音符进行播放。</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27．支持对谱子进行移调（15种调式可选）、调速（可通过时值、数字、速度术语等进行调速）等操作。</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28．支持界面放大缩小；支持新建乐谱、打开本地文件、保存以及另存为；支持合并多个文件；支持导出唱名。</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29．支持导出MIDI文件并播放、导入MIDI文件并可二次编辑播放。</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30．支持音视频剪辑功能，可对导入的音视频进行剪辑、压缩、缩放、添加logo等操作。</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31．系统支持≥12种的快捷键可供教师使用。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32．支持修改课件背景颜色；支持添加或重置课件背景图。</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33．支持从MIDI作曲一键跳转至演奏课堂，可直接进行谱子的弹奏。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34．具有板书功能，支持铅笔、喷雾器、直线、虚线、箭头、方块、圆形、椭圆形、三角形的书写以及文本的插入。</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35．支持修改书写内容的颜色；支持修改插入文本的颜色；支持1-10级的粗细调整。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36．支持对书写的内容或插入的内容进行选中并拖拽位置、旋转或放大缩小。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支持对书写内容或插入文本进行撤销、恢复、删除等操作；支持对书写内容进行擦除、擦除全部、恢复擦除等操作。</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乐理课堂</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1．具有一组大谱表，同时搭配乐理知识、虚拟琴键和曲谱展示的综合教学白板。</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2．五线谱表、虚拟音乐键盘与MIDI键盘相互映射；教师进行MIDI键盘演奏过程中，虚拟音乐键盘同时显示乐符在键盘上的弹奏位置；可显示弹奏力度，弹奏力度由强到弱7种不同颜色展示。</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3．支持修改键位为49键、61键、88键；一键显隐音名、唱名、音组。</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4．支持修改调号；支持修改唱名类型为首调或固定调（首调即唱名跟随调号变化，固定调即唱名不会跟随调号变化）；支持修改128种高保真音色。</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5．支持一键显隐键盘、间线、节奏图、五度圈，直接点击五度圈的外圈大调，可直接修改谱表调号。</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6．支持和弦与音程教学，具有32种和弦以及25种音程，以箭头对应琴键为根音，可准确展示和弦与音程的键位，白健和黑键以不同颜色进行高亮展示，对比明显。</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7．开启键位保留后，插入的音符、音程以及和弦的键位都会保持高亮不消失，直到插入下一个音符、音程以及和弦或关闭该模式后高亮消失。</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8．开启页面漫游后，通过实体琴键或虚拟琴键弹奏的音符会保留在大谱表上不消失，页面可无限延伸，可进行左右滑动。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9．在不进入其他功能页面的情况下，支持乐理知识课件讲解，包括：音、音符与音乐记号、音程、和弦、节拍、中国民族调式、自然大小调式、自然大小调的变体等，可对乐理知识课件进行模糊搜索。</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10．支持直接在五线谱表上弹奏发声，并在五线谱表的相应位置展示音符。</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11．支持节拍教学，支持单独设置节拍分子和分母的大小，范围为1-16拍；改变分子，下方电子节拍器的拍数会跟随改变。</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12．电子节拍器每一拍都支持修改声音强度为强、次强、弱以及无声；播放有实际效果。</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13．支持六种细分节拍选择（单音、双音、三连音、四连音、前八后十六、前十六后八），改变分母大小，细分节拍时值会跟随改变；播放时会跟随细分进行播放。</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14．支持手动输入数字进行调节；支持通过点击加减号进行调节。</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15．支持选择BPM进行速度调节（具有Grave、Lento、Adagio、Adagietto、Andante、Allegretto、Allegro、Vivace、Presto、Prestissimo等≥十种BPM）；支持通过点击TAP来修改速度。</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16．支持倒计时：开启倒计时后，可选择时间，时间截止后，节拍器自动停止播放。</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17．具有板书功能，支持铅笔、喷雾器、直线、虚线、箭头、方块、圆形、椭圆形、三角形的书写以及文本的插入。</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18．支持修改书写内容的颜色；支持修改插入文本的颜色；支持1-10级的粗细调整。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19．支持对书写的内容或插入的内容进行选中并拖拽位置、旋转或放大缩小。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支持对书写内容或插入文本进行撤销、恢复、删除等操作；支持对书写内容进行擦除、擦除全部、恢复擦除等操作。</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数字化五线谱电教板</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1.页面具有可配置谱表展示区域，课件展示区域，虚拟琴键以及功能操作区域。</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2.包含多种谱表类型可选（高音、低音、中音、次中音、大谱表）；可修改谱表为简谱；可以添加小节以及删除小节；可撤销恢复。</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3.包含有多种时值的音符（二全音符、全音符、二分音符、四分音符、八分音符、十六分音符、三十二分音符、六十四分音符）以及休止符和附点可以进行插入。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4.点击虚拟键盘上的琴键，会在上方谱表中插入对应的音符；点击黑键触摸区域输入升音和降音，并在谱表上显示有升音符和降音符的变音音符；支持在谱表中插入和弦与音程。</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5.支持修改键位为49键、61键、88键；一键显隐音名、唱名、音组。</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6.支持修改调号；支持修改唱名类型为首调或固定调（首调即唱名跟随调号变化，固定调即唱名不会跟随调号变化）；支持修改128种高保真音色。</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7.可通过五度圈外圈大调进行谱表调号修改；可通过移调按钮进行谱表调号修改。</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8.可修改播放速度；可修改小节拍号。</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9.可导入曲谱文件进行教学展示，可以对插入的音符或导入的曲谱进行播放、暂停、停止；播放过程中，上方音符和虚拟琴键会保持同步高亮。</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10.支持和弦与音程教学，具有32种和弦以及25种音程，以箭头对应琴键为根音，可准确展示和弦与音程的键位，白健和黑键以不同颜色进行高亮展示，对比明显。</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11.开启键位保留后，插入的音符、音程以及和弦的键位都会保持高亮不消失，直到插入下一个音符、音程以及和弦或关闭该模式后高亮消失。</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12.在不进入其他功能页面的情况下，支持乐理知识课件讲解，包括：音、音符与音乐记号、音程、和弦、节拍、中国民族调式、自然大小调式、自然大小调的变体等，可对乐理知识课件进行模糊搜索。</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13.支持节拍教学，支持单独设置节拍分子和分母的大小，范围为1-16拍；改变分子，下方电子节拍器的拍数会跟随改变。</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14.电子节拍器每一拍都支持修改声音强度为强、次强、弱以及无声；播放有实际效果。</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15.支持六种细分节拍选择（单音、双音、三连音、四连音、前八后十六、前十六后八），改变分母大小，细分节拍时值会跟随改变；播放时会跟随细分进行播放。</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16.支持手动输入数字进行调节；支持通过点击加减号进行调节。</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17.支持选择BPM进行速度调节（具有Grave、Lento、Adagio、Adagietto、Andante、Allegretto、Allegro、Vivace、Presto、Prestissimo等≥十种BPM）；支持通过点击TAP来修改速度。</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18.支持倒计时：开启倒计时后，可选择时间，时间截止后，节拍器自动停止播放。</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19.具有板书功能，支持铅笔、喷雾器、直线、虚线、箭头、方块、圆形、椭圆形、三角形的书写以及文本的插入。</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20.支持修改书写内容的颜色；支持修改插入文本的颜色；支持1-10级的粗细调整。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21.支持对书写的内容或插入的内容进行选中并拖拽位置、旋转或放大缩小。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支持对书写内容或插入文本进行撤销、恢复、删除等操作；支持对书写内容进行擦除、擦除全部、恢复擦除等操作。</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演奏课堂</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1．支持与演示终端无缝连接，虚拟键盘虚化背景展示后与实体键盘弹奏画面完全对应；可展示弹奏键位以及弹奏力度，弹奏力度由强到弱7种不同颜色展示。</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2．支持修改键位为49键、61键、88键；一键显隐键盘、轨迹、音名、唱名。</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3．支持修改调号；支持修改唱名类型为首调或固定调（首调即唱名跟随调号变化，固定调即唱名不会跟随调号变化）；支持修改128种高保真音色。</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4．支持打开本地文件；打开文件后支持跟弹模式、评分模式、谱曲模式、五线谱模式、简谱模式、瀑布流模式、混合模式、双手弹奏、左手弹奏、右手弹奏模式等10种模式。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5．支持屏幕瀑布流和键盘对照弹奏练习，得到数据演奏结果，如完美、连击、弹早了、弹晚了、弹错了、弹漏了以及总体得分详情。</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具有PK挑战功能，邀请对方进入挑战，开始挑战后，进入混合模式，曲谱演奏完毕后展示得分结果，可再次发起挑战。</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电子课本</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1．具有曲集、视唱、教材、与题库等教学资源，≥2000节课时，具有视唱练耳功能，均为免费配送；如学校有课件定制需求，厂家可免费代老师制作课件以供授课使用。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2．支持通过选择相应版本、相应课件单元、来查看相应课件内容。</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具有谱曲播放、男生唱名、女生唱名、真人唱名、范唱播放、伴奏播放、男声节奏、女声节奏、女生试唱、打击节奏、伴奏+旋律等≥十一种播放模式；支持在播放过程中暂停以及修改播放速度；支持选择一段音符进行播放。</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4．可进行声部调整，可选择单个声部或多个声部进行播放，可修改每个声部的音色以及声部的音量。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5．支持多种谱表切换，如：五线谱、简谱、五线谱节奏谱、简谱节奏谱；支持添加多种对照谱表，如：五线谱、简谱、五线谱节奏谱、简谱节奏谱、三线谱、四线谱、六线谱、不同调式的对照谱。</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6．支持一键显隐唱名、图文、歌词、拼音、科尔文记号、直笛谱、陶笛铺、竹笛谱、葫芦丝谱等；支持一键显示小节序号、每行首个小节序号、每五小节显示、小节等间距等；一键升降一个音或八度。</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7．支持一键显隐键盘、标尺、网格等。</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8．支持修改键位为49键、61键、88键；一键显隐音名、唱名、音组。</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9．支持修改调号；支持修改唱名类型为首调或固定调（首调即唱名跟随调号变化，固定调即唱名不会跟随调号变化）；支持修改128种高保真音色。</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10．课件谱曲播放时，可直接操作电子琴或电钢琴的音色按钮改变音色进行播放，可任意调用电子琴或电钢琴的音色通过电子琴或电钢琴的扬声器发声。</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11．支持从电子课本一键跳转至演奏课堂，可直接进行谱子的弹奏。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12．支持对课本进行二次编辑，可保存至自选路径下。</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13．具有视唱练耳曲目≥200首，可播放聆听模唱。</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14．具有钢琴视频教学：提供关于识谱、手型、演奏技法、曲目讲解等≥200个教学视频。</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15．具有乐理教学视频，包含音、半音、调号、谱号等教学视频≥150集。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16．支持节拍教学，支持单独设置节拍分子和分母的大小，范围为1-16拍；改变分子，下方电子节拍器的拍数会跟随改变。</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17．电子节拍器每一拍都支持修改声音强度为强、次强、弱以及无声；播放有实际效果。</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18．支持六种细分节拍选择（单音、双音、三连音、四连音、前八后十六、前十六后八），改变分母大小，细分节拍时值会跟随改变；播放时会跟随细分进行播放。</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19．支持手动输入数字进行调节；支持通过点击加减号进行调节。</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20．支持选择BPM进行速度调节（具有Grave、Lento、Adagio、Adagietto、Andante、Allegretto、Allegro、Vivace、Presto、Prestissimo等≥十种BPM）；支持通过点击TAP来修改速度。</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21．支持倒计时：开启倒计时后，可选择时间，时间截止后，节拍器自动停止播放。</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22．具有板书功能，支持铅笔、喷雾器、直线、虚线、箭头、方块、圆形、椭圆形、三角形的书写以及文本的插入。</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23．支持修改书写内容的颜色；支持修改插入文本的颜色；支持1-10级的粗细调整。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24．支持对书写的内容或插入的内容进行选中并拖拽位置、旋转或放大缩小。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支持对书写内容或插入文本进行撤销、恢复、删除等操作；支持对书写内容进行擦除、擦除全部、恢复擦除等操作。</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钢琴书屋</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1．具有钢琴曲集、演奏理论、钢琴百科三大板块。</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2．钢琴曲集：钢琴考级曲、菲伯尔、拜厄幼儿、拜厄、车尔尼、钢琴基础教程、哈农、流行钢琴、约翰.汤普森、考级教材等钢琴曲集≥2000首。均免费配送。</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3．演奏理论：车尔尼、演奏小知识；可提供基础演奏技巧和一些弹奏钢琴的小知识。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4．钢琴百科：主要是对钢琴进行一些基本的介绍，和一些演奏方面的小技巧。</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5．具有板书功能，支持铅笔、喷雾器、直线、虚线、箭头、方块、圆形、椭圆形、三角形的书写以及文本的插入。</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6．支持修改书写内容的颜色；支持修改插入文本的颜色；支持1-10级的粗细调整。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7．支持对书写的内容或插入的内容进行选中并拖拽位置、旋转或放大缩小。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8．支持对书写内容或插入文本进行撤销、恢复、删除等操作；支持对书写内容进行擦除、擦除全部、恢复擦除等操作。</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9．支持与演示终端无缝连接，虚拟键盘虚化背景展示后与实体键盘弹奏画面完全对应；可展示弹奏键位以及弹奏力度，弹奏力度由强到弱7种不同颜色展示。</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10．支持修改键位为49键、61键、88键；一键显隐键盘、轨迹、音名、唱名。</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11．支持修改调号；支持修改唱名类型为首调或固定调（首调即唱名跟随调号变化，固定调即唱名不会跟随调号变化）；支持修改128种高保真音色。</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12．支持跟弹模式、评分模式、谱曲模式、五线谱模式、简谱模式、瀑布流模式、混合模式、双手弹奏、左手弹奏、右手弹奏模式等10种模式。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13．支持屏幕瀑布流和键盘对照弹奏练习，得到数据演奏结果，如完美、连击、弹早了、弹晚了、弹错了、弹漏了以及总体得分详情。</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具有PK挑战功能，邀请对方进入挑战，开始挑战后，进入混合模式，曲谱演奏完毕后展示得分结果，可再次发起挑战。</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音乐百科</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1．包含乐器、音乐史、音乐家、戏曲家、音乐术语等相关音乐资源，均为免费配送。</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2．包括中西乐器（≥200种乐器介绍）、中西音乐家介绍（≥300位音乐家介绍）、戏曲家介绍（≥200位戏曲家介绍）、音乐术语、音乐符号、乐器构造、相关历史介绍等，≥120万字。</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3．支持在模块内部进行内容的模糊搜索。</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4．以文字、音频、图片、视频混合教学。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5．各种不同音乐术语的讲解，如：强弱记号、速度记号、演奏方法、谱号、拍号、小节、倚音、变音记号、反复记号等。</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6．≥300个的乐器或音乐术语的音视频讲解。</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7．音频和视频文件可调节播放速度、音量以及播放进度。</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8．具有板书功能，支持铅笔、喷雾器、直线、虚线、箭头、方块、圆形、椭圆形、三角形的书写以及文本的插入。</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9．支持修改书写内容的颜色；支持修改插入文本的颜色；支持1-10级的粗细调整。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10．支持对书写的内容或插入的内容进行选中并拖拽位置、旋转或放大缩小。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支持对书写内容或插入文本进行撤销、恢复、删除等操作；支持对书写内容进行擦除、擦除全部、恢复擦除等操作。</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乐器课堂</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具有竖笛、吉他、架子鼓、电子鼓机、葫芦丝、尤克里里等多种乐器教学。</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1.竖笛：点击打开谱子，则会在屏幕中间显示所打开的曲谱，点击下方虚拟键盘所展示的音则会在竖笛展示图中显示当前点击音所需要的按孔，支持插入伴奏，支持竖笛演奏录制并播放。</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2.吉他：左上方有吉他常用的和弦示图，点击任意一个和弦图，则会在下方的虚拟键盘当中显示出相对应的音，上方具有吉他常用的分解和弦节奏型和扫弦节奏型，支持插入伴奏，支持吉他弹唱演奏录制并播放。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3.葫芦丝：点击打开谱子，则会在屏幕中间显示所打开的曲谱，点击下方虚拟键盘所展示的音，则会在竖笛展示图中显示当前点击音所需要的按孔，支持插入伴奏，支持葫芦丝演奏录制并播放。</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尤克里里：左上方有尤克里里常用的和弦示图，点击任意一个和弦图，则会在下方的虚拟键盘当中显示出相对应的音，上方具有尤克里里常用的分解和弦节奏型和扫弦节奏型，支持插入伴奏，支持尤克里里弹唱演奏录制并播放。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5.架子鼓：点击对应的乐器发出不同的声音，支持插入配乐，支持架子鼓演奏录制并播放。</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电子鼓击：≥80种音轨，可随意进行排列组合，可分页展示；可选择播放当前页或播放全部页；可调整播放速度以及单次和循环播放。</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趣味音乐</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具有拯救苹果、节奏火车、识谱练一练、听音比比看、音符翻牌、音符连连看、迎接音符等≥7种音乐互动游戏，提升学生识谱、节奏、听音、弹奏等音乐综合能力。</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拯救苹果：具有练习模式和挑战模式，练习模式：根据上方掉落的音名，玩家弹奏钢琴键上的对应位置琴键来拯救苹果，可设置关卡调整苹果掉落速度，挑战模式下：可设置关卡调整苹果掉落速度，通关模式下掉落速度会逐渐加快，可以加深学生对钢琴琴键音名的记忆，可进行分值测评，可查看系统所有用户排名情况。</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2.节奏火车：学生根据背景音乐的节奏，来点击琴键或电脑键盘，根据点击时节奏的准确性，可分为完美、优秀、很好和错过4种得分，可修改不同节拍与速度进行练习，可以锻炼学生对音乐节奏的把握能力。</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识谱练一练：具有唱名，音名，琴键三种练习方式，具有五线谱、简谱、简线混排谱三种谱例显示，具有钢琴虚拟键盘展示，具有不同练习试题，学生可以根据不同谱例展示的音符，在下方选择对应的唱名、音名以及琴键；锻炼学生识谱的综合能力。</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4.听音比比看：分为练习模式和挑战模式，练习模式分为音高练习和音色练习，音高练习：系统可根据不同试题播放不同音高的音频，可重复播放试听，学生根据所听音频通过系统内 C、D、E、F、G、A、B、C 相对应的虚拟键盘进行音高练习，难度分为 8 个音高，弹错有相应提示音，选对可进入下一关卡，可查看正确答案。</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5.音色练习：具有≥24种不同的乐器，学生可根据不同试题的乐器声音，选择正确的乐器，可重复播放试听，选错有相应提示音，选对可进入下一关卡，可查看正确答案。</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6.挑战模式：根据系统播放音高的音频在琴键上选择正确的音名，可重复播放试听，选错则闯关失败，选对可进入下一关卡并且难度进行递增。</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7.音符翻牌：通过选择不同纸牌，根据纸牌上显示的音符，十秒内在下方虚拟琴键上点击对应的琴键，选对进入下一关，选错或超时需重新开始。</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8.音符连连看：通过选中两个相同且不被包围的音符，来达到使音符两两消失的效果，所有音符消除完毕即可完成游戏。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迎接音符：根据上方掉落的音符、休止符以及谱号，在下方点击对应的名称来迎接音符；可进行速度调节以及最大失败数量的调节，当失败数量达到上限时，游戏结束。</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教学管理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具有班级管理、学生管理、题库管理、音乐测评、演奏测评、电子教室等功能板块。</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班级管理：老师可以创建班级来添加班级的名称、入学年份以及班级编号，也可以自动生成班级编号，可进行班级搜索、班级名称修改删除等，可进行学生管理添加、修改、删除学生信息，学生信息包含姓名、性别、联系方式、学号、对应班级等。</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2、作业管理：可创建作业，添加修改或删除作业标题、对应班级、作业类型、作业要求等，可查看学生作业完成情况及完成时间，教师可对学生完成的作业进行批阅。</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题库管理：具有我的题库与公开题库，教师可创建题库，填入题库名称以及题库描述，可选择公开与不公开，当选择公开题库，那么我们所创建的题库将会出现在我的题库与公开题库当中，当选择不公开题库，则只会出现在我的题库当中，创建完成可编辑修改删除题库信息，可在题库中添加单选、多选、填空题等多种题型，可设置选项数量以及对应试题分值，教师可进去公开题库选择需要的相应试题供教师上课使用，可进行试题搜索和分类筛选，可选择平台上传或用户上传。</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音乐测评：创建测评可以填考试名称、考试时间、考试时长、考试班级、题库选择（可选择公开题库或我的题库）、考试总分、试题数量等，选择对应班级进行考试测评，学生提交完成后可自动生成考试数据及学生分数、可查看参加考试人员、得分情况、完成情况、正确率、学生详细答题情况。</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演奏测评：创建测评可设置名称、描述、考试班级、曲目，可选择所需文件，选择对应班级进行演奏测评；学生提交完成后可自动生成演奏测评数据及学生分数、可查看参加测评人员、得分情况、完成情况、测评次数。</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电子教室：老师可以通过控制学生端进行音频的传输，同时还可以查看学生的考勤和座位；可统一控制每个学生端，实现教师同屏、音视频同步传输；教师通过演奏测评可分配学生相应打谱任务，进行协作创作编辑；支持学生同屏展示、设定学生同屏、展现学生示范内容；实现教师与学生、学生与学生之间的同屏交流；支持视频分享一键展示教师指法；可设置横向与竖向的学生位置分布。</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音乐鉴赏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1．包含古典音乐（贝多芬、莫扎特、海顿、肖邦）、流行音乐、民族歌曲、美声歌曲、民族民间音乐（≥1000首），均为免费配送。</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具有谱曲播放、男生唱名、女生唱名、真人唱名、范唱播放、伴奏播放、男声节奏、女声节奏、女生试唱、打击节奏、伴奏+旋律等≥十一种播放模式；支持在播放过程中暂停以及修改播放速度；支持选择一段音符进行播放。</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3．可进行声部调整，可选择单个声部或多个声部进行播放，可修改每个声部的音色以及声部的音量。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4．支持多种谱表切换，如：五线谱、简谱、五线谱节奏谱、简谱节奏谱；支持添加多种对照谱表，如：五线谱、简谱、五线谱节奏谱、简谱节奏谱、三线谱、四线谱、六线谱、不同调式的对照谱。</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5．支持一键显隐唱名、图文、歌词、拼音、科尔文记号、直笛谱、陶笛铺、竹笛谱、葫芦丝谱等；支持一键显示小节序号、每行首个小节序号、每五小节显示、小节等间距等；一键升降一个音或八度。</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6．课件谱曲播放时，可直接操作电子琴或电钢琴的音色按钮改变音色进行播放，可任意调用电子琴或电钢琴的音色通过电子琴或电钢琴的扬声器发声。</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7．支持直接进行MP3格式文件播放，可调节速度、音量以及播放进度。</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8．以文字、音频、图片混合教学。</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9．具有板书功能，支持铅笔、喷雾器、直线、虚线、箭头、方块、圆形、椭圆形、三角形的书写以及文本的插入。</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10．支持修改书写内容的颜色；支持修改插入文本的颜色；支持1-10级的粗细调整。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11．支持对书写的内容或插入的内容进行选中并拖拽位置、旋转或放大缩小。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支持对书写内容或插入文本进行撤销、恢复、删除等操作；支持对书写内容进行擦除、擦除全部、恢复擦除等操作。</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曲苑杂坛</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1．包含秦腔、豫剧、越剧、京剧、川剧、黄梅戏、昆曲、评剧等≥10种戏曲种类，≥500首戏曲，均为免费配送。</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具有谱曲播放、男生唱名、女生唱名、真人唱名、范唱播放、伴奏播放、男声节奏、女声节奏、女生试唱、打击节奏、伴奏+旋律等≥十一种播放模式；支持在播放过程中暂停以及修改播放速度；支持选择一段音符进行播放。</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3．可进行声部调整，可选择单个声部或多个声部进行播放，可修改每个声部的音色以及声部的音量。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4．支持多种谱表切换，如：五线谱、简谱、五线谱节奏谱、简谱节奏谱；支持添加多种对照谱表，如：五线谱、简谱、五线谱节奏谱、简谱节奏谱、三线谱、四线谱、六线谱、不同调式的对照谱。</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5．支持一键显隐唱名、图文、歌词、拼音、科尔文记号、直笛谱、陶笛铺、竹笛谱、葫芦丝谱等；支持一键显示小节序号、每行首个小节序号、每五小节显示、小节等间距等；一键升降一个音或八度。</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6．课件谱曲播放时，可直接操作电子琴或电钢琴的音色按钮改变音色进行播放，可任意调用电子琴或电钢琴的音色通过电子琴或电钢琴的扬声器发声。</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7．支持直接进行MP3格式文件播放，可调节速度、音量以及播放进度。</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8．以文字、音频、图片混合教学。</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9．具有板书功能，支持铅笔、喷雾器、直线、虚线、箭头、方块、圆形、椭圆形、三角形的书写以及文本的插入。</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10．支持修改书写内容的颜色；支持修改插入文本的颜色；支持1-10级的粗细调整。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11．支持对书写的内容或插入的内容进行选中并拖拽位置、旋转或放大缩小。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支持对书写内容或插入文本进行撤销、恢复、删除等操作；支持对书写内容进行擦除、擦除全部、恢复擦除等操作。</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合唱团</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具有合唱曲谱、合唱知识、工具箱、管理四大模块。</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1.合唱曲谱：包含童声合唱、男生合唱、女生合唱、混声合唱等≥4种合唱类型，≥200首合唱曲谱。</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2.具有谱曲播放、男生唱名、女生唱名、真人唱名、范唱播放、伴奏播放、男声节奏、女声节奏、女生试唱、打击节奏、伴奏+旋律等≥十一种播放模式；可设置不同声部的音色；可调整播放速度。</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3.支持多种谱表切换，如：五线谱、简谱、五线谱节奏谱、简谱节奏谱；支持添加多种对照谱表，如：五线谱、简谱、五线谱节奏谱、简谱节奏谱、三线谱、四线谱、六线谱、不同调式的对照谱。</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4.具有视唱功能，可选择是否播放曲谱；可进行录音、回访以及评分。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5.具有旋律趋势功能，点击进入旋律教学模块；可选择教学模式，如：轨迹曲线教学、轨迹音块教学以及综合教学；在旋律教学模式下，曲线、音块会跟随谱子同步移动，实时展示曲谱旋律走向。</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6.支持节拍教学，支持单独设置节拍分子和分母的大小，范围为1-16拍；改变分子，下方电子节拍器的拍数会跟随改变。</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7.电子节拍器每一拍都支持修改声音强度为强、次强、弱以及无声；播放有实际效果。</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8.支持六种细分节拍选择（单音、双音、三连音、四连音、前八后十六、前十六后八），改变分母大小，细分节拍时值会跟随改变；播放时会跟随细分进行播放。</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9.支持手动输入数字进行调节；支持通过点击加减号进行调节。</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10.支持选择BPM进行速度调节（具有Grave、Lento、Adagio、Adagietto、Andante、Allegretto、Allegro、Vivace、Presto、Prestissimo等≥十种BPM）；支持通过点击TAP来修改速度。</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11.支持倒计时：开启倒计时后，可选择时间，时间截止后，节拍器自动停止播放。</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12.合唱知识：包含合唱指挥、合唱种类、合唱团体、合唱训练四个板块，支持文字、图片综合教学≥20万字。</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13.合唱工具箱：具有标准音、模唱训练、节拍器、定时器、音准训练、音组训练、稳定性训练、音域检测八大功能。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14.标准音：可进行标准音播放。</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15.模唱训练：具有C大调音阶，从二度音程到七度音程的训练。</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16.节拍器：支持60-208的速度调节，支持1-6的节拍。</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17.计时器：可进行计时、倒计时，可以调节倒计时时长。</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18.音准训练：可以播放标准音和当前音，可以设置性别以及结束时间，点击开始后系统会根据模唱的音进行评分，可以切换音高。</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19.音组训练：内置13种单音可供训练，可选择单音或多音来进行练习。开始训练后，按照选择的顺序进行音的播放，也可以重新选择需要练习的音。</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20.稳定性训练：可进行难度选择，有入门级、标准级、专业级三种选择模式。点击开始后可进行声音的录制，根据发声的稳定性，会有相应的波动显示。</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21.音域检测：具有从C1到c5的音域范围，分为低音区、中音区、高音区三个音区。系统会根据演唱的实际音高进行音域检测。</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22.合唱管理：具有创建、查看、修改、删除合唱团等功能。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23.创建：可输入名称并上传图片进行创建。</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24.查看：可查看或搜索合唱团的成员信息以及曲目信息。</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25.可创建、删除成员；可新增、查看、删除合唱曲目；可从合唱曲谱中直接调用曲目进行练习；可设置声部名称、声部长和声部成员；可点击进入合唱曲谱进行视唱练习。</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26.可查看成员的学习情况：例如成员姓名、练习时长、练习次数、最后练习时间等。</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27.具有板书功能，支持铅笔、喷雾器、直线、虚线、箭头、方块、圆形、椭圆形、三角形的书写以及文本的插入。</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28.支持修改书写内容的颜色；支持修改插入文本的颜色；支持1-10级的粗细调整。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29.支持对书写的内容或插入的内容进行选中并拖拽位置、旋转或放大缩小。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支持对书写内容或插入文本进行撤销、恢复、删除等操作；支持对书写内容进行擦除、擦除全部、恢复擦除等操作。</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161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五线谱电教板</w:t>
            </w:r>
            <w:r/>
          </w:p>
        </w:tc>
        <w:tc>
          <w:tcPr>
            <w:tcBorders>
              <w:top w:val="single" w:color="000000" w:sz="4" w:space="0"/>
              <w:left w:val="single" w:color="000000" w:sz="4" w:space="0"/>
              <w:bottom w:val="single" w:color="000000" w:sz="4" w:space="0"/>
              <w:right w:val="single" w:color="000000" w:sz="4" w:space="0"/>
            </w:tcBorders>
            <w:tcW w:w="3349" w:type="pct"/>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1、白色板面，可白板笔书写，谱表调式等各种符号印刷在专用白板漆漆面内部，杜绝印刷符号被水性笔腐蚀的现象，整板可书写，擦拭不留痕，经久耐用；具有良好书写和耐擦拭性能；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2、一组61键电钢琴实物键盘；一组对应的智能MIDI键盘显示；一组用电子教鞭演示的可书写大谱表；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3、键盘与电子教鞭均可进行教学演示，结合导轨和可滑动的乐理标尺、和弦标尺、音程尺可实现全乐理教学；</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4、三位多功能LED显示音色、节奏、歌曲、速度、录放音等功能，二位LED显示节拍拍型,一位LED显示和弦，高度76mm的LED简谱显示，临时升降半音显示，61键智能MIDI键盘显示；</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5、音色：≥129种（其中128种标准GM音色+1组键盘打击乐音色）；</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6、自动节奏：100种；</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7、调式：不少于12种，教学演示时“#/b”升/降半音显示可转换；</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8、示范曲：800首，包含人教版中小学教材中的歌曲和练习曲，播放示范曲时可显示歌曲的调式、拍型、拍速、拍点、音名、简谱等主要音乐要素；</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9、节拍器：1/4、2/4、3/4、4/4、3/8、6/8、9/8、2/2拍共8种拍型；</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10、速度控制：节奏、节拍、歌曲的速度30～280共251档连续可调；</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11、音量控制：总音量、伴奏音量可分别由数码电位器调节，且不少于16档；</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12、录放音：录音音符不少于6000个，时间≥15分钟，断电后录音数据不丢失；</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13、和弦演示：任意和声演示，三个和弦记忆器，自动识别大三和弦、小三和弦、七和弦和小七和弦，可显示和弦名；</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14、配置USB接口，可播放MP3等格式的歌曲；</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15、具有蓝牙功能；适配手机等连接终端音频；</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16、双电子教鞭，可临时升降半音，配置环绕立体声系统和双扬声器；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17、标准MIDI输入、输出接口，麦克输入、音频输出接口；</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18、配备专用红外遥控器，可遥控操作电教板，遥控距离≥12米；</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19、最大输出功率：≥10W；</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20、音域：C～c4；音准：a1=440Hz  误差≤±3音分；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21、超宽范围的工作电源:AC100～250V/50Hz；</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22、规格尺寸：1800×950×60mm（±10mm）。</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94"/>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162</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五线谱电教板支架</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1、支架采用人字结构，无缝钢管制作，倾斜度可调。</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2、钢管壁厚≥1.0mm，支架净重≥11.0Kg。</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3、外表采用静电喷塑工艺，通体黑色。</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4、支架上面要有拉钩钩住电教板，防止电教板从支架上倾倒。</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5、配置长度≥50cm宽度≥7cm的粉笔槽。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6、底部装万向轮，方便移动。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7、紧固件圴为不锈钢材质。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8、每个支架为一个包装。</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163</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钢琴</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1.铁板：采用真空铸造铁板工艺，音色纯正。</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音板：采用白松制作的加强型实木音板，上下两层白松实木木皮加强音板的抗拉张力，使音板在任何环境下都能保持稳定状态，不会变形和开裂，在各种不同的气候条件下均能保持优良的音色，音板设计非常符合钢琴共鸣系统的发声规律，产生更加优美琴声。</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3.琴弦：采用防锈钢线，音色纯净，音准稳定。</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4.弦码：采用色木多层板制作，音频振动响应精确，迅速。</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5.弦椎：采用优质羊毛毡并应用传统工艺制作的弦椎，音色圆润通畅。</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6.琴键：采用实木复合键盘，采用亚光黑键，色泽和质感如同乌木，键皮采用赛璐珞塑料，键盘表面硬度为2H以上。</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7.脚轮：采用双轮脚轮，具有转到灵活，推行顺畅，噪音低的特点。</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8.脚踏：金属铸造，踏脚负荷为≥3.5kg左右。</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9.外壳涂饰：采用国内名牌的不饱和树脂环保漆，并应用静电喷涂，令漆面光亮平整。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10.背柱：采用五背柱设计，保证了弦列振动的边界条件而且相应提高了钢琴总装配精度。</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11.气候适应性：钢琴在生产过程中进入干燥气候模拟处理并在出仓后进行二次精细整理，使产品适应北方气候，在寒冷干燥的环境下均处理稳定状态。</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12.击弦机：采用榉木和呢毡，保证贝宁钢琴极高的灵敏度及耐冷热性,弦椎击弦距离≥43 mm,弦椎无晃动，制音效果好，平音头毡密度为0.16-0.22mm,三角毡密度为0.25mm-0.30mm ,色泽均匀一致，无分层，调整到位后，制音头离弦，贴弦一致，动作整齐，有效。</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13.顶杆：采用高强度材质，不易磨损变形，保证了产品的使用寿命。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14.干燥处理：木制作经过两年以上自然风干，再根据不同的部件采用不同的烘干方式释放木材的内应力，呢毡经过防潮，防霉，防蛀处理。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15.尺寸规格：1520×1210×620mm（±10mm）</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164</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音箱</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音响：低音单元：≥1X8寸  100磁35芯</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高音单元：≥2X3寸   60磁14芯</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分频器：三路三分频</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阻抗：8Ω</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中低音分频点：1.6KHz</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灵敏度：90dB</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额定功率：80W</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频率响应：50Hz-19KHz</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板材：中纤板</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表面材料：黑色PVC皮</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面罩：黑色亚光铁网</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接线柱：红黑两极接线柱</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深宽高：≥250×460×270mm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声音：低音弹性好，力度足，人声频带宽、中频密度高、高音清晰亮度好</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 </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165</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专业功放</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功放：1、输出功率：2X100W/8Ω，4X50W/8Ω</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2、灵敏度：≤220mV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3、信噪比：≥80dB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4、频率响应：20Hz-20KHz(±2dB)；</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5、音乐控制：高低音、左右平衡、音乐总音量控制旋钮；</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6、四路麦克风输入(前二后二) ，话筒1/2、话筒3/4均具一个隐藏式音量调节旋钮，话筒总音量控制旋钮；</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7、具一键蓝牙 、USB接口功能，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8、光纤、同轴输入，2组音源线路输入，1组录音输出；</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9、原装混响IC ，高品质专业大功率管，原装高速大容量滤波电容， 巨型低磁漏变压器，专业混响 、残响双效果；</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10、话筒及音乐具有独立的高、中、低音调节旋钮，延时、残响、混响调节旋钮，防啸叫按键、话筒优先按键、声场效果模式按键。；</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52"/>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166</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效果器</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产品特点:</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1、具有音箱处理器功能的卡拉OK效果器，各部分功能可独立调节。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2、采用24Bit数据总线和32Bit DSP。</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3、主输出设有8段参量均衡。 有压缩限幅器。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4、中置输出，后置输出及超低均设有8段参量均衡。</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5、可存储16种模式。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6、话筒输出，主输出，中置输出，超低音输出，后置输出均设有压限及延时功能。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7、内有管理者模式与用户模式，用户模式在调整参数后不能存储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8、采用美国ADI高速率CPU作为音频处理。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9、音乐：15段参量均衡，音乐到主输出高通滤波器：12dB/24dB(0Hz-303Hz）</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10、麦克风：有四种麦克风FBE反馈抑制模式：OFF 1 2 3，有麦克风压限功能，15段麦克风参量均衡</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11、回声：回声低通滤波器：5.99Hz-20.6KHz，回声高通滤波器：0Hz-1000Hz，回声参量均衡：3段，回声电平：0-100%，回声直达声电平：0-100%，回声预延时：0-200ms，回声右通道预延时：0-±50%,(相对左声道），回声总预延时：0~500ms，回声右通道延时：0-50%,(相对左声道回声延时时间），回声重复：0-90%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12、混响：混响低通滤波器可调范围：5.99Hz-20.6KHz，混响高通滤波器可调范围：0Hz-1000Hz，混响电平可调范围：0-100%，混响直达声可调范围：0-100%，回声预延时可调范围：0-200ms，混响时间可调范围：0-5000ms</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13、主输出（工作模式：唱歌／热舞（自动／手动）：音乐电平：0-200%，直达声电平：0~100%，回声电平：0~100%，混响电平：0-100%，8段音乐参量均衡，压缩限幅器，左通道延时：0~20ms，右通道延时：0-20ms，左通道静音功能，右通道静音功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14、中置输出（工作模式：唱歌／热舞（自动／手动）：音乐电平：0-200%，直达声电平：0-100%，回声电平：0~100%，混响电平：0-100%，高通滤波器：0Hz-20.6KHz，8段参量均衡，压缩限幅器，延时：0-20ms，静音功能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15、剩余噪声输出电压：≦-90dBm;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16、通道间的串音衰减：≦-50dB；                                                                                                                                  </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167</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无线话筒</w:t>
            </w:r>
            <w:r/>
          </w:p>
        </w:tc>
        <w:tc>
          <w:tcPr>
            <w:tcBorders>
              <w:top w:val="single" w:color="000000" w:sz="4" w:space="0"/>
              <w:left w:val="single" w:color="000000" w:sz="4" w:space="0"/>
              <w:bottom w:val="single" w:color="000000" w:sz="4" w:space="0"/>
              <w:right w:val="single" w:color="000000" w:sz="4" w:space="0"/>
            </w:tcBorders>
            <w:tcW w:w="3349" w:type="pct"/>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 频率范围：UHF 520-930MHz</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 调制方式：宽频FM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 可调范围：50MHz</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 通道数目：2x100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 通道间隔：250KHz</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 频率稳定度：±0.005%以内</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 动态范围：100dB</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 最大频偏：±45KHz</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9. 音频回应：80Hz-18KHz(±3dB)</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10. 综合信噪比：＞105dB</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11. 综合失真：≤0.5%</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12. 工作温度：-10℃ ~ 50℃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 接收机指标：</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 接收机方式：二次变频超外差</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 中频频率：第一中频：110MHz，第二中频10.7MHz</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 无线界面：BNC/50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 灵敏度：12dBμV(80dBS/N)</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 灵敏度范围:12-32dBμV</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 杂散抑制：≥75dB</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 最大输出电平：+10dBV</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发射器指标:</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 天线程式：腰包式发射器采用1/4波长鞭状天线，手持麦克风内置螺旋天线</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 输出功率：高频率30Mw,低频率3Mw</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 杂散抑制：-60dB</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 供电：两节AA DC 1.5V电池5. 使用时间：30mW时大于10小时，3mW时大于15小时</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168</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智能电源管理器</w:t>
            </w:r>
            <w:r/>
          </w:p>
        </w:tc>
        <w:tc>
          <w:tcPr>
            <w:tcBorders>
              <w:top w:val="single" w:color="000000" w:sz="4" w:space="0"/>
              <w:left w:val="single" w:color="000000" w:sz="4" w:space="0"/>
              <w:bottom w:val="single" w:color="000000" w:sz="4" w:space="0"/>
              <w:right w:val="single" w:color="000000" w:sz="4" w:space="0"/>
            </w:tcBorders>
            <w:tcW w:w="3349" w:type="pct"/>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1、采用30A优质继电器。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2、大功率线路，满足较大功率用电系统使用。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3、带电压显示屏，显示当前使用电压数值。</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4、芯片控制，双面板贴片电路设计,稳定可靠。</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5、插座，适合各种类型插头使用。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6、可控制电源：8路</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7、每路动作时间：1秒</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尺寸：480mm×265mm×48mm（±10mm）</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169</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航空机柜</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1、产品采用高密度黑色砂面防火板，具有防火、防水、耐酸碱、耐划伤功能。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2、前后盖内粘贴防震、防潮EVA减震材料。</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3、箱盖内粘贴一套话筒成型珍珠棉。方便客户放置无线话筒发射器。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4、壁厚≥1.5mm厚双包铝、壁厚≥1.2mm厚双V铝型材、壁厚≥1.2mm厚L型铝型材均氧化成铝本色；连接机箱的TM5×18大扁机丝和M5的法兰盘螺母均采用镀铬处理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5、4个≥3寸静音万向脚轮，滚针轴承，至少两个带刹车，方便演出固定。</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6、蝴蝶挂锁、大抽手、中角直码、大球包均采用镀铬表面处理。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7、4个牢固镀铬把手，方便设备搬运。</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8、本产品采用≥10套快装蝴蝶挂锁，牢固锁紧箱盖和箱体，便于运输流动。</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170</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音频辅材</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音箱线，两芯无氧铜音箱线。</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音频信号线≥6根：两芯带屏蔽音频信号线。</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音箱吊钩件≥4个：音箱壁架，金属材质，坚固安全</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批</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171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合唱台</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1.尺寸：三层尺寸1220*1150*610±10mm；每层台阶款宽380±10mm，高200±10mm；小舞台尺寸:1530*1220*300±10mm；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2.材质：高密度PE；</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3.工艺：吹塑制作，材质轻，耐磨抗压，抗氧化功能强，长期使用也不会产生开裂现象，硬度和强度高，吸水性小，优良的电绝缘性，耐寒；</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4.功能：合唱台台阶可翻转设计，可调整为两层合唱台也可以变为一个整体的小舞台，侧面轮子设计方便推移。</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172</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音乐凳</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1、尺寸：W300×D300×H340mm±10mm。侧边：300×298×260mm±10mm,侧边设计弧度驼峰：驼峰底部宽150mm±10mm，抽屉：297×235×162mm±10mm,厚度：坐面≥6mm,凳脚≥28mm,抽屉板≥3mm；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2、材质：优质ABS注塑一体成型；</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工艺：注塑制作，耐磨抗压，硬度和强度高，吸水性小，优良的电绝缘性，耐寒，抗氧化功能强，不会产生开裂现象。侧板设计音乐字符，呈现音乐凳特色。侧边为双层结构，增加产品的坚固性及承重性，保证产品使用过程中的安全性。凳脚配有防滑橡胶条，起到耐磨、防滑的作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4、功能：配置ABS塑料抽屉，可堆叠，既可做合唱台，也可以作为收纳小柜子使用。</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173</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音乐节拍器</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1.材料：注塑外壳 纯金属机芯</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2.机芯：高档金属机芯</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3.模式：传统示拍模式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4.速度：40~208拍/分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5.节拍：0、2、3、4、6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6.误差：速度误差&lt;1%</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7.音色：纯金属机芯结构，精准、稳定、音亮清脆、均匀，操作简便,外观时尚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8.尺寸：20.5×9.7×105mm（±10mm）,无须电池           </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27"/>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174</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音叉</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1、材质：钢制</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2、规格：总长≧115mm，把手长度≧40mm，叉长≧75mm，叉厚≧3mm；                                                                                                                                                 3、结构：呈“Y”形的钢质音叉，手柄上印有A-440钢印，标准音乐音叉，整块钢材经过车床，铣床，磨床等机械加工而成；</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4、使用方法：敲击音叉，采集声波波形图。                                                                                                                                                                                          </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02"/>
        </w:trPr>
        <w:tc>
          <w:tcPr>
            <w:tcBorders>
              <w:top w:val="none" w:color="000000" w:sz="4" w:space="0"/>
              <w:left w:val="none" w:color="000000" w:sz="4" w:space="0"/>
              <w:bottom w:val="none" w:color="000000" w:sz="4" w:space="0"/>
              <w:right w:val="none" w:color="000000" w:sz="4" w:space="0"/>
            </w:tcBorders>
            <w:tcW w:w="316" w:type="pct"/>
            <w:vAlign w:val="center"/>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学生音乐器材</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08" w:type="pct"/>
            <w:vAlign w:val="bottom"/>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175</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音筒</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1.外观构成：彩色塑料音筒，外部有音符标注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2.规格：筒直径≧4.2cm，按音符排列，音筒长：C≧61.8cm、D≧55.1cm、E≧47.7cm、F≧45.1cm、G≧39.6cm、A≧36cm、B≧31.4cm、C≧29.1cm；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3.使用方法：双手各持一个音筒或一人手持一个音筒，敲击身体的不同部位发出声响，也可敲击桌面货地面使其发声；</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655"/>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176</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沙锤</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1、材质：木质刻画   2.尺寸：长26cm，最大直径8cm，手柄长13cm，手柄最大直径2cm</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对</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75"/>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177</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沙筒</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1、材质：木质；2、工艺：原木色；3：尺寸：长7cm，直径3.5cm</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对</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178</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摇铃</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1.外观构成：木棒上配有13颗金属铃铛组成，边缘排布3排各4颗铃铛，顶部一颗铃铛，手柄处为原木清漆，美观精致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2.尺寸：全长≧19cm，木质棍子最大规格直径≧1.4cm，手柄长≧4.8cm，铃铛直径≧2cm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3.使用方法：手持棒铃，左右或上下摇晃，使其铃铛同时发声，清越响亮；</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对</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179</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摇铃（串铃）</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1.外观构成：手摇铃由木制手柄、优质牛皮铃圈和5颗金属铃铛构成；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2.规格：手柄长≧10cm，直径≧1.7cm；铃圈厚≧0.2cm，皮宽≧1.8cm，皮长约≧20cm；铃铛规格≧22*22mm；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3.使用方法：使用时手持摇铃，摇晃使其发声；</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28"/>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180</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棒铃</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1.外观构成：木棒上部由红色绒布包裹木棍，配有21颗金属铃铛组成，边缘排布4排各5颗铃铛，顶部一颗铃铛，手柄处为原木清漆，美观精致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2.尺寸：全长≧24.5cm，木质棍子规格≧2.3*2.1cm，手柄长≧13.1cm，直径≧1.9cm，铃铛直径≧2cm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3.使用方法：手持棒铃，左右或上下摇晃，使其铃铛同时发声，清越响亮；</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对</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181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双响筒</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1.外观构成：材质为木质，由筒体、手柄构成； 配敲棒一根；</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2.规格:筒体直径40mm 手柄全长160mm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3.使用方法：使用前将手柄细端与响筒旋紧固定，使用时一手持双响筒，一手持敲棒，伴随节奏使其发声，因响筒两端掏空深度不同，其发音高低也不同；</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副</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63"/>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182</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刮棒</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1：材质：木质椿木:；2、尺寸：长20cm，直径2cm</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副</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633"/>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183</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蛙鸣筒</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1、材质：木质  2 尺寸：长20cm，最大直径5.5cm，手柄长6.5cm，13个螺纹，螺纹长6.7cm，敲击棒长14.5cm</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副</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184</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木鱼</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1.规格：7音木鱼 2.外观构成：木鱼呈团鱼</w:t>
            </w:r>
            <w:r>
              <w:rPr>
                <w:rFonts w:hint="eastAsia" w:ascii="宋体" w:hAnsi="宋体" w:eastAsia="宋体" w:cs="宋体"/>
                <w:color w:val="auto"/>
                <w:sz w:val="20"/>
                <w:szCs w:val="20"/>
                <w:highlight w:val="none"/>
                <w:lang w:bidi="ar"/>
              </w:rPr>
              <w:t xml:space="preserve">形，腹部中空，头部正中开口，为发音空，尾部盘绕，其状昂首缩尾，背部(敲击部位)呈斜坡形，两侧三角形，底部椭圆;木制棰，手工制作，附敲槌一个，外观红色喷漆，金色画漆。3.规格：材质为椿木，尺寸为宽*高≧①9.5*7.7cm ②≧9.4*7.4cm ③≧8.3*7.2cm ④≧7.8*6.5cm ⑤≧8.0*6.1cm ⑥≧5.9*4.8cm ⑦≧5.8*4.9cm 。槌头直径≧2.3cm，球形，把为圆柱形，敲槌全长≧20cm，敲击不同尺寸的木鱼，会有不一样的声音。 3.使用方法：手持敲槌，敲击木鱼，使其发声；</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185</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铃鼓</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1、规格：8寸</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2、材质：木质圈、不锈银色铜镲片、羊皮鼓面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3、规格：铃鼓直径≧20CM，宽度≧4.4CM，木质圈厚度≧0.6CM，单片铃片的厚度为0.1CM，铃片直径3.7cm。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4、结构：由鼓身、鼓面、5组小铃片组成</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5、使用方法：演奏时，手持铃鼓摇动鼓身即可作响</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98"/>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186</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三角铁</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材质：钢制，3件套。成套三副三角铁15cm,20cm,25cm各一个。</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63"/>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187</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碰钟</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1、材质：镀铜；2、尺寸：直径4.5cm，厚0.1cm，深度5.5cm，重0.16kg</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副</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188</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扁鼓</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1、鼓面直径400mm，高度230mm，木质鼓腔，卷曲成圆柱形，表面无疤痕、裂缝，不变形，并喷红漆。 2、击槌用硬杂木制成，前端呈球状。表面无疤痕、裂纹。 3、堂鼓的鼓身上下口径相同，中部略大，漆面光洁。 4、演奏时，发出“咚、咚”声，不得有杂音。 1、鼓面直径400mm，高度230mm，木质鼓腔，卷曲成圆柱形，表面无疤痕、裂缝，不变形，并喷红漆。 2、击槌用硬杂木制成，前端呈球状。表面无疤痕、裂纹。 3、堂鼓的鼓身上下口径相同，中部略大，漆面光洁。 4、演奏时，发出“咚、咚”声，不得有杂音。</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189</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堂鼓</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1、鼓面直径260mm（±10mm），高度330mm（±10mm），木质鼓腔，卷曲成圆柱形，表面无疤痕、裂缝，不变形，并喷红漆。 2、击槌用硬杂木制成，前端呈球状。表面无疤痕、裂纹。 3、堂鼓的鼓身上下口径相同，中部略大，漆面光洁。 4、演奏时，发出“咚、咚”声，不得有杂音。</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190</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小锣</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响铜制作，直径225mm，重量0.35kg，优质硬木锣锤，边缘无毛刺，锣面无裂缝，表面抛光氧化处理并涂油；音质无杂音。</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191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乐谱架</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材质：高强度铁板和橡胶调节钮  可调节尺寸：800mm-1500mm（±10mm）  版面尺寸：470mm*345mm（±10mm）</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817"/>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192</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音乐专用凳</w:t>
            </w:r>
            <w:r/>
          </w:p>
        </w:tc>
        <w:tc>
          <w:tcPr>
            <w:tcBorders>
              <w:top w:val="single" w:color="000000" w:sz="4" w:space="0"/>
              <w:left w:val="single" w:color="000000" w:sz="4" w:space="0"/>
              <w:bottom w:val="single" w:color="000000" w:sz="4" w:space="0"/>
              <w:right w:val="single" w:color="000000" w:sz="4" w:space="0"/>
            </w:tcBorders>
            <w:tcW w:w="3349" w:type="pct"/>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琴凳规格:≥400mm*250mm*400mm;凳面采用皮软包工艺，内材采用高弹海绵，凳架采用矩形管焊接，钢材表面经喷砂抛丸去油除锈，静电喷涂。脚垫采用PP工程塑胶注塑</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725"/>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193</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把杆</w:t>
            </w:r>
            <w:r/>
          </w:p>
        </w:tc>
        <w:tc>
          <w:tcPr>
            <w:tcBorders>
              <w:top w:val="single" w:color="000000" w:sz="4" w:space="0"/>
              <w:left w:val="single" w:color="000000" w:sz="4" w:space="0"/>
              <w:bottom w:val="single" w:color="000000" w:sz="4" w:space="0"/>
              <w:right w:val="single" w:color="000000" w:sz="4" w:space="0"/>
            </w:tcBorders>
            <w:tcW w:w="3349" w:type="pct"/>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1.直径53mm(±2mm)，高80-120cm；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2.把杆：水曲柳杆，长度300cm；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3.支架：采用无缝4*6方管焊接，喷塑处理；</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817"/>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194</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大镜子</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（教室后墙）</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现场定制，镜子厚度≥5mm，高级镀银镜面，成像不变形</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15.6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平方</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70"/>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3F小学音乐教室辅房配备清单</w:t>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195</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乐器收纳柜</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规格：800×400×2000mm（±10mm）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基材：环保型饰面刨花板制作板材厚度18mm。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饰面：正反三聚氰胺贴面（厚度</w:t>
            </w:r>
            <w:bookmarkStart w:id="145" w:name="OLE_LINK40"/>
            <w:r>
              <w:rPr>
                <w:rFonts w:hint="eastAsia" w:ascii="宋体" w:hAnsi="宋体" w:eastAsia="宋体" w:cs="宋体"/>
                <w:color w:val="auto"/>
                <w:sz w:val="20"/>
                <w:szCs w:val="20"/>
                <w:highlight w:val="none"/>
                <w:lang w:bidi="ar"/>
              </w:rPr>
              <w:t xml:space="preserve">≥</w:t>
            </w:r>
            <w:bookmarkEnd w:id="145"/>
            <w:r>
              <w:rPr>
                <w:rFonts w:hint="eastAsia" w:ascii="宋体" w:hAnsi="宋体" w:eastAsia="宋体" w:cs="宋体"/>
                <w:color w:val="auto"/>
                <w:sz w:val="20"/>
                <w:szCs w:val="20"/>
                <w:highlight w:val="none"/>
                <w:lang w:bidi="ar"/>
              </w:rPr>
              <w:t xml:space="preserve">0.6mm）。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封边：2mm厚同色优质PVC封边。</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胶水：优质环保型胶水。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五金件：优质柜门拉手，配置优质国产锁具，优质三合一偏心连接件。</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196</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器材架</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1.规格：1500×500×2000mm（±10mm）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2.材质：采用壁厚≥0.7mm冷轧钢。</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3.功能：供放置体育器材使用，承重量大。</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4.结构：4层，蝴蝶孔设计，安装容易，搬运方便。货架零部件均经过除锈、酸洗、磷化、喷涂等表面处理，结实耐用。</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197</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办公桌椅</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桌子尺寸:1200×600×750mm（±10mm）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基材：环保型饰面刨花板制作，台面板厚度≥25mm,其余板材厚度≥18mm。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饰面：正反三聚氰胺贴面（厚度≥0.6mm）。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封边：≥2mm厚同色优质PVC封边。</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桌架：国产钢结构，壁厚≥1.5mm。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涂装：涂膜厚50-70μm。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胶水：优质环保型胶水。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五金件：优质五金配件。</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椅背：PP背框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椅座：≥12mm座板，定型绵，弹力布座布</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底盘：原位锁定蝴蝶底盘</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扶手：PP连体固定扶手</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气杆：行程≥100mm沉口≥50mm三级气杆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椅脚：≥340mmPP五星脚</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椅轮：≥60/25黑色PA轮</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71"/>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3F小学书法教室配备清单</w:t>
            </w:r>
            <w:r/>
          </w:p>
        </w:tc>
      </w:tr>
      <w:tr>
        <w:trPr>
          <w:trHeight w:val="471"/>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教师端</w:t>
            </w:r>
            <w:r/>
          </w:p>
        </w:tc>
        <w:tc>
          <w:tcPr>
            <w:tcBorders>
              <w:top w:val="single" w:color="000000" w:sz="4" w:space="0"/>
              <w:left w:val="single" w:color="000000" w:sz="4" w:space="0"/>
              <w:bottom w:val="single" w:color="000000" w:sz="4" w:space="0"/>
              <w:right w:val="single" w:color="000000" w:sz="4" w:space="0"/>
            </w:tcBorders>
            <w:tcW w:w="3349" w:type="pct"/>
            <w:vAlign w:val="bottom"/>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08" w:type="pct"/>
            <w:vAlign w:val="bottom"/>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198</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教师桌</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1600*800*750mm（±10mm）实木结构，马鞍造型，材质：桌面为榆木实木板，周边加厚至48mm，桌面下12cm处附膛板、方便存放文化用品、桌前附雕花挡板，仿明清造型。桌腿为优质榆木规格不小于62*32mm，桌腿横撑不小于25*25mm，榫卯结构，不开不拔，精细打磨，三底两面。采用嘉宝莉环保油漆，无异味。配透明桌垫。</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725"/>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199</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教师椅</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教师椅（圈椅）.规格580*470*460mm（±10mm）、背高860mm（±10mm），全榆木材质 整体美观，榫卯结构，防形变，木纹纹理清晰，无瑕疵，精细打磨，嘉宝莉油漆，健康环保。</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74"/>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书画毡</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尺寸:2000*1000mm（±10mm），厚度：加厚2mm，材质：优质羊毛、纤维混纺材质，不掉毛、不起球、吸水、吸墨效果极好。</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51"/>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201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毛笔</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书画精品毛笔：大中小提斗、大中小白云、花枝俏、小依纹</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667"/>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202</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笔洗</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规格：肚径200mm，口径170mm，高度70mm。陶瓷材质，做工精致、装饰简洁、外壁上有花纹图案。</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632"/>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203</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笔搁</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黑梓木材质防腐不开裂，长度约150mm，打磨光滑，三角形结构，底部平滑。</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204</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鸡翅木笔架</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外形：仿古式，主材：优质干燥鸡翅木龙头笔架，可同时悬挂14支毛笔，表面不应有明显的擦伤、划痕和碰撞的坑疤，无霉变、虫眼、死节、无明显变形。</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656"/>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205</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笔筒</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规格：直径95mm（±10mm），高100mm（±10mm）。陶瓷材质，，做工精致、装饰简洁、外壁上有花纹图案。</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64"/>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206</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镇纸</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规格：300mm×40mm×25mm（±10mm） 黑梓木材质，镇尺正面雕刻有精美图案,边角打磨平滑，纹理细腻自然。</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付</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63"/>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207</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笔帘</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天然竹制毛笔卷笔帘，尺寸：330x360mm（±10mm），四周加固包边，带笔袋同时可放置6-8支毛笔，不易变形发霉。</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47"/>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208</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墨汁</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一得阁精制500g墨汁，性价比高，书写流畅，扩散均匀。</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瓶</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209</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砚台</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规格：6寸。 罗纹石材质制作成椭圆形，选用石材雕刻、做工精致、砚台带全新料外盒，砚盖可分离，保护砚中墨不干涸，特殊设计，墨汁自然流入凹槽，易可用来舔笔。</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方</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210</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生宣纸</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四尺生宣， 尺寸1380*690mm，优质生宣纸，每刀100张，采用优质原浆，墨色自然晕散，呈现 “焦、浓、重、淡、清” 的渐变层次，且晕散边界清晰,经传统手工工艺制作，纸质厚实，韧性好。</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刀</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87"/>
        </w:trPr>
        <w:tc>
          <w:tcPr>
            <w:tcBorders>
              <w:top w:val="none" w:color="000000" w:sz="4" w:space="0"/>
              <w:left w:val="none" w:color="000000" w:sz="4" w:space="0"/>
              <w:bottom w:val="none" w:color="000000" w:sz="4" w:space="0"/>
              <w:right w:val="none" w:color="000000" w:sz="4" w:space="0"/>
            </w:tcBorders>
            <w:tcW w:w="316" w:type="pct"/>
            <w:vAlign w:val="center"/>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学生端</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08" w:type="pct"/>
            <w:vAlign w:val="bottom"/>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412"/>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211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学生桌</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1200*600*750mm（±10mm）：实木结构，材质：桌面边框30*55mm榆木实木，四角燕尾榫咬合，面心镶嵌12mm榆木板，仿明清造型，18*60mm雕花牙板（花型可定）。桌腿为优质北方榆木规格不小于60*30mm，榫卯结构，不开不拔，精细打磨，三底两面。采用环保油漆，无异味。配透明桌垫。</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678"/>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212</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学生凳</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学生凳（马鞍凳）；400*300*430mm（±10mm）,全榆木材质 整体美观，榫卯结构，防形变，木纹纹理清晰，无瑕疵，精细打磨，嘉宝莉油漆，健康环保</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98"/>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213</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书画毡</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白色优质书画毡，尺寸不小于500*500mm（±10mm）</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86"/>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214</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毛笔</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书画精品毛笔：大中小提斗、大中小白云、花枝俏、小依纹</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88"/>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215</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笔洗</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规格要求：直径不小于150mm（±10mm），高度不小于50mm（±10mm）。采用全新料PS材质，无异味，清洗方便，不易摔坏。</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45"/>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216</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笔搁</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规格要求：长度100mm（±10mm），高度20mm（±10mm）。采用全新料PS材质，无异味，清洗方便，不易摔坏。</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65"/>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217</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笔筒</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规格要求：直径100mm（±10mm），高度110mm（±10mm）。采用全新料PS材质，无异味，清洗方便，不易摔坏。</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218</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镇尺</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规格：300mm×40mm×20mm （±10mm）黑梓木材质，镇尺边角打磨平滑，纹理细腻自然。</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付</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3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219</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笔帘</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竹制，外观尺寸不小于：330*290mm（±10mm）,带包边，用于收纳保护毛笔。</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2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220</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练习墨</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书画墨汁250g，黑色，性价比高，书写流畅，扩散均匀。</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瓶</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62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221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砚台</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5寸防墨干砚台，带盖，砚台双圈式设计，规格尺寸：直径125mm（±10mm），高40mm（±10mm），采用全新料PS材质，无异味，清洗方便，不易摔坏。</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方</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222</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水写布</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带轴水写布，带米字格，无纺布材质，尺寸不小于700*420mm（±10mm）。</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632"/>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223</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生宣纸</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四尺生宣， 尺寸1380*690m（±10mm），优质生宣纸，每刀100张，采用优质原浆，经传统手工工艺制作，纸质厚实，韧性好。</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刀</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621"/>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224</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半熟宣</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四尺半生半熟， 尺寸1380*690mm（±10mm），生熟度：介于生宣和熟宣之间，吸墨适中，晕墨较慢，适宜书法练习创作和写意画作。</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刀</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28"/>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225</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熟宣纸</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四尺熟宣， 尺寸1380*690mm（±10mm），优质熟宣纸，每刀100张，采用优质原浆，经传统手工工艺制作，纸质厚实，韧性好。</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刀</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05"/>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226</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书法字帖</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毛笔书法楷书教程，包含欧体、柳体、颜体、赵体四本</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227</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收纳柜</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规格：800×400×2000mm（±10mm）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基材：环保型饰面刨花板制作板材厚度≥18mm。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饰面：正反三聚氰胺贴面（厚度≥0.6mm）。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封边：≥2mm厚同色优质PVC封边。</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胶水：优质环保型胶水。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五金件：优质柜门拉手，配置优质国产锁具，优质三合一偏心连接件。</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17"/>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3F小学劳技教室配备清单</w:t>
            </w:r>
            <w:r/>
          </w:p>
        </w:tc>
      </w:tr>
      <w:tr>
        <w:trPr>
          <w:trHeight w:val="505"/>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基础设备</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r>
      <w:tr>
        <w:trPr>
          <w:trHeight w:val="1746"/>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228</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教师演示台</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尺寸：2400×700×900mm（±10mm）                                                                         1.面板：厚度≥40mm橡胶木指接板，台面表面环保清漆处理。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2.柜体：整体采用壁厚≧1.0mm 厚优质钢板，全部钢制件防锈处理。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2、滑道：抽屉全部采用优质三节承重式滚珠滑道。</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3、铰链：采用优质铰链。</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4、脚垫：采用柜体内置可调ABS脚垫。                                             </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191"/>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229</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学生实验桌</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1、尺寸：2400（长）×1200（宽）×780mm（高）（±10mm）。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2、结构：柜身为悬柜，采用≥18mm厚优质环保三聚氰胺双饰面板制作。</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3、台面：厚度≥40mm厚橡胶木实木板，木质颜色自然，四周边缘机械精打磨没有棱角，台面需刷三层环保透明油漆，使台面更加平整美观。</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钢架：钢架立柱采用横截面的尺寸为≥60mm×40mm优质方钢，壁厚≥1.0mm；框架横梁横截面尺寸为≥40mm×40mm，壁厚≥1.0mm。表面经酸洗磷化、纯环氧树脂塑粉高温固化处理，平整光滑，不允许有喷涂层脱落、鼓泡、凹陷、压痕以及表面划伤、麻点、裂痕、崩角和刃口等，切割、钻孔和倒角应去毛刺。</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5、铰链：采用自动型≥110°大伸展角度，锌合金铰链，开合五万次不变形。</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6、脚垫：采用特制模具ABS注塑脚垫，防水及防潮，有效延长设备寿命。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7.配透明桌垫</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230</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收纳柜1</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尺寸：1000×400×800 mm（±10mm）                                                                基材：环保型饰面刨花板制作板材厚度≥18mm。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饰面：正反三聚氰胺贴面（厚度≥0.6mm）。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封边：≥2mm厚同色优质PVC封边。</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胶水：优质环保型胶水。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五金件：优质柜门拉手，配置优质国产锁具，优质三合一偏心连接件。</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231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收纳柜2</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尺寸：1318×450×900mm（±10mm）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基材：环保型饰面刨花板制作板材厚度≥18mm。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饰面：正反三聚氰胺贴面（厚度≥0.6mm）。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封边：≥2mm厚同色优质PVC封边。</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胶水：优质环保型胶水。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五金件：优质柜门拉手，配置优质国产锁具，优质三合一偏心连接件。</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232</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收纳柜3</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尺寸：1318×450×900mm（±10mm）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基材：环保型饰面刨花板制作板材厚度≥18mm。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饰面：正反三聚氰胺贴面（厚度≥0.6mm）。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封边：≥2mm厚同色优质PVC封边。</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胶水：优质环保型胶水。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五金件：优质柜门拉手，配置优质国产锁具，优质三合一偏心连接件。</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233</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木工操作台</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橡胶木，整体尺寸：1530×630×850mm（±10mm），桌面具有台钳夹（于夹持各种形状的工件，模块等），木质挡销，插孔（配和挡销用）。可以实现在桌面推刨、拼版、挖勺子、锯木头、打孔等功能。</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234</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边柜</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（重型工作台）</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规格：1200×600×780mm（±10mm）；台面采用≥40mm实木板，台身钢木结构，（方钢≥60×40mm），带抽屉，≥16mm三聚氰胺饰面板。桌脚带圆形可调脚用于调节桌面水平。正面操作方向带万能条形插座一个。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则设计应满足以下要求之一:</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a)设单个开口面积为≥650mmm2且相距至少≥150mm的两个不受阻碍的通风开口，或设一个将两个≥650mm2开口面积及其之间间隔区域扩展为一体的有等效面积的通风开口;将家具放置在地板上任意位置，且靠在房间角落的两个相交≥90°角的垂直面时，通风口应保持不受阻碍。通风口可装上透气性良好的网状或类似部件。</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b)盖、门及类似装置不应配有自动锁定装置，按规定进行测试时，盖、门及类似装置的开启力不应大于45N。</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防倾翻装置：所有高桌台及高于600mm的柜架类家具，应与墙体或其他固定结构连接。按规定进行测试后，柜架产品应无倾翻，高桌台的书架或类似结构不应松动或与主体脱离，与建筑物相连的产品应在标识中明确最大承重量。</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235</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工具柜</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规格：800×400×2000mm（±10mm）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基材：环保型饰面刨花板制作板材厚度≥18mm。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饰面：正反三聚氰胺贴面（厚度</w:t>
            </w:r>
            <w:bookmarkStart w:id="146" w:name="OLE_LINK41"/>
            <w:r>
              <w:rPr>
                <w:rFonts w:hint="eastAsia" w:ascii="宋体" w:hAnsi="宋体" w:eastAsia="宋体" w:cs="宋体"/>
                <w:color w:val="auto"/>
                <w:sz w:val="20"/>
                <w:szCs w:val="20"/>
                <w:highlight w:val="none"/>
                <w:lang w:bidi="ar"/>
              </w:rPr>
              <w:t xml:space="preserve">≥</w:t>
            </w:r>
            <w:bookmarkEnd w:id="146"/>
            <w:r>
              <w:rPr>
                <w:rFonts w:hint="eastAsia" w:ascii="宋体" w:hAnsi="宋体" w:eastAsia="宋体" w:cs="宋体"/>
                <w:color w:val="auto"/>
                <w:sz w:val="20"/>
                <w:szCs w:val="20"/>
                <w:highlight w:val="none"/>
                <w:lang w:bidi="ar"/>
              </w:rPr>
              <w:t xml:space="preserve">0.6mm）。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封边：≥2mm厚同色优质PVC封边。</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胶水：优质环保型胶水。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五金件：优质柜门拉手，配置优质国产锁具，优质三合一偏心连接件。</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236</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作品陈列柜</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规格：800×400×2000mm（±10mm）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基材：环保型饰面刨花板制作板材厚度≥18mm。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饰面：正反三聚氰胺贴面（厚度≥0.6mm）。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封边：≥2mm厚同色优质PVC封边。</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胶水：优质环保型胶水。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五金件：优质柜门拉手，配置优质国产锁具，优质三合一偏心连接件。</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237</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工具墙（洞洞板）</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材质：冷钢板喷塑。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参考尺寸：1200x500×壁厚1.2mm（±10mm） 6块</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颜色：木纹色。</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含≥390×100×60mm小层板≥2个、≥200×100×60mm小钢盒≥2个、笔筒架≥2个、单挂钩≥60个、双挂钩≥30个、U型挂钩≥10个、圆挂钩≥8个、拖杆挂钩≥8个、螺丝刀架≥2个、钻头架≥2个。</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238</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椅子</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尺寸：530×465×820mm（±10mm）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1；椅座采用优质棉绒弹力面料。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2.优质高回弹密度发泡海绵。</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3；采用水基型胶粘剂,。</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4；椅身：Y字形靠背稳定结构，采用全新PP+纤维，环保可回收使用无污染，能通过≥120K靠背拉力测试。</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5；椅架全铝合金材质压铸成型结构，表面抛光打磨防刮耐磨防锈处理，易堆叠，脚架左右两侧自带联排卡扣，防止摆放杂乱。脚架内侧设有4个防刮胶垫，隔开空间防椅子堆叠时候的刮花</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93"/>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239</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学生椅</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一、靠背</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1.材质：采用PP塑料一级新料一体注塑成型。不可采用回收料生产。</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2.尺寸：400×280mm±10mm（±10mm）。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3.靠背整体呈圆弧状，可以更好的贴合背部，靠背中间有椭圆型散热孔。</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4.靠背上方有一个T型的提手孔，方便搬运。T型孔下方可以安装一个活动挂钩，挂钩尺寸：≥45×35×25 mm,静止状态可以挂≥10KG的物件。</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5.靠背与钢管结合方式采用直插式，无螺丝外露，不得有摇晃现象</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二、坐垫</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1.材质：采用PP塑料一级新料一体注塑成型。不可采用回收料生产。</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2.尺寸：≥400×385mm±10mm。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3.座垫中间有一内陷，可使坐下时臀部能服贴座垫，座垫中间有椭圆型通风孔，起到散热作用，进而达到长时间乘坐臀部不劳累.</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三、椅子钢架要求</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1.材质及形状：采用正圆型光亮钢管组合焊接而成，结构牢固，无脱焊、虚焊、焊穿等缺陷。钢架为L型。</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 正圆型光亮钢管尺寸：下架≥Ø36×≥2.0 mm，上架≥Ø28×≥1.5mm，横梁≥Ø25.4×≥1.5。其他钢板≥≥1.5mm。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 表面涂装：焊接完成后的钢管架，经抛丸强化处理。外表采用一级环保粉末涂料，经高温烘烤固化，耐腐蚀、抗冲击，符合相关标准的规定。</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4.手摇升降机构：</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（1）结构与材质：采用蜗轮蜗杆结构，内置金属齿轮升降调节，手摇无极升降；</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（3）无级调节高度范围：≥360-440mm（±5mm），钢管外侧有丝网印刷的高度标尺。</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D.脚垫要求</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1.材质：采用PP加纤维改性，耐冲击塑料一体注塑而成。钢板螺丝加固，底部设有条状防滑凸条，坚固耐磨不易脱落。</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240</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教师电源</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规格：500×260mm（±10mm）                                                                  1.安全电源总控台配备高响应度的总漏电保护器和分组短路保护器，可分组控制学生的高压电源，每组最大负载电流25A，总负载电流为63A，在线路中有漏电或过流的时候，会自动启动保护并切断电路，确保教师及学生实验的安全进行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w:t>
            </w:r>
            <w:r>
              <w:rPr>
                <w:rFonts w:hint="eastAsia" w:ascii="宋体" w:hAnsi="宋体" w:eastAsia="宋体" w:cs="宋体"/>
                <w:color w:val="auto"/>
                <w:sz w:val="20"/>
                <w:szCs w:val="20"/>
                <w:highlight w:val="none"/>
                <w:lang w:bidi="ar"/>
              </w:rPr>
              <w:t xml:space="preserve">.安全电源总控台采用耐磨、耐腐蚀、耐高温（≤140℃）的PC薄膜面板，指针表显示总电源220V输入电压和各组工作电流，面板清晰简洁，操作简单方便；在正常开启后有总电源和分组电源指示，交流电压指示处有总电源220V输入电压指示，当学生电源端有负载时，每组对应的电流表会有指示，无负载时电流表不动作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3.220V交流输出为两位带安全门的国标五孔插座，为教师做实验提供220V电源      </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74"/>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241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学生桌实验电源</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1、国标2+3孔插座，两组输出交流220V电源。</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72"/>
        </w:trPr>
        <w:tc>
          <w:tcPr>
            <w:tcBorders>
              <w:top w:val="none" w:color="000000" w:sz="4" w:space="0"/>
              <w:left w:val="none" w:color="000000" w:sz="4" w:space="0"/>
              <w:bottom w:val="none" w:color="000000" w:sz="4" w:space="0"/>
              <w:right w:val="none" w:color="000000" w:sz="4" w:space="0"/>
            </w:tcBorders>
            <w:tcW w:w="316" w:type="pct"/>
            <w:vAlign w:val="center"/>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演示机床</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310" w:type="pct"/>
            <w:vAlign w:val="bottom"/>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43" w:type="pct"/>
            <w:vAlign w:val="bottom"/>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08" w:type="pct"/>
            <w:vAlign w:val="bottom"/>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242</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全金属锯床（加弓形臂）</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功能特点：锯床采用安全电源工作，机身无塑料件，设备的稳定性和耐用性大大提高。有锯条辅助装置，可大大延长锯条使用寿命，让使用的过程更简便轻松。经过特殊设计，锯齿碰到皮肤也只会引起轻微的振动，安全不伤手，加工最大的切割深度硬木厚度≥4mm、三夹板为≥7mm、软木厚度≥18mm、薄铝片壁厚</w:t>
            </w:r>
            <w:bookmarkStart w:id="147" w:name="OLE_LINK42"/>
            <w:r>
              <w:rPr>
                <w:rFonts w:hint="eastAsia" w:ascii="宋体" w:hAnsi="宋体" w:eastAsia="宋体" w:cs="宋体"/>
                <w:color w:val="auto"/>
                <w:sz w:val="20"/>
                <w:szCs w:val="20"/>
                <w:highlight w:val="none"/>
                <w:lang w:bidi="ar"/>
              </w:rPr>
              <w:t xml:space="preserve">≥</w:t>
            </w:r>
            <w:bookmarkEnd w:id="147"/>
            <w:r>
              <w:rPr>
                <w:rFonts w:hint="eastAsia" w:ascii="宋体" w:hAnsi="宋体" w:eastAsia="宋体" w:cs="宋体"/>
                <w:color w:val="auto"/>
                <w:sz w:val="20"/>
                <w:szCs w:val="20"/>
                <w:highlight w:val="none"/>
                <w:lang w:bidi="ar"/>
              </w:rPr>
              <w:t xml:space="preserve">0.5mm、有机玻璃厚度≥2mm ，可以直线、曲线任意切割，是学生制作模型的好帮手。</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技术参数：</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电机转速：20000r/min±15%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主轴转速：3000r/min±15%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电压/功率：100V-240V、36W</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马达与主轴箱为金属一体化结构</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工作台面积：≥100mm×120mm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包装尺寸：≥320mm×195mm×340mm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加工材料：薄铝片、有机玻璃板、木板、KT板</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243</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全金属车床</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功能特点：车床采用安全电源工作，机身无塑料件，设备的稳定性和耐用性大大提高。通过X、Y轴手柄控制进刀，能车制各种形状的圆周体，如罗马柱、花瓶、酒杯等。主要用于贵金属及铜材和铝材等金属件的精加工。</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技术参数：</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电机转速：20000r/min±15%</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主轴转速：3000r/min±15%</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电压/功率：100V-240V、24W（可选配36W、60W）</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中心距：≥110mm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中心高：≥25mm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最大装夹直径：≥正爪13mm/反爪45mm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加工材料：木材、软金属（铝、铜）、有机玻璃、塑胶等。</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244</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全金属锣床</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功能特点：锣床采用安全电源工作，机身无塑料件，设备的稳定性和耐用性大大提高。能车制各种形状的圆周体，如罗马柱、花瓶、酒杯等。手握式刀具让制作能随心所想，畅享动手的乐趣。主要加工材料为木材。</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技术参数：</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电机转速：20000r/min±15%</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主轴转速：3000r/min±15%</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电压/功率：100V-240V、36W</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中心距：≥110mm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中心高：≥25mm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最大加工直径：≥45mm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包装尺寸：230mm×200mm×315mm（±10mm）</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817"/>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传统工艺-剪纸制作</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08" w:type="pct"/>
            <w:vAlign w:val="bottom"/>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97"/>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245</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作品展示框（一）</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规格：300×210mm（±10mm），有机玻璃板面</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678"/>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246</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作品展示框（二）</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规格：420×300mm（±10mm），有机玻璃板面</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17"/>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3F小学劳技教室辅房配备清单</w:t>
            </w:r>
            <w:r/>
          </w:p>
        </w:tc>
      </w:tr>
      <w:tr>
        <w:trPr>
          <w:trHeight w:val="4289"/>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247</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准备桌</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1、尺寸：2400（长）×1200（宽）×780mm（高）（±10mm）。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2、结构：柜身为悬柜，采用≥18mm厚优质环保三聚氰胺双饰面板制作。</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3、台面：≥40mm厚橡胶木实木板，木质颜色自然，四周边缘机械精打磨没有棱角，台面需刷三层环保透明油漆，使台面更加平整美观。</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钢架：钢架立柱采用横截面的尺寸为≥60mm×40mm优质方钢，壁厚≥1.0mm；框架横梁横截面尺寸为≥40mm×40mm，壁厚≥1.0mm。表面经酸洗磷化、纯环氧树脂塑粉高温固化处理，平整光滑，不允许有喷涂层脱落、鼓泡、凹陷、压痕以及表面划伤、麻点、裂痕、崩角和刃口等，切割、钻孔和倒角应去毛刺。</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5、铰链：采用自动型≥110°大伸展角度，锌合金铰链，开合五万次不变形。</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6、脚垫：采用特制模具ABS注塑脚垫，防水及防潮。</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7、配透明桌垫</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248</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电源</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1、国标2+3孔插座，两组输出交流220V电源。</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249</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器材柜</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规格：800×400×2000mm（±10mm）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基材：环保型饰面刨花板制作板材厚度≥18mm。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饰面：正反三聚氰胺贴面（厚度≥0.6mm）。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封边：≥2mm厚同色优质PVC封边。</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胶水：优质环保型胶水。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五金件：优质柜门拉手，配置优质国产锁具，优质三合一偏心连接件。</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515"/>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250</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器材放置架</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规格：2000×600×2000mm（±5mm）；</w:t>
            </w:r>
            <w:bookmarkStart w:id="148" w:name="OLE_LINK43"/>
            <w:r>
              <w:rPr>
                <w:rFonts w:hint="eastAsia" w:ascii="宋体" w:hAnsi="宋体" w:eastAsia="宋体" w:cs="宋体"/>
                <w:color w:val="auto"/>
                <w:sz w:val="20"/>
                <w:szCs w:val="20"/>
                <w:highlight w:val="none"/>
                <w:lang w:bidi="ar"/>
              </w:rPr>
              <w:t xml:space="preserve">≥</w:t>
            </w:r>
            <w:bookmarkEnd w:id="148"/>
            <w:r>
              <w:rPr>
                <w:rFonts w:hint="eastAsia" w:ascii="宋体" w:hAnsi="宋体" w:eastAsia="宋体" w:cs="宋体"/>
                <w:color w:val="auto"/>
                <w:sz w:val="20"/>
                <w:szCs w:val="20"/>
                <w:highlight w:val="none"/>
                <w:lang w:bidi="ar"/>
              </w:rPr>
              <w:t xml:space="preserve">4层</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2.材质：采用</w:t>
            </w:r>
            <w:bookmarkStart w:id="149" w:name="OLE_LINK44"/>
            <w:r>
              <w:rPr>
                <w:rFonts w:hint="eastAsia" w:ascii="宋体" w:hAnsi="宋体" w:eastAsia="宋体" w:cs="宋体"/>
                <w:color w:val="auto"/>
                <w:sz w:val="20"/>
                <w:szCs w:val="20"/>
                <w:highlight w:val="none"/>
                <w:lang w:bidi="ar"/>
              </w:rPr>
              <w:t xml:space="preserve">壁厚</w:t>
            </w:r>
            <w:bookmarkEnd w:id="149"/>
            <w:r>
              <w:rPr>
                <w:rFonts w:hint="eastAsia" w:ascii="宋体" w:hAnsi="宋体" w:eastAsia="宋体" w:cs="宋体"/>
                <w:color w:val="auto"/>
                <w:sz w:val="20"/>
                <w:szCs w:val="20"/>
                <w:highlight w:val="none"/>
                <w:lang w:bidi="ar"/>
              </w:rPr>
              <w:t xml:space="preserve">≥0.7mm冷轧钢。</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3.功能：供放置体育器材使用，承重量大。</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4.结构：≥4层，蝴蝶孔设计，安装容易，搬运方便。货架零部件均经过除锈、酸洗、磷化、喷涂等表面处理，结实耐用。</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867"/>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251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办公桌椅</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桌子尺寸:1200×600×750mm（±10mm）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基材：环保型饰面刨花板制作，台面板厚度≥25mm,其余板材厚度≥18mm。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饰面：正反三聚氰胺贴面（厚度≥0.6mm）。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封边：≥2mm厚同色优质PVC封边。</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桌架：国产钢结构，壁厚≥1.5mm。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涂装：涂膜厚50-70μm。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胶水：优质环保型胶水。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五金件：优质五金配件。</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椅背：PP背框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椅座：≥12mm座板，定型绵，弹力布座布</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底盘：原位锁定蝴蝶底盘</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扶手：PP连体固定扶手</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气杆：行程≥100mm沉口≥50mm三级气杆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椅脚：≥340mmPP五星脚</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椅轮：≥60/25黑色PA轮</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05"/>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3F小学科学实验室配备清单</w:t>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252</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教师演示讲台</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1、尺寸：2800（长）×700（宽）×850mm（高）（±10mm）。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2.台面：采用厚度≥12.7mm双面膜实芯理化板台面，台面边缘用同质材料板双层加厚至25.4mm。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3.柜体：采用壁厚≥1.0mm优质镀锌钢板，采用CO2保护焊焊接，打磨处理，表面经耐酸碱粉末烤漆处理（烤漆膜厚度平均值≥70μm）；整体结构设计合理，预留电脑主机、键盘托、实物展台、教师电源位置；</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4.拉手：采用C型不锈钢拉手，用“强磁”测试拉手的不锈钢材质，造型独特美观；</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5.防撞胶垫：装于抽屉及门板内侧，减缓碰撞，保护柜体；</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6.门板及抽面：采用双层钢板，必须两层组装是设计，保证两层双面都喷涂处理，中间采用隔音材料，保证关门减少噪音；</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7.连接件：采用ABS专用连接组装件；</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8.合页：采用优质不锈钢模具一体成型，强度必须达到一个正常成年座在门上方合页不脱落；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9.滑轨：三节重型滚珠滑轨，承重性强，滑动性能良好，无噪音；</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10.固定桌脚：采用柜体内置可调ABS调整脚，保证调整脚前后都可以调节高低。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253</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教师洗眼器</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1、台面安装方式，平时放置于台面，紧急使用时可随意抽起，使用方便。</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2、洗眼喷头：具有过滤泡棉及防尘功能，上面防尘盖平常可防尘，使用时可随时被水冲开，并降低突然打开时短暂的高水压，避免冲伤眼睛。</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3、控水阀采用黄铜制作，经高亮度环氧树脂涂层处理，外观美观大方，阀门可自动关闭，密封可靠。</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4、供水软管：采用2m长不锈钢软管。</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254</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教师大号三联水嘴</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1、主体：加厚铜质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2、涂层：高亮度环氧树脂涂层，耐腐蚀、耐热，防紫外线辐射</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3、陶瓷阀芯90°旋转，使用寿命开关50万次，静态最大耐压20巴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4、经久耐用，不会出现渗水、断裂现象</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5、鹅颈管可360°旋转</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6、可拆卸铜质水嘴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7、开关旋钮：高密度PP，人体工学设计，手感舒适</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付</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856"/>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255</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PP水槽</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规格：550×450×300mm（±10mm），采用实验室专用高密度PP一体化成型水槽，易清洁，耐腐蚀，且利于台面残水自然回流，美观实用；具耐酸碱、耐有机溶剂、耐紫外线等特点。</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256</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六边形实验桌</w:t>
            </w:r>
            <w:r/>
          </w:p>
        </w:tc>
        <w:tc>
          <w:tcPr>
            <w:tcBorders>
              <w:top w:val="single" w:color="000000" w:sz="4" w:space="0"/>
              <w:left w:val="single" w:color="000000" w:sz="4" w:space="0"/>
              <w:bottom w:val="single" w:color="000000" w:sz="4" w:space="0"/>
              <w:right w:val="single" w:color="000000" w:sz="4" w:space="0"/>
            </w:tcBorders>
            <w:tcW w:w="3349" w:type="pct"/>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1、尺寸：1400（长）×1212（宽）×780mm（高）（±10mm）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2、台面：采用厚度≥12.7mm 双面膜耐腐蚀实芯理化板制作，台面为六边形设计，四角倒 R15 圆角，边缘经防水封边工艺处理。台面耐强酸强碱、耐高温、防潮阻燃、无毛细孔、不易膨胀龟裂、不变形、绝缘防静电，承重性能优异，便于日常清洁维护。台面集成嵌入式电源插座，满足设备供电需求。</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柜体结构：落地式一体化设计：内部预留标准主机位空间，可兼容常规台式电脑主机放置，布线规整有序。底柜正面采用平装嵌入式无突出结构，避免衣物勾挂；所有钣金接缝均采用满焊工艺，焊接处打磨抛光至连续平滑，无毛刺、无锐角。</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4、主框架：采用裸板</w:t>
            </w:r>
            <w:bookmarkStart w:id="150" w:name="OLE_LINK45"/>
            <w:r>
              <w:rPr>
                <w:rFonts w:hint="eastAsia" w:ascii="宋体" w:hAnsi="宋体" w:eastAsia="宋体" w:cs="宋体"/>
                <w:color w:val="auto"/>
                <w:sz w:val="20"/>
                <w:szCs w:val="20"/>
                <w:highlight w:val="none"/>
                <w:lang w:bidi="ar"/>
              </w:rPr>
              <w:t xml:space="preserve">壁厚</w:t>
            </w:r>
            <w:bookmarkEnd w:id="150"/>
            <w:r>
              <w:rPr>
                <w:rFonts w:hint="eastAsia" w:ascii="宋体" w:hAnsi="宋体" w:eastAsia="宋体" w:cs="宋体"/>
                <w:color w:val="auto"/>
                <w:sz w:val="20"/>
                <w:szCs w:val="20"/>
                <w:highlight w:val="none"/>
                <w:lang w:bidi="ar"/>
              </w:rPr>
              <w:t xml:space="preserve">≥1.0mm 的优质一级镀锌钢板，经数控冲压、折弯一体成型，焊接后整体磷化处理，再经环氧树脂静电粉末喷涂，耐酸碱腐蚀、防锈性能优异。</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5、门板与封闭式收纳：采用裸板壁厚≥1.0mm 的优质一级镀锌钢板制作，双包边防变形结构，内部填充降噪缓冲材料，配备阻尼铰链，开合静音且抗冲击不变形。</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6、开放式收纳系统：柜体侧面配置开放式洞洞板收纳区，搭配金属挂篮、挂钩等配件，可灵活收纳文具、工具、小型绿植等物品，提升空间利用率；侧面预留开放式置物平台，可临时放置常用物品。</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7、桌面侧面嵌入式配置国标五孔电源插座，满足教学设备、电脑等用电需求，线路采用隐藏式布线设计，规整安全，符合电气安全规范。</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257</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椅子</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尺寸：530×465×820mm（±10mm）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1.椅座采用优质棉绒弹力面料。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2.优质高回弹密度发泡海绵。</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3.采用水基型胶粘剂,。</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4.椅身：Y字形靠背稳定结构，采用全新PP+纤维，环保可回收使用无污染，能通过≥120K靠背拉力测试。</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5.椅架全铝合金材质压铸成型结构，表面抛光打磨防刮耐磨防锈处理，易堆叠，脚架左右两侧自带联排卡扣，防止摆放杂乱。脚架内侧设有4个防刮胶垫，隔开空间防椅子堆叠时候的刮花</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21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258</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实验室专用学生凳</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规格：Φ315*415-515mm（±10mm）</w:t>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1.凳脚材质：5个凳脚采用19-20×30×</w:t>
            </w:r>
            <w:bookmarkStart w:id="151" w:name="OLE_LINK46"/>
            <w:r>
              <w:rPr>
                <w:rFonts w:hint="eastAsia" w:ascii="宋体" w:hAnsi="宋体" w:eastAsia="宋体" w:cs="宋体"/>
                <w:color w:val="auto"/>
                <w:sz w:val="20"/>
                <w:szCs w:val="20"/>
                <w:highlight w:val="none"/>
                <w:lang w:bidi="ar"/>
              </w:rPr>
              <w:t xml:space="preserve">壁厚</w:t>
            </w:r>
            <w:bookmarkEnd w:id="151"/>
            <w:r>
              <w:rPr>
                <w:rFonts w:hint="eastAsia" w:ascii="宋体" w:hAnsi="宋体" w:eastAsia="宋体" w:cs="宋体"/>
                <w:color w:val="auto"/>
                <w:sz w:val="20"/>
                <w:szCs w:val="20"/>
                <w:highlight w:val="none"/>
                <w:lang w:bidi="ar"/>
              </w:rPr>
              <w:t xml:space="preserve">2.0mmP型钢管生产制作，底座连接底座采用铝合金模具一次性压铸成型，牢固稳定性强，结构牢固，底部设有活动静音轮或ABS调整脚。烤漆处理，长时间使用也不会产生表面烤漆剥落现象 可选气压或螺纹升降，升降距离为50mm，最高离地距离为510mm。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2.凳面材质：凳面双色注塑，底部下部采用高轻度塑料支撑表面再注塑一层TPE软胶，产品耐磨性强，耐腐蚀，防污染，易清洁软胶凳面更好解决学生的身体疲劳。</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3.金属件：喷漆(塑)涂层：1、应无漏喷、锈蚀、脱色、掉色符合要求；2、应光滑均匀，色泽一致，应无流挂、疙瘩、皱皮、飞漆符合要求</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结构安全：正常使用时，可接触到的边、角都应进行倒圆、倒角、砂光或以其他合适的方式进行保护。倒圆半径应不小于0.5mm。固定零部件的结合应牢固无松动，应无少件、透钉、漏钉。正常使用时，其他部件表面应无锐边、锐角</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5.金属喷漆(塑)涂层-耐盐浴划道两侧3mm外，应无鼓泡、锈蚀、剥落和起皱等现象符合要求</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259</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教师电源交直流主控台</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尺寸：500×260mm（±10mm）                                                                          1.安全电源总控台配备高响应度的总漏电保护器和分组短路保护器，可分组控制学生的高压电源，每组最大负载电流25A，总负载电流为63A，在线路中有漏电或过流的时候，会自动启动保护并切断电路，确保教师及学生实验的安全进行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w:t>
            </w:r>
            <w:r>
              <w:rPr>
                <w:rFonts w:hint="eastAsia" w:ascii="宋体" w:hAnsi="宋体" w:eastAsia="宋体" w:cs="宋体"/>
                <w:color w:val="auto"/>
                <w:sz w:val="20"/>
                <w:szCs w:val="20"/>
                <w:highlight w:val="none"/>
                <w:lang w:bidi="ar"/>
              </w:rPr>
              <w:t xml:space="preserve">.安全电源总控台采用耐磨、耐腐蚀、耐高温（≤140℃）的PC薄膜面板，指针表显示总电源220V输入电压和各组工作电流，面板清晰简洁，操作简单方便；在正常开启后有总电源和分组电源指示，交流电压指示处有总电源220V输入电压指示，当学生电源端有负载时，每组对应的电流表会有指示，无负载时电流表不动作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3.220V交流输出为两位带安全门的国标五孔插座，为教师做实验提供220V电源      </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86"/>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260</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学生实验电源</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国标五孔插座2组</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261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塑料水槽柜</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尺寸：600×600×780mm（±10mm）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1.全钢结构：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2.台面：采用厚度≥12.7mm双面膜实芯理化板台面，台面边缘用同质材料板双层加厚至≥25.4mm。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3.柜体：采用壁厚≥1.0mm优质镀锌钢板，采用CO2保护焊焊接，打磨处理，表面经耐酸碱粉末烤漆处理（烤漆膜厚度平均值≥70μm）；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4.防撞胶垫：装于门板内侧，减缓碰撞，保护柜体；</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5.门板及抽面：采用双层钢板，必须两层组装是设计，保证两层双面都喷涂处理，中间采用隔音材料，保证关门减少噪音；</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6.连接件：采用ABS专用连接组装件；</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7.合页：采用优质不锈钢模具一体成型，强度必须达到一个正常成年座在门上方合页不脱落；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8.固定桌脚：采用柜体内置可调ABS调整脚，保证调整脚前后都可以调节高低。            </w:t>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9.配≥1组水槽</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262</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水嘴</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1、双联定制型鹅颈式实验室专用水嘴；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2、鹅颈出水管采用铜质加厚铜管弯制成型，铜质出水水咀采用螺纹式安装，可方便拆卸；</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3、开关手柄采用PP旋转式手柄，两个出水鹅颈可以向前折叠，不用时可以掩藏在水槽柜内。</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4、上水接口自带成型螺纹，可方便连接上水软管。</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付</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263</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洞洞板展示架</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规格：双面≥三层货架.</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尺寸：960×610×1560mm（±10mm）.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板材：壁厚≥1.4mm.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材质：金属.</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264</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组合式收纳盒</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规格：单个盒子尺寸：180×180×80mm（±10mm）.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内含：一组≥48个、配送支柱.</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材质：PP塑料.</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86"/>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3D打印智造</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643"/>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三维设计与智造</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265</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三维模型设计</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工作终端</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1.处理器：采用国产C86处理器，核心数≥8核，最高主频≥2.8GHz，二级缓存≥8MB。</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2.内存 ：容量≥16GB，双通道内存，内存插槽≥2个。</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3.硬盘：配置≥512GB M.2 NVMe SSD硬盘。</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4.接口 ：USB3.0 Type-A接口≥2个，USB3.0 Type-C接口≥3个，标准RJ45接口≥1个。</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5.屏幕：屏幕尺寸≥14寸，分辨率≥1920×1200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6.电源 ：电池容量≥70WH，适配器功率≥65W，适配器输出接口形态Type-C。</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7.无线网络：支持WiFi 6 并向下兼容， 支持BT 5.0。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8.摄像头：720P分辨率，支持关闭摄像头。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9.外观：机身厚度≤18mm，机器重量≤1.5kg。</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10.数据安全：（1）支持基于BIOS级的一键备份和恢复的功能（非操作系统自带功能），当硬盘分区遭到破坏(使用FDISK等工具删除或破坏分区)，导致系统无法启动情况下，可在不连接网络及外部存储（U盘、移动硬盘等）情况下，使用基于安全区特性的备份恢复系统将主机恢复到可用状态。</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（2）BIOS级USB屏蔽及智能USB数据保护：USB支持BIOS下接口逐个开关；针对存储设备支持全部USB接口一键切换禁止访问模式/只读模式：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11.质控水平：MTBF≥1000000小时；</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266</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3D创新设计软件</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1.矢量图生成：可以直接将×.jpg、×.png、×.gif、×.bmp、×.tif等格式的图片自动转换成二维草图。</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2.触屏操作：支持Windows系统触屏白板设备操作。</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3.设计功能：可实现实体设计、草图绘制、参数化建模和模型编辑功能。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4.特殊功能：可以通过造型表面上的多个点来控制造型变形；可对造型进行扭曲、折弯、锥度等多种变形处理。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5.输出格式：可输出×.igs、×.stl、×.obj、×.3mf格式。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6.浮雕建模：可以将×.jpg、×.png格式图片直接生成浮雕造型。</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7.stl模型编辑：可以实现STL模型和实体模型、STL模型和STL模型之间的布尔运算，并生成新的STL模型。</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8.模型分离：可以将stl或obj格式模型中的多个造型，进行单个造型的分离。</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9.积木/Python编程建模：在同一软件内可以直接用积木编程和Python编程进行建模，并且两类编程内容可以时时互换。</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10.电子硬件：软件内置不少于7家国内外电子硬件厂商模型库。通过加载的硬件模型，在造型上自动生成与其相配合的结构或孔位，也可进行尺寸修改。</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11.提供具有核心技术自主产权的正版36个月授权软件。</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12.3D打印：具备切片功能，可输出打印文件;内置不少于7家国内外3D打印设备厂商切片软件接口，可以一键导入切片软件中，无需格式转换。</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267</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高速3D打印工作站（教师端）</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1、成型技术：熔融沉积成型；</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2、机身最大尺寸(长×宽×高)≥492×514×626 mm³，净重约31 kg，最大打印尺寸(长×宽×高)：单喷嘴模式≥325×320×325 mm³、双喷嘴交集模式≥300×320×325 mm³、双喷嘴并集模式≥350×320×325 mm³、</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3、框架为铝材和钢材构成，外壳为塑料和玻璃构成；</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4、工具头：全金属热端、硬化钢挤出机齿轮、碳化钨喷嘴，内置工具头切刀，喷嘴最高温度≥350 ℃，标配喷嘴直径0.4 mm，可选0.2 mm，0.6 mm，0.8 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5、机器标配双面纹理PEI打印面板，可扩展光面打印面板，热床最高温度≥120℃；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6、工具头最大移动速度≥1000 mm/s，工具头最大移动加速度≥20000 mm/s²，热端最大流速≥65 mm³/s（大流量热端）；</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7、支持耗材类型：PLA、PETG、TPU、ABS、ASA、PVA、PET、尼龙线材（PA)、聚碳酸酯线材（PC)、PPA-CF/GF、PPS、PPS-CF/GF、碳/玻璃纤维增强线材及相关支撑隔离材料等；</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8、支持热端快拆、主动振动补偿、全自动双喷嘴偏移校准、自动热床调平；</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9、配备三摄像头计算机视觉系统，实现高精度打印，支持AI首层检测、炒面检测；</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10、配备喷嘴摄像头、工具头摄像头，支持开门检测；</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11、支持断料检测、缠料检测、断电续打，具备监控打印机状态的健康管理系统；</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12、配备最新多色自动供料系统，支持耗材烘干，支持耗材用量及余料检测，支持多色打印，最多支持不少于25色；</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13、配备高温烘干自动供料系统，最高烘干温度≥85℃；</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14、配备专用校准编码板，可校准工具头，提高运动精度；</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15、自带空气过滤系统，支持自适应空气循环，配备椰壳活性炭滤芯，初级过滤等级G3，HEPA滤网等级H12；</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16、支持主动腔热控制，多传感器闭环温控，最大加热腔温≥65℃；</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17、配备触摸显示屏，屏幕尺寸≤5英寸，内置高清相机，支持实时监控及延时摄影；</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18、支持通过触摸显示屏、手机端APP、电脑端应用三种操作界面控制；</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19、配备全闭环控制风扇系统，标配工具头散热增强风扇、增加挤出和热端散热，提高打印模型质量；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20、内置最大存储容量≥32GB，支持外挂U盘；</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21、支持Wi-Fi通讯，支持以太网有线连接，配备实体网络开关；</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268</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学生级FDM 3D打印机</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1、成型技术：熔融沉积成型；</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2、机身：外形尺寸约≥385x410x430mm³，净重约8.3kg，打印尺寸（长×宽×高）≥256×256×256mm³，机身外壳由钢材和铝材构成；</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工具头：全金属热端，硬化钢挤出机齿轮，不锈钢喷嘴，喷嘴最高温度300℃，自带0.4mm直径喷嘴，可扩展≥0.2mm,≥0.6mm,≥0.8mm直径喷嘴，内置工具头切刀，支持打印的线材直径为≥1.75mm，喷嘴为快拆设置，无需拧任何螺丝和插拔线缆，只需松开夹子即可更换喷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4、热床：自带光面PEI纹理打印面板，可扩展光面PEI板。热床最高温度100℃；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速度：工具头最大移动速度≥500mm/s，工具头最大移动加速度≥10m/s²，热端最大流速≥28mm³/s（ABS材料）；主要依靠XY轴的震动抑制算法和精准的流量控制，来实现高速打印功能，支持主动振动补偿与流量补偿，让高速打印下的模型表面更光滑，转角更为锐利；</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6、支持耗材类型：推荐打印PLA类、PETG类、TPU类等低温耗材和它们的支撑材料</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7、冷却系统：内置冷却风扇系统，通过闭环控制来确保打印模型散热；</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8、传感器：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a)工具头配有涡流传感器。可实现打印挤出流量校准、辅助热床自动调平、裹头检测等功能；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b)机箱内低帧率1080P摄像头，可用于实时远程观看打印视频、延时摄影、打印录像等功能；配备相机遮罩来保护用户隐私</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c)断料检测传感器，能够检测到材料用尽并暂停打印，支持断料续打；</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d)缠料检测传感器：工具头上方配有缠料检测传感器，能够检测到料线打结缠绕等送料阻力过大的情况，及时暂停提醒，避免空打；</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e)支持断电续打；</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f)支持主动电机降噪，静音模式下打印噪音不超过48db</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9、电子设备：产品自带≥3.5英寸≥320×240触摸屏，支持Wi-Fi，支持触摸屏、手机端APP、电脑端应用三种操作界面；可以通过APP和电脑端应用远程操控打印机和观看打印机视频；</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10、健康管理系统：负责收集和监控整个系统状态，包括：硬件连接、工作状态机械状态，以及打印过程中AI功能检测到的问题，一旦出现任何异常，会通过APP、软件以及打印机屏幕上发送消息提醒用户，每个错误代码都有详细描述和对应的解决方案；</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11.打印机唱歌：可以驱动≥3个电机产生一定的振动频率，最多同时播放3个音轨。可以使用MIDI文件与WebMIDI到GCode生成器，让打印机播放音乐</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269</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学生级FDM 3D打印机</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（入门启蒙级）</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1、成型技术：熔融沉积成型；</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2、机身：外形尺寸约≥347×315×365mm³，净重约≥5.5kg，打印尺寸（长×宽×高）≥180×180×180mm³，机身外壳由钢材和铝材构成；</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工具头：全金属热端，硬化钢挤出机齿轮，不锈钢喷嘴，喷嘴最高温度300℃，自带0.4mm直径喷嘴，可扩展≥0.2mm,≥0.6mm,≥0.8mm直径喷嘴，内置工具头切刀，支持打印的线材直径为≥1.75mm，喷嘴为快拆设置，无需拧任何螺丝和插拔线缆，只需松开夹子即可更换喷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4、热床：自带光面PEI纹理打印面板，可扩展光面PEI板。热床最高温度80℃；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速度：工具头最大移动速度≥500mm/s，工具头最大移动加速度≥10m/s²，热端最大流速≥28mm³/s（ABS材料）；主要依靠XY轴的震动抑制算法和精准的流量控制，来实现高速打印功能，支持主动振动补偿与流量补偿，让高速打印下的模型表面更光滑，转角更为锐利；</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6、支持耗材类型：推荐打印PLA类、PETG类、TPU类等低温耗材和它们的支撑材料</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7、冷却系统：内置冷却风扇系统，通过闭环控制来确保打印模型和主板的散热；</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8、传感器：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a)工具头配有涡流传感器。可实现打印挤出流量校准、辅助热床自动调平、裹头检测等功能；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b)机箱内低帧率1080P摄像头，可用于实时远程观看打印视频、延时摄影、打印录像等功能；配备相机遮罩来保护用户隐私</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c)断料检测传感器，能够检测到材料用尽并暂停打印，支持断料续打；</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d)缠料检测传感器：工具头上方配有缠料检测传感器，能够检测到料线打结缠绕等送料阻力过大的情况，及时暂停提醒，避免空打；</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e)支持断电续打；</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f)支持主动电机降噪，静音模式下打印噪音不超过48db</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9、电子设备：产品自带≥2.4英寸≥320×240触摸屏，支持Wi-Fi，支持触摸屏、手机端APP、电脑端应用三种操作界面；可以通过APP和电脑端应用远程操控打印机和观看打印机视频；</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10、健康管理系统：负责收集和监控整个系统状态，包括：硬件连接、工作状态机械状态，以及打印过程中AI功能检测到的问题（例如温控异常），一旦出现任何异常，会通过APP、软件以及打印机屏幕上发送消息提醒用户，每个错误代码都有详细描述和对应的解决方案；</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11.打印机唱歌：可以驱动3个电机产生一定的振动频率，最多同时播放3个音轨。可以使用MIDI文件与WebMIDI到GCode生成器，让打印机播放音乐</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270</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高速3D打印工作站（学生端）</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1、成型技术：熔融沉积成型；</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2、机身：外形尺寸约（长宽高）386×389×458mm³，净重约12.95kg，打印尺寸（长×宽×高）≥256×256×256mm³，钢材框架，外壳为塑料和玻璃构成；</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3、工具头：全金属热端、钢材挤出机齿轮、不锈钢喷嘴、喷嘴最高温度≥300℃、喷嘴直径自带≥0.4mm，可选≥0.2mm,≥0.6mm,≥0.8mm；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4、热床：机器自带双面纹理PEI打印面板，可选低温打印面板、高温打印面板、工程材料打印面板，热床最高温度≥100℃；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5、速度：工具头最大移动速度≥500mm/s，工具头最大移动加速度≥20m/s²，热端最大流速≥32mm³/s（150×150mm单层外壁ABS材料，温度280℃测试）；主要依靠XY轴的震动抑制算法和精准的流量控制，来实现高速打印功能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6、支持耗材类型：可支持打印PLA,PETG,TPU,ASA,PVA,PET，尼龙线材（PA),聚碳酸酯线材（PC),ABS材料；自制Support系列支撑隔离材料，使支撑易剥离；</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7、冷却系统：内置冷却风扇系统，通过闭环控制来确保打印模型、打印机箱和主板的散热；</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8、传感器：内置低帧率相机1280x720/0.5fps机箱监控摄像头并支持延时摄影，支持挤出机断料检测，支持断电续打；</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9、电子器件：机器自带≥2.7英寸≥192x64屏幕显示屏，支持Wi-Fi、Bluetooth通信，操作界面支持按键、手机端APP、电脑端应用三种形式；以通过APP和电脑端应用远程操控打印机和观看打印机视频；</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10、健康管理系统：负责收集和监控整个系统状态，包括：硬件连接、工作状态机械状态，以及打印过程中AI功能检测到的问题（例如炒面缺陷），一旦出现任何异常，会通过APP、软件以及打印机屏幕上发送消息提醒用户，每个错误代码都有详细描述和对应的解决方案。</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271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3D打印耗材（PLA）</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1.材质：PLA环保打印材料</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2.规格：≥1000g/卷</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3.直径：≥1.75mm；</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卷</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63"/>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三维课程拓展</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272</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3D仿生鱼主题课程包</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一、核心参数</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 产品名称：3D仿生鱼创客学习套装</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 主体结构：采用环保PLA材质3D打印成型，三段式可活动关节设计，可模拟鱼类自然游动体态</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 编程支持：兼容ICblock编程平台，支持Scratch3.0图形化编程、C语言代码编程，入门门槛低</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 硬件配置：内置可充电式电源，集成可编程IO接口，支持连接各类传感器、处理器、执行器模块</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 安全规范：边角圆润无尖锐凸起，不具备防水功能，禁止下水使用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 适用学段：中小学人工智能、编程教育、创客实践课程</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二、配套课程知识点要求</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课程需包含仿生设计原理、3D打印结构认知、图形化编程基础、代码编程应用、传感器拓展连接、智能交互控制、创意项目实践等核心知识点，覆盖从结构认知到综合创作的完整学习链条，实现编程学习与3D设计搭建的深度融合。</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273</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3D智能停车主题课程包</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一.产品描述</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D智能停车主题课程包创设了一个模拟停车的学习场景，通过搭建一个智能化的停车场景，结合3D打印、编程控制智能装置和智能车，实现自动化停车管理。启发学生以生活中停车管理任务为导向，利用人工智能及编程技术，探究出各种能实现自动化管理停车场的方法，并加以体验式的动手实践和结果验证。</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二.基本参数</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1.主控器采用集成 2.4 GHz Wi-Fi 和 低功耗蓝牙Bluetooth LE)的 MCU 芯片，搭载 32 位 LX6处理器，时钟频率可调，范围为 80 MHz 到 240 MHz。</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2.主控器尺寸：88mm×34mm×56mm（±10mm）。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3.采用PC+ABS高品质环保材料。</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4.主控器采用活力颜色与白色搭配的外观，极具亲和力，传达的情感较为温馨、平和、舒缓，对青少年儿童用户学习中出错产生挫败感时，及时恢复情绪至关重要。</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5.主控器整体极具亲和力和科技感的外观以及扁平小巧的设计，一开始就能有效吸引青少年儿童的注意力，产生机器人编程学习创作的兴趣。</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6.主控器美工槽线占据主控器边沿，减少高亮光滑面，便于青少年儿童抓握，有效降低创作出错率，提升可靠性，亦可传递坚固的视觉特征。</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7.主控器六个面都有具备积木拼插孔或凸点，主控正面搭载2×4凸点矩阵，兼容绝大部分积木砖块。</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8.主控器采用四联一体式水晶头端口，连接传感元件能有效预防反插，也能防止脱落，方便插拔。</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9.主控正面配置极具科技感的灯环按键组合，既是开关机键，同时也具备电量检测指示灯标识功能，即电量充足时灯环亮蓝灯，当电量不足时灯环亮红灯。</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10.主控器具备12个RJ11接口，包含带编程驱动专用的马达接口、模拟和数字传感器接口。</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11.主控器内置专用锂电池1块，自带保护电路；数据线接在电源口上可以直接给主控器供电，也可以给锂电池充电。</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12.主控器内置蜂鸣器，支持编程控制播放声音和乐曲。</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13.主控器内置低功耗蓝牙适用于多种无线传输场景，支持蓝牙近场连接。</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1.4主控器配备Reset按钮：可让主板的程序重启。</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15.支持程序实时模式运行。</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16.支持程序下载模式运行。</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17.主控器自带WiFi通讯功能，支持联网学习物联网相关技术。</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18.主控器具备IIC和UART接口，支持外接更多扩展的传感器。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19.主控器支持图形化编程/C代码/Python编程。</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20.配套电子传感元器件全部带积木拼接孔位，至少含有：超声波传感器1个、AI摄像头1个、AI语音识别模块1个、电机1个；</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11.积木组件数量不少于400个，组件种类不少于30种：</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（1）主要构件梁.销.轴类构件固定牢固，各种类型结构部件还以颜色区分；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（2）须包含多种类型和齿数规格齿轮，须包含：锥齿轮.双锥齿轮等。</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（3）须包含框架.球座.万向轮.轮毂.轮胎。</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（4）用于连接.紧固的各种销与连接件不少于30种，有丰富的搭建方式且易于实现。</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21.3D打印结构1套</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22.机器人编程软件支持图形化编程/C代码/Python编程；支持控制器通过内置蓝牙连接无线编程,支持USB连线编程控制。</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三、课程资源包含教师教学PPT一套、搭建图纸一套、课程案例参考程序一套。课程主题包括：搭建道闸、打开和关闭道闸、车辆检测、车辆识别、语音播报、信息显示、计费系统等。</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四、编程软件</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该软件基于Scratch3.0进行开发，整合图形化编程、Python编程及智能AI助手，构建一体化编程学习平台。入门阶段可通过拖放积木可视化生成程序，进阶支持代码编程，并集成多种人工智能视觉与语音算法。</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全新接入的AI编程助手，支持截图分析、语音问答、创意生成、代码解释与调试优化，实现从项目构思到程序实现的全流程智能辅助，有效降低编程门槛，锻炼逻辑思维，激发创新意识。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功能特点</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1.支持拖拽编程积木块、组合、设置参数的可视化操作进行程序的制作，操作方便，简单易上手。</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2.多种功能积木块的分类，包括事件、控制、运算、变量、自制积木、控制台、巡线、电机、显示、传感器、语音识别模块、AI摄像头等，可以直接拖动对应的积木块设计程序。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支持多种智能硬件，包括电机、LED灯、温度传感器、光敏、电位器、红外测距、人体热释电、红外遥控、LCD、舵机、MP3、温湿度传感器、土壤湿度、声音传感器、雨滴传感器、压力传感器、烟雾传感器、触摸传感器、继电器、陀螺仪、OLED显示屏、RGB彩灯、蜂鸣器、触碰开关、超声波传感器、巡线传感器、颜色传感器、RFID非接读卡器、语音识别模块等，丰富学生创作内容。</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4.支持一键自动生成程序截图并上传，AI助手可独立分析截图。</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5.支持对AI助手进行语音输入提问，实现更自然的交互方式。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6.支持向AI助手描述编程意图，AI可快速生成项目概念、角色设定、游戏规则或故事大纲，辅助创意构思。</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7.支持智能代码解释：学生可将复杂代码块发送给AI助手，获取清晰的功能说明与逻辑解析。</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8.支持AI辅助找Bug：输入代码与问题描述，AI助手可定位错误、解释原因并提供多种修复方案。</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9.支持代码优化建议：AI助手审查代码，提出规范与效率优化建议，培养良好编程习惯。</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10.支持开启算法-线段检测：让移动机器人具备视觉识别执行巡线功能；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11.支持开启算法-人脸识别：让机器人具备人脸识别功能；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12.支持开启算法-运动物体：让机器人具备物体追踪功能；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13.支持开启算法-颜色识别：让机器人具备视觉识别颜色功能；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14.支持开启算法-标签识别：让机器人具备视觉识别标签功能；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15.支持开启算法-20类物体：让机器人具备视觉识别物体分类功能；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16.支持开启算法-卡片识别：让机器人具备视觉识别卡片内容功能；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17.支持开启算法-二维码识别：让机器人具备视觉识别二维码功能；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18.支持开启算法-色块检测：让机器人具备视觉识别色块功能；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19.支持开启算法-深度学习：让机器人具备深度学习功能；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20.支持屏幕显示文字的调用，让机器人屏幕上进行显示。</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21.支持对四路巡线PID：KP、KI、KD各参数的设置；支持对通过巡线路口（左侧、右侧、T字/十字路口）的速度和冲过路口的时间进行设置；支持对巡线计时的速度和时间进行设置；支持对转弯（左侧、中间、右侧）左电机速度和右电机速度进行设置。</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22.支持对程序进行折叠代码和展开代码操作。</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23.支持BLE蓝牙，实现物联网数据收发。</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24.支持WIFI通信：设置名称和密码开启WiFi热点；连接WiFi、获取设备MAC地址、IP地址。</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25.支持程序自动备份功能，自动备份时间间隔和自动备份保留文件数可自行设置。</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26.支持图形化编程和Python编程模式自由切换。</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27.支持蓝牙通信，蓝牙收发数据、读取数据。</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28.支持TCP/UDP客户端：设置IP地址和端口连接服务器；可向服务器发送文本、十六进制数；可接收服务器的文本、十六进制数据。</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29.支持TCP/UDP服务器：设置端口启动TCP/UDPI服务器；可向客户端发送文本、十六进制数；可接收客户端的文本、十六进制数据。</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30.支持MQTT通信：设置服务器地址和端口；可接收MQTT消息、可发送消息到MQTT。</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274</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3D智能扫地机器人主题课程包</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一、核心参数</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 产品名称：扫地机器人创客学习套装</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 主体结构：采用环保PLA材质3D打印成型或积木搭建而成，可模拟随机路径清扫、垃圾收纳功能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 编程支持：兼容图形化编程平台，支持Scratch3.0图形化编程、C语言代码编程，入门门槛低</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 硬件配置：内置可充电式电源，集成可编程接口，支持连接传感器、处理器、执行器等拓展模块</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 安全规范：边角圆润无尖锐凸起，结构稳固耐用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 适用学段：中小学人工智能、编程教育、创客实践课程</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二、配套课程知识点要求</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课程需包含机械结构原理、3D打印结构认知、路径规划逻辑、图形化编程基础、代码编程应用、智能移动控制、项目创意拓展与综合实践等核心知识点，实现机械搭建、编程控制、智能系统设计的完整学习链条。</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275</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3D打印基础智能主题包</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一.产品描述</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D打印基础智能主题包是一款专为青少年打造的智能教育套装，搭载高性能32位LX6处理器，集成Wi-Fi和低功耗蓝牙功能。主控器采用活力色彩与白色搭配设计，兼具亲和力与科技感，扁平小巧的外观配合美工槽线设计，便于抓握且降低出错率。六个面均配备积木拼插孔或凸点，支持多种创意搭建。套装包含触碰、寻迹、颜色、超声波等多种传感器及彩灯模块，配备三个电机、3D打印结构件、650余件多彩积木结构件。支持图形化、C代码和Python编程，满足不同学习阶段需求，适用于培养青少年创新思维和编程能力。</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二.基本参数</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1.主控器采用集成 2.4 GHz Wi-Fi 和 低功耗蓝牙Bluetooth LE)的 MCU 芯片，搭载 32 位 LX6处理器，时钟频率可调，范围为 80 MHz 到 240 MHz。</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2.主控器尺寸：≤88mm×34mm×56mm。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3.采用PC+ABS高品质环保材料。</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4.主控器采用活力颜色与白色搭配的外观，极具亲和力，传达的情感较为温馨、平和、舒缓，对青少年儿童用户学习中出错产生挫败感时，及时恢复情绪至关重要。</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5.主控器整体极具亲和力和科技感的外观以及扁平小巧的设计，一开始就能有效吸引青少年儿童的注意力，产生机器人编程学习创作的兴趣。</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6.主控器美工槽线占据主控器边沿，减少高亮光滑面，便于青少年儿童抓握，有效降低创作出错率，提升可靠性，亦可传递坚固的视觉特征。</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7.主控器六个面都有具备积木拼插孔或凸点，主控正面搭载2×4凸点矩阵，兼容绝大部分积木砖块。</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8.主控器采用四联一体式水晶头端口，连接传感元件能有效预防反插，也能防止脱落，方便插拔。</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9.主控正面配置极具科技感的灯环按键组合，既是开关机键，同时也具备电量检测指示灯标识功能，即电量充足时灯环亮蓝灯，当电量不足时灯环亮红灯。</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10.主控器具备12个RJ11接口，包含带编程驱动专用的马达接口、模拟和数字传感器接口。</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11.主控器内置专用锂电池1块，自带保护电路；数据线接在电源口上可以直接给主控器供电，也可以给锂电池充电。</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12.主控器内置蜂鸣器，支持编程控制播放声音和乐曲。</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13.主控器内置低功耗蓝牙适用于多种无线传输场景，支持蓝牙近场连接。</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1.4主控器配备Reset按钮：可让主板的程序重启。</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15.支持程序实时模式运行。</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16.支持程序下载模式运行。</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17.主控器自带WiFi通讯功能，支持联网学习物联网相关技术。</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18.主控器具备IIC和UART接口，支持外接更多扩展的传感器。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19.主控器支持图形化编程/C代码/Python编程。</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三.配置器材</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1.触碰积木传感器2个：采用RJ11接口，具备3个积木拼接孔，含1个微动开关，微动开关外壳具备1个十字轴插口，方便结构拼接做扩展，可通过微动开关控制电路联通或断开；</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2.彩灯模块X1：采用RJ11接口，具备3个积木拼接孔，含4颗灯珠均支持全彩颜色显示，全部灯珠即可单独也可多个组合控制。</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3.寻迹积木传感器1个：采用RJ11接口，具备3个积木拼接孔，具备两个红外探头可以精准识别路线。</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4.超声波传感器X1：采用RJ11接口，外壳至少4个面带积木拼接孔，方便作品搭建；检测范围为0.05-5米，输出数字量。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5.颜色传感器X1：采用RJ11接口，具备3个积木拼接孔，支持获取物体的R、G、B值。</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6.电机X3：采用RJ11水晶头连接线，至少4个面具备积木拼插孔。</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7.积木结构件：</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（1）数量≥650PCS，积木种类包括光滑销、摩擦销、十字轴、轴销、齿轮、直梁、拐角梁、L型梁、T型梁、套管、框架、连接器、轮毂轮胎、滑轮、细线、橡皮筋、绳子、万向轮、拆件器、橡胶轮胎、履带等。</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（2）颜色丰富，至少包含湖蓝色、紫红色、红色、蓝色、黄色、红色、黑色、灰色等颜色。</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8.其他配件：Type-C数据线x1、传感器连接线x8、3D打印结构件x1套、收纳箱x1。</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276</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3D打印笔课程套装</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1、体型小巧，便于携带；笔身纤细，拿握更舒适； 2、仅两个按键，操作简单；</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 360度快速散热，结合低温绘画材料，安全；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4、定制电机，性能更加优越；出丝平稳顺畅，不赌料，不溢料；</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5、工作电压：5V 2A</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6、喷嘴直径：≥0.6mm 耗材直径：≥1.75mm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7、裸笔净重：≥40g 笔身长度：≥160mm 笔身宽度：≥15mm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8、吐丝速度：≥120cm/min 加热温度：80℃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9、打印笔PCL耗材1卷，直径：≥1.75mm，≥1kg</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621"/>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277</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无人机设备</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278</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A200单机</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1、轴距:≥225mm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2.产品尺寸:325×325×130mm（±10mm）(长宽高)</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3.材质:ABS环保材料、电子元件</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4.颜色:白色、机尾有明显标识带</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5.重量:约≥150g(含电池)</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6.电机:816空心杯电机</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7.桨叶:直径≥145mm双叶桨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8.定位:IMU惯性定位</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9.定高:气压计定高</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10.陀螺仪:6轴陀螺仪</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11.抗风能力:&lt;3级</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12.续航时间:≥13min</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13.速度调控:快中慢三档调速</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14.控制方式:2.4Ghz遥控飞行</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15.飞行环境:室内场馆、室外无风</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16.遥控距离:安全距离80一100m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17.遥控器:2.4Ghz、4通道遥控器、4节5号普通电池供电</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18.电池:3.7V1S锂电池，容量3000mAh</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19.安全防护:半包围式桨保护圈</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20.指示灯:4颗双色指示灯区分机头机尾，提供低电量提示、信号状态指示、IMU异常指示、飞控校准指示等。</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架</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279</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F650单机</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1、规格：173mn×173m×43（±10mm）(长宽高)</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2、轴距：≥115mm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3、重量：约≥90g(含保护罩，电池)</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4、电机：空心杯电机</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5、电池：15锂电池，电池电压；3.7V,1000mAh,尺寸≥34mn×34mm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6、飞行控制板：支持图形化编程控制及遥控控制在内的多种飞行控制，支持多种飞行模式，可实现python代码的实时转化，含光流模块、激光定高模块、视觉识别模块。</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7、主控板有4个电机接口，3个可拓展I/0接口，接口可拓展不同的传感器、执行器。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遥控器：自带显示屏，2.4G通讯，可实时查看陀螺仪、气压计、光流模块、视觉模块、激光测距、人工智能等传感器状态，能够设置各种飞行模式，遥控器其他功能：功能一；直接可控制任意一架无人机飞行操控；功能二：可直接连接电脑进行编程；功能三：可连接自带图形化编队软件，控制模拟飞行操控；功能四：一个遥控可操控多台无人机完成飞行任务。</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9、编程语言：同一编程软件内可实现图形化编程、python编程，且在图形化编程模式下能自动生成python代码。</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10、光流模块；支持光流定位，</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11、激光模块：采用激光定高。</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12、支持二维码识别功能：可通过图形化编程进行二维码识别功能的演示：并且遥控器上可实时显示识别到二维码的数据。</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13、支持选择性色块定位，支持自定义标志定位。</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14、高度限定：无人机可以通过地面站软件设置最高高度；</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15、地面站：具有频谱仪功能，可实时查看现场信道占用情况，支持信道及连接密码修改，支持各类数据查看、飞行日志查看等。</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16、可拓展：机械爪模块、电磁铁模块、激光打靶模块、人工智能语音播报、可用于编程完成指定任务，</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17、自带图形化编程：在同一编程界面上，可以实现多机编程还可和其他智能设备联动。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18、自带RGB灯，灯光可编程控制，也可跟随音乐节奏变换灯光，</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19、自带编队软件，可通过编队软件实现多机编队飞行</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20、支持互联通信模块，可与相关智能产品如机器人、智能场景道具等产品实现物联数据交换，</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280</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标准赛道</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（操控+编程）</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numPr>
                <w:ilvl w:val="0"/>
                <w:numId w:val="16"/>
              </w:num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竞赛场地地毯（数量×1）：</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尺寸：5.2m（长）×2.5m（宽）（±10mm）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材质：PVC材质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2.障碍圆门（数量3）：</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  圆门尺寸：≥50cm  材质：PP材质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  支撑杆高度：≥100cm  材质：PVC材质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3.城市区障碍物：</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  障碍支撑杆：≥150cm、≥120cm、≥100cm、≥50cm多种规格    </w:t>
            </w:r>
            <w:r/>
          </w:p>
          <w:p>
            <w:pPr>
              <w:ind w:firstLine="200"/>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材质：PVC材质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障碍迷宫板：尺寸：≥485×485mm  材质：双面彩图KT板</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4.标签码（一套）：</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 材质：聚酯纤维（涤纶）</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5.运送物资：沙包：尺寸：≥25×25mm    重量＜4g</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281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A200射击靶标-SKT</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标靶：材质KT板子×9</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结构件：金属材质</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28"/>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282</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A200电池</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电池1块</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17"/>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283</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F650电池</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电池1块</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82"/>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284</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F650桨叶</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4只装（2正2反）</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285</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智能仿生机器狗</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基础版</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尺寸:229X178X169mm （±10mm）(待机站立姿态)</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重量:≥1kg</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主控:双哈佛结构Xtensa LX6 CPU，树莓派4B</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主频:240MHz</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SRAM:520KB</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PSRAM:4M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接口:UART/SPI/I2C/PWM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主控系统:FreeRTOS/Lwip</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供电电压:直流8V</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工作电流:9A</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最快速度:20cm/秒</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电池容量:3000mAh</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待机时间:7.5小时</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续航时间:0.8小时</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舵机型号:XR-SG90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自由度:13自由度</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充电时间:7-10小时</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步态类型:三角步态步态算法逆向运动学求解</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摄像头分辨率:480P</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摄像头像素:100万</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控制距离:15M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控制方式:WiFi无线 802.11b/g/n</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控制终端:手机、PAD、PC电脑</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编程语言:Arduino C / XR Block Scratch图形化编程 / Python</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主控采用ESP32双核MCU</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自带WiFi功能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支持无线视频传输</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支持UART总线串行舵机，支持树莓派、UNO R3等拓展模块</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支持Python编程，C语言二次开发，支持图形化编程平台</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支持全聚合机器人终端控制，支持手机、PAD、PC电脑无线控制</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内置不少于20种的动作功能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支持视觉寻迹、颜色识别、人脸识别等AI人工智能玩法</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82"/>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3F小学科学实验室辅房配备清单</w:t>
            </w:r>
            <w:r/>
          </w:p>
        </w:tc>
      </w:tr>
      <w:tr>
        <w:trPr>
          <w:trHeight w:val="2614"/>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286</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准备桌</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1、尺寸：2400（长）×1200（宽）×780mm（高）（±10mm）。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1、台面：采用厚度≥12.7mm实验室专用实芯理化板,周边加厚至≥25.4mm,倒圆角处理.,防强酸强碱，耐磨耐高温；不含任何有毒物质，无辐射，受热不产生有毒气体和物质；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2、全钢柜体，含座人位，柜体上抽下门设计，采用</w:t>
            </w:r>
            <w:bookmarkStart w:id="152" w:name="OLE_LINK47"/>
            <w:r>
              <w:rPr>
                <w:rFonts w:hint="eastAsia" w:ascii="宋体" w:hAnsi="宋体" w:eastAsia="宋体" w:cs="宋体"/>
                <w:color w:val="auto"/>
                <w:sz w:val="20"/>
                <w:szCs w:val="20"/>
                <w:highlight w:val="none"/>
                <w:lang w:bidi="ar"/>
              </w:rPr>
              <w:t xml:space="preserve">壁厚</w:t>
            </w:r>
            <w:bookmarkEnd w:id="152"/>
            <w:r>
              <w:rPr>
                <w:rFonts w:hint="eastAsia" w:ascii="宋体" w:hAnsi="宋体" w:eastAsia="宋体" w:cs="宋体"/>
                <w:color w:val="auto"/>
                <w:sz w:val="20"/>
                <w:szCs w:val="20"/>
                <w:highlight w:val="none"/>
                <w:lang w:bidi="ar"/>
              </w:rPr>
              <w:t xml:space="preserve">≥1.0mm高强度镀锌钢板，经折弯成型焊接一体成型，抽面及门板采用双层隔音处理，座人位上方采用钢制方框连接在左右柜体。</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3、五金配件：抽屉导轨采用防腐三节静音导轨，门板合页采用不锈钢防腐合页。</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287</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塑料水槽柜</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水槽柜：金属柜体和PP注塑成型底座相结合，采用螺丝固定连接在一起，安全牢固，造型采用上大下小，操作侧前倾的外形，方便使用。四周圆弧角设计，安全，美观。柜体采用壁厚≥1mm厚冷轧钢板外壳 ，后设检修门，方便安装维修，表面静电粉末喷涂、防水、防锈、防撞 。底座采用一体成型pp塑料底座，环保，耐酸碱，有效将柜体抬离里面，直径50MM橡胶底脚于底座采用≥8mm螺纹连接，牢固，防滑。水槽：尺寸≥450×580×250mm采用环保型PP材料一次性注塑成型，耐强酸碱及有机溶剂，壁厚≥3mm，具有防溢出功能。</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689"/>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288</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水嘴</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1、双联定制型鹅颈式实验室专用水嘴；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2、鹅颈出水管采用铜质加厚铜管弯制成型，铜质出水水咀采用螺纹式安装，可方便拆卸；</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3、开关手柄采用PP旋转式手柄，两个出水鹅颈可以向前折叠，不用时可以掩藏在水槽柜内。</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4、上水接口自带成型螺纹，可方便连接上水软管。</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付</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42"/>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289</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洗眼器</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1、台面安装方式，平时放置于台面，紧急使用时可随意抽起，使用方便。</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2、洗眼喷头：具有过滤泡棉及防尘功能，上面防尘盖平常可防尘，使用时可随时被水冲开，并降低突然打开时短暂的高水压，避免冲伤眼睛。</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3、控水阀采用黄铜制作，经高亮度环氧树脂涂层处理，外观美观大方，阀门可自动关闭，密封可靠。</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4、供水软管：采用2m长不锈钢软管。</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2856"/>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290</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试剂架</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尺寸：2200×300×550mm（±10mm），单层。</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1、立柱采用≥80mm×42mm×壁厚1mm 铝合金专用型材，挡条采用≥40mm×15mm×1mm 的铝合金专用型材。</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2、支撑件采用壁厚≥1mm 厚的镀锌钢板冲压成型。支撑件用不锈钢内六角螺丝及小铁条固定在立柱上，可以上下自由调节。金属件外喷纯环氧树脂高温固化。</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固定件采用≥4mm厚的专用合金件，充分保证试剂架安装后的稳定性。4、电源插座采用10A多功能透明防溅。试剂架的上端和下端与台面连接的地方，分别采用工程塑料成型的立柱盖和立柱套。试剂架的螺丝均采用不锈钢螺丝，层板采用≥8-12mm浮法玻璃。</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291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仪器柜</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1、规格：1000×500×2000mm（±10mm）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2、材质：PP材质，分上、下对开门柜体，柜体中间有层板。</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3、柜体：侧板、背板、顶板、底板采用增强型PP材质，一次注塑成型，结构紧密，耐腐蚀性强。</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4、上柜门：采用增强型PP材质一次注塑成型，外嵌钢化烤漆玻璃,中间玻璃做镂空处理，透明可视。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5、下柜门：采用增强型PP材质一次注塑成型，外嵌钢化烤漆玻璃。</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层板：上柜配两块活动层板，下柜配一块活动层板。层板为增强型PP材质一次注塑成型，层板下部有两条镀锌钢管，增强了层板承重强度，也避免了后安装钢制横梁，避免腐蚀。美观耐用。层板可以抽取，自由组合各层空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7、门把手：采用增强型PP材质一次注塑成型，美观耐用。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8、门铰链：用增强型PP材质一次注塑成型，内嵌隐藏安装方便，耐腐蚀。</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9、柜顶预留通风系统，可以与通风管路连接。</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292</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椅子</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尺寸：530×465×820mm（±10mm）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1；椅座采用优质棉绒弹力面料。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2.优质高回弹密度发泡海绵。</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3；采用水基型胶粘剂,。</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4；椅身：Y字形靠背稳定结构，采用全新PP+纤维，环保可回收使用无污染，能通过≥120K靠背拉力测试。</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5；椅架全铝合金材质压铸成型结构，表面抛光打磨防刮耐磨防锈处理，易堆叠，脚架左右两侧自带联排卡扣，防止摆放杂乱。脚架内侧设有4个防刮胶垫，隔开空间防椅子堆叠时候的刮花</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2971"/>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293</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办公桌椅</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桌子尺寸:1200×600×750mm（±10mm）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基材：环保型饰面刨花板制作，台面板厚度≥25mm,其余板材厚度≥18mm。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饰面：正反三聚氰胺贴面（厚度≥0.6mm）。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封边：≥2mm厚同色优质PVC封边。</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桌架：国产钢结构，壁厚≥1.5mm。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涂装：涂膜厚50-70μm。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胶水：优质环保型胶水。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五金件：优质五金配件。</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椅背：PP背框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椅座：≥12mm座板，定型绵，弹力布座布</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底盘：原位锁定蝴蝶底盘</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扶手：PP连体固定扶手</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气杆：行程≥100mm沉口≥50mm三级气杆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椅脚：≥340mmPP五星脚</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椅轮：≥60/25黑色PA轮</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82"/>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3F心理咨询室1配备清单</w:t>
            </w:r>
            <w:r/>
          </w:p>
        </w:tc>
      </w:tr>
      <w:tr>
        <w:trPr>
          <w:trHeight w:val="1134"/>
        </w:trPr>
        <w:tc>
          <w:tcPr>
            <w:gridSpan w:val="2"/>
            <w:tcBorders>
              <w:top w:val="single" w:color="000000" w:sz="4" w:space="0"/>
              <w:left w:val="single" w:color="000000" w:sz="4" w:space="0"/>
              <w:bottom w:val="single" w:color="000000" w:sz="4" w:space="0"/>
              <w:right w:val="single" w:color="000000" w:sz="4" w:space="0"/>
            </w:tcBorders>
            <w:tcW w:w="888" w:type="pct"/>
            <w:vAlign w:val="bottom"/>
            <w:textDirection w:val="lrTb"/>
            <w:noWrap w:val="false"/>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15平：</w:t>
            </w:r>
            <w:r>
              <w:rPr>
                <w:rFonts w:hint="eastAsia" w:ascii="宋体" w:hAnsi="宋体" w:eastAsia="宋体" w:cs="宋体"/>
                <w:b/>
                <w:bCs/>
                <w:color w:val="auto"/>
                <w:sz w:val="20"/>
                <w:szCs w:val="20"/>
                <w:highlight w:val="none"/>
                <w:lang w:bidi="ar"/>
              </w:rPr>
              <w:br/>
            </w:r>
            <w:r>
              <w:rPr>
                <w:rFonts w:hint="eastAsia" w:ascii="宋体" w:hAnsi="宋体" w:eastAsia="宋体" w:cs="宋体"/>
                <w:b/>
                <w:bCs/>
                <w:color w:val="auto"/>
                <w:sz w:val="20"/>
                <w:szCs w:val="20"/>
                <w:highlight w:val="none"/>
                <w:lang w:bidi="ar"/>
              </w:rPr>
              <w:t xml:space="preserve">办公接待+沙盘游戏室</w:t>
            </w:r>
            <w:r/>
          </w:p>
        </w:tc>
        <w:tc>
          <w:tcPr>
            <w:tcBorders>
              <w:top w:val="single" w:color="000000" w:sz="4" w:space="0"/>
              <w:left w:val="single" w:color="000000" w:sz="4" w:space="0"/>
              <w:bottom w:val="single" w:color="000000" w:sz="4" w:space="0"/>
              <w:right w:val="single" w:color="000000" w:sz="4" w:space="0"/>
            </w:tcBorders>
            <w:tcW w:w="3349" w:type="pct"/>
            <w:vAlign w:val="bottom"/>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310" w:type="pct"/>
            <w:vAlign w:val="bottom"/>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43" w:type="pct"/>
            <w:vAlign w:val="bottom"/>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08" w:type="pct"/>
            <w:vAlign w:val="bottom"/>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36"/>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294</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办公桌椅</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桌子尺寸:1200×600×750mm（±10mm）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基材：环保型饰面刨花板制作，台面板厚度≥25mm,其余板材厚度≥18mm。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饰面：正反三聚氰胺贴面（厚度≥0.6mm）。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封边：≥2mm厚同色优质PVC封边。</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桌架：国产钢结构，壁厚≥1.5mm。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涂装：涂膜厚50-70μm。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胶水：优质环保型胶水。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五金件：优质五金配件。</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椅背：PP背框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椅座：≥12mm座板，定型绵，弹力布座布</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底盘：原位锁定蝴蝶底盘</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扶手：PP连体固定扶手</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气杆：行程≥100mm沉口≥50mm三级气杆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椅脚：≥340mmPP五星脚</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椅轮：≥60/25黑色PA轮</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2012"/>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295</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心理健康数据</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管理终端</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1.机箱：机箱≥13L，支持全高全长扩展卡。</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2.处理器：配置1颗国产C86架构CPU，每颗CPU物理核心数≥8核，每颗CPU主频≥3.0GHz，三级缓存≥16MB，支持超线程技术</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3.内存：配置16GB DDR4 UDIMM内存，配置≥4个内存插槽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4.显卡：标配2G独立显卡，支持VGA+HDMI视频输出显示；</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5.硬盘：≥512G M.2接口NVME协议SSD,支持扩展机械硬盘；</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6.电源：电源功率≥180W，电源通过80PLUS认证；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7.网络：1个RJ45 10/100/1000自适应以太网口；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8.扩展槽：1个PCIe x16，1个PCIe x4，1个PCIe x1扩展槽；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9.接口：USB接口不少于8个（其中前置USB3.0 Type A数量≥4个，后置USB3.0接口≥4个）；≥5个音频接口：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10.易用性：免工具拆卸机箱、带顶置提手，便于维护（不接受组装），支持键盘开机。</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11.操作系统:支持银河麒麟或统信桌面操作系统</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12.显示器：配置≥23.8寸LED显示器，与主机同品牌，分辨率≥1920×1080；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13.信息安全：整机电子元器件国产化率≥99%</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296</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文件柜</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规格：800×400×2000mm（±10mm）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基材：环保型饰面刨花板制作板材厚度≥18mm。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饰面：正反三聚氰胺贴面（厚度≥0.6mm）。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封边：≥2mm厚同色优质PVC封边。</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胶水：优质环保型胶水。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五金件：优质柜门拉手，配置优质国产锁具，优质三合一偏心连接件。</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297</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沙发茶几</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沙发：三人沙发规格：1575×590×710mm（±10mm）.单人沙发规格：≥640×590×710mm.三人位+单人位+单人位组合。来访学生等待休息，木制布艺沙发与整体环境相协调。</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茶几：规格：≥1200×500×450mm 双层实木茶几 双层储物空间，加厚生态实木板（加厚≥15mm台面，经久耐用，承重力加倍）（≥20mm橡胶实木腿，稳固不晃）圆润四角大弧度，预防磕碰。</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298</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心理自助系统</w:t>
            </w:r>
            <w:r/>
          </w:p>
        </w:tc>
        <w:tc>
          <w:tcPr>
            <w:tcBorders>
              <w:top w:val="single" w:color="000000" w:sz="4" w:space="0"/>
              <w:left w:val="single" w:color="000000" w:sz="4" w:space="0"/>
              <w:bottom w:val="single" w:color="000000" w:sz="4" w:space="0"/>
              <w:right w:val="single" w:color="000000" w:sz="4" w:space="0"/>
            </w:tcBorders>
            <w:tcW w:w="3349" w:type="pct"/>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智能引导式的自助情绪疏导系统，针对愤怒、忧伤、沮丧、焦虑等常见的消极情绪，按照情绪唤醒——合理宣泄——认知调整等步骤，通过多种方法引导用户疏导不良情绪，建立合理信念，获得积极的生活态度。</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 本系统由触控一体机、多媒体专业调音设备、头戴式耳机（带麦）等组成，采用多巴胺设计风格，传递积极向上的能量。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2.横屏立式触控一体机：屏幕尺寸≥43英寸 ，CPU： Intel I5 2.4G或以上，尺寸：长1070×宽470×高1760（mm）（±10mm）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 具有情绪主题疏导、趣味宣泄、认知朗读、心情涂鸦、情绪体验、档案管理等模块。</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4.近180个心理引导库，模拟心理咨询互动，给予实时反馈和专业引导。</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 智能采集声音的实时分贝值，计算能量值，评估宣泄指数等。</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 情绪主题疏导：提供常见的情绪问题（愤怒、忧伤、焦虑等）的应对疏导方案，通过场景再现——合理宣泄——认知调整等步骤，智能引导用户疏导不良情绪，并自动生成报告。</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7.趣味宣泄：采用游戏形式，引导用户呐喊宣泄，如“大声尖叫”、“爆发吧！小宇宙”、“跳跃的大脚”；系统自动记录每次游戏中的宣泄指数等。</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 认知朗读：通过朗读引发用户思考，建立合理认知。内含丰富的朗读素材，支持素材自添加，并可自动生成跟读模式。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9. 心情涂鸦：分为自由涂鸦和模板涂鸦两种方式，支持用户自添加涂鸦模板，具有发布、查看、互动等功能。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10.情绪体验：通过表情模仿与拍摄，体验相应的情绪，用户可添加更多表情。</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11. 档案管理：具有个人资料修改、历史足迹记录等功能。</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299</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心理沙盘（标准版）</w:t>
            </w:r>
            <w:r/>
          </w:p>
        </w:tc>
        <w:tc>
          <w:tcPr>
            <w:tcBorders>
              <w:top w:val="single" w:color="000000" w:sz="4" w:space="0"/>
              <w:left w:val="single" w:color="000000" w:sz="4" w:space="0"/>
              <w:bottom w:val="single" w:color="000000" w:sz="4" w:space="0"/>
              <w:right w:val="single" w:color="000000" w:sz="4" w:space="0"/>
            </w:tcBorders>
            <w:tcW w:w="3349" w:type="pct"/>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“沙盘游戏疗法”（又叫箱庭疗法）作为一种经典的非语言的心理治疗技术，适用于任何年龄；常用于个别咨询与治疗，也可用于小团体。</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配套的沙盘分析软件可帮助心理咨询师（心理老师）进行个体沙盘、团体沙盘的记录管理与分析工作。</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1.产品构成：包含沙具、沙子、沙箱及放置架、沙盘管理软件、指导材料、配套工具等。</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2.沙具：≥1000件，造型接近于现实之物，包括人物、动物、植物、各种车船、飞行物、建筑物、桥、栏杆、石头等，共计12大类54小类。</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3.沙子：≥12.5公斤，白色石英砂，颗粒光滑、大小均匀、高温消毒。</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4.沙箱1个，内径尺寸720mm×570mm×70mm（±10mm），外侧为木本色，内侧为蓝色，具有防水设计。</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5.放置架1个。</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6.沙盘档案管理软件：具有用户信息管理、沙盘记录管理、意象分析等功能。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7.支持个体沙盘管理与团体沙盘管理，具有快速查找、批量管理等功能；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8.保存沙盘游戏过程的图片以及视频资料，记录咨询师的分析评估文字，可追加记录，可在固定时间轨插入点评；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9.具有沙盘意象自动检索与分析功能，帮助心理老师解读沙盘作品。</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10.指导材料：沙盘指导手册、意象分析词典、说明书、光盘，正式出版物（2本）</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11.配套工具：沙刷、沙耙、沙具篮、喷水壶四件套，沙盘记录手册1本。</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校园心育系统</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一、系统简介</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自开通之日起使用期6年，校园心育系统基于科学心理学、云计算、物联网、人工智能以及大数据，为学校或者区县级及以上教育系统搭建的心理大数据云平台，可实现心育工作在教育系统的纵向互通，在家校社的横向互联。</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平台围绕心育工作的相关</w:t>
            </w:r>
            <w:r>
              <w:rPr>
                <w:rFonts w:hint="eastAsia" w:ascii="宋体" w:hAnsi="宋体" w:eastAsia="宋体" w:cs="宋体"/>
                <w:color w:val="auto"/>
                <w:sz w:val="20"/>
                <w:szCs w:val="20"/>
                <w:highlight w:val="none"/>
                <w:lang w:bidi="ar"/>
              </w:rPr>
              <w:t xml:space="preserve">组织和人员，紧扣心育工作相关举措，打造了一个从心理筛查、心理评估、预警管理、学生心理发展、教育教学、家庭教育、心育科研等功能的心育闭环平台。平台人员涵盖教育管理者、教师（心理老师、班主任等所有教师）、学生、家长，社会力量等。在教育系统内实现心理普查测评、危机管理、心理辅导管理、心理课堂、教师成长、设备管理、心理档案、心育大数据统计、展示、分析研究等功能；在家校间实现心理普查、智慧家长培育、家校观察、家校心育活动互动等家校共育功能；在家校社实现科学心理技术、实用心理资源、实效心育经验、优质心理师资的共享共融。</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平台可以有效提高心育工作管理水平和工作效率；可形成大量的心育数据，助力教育研究；可调动更多力量参与心育工作，形成纵向互通，横向互联的全面心育模式；可全面普及科学心理知识，惠及更多学生、教师与家长，从而实现心理预防教育，心理健康辅导，心理教育优化的建设目标。</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二、技术概述：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2.1系统架构：整个系统基于B/S架构，采用应用服务器+数据库+客户端浏览器的运行模式。服务器端通过在计算机阿里云云端集群上搭建基于Spring Cloud的微服务平台（其中包括注册中心、配置中心、权限验证中心、网关等在内的多个基础组件）、设置独立的数据库服务器支持数据持久化等技术，来确保整个系统能够安全、稳定、高效运行并具有灵活性、可扩展性和可复用性的特点。客户端以Chrome浏览器为操作界面，并能够兼容360、Firefox等市面常见浏览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2.2数据库：使用MySQL作为数据库管理平台，同时采用分布式文件存储数据库MongoDB存储大数据内容，能高效检索和做数据分析。</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2.3系统部署：整个微服务系统采用Docker进行部署，并使用Kubernetes进行容器管理；支持分布式均衡负载、多级节点部署，用户按需接入服务</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2.4数据安全：采用用户权限管理、MD5加密、数据库加密、磁盘阵列服务器等多种安全策略保护信息安全；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2.5采用分布式缓存中间件redis，稳定可靠的缓存服务，提高请求效率</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2.6公司平台通过等保安全认证二级，安全保障级别高</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2.7软件SAAS化，软件及服务，高性能低成本扩展强，易维护，统一化管理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2.8系统云服务部署，阿里云的安全和运维配套设施保障基础服务的稳定和安全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三、基础数据服务系统</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3.1支持部门、角色以及人员管理和设置，满足客户的基本使用要求，包含部门管理、角色管理、机构人员管理、老师管理、学生管理功能；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3.2支持部门管理：部门管理功能中，支持为每个部门添加多个年级，并且在每个年级下可以进一步添加多个班级。可以轻松添加、编辑和删除年级和班级；</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3.3支持角色管理：可以添加对应的角色，同时给角色赋予相应系统模块权限，达到通过角色控制系统权限的目的，方便管理员统一管理该角色类型用户。</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3.4支持机构人员管理：按照学生、老师、普通用户、角色三个层级方便地添加、修改和删除机构人员，以适应机构内部的人员调整和变动，确保人员列表的准确性和及时性；</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3.5支持老师管理：通过老师管理功能，可以方便地添加、修改和删除老师，以适应机构内部的人员调整和变动，确保人员列表的准确性和及时性。老师信息主要有姓名、生日、性别、手机号、管理班级等信息，同时给老师赋予相应的岗位和角色权限控制，支持批量导入和批量下载，并支持对指定人员批量换部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3.6支持学生管理：通过学生管理功能，可以方便地添加、修改和删除学生，学生信息主要有账号、姓名、密码、性别、学号等，同时给学生赋予相应的角色配置控制，支持单个学生用户增加和批量导入和批量下载学生信息的功能，并支持对指定人员批量换部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3.7支持权限设置为上级可看下级，平级不可查看，下级不可看上级；基础的角色权限配置模块；机构管理人员-&gt;老师-&gt;学生；完整的用户、角色、权限管理模块，其中权限支持到具体功能模块的菜单权限，自定义设置角色查看模块权限；</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3.8支持添加的学生和老师用户，互通登录云平台和云平台对应相同的硬件设备；</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3.9支持批量导入用户和二维码注册分享功能，批量导入：一次性批量导入用户资料生成登录帐号、密码、姓名、性别等信息，二维码注册：支持后台设置对应角色并生成对应二维码分析给指定用户，用户扫码后填入对应信息即可拥有分析角色权限；</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3.10支持管理员可以对注册用户进行审核、统一管理，支持批量删除、新增用户的功能；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3.11支持平台内终端设备账号信息登陆互通功能，用户可用同一账号在不同终端设备之间进行登陆访问；</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3.12基础数据服务是系统的基石，负责系统的登录、用户信息管理以及所有系统的权限设置，功能强大且安全可靠。</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四、家校心育中心</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家校共育心理服务中心是为了促进家庭和学校之间的合作，助力家长、学生、教师心理发展的心育服务中心。它旨在帮助家长、教师和学生建立良好的沟通和互动，在孩子的心育工作上达到共识，最终在科学心理观下打造良好的家校沟通环境，共同关注和助力孩子的心理健康和成长。</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4.1心理预约：学校的心理老师入驻平台后，为学校师生和家长开放预约时间表，学校师生及家长可在线对本校的心理老师进行心理咨询预约；</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4.2心理普查：师生及家长可在平台完成学校的心理普查和测评、家庭教育调研等工作；</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4.3家校共育：针对学生的问题，在家校间进行观察、跟踪和问题上报，并支持在对应学生校园心理辅导期间通过此模块完成辅导治疗家庭作业，助于家长和教师更全面地了解学生的发展，同步学生成长信息，协同采取相应的支持措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4.4心理知识科普：适合教师、学生与家长学习的科普公</w:t>
            </w:r>
            <w:r>
              <w:rPr>
                <w:rFonts w:hint="eastAsia" w:ascii="宋体" w:hAnsi="宋体" w:eastAsia="宋体" w:cs="宋体"/>
                <w:color w:val="auto"/>
                <w:sz w:val="20"/>
                <w:szCs w:val="20"/>
                <w:highlight w:val="none"/>
                <w:lang w:bidi="ar"/>
              </w:rPr>
              <w:t xml:space="preserve">益性课堂，内容涵盖学习心理、人际关系、生活、性格等层面，围绕问题相关的情绪、思维、行为、认知评价等展开。旨在普及科学心理知识，助力教育教学和家庭教育；课程内容包括“如何引导爱玩手机的孩子”、“如何预防和减少青春期逆反”、“如何识别孩子心理健康预警信号”、“如何培养孩子热爱父母的优秀品格”等内容，且内容会定期常态化更新，内容是在科学心理技术体系下由心理技术与教育教学经验丰富的专业团队打造，科学实效且无任何版权问题。课程通俗易懂，实用，旨在让教师、家长学生提供学习科学的心育观，降低焦虑，助力学生成长与家庭教育；</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4.5校园心理活动：通过一系列精心策划与设计的心理活动，为学生心理素质的提升铺设坚实的基石，助力他们增强面对生活与挑战的能力，从而推动个人全方位的成长与发展。在此基础上，学校机构能够自主管理并发布各类心理活动，包括活动详情、时间、地点等关信息，确保信息的时效性和准确性。通过智能化的管理平台，学校机构可以轻松追踪活动的发布状态，实时活动进展。学生只需通过线上平台，即可轻松完成活动报名，无需繁琐的线下流程，大提升了参与便利性。</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学校机构可发布各类社区信息，包括但不限于心理健康知识、成长建议、活动预告等，为学生健康成长提供全方位的支持</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4.6 动态观察：支持在教师端/家长端上传问题学生异常情况至心理健康中心。</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4.7校内辅导：支持教师端/家长端对申请辅导的学生进行同意并查看辅导记录。</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五、危机管理中心</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危机管理中心产品模块的定位是一款专门针对心理危机管理而设计的系统。它旨在提供针对个体或组织在面对心理危机时的支持和帮助，包括心理筛查、心理评估、危机干预、档案管理、个体辅导等核心功能，为实现新生心理普查、学生心理问题评估、危机筛查和学生心理档案建立等工作提升效率，展现心理健康工作成果。</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5.1支持心理健康管理数据概况总览：包括机构介绍、数据总览、快捷入口、查看学生总数、老师总数、预警人数、普查测评报告数。</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5.2支持普查测评关于动机、行为、家庭教养方式、能力、人格等方面。</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5.3发起普查：自定义发布普查计划包括设置普查名称、普查说明、普查开始时间、结束时间、发布范围、发布对象、报告查看权限、量表查看权限等，内置丰富量表进行选择，支持单次普查计划发放多个量表；系统新增普查任务后，系统会自动生成普查任务链接（手机、电脑）和测评二维码。</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5.4普查列表：普查动态：可对测评计划的测评进度按照已普查人数、未普查人数等状态进行统计，形成统计图表；查看普查报告包含普查筛查标准、筛查工具、心理测试分析、预警名单、对策与建议；预警名单可对普查存在风险或问题的人员进行识别预警级别和名单；</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5.5日常观察：支持查看和管理教师端/家长端上报日常观察异常学生数据。</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5.6校内评估：量表评估：支持通过使用标准化的心理测量工具来评估受测者在某些特定领域的心理特征或状态，可针对普查预警名单人员发起二次测评操作；心理访谈：心理工作者与受测者的交谈；</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5.7家校观察评估：家校观察记录：记录个体的信息，在学校及家里生活中的行为和情绪变化、学习表现、思维等信息；共享观察记录：支持观察记录数据共享；家校观察数据删除；</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5.8医院评估：管理校内学生转介或在外医院心理治疗信息，下载建议书：提供规范文档下载功能；医院诊断书：支持上传学生医院诊断信息并存档；评估结果：支持为当前案例信息输入危机程度、干预措施、风险类型等信息；在校状态：支持对学生的休学、复学状态进行变更和记录。</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5.9 评估总结：支持包括量表评估结果、心理访谈记录、观察记录查看，在完成心理评估后，对受测者的情况进行等级标记、描述汇总。</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5.10个体危机管理：危机库按照风险类型和危机程度统计平台内所有危机数据，支持将危机数据使用校内辅导、校外转介等干预方式；支持对预警用户的预警级别进行流转；危机上报：支持将对应材料上报至上级机构（诊断书、家校观察记录、心理访谈记录、量表评估）</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5.11个体心理辅导：个体辅导记录：可添加多次记录、老师访谈记录、家长访谈记录、辅导总结等，辅导记录包括辅导时间、个人基础信息、辅导目标、主要问题、家庭情况、辅导方案等内容；针对辅导用户可发起日常运动、设备辅助、资源学习等辅导帮助；支持开放辅导数据；支持导出辅导数据；</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5.12普查档案：可对个人普查档案进行管理；个人普查档案包含基本信息、因子得分、总体分析等内容。</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5.13排班统计：支持咨询师临时取消咨询、临时修改排班、查看当周所接咨询任务，并查看学生预约记录/设备预约记录。</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5.14排班管理：管理员支持对心理老师排班和物联设备预约时段、预约次数进行设置、修改、删除预约的初始时间段和结束时间段。</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5.15上报管理：普查上报：查看下级对上级进行上报的普查数据；普查档案上报：支持查看下级对上级进行上报的普查档案数据；危机上报：支持查看下级对上级进行上报的危机预警数据；</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六、智慧心大数据中心</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6.1 支持以学校为单位的数据查看与分析。</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6.2支持数据可视化展示功能，通过曲线图、柱形图、饼状图等图表的方式展示机构内的不同心理数据，动态监测心理大数据。</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6.3支持查看机构数据分析，通过对比折线图的形式体现当前机构数量月度趋势。</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6.4支持师资数据分析，包括当前教师总数、各类型用户师资配比，查看到心理老师、普通老师、班主任等师资分布比例和数量。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6.5支持学生人数数据分析，包括学生总人数、学生男女性别分布。</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6.6支持学生年级人数分布分析，按照各年级统计学生人数。</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6.7支持查看一定时间范围内新增和日活的数据量。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6.8支持对学校内心理普查的次数以及测评数据的预警与非预警分析，便于及时发现问题，进行处理。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6.9支持查看学校内心理教育功能室功能室数量、设备数、课程参与人数、课程开放数等数据。</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6.10根据云平台收集到的有关数据，对区域内普查危机预警统计数据，预警分布情况，预警趋势分析，预警年龄阶段占比、设备使用情况、设备类型分类等内容，通过图表的方式呈现，更直观，便于学校领导进行管理和督导。</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6.11 根据老师和心理老师以等用户的数量情况，统计师资占比，直观反应该区域心理老师配比情况，为学校合理部署专业人员提供参考依据。</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6.12统计学校心理预警数据，包括测评总数、预警数、整体呈现该区域整体心理预警情况。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6.13大数据平台后台采用先进的分布书文件存储，查询速度和分析功能强大，能高效分析和检索数据。</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七、物联设备管理（与已有终端设备联接）</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7.1校园心育系统统一、集中、汇总性的报表系统，所有统计分析类的数据，包括数据总览，明细列表，图表分析展示、列表展示、数据搜索等数据报表。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7.2支持查看所购买过的并且有权限同时已上云的设备APP使用的数据概览和使用数据的明细列表，并且可以通过跟踪筛选条件进行分维度筛选。</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7.3支持查看云平台自身系统的使用数据，作为用户行为数据分析和用户行为数据的日志数据，并且在有权限的情况下可以查看明细；通过用户行为数据分析也可以得出一些参考指导建议。</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301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身心反馈放松训练系统（专业版）</w:t>
            </w:r>
            <w:r/>
          </w:p>
        </w:tc>
        <w:tc>
          <w:tcPr>
            <w:tcBorders>
              <w:top w:val="single" w:color="000000" w:sz="4" w:space="0"/>
              <w:left w:val="single" w:color="000000" w:sz="4" w:space="0"/>
              <w:bottom w:val="single" w:color="000000" w:sz="4" w:space="0"/>
              <w:right w:val="single" w:color="000000" w:sz="4" w:space="0"/>
            </w:tcBorders>
            <w:tcW w:w="3349" w:type="pct"/>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系统实时监测用户的生理指标，提供肌肉放松、意象放松、正念冥想等多种方式引导用户自主放松，并通过生物反馈游戏，帮助用户成为情绪自助者，辅助提高专注力、抗挫能力、心理应激能力等，最终帮助用户获得良好的心理弹性和积极的生活态度。</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1.系统构成：计算机（内装身心反馈放松训练系统专业版软件）、生理指标采集及分析装置、单人按摩放松椅/旋转蛋椅（二选一）、彩色打印机、可移动边柜，带显示支架等。</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2.计算机以下配置：CPU Intel i5， 内存8G，独立显存4G， 512G固态硬盘，显示器23.8英寸。</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3.生理指标采集及分析装置，耳夹式生物反馈传感器，小型光体积扫描器(PPG)，可精确测量心率变异性（HRV），测量精度达毫秒级</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 旋转蛋椅：尺寸为 ≥100×100×145 厘米，采用玻璃钢、灯条与钣金底座组合材质。具备 360 度旋转功能，配备防缠绕滑环底座，可实现零阻力旋转；同时，座椅采用炫目灯光设计，内嵌蓝牙音响系统，打造环绕立体声效果。</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5.系统包含监测、减压、训练、记录等四大核心功能模块。</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6.多级登录身份，满足不同人员的需求，实现管理扁平化、用户自主化。</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 实时采集人体的心率变异性，并进行时域、频域分析，并提供HRV频谱图、HRV曲线图和RR间期柱状图。</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8.减压中心：提供≥8个音乐放松主题包、≥6个冥想音乐视频主题包和肌肉放松音乐视频主题包，匹配专业的指导语，引导用户心理减压。</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9.训练中心：提供≥6个游戏训练（减压助眠、身心放松、呼吸调整、专注训练、空间记忆训练、稳定性训练），根据用户的生理指标，实时变换场景，使用户在趣味训练中逐步掌握情绪调适的方法。</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10.记录中心：自动生成生物反馈报告，包括身心协调报告和压力指数报告，评估个体的身心协调状态，包括： HRV时域参数、频域参数、身心协调走势图、身心协调各状态比例图以及文字说明，建立用户情绪管理档案。</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302</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无声挂钟</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控制咨询时间，尺寸: ≥12英寸；机芯：静音机芯；材质：金属、玻璃。</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36"/>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3F心理咨询室2配备清单</w:t>
            </w:r>
            <w:r/>
          </w:p>
        </w:tc>
      </w:tr>
      <w:tr>
        <w:trPr>
          <w:trHeight w:val="652"/>
        </w:trPr>
        <w:tc>
          <w:tcPr>
            <w:gridSpan w:val="2"/>
            <w:tcBorders>
              <w:top w:val="single" w:color="000000" w:sz="4" w:space="0"/>
              <w:left w:val="single" w:color="000000" w:sz="4" w:space="0"/>
              <w:bottom w:val="single" w:color="000000" w:sz="4" w:space="0"/>
              <w:right w:val="single" w:color="000000" w:sz="4" w:space="0"/>
            </w:tcBorders>
            <w:tcW w:w="888" w:type="pct"/>
            <w:vAlign w:val="bottom"/>
            <w:textDirection w:val="lrTb"/>
            <w:noWrap w:val="false"/>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17平：个体辅导室+音乐放松室</w:t>
            </w:r>
            <w:r/>
          </w:p>
        </w:tc>
        <w:tc>
          <w:tcPr>
            <w:tcBorders>
              <w:top w:val="single" w:color="000000" w:sz="4" w:space="0"/>
              <w:left w:val="single" w:color="000000" w:sz="4" w:space="0"/>
              <w:bottom w:val="single" w:color="000000" w:sz="4" w:space="0"/>
              <w:right w:val="single" w:color="000000" w:sz="4" w:space="0"/>
            </w:tcBorders>
            <w:tcW w:w="3349" w:type="pct"/>
            <w:vAlign w:val="bottom"/>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310" w:type="pct"/>
            <w:vAlign w:val="bottom"/>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43" w:type="pct"/>
            <w:vAlign w:val="bottom"/>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08" w:type="pct"/>
            <w:vAlign w:val="bottom"/>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303</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学习态度引导仪</w:t>
            </w:r>
            <w:r/>
          </w:p>
        </w:tc>
        <w:tc>
          <w:tcPr>
            <w:tcBorders>
              <w:top w:val="single" w:color="000000" w:sz="4" w:space="0"/>
              <w:left w:val="single" w:color="000000" w:sz="4" w:space="0"/>
              <w:bottom w:val="single" w:color="000000" w:sz="4" w:space="0"/>
              <w:right w:val="single" w:color="000000" w:sz="4" w:space="0"/>
            </w:tcBorders>
            <w:tcW w:w="3349" w:type="pct"/>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学习态度引导仪是一款基于科学心理学设计的，运用科学心理学的任务范式，结合心理测量，对学生的学习动机、学习情绪，以及学习中的自我意识进行评估的专用仪器，以引导学生树立积极的学习态度。并配备云端管理软件，便于数据统一管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1.该仪器对学生的学习动机、学习情绪，以及学习中的自我意识进行评估，具体包含6个评价因子，7项任务：学习动机测验、情绪稳定性、情绪敏感性、情绪记忆、自我服务偏差、IAT任务、自我参照效应等。</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2.仪器具有自主登录、测评或训练、报告查看等功能，测评或训练过程中均有明确的指导语说明，满足个体自主自助要求。</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3.仪器单机或联网均可正常使用，不受网络局限。</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4.联网状态下，数据可自动上传至云端“华师学习品质多维辅导软件”，实现数据双重存储，同时便于大数据更新与管理。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5.华师心理云平台管理模块具有用户信息管理、报告管理、设备维护等基本功能。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①用户信息管理：快速建立仪器使用者名单，支持名单自添加、批量导入等，联网状态下，仪器可以获取云端建立的用户信息。</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②报告管理：联网状态下，仪器测试数据可自动上传至华师心理云平台，自动生成个体报告、团体报告，支持查看、下载结果报告。</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③设备维护：了解仪器使用情况、测评人次、维度对比等。</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 液晶触控屏幕：显示屏尺寸：≥13.3英寸，辨率：1920 × 1080，电容触摸屏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7.两个按键带液晶显示，可根据不同应用显示相应的图案、字母、符号等：显示屏尺寸：≥1.22英寸、分辨率： ≥240×240(RGB) 、按键反应力：≥260gf</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8.仪器屏幕可0~180°翻转，可前后移动，操作者可以根据自己的视角以及操作习惯可以调节角度和距离。</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9. 仪器具备收纳盒，可收纳测笔。</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10.后置音频输出、USB、HDMI、以及专用扩展接口。</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11. 主机：Intel赛扬处理器，4G内存,固态硬盘 120G</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304</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学习策略发展仪</w:t>
            </w:r>
            <w:r/>
          </w:p>
        </w:tc>
        <w:tc>
          <w:tcPr>
            <w:tcBorders>
              <w:top w:val="single" w:color="000000" w:sz="4" w:space="0"/>
              <w:left w:val="single" w:color="000000" w:sz="4" w:space="0"/>
              <w:bottom w:val="single" w:color="000000" w:sz="4" w:space="0"/>
              <w:right w:val="single" w:color="000000" w:sz="4" w:space="0"/>
            </w:tcBorders>
            <w:tcW w:w="3349" w:type="pct"/>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学习策略发展仪是一款基于科学心理学设计的，运用科学心理学的任务范式，结合心理测量，对学生的学习风格、元认知、应试技巧等进行评估，对学生的元认知能力进行引导与训练，帮助学生找到适合自己的学习策略。并配备云端管理软件，便于数据统一管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1.该仪器对学生的学习风格、元认知、应试技巧等进行评估，具体包括5个评价因子，7项任务：平面棒框、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2.仪器具有自主登录、测评或训练、报告查看等功能，测评或训练过程中均有明确的指导语说明，满足个体自主自助要求。</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3.仪器单机或联网均可正常使用，不受网络局限。</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4.联网状态下，数据可自动上传至云端“华师学习品质多维辅导软件”，实现数据双重存储，同时便于大数据更新与管理。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5.华师心理云平台管理模块具有用户信息管理、报告管理、设备维护等基本功能。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①用户信息管理：快速建立仪器使用者名单，支持名单自添加、批量导入等，联网状态下，仪器可以获取云端建立的用户信息。</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②报告管理：联网状态下，仪器测试数据可自动上传至华师心理云平台，自动生成个体报告、团体报告，支持查看、下载结果报告。</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③设备维护：了解仪器使用情况、测评人次、维度对比等。</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6.液晶触控屏幕：显示屏尺寸：13.3英寸，辨率：1920 × 1080，电容触摸屏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7.仪器屏幕可0~180°翻转，可前后移动，操作者可以根据自己的视角以及操作习惯可以调节角度和距离。</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8.仪器具备收纳盒，可收纳测笔。</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9.后置音频输出、USB、HDMI、以及专用扩展接口。</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10.主机：Intel赛扬处理器，4G内存,固态硬盘 120G</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793"/>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305</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单人位沙发</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单人位沙发2个:规格尺寸450×760mm（±10mm）:材质:面料:麻，框架:实木，填充物:高弹海绵，椅脚:榉木交叉脚。</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306</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心理课课例设计与实践课程</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1、心理课课例设计与实践课程电子教材1套（U盘2个）</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2、心理课课例设计与实践课程配套纸质教材4本</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3、教材配套专业心理技术学习用书4本</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4、心理课课例设计与实践课程道具箱1套</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5、心理课课例设计与实践课程配套教学资源使用年限3年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6、学生用手册100本</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7、实效化的心理课设计与实践课程培训服务1套，培训采用线下和线上培训方式相结合，其中线下集中培训2天（长沙）；线上培训每季度1次，持续1年。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7.1线下培训内容：从心理课设计与实践课程教材中的核心知识与核心心理技术原理入手，引导老师们初步学习教材中的知识体系，教材中的科学心理学知识，以及这些知识在教育教学中的应用。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7.2线上培训内容：每季度1次，共计4次。其中单数月份是示范课，由专家带领进行示范研讨学习；双数月份在线解决教材的应用问题，如怎样把教材用好？如何建立教材的支持体系？如何建立课程的管理体系？如何在心理课落地过程中联合家长形成家校合力？如何使科学心理学和心理课程在教学教育中的意义最大化等实效化落地服务。</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8、技术支持服务系统：在教材应用与培训期间，提供线上在线答疑服务，为老师们在教学与咨询中的问题进行答疑。</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9、每校学习名额2个</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307</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休闲放松沙发</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材质：优选3D立体面料，高回弹定型海绵。</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尺寸：沙发直径约900mm（±10mm），高约650mm（±10mm）；脚踏直径约500mm（±10mm），高约300mm（±10mm）。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360度可左右旋转，可旋转底盘+超静音防滑脚垫</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215"/>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308</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AI心理测评机器人</w:t>
            </w:r>
            <w:r/>
          </w:p>
        </w:tc>
        <w:tc>
          <w:tcPr>
            <w:tcBorders>
              <w:top w:val="single" w:color="000000" w:sz="4" w:space="0"/>
              <w:left w:val="single" w:color="000000" w:sz="4" w:space="0"/>
              <w:bottom w:val="single" w:color="000000" w:sz="4" w:space="0"/>
              <w:right w:val="single" w:color="000000" w:sz="4" w:space="0"/>
            </w:tcBorders>
            <w:tcW w:w="3349" w:type="pct"/>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本产品是一款基于人工智能与情感计算技术的心理健康筛查设备。它颠覆了传统问卷量表的心理测评模式，通过日常对话模式，让用户在无意识状态下参与测评，行为、反应和决策更接近真实场景，极有力地避免用户因社会期望偏差（如迎合测评者）或理解误差给出不准确答案。</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1.硬件参数：CPU：I3 ，内存：8G ，硬盘：SSD120G，屏幕：≥15.6英寸，分辨率：≥1920×1080，触摸：电容多点触摸，电源：DC12V8A，尺寸：≥380×140×340（mm）。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2.内置基于大语言模型的智能对话引擎，以轻松聊天的方式，让受测者在不知不觉中表达真实情绪与想法。</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3.评估模型基于专业心理学框架，覆盖抑郁、焦虑、自我认知、社交关系等核心维度，精准识别潜在心理风险，同时保护受测者的自尊与隐私。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4.具备动态评估框架，能根据受测者的实时回答内容，智能判断其情绪状态与潜在风险点，并动态调整后续提问策略，确保评估的深度与个性化。</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5.对话结束后，系统自动生成结构化风险评估报告，并可为孩子、家长及教师三个角色，分别提供个性化建议。</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6.系统须内置多款经典量表，并支持根据需求扩展其他量表。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7.含三年服务费，第四年开始收取服务费5000/年。</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bookmarkStart w:id="178" w:name="_GoBack"/>
            <w:r/>
            <w:bookmarkEnd w:id="178"/>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13"/>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3F心理咨询室3配备清单</w:t>
            </w:r>
            <w:r/>
          </w:p>
        </w:tc>
      </w:tr>
      <w:tr>
        <w:trPr>
          <w:trHeight w:val="529"/>
        </w:trPr>
        <w:tc>
          <w:tcPr>
            <w:tcBorders>
              <w:top w:val="single" w:color="000000" w:sz="4" w:space="0"/>
              <w:left w:val="single" w:color="000000" w:sz="4" w:space="0"/>
              <w:bottom w:val="single" w:color="000000" w:sz="4" w:space="0"/>
              <w:right w:val="single" w:color="000000" w:sz="4" w:space="0"/>
            </w:tcBorders>
            <w:tcW w:w="316" w:type="pct"/>
            <w:vAlign w:val="bottom"/>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14平：情绪疏导室</w:t>
            </w:r>
            <w:r/>
          </w:p>
        </w:tc>
        <w:tc>
          <w:tcPr>
            <w:tcBorders>
              <w:top w:val="single" w:color="000000" w:sz="4" w:space="0"/>
              <w:left w:val="single" w:color="000000" w:sz="4" w:space="0"/>
              <w:bottom w:val="single" w:color="000000" w:sz="4" w:space="0"/>
              <w:right w:val="single" w:color="000000" w:sz="4" w:space="0"/>
            </w:tcBorders>
            <w:tcW w:w="3349" w:type="pct"/>
            <w:vAlign w:val="bottom"/>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310" w:type="pct"/>
            <w:vAlign w:val="bottom"/>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43" w:type="pct"/>
            <w:vAlign w:val="bottom"/>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08" w:type="pct"/>
            <w:vAlign w:val="bottom"/>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309</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情绪疏导系统</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智能引导式的自助情绪疏导系统，针对愤怒、忧伤、沮丧、焦虑等常见的消极情绪，按照情绪唤醒——合理宣泄——认知调整等步骤，通过多种方法引导用户疏导不良情绪，建立合理信念，获得积极的生活态度。</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 本系统由触控一体机、多媒体专业调音设备、头戴式耳机（带麦）等组成，采用多巴胺设计风格，传递积极向上的能量。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2.横屏立式触控一体机：屏幕尺寸≥43英寸 ，CPU： Intel I5 2.4G或以上，尺寸：长1070×宽470×高1760（±10mm）（mm）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 具有情绪主题疏导、趣味宣泄、认知朗读、心情涂鸦、情绪体验、档案管理等模块。</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4.近180个心理引导库，模拟心理咨询互动，给予实时反馈和专业引导。</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 智能采集声音的实时分贝值，计算能量值，评估宣泄指数等。</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 情绪主题疏导：提供常见的情绪问题（愤怒、忧伤、焦虑等）的应对疏导方案，通过场景再现——合理宣泄——认知调整等步骤，智能引导用户疏导不良情绪，并自动生成报告。</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7.趣味宣泄：采用游戏形式，引导用户呐喊宣泄，如“大声尖叫”、“爆发吧！小宇宙”、“跳跃的大脚”；系统自动记录每次游戏中的宣泄指数等。</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 认知朗读：通过朗读引发用户思考，建立合理认知。内含丰富的朗读素材，支持素材自添加，并可自动生成跟读模式。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9. 心情涂鸦：分为自由涂鸦和模板涂鸦两种方式，支持用户自添加涂鸦模板，具有发布、查看、互动等功能。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10.情绪体验：通过表情模仿与拍摄，体验相应的情绪，用户可添加更多表情。</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11. 档案管理：具有个人资料修改、历史足迹记录等功能。</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310</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智能型身心反馈运动调适系统（动感型）</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 产品概述：</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根据最佳强度的运动改善交感神经和副交感神经系统平衡作用的原理，运用无侵入传感器技术，动态实时反馈心动指标（H-SPORT），指导用户在运动中将自身调节到最佳的运动强度状态，从而达到有效的身心调节和放松。</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 系统构成：</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本系统由运动单车、显示装置、心率测试模块等组成。</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 运动单车：最大负荷≤120kg；单车阻力等级 1～5档变化；系统的控制部分、音响模块与运动单车一体化设计。</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 显示装置：23寸或以上多点触控显示屏（一体机），分辨率可达1920×1080，≥I3处理器、8G内存、256G固态硬盘。</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 心率测试模块：耳脉心率测试传感器。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 主要功能及参数</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 系统包含智能引导、强身健心、心能转境、数据管理等核心功能模块。</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 智能引导：根据理性情绪疗法，顺应运动中自主神经系统的情况，按照认知调节——运动宣泄——音乐放松三步骤，引导用户进行情绪调适。</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 强身健心：包含“呐喊运动、耐力训练、强度有氧、间歇运动、力量运动”等五种运动方式，匹配相应的游戏场景，在游戏挑战中，实现健康的运动。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 心能转境：主要针对学生常见的压力应对问题，如考试焦虑、人际冲突、入学适应等，通过一段时间有规律的运动，达到减缓焦虑和压力的目的。</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 实时采集生理指标，表盘实时呈现，并自动调节游戏难度或给予语音反馈，引导健康运动，达到有效实现心理疏导效果。</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 依据不同的调适方案，在行进的全过程中，蹬踏的阻力根据场景需求变化。</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 配有香味发生器，运动调适过程中可伴随场景自动释放各类花香气味。</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 自动生成报告，包括六大评估参数：心动指数、调节指数、稳定指数、愉悦指数、卡路里、最大耗氧量，详细评估调适效果。</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9) 可对用户的信息、结果报告进行管理、查询、打印。</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311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宣泄墙</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新型环保EVA材质表面为PU皮面料,EVA无毒，具有良好的缓冲、抗震、隔音、防潮、保护等</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作用。规格： 300×600×30（±10mm）（长×宽×厚mm）可以有效的保护来访者，隔绝噪音，释压等作用。</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平米</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312</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宣泄地板</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无毒、环保产品，尺寸约1000×1000×30mm（±10mm）（长宽厚）安装简便，直接拼在地面即可。EVA发</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泡材料，表面有物理压花，无毒，环保，防滑。超强回弹，防水易清理。可以有效缓冲释</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压时的回弹，保持宣泄室清洁。</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释压时脱鞋进入，可较好维护宣泄室卫生，延长释压器材使用寿命。</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平米</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4"/>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4F舞蹈教室（多功能教室）配备清单</w:t>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313</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主席台</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规格：1400×600×760mm（±10mm）.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1、贴面用材：采用≥0.6mm实木胡桃木木皮贴面。</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2、封边：选用胡桃木皮封边，部分边角采用实木封边。</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3、基料板材：选用优质厚度≥16mm高密度板。</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4、水性漆：采用水性漆喷涂。</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5、粘合剂：采用环保粘合剂。</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314</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主席台椅</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1、实木：选用优质木料卯榫结构实木框架，经过烘干、防腐、防虫处理，含水率＜10%，拥有结实耐用不易变形的特点；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2、采用优质人造革，厚度≥0.8mm，撕裂力达到70N,表面无裂纹禁未检出偶氮染料含量，未检出游离甲醛含量；                                        3、阻燃海绵：采用优质阻燃海绵，，颜色均匀，压陷性能25%的压陷硬度要求≥100级，65%/25%压陷比≥2.5%，75%的压缩永久变形≤8%，回弹率要求≥60%；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4、PU面漆：聚氨酯类涂料面漆 光泽(60º)＜80；VOC含量≤605g/L，苯质量分数≦0.02%，甲苯+二甲苯+乙苯质量分数≤20%，固化剂中游离甲苯二异氰酸酯（TDI)质量分数≤0.2%，卤代烃含量≦0.02%；                                       5、PU底漆：聚氨酯类涂料，底漆VOC≤570g/L，苯质量分数≤0.05%，甲苯+二甲苯+乙苯质量分数≤25%，固化剂中游离甲苯二异氰酸酯（TDI)质量分数≤0.2%，卤代烃含量＜0.05%；</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315</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演讲台</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规格：底部宽400mm（±10mm）×深380mm（±10mm），顶部宽600mm（±10mm）×深410mm（±10mm），总高（含挡沿）1050mm（±10mm），台面离地高970mm（±10mm）.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基材采用≥16mm厚度刨花板，优质PVC封边，环保程度高。</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316</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研学桌</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尺寸：1400×600×760mm（±10mm）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材质：桌面内部采用</w:t>
            </w:r>
            <w:bookmarkStart w:id="153" w:name="OLE_LINK48"/>
            <w:r>
              <w:rPr>
                <w:rFonts w:hint="eastAsia" w:ascii="宋体" w:hAnsi="宋体" w:eastAsia="宋体" w:cs="宋体"/>
                <w:color w:val="auto"/>
                <w:sz w:val="20"/>
                <w:szCs w:val="20"/>
                <w:highlight w:val="none"/>
                <w:lang w:bidi="ar"/>
              </w:rPr>
              <w:t xml:space="preserve">≥</w:t>
            </w:r>
            <w:bookmarkEnd w:id="153"/>
            <w:r>
              <w:rPr>
                <w:rFonts w:hint="eastAsia" w:ascii="宋体" w:hAnsi="宋体" w:eastAsia="宋体" w:cs="宋体"/>
                <w:color w:val="auto"/>
                <w:sz w:val="20"/>
                <w:szCs w:val="20"/>
                <w:highlight w:val="none"/>
                <w:lang w:bidi="ar"/>
              </w:rPr>
              <w:t xml:space="preserve">18mm厚实木多层板，所有板材均要进行干燥处理，含水率≤12%。桌面正面及四边均采用ABS工程塑料一次成型包裹，桌面上面ABS厚度为≥7mm，桌面四边厚度为≥14mm厚，桌面四周倒圆角，无尖锐突出。所有板材均要进行干燥处理，含水率≤12% 。产品全白无结巴，无黑点无红点，不漂白且无虫蛀、活节、开裂、缺棱和变形翘曲等缺陷。</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脚架：脚是铝压铸模具弯管脚，立柱：采用优质≥φ50MM 圆形冷轧管 （壁厚≥2MM)台脚：采用优质铝合金模具压铸技术一体成型 ，连接杆：采用优质≥φ50MM 圆形冷轧管（壁厚≥2MM) 结构稳定脚轮：采用优质≥φ65MM 尼龙万向带刹车P 静音脚轮。可收纳加脚轮及刹车装置一级冷轧钢管， 表面处理后高温静电喷涂 。</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99</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317</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研学椅</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尺寸：570×585×总高810（座高450）mm（±10mm）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整体材质：座靠采用高回弹海绵 + 100%涤纶网布， 扶手/背框采用全新 PP+30% GF 注塑一体成型，椅架采用优质碳素钢，联排件采用尼龙材质：脚轮采用静音万向空心轮轮。整张椅子承重150kg</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靠背：靠背框架采用全新 PP+30% GF 一体注塑成型，外包面料采用高密度100%涤纶网布，克重≥335g/m²，幅宽≥142cm，耐磨≥50000转，亲肤耐磨面料，透气亲肤，防污易清洁。靠背高度≥410mm，靠背最大宽度≥455mm。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座板软包：座面宽度≥435mm，座面深≥460mm，座面离地高度≥450mm，座框采用全新 PP+30% GF 一体注塑成型，内置高密度高回弹定型海绵，回弹性好，外包面料材质为：100%涤纶网布，克重≥335g/m²，幅宽≥142cm，耐磨≥50000转，久坐不塌陷；座面采用微凹弧形设计，贴合臀部曲线，分散臀部压力。椅座与椅架内置折叠转轴，实现座椅一键折叠收纳，大幅节省空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扶手与椅架：椅架采用优质碳素钢椭圆管≥20mm×50mm，管壁厚≥1.2mm，扶手采用全新 PP+30% GF 一体注塑成型，扶手宽≥50mm，扶手长≥194mm。X 型交叉结构，椅架结构稳固，表面经哑光喷涂处理，光亮平整、无颗粒渣点、颜色均匀，线条流畅。</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联排功能：椅身左右两侧内置圆形联排尼龙卡扣，直径≥37mm，厚度≥23mm，无需额外工具，即可快速将多把椅子联排固定，联排后结构稳固，无晃动。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脚轮：采用静音万向空心轮，直径≥60mm，顺滑无噪音，不伤地面，移动灵活；双轮设计提升承重与稳定性。</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198</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805"/>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318</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彩色坐凳</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规格：5个一套</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尺寸：550×550×450mm（±10mm）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材质：玻璃钢</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36"/>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4F支部活动室配备清单</w:t>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319</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会议桌</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规格：4500×1600×750mm（±10mm）.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基材：环保型饰面刨花板制作，台面板厚度≥25mm,其余板材厚度≥18mm。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饰面：正反三聚氰胺贴面（厚度≥0.6mm）。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封边：≥2mm厚同色优质PVC封边。</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桌架：国产钢结构，壁厚≥1.5mm。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五金件：优质五金配件。</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320</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会议椅</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1.背框采用全新pp料加纤一体注塑成型，扪华宇透气网布</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2.连背软质固定腰靠；</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3.座包高回弹力海绵。扪华宇透气网布</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4.全新pp料连背固定扶手</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5.≥25×2.0mm烤漆弓形架.圆管架子弯位处双管加固</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321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文件柜</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规格：800×400×2000mm（±10mm）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基材：环保型饰面刨花板制作板材厚度≥18mm。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饰面：正反三聚氰胺贴面（厚度≥0.6mm）。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封边：≥2mm厚同色优质PVC封边。</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胶水：优质环保型胶水。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五金件：优质柜门拉手，配置优质国产锁具，优质三合一偏心连接件。</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322</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陈列橱</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规格：2400mm×2400mm×上部深300mm/下部深400mm（±10mm）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基材：环保型饰面刨花板制作板材厚度≥18mm。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饰面：正反三聚氰胺贴面（厚度≥0.6mm）。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封边：≥2mm厚同色优质PVC封边。</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胶水：优质环保型胶水。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五金件：优质柜门拉手，配置优质国产锁具，优质三合一偏心连接件。</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36"/>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大会议室配备清单</w:t>
            </w:r>
            <w:r/>
          </w:p>
        </w:tc>
      </w:tr>
      <w:tr>
        <w:trPr>
          <w:trHeight w:val="228"/>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323</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主席台</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规格：1400×600×760mm（±10mm）.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1、贴面用材：采用厚度</w:t>
            </w:r>
            <w:bookmarkStart w:id="154" w:name="OLE_LINK49"/>
            <w:r>
              <w:rPr>
                <w:rFonts w:hint="eastAsia" w:ascii="宋体" w:hAnsi="宋体" w:eastAsia="宋体" w:cs="宋体"/>
                <w:color w:val="auto"/>
                <w:sz w:val="20"/>
                <w:szCs w:val="20"/>
                <w:highlight w:val="none"/>
                <w:lang w:bidi="ar"/>
              </w:rPr>
              <w:t xml:space="preserve">≥</w:t>
            </w:r>
            <w:bookmarkEnd w:id="154"/>
            <w:r>
              <w:rPr>
                <w:rFonts w:hint="eastAsia" w:ascii="宋体" w:hAnsi="宋体" w:eastAsia="宋体" w:cs="宋体"/>
                <w:color w:val="auto"/>
                <w:sz w:val="20"/>
                <w:szCs w:val="20"/>
                <w:highlight w:val="none"/>
                <w:lang w:bidi="ar"/>
              </w:rPr>
              <w:t xml:space="preserve">0.6mm实木胡桃木木皮贴面。</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2、封边：选用胡桃木皮封边，部分边角采用实木封边。</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3、基料板材：选用优质厚度</w:t>
            </w:r>
            <w:bookmarkStart w:id="155" w:name="OLE_LINK50"/>
            <w:r>
              <w:rPr>
                <w:rFonts w:hint="eastAsia" w:ascii="宋体" w:hAnsi="宋体" w:eastAsia="宋体" w:cs="宋体"/>
                <w:color w:val="auto"/>
                <w:sz w:val="20"/>
                <w:szCs w:val="20"/>
                <w:highlight w:val="none"/>
                <w:lang w:bidi="ar"/>
              </w:rPr>
              <w:t xml:space="preserve">≥16mm</w:t>
            </w:r>
            <w:bookmarkEnd w:id="155"/>
            <w:r>
              <w:rPr>
                <w:rFonts w:hint="eastAsia" w:ascii="宋体" w:hAnsi="宋体" w:eastAsia="宋体" w:cs="宋体"/>
                <w:color w:val="auto"/>
                <w:sz w:val="20"/>
                <w:szCs w:val="20"/>
                <w:highlight w:val="none"/>
                <w:lang w:bidi="ar"/>
              </w:rPr>
              <w:t xml:space="preserve">高密度板。</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4、油漆：采用水性漆喷涂。</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5、粘合剂：采用环保粘合剂。</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716"/>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324</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主席台椅</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1、实木：选用优质木料卯榫结构实木框架，经过烘干、防腐、防虫处理，含水率≤12%，，拥有结实耐用不易变形的特点；                  </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2、采用优质人造皮革，厚度≥0.8mm；                                        3、阻燃海绵：采用优质阻燃海绵，压陷性能25%的压陷硬度要求≥100级，65%/25%压陷比≥2.5%，75%的压缩永久变形≤8%，回弹率要求≥60%；                          </w:t>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4、油漆：采用水性漆喷涂。</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325</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条形桌</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规格：1200×400×750mm（±10mm）.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1、贴面用材：采用≥0.6mm实木胡桃木木皮贴面。</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2、封边：选用胡桃木皮封边，部分边角采用实木封边。</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3、基料板材：选用优质厚度≥16mm高密度板。</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4、油漆：采用水性漆喷涂。</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5、粘合剂：采用环保粘合剂。</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326</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会议椅</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1、实木：选用优质木料卯榫结构实木框架，经过烘干、防腐、防虫处理，含水率≤12%，，拥有结实耐用不易变形的特点；                  </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2、采用优质人造皮革，厚度≥0.8mm；                                        3、阻燃海绵：采用优质阻燃海绵，压陷性能25%的压陷硬度要求≥100级，65%/25%压陷比≥2.5%，75%的压缩永久变形≤8%，回弹率要求≥60%；                          </w:t>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4、油漆：采用水性漆喷涂。</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17"/>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综合楼校园文化配套设施配备清单</w:t>
            </w:r>
            <w:r/>
          </w:p>
        </w:tc>
      </w:tr>
      <w:tr>
        <w:trPr>
          <w:trHeight w:val="748"/>
        </w:trPr>
        <w:tc>
          <w:tcPr>
            <w:gridSpan w:val="2"/>
            <w:tcBorders>
              <w:top w:val="single" w:color="000000" w:sz="4" w:space="0"/>
              <w:left w:val="single" w:color="000000" w:sz="4" w:space="0"/>
              <w:bottom w:val="single" w:color="000000" w:sz="4" w:space="0"/>
              <w:right w:val="single" w:color="000000" w:sz="4" w:space="0"/>
            </w:tcBorders>
            <w:tcW w:w="888" w:type="pct"/>
            <w:vAlign w:val="center"/>
            <w:textDirection w:val="lrTb"/>
            <w:noWrap w:val="false"/>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专用教室室内</w:t>
            </w:r>
            <w:r>
              <w:rPr>
                <w:rFonts w:hint="eastAsia" w:ascii="宋体" w:hAnsi="宋体" w:eastAsia="宋体" w:cs="宋体"/>
                <w:b/>
                <w:bCs/>
                <w:color w:val="auto"/>
                <w:sz w:val="20"/>
                <w:szCs w:val="20"/>
                <w:highlight w:val="none"/>
                <w:lang w:bidi="ar"/>
              </w:rPr>
              <w:br/>
            </w:r>
            <w:r>
              <w:rPr>
                <w:rFonts w:hint="eastAsia" w:ascii="宋体" w:hAnsi="宋体" w:eastAsia="宋体" w:cs="宋体"/>
                <w:b/>
                <w:bCs/>
                <w:color w:val="auto"/>
                <w:sz w:val="20"/>
                <w:szCs w:val="20"/>
                <w:highlight w:val="none"/>
                <w:lang w:bidi="ar"/>
              </w:rPr>
              <w:t xml:space="preserve">宣传设施</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r>
      <w:tr>
        <w:trPr>
          <w:trHeight w:val="401"/>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一层</w:t>
            </w:r>
            <w:r/>
          </w:p>
        </w:tc>
        <w:tc>
          <w:tcPr>
            <w:tcBorders>
              <w:top w:val="single" w:color="000000" w:sz="4" w:space="0"/>
              <w:left w:val="single" w:color="000000" w:sz="4" w:space="0"/>
              <w:bottom w:val="single" w:color="000000" w:sz="4" w:space="0"/>
              <w:right w:val="single" w:color="000000" w:sz="4" w:space="0"/>
            </w:tcBorders>
            <w:tcW w:w="3349" w:type="pct"/>
            <w:vAlign w:val="bottom"/>
            <w:textDirection w:val="lrTb"/>
            <w:noWrap w:val="false"/>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327</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学生餐厅文化墙</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规格：6800×1500mm（±10mm）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采用8-15mm厚度不等的优质pvc板雕刻成型，画面采用高清uv打印，表面覆亚克力材质，部分文字采用亚克力焗漆效果。</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幅</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655"/>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328</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学生餐厅窗户</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上方标语</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12mm优质pvc雕刻，焗漆效果</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736"/>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329</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各操作间制度</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规格：600×900mm（±10mm）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采用10mm优质pvc板雕刻成型，画面采用渲绒布浮雕打印，侧面金属封边。</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702"/>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330</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体育器材室制度</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规格：600×900mm（±10mm）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采用10mm优质pvc板雕刻成型，画面采用渲绒布浮雕打印，侧面金属封边。</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331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体育器材室文化墙</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规格：4500×1500mm（±10mm）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采用8-15mm厚度不等的优质pvc板雕刻成型，画面采用高清uv打印，表面覆亚克力材质，部分文字采用亚克力焗漆效果。</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幅</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655"/>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332</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广播室制度</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规格：600×900mm（±10mm）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采用10mm优质pvc板雕刻成型，画面采用渲绒布浮雕打印，侧面金属封边。</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655"/>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333</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广播室文化墙</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规格：3500×1300mm（±10mm）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采用8-15mm厚度不等的优质pvc板雕刻成型，画面采用高清uv打印，表面覆亚克力材质，部分文字采用亚克力焗漆效果。</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幅</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二层</w:t>
            </w:r>
            <w:r/>
          </w:p>
        </w:tc>
        <w:tc>
          <w:tcPr>
            <w:tcBorders>
              <w:top w:val="single" w:color="000000" w:sz="4" w:space="0"/>
              <w:left w:val="single" w:color="000000" w:sz="4" w:space="0"/>
              <w:bottom w:val="single" w:color="000000" w:sz="4" w:space="0"/>
              <w:right w:val="single" w:color="000000" w:sz="4" w:space="0"/>
            </w:tcBorders>
            <w:tcW w:w="3349" w:type="pct"/>
            <w:vAlign w:val="bottom"/>
            <w:textDirection w:val="lrTb"/>
            <w:noWrap w:val="false"/>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r>
      <w:tr>
        <w:trPr>
          <w:trHeight w:val="656"/>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334</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科学实验室制度</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规格：600×900mm（±10mm）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采用10mm优质pvc板雕刻成型，画面采用渲绒布浮雕打印，侧面金属封边。</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713"/>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335</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科学实验室展板</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规格：600×900mm（±10mm）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采用10mm优质pvc板雕刻成型，画面采用渲绒布浮雕打印，侧面金属封边。</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218"/>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336</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科学实验室文化墙</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规格：3000×1300mm（±10mm）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采用8-15mm厚度不等的优质pvc板雕刻成型，画面采用高清uv打印，表面覆亚克力材质，部分文字采用亚克力焗漆效果。</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幅</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725"/>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337</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微机室制度</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规格：600×900mm（±10mm）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采用10mm优质pvc板雕刻成型，画面采用渲绒布浮雕打印，侧面金属封边。</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667"/>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338</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微机室展板</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规格：600×900mm（±10mm）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采用10mm优质pvc板雕刻成型，画面采用渲绒布浮雕打印，侧面金属封边。</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621"/>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339</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微机室文化墙</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规格：7000×1500mm（±10mm）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采用8-15mm厚度不等的优质pvc板雕刻成型，画面采用高清uv打印，表面覆亚克力材质，部分文字采用亚克力焗漆效果。</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幅</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736"/>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340</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音乐室制度</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规格：600×900mm（±10mm）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采用10mm优质pvc板雕刻成型，画面采用渲绒布浮雕打印，侧面金属封边。</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736"/>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341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音乐室展板</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规格：600×900mm（±10mm）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采用10mm优质pvc板雕刻成型，画面采用渲绒布浮雕打印，侧面金属封边。</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62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342</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音乐室文化墙</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规格：7000×1500mm（±10mm）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采用8-15mm厚度不等的优质pvc板雕刻成型，画面采用高清uv打印，表面覆亚克力材质，部分文字采用亚克力焗漆效果。</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幅</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343</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美术室制度</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规格：600×900mm（±10mm）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采用10mm优质pvc板雕刻成型，画面采用渲绒布浮雕打印，侧面金属封边。</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655"/>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344</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美术室展板</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规格：600×900mm（±10mm）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采用10mm优质pvc板雕刻成型，画面采用渲绒布浮雕打印，侧面金属封边。</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三层</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08" w:type="pct"/>
            <w:vAlign w:val="bottom"/>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667"/>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345</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科学实验室制度</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规格：600×900mm（±10mm）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采用10mm优质pvc板雕刻成型，画面采用渲绒布浮雕打印，侧面金属封边。</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817"/>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346</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科学实验室展板</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规格：600×900mm（±10mm）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采用10mm优质pvc板雕刻成型，画面采用渲绒布浮雕打印，侧面金属封边。</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57"/>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347</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音乐室制度</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规格：600×900mm（±10mm）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采用10mm优质pvc板雕刻成型，画面采用渲绒布浮雕打印，侧面金属封边。</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609"/>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348</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音乐室展板</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规格：600×900mm（±10mm）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采用10mm优质pvc板雕刻成型，画面采用渲绒布浮雕打印，侧面金属封边。</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644"/>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349</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音乐室文化墙</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规格：7000×1500mm（±10mm）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采用8-15mm厚度不等的优质pvc板雕刻成型，画面采用高清uv打印，表面覆亚克力材质，部分文字采用亚克力焗漆效果。</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幅</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350</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劳技室制度</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规格：600×900mm（±10mm）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采用10mm优质pvc板雕刻成型，画面采用渲绒布浮雕打印，侧面金属封边。</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51"/>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351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劳技室展板</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规格：600×900mm（±10mm）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采用10mm优质pvc板雕刻成型，画面采用渲绒布浮雕打印，侧面金属封边。</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63"/>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352</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劳技室文化墙</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规格：7000×1500mm（±10mm）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采用8-15mm厚度不等的优质pvc板雕刻成型，画面采用高清uv打印，表面覆亚克力材质，部分文字采用亚克力焗漆效果。</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幅</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353</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书法室制度</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规格：600×900mm（±10mm）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采用10mm优质pvc板雕刻成型，画面采用渲绒布浮雕打印，侧面金属封边。</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354</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书法室展板</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规格：600×900mm（±10mm）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采用10mm优质pvc板雕刻成型，画面采用渲绒布浮雕打印，侧面金属封边。</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355</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心理咨询室制度</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规格：600×900mm（±10mm）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采用10mm优质pvc板雕刻成型，画面采用渲绒布浮雕打印，侧面金属封边。</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356</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心理咨询室展板</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规格：600×900mm（±10mm）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采用10mm优质pvc板雕刻成型，画面采用渲绒布浮雕打印，侧面金属封边。</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357</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心理咨询室文化墙</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规格：3000×1300mm（±10mm）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采用8-15mm厚度不等的优质pvc板雕刻成型，画面采用高清uv打印，表面覆亚克力材质，部分文字采用亚克力焗漆效果。</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幅</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4"/>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四层</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08" w:type="pct"/>
            <w:vAlign w:val="bottom"/>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358</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支部活动室制度</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规格：600×900mm（±10mm）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采用10mm优质pvc板雕刻成型，画面采用渲绒布浮雕打印，侧面金属封边。</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359</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支部活动室文化墙</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规格：5000×1500mm（±10mm）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采用8-15mm厚度不等的优质pvc板雕刻成型，画面采用高清uv打印，表面覆亚克力材质，部分文字采用亚克力焗漆效果。</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幅</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360</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多功能室制度</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规格：600×900mm（±10mm）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采用10mm优质pvc板雕刻成型，画面采用渲绒布浮雕打印，侧面金属封边。</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361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多功能室展板</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规格：600×900mm（±10mm）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采用10mm优质pvc板雕刻成型，画面采用渲绒布浮雕打印，侧面金属封边。</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362</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多功能室文化墙</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规格：7000×1500mm（±10mm）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采用8-15mm厚度不等的优质pvc板雕刻成型，画面采用高清uv打印，表面覆亚克力材质，部分文字采用亚克力焗漆效果。</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幅</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363</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录播教室制度</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规格：600×900mm（±10mm）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采用10mm优质pvc板雕刻成型，画面采用渲绒布浮雕打印，侧面金属封边。</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364</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录播教室展板</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规格：600×900mm（±10mm）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采用10mm优质pvc板雕刻成型，画面采用渲绒布浮雕打印，侧面金属封边。</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365</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录播教室文化墙</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规格：7000×1500mm（±10mm）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采用8-15mm厚度不等的优质pvc板雕刻成型，画面采用高清uv打印，表面覆亚克力材质，部分文字采用亚克力焗漆效果。</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幅</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25"/>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走廊宣传设施</w:t>
            </w:r>
            <w:r/>
          </w:p>
        </w:tc>
        <w:tc>
          <w:tcPr>
            <w:tcBorders>
              <w:top w:val="single" w:color="000000" w:sz="4" w:space="0"/>
              <w:left w:val="single" w:color="000000" w:sz="4" w:space="0"/>
              <w:bottom w:val="single" w:color="000000" w:sz="4" w:space="0"/>
              <w:right w:val="single" w:color="000000" w:sz="4" w:space="0"/>
            </w:tcBorders>
            <w:tcW w:w="3349" w:type="pct"/>
            <w:vAlign w:val="bottom"/>
            <w:textDirection w:val="lrTb"/>
            <w:noWrap w:val="false"/>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08" w:type="pct"/>
            <w:vAlign w:val="bottom"/>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366</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二层走廊两侧文化</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走廊总长47000mm（±10mm）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采用8-15mm厚度不等的优质pvc板雕刻成型，画面采用高清uv打印，表面覆亚克力材质，部分文字采用亚克力焗漆效果。</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367</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三层走廊两侧文化</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走廊总长47000mm（±10mm）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采用8-15mm厚度不等的优质pvc板雕刻成型，画面采用高清uv打印，表面覆亚克力材质，部分文字采用亚克力焗漆效果。</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368</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四层走廊两侧文化</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总长8000mm（±10mm）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采用8-15mm厚度不等的优质pvc板雕刻成型，画面采用高清uv打印，表面覆亚克力材质，部分文字采用亚克力焗漆效果。</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其他配套设施</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08" w:type="pct"/>
            <w:vAlign w:val="bottom"/>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369</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翻转墙</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规格：2600×1800mm（±10mm）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整体造型采用≥1.2厚的镀锌板，经过剪板、折弯、焊接打磨而成，中间为立方体盒子，内容好翻转。立柱底部焊≥6mm厚的钢板与地面用膨胀螺丝固定。文字采用亚克力材质。整体全部采用户外塑粉，静电喷塑工艺处理。</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370</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户外立式宣传栏</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规格：10000×2400mm（±10mm）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 顶篷采用≥25×50的镀锌方管焊成框架，上下封≥0.6mm厚的镀锌板。</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 箱体采用≥50×100的镀锌方管焊成框架，正面液压往上开门，装≥5mm厚的钢化玻璃。背面采用镀锌板。</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 立柱采用≥1.2厚的镀锌板，经过剪板、折弯、焊接打磨而成，立柱底部焊≥6mm厚的钢板与地面用膨胀螺丝固定。</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 箱体文字采用亚克力材质。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 整体全部采用户外塑粉，静电喷塑工艺处理。</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371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室外学生作品墙</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规格：4500×900mm（±10mm）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采用≥10mm优质pvc板雕刻成型，画面采用高清uv打印，表面覆亚克力材质，空白区域粘贴亚克力卡给学生张贴作品。</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幅</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372</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室外墙展板</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规格：800×1200mm（±10mm）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采用≥12mm优质pvc板雕刻成型，画面采用高清uv打印，表面覆亚克力材质。</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373</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社团名片</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规格：450×700mm（±10mm）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采用≥10mm优质pvc板雕刻成型，画面采用高清uv打印，表面覆亚克力材质，上面粘亚克力卡，便于更换内容。</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374</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社团课表</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规格：780×950mm（±10mm）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采用≥10mm优质pvc板雕刻成型，画面采用高清uv打印，表面覆亚克力材质，上面粘亚克力卡，便于更换内容。</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375</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外墙三风一训文化墙</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规格：5500×1800mm（±10mm）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采用10-17mm厚度不等的优质pvc板雕刻成型，画面采用高清uv打印，表面覆钢化贴，四边金属封边，部分文字采用亚克力焗漆效果。</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幅</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376</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外墙四有好老师文化墙</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规格：5500×1800mm（±10mm）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采用10-17mm厚度不等的优质pvc板雕刻成型，画面采用高清uv打印，表面覆钢化贴，四边金属封边，部分文字采用亚克力焗漆效果。</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幅</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765"/>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377</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楼梯斜面文化内容</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采用8-15mm厚度不等的优质pvc板雕刻成型，画面采用高清uv打印，表面覆亚克力材质，部分文字采用亚克力焗漆效果。</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378</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综合楼楼底两侧踏步阅读空间</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采用8-15mm厚度不等的优质pvc板雕刻成型，画面采用高清uv打印，表面覆亚克力材质，部分文字采用亚克力焗漆效果。</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379</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阅读空间书柜</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规格：1200×900mm（±10mm）,两个为一组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基材：环保型饰面刨花板制作板材厚度≥18mm。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饰面：正反三聚氰胺贴面（厚度≥0.6mm）。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封边：≥2mm厚同色优质PVC封边。</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胶水：优质环保型胶水。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五金件：优质五金配件。</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98"/>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380</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功能室门牌</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亚克力材质</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381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会议室制度及展板</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规格：600×900mm（±10mm）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采用10mm优质pvc板雕刻成型，画面采用渲绒布浮雕打印，侧面金属封边。</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382</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会议室文化墙</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规格：5000×1500mm（±10mm）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采用8-15mm厚度不等的优质pvc板雕刻成型，画面采用高清uv打印，表面覆亚克力材质，部分文字采用亚克力焗漆效果。</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幅</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644"/>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383</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路队牌放置架</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规格：1300×600×700mm（±10mm）.材质：304不锈钢.可放置班牌数量：24个.</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51"/>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384</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地面游戏</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长20米</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地面游戏彩绘</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385</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长椅</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1、规格：1500×400×420mm（±10mm）,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2、材质：主体框架全不锈钢，经激光切割、折弯、焊接成型，表面打磨抛光，无毛刺、无尖锐边角</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条</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36"/>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386</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雕塑1</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高1800×长1360×厚600mm（±10mm）。雕塑主体部分为不锈钢板制作。雕塑内部骨架采用钢管、角铁焊接。雕塑主体采用≥1.2mm厚不锈钢板激光切割、焊接、打磨、拉丝等制作。雕塑表面处理：1、环氧树脂底漆一次喷涂：2、耐高温原子灰修补；3、环氧树脂底漆二次喷涂；4、红色汽车专用面漆喷涂；5、汽车专用高光清漆喷涂。确保经得起风吹、日硒、雨淋不退色。大小比例协调，实用性较强，不易损坏.整体雕塑线条流畅，表面平整。</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74"/>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387</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雕塑2</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规格：1100×560×800mm,座高480mm（±10mm）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材质:烤漆+玻璃钢内壳</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655"/>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388</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雕塑白鹅</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材质：玻璃钢材质+汽车漆喷涂.</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规格：白鹅2只组合.380×330×710mm（±10mm）.530×220×760mm（±10mm）</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89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389</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雕塑树根与松鼠</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材质：玻璃钢材质+汽车漆喷涂.</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规格：松鼠2只组合.坐树桩松鼠左：560×400×980mm（±10mm）.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      坐树桩松鼠右：400×600×980mm（±10mm）</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28"/>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390</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雕塑绿色苹果</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材质：玻璃钢材质+汽车漆喷涂.规格：550×550×580mm（±10mm）.</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814"/>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391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太阳能自动打开的伞</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规格：2.5米方形（遥控智能升降）</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材质：铝合金伞骨、升级防水色织布料.</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828"/>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392</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提示牌</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1、规格:1000×400mm（±10mm）,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2、材质：1.0-1.5mm 镀锌钢板。</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3、表面工艺 汽车环氧底漆 + 户外汽车面漆。6个不同款式的</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393</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书包柜</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规格：3800×1200mm（±10mm）.单个规格：1200×1900mm（±10mm）.2个为一组。                                                       基材：环保型饰面刨花板制作板材厚度≥18mm。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饰面：正反三聚氰胺贴面（厚度≥0.6mm）。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封边：≥2mm厚同色优质PVC封边。</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胶水：优质环保型胶水。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五金件：优质五金配件。</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394</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一体式桌子卫生储物柜</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规格：桌子规格：1200×400×750mm（±10mm）。卫生橱规格：1200×1500mm（±10mm）。                                                      基材：环保型饰面刨花板制作板材厚度≥18mm。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饰面：正反三聚氰胺贴面（厚度≥0.6mm）。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封边：≥2mm厚同色优质PVC封边。</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胶水：优质环保型胶水。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五金件：优质五金配件。</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395</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户外款朗读亭</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尺寸：1650×1650×2920mm（±10mm）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1主体结构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亭体采用钣金冲压成型，喷涂哑面防划油漆，坚固不易损坏和留取划痕，两面钢化玻璃可以加膜，保持一定的通透性，同时也保证了私密性。</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 杀菌系统</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紫外线消毒灯向外辐射波长为≥253.7nm的紫外线。该波段紫外线的杀菌能力最强，可用于对水、空气、衣物等的消毒灭菌。采用无人使用定时开启杀菌（无人状态下10分钟启动）。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 隔音设计</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经过反复声学实验，通过倾斜反射体，玻璃反射及软装搭配，使空间达到专业的录音声学要求，朗读演唱体验到最佳的声学环境</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 朗读主机</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控制屏幕采用≥21.5 寸触摸屏1个：≥16.7M 触摸面板厚度：≥3mm 钢化玻璃表面硬度：≥6H 操作寿命：≥1 亿次，液晶屏级别：A+防爆屏。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 专业音效器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内置一体式音效器，专业数字前级。频响范围（-1dB）：（MUSIC、MIC） 20Hz～20KHz ，输入灵敏度： （MIC）11mV（MUSIC） 210mV ，主通道音调（±10dB）3 段参量均衡， 超低音调（±10dB）3 段参量均衡，中置音调（± 10dB）3 段参量均衡，音乐音调（±10dB）10 段 参量均衡 ，麦克风音调（±10dB）10 段参量均 衡，麦克风低切 0Hz－200Hz，信噪比（A 计权）： ≥95dB</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98"/>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396</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窗帘</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材质：100%聚酯纤维(涤纶)，防火阻燃涤纶布，半遮光：60%~70%，克重：常规280~380g/㎡，厚实垂感好。罗马杆安装</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950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平方</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397</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垃圾桶</w:t>
            </w:r>
            <w:r/>
          </w:p>
        </w:tc>
        <w:tc>
          <w:tcPr>
            <w:tcBorders>
              <w:top w:val="single" w:color="000000" w:sz="4" w:space="0"/>
              <w:left w:val="single" w:color="000000" w:sz="4" w:space="0"/>
              <w:bottom w:val="single" w:color="000000" w:sz="4" w:space="0"/>
              <w:right w:val="single" w:color="000000" w:sz="4" w:space="0"/>
            </w:tcBorders>
            <w:tcW w:w="3349" w:type="pct"/>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规格：800×400×950mm（±10mm）.                                                                       外框弧形立柱：冷轧钢板 ≥1.2mm，高温静电喷塑（墨绿色）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门板冲孔箱体：冷轧钢板 ≥1.0mm，浅灰喷塑、整面圆孔冲孔透气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内置内胆：≥0.4mm 镀锌铁皮方形内桶，单个可抽出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顶盖：≥1.0mm 冷轧板一体折弯，浅灰色喷塑</w:t>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208" w:type="pct"/>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bl>
    <w:p>
      <w:pPr>
        <w:ind w:firstLine="560"/>
        <w:keepLines w:val="0"/>
        <w:keepNext w:val="0"/>
        <w:pageBreakBefore w:val="0"/>
        <w:spacing w:line="500" w:lineRule="exact"/>
        <w:widowControl w:val="off"/>
        <w:tabs>
          <w:tab w:val="left" w:pos="360" w:leader="none"/>
        </w:tabs>
        <w:rPr>
          <w:rFonts w:hint="eastAsia" w:ascii="宋体" w:hAnsi="宋体" w:eastAsia="宋体" w:cs="宋体"/>
          <w:color w:val="auto"/>
          <w:sz w:val="28"/>
          <w:szCs w:val="28"/>
          <w:highlight w:val="none"/>
        </w:rPr>
      </w:pPr>
      <w:r>
        <w:rPr>
          <w:rFonts w:hint="eastAsia" w:ascii="方正黑体_GBK" w:hAnsi="方正黑体_GBK" w:eastAsia="方正黑体_GBK" w:cs="方正黑体_GBK"/>
          <w:color w:val="auto"/>
          <w:sz w:val="28"/>
          <w:szCs w:val="28"/>
          <w:highlight w:val="none"/>
          <w:lang w:val="en-US" w:eastAsia="zh-CN"/>
        </w:rPr>
        <w:t xml:space="preserve">四、</w:t>
      </w:r>
      <w:r>
        <w:rPr>
          <w:rFonts w:hint="eastAsia" w:ascii="宋体" w:hAnsi="宋体" w:eastAsia="宋体" w:cs="宋体"/>
          <w:b/>
          <w:bCs/>
          <w:color w:val="auto"/>
          <w:sz w:val="28"/>
          <w:szCs w:val="28"/>
          <w:highlight w:val="none"/>
          <w:lang w:val="en-US" w:eastAsia="zh-CN"/>
        </w:rPr>
        <w:t xml:space="preserve">商务要求</w:t>
      </w:r>
      <w:r>
        <w:rPr>
          <w:rFonts w:hint="eastAsia" w:ascii="宋体" w:hAnsi="宋体" w:eastAsia="宋体" w:cs="宋体"/>
          <w:color w:val="auto"/>
          <w:sz w:val="28"/>
          <w:szCs w:val="28"/>
          <w:highlight w:val="none"/>
          <w:lang w:val="en-US" w:eastAsia="zh-CN"/>
        </w:rPr>
        <w:t xml:space="preserve"> </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1.质量要求：</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供应商须提供符合采购需求、从未使用过的全新设备，产品质量符合询价文件要求、行业及国家标准（供货时提供相关证明材料、有效产品合格证），产品必须能通过原厂服务电话或厂家服务站查询真伪，供应商在供货时提供质保承诺书并加盖原厂公章。</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在采购单位收到供应商提供的产品后，由启东市市场监督管理局组织抽样检验，如在抽检过程中供应商不能到场配合的，将视采购单位为其委托单位配合抽检，并在相关文书签字确认。市管局认为有必要的情况下，可采取公证抽样取证办法。</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3）成交供应商所供产品，经启东市市场监督管理局组织抽样检验并取得合格的检测报告或有效的证明文件后方可安装，安装、调试完毕后，由采购单位进行初验。初验合格后，由成交供应商向采购单位提出书面验收申请（并提供货物清单、质量保证书、产品合格证、检测报告等必须具备的相关资料）。采购单位在收到成交供应商提交的书面项目验收申请后7个工作日内，将组织验收小组根据招标文件和供应商报价文件对供应商所供货物进行验收。如验收时发现所供货物的数量、技术参数</w:t>
      </w:r>
      <w:r>
        <w:rPr>
          <w:rFonts w:hint="eastAsia" w:ascii="宋体" w:hAnsi="宋体" w:eastAsia="宋体" w:cs="宋体"/>
          <w:color w:val="auto"/>
          <w:sz w:val="28"/>
          <w:szCs w:val="28"/>
          <w:highlight w:val="none"/>
          <w:lang w:val="en-US" w:eastAsia="zh-CN"/>
        </w:rPr>
        <w:t xml:space="preserve">等与招标文件不一致等，采购单位将根据启东市市场监督管理局等部门的意见，向成交供应商签发整改通知书。成交供应商在收到整改通知书后七日内必须按要求整改，如再次不符合要求或逾期，采购人将视作项目整体验收不合格，终止合同履行，履约保证金不予退还并报相关部门进行处理。必要时，采购单位可邀请相关质量监督部门对成交供应商所供货物进行验收及检测，因检测发生的一切费用由成交供应商负责，如验收或检测发现所供货物不合格，将解除双方合同、履约保证金不予退还并进行相关处罚。因检测导致货物损坏的，由供应商免费补足，确保采购人正常使用。</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4）成交供应商如不履行招标公告及投标人投标时承诺的条款中的任何一项，发包人有权对承包人进行处罚，每发现一次罚5000元，如发生不履行行为2次及以上，发包人有权对未支付的货款及履约保证金拒绝支付，同时记入不良信誉。</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lang w:val="en-US" w:eastAsia="zh-CN"/>
        </w:rPr>
        <w:t xml:space="preserve">.质保及售后服务：</w:t>
      </w:r>
      <w:r/>
    </w:p>
    <w:p>
      <w:pPr>
        <w:numPr>
          <w:ilvl w:val="0"/>
          <w:numId w:val="0"/>
        </w:num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质保要求：本项目所有货物提供三年的上门服务及全免费质保（配件+人工），所有货物质保时间自验收合格之日起（原厂质保期高于供应商承诺质保期的，按原厂质保期计算。自验收合格报告签字确认日起，开始进入质保期）。</w:t>
      </w:r>
      <w:r/>
    </w:p>
    <w:p>
      <w:pPr>
        <w:numPr>
          <w:ilvl w:val="0"/>
          <w:numId w:val="17"/>
        </w:num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售后服务要求：在免费质保期内，供应商在接到采购单位电话通知后，须在6小时之内上门服务并负责修复。如需更换货物或送修，必须在48小时内提供备用货物，并在7个工作日内负责维修完毕。供应商超时或未在规定的时间内及时处理故障，每次罚5000元扣款。质保期内，同一商品、同一质量问题连续两次维修仍无法正常使用，成交供应商应无条件给予全套更新。如成交供应商在接到采购单位通知后4小时内未实质性响应，采购单位可另行委托他人修理，所需费用在余款内予以扣除。</w:t>
      </w:r>
      <w:r/>
    </w:p>
    <w:p>
      <w:pPr>
        <w:numPr>
          <w:ilvl w:val="0"/>
          <w:numId w:val="0"/>
        </w:num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en-US" w:eastAsia="zh-CN"/>
        </w:rPr>
        <w:t xml:space="preserve">项目实施时间和地点</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供货与安装周期：合同签订后，成交供应商须于接到采购单位书面通知后的60个日历天内完成送货，经启东市市场监督管理局抽检合格后，20个日历天内安装到位并通过验收。如因中标人原因延期交货的，除扣除全部履约保证金外，每推迟一天加罚1万元，推迟7天（含7天）以上的每推迟一天加罚2万元。（具体供货要求以采购人书面通知为准。）</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（2）交货、安装地点：成交供应商应按照采购人的要求，在指定位置交货、安装牢固，确保正常使用。</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en-US" w:eastAsia="zh-CN"/>
        </w:rPr>
        <w:t xml:space="preserve">成交供应商供货前实际供货数量必须得到业主书面确认，否则后果自负。</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en-US" w:eastAsia="zh-CN"/>
        </w:rPr>
        <w:t xml:space="preserve">约定事项：</w:t>
      </w:r>
      <w:r>
        <w:rPr>
          <w:rFonts w:hint="eastAsia" w:ascii="宋体" w:hAnsi="宋体" w:eastAsia="宋体" w:cs="宋体"/>
          <w:color w:val="auto"/>
          <w:sz w:val="28"/>
          <w:szCs w:val="28"/>
          <w:highlight w:val="none"/>
          <w:lang w:val="en-US" w:eastAsia="zh-CN"/>
        </w:rPr>
        <w:tab/>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（1）供应商提供合格产品，随机资料及相关软件资源，如涉及进口货物需提供相关证明材料。</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（2）无论投标结果如何，供应商自行承担与投标响应有关的全部费用（包括供应商自行进行的现场勘察费用）。</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（3）在合同的履行过程中对标的物的质量发生争议时，以启东市市场监督管理局鉴定结果为准。</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（4）为本项目货物供货及后续服务所涉及的成交供应商安全均由中标供应商负责。</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5）在成交供应商供货安装完毕后，采购单位将组织验收小组根据招标文件和供应商报价文件对供应商所供货物进行进行验收。采购货物清单中的要求为最低要求，不得负偏离，否则视为无效报价。如验收时发现有参数偏离且未在报价文件中说明的，视为验收不合格。</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6）知识产权：成交供应商应保证采购人免除且成交供应商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ind w:firstLine="562"/>
        <w:keepLines w:val="0"/>
        <w:keepNext w:val="0"/>
        <w:pageBreakBefore w:val="0"/>
        <w:spacing w:line="500" w:lineRule="exact"/>
        <w:widowControl w:val="off"/>
        <w:tabs>
          <w:tab w:val="left" w:pos="360" w:leader="none"/>
        </w:tabs>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五、报价要求：</w:t>
      </w:r>
      <w:r/>
    </w:p>
    <w:p>
      <w:pPr>
        <w:ind w:firstLine="560"/>
        <w:keepLines w:val="0"/>
        <w:keepNext w:val="0"/>
        <w:pageBreakBefore w:val="0"/>
        <w:spacing w:beforeAutospacing="0" w:afterAutospacing="0" w:line="500" w:lineRule="exact"/>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本项目为固定总价报价。供应商的总报价为本项目所包含的一切费用[包括但不限于整个项目货物及正常使用所需一切相关附件、安装辅材、授权、软件资源使用、货物运输、安装、调试、使用培训、税金、质保、售后服务等所有相关费用。招标文件中所有内容涉及的费用，按常规应当包括的其它费用，投标时一次包定,结算时不再另行追加。</w:t>
      </w:r>
      <w:r/>
    </w:p>
    <w:p>
      <w:pPr>
        <w:numPr>
          <w:ilvl w:val="0"/>
          <w:numId w:val="0"/>
        </w:numPr>
        <w:ind w:firstLine="560"/>
        <w:keepLines w:val="0"/>
        <w:keepNext w:val="0"/>
        <w:pageBreakBefore w:val="0"/>
        <w:spacing w:beforeAutospacing="0" w:afterAutospacing="0" w:line="500" w:lineRule="exact"/>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投标报价应是固定不变的，不得以任何理由予以变更。任何可变的或者附有条件的投标报价，采购人均将予以拒绝，投标人的投标文件将被视为无效投标。</w:t>
      </w:r>
      <w:r/>
    </w:p>
    <w:p>
      <w:pPr>
        <w:numPr>
          <w:ilvl w:val="0"/>
          <w:numId w:val="0"/>
        </w:numPr>
        <w:ind w:firstLine="562"/>
        <w:keepLines w:val="0"/>
        <w:keepNext w:val="0"/>
        <w:pageBreakBefore w:val="0"/>
        <w:spacing w:beforeAutospacing="0" w:afterAutospacing="0" w:line="500" w:lineRule="exact"/>
        <w:widowControl w:val="off"/>
        <w:rPr>
          <w:rFonts w:hint="eastAsia"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六、</w:t>
      </w:r>
      <w:r>
        <w:rPr>
          <w:rFonts w:hint="eastAsia" w:ascii="宋体" w:hAnsi="宋体" w:eastAsia="宋体" w:cs="宋体"/>
          <w:b/>
          <w:bCs/>
          <w:color w:val="auto"/>
          <w:sz w:val="28"/>
          <w:szCs w:val="28"/>
          <w:highlight w:val="none"/>
          <w:lang w:val="en-US" w:eastAsia="zh-CN"/>
        </w:rPr>
        <w:t xml:space="preserve">项目验收</w:t>
      </w:r>
      <w:r/>
    </w:p>
    <w:p>
      <w:pPr>
        <w:numPr>
          <w:ilvl w:val="0"/>
          <w:numId w:val="0"/>
        </w:numPr>
        <w:ind w:firstLine="560"/>
        <w:keepLines w:val="0"/>
        <w:keepNext w:val="0"/>
        <w:pageBreakBefore w:val="0"/>
        <w:spacing w:beforeAutospacing="0" w:afterAutospacing="0" w:line="500" w:lineRule="exact"/>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经启东市市场监督管理局组织抽样检验并取得合格的检测报告或有效的证明文件后方可安装，安装、调试完毕后，由成</w:t>
      </w:r>
      <w:r>
        <w:rPr>
          <w:rFonts w:hint="eastAsia" w:ascii="宋体" w:hAnsi="宋体" w:eastAsia="宋体" w:cs="宋体"/>
          <w:color w:val="auto"/>
          <w:sz w:val="28"/>
          <w:szCs w:val="28"/>
          <w:highlight w:val="none"/>
          <w:lang w:val="en-US" w:eastAsia="zh-CN" w:bidi="ar-SA"/>
        </w:rPr>
        <w:t xml:space="preserve">交供应商向采购单位提出书面验收申请，采购单位在收到成交供应商提交的书面项目验收申请后7个工作日内，将组织验收小组根据询价文件和供应商投标文件对供应商所供货物及相关产品合格证等进行验收。如验收时发现所供货物的数量、品牌、技术参数等与招投标文件不一致，或无有效产品合格证、存在安全隐患等，根据启东市市场监督管理局意见，采购单位将向成交供应商签发整改通知书。成交供应商在收到整改通知书后七日内必须按要求整改，如再次不符合要求或逾期，采购人将视作项目整体验收不合格，终止合同履行，履约保证金不予退还并报相关部门进行处理。</w:t>
      </w:r>
      <w:r/>
    </w:p>
    <w:p>
      <w:pPr>
        <w:ind w:firstLine="560"/>
        <w:spacing w:line="500" w:lineRule="exact"/>
        <w:rPr>
          <w:rFonts w:hint="eastAsia" w:ascii="方正黑体_GBK" w:hAnsi="方正黑体_GBK" w:eastAsia="方正黑体_GBK" w:cs="方正黑体_GBK"/>
          <w:color w:val="auto"/>
          <w:sz w:val="28"/>
          <w:szCs w:val="28"/>
          <w:highlight w:val="none"/>
          <w:lang w:val="en-US" w:eastAsia="zh-CN"/>
        </w:rPr>
      </w:pPr>
      <w:r>
        <w:rPr>
          <w:rFonts w:hint="eastAsia" w:ascii="宋体" w:hAnsi="宋体" w:eastAsia="宋体" w:cs="宋体"/>
          <w:color w:val="auto"/>
          <w:sz w:val="28"/>
          <w:szCs w:val="28"/>
          <w:highlight w:val="none"/>
          <w:lang w:val="en-US" w:eastAsia="zh-CN" w:bidi="ar-SA"/>
        </w:rPr>
        <w:t xml:space="preserve">启东市市场监督管理局对没有具体执行标准或者以现有设备条件无法进行检测鉴定的情况下，采购人可以委托第三方检测机构进行鉴定，产品质量鉴定结果不合格的，</w:t>
      </w:r>
      <w:r>
        <w:rPr>
          <w:rFonts w:hint="eastAsia" w:ascii="宋体" w:hAnsi="宋体" w:cs="宋体"/>
          <w:color w:val="auto"/>
          <w:sz w:val="28"/>
          <w:szCs w:val="28"/>
          <w:highlight w:val="none"/>
          <w:lang w:val="en-US" w:eastAsia="zh-CN" w:bidi="ar-SA"/>
        </w:rPr>
        <w:t xml:space="preserve">成交</w:t>
      </w:r>
      <w:r>
        <w:rPr>
          <w:rFonts w:hint="eastAsia" w:ascii="宋体" w:hAnsi="宋体" w:eastAsia="宋体" w:cs="宋体"/>
          <w:color w:val="auto"/>
          <w:sz w:val="28"/>
          <w:szCs w:val="28"/>
          <w:highlight w:val="none"/>
          <w:lang w:val="en-US" w:eastAsia="zh-CN" w:bidi="ar-SA"/>
        </w:rPr>
        <w:t xml:space="preserve">供应商承担检测费用，采购人有权拒收、部分拒收、退货、部分退货直至解除本合同，并要求</w:t>
      </w:r>
      <w:r>
        <w:rPr>
          <w:rFonts w:hint="eastAsia" w:ascii="宋体" w:hAnsi="宋体" w:cs="宋体"/>
          <w:color w:val="auto"/>
          <w:sz w:val="28"/>
          <w:szCs w:val="28"/>
          <w:highlight w:val="none"/>
          <w:lang w:val="en-US" w:eastAsia="zh-CN" w:bidi="ar-SA"/>
        </w:rPr>
        <w:t xml:space="preserve">成交</w:t>
      </w:r>
      <w:r>
        <w:rPr>
          <w:rFonts w:hint="eastAsia" w:ascii="宋体" w:hAnsi="宋体" w:eastAsia="宋体" w:cs="宋体"/>
          <w:color w:val="auto"/>
          <w:sz w:val="28"/>
          <w:szCs w:val="28"/>
          <w:highlight w:val="none"/>
          <w:lang w:val="en-US" w:eastAsia="zh-CN" w:bidi="ar-SA"/>
        </w:rPr>
        <w:t xml:space="preserve">供应商支付因此造成的所有损失。破拆部件由</w:t>
      </w:r>
      <w:r>
        <w:rPr>
          <w:rFonts w:hint="eastAsia" w:ascii="宋体" w:hAnsi="宋体" w:cs="宋体"/>
          <w:color w:val="auto"/>
          <w:sz w:val="28"/>
          <w:szCs w:val="28"/>
          <w:highlight w:val="none"/>
          <w:lang w:val="en-US" w:eastAsia="zh-CN" w:bidi="ar-SA"/>
        </w:rPr>
        <w:t xml:space="preserve">成交</w:t>
      </w:r>
      <w:r>
        <w:rPr>
          <w:rFonts w:hint="eastAsia" w:ascii="宋体" w:hAnsi="宋体" w:eastAsia="宋体" w:cs="宋体"/>
          <w:color w:val="auto"/>
          <w:sz w:val="28"/>
          <w:szCs w:val="28"/>
          <w:highlight w:val="none"/>
          <w:lang w:val="en-US" w:eastAsia="zh-CN" w:bidi="ar-SA"/>
        </w:rPr>
        <w:t xml:space="preserve">供应商负责补齐且采购人不支付任何补偿费用</w:t>
      </w:r>
      <w:r/>
    </w:p>
    <w:p>
      <w:pPr>
        <w:numPr>
          <w:ilvl w:val="0"/>
          <w:numId w:val="0"/>
        </w:numPr>
        <w:ind w:firstLine="560"/>
        <w:keepLines w:val="0"/>
        <w:keepNext w:val="0"/>
        <w:pageBreakBefore w:val="0"/>
        <w:spacing w:beforeAutospacing="0" w:afterAutospacing="0" w:line="500" w:lineRule="exact"/>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七、付款方式：所有设备完成供货，通过启东市市场监督管理局检测，完成安装调试并经采购单位验收合格后，凭启东市市场监督管理局出具的告知书和采购单位出具的验收合格单等相关证明材料，付至合同价的90%；余款从验收合格之日算起至三年服务期满，经采购单位认可后一次性付清。</w:t>
      </w:r>
      <w:r/>
    </w:p>
    <w:p>
      <w:pPr>
        <w:ind w:firstLine="560"/>
        <w:spacing w:line="500" w:lineRule="exact"/>
        <w:rPr>
          <w:rFonts w:ascii="方正黑体_GBK" w:hAnsi="方正黑体_GBK" w:eastAsia="方正黑体_GBK" w:cs="方正黑体_GBK"/>
          <w:color w:val="auto"/>
          <w:sz w:val="28"/>
          <w:szCs w:val="28"/>
          <w:highlight w:val="none"/>
        </w:rPr>
      </w:pPr>
      <w:r>
        <w:rPr>
          <w:rFonts w:hint="eastAsia" w:ascii="方正黑体_GBK" w:hAnsi="方正黑体_GBK" w:eastAsia="方正黑体_GBK" w:cs="方正黑体_GBK"/>
          <w:color w:val="auto"/>
          <w:sz w:val="28"/>
          <w:szCs w:val="28"/>
          <w:highlight w:val="none"/>
          <w:lang w:val="en-US" w:eastAsia="zh-CN"/>
        </w:rPr>
        <w:t xml:space="preserve">八</w:t>
      </w:r>
      <w:r>
        <w:rPr>
          <w:rFonts w:hint="eastAsia" w:ascii="方正黑体_GBK" w:hAnsi="方正黑体_GBK" w:eastAsia="方正黑体_GBK" w:cs="方正黑体_GBK"/>
          <w:color w:val="auto"/>
          <w:sz w:val="28"/>
          <w:szCs w:val="28"/>
          <w:highlight w:val="none"/>
        </w:rPr>
        <w:t xml:space="preserve">、采购标的的其他技术、服务等要求</w:t>
      </w:r>
      <w:r/>
    </w:p>
    <w:p>
      <w:pPr>
        <w:ind w:firstLine="560"/>
        <w:spacing w:line="500" w:lineRule="exact"/>
        <w:rPr>
          <w:rFonts w:ascii="方正楷体_GBK" w:hAnsi="方正楷体_GBK" w:eastAsia="方正楷体_GBK" w:cs="方正楷体_GBK"/>
          <w:color w:val="auto"/>
          <w:sz w:val="28"/>
          <w:szCs w:val="28"/>
          <w:highlight w:val="none"/>
        </w:rPr>
      </w:pPr>
      <w:r>
        <w:rPr>
          <w:rFonts w:hint="eastAsia" w:ascii="方正楷体_GBK" w:hAnsi="方正楷体_GBK" w:eastAsia="方正楷体_GBK" w:cs="方正楷体_GBK"/>
          <w:color w:val="auto"/>
          <w:sz w:val="28"/>
          <w:szCs w:val="28"/>
          <w:highlight w:val="none"/>
        </w:rPr>
        <w:t xml:space="preserve">（一）政府采购中实施本国产品标准及相关政策</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1.本项目对采购本国产品给予政策支持，具体内容见招标文件“第四部分 开标和评标”。</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spacing w:line="500" w:lineRule="exact"/>
        <w:rPr>
          <w:rFonts w:ascii="方正楷体_GBK" w:hAnsi="方正楷体_GBK" w:eastAsia="方正楷体_GBK" w:cs="方正楷体_GBK"/>
          <w:color w:val="auto"/>
          <w:sz w:val="28"/>
          <w:szCs w:val="28"/>
          <w:highlight w:val="none"/>
        </w:rPr>
      </w:pPr>
      <w:r>
        <w:rPr>
          <w:rFonts w:ascii="方正楷体_GBK" w:hAnsi="方正楷体_GBK" w:eastAsia="方正楷体_GBK" w:cs="方正楷体_GBK"/>
          <w:color w:val="auto"/>
          <w:sz w:val="28"/>
          <w:szCs w:val="28"/>
          <w:highlight w:val="none"/>
        </w:rPr>
        <w:t xml:space="preserve">（二）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品目清单见《关于印发环境标志产品政府采购品目清单的通知》（财库〔2019〕18号）、《关于印发节能产品政府采购品目清单的通知》（财库〔2019〕19号）。</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需求标准见《商品包装政府采购需求标准（试行）》《快递包装政府采购需求标准（试行）》（财办库〔2020〕123号）、《绿色数据中心政府采购需求标准（试行）》（财库〔2023〕7号）。</w:t>
      </w:r>
      <w:r/>
    </w:p>
    <w:p>
      <w:pPr>
        <w:ind w:firstLine="560"/>
        <w:spacing w:line="500" w:lineRule="exact"/>
        <w:rPr>
          <w:rFonts w:eastAsia="方正仿宋_GBK"/>
          <w:color w:val="auto"/>
          <w:sz w:val="28"/>
          <w:szCs w:val="28"/>
          <w:highlight w:val="none"/>
        </w:rPr>
      </w:pPr>
      <w:r>
        <w:rPr>
          <w:rFonts w:hint="eastAsia" w:ascii="方正黑体_GBK" w:hAnsi="方正黑体_GBK" w:eastAsia="方正黑体_GBK" w:cs="方正黑体_GBK"/>
          <w:color w:val="auto"/>
          <w:sz w:val="28"/>
          <w:szCs w:val="28"/>
          <w:highlight w:val="none"/>
          <w:lang w:val="en-US" w:eastAsia="zh-CN"/>
        </w:rPr>
        <w:t xml:space="preserve">九</w:t>
      </w:r>
      <w:r>
        <w:rPr>
          <w:rFonts w:ascii="方正黑体_GBK" w:hAnsi="方正黑体_GBK" w:eastAsia="方正黑体_GBK" w:cs="方正黑体_GBK"/>
          <w:color w:val="auto"/>
          <w:sz w:val="28"/>
          <w:szCs w:val="28"/>
          <w:highlight w:val="none"/>
        </w:rPr>
        <w:t xml:space="preserve">、履约保证金</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1.本项目中标后的履约保证金为项目中标价的</w:t>
      </w:r>
      <w:r>
        <w:rPr>
          <w:rFonts w:eastAsia="方正仿宋_GBK"/>
          <w:color w:val="auto"/>
          <w:sz w:val="28"/>
          <w:szCs w:val="28"/>
          <w:highlight w:val="none"/>
        </w:rPr>
        <w:t xml:space="preserve">10%</w:t>
      </w:r>
      <w:r>
        <w:rPr>
          <w:rFonts w:eastAsia="方正仿宋_GBK"/>
          <w:color w:val="auto"/>
          <w:sz w:val="28"/>
          <w:szCs w:val="28"/>
          <w:highlight w:val="none"/>
        </w:rPr>
        <w:t xml:space="preserve">，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协商一致，则视为自动放弃中标资格。</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2.中标供应商全部履约合同义务，经采购单位验收合格无质量、进度等问题的，采购人在验收合格后一次性退还履约保证金，采购人若逾期退还履约保证金的，按照逾期部分的</w:t>
      </w:r>
      <w:r>
        <w:rPr>
          <w:rFonts w:eastAsia="方正仿宋_GBK"/>
          <w:color w:val="auto"/>
          <w:sz w:val="28"/>
          <w:szCs w:val="28"/>
          <w:highlight w:val="none"/>
          <w:u w:val="single"/>
        </w:rPr>
        <w:t xml:space="preserve">每日0.05%</w:t>
      </w:r>
      <w:r>
        <w:rPr>
          <w:rFonts w:eastAsia="方正仿宋_GBK"/>
          <w:color w:val="auto"/>
          <w:sz w:val="28"/>
          <w:szCs w:val="28"/>
          <w:highlight w:val="none"/>
        </w:rPr>
        <w:t xml:space="preserve">支付违约金。</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3.发生以下情况的，履约保证金不予退还或部分退还：</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a.签订合同后，中标供应商不履行合同义务的，采购单位有权全额扣除履约保证金，全额不予退还，同时采购单位亦有权终止合同，中标供应商还须承担相应的法律赔偿责任。</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b.中标供应商在履约过程中发生违约行为，给采购单位造成损失的，采购单位有权在中标供应商缴纳的履约保证金中予以扣款，以弥补采购单位经济损失，不足的部分中标供应商另外补齐。</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spacing w:line="500" w:lineRule="exact"/>
        <w:rPr>
          <w:rFonts w:ascii="方正黑体_GBK" w:hAnsi="方正黑体_GBK" w:eastAsia="方正黑体_GBK" w:cs="方正黑体_GBK"/>
          <w:bCs/>
          <w:color w:val="auto"/>
          <w:sz w:val="28"/>
          <w:szCs w:val="28"/>
          <w:highlight w:val="none"/>
        </w:rPr>
      </w:pPr>
      <w:r>
        <w:rPr>
          <w:rFonts w:hint="eastAsia" w:ascii="方正黑体_GBK" w:hAnsi="方正黑体_GBK" w:eastAsia="方正黑体_GBK" w:cs="方正黑体_GBK"/>
          <w:bCs/>
          <w:color w:val="auto"/>
          <w:sz w:val="28"/>
          <w:szCs w:val="28"/>
          <w:highlight w:val="none"/>
        </w:rPr>
        <w:t xml:space="preserve">十、样品</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1.项目要求提供样品的，中标人的样品由采购人负责保管、封存，并作为履约验收的参考。未中标人的样品将及时退还。</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2.请供应商提供所投货物（设备）的样品如下，包括：</w:t>
      </w:r>
      <w:r/>
    </w:p>
    <w:tbl>
      <w:tblPr>
        <w:tblStyle w:val="89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00"/>
        <w:gridCol w:w="874"/>
        <w:gridCol w:w="5856"/>
        <w:gridCol w:w="582"/>
        <w:gridCol w:w="645"/>
        <w:gridCol w:w="600"/>
      </w:tblGrid>
      <w:tr>
        <w:trPr>
          <w:jc w:val="center"/>
          <w:trHeight w:val="240"/>
        </w:trPr>
        <w:tc>
          <w:tcPr>
            <w:tcW w:w="276" w:type="pct"/>
            <w:vAlign w:val="center"/>
            <w:textDirection w:val="lrTb"/>
            <w:noWrap w:val="false"/>
          </w:tcPr>
          <w:p>
            <w:pPr>
              <w:jc w:val="center"/>
              <w:widowControl/>
              <w:rPr>
                <w:rFonts w:hint="eastAsia" w:ascii="宋体" w:hAnsi="宋体" w:eastAsia="宋体" w:cs="宋体"/>
                <w:b/>
                <w:bCs/>
                <w:color w:val="auto"/>
                <w:sz w:val="20"/>
                <w:szCs w:val="20"/>
                <w:highlight w:val="none"/>
                <w14:ligatures w14:val="none"/>
              </w:rPr>
            </w:pPr>
            <w:r>
              <w:rPr>
                <w:rFonts w:hint="eastAsia" w:ascii="宋体" w:hAnsi="宋体" w:eastAsia="宋体" w:cs="宋体"/>
                <w:b/>
                <w:bCs/>
                <w:color w:val="auto"/>
                <w:sz w:val="20"/>
                <w:szCs w:val="20"/>
                <w:highlight w:val="none"/>
                <w14:ligatures w14:val="none"/>
              </w:rPr>
              <w:t xml:space="preserve">序号</w:t>
            </w:r>
            <w:r/>
          </w:p>
        </w:tc>
        <w:tc>
          <w:tcPr>
            <w:tcW w:w="482" w:type="pct"/>
            <w:vAlign w:val="center"/>
            <w:textDirection w:val="lrTb"/>
            <w:noWrap w:val="false"/>
          </w:tcPr>
          <w:p>
            <w:pPr>
              <w:jc w:val="center"/>
              <w:widowControl/>
              <w:rPr>
                <w:rFonts w:hint="eastAsia" w:ascii="宋体" w:hAnsi="宋体" w:eastAsia="宋体" w:cs="宋体"/>
                <w:b/>
                <w:bCs/>
                <w:color w:val="auto"/>
                <w:sz w:val="20"/>
                <w:szCs w:val="20"/>
                <w:highlight w:val="none"/>
                <w14:ligatures w14:val="none"/>
              </w:rPr>
            </w:pPr>
            <w:r>
              <w:rPr>
                <w:rFonts w:hint="eastAsia" w:ascii="宋体" w:hAnsi="宋体" w:eastAsia="宋体" w:cs="宋体"/>
                <w:b/>
                <w:bCs/>
                <w:color w:val="auto"/>
                <w:sz w:val="20"/>
                <w:szCs w:val="20"/>
                <w:highlight w:val="none"/>
                <w14:ligatures w14:val="none"/>
              </w:rPr>
              <w:t xml:space="preserve">产品名称</w:t>
            </w:r>
            <w:r/>
          </w:p>
        </w:tc>
        <w:tc>
          <w:tcPr>
            <w:tcW w:w="3231" w:type="pct"/>
            <w:vAlign w:val="center"/>
            <w:textDirection w:val="lrTb"/>
            <w:noWrap w:val="false"/>
          </w:tcPr>
          <w:p>
            <w:pPr>
              <w:jc w:val="center"/>
              <w:widowControl/>
              <w:rPr>
                <w:rFonts w:hint="eastAsia" w:ascii="宋体" w:hAnsi="宋体" w:eastAsia="宋体" w:cs="宋体"/>
                <w:b/>
                <w:bCs/>
                <w:color w:val="auto"/>
                <w:sz w:val="20"/>
                <w:szCs w:val="20"/>
                <w:highlight w:val="none"/>
                <w14:ligatures w14:val="none"/>
              </w:rPr>
            </w:pPr>
            <w:r>
              <w:rPr>
                <w:rFonts w:hint="eastAsia" w:ascii="宋体" w:hAnsi="宋体" w:eastAsia="宋体" w:cs="宋体"/>
                <w:b/>
                <w:bCs/>
                <w:color w:val="auto"/>
                <w:sz w:val="20"/>
                <w:szCs w:val="20"/>
                <w:highlight w:val="none"/>
                <w14:ligatures w14:val="none"/>
              </w:rPr>
              <w:t xml:space="preserve">技术参数</w:t>
            </w:r>
            <w:r/>
          </w:p>
        </w:tc>
        <w:tc>
          <w:tcPr>
            <w:tcW w:w="321" w:type="pct"/>
            <w:vAlign w:val="center"/>
            <w:textDirection w:val="lrTb"/>
            <w:noWrap w:val="false"/>
          </w:tcPr>
          <w:p>
            <w:pPr>
              <w:jc w:val="center"/>
              <w:widowControl/>
              <w:rPr>
                <w:rFonts w:hint="eastAsia" w:ascii="宋体" w:hAnsi="宋体" w:eastAsia="宋体" w:cs="宋体"/>
                <w:b/>
                <w:bCs/>
                <w:color w:val="auto"/>
                <w:sz w:val="20"/>
                <w:szCs w:val="20"/>
                <w:highlight w:val="none"/>
                <w14:ligatures w14:val="none"/>
              </w:rPr>
            </w:pPr>
            <w:r>
              <w:rPr>
                <w:rFonts w:hint="eastAsia" w:ascii="宋体" w:hAnsi="宋体" w:eastAsia="宋体" w:cs="宋体"/>
                <w:b/>
                <w:bCs/>
                <w:color w:val="auto"/>
                <w:sz w:val="20"/>
                <w:szCs w:val="20"/>
                <w:highlight w:val="none"/>
                <w14:ligatures w14:val="none"/>
              </w:rPr>
              <w:t xml:space="preserve">数量</w:t>
            </w:r>
            <w:r/>
          </w:p>
        </w:tc>
        <w:tc>
          <w:tcPr>
            <w:tcW w:w="356" w:type="pct"/>
            <w:vAlign w:val="center"/>
            <w:textDirection w:val="lrTb"/>
            <w:noWrap w:val="false"/>
          </w:tcPr>
          <w:p>
            <w:pPr>
              <w:jc w:val="center"/>
              <w:widowControl/>
              <w:rPr>
                <w:rFonts w:hint="eastAsia" w:ascii="宋体" w:hAnsi="宋体" w:eastAsia="宋体" w:cs="宋体"/>
                <w:b/>
                <w:bCs/>
                <w:color w:val="auto"/>
                <w:sz w:val="20"/>
                <w:szCs w:val="20"/>
                <w:highlight w:val="none"/>
                <w14:ligatures w14:val="none"/>
              </w:rPr>
            </w:pPr>
            <w:r>
              <w:rPr>
                <w:rFonts w:hint="eastAsia" w:ascii="宋体" w:hAnsi="宋体" w:eastAsia="宋体" w:cs="宋体"/>
                <w:b/>
                <w:bCs/>
                <w:color w:val="auto"/>
                <w:sz w:val="20"/>
                <w:szCs w:val="20"/>
                <w:highlight w:val="none"/>
                <w14:ligatures w14:val="none"/>
              </w:rPr>
              <w:t xml:space="preserve">单位</w:t>
            </w:r>
            <w:r/>
          </w:p>
        </w:tc>
        <w:tc>
          <w:tcPr>
            <w:tcW w:w="331" w:type="pct"/>
            <w:vAlign w:val="center"/>
            <w:textDirection w:val="lrTb"/>
            <w:noWrap w:val="false"/>
          </w:tcPr>
          <w:p>
            <w:pPr>
              <w:jc w:val="center"/>
              <w:widowControl/>
              <w:rPr>
                <w:rFonts w:hint="eastAsia" w:ascii="宋体" w:hAnsi="宋体" w:eastAsia="宋体" w:cs="宋体"/>
                <w:b/>
                <w:bCs/>
                <w:color w:val="auto"/>
                <w:sz w:val="20"/>
                <w:szCs w:val="20"/>
                <w:highlight w:val="none"/>
                <w14:ligatures w14:val="none"/>
              </w:rPr>
            </w:pPr>
            <w:r>
              <w:rPr>
                <w:rFonts w:hint="eastAsia" w:ascii="宋体" w:hAnsi="宋体" w:eastAsia="宋体" w:cs="宋体"/>
                <w:b/>
                <w:bCs/>
                <w:color w:val="auto"/>
                <w:sz w:val="20"/>
                <w:szCs w:val="20"/>
                <w:highlight w:val="none"/>
                <w14:ligatures w14:val="none"/>
              </w:rPr>
              <w:t xml:space="preserve">备注</w:t>
            </w:r>
            <w:r/>
          </w:p>
        </w:tc>
      </w:tr>
      <w:tr>
        <w:trPr>
          <w:jc w:val="center"/>
          <w:trHeight w:val="295"/>
        </w:trPr>
        <w:tc>
          <w:tcPr>
            <w:tcW w:w="276" w:type="pct"/>
            <w:vAlign w:val="center"/>
            <w:textDirection w:val="lrTb"/>
            <w:noWrap w:val="false"/>
          </w:tcPr>
          <w:p>
            <w:pPr>
              <w:jc w:val="center"/>
              <w:widowControl/>
              <w:rPr>
                <w:rFonts w:hint="eastAsia" w:ascii="宋体" w:hAnsi="宋体" w:eastAsia="宋体" w:cs="宋体"/>
                <w:color w:val="auto"/>
                <w:sz w:val="20"/>
                <w:szCs w:val="20"/>
                <w:highlight w:val="none"/>
                <w14:ligatures w14:val="none"/>
              </w:rPr>
            </w:pPr>
            <w:r>
              <w:rPr>
                <w:rFonts w:hint="eastAsia" w:ascii="宋体" w:hAnsi="宋体" w:eastAsia="宋体" w:cs="宋体"/>
                <w:color w:val="auto"/>
                <w:sz w:val="20"/>
                <w:szCs w:val="20"/>
                <w:highlight w:val="none"/>
                <w14:ligatures w14:val="none"/>
              </w:rPr>
              <w:t xml:space="preserve">1</w:t>
            </w:r>
            <w:r/>
          </w:p>
        </w:tc>
        <w:tc>
          <w:tcPr>
            <w:tcW w:w="482" w:type="pct"/>
            <w:vAlign w:val="center"/>
            <w:textDirection w:val="lrTb"/>
            <w:noWrap w:val="false"/>
          </w:tcPr>
          <w:p>
            <w:pPr>
              <w:jc w:val="center"/>
              <w:widowControl/>
              <w:rPr>
                <w:rFonts w:hint="eastAsia" w:ascii="宋体" w:hAnsi="宋体" w:eastAsia="宋体" w:cs="宋体"/>
                <w:color w:val="auto"/>
                <w:sz w:val="20"/>
                <w:szCs w:val="20"/>
                <w:highlight w:val="none"/>
                <w14:ligatures w14:val="none"/>
              </w:rPr>
            </w:pPr>
            <w:r>
              <w:rPr>
                <w:rFonts w:hint="eastAsia" w:ascii="宋体" w:hAnsi="宋体" w:eastAsia="宋体" w:cs="宋体"/>
                <w:color w:val="auto"/>
                <w:sz w:val="20"/>
                <w:szCs w:val="20"/>
                <w:highlight w:val="none"/>
                <w14:ligatures w14:val="none"/>
              </w:rPr>
              <w:t xml:space="preserve">实验室专用学生凳</w:t>
            </w:r>
            <w:r/>
          </w:p>
        </w:tc>
        <w:tc>
          <w:tcPr>
            <w:tcW w:w="3231" w:type="pct"/>
            <w:vAlign w:val="center"/>
            <w:textDirection w:val="lrTb"/>
            <w:noWrap w:val="false"/>
          </w:tcPr>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规格：Φ315*415-515mm（±10mm）</w:t>
            </w:r>
            <w:r/>
          </w:p>
          <w:p>
            <w:pPr>
              <w:jc w:val="left"/>
              <w:widowControl/>
              <w:rPr>
                <w:rFonts w:hint="eastAsia" w:ascii="宋体" w:hAnsi="宋体" w:eastAsia="宋体" w:cs="宋体"/>
                <w:color w:val="auto"/>
                <w:sz w:val="20"/>
                <w:szCs w:val="20"/>
                <w:highlight w:val="none"/>
                <w14:ligatures w14:val="none"/>
              </w:rPr>
            </w:pPr>
            <w:r>
              <w:rPr>
                <w:rFonts w:hint="eastAsia" w:ascii="宋体" w:hAnsi="宋体" w:eastAsia="宋体" w:cs="宋体"/>
                <w:color w:val="auto"/>
                <w:sz w:val="20"/>
                <w:szCs w:val="20"/>
                <w:highlight w:val="none"/>
                <w:lang w:bidi="ar"/>
              </w:rPr>
              <w:t xml:space="preserve">1.凳脚材质：5个凳脚采用19-20×30×壁厚2.0mmP型钢管生产制作，底座连接底座采用铝合金模具一次性压铸成型，牢固稳定性强，结构牢固，底部设有活动静音轮或ABS调整脚。烤漆处理，长时间使用也不会产生表面烤漆剥落现象 可选气压或螺纹升降，升降距离为50mm，最高离地距离为510mm。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2.凳面材质：凳面双色注塑，底部下部采用高轻度塑料支撑表面再注塑一层TPE软胶，产品耐磨性强，耐腐蚀，防污染，易清洁软胶凳面更好解决学生的身体疲劳。</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1、金属件：喷漆(塑)涂层：1、应无漏喷、锈蚀、脱色、掉色符合要求；2、应光滑均匀，色泽一致，应无流挂、疙瘩、皱皮、飞漆符合要求</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结构安全：正常使用时，可接触到的边、角都应进行倒圆、倒角、砂光或以其他合适的方式进行保护。倒圆半径应不小于0.5mm。固定零部件的结合应牢固无松动，应无少件、透钉、漏钉。正常使用时，其他部件表面应无锐边、锐角</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3、金属喷漆(塑)涂层-耐盐浴划道两侧3mm外，应无鼓泡、锈蚀、剥落和起皱等现象符合要求</w:t>
            </w:r>
            <w:r/>
          </w:p>
        </w:tc>
        <w:tc>
          <w:tcPr>
            <w:tcW w:w="321" w:type="pct"/>
            <w:vAlign w:val="center"/>
            <w:textDirection w:val="lrTb"/>
            <w:noWrap w:val="false"/>
          </w:tcPr>
          <w:p>
            <w:pPr>
              <w:jc w:val="center"/>
              <w:widowControl/>
              <w:rPr>
                <w:rFonts w:hint="eastAsia" w:ascii="宋体" w:hAnsi="宋体" w:eastAsia="宋体" w:cs="宋体"/>
                <w:color w:val="auto"/>
                <w:sz w:val="20"/>
                <w:szCs w:val="20"/>
                <w:highlight w:val="none"/>
                <w14:ligatures w14:val="none"/>
              </w:rPr>
            </w:pPr>
            <w:r>
              <w:rPr>
                <w:rFonts w:hint="eastAsia" w:ascii="宋体" w:hAnsi="宋体" w:eastAsia="宋体" w:cs="宋体"/>
                <w:color w:val="auto"/>
                <w:sz w:val="20"/>
                <w:szCs w:val="20"/>
                <w:highlight w:val="none"/>
                <w14:ligatures w14:val="none"/>
              </w:rPr>
              <w:t xml:space="preserve">1</w:t>
            </w:r>
            <w:r/>
          </w:p>
        </w:tc>
        <w:tc>
          <w:tcPr>
            <w:tcW w:w="356" w:type="pct"/>
            <w:vAlign w:val="center"/>
            <w:textDirection w:val="lrTb"/>
            <w:noWrap w:val="false"/>
          </w:tcPr>
          <w:p>
            <w:pPr>
              <w:jc w:val="center"/>
              <w:widowControl/>
              <w:rPr>
                <w:rFonts w:hint="eastAsia" w:ascii="宋体" w:hAnsi="宋体" w:eastAsia="宋体" w:cs="宋体"/>
                <w:color w:val="auto"/>
                <w:sz w:val="20"/>
                <w:szCs w:val="20"/>
                <w:highlight w:val="none"/>
                <w14:ligatures w14:val="none"/>
              </w:rPr>
            </w:pPr>
            <w:r>
              <w:rPr>
                <w:rFonts w:hint="eastAsia" w:ascii="宋体" w:hAnsi="宋体" w:eastAsia="宋体" w:cs="宋体"/>
                <w:color w:val="auto"/>
                <w:sz w:val="20"/>
                <w:szCs w:val="20"/>
                <w:highlight w:val="none"/>
                <w14:ligatures w14:val="none"/>
              </w:rPr>
              <w:t xml:space="preserve">张</w:t>
            </w:r>
            <w:r/>
          </w:p>
        </w:tc>
        <w:tc>
          <w:tcPr>
            <w:tcW w:w="331" w:type="pct"/>
            <w:vAlign w:val="center"/>
            <w:textDirection w:val="lrTb"/>
            <w:noWrap w:val="false"/>
          </w:tcPr>
          <w:p>
            <w:pPr>
              <w:jc w:val="center"/>
              <w:widowControl/>
              <w:rPr>
                <w:rFonts w:hint="eastAsia" w:ascii="宋体" w:hAnsi="宋体" w:eastAsia="宋体" w:cs="宋体"/>
                <w:color w:val="auto"/>
                <w:sz w:val="20"/>
                <w:szCs w:val="20"/>
                <w:highlight w:val="none"/>
                <w14:ligatures w14:val="none"/>
              </w:rPr>
            </w:pPr>
            <w:r>
              <w:rPr>
                <w:rFonts w:hint="eastAsia" w:ascii="宋体" w:hAnsi="宋体" w:eastAsia="宋体" w:cs="宋体"/>
                <w:color w:val="auto"/>
                <w:sz w:val="20"/>
                <w:szCs w:val="20"/>
                <w:highlight w:val="none"/>
                <w14:ligatures w14:val="none"/>
              </w:rPr>
              <w:t xml:space="preserve">　</w:t>
            </w:r>
            <w:r/>
          </w:p>
        </w:tc>
      </w:tr>
      <w:tr>
        <w:trPr>
          <w:jc w:val="center"/>
          <w:trHeight w:val="513"/>
        </w:trPr>
        <w:tc>
          <w:tcPr>
            <w:tcW w:w="276" w:type="pct"/>
            <w:vAlign w:val="center"/>
            <w:textDirection w:val="lrTb"/>
            <w:noWrap w:val="false"/>
          </w:tcPr>
          <w:p>
            <w:pPr>
              <w:jc w:val="center"/>
              <w:widowControl/>
              <w:rPr>
                <w:rFonts w:hint="eastAsia" w:ascii="宋体" w:hAnsi="宋体" w:eastAsia="宋体" w:cs="宋体"/>
                <w:color w:val="auto"/>
                <w:sz w:val="20"/>
                <w:szCs w:val="20"/>
                <w:highlight w:val="none"/>
                <w14:ligatures w14:val="none"/>
              </w:rPr>
            </w:pPr>
            <w:r>
              <w:rPr>
                <w:rFonts w:hint="eastAsia" w:ascii="宋体" w:hAnsi="宋体" w:eastAsia="宋体" w:cs="宋体"/>
                <w:color w:val="auto"/>
                <w:sz w:val="20"/>
                <w:szCs w:val="20"/>
                <w:highlight w:val="none"/>
                <w14:ligatures w14:val="none"/>
              </w:rPr>
              <w:t xml:space="preserve">2</w:t>
            </w:r>
            <w:r/>
          </w:p>
        </w:tc>
        <w:tc>
          <w:tcPr>
            <w:tcW w:w="482" w:type="pct"/>
            <w:vAlign w:val="center"/>
            <w:textDirection w:val="lrTb"/>
            <w:noWrap w:val="false"/>
          </w:tcPr>
          <w:p>
            <w:pPr>
              <w:jc w:val="center"/>
              <w:widowControl/>
              <w:rPr>
                <w:rFonts w:hint="eastAsia" w:ascii="宋体" w:hAnsi="宋体" w:eastAsia="宋体" w:cs="宋体"/>
                <w:color w:val="auto"/>
                <w:sz w:val="20"/>
                <w:szCs w:val="20"/>
                <w:highlight w:val="none"/>
                <w14:ligatures w14:val="none"/>
              </w:rPr>
            </w:pPr>
            <w:r>
              <w:rPr>
                <w:rFonts w:hint="eastAsia" w:ascii="宋体" w:hAnsi="宋体" w:eastAsia="宋体" w:cs="宋体"/>
                <w:color w:val="auto"/>
                <w:sz w:val="20"/>
                <w:szCs w:val="20"/>
                <w:highlight w:val="none"/>
                <w:lang w:bidi="ar"/>
              </w:rPr>
              <w:t xml:space="preserve">椅子</w:t>
            </w:r>
            <w:r/>
          </w:p>
        </w:tc>
        <w:tc>
          <w:tcPr>
            <w:tcW w:w="3231" w:type="pct"/>
            <w:vAlign w:val="center"/>
            <w:textDirection w:val="lrTb"/>
            <w:noWrap w:val="false"/>
          </w:tcPr>
          <w:p>
            <w:pPr>
              <w:jc w:val="left"/>
              <w:widowControl/>
              <w:rPr>
                <w:rFonts w:hint="eastAsia" w:ascii="宋体" w:hAnsi="宋体" w:eastAsia="宋体" w:cs="宋体"/>
                <w:color w:val="auto"/>
                <w:sz w:val="20"/>
                <w:szCs w:val="20"/>
                <w:highlight w:val="none"/>
                <w14:ligatures w14:val="none"/>
              </w:rPr>
            </w:pPr>
            <w:r>
              <w:rPr>
                <w:rFonts w:hint="eastAsia" w:ascii="宋体" w:hAnsi="宋体" w:eastAsia="宋体" w:cs="宋体"/>
                <w:color w:val="auto"/>
                <w:sz w:val="20"/>
                <w:szCs w:val="20"/>
                <w:highlight w:val="none"/>
                <w:lang w:bidi="ar"/>
              </w:rPr>
              <w:t xml:space="preserve">尺寸：530×465×820mm（±10mm）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1；椅座采用优质棉绒弹力面料。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2.优质高回弹密度发泡海绵。</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3；采用水基型胶粘剂,。</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4；椅身：Y字形靠背稳定结构，采用全新PP+纤维，环保可回收使用无污染，能通过≥120K靠背拉力测试。</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5；椅架全铝合金材质压铸成型结构，表面抛光打磨防刮耐磨防锈处理，易堆叠，脚架左右两侧自带联排卡扣，防止摆放杂乱。脚架内侧设有4个防刮胶垫，隔开空间防椅子堆叠时候的刮花。</w:t>
            </w:r>
            <w:r/>
          </w:p>
        </w:tc>
        <w:tc>
          <w:tcPr>
            <w:tcW w:w="321" w:type="pct"/>
            <w:vAlign w:val="center"/>
            <w:textDirection w:val="lrTb"/>
            <w:noWrap w:val="false"/>
          </w:tcPr>
          <w:p>
            <w:pPr>
              <w:jc w:val="center"/>
              <w:widowControl/>
              <w:rPr>
                <w:rFonts w:hint="eastAsia" w:ascii="宋体" w:hAnsi="宋体" w:eastAsia="宋体" w:cs="宋体"/>
                <w:color w:val="auto"/>
                <w:sz w:val="20"/>
                <w:szCs w:val="20"/>
                <w:highlight w:val="none"/>
                <w14:ligatures w14:val="none"/>
              </w:rPr>
            </w:pPr>
            <w:r>
              <w:rPr>
                <w:rFonts w:hint="eastAsia" w:ascii="宋体" w:hAnsi="宋体" w:eastAsia="宋体" w:cs="宋体"/>
                <w:color w:val="auto"/>
                <w:sz w:val="20"/>
                <w:szCs w:val="20"/>
                <w:highlight w:val="none"/>
                <w14:ligatures w14:val="none"/>
              </w:rPr>
              <w:t xml:space="preserve">1</w:t>
            </w:r>
            <w:r/>
          </w:p>
        </w:tc>
        <w:tc>
          <w:tcPr>
            <w:tcW w:w="356" w:type="pct"/>
            <w:vAlign w:val="center"/>
            <w:textDirection w:val="lrTb"/>
            <w:noWrap w:val="false"/>
          </w:tcPr>
          <w:p>
            <w:pPr>
              <w:jc w:val="center"/>
              <w:widowControl/>
              <w:rPr>
                <w:rFonts w:hint="eastAsia" w:ascii="宋体" w:hAnsi="宋体" w:eastAsia="宋体" w:cs="宋体"/>
                <w:color w:val="auto"/>
                <w:sz w:val="20"/>
                <w:szCs w:val="20"/>
                <w:highlight w:val="none"/>
                <w14:ligatures w14:val="none"/>
              </w:rPr>
            </w:pPr>
            <w:r>
              <w:rPr>
                <w:rFonts w:hint="eastAsia" w:ascii="宋体" w:hAnsi="宋体" w:eastAsia="宋体" w:cs="宋体"/>
                <w:color w:val="auto"/>
                <w:sz w:val="20"/>
                <w:szCs w:val="20"/>
                <w:highlight w:val="none"/>
                <w14:ligatures w14:val="none"/>
              </w:rPr>
              <w:t xml:space="preserve">张</w:t>
            </w:r>
            <w:r/>
          </w:p>
        </w:tc>
        <w:tc>
          <w:tcPr>
            <w:tcW w:w="331" w:type="pct"/>
            <w:vAlign w:val="center"/>
            <w:textDirection w:val="lrTb"/>
            <w:noWrap w:val="false"/>
          </w:tcPr>
          <w:p>
            <w:pPr>
              <w:jc w:val="center"/>
              <w:widowControl/>
              <w:rPr>
                <w:rFonts w:hint="eastAsia" w:ascii="宋体" w:hAnsi="宋体" w:eastAsia="宋体" w:cs="宋体"/>
                <w:color w:val="auto"/>
                <w:sz w:val="20"/>
                <w:szCs w:val="20"/>
                <w:highlight w:val="none"/>
                <w14:ligatures w14:val="none"/>
              </w:rPr>
            </w:pPr>
            <w:r>
              <w:rPr>
                <w:rFonts w:hint="eastAsia" w:ascii="宋体" w:hAnsi="宋体" w:eastAsia="宋体" w:cs="宋体"/>
                <w:color w:val="auto"/>
                <w:sz w:val="20"/>
                <w:szCs w:val="20"/>
                <w:highlight w:val="none"/>
                <w14:ligatures w14:val="none"/>
              </w:rPr>
              <w:t xml:space="preserve">　</w:t>
            </w:r>
            <w:r/>
          </w:p>
        </w:tc>
      </w:tr>
      <w:tr>
        <w:trPr>
          <w:jc w:val="center"/>
          <w:trHeight w:val="806"/>
        </w:trPr>
        <w:tc>
          <w:tcPr>
            <w:tcW w:w="276" w:type="pct"/>
            <w:vAlign w:val="center"/>
            <w:textDirection w:val="lrTb"/>
            <w:noWrap w:val="false"/>
          </w:tcPr>
          <w:p>
            <w:pPr>
              <w:jc w:val="center"/>
              <w:widowControl/>
              <w:rPr>
                <w:rFonts w:hint="eastAsia" w:ascii="宋体" w:hAnsi="宋体" w:eastAsia="宋体" w:cs="宋体"/>
                <w:color w:val="auto"/>
                <w:sz w:val="20"/>
                <w:szCs w:val="20"/>
                <w:highlight w:val="none"/>
                <w14:ligatures w14:val="none"/>
              </w:rPr>
            </w:pPr>
            <w:r>
              <w:rPr>
                <w:rFonts w:hint="eastAsia" w:ascii="宋体" w:hAnsi="宋体" w:eastAsia="宋体" w:cs="宋体"/>
                <w:color w:val="auto"/>
                <w:sz w:val="20"/>
                <w:szCs w:val="20"/>
                <w:highlight w:val="none"/>
                <w14:ligatures w14:val="none"/>
              </w:rPr>
              <w:t xml:space="preserve">3</w:t>
            </w:r>
            <w:r/>
          </w:p>
        </w:tc>
        <w:tc>
          <w:tcPr>
            <w:tcW w:w="482" w:type="pct"/>
            <w:vAlign w:val="center"/>
            <w:textDirection w:val="lrTb"/>
            <w:noWrap w:val="false"/>
          </w:tcPr>
          <w:p>
            <w:pPr>
              <w:jc w:val="center"/>
              <w:widowControl/>
              <w:rPr>
                <w:rFonts w:hint="eastAsia" w:ascii="宋体" w:hAnsi="宋体" w:eastAsia="宋体" w:cs="宋体"/>
                <w:color w:val="auto"/>
                <w:sz w:val="20"/>
                <w:szCs w:val="20"/>
                <w:highlight w:val="none"/>
                <w14:ligatures w14:val="none"/>
              </w:rPr>
            </w:pPr>
            <w:r>
              <w:rPr>
                <w:rFonts w:hint="eastAsia" w:ascii="宋体" w:hAnsi="宋体" w:eastAsia="宋体" w:cs="宋体"/>
                <w:color w:val="auto"/>
                <w:sz w:val="20"/>
                <w:szCs w:val="20"/>
                <w:highlight w:val="none"/>
                <w14:ligatures w14:val="none"/>
              </w:rPr>
              <w:t xml:space="preserve">学生椅</w:t>
            </w:r>
            <w:r/>
          </w:p>
        </w:tc>
        <w:tc>
          <w:tcPr>
            <w:tcW w:w="3231" w:type="pct"/>
            <w:vAlign w:val="center"/>
            <w:textDirection w:val="lrTb"/>
            <w:noWrap w:val="false"/>
          </w:tcPr>
          <w:p>
            <w:pPr>
              <w:jc w:val="left"/>
              <w:widowControl/>
              <w:rPr>
                <w:rFonts w:hint="eastAsia" w:ascii="宋体" w:hAnsi="宋体" w:eastAsia="宋体" w:cs="宋体"/>
                <w:color w:val="auto"/>
                <w:sz w:val="20"/>
                <w:szCs w:val="20"/>
                <w:highlight w:val="none"/>
                <w14:ligatures w14:val="none"/>
              </w:rPr>
            </w:pPr>
            <w:r>
              <w:rPr>
                <w:rFonts w:hint="eastAsia" w:ascii="宋体" w:hAnsi="宋体" w:eastAsia="宋体" w:cs="宋体"/>
                <w:color w:val="auto"/>
                <w:sz w:val="20"/>
                <w:szCs w:val="20"/>
                <w:highlight w:val="none"/>
                <w:lang w:bidi="ar"/>
              </w:rPr>
              <w:t xml:space="preserve">一、靠背</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1.材质：采用PP塑料一级新料一体注塑成型。不可采用回收料生产。</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2.尺寸：400×280mm±10mm（±10mm）。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3.靠背整体呈圆弧状，可以更好的贴合背部，靠背中间有椭圆型散热孔。</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4.靠背上方有一个T型的提手孔，方便搬运。T型孔下方可以安装一个活动挂钩，挂钩尺寸：≥45×35×25 mm,静止状态可以挂≥10KG的物件。</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5.靠背与钢管结合方式采用直插式，无螺丝外露，不得有摇晃现象</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二、坐垫</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1.材质：采用PP塑料一级新料一体注塑成型。不可采用回收料生产。</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2.尺寸：≥400×385mm±10mm。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3.座垫中间有一内陷，可使坐下时臀部能服贴座垫，座垫中间有椭圆型通风孔，起到散热作用，进而达到长时间乘坐臀部不劳累.</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三、椅子钢架要求</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1.材质及形状：采用正圆型光亮钢管组合焊接而成，结构牢固，无脱焊、虚焊、焊穿等缺陷。钢架为L型。</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 正圆型光亮钢管尺寸：下架≥Ø36×≥2.0 mm，上架≥Ø28×≥1.5mm，横梁≥Ø25.4×≥1.5。其他钢板≥≥1.5mm。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 表面涂装：焊接完成后的钢管架，经抛丸强化处理。外表采用一级环保粉末涂料，经高温烘烤固化，耐腐蚀、抗冲击，符合相关标准的规定。</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4.手摇升降机构：</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（1）结构与材质：采用蜗轮蜗杆结构，内置金属齿轮升降调节，手摇无极升降；</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（3）无级调节高度范围：≥360-440mm（±5mm），钢管外侧有丝网印刷的高度标尺。</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D.脚垫要求</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1.材质：采用PP加纤维改性，耐冲击塑料一体注塑而成。钢板螺丝加固，底部设有条状防滑凸条，坚固耐磨不易脱落。</w:t>
            </w:r>
            <w:r/>
          </w:p>
        </w:tc>
        <w:tc>
          <w:tcPr>
            <w:tcW w:w="321" w:type="pct"/>
            <w:vAlign w:val="center"/>
            <w:textDirection w:val="lrTb"/>
            <w:noWrap w:val="false"/>
          </w:tcPr>
          <w:p>
            <w:pPr>
              <w:jc w:val="center"/>
              <w:widowControl/>
              <w:rPr>
                <w:rFonts w:hint="eastAsia" w:ascii="宋体" w:hAnsi="宋体" w:eastAsia="宋体" w:cs="宋体"/>
                <w:color w:val="auto"/>
                <w:sz w:val="20"/>
                <w:szCs w:val="20"/>
                <w:highlight w:val="none"/>
                <w14:ligatures w14:val="none"/>
              </w:rPr>
            </w:pPr>
            <w:r>
              <w:rPr>
                <w:rFonts w:hint="eastAsia" w:ascii="宋体" w:hAnsi="宋体" w:eastAsia="宋体" w:cs="宋体"/>
                <w:color w:val="auto"/>
                <w:sz w:val="20"/>
                <w:szCs w:val="20"/>
                <w:highlight w:val="none"/>
                <w14:ligatures w14:val="none"/>
              </w:rPr>
              <w:t xml:space="preserve">1</w:t>
            </w:r>
            <w:r/>
          </w:p>
        </w:tc>
        <w:tc>
          <w:tcPr>
            <w:tcW w:w="356" w:type="pct"/>
            <w:vAlign w:val="center"/>
            <w:textDirection w:val="lrTb"/>
            <w:noWrap w:val="false"/>
          </w:tcPr>
          <w:p>
            <w:pPr>
              <w:jc w:val="center"/>
              <w:widowControl/>
              <w:rPr>
                <w:rFonts w:hint="eastAsia" w:ascii="宋体" w:hAnsi="宋体" w:eastAsia="宋体" w:cs="宋体"/>
                <w:color w:val="auto"/>
                <w:sz w:val="20"/>
                <w:szCs w:val="20"/>
                <w:highlight w:val="none"/>
                <w14:ligatures w14:val="none"/>
              </w:rPr>
            </w:pPr>
            <w:r>
              <w:rPr>
                <w:rFonts w:hint="eastAsia" w:ascii="宋体" w:hAnsi="宋体" w:eastAsia="宋体" w:cs="宋体"/>
                <w:color w:val="auto"/>
                <w:sz w:val="20"/>
                <w:szCs w:val="20"/>
                <w:highlight w:val="none"/>
                <w14:ligatures w14:val="none"/>
              </w:rPr>
              <w:t xml:space="preserve">张</w:t>
            </w:r>
            <w:r/>
          </w:p>
        </w:tc>
        <w:tc>
          <w:tcPr>
            <w:tcW w:w="331" w:type="pct"/>
            <w:vAlign w:val="center"/>
            <w:textDirection w:val="lrTb"/>
            <w:noWrap w:val="false"/>
          </w:tcPr>
          <w:p>
            <w:pPr>
              <w:jc w:val="center"/>
              <w:widowControl/>
              <w:rPr>
                <w:rFonts w:hint="eastAsia" w:ascii="宋体" w:hAnsi="宋体" w:eastAsia="宋体" w:cs="宋体"/>
                <w:color w:val="auto"/>
                <w:sz w:val="20"/>
                <w:szCs w:val="20"/>
                <w:highlight w:val="none"/>
                <w14:ligatures w14:val="none"/>
              </w:rPr>
            </w:pPr>
            <w:r>
              <w:rPr>
                <w:rFonts w:hint="eastAsia" w:ascii="宋体" w:hAnsi="宋体" w:eastAsia="宋体" w:cs="宋体"/>
                <w:color w:val="auto"/>
                <w:sz w:val="20"/>
                <w:szCs w:val="20"/>
                <w:highlight w:val="none"/>
                <w14:ligatures w14:val="none"/>
              </w:rPr>
              <w:t xml:space="preserve">　</w:t>
            </w:r>
            <w:r/>
          </w:p>
        </w:tc>
      </w:tr>
      <w:tr>
        <w:trPr>
          <w:jc w:val="center"/>
          <w:trHeight w:val="2160"/>
        </w:trPr>
        <w:tc>
          <w:tcPr>
            <w:tcW w:w="276" w:type="pct"/>
            <w:vAlign w:val="center"/>
            <w:textDirection w:val="lrTb"/>
            <w:noWrap w:val="false"/>
          </w:tcPr>
          <w:p>
            <w:pPr>
              <w:jc w:val="center"/>
              <w:widowControl/>
              <w:rPr>
                <w:rFonts w:hint="eastAsia" w:ascii="宋体" w:hAnsi="宋体" w:eastAsia="宋体" w:cs="宋体"/>
                <w:color w:val="auto"/>
                <w:sz w:val="20"/>
                <w:szCs w:val="20"/>
                <w:highlight w:val="none"/>
                <w14:ligatures w14:val="none"/>
              </w:rPr>
            </w:pPr>
            <w:r>
              <w:rPr>
                <w:rFonts w:hint="eastAsia" w:ascii="宋体" w:hAnsi="宋体" w:eastAsia="宋体" w:cs="宋体"/>
                <w:color w:val="auto"/>
                <w:sz w:val="20"/>
                <w:szCs w:val="20"/>
                <w:highlight w:val="none"/>
                <w14:ligatures w14:val="none"/>
              </w:rPr>
              <w:t xml:space="preserve">4</w:t>
            </w:r>
            <w:r/>
          </w:p>
        </w:tc>
        <w:tc>
          <w:tcPr>
            <w:tcW w:w="482" w:type="pct"/>
            <w:vAlign w:val="center"/>
            <w:textDirection w:val="lrTb"/>
            <w:noWrap w:val="false"/>
          </w:tcPr>
          <w:p>
            <w:pPr>
              <w:jc w:val="center"/>
              <w:widowControl/>
              <w:rPr>
                <w:rFonts w:hint="eastAsia" w:ascii="宋体" w:hAnsi="宋体" w:eastAsia="宋体" w:cs="宋体"/>
                <w:color w:val="auto"/>
                <w:sz w:val="20"/>
                <w:szCs w:val="20"/>
                <w:highlight w:val="none"/>
                <w14:ligatures w14:val="none"/>
              </w:rPr>
            </w:pPr>
            <w:r>
              <w:rPr>
                <w:rFonts w:hint="eastAsia" w:ascii="宋体" w:hAnsi="宋体" w:eastAsia="宋体" w:cs="宋体"/>
                <w:color w:val="auto"/>
                <w:sz w:val="20"/>
                <w:szCs w:val="20"/>
                <w:highlight w:val="none"/>
                <w14:ligatures w14:val="none"/>
              </w:rPr>
              <w:t xml:space="preserve">研学桌</w:t>
            </w:r>
            <w:r/>
          </w:p>
        </w:tc>
        <w:tc>
          <w:tcPr>
            <w:tcW w:w="3231" w:type="pct"/>
            <w:vAlign w:val="center"/>
            <w:textDirection w:val="lrTb"/>
            <w:noWrap w:val="false"/>
          </w:tcPr>
          <w:p>
            <w:pPr>
              <w:jc w:val="left"/>
              <w:widowControl/>
              <w:rPr>
                <w:rFonts w:hint="eastAsia" w:ascii="宋体" w:hAnsi="宋体" w:eastAsia="宋体" w:cs="宋体"/>
                <w:color w:val="auto"/>
                <w:sz w:val="20"/>
                <w:szCs w:val="20"/>
                <w:highlight w:val="none"/>
                <w14:ligatures w14:val="none"/>
              </w:rPr>
            </w:pPr>
            <w:r>
              <w:rPr>
                <w:rFonts w:hint="eastAsia" w:ascii="宋体" w:hAnsi="宋体" w:eastAsia="宋体" w:cs="宋体"/>
                <w:color w:val="auto"/>
                <w:sz w:val="20"/>
                <w:szCs w:val="20"/>
                <w:highlight w:val="none"/>
                <w:lang w:bidi="ar"/>
              </w:rPr>
              <w:t xml:space="preserve">尺寸：1400×600×760mm（±10mm）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材质：桌面内部采用≥18mm厚实木多层板，所有板材均要进行干燥处理，含水率≤12%。桌面正面及四边均采用ABS工程塑料一次成型包裹，桌面上面ABS厚度为≥7mm，桌面四边厚度为≥14mm厚，桌面四周倒圆角，无尖锐突出。所有板材均要进行干燥处理，含水率≤12% 。产品全白无结巴，无黑点无红点，不漂白且无虫蛀、活节、开裂、缺棱和变形翘曲等缺陷。</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脚架：脚是铝压铸模具弯管脚，立柱：采用优质≥φ50MM 圆形冷轧管 （壁厚≥2MM)台脚：采用优质铝合金模具压铸技术一体成型 ，连接杆：采用优质≥φ50MM 圆形冷轧管（壁厚≥2MM) 结构稳定脚轮：采用优质≥φ65MM 尼龙万向带刹车P 静音脚轮。可收纳加脚轮及刹车装置一级冷轧钢管， 表面处理后高温静电喷涂 。</w:t>
            </w:r>
            <w:r/>
          </w:p>
        </w:tc>
        <w:tc>
          <w:tcPr>
            <w:tcW w:w="321" w:type="pct"/>
            <w:vAlign w:val="center"/>
            <w:textDirection w:val="lrTb"/>
            <w:noWrap w:val="false"/>
          </w:tcPr>
          <w:p>
            <w:pPr>
              <w:jc w:val="center"/>
              <w:widowControl/>
              <w:rPr>
                <w:rFonts w:hint="eastAsia" w:ascii="宋体" w:hAnsi="宋体" w:eastAsia="宋体" w:cs="宋体"/>
                <w:color w:val="auto"/>
                <w:sz w:val="20"/>
                <w:szCs w:val="20"/>
                <w:highlight w:val="none"/>
                <w14:ligatures w14:val="none"/>
              </w:rPr>
            </w:pPr>
            <w:r>
              <w:rPr>
                <w:rFonts w:hint="eastAsia" w:ascii="宋体" w:hAnsi="宋体" w:eastAsia="宋体" w:cs="宋体"/>
                <w:color w:val="auto"/>
                <w:sz w:val="20"/>
                <w:szCs w:val="20"/>
                <w:highlight w:val="none"/>
                <w14:ligatures w14:val="none"/>
              </w:rPr>
              <w:t xml:space="preserve">1</w:t>
            </w:r>
            <w:r/>
          </w:p>
        </w:tc>
        <w:tc>
          <w:tcPr>
            <w:tcW w:w="356" w:type="pct"/>
            <w:vAlign w:val="center"/>
            <w:textDirection w:val="lrTb"/>
            <w:noWrap w:val="false"/>
          </w:tcPr>
          <w:p>
            <w:pPr>
              <w:jc w:val="center"/>
              <w:widowControl/>
              <w:rPr>
                <w:rFonts w:hint="eastAsia" w:ascii="宋体" w:hAnsi="宋体" w:eastAsia="宋体" w:cs="宋体"/>
                <w:color w:val="auto"/>
                <w:sz w:val="20"/>
                <w:szCs w:val="20"/>
                <w:highlight w:val="none"/>
                <w14:ligatures w14:val="none"/>
              </w:rPr>
            </w:pPr>
            <w:r>
              <w:rPr>
                <w:rFonts w:hint="eastAsia" w:ascii="宋体" w:hAnsi="宋体" w:eastAsia="宋体" w:cs="宋体"/>
                <w:color w:val="auto"/>
                <w:sz w:val="20"/>
                <w:szCs w:val="20"/>
                <w:highlight w:val="none"/>
                <w14:ligatures w14:val="none"/>
              </w:rPr>
              <w:t xml:space="preserve">张</w:t>
            </w:r>
            <w:r/>
          </w:p>
        </w:tc>
        <w:tc>
          <w:tcPr>
            <w:tcW w:w="331" w:type="pct"/>
            <w:vAlign w:val="center"/>
            <w:textDirection w:val="lrTb"/>
            <w:noWrap w:val="false"/>
          </w:tcPr>
          <w:p>
            <w:pPr>
              <w:jc w:val="center"/>
              <w:widowControl/>
              <w:rPr>
                <w:rFonts w:hint="eastAsia" w:ascii="宋体" w:hAnsi="宋体" w:eastAsia="宋体" w:cs="宋体"/>
                <w:color w:val="auto"/>
                <w:sz w:val="20"/>
                <w:szCs w:val="20"/>
                <w:highlight w:val="none"/>
                <w14:ligatures w14:val="none"/>
              </w:rPr>
            </w:pPr>
            <w:r>
              <w:rPr>
                <w:rFonts w:hint="eastAsia" w:ascii="宋体" w:hAnsi="宋体" w:eastAsia="宋体" w:cs="宋体"/>
                <w:color w:val="auto"/>
                <w:sz w:val="20"/>
                <w:szCs w:val="20"/>
                <w:highlight w:val="none"/>
                <w14:ligatures w14:val="none"/>
              </w:rPr>
              <w:t xml:space="preserve">　</w:t>
            </w:r>
            <w:r/>
          </w:p>
        </w:tc>
      </w:tr>
      <w:tr>
        <w:trPr>
          <w:jc w:val="center"/>
          <w:trHeight w:val="558"/>
        </w:trPr>
        <w:tc>
          <w:tcPr>
            <w:tcW w:w="276" w:type="pct"/>
            <w:vAlign w:val="center"/>
            <w:textDirection w:val="lrTb"/>
            <w:noWrap w:val="false"/>
          </w:tcPr>
          <w:p>
            <w:pPr>
              <w:jc w:val="center"/>
              <w:widowControl/>
              <w:rPr>
                <w:rFonts w:hint="eastAsia" w:ascii="宋体" w:hAnsi="宋体" w:eastAsia="宋体" w:cs="宋体"/>
                <w:color w:val="auto"/>
                <w:sz w:val="20"/>
                <w:szCs w:val="20"/>
                <w:highlight w:val="none"/>
                <w14:ligatures w14:val="none"/>
              </w:rPr>
            </w:pPr>
            <w:r>
              <w:rPr>
                <w:rFonts w:hint="eastAsia" w:ascii="宋体" w:hAnsi="宋体" w:eastAsia="宋体" w:cs="宋体"/>
                <w:color w:val="auto"/>
                <w:sz w:val="20"/>
                <w:szCs w:val="20"/>
                <w:highlight w:val="none"/>
                <w14:ligatures w14:val="none"/>
              </w:rPr>
              <w:t xml:space="preserve">5</w:t>
            </w:r>
            <w:r/>
          </w:p>
        </w:tc>
        <w:tc>
          <w:tcPr>
            <w:tcW w:w="482" w:type="pct"/>
            <w:vAlign w:val="center"/>
            <w:textDirection w:val="lrTb"/>
            <w:noWrap w:val="false"/>
          </w:tcPr>
          <w:p>
            <w:pPr>
              <w:jc w:val="center"/>
              <w:widowControl/>
              <w:rPr>
                <w:rFonts w:hint="eastAsia" w:ascii="宋体" w:hAnsi="宋体" w:eastAsia="宋体" w:cs="宋体"/>
                <w:color w:val="auto"/>
                <w:sz w:val="20"/>
                <w:szCs w:val="20"/>
                <w:highlight w:val="none"/>
                <w14:ligatures w14:val="none"/>
              </w:rPr>
            </w:pPr>
            <w:r>
              <w:rPr>
                <w:rFonts w:hint="eastAsia" w:ascii="宋体" w:hAnsi="宋体" w:eastAsia="宋体" w:cs="宋体"/>
                <w:color w:val="auto"/>
                <w:sz w:val="20"/>
                <w:szCs w:val="20"/>
                <w:highlight w:val="none"/>
                <w14:ligatures w14:val="none"/>
              </w:rPr>
              <w:t xml:space="preserve">学习态度引导仪</w:t>
            </w:r>
            <w:r/>
          </w:p>
        </w:tc>
        <w:tc>
          <w:tcPr>
            <w:tcW w:w="3231" w:type="pct"/>
            <w:textDirection w:val="lrTb"/>
            <w:noWrap w:val="false"/>
          </w:tcPr>
          <w:p>
            <w:pPr>
              <w:jc w:val="left"/>
              <w:widowControl/>
              <w:rPr>
                <w:rFonts w:hint="eastAsia" w:ascii="宋体" w:hAnsi="宋体" w:eastAsia="宋体" w:cs="宋体"/>
                <w:color w:val="auto"/>
                <w:sz w:val="20"/>
                <w:szCs w:val="20"/>
                <w:highlight w:val="none"/>
                <w14:ligatures w14:val="none"/>
              </w:rPr>
            </w:pPr>
            <w:r>
              <w:rPr>
                <w:rFonts w:hint="eastAsia" w:ascii="宋体" w:hAnsi="宋体" w:eastAsia="宋体" w:cs="宋体"/>
                <w:color w:val="auto"/>
                <w:sz w:val="20"/>
                <w:szCs w:val="20"/>
                <w:highlight w:val="none"/>
                <w:lang w:bidi="ar"/>
              </w:rPr>
              <w:t xml:space="preserve">学习态度引导仪是一款基于科学心理学设计的，运用科学心理学的任务范式，结合心理测量，对学生的学习动机、学习情绪，以及学习中的自我意识进行评估的专用仪器，以引导学生树立积极的学习态度。并配备云端管理软件，便于数据统一管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1.该仪器对学生的学习动机、学习情绪，以及学习中的自我意识进行评估，具体包含6个评价因子，7项任务：学习动机测验、情绪稳定性、情绪敏感性、情绪记忆、自我服务偏差、IAT任务、自我参照效应等。</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2.仪器具有自主登录、测评或训练、报告查看等功能，测评或训练过程中均有明确的指导语说明，满足个体自主自助要求。</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3.仪器单机或联网均可正常使用，不受网络局限。</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4.联网状态下，数据可自动上传至云端“华师学习品质多维辅导软件”，实现数据双重存储，同时便于大数据更新与管理。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5.华师心理云平台管理模块具有用户信息管理、报告管理、设备维护等基本功能。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①用户信息管理：快速建立仪器使用者名单，支持名单自添加、批量导入等，联网状态下，仪器可以获取云端建立的用户信息。</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②报告管理：联网状态下，仪器测试数据可自动上传至华师心理云平台，自动生成个体报告、团体报告，支持查看、下载结果报告。</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③设备维护：了解仪器使用情况、测评人次、维度对比等。</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 液晶触控屏幕：显示屏尺寸：≥13.3英寸，辨率：1920 × 1080，电容触摸屏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7.两个按键带液晶显示，可根据不同应用显示相应的图案、字母、符号等：显示屏尺寸：≥1.22英寸、分辨率： ≥240×240(RGB) 、按键反应力：≥260gf</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8.仪器屏幕可0~180°翻转，可前后移动，操作者可以根据自己的视角以及操作习惯可以调节角度和距离。</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9. 仪器具备收纳盒，可收纳测笔。</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10.后置音频输出、USB、HDMI、以及专用扩展接口。</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11. 主机：Intel赛扬处理器，4G内存,固态硬盘 120G</w:t>
            </w:r>
            <w:r/>
          </w:p>
        </w:tc>
        <w:tc>
          <w:tcPr>
            <w:tcW w:w="321" w:type="pct"/>
            <w:vAlign w:val="center"/>
            <w:textDirection w:val="lrTb"/>
            <w:noWrap w:val="false"/>
          </w:tcPr>
          <w:p>
            <w:pPr>
              <w:jc w:val="center"/>
              <w:widowControl/>
              <w:rPr>
                <w:rFonts w:hint="eastAsia" w:ascii="宋体" w:hAnsi="宋体" w:eastAsia="宋体" w:cs="宋体"/>
                <w:color w:val="auto"/>
                <w:sz w:val="20"/>
                <w:szCs w:val="20"/>
                <w:highlight w:val="none"/>
                <w14:ligatures w14:val="none"/>
              </w:rPr>
            </w:pPr>
            <w:r>
              <w:rPr>
                <w:rFonts w:hint="eastAsia" w:ascii="宋体" w:hAnsi="宋体" w:eastAsia="宋体" w:cs="宋体"/>
                <w:color w:val="auto"/>
                <w:sz w:val="20"/>
                <w:szCs w:val="20"/>
                <w:highlight w:val="none"/>
                <w14:ligatures w14:val="none"/>
              </w:rPr>
              <w:t xml:space="preserve">1</w:t>
            </w:r>
            <w:r/>
          </w:p>
        </w:tc>
        <w:tc>
          <w:tcPr>
            <w:tcW w:w="356" w:type="pct"/>
            <w:vAlign w:val="center"/>
            <w:textDirection w:val="lrTb"/>
            <w:noWrap w:val="false"/>
          </w:tcPr>
          <w:p>
            <w:pPr>
              <w:jc w:val="center"/>
              <w:widowControl/>
              <w:rPr>
                <w:rFonts w:hint="eastAsia" w:ascii="宋体" w:hAnsi="宋体" w:eastAsia="宋体" w:cs="宋体"/>
                <w:color w:val="auto"/>
                <w:sz w:val="20"/>
                <w:szCs w:val="20"/>
                <w:highlight w:val="none"/>
                <w14:ligatures w14:val="none"/>
              </w:rPr>
            </w:pPr>
            <w:r>
              <w:rPr>
                <w:rFonts w:hint="eastAsia" w:ascii="宋体" w:hAnsi="宋体" w:eastAsia="宋体" w:cs="宋体"/>
                <w:color w:val="auto"/>
                <w:sz w:val="20"/>
                <w:szCs w:val="20"/>
                <w:highlight w:val="none"/>
                <w14:ligatures w14:val="none"/>
              </w:rPr>
              <w:t xml:space="preserve">台</w:t>
            </w:r>
            <w:r/>
          </w:p>
        </w:tc>
        <w:tc>
          <w:tcPr>
            <w:tcW w:w="331" w:type="pct"/>
            <w:vAlign w:val="center"/>
            <w:textDirection w:val="lrTb"/>
            <w:noWrap w:val="false"/>
          </w:tcPr>
          <w:p>
            <w:pPr>
              <w:jc w:val="center"/>
              <w:widowControl/>
              <w:rPr>
                <w:rFonts w:hint="eastAsia" w:ascii="宋体" w:hAnsi="宋体" w:eastAsia="宋体" w:cs="宋体"/>
                <w:color w:val="auto"/>
                <w:sz w:val="20"/>
                <w:szCs w:val="20"/>
                <w:highlight w:val="none"/>
                <w14:ligatures w14:val="none"/>
              </w:rPr>
            </w:pPr>
            <w:r>
              <w:rPr>
                <w:rFonts w:hint="eastAsia" w:ascii="宋体" w:hAnsi="宋体" w:eastAsia="宋体" w:cs="宋体"/>
                <w:color w:val="auto"/>
                <w:sz w:val="20"/>
                <w:szCs w:val="20"/>
                <w:highlight w:val="none"/>
                <w14:ligatures w14:val="none"/>
              </w:rPr>
              <w:t xml:space="preserve">　</w:t>
            </w:r>
            <w:r/>
          </w:p>
        </w:tc>
      </w:tr>
      <w:tr>
        <w:trPr>
          <w:jc w:val="center"/>
          <w:trHeight w:val="4560"/>
        </w:trPr>
        <w:tc>
          <w:tcPr>
            <w:tcW w:w="276" w:type="pct"/>
            <w:vAlign w:val="center"/>
            <w:textDirection w:val="lrTb"/>
            <w:noWrap w:val="false"/>
          </w:tcPr>
          <w:p>
            <w:pPr>
              <w:jc w:val="center"/>
              <w:widowControl/>
              <w:rPr>
                <w:rFonts w:hint="eastAsia" w:ascii="宋体" w:hAnsi="宋体" w:eastAsia="宋体" w:cs="宋体"/>
                <w:color w:val="auto"/>
                <w:sz w:val="20"/>
                <w:szCs w:val="20"/>
                <w:highlight w:val="none"/>
                <w14:ligatures w14:val="none"/>
              </w:rPr>
            </w:pPr>
            <w:r>
              <w:rPr>
                <w:rFonts w:hint="eastAsia" w:ascii="宋体" w:hAnsi="宋体" w:eastAsia="宋体" w:cs="宋体"/>
                <w:color w:val="auto"/>
                <w:sz w:val="20"/>
                <w:szCs w:val="20"/>
                <w:highlight w:val="none"/>
                <w14:ligatures w14:val="none"/>
              </w:rPr>
              <w:t xml:space="preserve">6</w:t>
            </w:r>
            <w:r/>
          </w:p>
        </w:tc>
        <w:tc>
          <w:tcPr>
            <w:tcW w:w="482" w:type="pct"/>
            <w:vAlign w:val="center"/>
            <w:textDirection w:val="lrTb"/>
            <w:noWrap w:val="false"/>
          </w:tcPr>
          <w:p>
            <w:pPr>
              <w:jc w:val="center"/>
              <w:widowControl/>
              <w:rPr>
                <w:rFonts w:hint="eastAsia" w:ascii="宋体" w:hAnsi="宋体" w:eastAsia="宋体" w:cs="宋体"/>
                <w:color w:val="auto"/>
                <w:sz w:val="20"/>
                <w:szCs w:val="20"/>
                <w:highlight w:val="none"/>
                <w14:ligatures w14:val="none"/>
              </w:rPr>
            </w:pPr>
            <w:r>
              <w:rPr>
                <w:rFonts w:hint="eastAsia" w:ascii="宋体" w:hAnsi="宋体" w:eastAsia="宋体" w:cs="宋体"/>
                <w:color w:val="auto"/>
                <w:sz w:val="20"/>
                <w:szCs w:val="20"/>
                <w:highlight w:val="none"/>
                <w14:ligatures w14:val="none"/>
              </w:rPr>
              <w:t xml:space="preserve">研学椅</w:t>
            </w:r>
            <w:r/>
          </w:p>
        </w:tc>
        <w:tc>
          <w:tcPr>
            <w:tcW w:w="3231" w:type="pct"/>
            <w:vAlign w:val="center"/>
            <w:textDirection w:val="lrTb"/>
            <w:noWrap w:val="false"/>
          </w:tcPr>
          <w:p>
            <w:pPr>
              <w:jc w:val="left"/>
              <w:widowControl/>
              <w:rPr>
                <w:rFonts w:hint="eastAsia" w:ascii="宋体" w:hAnsi="宋体" w:eastAsia="宋体" w:cs="宋体"/>
                <w:color w:val="auto"/>
                <w:sz w:val="20"/>
                <w:szCs w:val="20"/>
                <w:highlight w:val="none"/>
                <w14:ligatures w14:val="none"/>
              </w:rPr>
            </w:pPr>
            <w:r>
              <w:rPr>
                <w:rFonts w:hint="eastAsia" w:ascii="宋体" w:hAnsi="宋体" w:eastAsia="宋体" w:cs="宋体"/>
                <w:color w:val="auto"/>
                <w:sz w:val="20"/>
                <w:szCs w:val="20"/>
                <w:highlight w:val="none"/>
                <w:lang w:bidi="ar"/>
              </w:rPr>
              <w:t xml:space="preserve">尺寸：570×585×总高810（座高450）mm（±10mm）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整体材质：座靠采用高回弹海绵 + 100%涤纶网布， 扶手/背框采用全新 PP+30% GF 注塑一体成型，椅架采用优质碳素钢，联排件采用尼龙材质：脚轮采用静音万向空心轮轮。整张椅子承重150kg</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靠背：靠背框架采用全新 PP+30% GF 一体注塑成型，外包面料采用高密度100%涤纶网布，克重≥335g/m²，幅宽≥142cm，耐磨≥50000转，亲肤耐磨面料，透气亲肤，防污易清洁。靠背高度≥410mm，靠背最大宽度≥455mm。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座板软包：座面宽度≥435mm，座面深≥460mm，座面离地高度≥450mm，座框采用全新 PP+30% GF 一体注塑成型，内置高密度高回弹定型海绵，回弹性好，外包面料材质为：100%涤纶网布，克重≥335g/m²，幅宽≥142cm，耐磨≥50000转，久坐不塌陷；座面采用微凹弧形设计，贴合臀部曲线，分散臀部压力。椅座与椅架内置折叠转轴，实现座椅一键折叠收纳，大幅节省空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扶手与椅架：椅架采用优质碳素钢椭圆管≥20mm×50mm，管壁厚≥1.2mm，扶手采用全新 PP+30% GF 一体注塑成型，扶手宽≥50mm，扶手长≥194mm。X 型交叉结构，椅架结构稳固，表面经哑光喷涂处理，光亮平整、无颗粒渣点、颜色均匀，线条流畅。</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联排功能：椅身左右两侧内置圆形联排尼龙卡扣，直径≥37mm，厚度≥23mm，无需额外工具，即可快速将多把椅子联排固定，联排后结构稳固，无晃动。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脚轮：采用静音万向空心轮，直径≥60mm，顺滑无噪音，不伤地面，移动灵活；双轮设计提升承重与稳定性。</w:t>
            </w:r>
            <w:r/>
          </w:p>
        </w:tc>
        <w:tc>
          <w:tcPr>
            <w:tcW w:w="321" w:type="pct"/>
            <w:vAlign w:val="center"/>
            <w:textDirection w:val="lrTb"/>
            <w:noWrap w:val="false"/>
          </w:tcPr>
          <w:p>
            <w:pPr>
              <w:jc w:val="center"/>
              <w:widowControl/>
              <w:rPr>
                <w:rFonts w:hint="eastAsia" w:ascii="宋体" w:hAnsi="宋体" w:eastAsia="宋体" w:cs="宋体"/>
                <w:color w:val="auto"/>
                <w:sz w:val="20"/>
                <w:szCs w:val="20"/>
                <w:highlight w:val="none"/>
                <w14:ligatures w14:val="none"/>
              </w:rPr>
            </w:pPr>
            <w:r>
              <w:rPr>
                <w:rFonts w:hint="eastAsia" w:ascii="宋体" w:hAnsi="宋体" w:eastAsia="宋体" w:cs="宋体"/>
                <w:color w:val="auto"/>
                <w:sz w:val="20"/>
                <w:szCs w:val="20"/>
                <w:highlight w:val="none"/>
                <w14:ligatures w14:val="none"/>
              </w:rPr>
              <w:t xml:space="preserve">1</w:t>
            </w:r>
            <w:r/>
          </w:p>
        </w:tc>
        <w:tc>
          <w:tcPr>
            <w:tcW w:w="356" w:type="pct"/>
            <w:vAlign w:val="center"/>
            <w:textDirection w:val="lrTb"/>
            <w:noWrap w:val="false"/>
          </w:tcPr>
          <w:p>
            <w:pPr>
              <w:jc w:val="center"/>
              <w:widowControl/>
              <w:rPr>
                <w:rFonts w:hint="eastAsia" w:ascii="宋体" w:hAnsi="宋体" w:eastAsia="宋体" w:cs="宋体"/>
                <w:color w:val="auto"/>
                <w:sz w:val="20"/>
                <w:szCs w:val="20"/>
                <w:highlight w:val="none"/>
                <w14:ligatures w14:val="none"/>
              </w:rPr>
            </w:pPr>
            <w:r>
              <w:rPr>
                <w:rFonts w:hint="eastAsia" w:ascii="宋体" w:hAnsi="宋体" w:eastAsia="宋体" w:cs="宋体"/>
                <w:color w:val="auto"/>
                <w:sz w:val="20"/>
                <w:szCs w:val="20"/>
                <w:highlight w:val="none"/>
                <w14:ligatures w14:val="none"/>
              </w:rPr>
              <w:t xml:space="preserve">张</w:t>
            </w:r>
            <w:r/>
          </w:p>
        </w:tc>
        <w:tc>
          <w:tcPr>
            <w:tcW w:w="331" w:type="pct"/>
            <w:vAlign w:val="center"/>
            <w:textDirection w:val="lrTb"/>
            <w:noWrap w:val="false"/>
          </w:tcPr>
          <w:p>
            <w:pPr>
              <w:jc w:val="center"/>
              <w:widowControl/>
              <w:rPr>
                <w:rFonts w:hint="eastAsia" w:ascii="宋体" w:hAnsi="宋体" w:eastAsia="宋体" w:cs="宋体"/>
                <w:color w:val="auto"/>
                <w:sz w:val="20"/>
                <w:szCs w:val="20"/>
                <w:highlight w:val="none"/>
                <w14:ligatures w14:val="none"/>
              </w:rPr>
            </w:pPr>
            <w:r>
              <w:rPr>
                <w:rFonts w:hint="eastAsia" w:ascii="宋体" w:hAnsi="宋体" w:eastAsia="宋体" w:cs="宋体"/>
                <w:color w:val="auto"/>
                <w:sz w:val="20"/>
                <w:szCs w:val="20"/>
                <w:highlight w:val="none"/>
                <w14:ligatures w14:val="none"/>
              </w:rPr>
              <w:t xml:space="preserve">　</w:t>
            </w:r>
            <w:r/>
          </w:p>
        </w:tc>
      </w:tr>
    </w:tbl>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3.样品提交及安装完成时间：</w:t>
      </w:r>
      <w:r>
        <w:rPr>
          <w:rFonts w:hint="eastAsia" w:eastAsia="方正仿宋_GBK"/>
          <w:color w:val="auto"/>
          <w:sz w:val="28"/>
          <w:szCs w:val="28"/>
          <w:highlight w:val="none"/>
          <w:lang w:val="en-US" w:eastAsia="zh-CN"/>
        </w:rPr>
        <w:t xml:space="preserve">2026</w:t>
      </w:r>
      <w:r>
        <w:rPr>
          <w:rFonts w:eastAsia="方正仿宋_GBK"/>
          <w:color w:val="auto"/>
          <w:sz w:val="28"/>
          <w:szCs w:val="28"/>
          <w:highlight w:val="none"/>
        </w:rPr>
        <w:t xml:space="preserve">年</w:t>
      </w:r>
      <w:r>
        <w:rPr>
          <w:rFonts w:hint="eastAsia" w:eastAsia="方正仿宋_GBK"/>
          <w:color w:val="auto"/>
          <w:sz w:val="28"/>
          <w:szCs w:val="28"/>
          <w:highlight w:val="none"/>
          <w:lang w:val="en-US" w:eastAsia="zh-CN"/>
        </w:rPr>
        <w:t xml:space="preserve">7</w:t>
      </w:r>
      <w:r>
        <w:rPr>
          <w:rFonts w:eastAsia="方正仿宋_GBK"/>
          <w:color w:val="auto"/>
          <w:sz w:val="28"/>
          <w:szCs w:val="28"/>
          <w:highlight w:val="none"/>
        </w:rPr>
        <w:t xml:space="preserve">月</w:t>
      </w:r>
      <w:r>
        <w:rPr>
          <w:rFonts w:hint="eastAsia" w:eastAsia="方正仿宋_GBK"/>
          <w:color w:val="auto"/>
          <w:sz w:val="28"/>
          <w:szCs w:val="28"/>
          <w:highlight w:val="none"/>
          <w:lang w:val="en-US" w:eastAsia="zh-CN"/>
        </w:rPr>
        <w:t xml:space="preserve">9</w:t>
      </w:r>
      <w:r>
        <w:rPr>
          <w:rFonts w:eastAsia="方正仿宋_GBK"/>
          <w:color w:val="auto"/>
          <w:sz w:val="28"/>
          <w:szCs w:val="28"/>
          <w:highlight w:val="none"/>
        </w:rPr>
        <w:t xml:space="preserve">日起至</w:t>
      </w:r>
      <w:r>
        <w:rPr>
          <w:rFonts w:hint="eastAsia" w:eastAsia="方正仿宋_GBK"/>
          <w:color w:val="auto"/>
          <w:sz w:val="28"/>
          <w:szCs w:val="28"/>
          <w:highlight w:val="none"/>
          <w:lang w:val="en-US" w:eastAsia="zh-CN"/>
        </w:rPr>
        <w:t xml:space="preserve">2026年7月30日09时00分</w:t>
      </w:r>
      <w:r>
        <w:rPr>
          <w:rFonts w:eastAsia="方正仿宋_GBK"/>
          <w:color w:val="auto"/>
          <w:sz w:val="28"/>
          <w:szCs w:val="28"/>
          <w:highlight w:val="none"/>
        </w:rPr>
        <w:t xml:space="preserve">止，样品递交地点：</w:t>
      </w:r>
      <w:r>
        <w:rPr>
          <w:rFonts w:hint="eastAsia" w:eastAsia="方正仿宋_GBK"/>
          <w:color w:val="auto"/>
          <w:sz w:val="28"/>
          <w:szCs w:val="28"/>
          <w:highlight w:val="none"/>
          <w:lang w:val="en-US" w:eastAsia="zh-CN"/>
        </w:rPr>
        <w:t xml:space="preserve">启东市南苑西路国动产业园18号501</w:t>
      </w:r>
      <w:r>
        <w:rPr>
          <w:rFonts w:eastAsia="方正仿宋_GBK"/>
          <w:color w:val="auto"/>
          <w:sz w:val="28"/>
          <w:szCs w:val="28"/>
          <w:highlight w:val="none"/>
        </w:rPr>
        <w:t xml:space="preserve">，样品递交联系人：</w:t>
      </w:r>
      <w:r>
        <w:rPr>
          <w:rFonts w:hint="eastAsia" w:eastAsia="方正仿宋_GBK"/>
          <w:color w:val="auto"/>
          <w:sz w:val="28"/>
          <w:szCs w:val="28"/>
          <w:highlight w:val="none"/>
          <w:lang w:eastAsia="zh-CN"/>
        </w:rPr>
        <w:t xml:space="preserve">陈</w:t>
      </w:r>
      <w:r>
        <w:rPr>
          <w:rFonts w:hint="eastAsia" w:eastAsia="方正仿宋_GBK"/>
          <w:color w:val="auto"/>
          <w:sz w:val="28"/>
          <w:szCs w:val="28"/>
          <w:highlight w:val="none"/>
          <w:lang w:val="en-US" w:eastAsia="zh-CN"/>
        </w:rPr>
        <w:t xml:space="preserve">燕</w:t>
      </w:r>
      <w:r>
        <w:rPr>
          <w:rFonts w:eastAsia="方正仿宋_GBK"/>
          <w:color w:val="auto"/>
          <w:sz w:val="28"/>
          <w:szCs w:val="28"/>
          <w:highlight w:val="none"/>
        </w:rPr>
        <w:t xml:space="preserve">，联系方式：</w:t>
      </w:r>
      <w:r>
        <w:rPr>
          <w:rFonts w:hint="eastAsia" w:eastAsia="方正仿宋_GBK"/>
          <w:color w:val="auto"/>
          <w:sz w:val="28"/>
          <w:szCs w:val="28"/>
          <w:highlight w:val="none"/>
          <w:lang w:val="en-US" w:eastAsia="zh-CN"/>
        </w:rPr>
        <w:t xml:space="preserve">18932203970</w:t>
      </w:r>
      <w:r>
        <w:rPr>
          <w:rFonts w:eastAsia="方正仿宋_GBK"/>
          <w:color w:val="auto"/>
          <w:sz w:val="28"/>
          <w:szCs w:val="28"/>
          <w:highlight w:val="none"/>
        </w:rPr>
        <w:t xml:space="preserve">。</w:t>
      </w:r>
      <w:r/>
    </w:p>
    <w:p>
      <w:pPr>
        <w:ind w:firstLine="560"/>
        <w:spacing w:line="500" w:lineRule="exact"/>
        <w:rPr>
          <w:rFonts w:ascii="方正黑体_GBK" w:hAnsi="方正黑体_GBK" w:eastAsia="方正黑体_GBK" w:cs="方正黑体_GBK"/>
          <w:bCs/>
          <w:color w:val="auto"/>
          <w:sz w:val="28"/>
          <w:szCs w:val="28"/>
          <w:highlight w:val="none"/>
        </w:rPr>
      </w:pPr>
      <w:r>
        <w:rPr>
          <w:rFonts w:hint="eastAsia" w:ascii="方正黑体_GBK" w:hAnsi="方正黑体_GBK" w:eastAsia="方正黑体_GBK" w:cs="方正黑体_GBK"/>
          <w:bCs/>
          <w:color w:val="auto"/>
          <w:sz w:val="28"/>
          <w:szCs w:val="28"/>
          <w:highlight w:val="none"/>
        </w:rPr>
        <w:t xml:space="preserve">十</w:t>
      </w:r>
      <w:r>
        <w:rPr>
          <w:rFonts w:hint="eastAsia" w:ascii="方正黑体_GBK" w:hAnsi="方正黑体_GBK" w:eastAsia="方正黑体_GBK" w:cs="方正黑体_GBK"/>
          <w:bCs/>
          <w:color w:val="auto"/>
          <w:sz w:val="28"/>
          <w:szCs w:val="28"/>
          <w:highlight w:val="none"/>
          <w:lang w:val="en-US" w:eastAsia="zh-CN"/>
        </w:rPr>
        <w:t xml:space="preserve">一</w:t>
      </w:r>
      <w:r>
        <w:rPr>
          <w:rFonts w:hint="eastAsia" w:ascii="方正黑体_GBK" w:hAnsi="方正黑体_GBK" w:eastAsia="方正黑体_GBK" w:cs="方正黑体_GBK"/>
          <w:bCs/>
          <w:color w:val="auto"/>
          <w:sz w:val="28"/>
          <w:szCs w:val="28"/>
          <w:highlight w:val="none"/>
        </w:rPr>
        <w:t xml:space="preserve">、演示讲解</w:t>
      </w:r>
      <w:r/>
    </w:p>
    <w:p>
      <w:pPr>
        <w:ind w:firstLine="560"/>
        <w:spacing w:line="500" w:lineRule="exact"/>
        <w:rPr>
          <w:rFonts w:hint="eastAsia" w:eastAsia="方正仿宋_GBK"/>
          <w:color w:val="auto"/>
          <w:sz w:val="28"/>
          <w:szCs w:val="28"/>
          <w:highlight w:val="none"/>
          <w:lang w:val="en-US" w:eastAsia="zh-CN"/>
        </w:rPr>
      </w:pPr>
      <w:r>
        <w:rPr>
          <w:rFonts w:eastAsia="方正仿宋_GBK"/>
          <w:color w:val="auto"/>
          <w:sz w:val="28"/>
          <w:szCs w:val="28"/>
          <w:highlight w:val="none"/>
        </w:rPr>
        <w:t xml:space="preserve">1.</w:t>
      </w:r>
      <w:r>
        <w:rPr>
          <w:rFonts w:hint="eastAsia" w:eastAsia="方正仿宋_GBK"/>
          <w:bCs/>
          <w:color w:val="auto"/>
          <w:sz w:val="28"/>
          <w:szCs w:val="28"/>
          <w:highlight w:val="none"/>
        </w:rPr>
        <w:t xml:space="preserve">供应商须进行演示讲解，演示讲解方式为视频录制，供应商需按照招标文件规定的演示内容制作演示视频文件，视频文件的格式为*.mp4或*.avi，供应商须将视频文件分段压缩为*.zip文件上传（单个文件不得大于50M，所有文件总共不得大于300M）。文件上传方式见《江苏省政府采购管理交易系统（苏采云）供应商操作指南》规定，上传的演示视频将作为投标文件的组成部分。演示视频未提供或者无法打开的视为未实质性响应</w:t>
      </w:r>
      <w:r>
        <w:rPr>
          <w:rFonts w:hint="eastAsia" w:eastAsia="方正仿宋_GBK"/>
          <w:bCs/>
          <w:color w:val="auto"/>
          <w:sz w:val="28"/>
          <w:szCs w:val="28"/>
          <w:highlight w:val="none"/>
          <w:lang w:eastAsia="zh-CN"/>
        </w:rPr>
        <w:t xml:space="preserve">。</w:t>
      </w:r>
      <w:r/>
    </w:p>
    <w:p>
      <w:pPr>
        <w:ind w:firstLine="560"/>
        <w:spacing w:line="500" w:lineRule="exact"/>
        <w:rPr>
          <w:rFonts w:eastAsia="方正仿宋_GBK"/>
          <w:color w:val="auto"/>
          <w:sz w:val="28"/>
          <w:szCs w:val="28"/>
          <w:highlight w:val="none"/>
        </w:rPr>
      </w:pPr>
      <w:r>
        <w:rPr>
          <w:rFonts w:hint="eastAsia" w:ascii="方正黑体_GBK" w:hAnsi="方正黑体_GBK" w:eastAsia="方正黑体_GBK" w:cs="方正黑体_GBK"/>
          <w:bCs/>
          <w:color w:val="auto"/>
          <w:sz w:val="28"/>
          <w:szCs w:val="28"/>
          <w:highlight w:val="none"/>
        </w:rPr>
        <w:t xml:space="preserve">十</w:t>
      </w:r>
      <w:r>
        <w:rPr>
          <w:rFonts w:hint="eastAsia" w:ascii="方正黑体_GBK" w:hAnsi="方正黑体_GBK" w:eastAsia="方正黑体_GBK" w:cs="方正黑体_GBK"/>
          <w:bCs/>
          <w:color w:val="auto"/>
          <w:sz w:val="28"/>
          <w:szCs w:val="28"/>
          <w:highlight w:val="none"/>
          <w:lang w:val="en-US" w:eastAsia="zh-CN"/>
        </w:rPr>
        <w:t xml:space="preserve">二</w:t>
      </w:r>
      <w:r>
        <w:rPr>
          <w:rFonts w:hint="eastAsia" w:ascii="方正黑体_GBK" w:hAnsi="方正黑体_GBK" w:eastAsia="方正黑体_GBK" w:cs="方正黑体_GBK"/>
          <w:bCs/>
          <w:color w:val="auto"/>
          <w:sz w:val="28"/>
          <w:szCs w:val="28"/>
          <w:highlight w:val="none"/>
        </w:rPr>
        <w:t xml:space="preserve">、本项目</w:t>
      </w:r>
      <w:r>
        <w:rPr>
          <w:rFonts w:hint="eastAsia" w:ascii="方正黑体_GBK" w:hAnsi="方正黑体_GBK" w:eastAsia="方正黑体_GBK" w:cs="方正黑体_GBK"/>
          <w:bCs/>
          <w:color w:val="auto"/>
          <w:sz w:val="28"/>
          <w:szCs w:val="28"/>
          <w:highlight w:val="none"/>
        </w:rPr>
        <w:t xml:space="preserve">（不接受）</w:t>
      </w:r>
      <w:r>
        <w:rPr>
          <w:rFonts w:hint="eastAsia" w:ascii="方正黑体_GBK" w:hAnsi="方正黑体_GBK" w:eastAsia="方正黑体_GBK" w:cs="方正黑体_GBK"/>
          <w:bCs/>
          <w:color w:val="auto"/>
          <w:sz w:val="28"/>
          <w:szCs w:val="28"/>
          <w:highlight w:val="none"/>
        </w:rPr>
        <w:t xml:space="preserve">进口产品投标</w:t>
      </w:r>
      <w:bookmarkEnd w:id="1"/>
      <w:r/>
      <w:bookmarkEnd w:id="2"/>
      <w:r/>
      <w:bookmarkEnd w:id="3"/>
      <w:r/>
      <w:r/>
    </w:p>
    <w:p>
      <w:pPr>
        <w:ind w:firstLine="560"/>
        <w:spacing w:line="500" w:lineRule="exact"/>
        <w:rPr>
          <w:rFonts w:ascii="方正黑体_GBK" w:hAnsi="方正黑体_GBK" w:eastAsia="方正黑体_GBK" w:cs="方正黑体_GBK"/>
          <w:bCs/>
          <w:color w:val="auto"/>
          <w:sz w:val="28"/>
          <w:szCs w:val="28"/>
          <w:highlight w:val="none"/>
        </w:rPr>
      </w:pPr>
      <w:r>
        <w:rPr>
          <w:rFonts w:ascii="方正黑体_GBK" w:hAnsi="方正黑体_GBK" w:eastAsia="方正黑体_GBK" w:cs="方正黑体_GBK"/>
          <w:bCs/>
          <w:color w:val="auto"/>
          <w:sz w:val="28"/>
          <w:szCs w:val="28"/>
          <w:highlight w:val="none"/>
        </w:rPr>
        <w:t xml:space="preserve">十</w:t>
      </w:r>
      <w:r>
        <w:rPr>
          <w:rFonts w:hint="eastAsia" w:ascii="方正黑体_GBK" w:hAnsi="方正黑体_GBK" w:eastAsia="方正黑体_GBK" w:cs="方正黑体_GBK"/>
          <w:bCs/>
          <w:color w:val="auto"/>
          <w:sz w:val="28"/>
          <w:szCs w:val="28"/>
          <w:highlight w:val="none"/>
          <w:lang w:val="en-US" w:eastAsia="zh-CN"/>
        </w:rPr>
        <w:t xml:space="preserve">三</w:t>
      </w:r>
      <w:r>
        <w:rPr>
          <w:rFonts w:ascii="方正黑体_GBK" w:hAnsi="方正黑体_GBK" w:eastAsia="方正黑体_GBK" w:cs="方正黑体_GBK"/>
          <w:bCs/>
          <w:color w:val="auto"/>
          <w:sz w:val="28"/>
          <w:szCs w:val="28"/>
          <w:highlight w:val="none"/>
        </w:rPr>
        <w:t xml:space="preserve">、合同条款</w:t>
      </w:r>
      <w:r/>
    </w:p>
    <w:p>
      <w:pPr>
        <w:ind w:left="0" w:right="0"/>
        <w:jc w:val="center"/>
        <w:keepLines w:val="0"/>
        <w:keepNext w:val="0"/>
        <w:pageBreakBefore w:val="0"/>
        <w:spacing w:before="0" w:beforeAutospacing="0" w:after="0" w:afterAutospacing="0" w:line="480" w:lineRule="exact"/>
        <w:shd w:val="clear" w:color="auto" w:fill="auto"/>
        <w:widowControl w:val="off"/>
        <w:rPr>
          <w:rFonts w:hint="eastAsia" w:ascii="宋体" w:hAnsi="宋体" w:eastAsia="宋体" w:cs="宋体"/>
          <w:b/>
          <w:color w:val="auto"/>
          <w:sz w:val="44"/>
          <w:szCs w:val="44"/>
          <w:highlight w:val="none"/>
          <w:lang w:val="en-US"/>
        </w:rPr>
        <w:suppressLineNumbers w:val="0"/>
      </w:pPr>
      <w:r>
        <w:rPr>
          <w:rFonts w:hint="eastAsia" w:ascii="宋体" w:hAnsi="宋体" w:eastAsia="宋体" w:cs="宋体"/>
          <w:b/>
          <w:color w:val="auto"/>
          <w:sz w:val="44"/>
          <w:szCs w:val="44"/>
          <w:highlight w:val="none"/>
          <w:lang w:val="en-US" w:eastAsia="zh-CN" w:bidi="ar"/>
        </w:rPr>
        <w:t xml:space="preserve">政府采购合同</w:t>
      </w:r>
      <w:r/>
    </w:p>
    <w:p>
      <w:pPr>
        <w:jc w:val="left"/>
        <w:keepLines w:val="0"/>
        <w:keepNext w:val="0"/>
        <w:pageBreakBefore w:val="0"/>
        <w:spacing w:line="48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 </w:t>
      </w:r>
      <w:r>
        <w:rPr>
          <w:rFonts w:hint="eastAsia" w:ascii="宋体" w:hAnsi="宋体" w:cs="宋体"/>
          <w:color w:val="auto"/>
          <w:sz w:val="24"/>
          <w:szCs w:val="24"/>
          <w:highlight w:val="none"/>
          <w:u w:val="single"/>
          <w:lang w:val="en-US" w:eastAsia="zh-CN" w:bidi="ar"/>
        </w:rPr>
        <w:t xml:space="preserve">启东市大洋港小学              </w:t>
      </w:r>
      <w:r>
        <w:rPr>
          <w:rFonts w:hint="eastAsia" w:ascii="宋体" w:hAnsi="宋体" w:eastAsia="宋体" w:cs="宋体"/>
          <w:color w:val="auto"/>
          <w:sz w:val="24"/>
          <w:szCs w:val="24"/>
          <w:highlight w:val="none"/>
        </w:rPr>
        <w:t xml:space="preserve">（下称需方）</w:t>
      </w:r>
      <w:r/>
    </w:p>
    <w:p>
      <w:pPr>
        <w:jc w:val="left"/>
        <w:keepLines w:val="0"/>
        <w:keepNext w:val="0"/>
        <w:pageBreakBefore w:val="0"/>
        <w:spacing w:line="48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供货方: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（下称供方）</w:t>
      </w:r>
      <w:r/>
    </w:p>
    <w:p>
      <w:pP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签订地点:</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签订时间:</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555"/>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依据《中华人民共和国民法典》及其他有关法律、行政法规，遵循平等、自愿、公平和诚实信用的原则，对</w:t>
      </w:r>
      <w:r>
        <w:rPr>
          <w:rFonts w:hint="eastAsia" w:ascii="宋体" w:hAnsi="宋体" w:cs="宋体"/>
          <w:color w:val="auto"/>
          <w:sz w:val="24"/>
          <w:szCs w:val="24"/>
          <w:highlight w:val="none"/>
          <w:u w:val="single"/>
          <w:lang w:val="en-US" w:eastAsia="zh-CN"/>
        </w:rPr>
        <w:t xml:space="preserve">启东市大洋港小学新建综合楼专用教室教学设备采购项目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进行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公开招标 </w:t>
      </w:r>
      <w:r>
        <w:rPr>
          <w:rFonts w:hint="eastAsia" w:ascii="宋体" w:hAnsi="宋体" w:eastAsia="宋体" w:cs="宋体"/>
          <w:color w:val="auto"/>
          <w:sz w:val="24"/>
          <w:szCs w:val="24"/>
          <w:highlight w:val="none"/>
        </w:rPr>
        <w:t xml:space="preserve">采购，经过评委的严格审核评定，确定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为本次供方。现就本次供货事宜订立如下合同：</w:t>
      </w:r>
      <w:r/>
    </w:p>
    <w:p>
      <w:pPr>
        <w:ind w:firstLine="482"/>
        <w:jc w:val="left"/>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zh-CN" w:bidi="zh-CN"/>
        </w:rPr>
        <w:t xml:space="preserve">第一条</w:t>
      </w:r>
      <w:r>
        <w:rPr>
          <w:rFonts w:hint="eastAsia" w:ascii="宋体" w:hAnsi="宋体" w:cs="宋体"/>
          <w:b/>
          <w:bCs/>
          <w:color w:val="auto"/>
          <w:sz w:val="24"/>
          <w:szCs w:val="24"/>
          <w:highlight w:val="none"/>
          <w:lang w:val="en-US" w:bidi="zh-CN"/>
        </w:rPr>
        <w:t xml:space="preserve"> </w:t>
      </w:r>
      <w:r>
        <w:rPr>
          <w:rFonts w:hint="eastAsia" w:ascii="宋体" w:hAnsi="宋体" w:eastAsia="宋体" w:cs="宋体"/>
          <w:b/>
          <w:bCs/>
          <w:color w:val="auto"/>
          <w:sz w:val="24"/>
          <w:szCs w:val="24"/>
          <w:highlight w:val="none"/>
          <w:lang w:val="zh-CN" w:bidi="zh-CN"/>
        </w:rPr>
        <w:t xml:space="preserve">本合同由合同文本和下列文件组成  </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48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1</w:t>
      </w:r>
      <w:r>
        <w:rPr>
          <w:rFonts w:hint="eastAsia" w:ascii="宋体" w:hAnsi="宋体" w:eastAsia="宋体" w:cs="宋体"/>
          <w:color w:val="auto"/>
          <w:sz w:val="24"/>
          <w:szCs w:val="24"/>
          <w:highlight w:val="none"/>
          <w:lang w:val="en-US" w:bidi="zh-CN"/>
        </w:rPr>
        <w:t xml:space="preserve">.招标</w:t>
      </w:r>
      <w:r>
        <w:rPr>
          <w:rFonts w:hint="eastAsia" w:ascii="宋体" w:hAnsi="宋体" w:eastAsia="宋体" w:cs="宋体"/>
          <w:color w:val="auto"/>
          <w:sz w:val="24"/>
          <w:szCs w:val="24"/>
          <w:highlight w:val="none"/>
          <w:lang w:val="zh-CN" w:bidi="zh-CN"/>
        </w:rPr>
        <w:t xml:space="preserve">文件</w:t>
      </w:r>
      <w:r/>
    </w:p>
    <w:p>
      <w:pPr>
        <w:ind w:firstLine="480"/>
        <w:jc w:val="left"/>
        <w:keepLines w:val="0"/>
        <w:keepNext w:val="0"/>
        <w:pageBreakBefore w:val="0"/>
        <w:spacing w:line="48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2</w:t>
      </w:r>
      <w:r>
        <w:rPr>
          <w:rFonts w:hint="eastAsia" w:ascii="宋体" w:hAnsi="宋体" w:eastAsia="宋体" w:cs="宋体"/>
          <w:color w:val="auto"/>
          <w:sz w:val="24"/>
          <w:szCs w:val="24"/>
          <w:highlight w:val="none"/>
          <w:lang w:val="en-US" w:bidi="zh-CN"/>
        </w:rPr>
        <w:t xml:space="preserve">.</w:t>
      </w:r>
      <w:r>
        <w:rPr>
          <w:rFonts w:hint="eastAsia" w:ascii="宋体" w:hAnsi="宋体" w:eastAsia="宋体" w:cs="宋体"/>
          <w:color w:val="auto"/>
          <w:sz w:val="24"/>
          <w:szCs w:val="24"/>
          <w:highlight w:val="none"/>
          <w:lang w:val="zh-CN" w:bidi="zh-CN"/>
        </w:rPr>
        <w:t xml:space="preserve">投标文件     </w:t>
      </w:r>
      <w:r/>
    </w:p>
    <w:p>
      <w:pPr>
        <w:ind w:firstLine="480"/>
        <w:jc w:val="left"/>
        <w:keepLines w:val="0"/>
        <w:keepNext w:val="0"/>
        <w:pageBreakBefore w:val="0"/>
        <w:spacing w:line="48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3</w:t>
      </w:r>
      <w:r>
        <w:rPr>
          <w:rFonts w:hint="eastAsia" w:ascii="宋体" w:hAnsi="宋体" w:eastAsia="宋体" w:cs="宋体"/>
          <w:color w:val="auto"/>
          <w:sz w:val="24"/>
          <w:szCs w:val="24"/>
          <w:highlight w:val="none"/>
          <w:lang w:val="en-US" w:bidi="zh-CN"/>
        </w:rPr>
        <w:t xml:space="preserve">.</w:t>
      </w:r>
      <w:r>
        <w:rPr>
          <w:rFonts w:hint="eastAsia" w:ascii="宋体" w:hAnsi="宋体" w:eastAsia="宋体" w:cs="宋体"/>
          <w:color w:val="auto"/>
          <w:sz w:val="24"/>
          <w:szCs w:val="24"/>
          <w:highlight w:val="none"/>
          <w:lang w:val="zh-CN" w:bidi="zh-CN"/>
        </w:rPr>
        <w:t xml:space="preserve">中标（</w:t>
      </w:r>
      <w:r>
        <w:rPr>
          <w:rFonts w:hint="eastAsia" w:ascii="宋体" w:hAnsi="宋体" w:eastAsia="宋体" w:cs="宋体"/>
          <w:color w:val="auto"/>
          <w:sz w:val="24"/>
          <w:szCs w:val="24"/>
          <w:highlight w:val="none"/>
          <w:lang w:bidi="zh-CN"/>
        </w:rPr>
        <w:t xml:space="preserve">成交</w:t>
      </w:r>
      <w:r>
        <w:rPr>
          <w:rFonts w:hint="eastAsia" w:ascii="宋体" w:hAnsi="宋体" w:eastAsia="宋体" w:cs="宋体"/>
          <w:color w:val="auto"/>
          <w:sz w:val="24"/>
          <w:szCs w:val="24"/>
          <w:highlight w:val="none"/>
          <w:lang w:val="zh-CN" w:bidi="zh-CN"/>
        </w:rPr>
        <w:t xml:space="preserve">）通知书     </w:t>
      </w:r>
      <w:r/>
    </w:p>
    <w:p>
      <w:pPr>
        <w:pStyle w:val="905"/>
        <w:ind w:firstLine="480"/>
        <w:jc w:val="left"/>
        <w:keepLines w:val="0"/>
        <w:keepNext w:val="0"/>
        <w:pageBreakBefore w:val="0"/>
        <w:spacing w:line="48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w:t>
      </w:r>
      <w:r>
        <w:rPr>
          <w:rFonts w:hint="eastAsia" w:cs="宋体"/>
          <w:color w:val="auto"/>
          <w:sz w:val="24"/>
          <w:szCs w:val="24"/>
          <w:highlight w:val="none"/>
          <w:lang w:eastAsia="zh-CN"/>
        </w:rPr>
        <w:t xml:space="preserve">供方</w:t>
      </w:r>
      <w:r>
        <w:rPr>
          <w:rFonts w:hint="eastAsia" w:ascii="宋体" w:hAnsi="宋体" w:eastAsia="宋体" w:cs="宋体"/>
          <w:color w:val="auto"/>
          <w:sz w:val="24"/>
          <w:szCs w:val="24"/>
          <w:highlight w:val="none"/>
        </w:rPr>
        <w:t xml:space="preserve">在评标过程中做出的书面澄清或承诺 </w:t>
      </w:r>
      <w:r/>
    </w:p>
    <w:p>
      <w:pPr>
        <w:numPr>
          <w:ilvl w:val="0"/>
          <w:numId w:val="0"/>
        </w:numPr>
        <w:ind w:firstLine="482"/>
        <w:keepLines w:val="0"/>
        <w:keepNext w:val="0"/>
        <w:pageBreakBefore w:val="0"/>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第二条 </w:t>
      </w:r>
      <w:r>
        <w:rPr>
          <w:rFonts w:hint="eastAsia" w:ascii="宋体" w:hAnsi="宋体" w:eastAsia="宋体" w:cs="宋体"/>
          <w:b/>
          <w:bCs/>
          <w:color w:val="auto"/>
          <w:sz w:val="24"/>
          <w:szCs w:val="24"/>
          <w:highlight w:val="none"/>
        </w:rPr>
        <w:t xml:space="preserve">货物供应明细如下</w:t>
      </w:r>
      <w:r/>
    </w:p>
    <w:tbl>
      <w:tblPr>
        <w:tblStyle w:val="895"/>
        <w:tblW w:w="98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1230"/>
        <w:gridCol w:w="1697"/>
        <w:gridCol w:w="762"/>
        <w:gridCol w:w="825"/>
        <w:gridCol w:w="801"/>
        <w:gridCol w:w="1410"/>
        <w:gridCol w:w="1362"/>
        <w:gridCol w:w="832"/>
      </w:tblGrid>
      <w:tr>
        <w:trPr>
          <w:cantSplit/>
          <w:jc w:val="center"/>
          <w:trHeight w:val="748" w:hRule="exact"/>
        </w:trPr>
        <w:tc>
          <w:tcPr>
            <w:tcW w:w="885" w:type="dxa"/>
            <w:vAlign w:val="center"/>
            <w:textDirection w:val="lrTb"/>
            <w:noWrap/>
          </w:tcPr>
          <w:p>
            <w:pPr>
              <w:jc w:val="center"/>
              <w:keepLines w:val="0"/>
              <w:keepNext w:val="0"/>
              <w:pageBreakBefore w:val="0"/>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1230" w:type="dxa"/>
            <w:vAlign w:val="center"/>
            <w:textDirection w:val="lrTb"/>
            <w:noWrap/>
          </w:tcPr>
          <w:p>
            <w:pPr>
              <w:jc w:val="center"/>
              <w:keepLines w:val="0"/>
              <w:keepNext w:val="0"/>
              <w:pageBreakBefore w:val="0"/>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货物</w:t>
            </w:r>
            <w:r>
              <w:rPr>
                <w:rFonts w:hint="eastAsia" w:ascii="宋体" w:hAnsi="宋体" w:eastAsia="宋体" w:cs="宋体"/>
                <w:b/>
                <w:bCs/>
                <w:color w:val="auto"/>
                <w:sz w:val="24"/>
                <w:szCs w:val="24"/>
                <w:highlight w:val="none"/>
              </w:rPr>
              <w:t xml:space="preserve">名称</w:t>
            </w:r>
            <w:r/>
          </w:p>
        </w:tc>
        <w:tc>
          <w:tcPr>
            <w:tcW w:w="1697" w:type="dxa"/>
            <w:vAlign w:val="center"/>
            <w:textDirection w:val="lrTb"/>
            <w:noWrap/>
          </w:tcPr>
          <w:p>
            <w:pPr>
              <w:jc w:val="center"/>
              <w:keepLines w:val="0"/>
              <w:keepNext w:val="0"/>
              <w:pageBreakBefore w:val="0"/>
              <w:spacing w:line="480" w:lineRule="exact"/>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参数</w:t>
            </w:r>
            <w:r/>
          </w:p>
        </w:tc>
        <w:tc>
          <w:tcPr>
            <w:tcW w:w="762" w:type="dxa"/>
            <w:vAlign w:val="center"/>
            <w:textDirection w:val="lrTb"/>
            <w:noWrap/>
          </w:tcPr>
          <w:p>
            <w:pPr>
              <w:jc w:val="center"/>
              <w:keepLines w:val="0"/>
              <w:keepNext w:val="0"/>
              <w:pageBreakBefore w:val="0"/>
              <w:spacing w:line="48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数量</w:t>
            </w:r>
            <w:r/>
          </w:p>
        </w:tc>
        <w:tc>
          <w:tcPr>
            <w:tcW w:w="825" w:type="dxa"/>
            <w:vAlign w:val="center"/>
            <w:textDirection w:val="lrTb"/>
            <w:noWrap/>
          </w:tcPr>
          <w:p>
            <w:pPr>
              <w:jc w:val="center"/>
              <w:keepLines w:val="0"/>
              <w:keepNext w:val="0"/>
              <w:pageBreakBefore w:val="0"/>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单位</w:t>
            </w:r>
            <w:r/>
          </w:p>
        </w:tc>
        <w:tc>
          <w:tcPr>
            <w:tcW w:w="801" w:type="dxa"/>
            <w:vAlign w:val="center"/>
            <w:textDirection w:val="lrTb"/>
            <w:noWrap/>
          </w:tcPr>
          <w:p>
            <w:pPr>
              <w:jc w:val="center"/>
              <w:keepLines w:val="0"/>
              <w:keepNext w:val="0"/>
              <w:pageBreakBefore w:val="0"/>
              <w:spacing w:line="48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品牌</w:t>
            </w:r>
            <w:r/>
          </w:p>
        </w:tc>
        <w:tc>
          <w:tcPr>
            <w:tcW w:w="1410" w:type="dxa"/>
            <w:vAlign w:val="center"/>
            <w:textDirection w:val="lrTb"/>
            <w:noWrap/>
          </w:tcPr>
          <w:p>
            <w:pPr>
              <w:jc w:val="center"/>
              <w:keepLines w:val="0"/>
              <w:keepNext w:val="0"/>
              <w:pageBreakBefore w:val="0"/>
              <w:spacing w:line="24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综合</w:t>
            </w:r>
            <w:r>
              <w:rPr>
                <w:rFonts w:hint="eastAsia" w:ascii="宋体" w:hAnsi="宋体" w:eastAsia="宋体" w:cs="宋体"/>
                <w:b/>
                <w:bCs/>
                <w:color w:val="auto"/>
                <w:sz w:val="24"/>
                <w:szCs w:val="24"/>
                <w:highlight w:val="none"/>
              </w:rPr>
              <w:t xml:space="preserve">单价</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元</w:t>
            </w:r>
            <w:r>
              <w:rPr>
                <w:rFonts w:hint="eastAsia" w:ascii="宋体" w:hAnsi="宋体" w:eastAsia="宋体" w:cs="宋体"/>
                <w:b/>
                <w:bCs/>
                <w:color w:val="auto"/>
                <w:sz w:val="24"/>
                <w:szCs w:val="24"/>
                <w:highlight w:val="none"/>
                <w:lang w:eastAsia="zh-CN"/>
              </w:rPr>
              <w:t xml:space="preserve">）</w:t>
            </w:r>
            <w:r/>
          </w:p>
        </w:tc>
        <w:tc>
          <w:tcPr>
            <w:tcW w:w="1362" w:type="dxa"/>
            <w:vAlign w:val="center"/>
            <w:textDirection w:val="lrTb"/>
            <w:noWrap/>
          </w:tcPr>
          <w:p>
            <w:pPr>
              <w:jc w:val="center"/>
              <w:keepLines w:val="0"/>
              <w:keepNext w:val="0"/>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合价</w:t>
            </w:r>
            <w:r/>
          </w:p>
          <w:p>
            <w:pPr>
              <w:jc w:val="center"/>
              <w:keepLines w:val="0"/>
              <w:keepNext w:val="0"/>
              <w:pageBreakBefore w:val="0"/>
              <w:spacing w:line="24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（元）</w:t>
            </w:r>
            <w:r/>
          </w:p>
        </w:tc>
        <w:tc>
          <w:tcPr>
            <w:tcW w:w="832" w:type="dxa"/>
            <w:vAlign w:val="center"/>
            <w:textDirection w:val="lrTb"/>
            <w:noWrap/>
          </w:tcPr>
          <w:p>
            <w:pPr>
              <w:jc w:val="center"/>
              <w:keepLines w:val="0"/>
              <w:keepNext w:val="0"/>
              <w:pageBreakBefore w:val="0"/>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cantSplit/>
          <w:jc w:val="center"/>
          <w:trHeight w:val="487"/>
        </w:trPr>
        <w:tc>
          <w:tcPr>
            <w:tcW w:w="885" w:type="dxa"/>
            <w:vAlign w:val="center"/>
            <w:textDirection w:val="lrTb"/>
            <w:noWrap/>
          </w:tcPr>
          <w:p>
            <w:pPr>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230" w:type="dxa"/>
            <w:vAlign w:val="center"/>
            <w:textDirection w:val="lrTb"/>
            <w:noWrap/>
          </w:tcPr>
          <w:p>
            <w:pPr>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7" w:type="dxa"/>
            <w:vAlign w:val="center"/>
            <w:textDirection w:val="lrTb"/>
            <w:noWrap/>
          </w:tcPr>
          <w:p>
            <w:pPr>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2" w:type="dxa"/>
            <w:vAlign w:val="center"/>
            <w:textDirection w:val="lrTb"/>
            <w:noWrap/>
          </w:tcPr>
          <w:p>
            <w:pPr>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5" w:type="dxa"/>
            <w:vAlign w:val="center"/>
            <w:textDirection w:val="lrTb"/>
            <w:noWrap/>
          </w:tcPr>
          <w:p>
            <w:pPr>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01" w:type="dxa"/>
            <w:vAlign w:val="center"/>
            <w:textDirection w:val="lrTb"/>
            <w:noWrap/>
          </w:tcPr>
          <w:p>
            <w:pPr>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0" w:type="dxa"/>
            <w:vAlign w:val="center"/>
            <w:textDirection w:val="lrTb"/>
            <w:noWrap/>
          </w:tcPr>
          <w:p>
            <w:pPr>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2" w:type="dxa"/>
            <w:vAlign w:val="center"/>
            <w:textDirection w:val="lrTb"/>
            <w:noWrap/>
          </w:tcPr>
          <w:p>
            <w:pPr>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32" w:type="dxa"/>
            <w:vAlign w:val="center"/>
            <w:textDirection w:val="lrTb"/>
            <w:noWrap/>
          </w:tcPr>
          <w:p>
            <w:pPr>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510"/>
        </w:trPr>
        <w:tc>
          <w:tcPr>
            <w:tcW w:w="885" w:type="dxa"/>
            <w:vAlign w:val="center"/>
            <w:textDirection w:val="lrTb"/>
            <w:noWrap/>
          </w:tcPr>
          <w:p>
            <w:pPr>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230" w:type="dxa"/>
            <w:vAlign w:val="center"/>
            <w:textDirection w:val="lrTb"/>
            <w:noWrap/>
          </w:tcPr>
          <w:p>
            <w:pPr>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7" w:type="dxa"/>
            <w:vAlign w:val="center"/>
            <w:textDirection w:val="lrTb"/>
            <w:noWrap/>
          </w:tcPr>
          <w:p>
            <w:pPr>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2" w:type="dxa"/>
            <w:vAlign w:val="center"/>
            <w:textDirection w:val="lrTb"/>
            <w:noWrap/>
          </w:tcPr>
          <w:p>
            <w:pPr>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5" w:type="dxa"/>
            <w:vAlign w:val="center"/>
            <w:textDirection w:val="lrTb"/>
            <w:noWrap/>
          </w:tcPr>
          <w:p>
            <w:pPr>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01" w:type="dxa"/>
            <w:vAlign w:val="center"/>
            <w:textDirection w:val="lrTb"/>
            <w:noWrap/>
          </w:tcPr>
          <w:p>
            <w:pPr>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0" w:type="dxa"/>
            <w:vAlign w:val="center"/>
            <w:textDirection w:val="lrTb"/>
            <w:noWrap/>
          </w:tcPr>
          <w:p>
            <w:pPr>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2" w:type="dxa"/>
            <w:vAlign w:val="center"/>
            <w:textDirection w:val="lrTb"/>
            <w:noWrap/>
          </w:tcPr>
          <w:p>
            <w:pPr>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32" w:type="dxa"/>
            <w:vAlign w:val="center"/>
            <w:textDirection w:val="lrTb"/>
            <w:noWrap/>
          </w:tcPr>
          <w:p>
            <w:pPr>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521"/>
        </w:trPr>
        <w:tc>
          <w:tcPr>
            <w:tcW w:w="885" w:type="dxa"/>
            <w:vAlign w:val="center"/>
            <w:textDirection w:val="lrTb"/>
            <w:noWrap/>
          </w:tcPr>
          <w:p>
            <w:pPr>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230" w:type="dxa"/>
            <w:vAlign w:val="center"/>
            <w:textDirection w:val="lrTb"/>
            <w:noWrap/>
          </w:tcPr>
          <w:p>
            <w:pPr>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7" w:type="dxa"/>
            <w:vAlign w:val="center"/>
            <w:textDirection w:val="lrTb"/>
            <w:noWrap/>
          </w:tcPr>
          <w:p>
            <w:pPr>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2" w:type="dxa"/>
            <w:vAlign w:val="center"/>
            <w:textDirection w:val="lrTb"/>
            <w:noWrap/>
          </w:tcPr>
          <w:p>
            <w:pPr>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5" w:type="dxa"/>
            <w:vAlign w:val="center"/>
            <w:textDirection w:val="lrTb"/>
            <w:noWrap/>
          </w:tcPr>
          <w:p>
            <w:pPr>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01" w:type="dxa"/>
            <w:vAlign w:val="center"/>
            <w:textDirection w:val="lrTb"/>
            <w:noWrap/>
          </w:tcPr>
          <w:p>
            <w:pPr>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0" w:type="dxa"/>
            <w:vAlign w:val="center"/>
            <w:textDirection w:val="lrTb"/>
            <w:noWrap/>
          </w:tcPr>
          <w:p>
            <w:pPr>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2" w:type="dxa"/>
            <w:vAlign w:val="center"/>
            <w:textDirection w:val="lrTb"/>
            <w:noWrap/>
          </w:tcPr>
          <w:p>
            <w:pPr>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32" w:type="dxa"/>
            <w:vAlign w:val="center"/>
            <w:textDirection w:val="lrTb"/>
            <w:noWrap/>
          </w:tcPr>
          <w:p>
            <w:pPr>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521"/>
        </w:trPr>
        <w:tc>
          <w:tcPr>
            <w:tcW w:w="885" w:type="dxa"/>
            <w:vAlign w:val="center"/>
            <w:textDirection w:val="lrTb"/>
            <w:noWrap/>
          </w:tcPr>
          <w:p>
            <w:pPr>
              <w:jc w:val="center"/>
              <w:keepLines w:val="0"/>
              <w:keepNext w:val="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tcW w:w="1230" w:type="dxa"/>
            <w:vAlign w:val="center"/>
            <w:textDirection w:val="lrTb"/>
            <w:noWrap/>
          </w:tcPr>
          <w:p>
            <w:pPr>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7" w:type="dxa"/>
            <w:vAlign w:val="center"/>
            <w:textDirection w:val="lrTb"/>
            <w:noWrap/>
          </w:tcPr>
          <w:p>
            <w:pPr>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2" w:type="dxa"/>
            <w:vAlign w:val="center"/>
            <w:textDirection w:val="lrTb"/>
            <w:noWrap/>
          </w:tcPr>
          <w:p>
            <w:pPr>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5" w:type="dxa"/>
            <w:vAlign w:val="center"/>
            <w:textDirection w:val="lrTb"/>
            <w:noWrap/>
          </w:tcPr>
          <w:p>
            <w:pPr>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01" w:type="dxa"/>
            <w:vAlign w:val="center"/>
            <w:textDirection w:val="lrTb"/>
            <w:noWrap/>
          </w:tcPr>
          <w:p>
            <w:pPr>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0" w:type="dxa"/>
            <w:vAlign w:val="center"/>
            <w:textDirection w:val="lrTb"/>
            <w:noWrap/>
          </w:tcPr>
          <w:p>
            <w:pPr>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2" w:type="dxa"/>
            <w:vAlign w:val="center"/>
            <w:textDirection w:val="lrTb"/>
            <w:noWrap/>
          </w:tcPr>
          <w:p>
            <w:pPr>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32" w:type="dxa"/>
            <w:vAlign w:val="center"/>
            <w:textDirection w:val="lrTb"/>
            <w:noWrap/>
          </w:tcPr>
          <w:p>
            <w:pPr>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84"/>
        </w:trPr>
        <w:tc>
          <w:tcPr>
            <w:gridSpan w:val="2"/>
            <w:tcW w:w="2115" w:type="dxa"/>
            <w:vAlign w:val="bottom"/>
            <w:textDirection w:val="lrTb"/>
            <w:noWrap/>
          </w:tcPr>
          <w:p>
            <w:pPr>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金额合计</w:t>
            </w:r>
            <w:r/>
          </w:p>
        </w:tc>
        <w:tc>
          <w:tcPr>
            <w:gridSpan w:val="7"/>
            <w:tcW w:w="7689" w:type="dxa"/>
            <w:vAlign w:val="bottom"/>
            <w:textDirection w:val="lrTb"/>
            <w:noWrap w:val="false"/>
          </w:tcPr>
          <w:p>
            <w:pPr>
              <w:jc w:val="left"/>
              <w:keepLines w:val="0"/>
              <w:keepNext w:val="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人民币大写：       （小写：￥</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w:t>
            </w:r>
            <w:r/>
          </w:p>
        </w:tc>
      </w:tr>
    </w:tbl>
    <w:p>
      <w:pPr>
        <w:ind w:firstLine="480"/>
        <w:keepLines w:val="0"/>
        <w:keepNext w:val="0"/>
        <w:pageBreakBefore w:val="0"/>
        <w:spacing w:line="480" w:lineRule="exact"/>
        <w:widowControl w:val="off"/>
        <w:tabs>
          <w:tab w:val="left" w:pos="36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备注：</w:t>
      </w:r>
      <w:r/>
    </w:p>
    <w:p>
      <w:pPr>
        <w:ind w:firstLine="480"/>
        <w:keepLines w:val="0"/>
        <w:keepNext w:val="0"/>
        <w:pageBreakBefore w:val="0"/>
        <w:spacing w:line="480" w:lineRule="exact"/>
        <w:widowControl w:val="off"/>
        <w:tabs>
          <w:tab w:val="left" w:pos="36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供方</w:t>
      </w:r>
      <w:r>
        <w:rPr>
          <w:rFonts w:hint="eastAsia" w:ascii="宋体" w:hAnsi="宋体" w:eastAsia="宋体" w:cs="宋体"/>
          <w:color w:val="auto"/>
          <w:sz w:val="24"/>
          <w:szCs w:val="24"/>
          <w:highlight w:val="none"/>
          <w:lang w:val="en-US" w:eastAsia="zh-CN"/>
        </w:rPr>
        <w:t xml:space="preserve">须根据</w:t>
      </w:r>
      <w:r>
        <w:rPr>
          <w:rFonts w:hint="eastAsia" w:ascii="宋体" w:hAnsi="宋体" w:cs="宋体"/>
          <w:color w:val="auto"/>
          <w:sz w:val="24"/>
          <w:szCs w:val="24"/>
          <w:highlight w:val="none"/>
          <w:lang w:val="en-US" w:eastAsia="zh-CN"/>
        </w:rPr>
        <w:t xml:space="preserve">需方</w:t>
      </w:r>
      <w:r>
        <w:rPr>
          <w:rFonts w:hint="eastAsia" w:ascii="宋体" w:hAnsi="宋体" w:eastAsia="宋体" w:cs="宋体"/>
          <w:color w:val="auto"/>
          <w:sz w:val="24"/>
          <w:szCs w:val="24"/>
          <w:highlight w:val="none"/>
          <w:lang w:val="en-US" w:eastAsia="zh-CN"/>
        </w:rPr>
        <w:t xml:space="preserve">指定地点、时间安装、调试到位。</w:t>
      </w:r>
      <w:r/>
    </w:p>
    <w:p>
      <w:pPr>
        <w:ind w:firstLine="480"/>
        <w:keepLines w:val="0"/>
        <w:keepNext w:val="0"/>
        <w:pageBreakBefore w:val="0"/>
        <w:spacing w:line="480" w:lineRule="exact"/>
        <w:widowControl w:val="off"/>
        <w:tabs>
          <w:tab w:val="left" w:pos="36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2.所提供商品必须为原厂正品，提供产品合格证，必须能通过原厂服务电话或厂家服务站查询真伪</w:t>
      </w:r>
      <w:r>
        <w:rPr>
          <w:rFonts w:hint="eastAsia" w:ascii="宋体" w:hAnsi="宋体" w:eastAsia="宋体" w:cs="宋体"/>
          <w:b/>
          <w:bCs/>
          <w:color w:val="auto"/>
          <w:sz w:val="24"/>
          <w:szCs w:val="24"/>
          <w:highlight w:val="none"/>
          <w:lang w:val="en-US" w:eastAsia="zh-CN"/>
        </w:rPr>
        <w:t xml:space="preserve">。</w:t>
      </w:r>
      <w:r/>
    </w:p>
    <w:p>
      <w:pPr>
        <w:pStyle w:val="897"/>
        <w:numPr>
          <w:ilvl w:val="0"/>
          <w:numId w:val="0"/>
        </w:numPr>
        <w:keepLines w:val="0"/>
        <w:keepNext w:val="0"/>
        <w:pageBreakBefore w:val="0"/>
        <w:spacing w:after="0"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第三条 </w:t>
      </w:r>
      <w:r>
        <w:rPr>
          <w:rFonts w:hint="eastAsia" w:ascii="宋体" w:hAnsi="宋体" w:eastAsia="宋体" w:cs="宋体"/>
          <w:b/>
          <w:bCs/>
          <w:color w:val="auto"/>
          <w:sz w:val="24"/>
          <w:szCs w:val="24"/>
          <w:highlight w:val="none"/>
        </w:rPr>
        <w:t xml:space="preserve">合同金额</w:t>
      </w:r>
      <w:r/>
    </w:p>
    <w:p>
      <w:pPr>
        <w:pStyle w:val="897"/>
        <w:numPr>
          <w:ilvl w:val="0"/>
          <w:numId w:val="0"/>
        </w:numPr>
        <w:keepLines w:val="0"/>
        <w:keepNext w:val="0"/>
        <w:pageBreakBefore w:val="0"/>
        <w:spacing w:after="0" w:line="480" w:lineRule="exact"/>
        <w:widowControl w:val="off"/>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 xml:space="preserve">元</w:t>
      </w:r>
      <w:r>
        <w:rPr>
          <w:rFonts w:hint="eastAsia" w:ascii="宋体" w:hAnsi="宋体" w:eastAsia="宋体" w:cs="宋体"/>
          <w:color w:val="auto"/>
          <w:sz w:val="24"/>
          <w:szCs w:val="24"/>
          <w:highlight w:val="none"/>
          <w:u w:val="none"/>
          <w:lang w:eastAsia="zh-CN"/>
        </w:rPr>
        <w:t xml:space="preserve">。</w:t>
      </w:r>
      <w:r/>
    </w:p>
    <w:p>
      <w:pPr>
        <w:ind w:firstLine="482"/>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第四条 供货与安装周期：</w:t>
      </w:r>
      <w:r>
        <w:rPr>
          <w:rFonts w:hint="eastAsia" w:ascii="宋体" w:hAnsi="宋体" w:eastAsia="宋体" w:cs="宋体"/>
          <w:color w:val="auto"/>
          <w:sz w:val="24"/>
          <w:szCs w:val="24"/>
          <w:highlight w:val="none"/>
          <w:lang w:val="en-US" w:eastAsia="zh-CN"/>
        </w:rPr>
        <w:t xml:space="preserve">合同签订后，成交供应商须于接到采购单位书面通知后的60个日历天内完成送货，经启东市市场监督管理局抽检合格后，20个日历天内安装到位并通过验收。如因中标人原因延期交货的，除扣除全部履约保证金外，每推迟一天加罚1万元，推迟7天（含7天）以上的每推迟一天加罚2万元。（具体供货要求以采购人书面通知为准。）</w:t>
      </w:r>
      <w:r/>
    </w:p>
    <w:p>
      <w:pPr>
        <w:ind w:firstLine="482"/>
        <w:keepLines w:val="0"/>
        <w:keepNext w:val="0"/>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第五条 </w:t>
      </w:r>
      <w:r>
        <w:rPr>
          <w:rFonts w:hint="eastAsia" w:ascii="宋体" w:hAnsi="宋体" w:eastAsia="宋体" w:cs="宋体"/>
          <w:b/>
          <w:bCs/>
          <w:color w:val="auto"/>
          <w:sz w:val="24"/>
          <w:szCs w:val="24"/>
          <w:highlight w:val="none"/>
        </w:rPr>
        <w:t xml:space="preserve">质量要求</w:t>
      </w:r>
      <w:r/>
    </w:p>
    <w:p>
      <w:pPr>
        <w:ind w:firstLine="480"/>
        <w:keepLines w:val="0"/>
        <w:keepNext w:val="0"/>
        <w:pageBreakBefore w:val="0"/>
        <w:spacing w:line="48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1、质量要求</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须提供符合采购需求、从未使用过的全新设备，产品质量符合询价文件要求、行业及国家标准（供货时提供相关证明材料、有效产品合格证），产品必须能通过原厂服务电话或厂家服务站查询真伪，供应商在供货时提供质保承诺书并加盖原厂公章。</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在采购单位收到供应商提供的产品后，由启东市市场监督管理局组织抽样检验，如在抽检过程中供应商不能到场配合的，将视采购单位为其委托单位配合抽检，并在相关文书签字确认。市管局认为有必要的情况下，可采取公证抽样取证办法。</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成交供应商所供产品，经启东市市场监督管理局组织抽样检验并取得合格的检测报告或有效的证明文件后方可安装，安装、调试完毕后，由采购单位进行初验。初验合格后，由成交供应商向采购单位提出书面验收申请（并提供货物清单、质量保证书、产品合格证、检测报告等必须具备的相关资料）。采购单位在收到成交供应商提交的书面项目验收申请后7个工作日内，将组织验收小组根据招标文件和供应商报价文件对供应商所供货物进行验收。如验收时发现所供货物的数量、技术参数</w:t>
      </w:r>
      <w:r>
        <w:rPr>
          <w:rFonts w:hint="eastAsia" w:ascii="宋体" w:hAnsi="宋体" w:eastAsia="宋体" w:cs="宋体"/>
          <w:color w:val="auto"/>
          <w:sz w:val="24"/>
          <w:szCs w:val="24"/>
          <w:highlight w:val="none"/>
          <w:lang w:val="en-US" w:eastAsia="zh-CN"/>
        </w:rPr>
        <w:t xml:space="preserve">等与招标文件不一致等，采购单位将根据启东市市场监督管理局等部门的意见，向成交供应商签发整改通知书。成交供应商在收到整改通知书后七日内必须按要求整改，如再次不符合要求或逾期，采购人将视作项目整体验收不合格，终止合同履行，履约保证金不予退还并报相关部门进行处理。必要时，采购单位可邀请相关质量监督部门对成交供应商所供货物进行验收及检测，因检测发生的一切费用由成交供应商负责，如验收或检测发现所供货物不合格，将解除双方合同、履约保证金不予退还并进行相关处罚。因检测导致货物损坏的，由供应商免费补足，确保采购人正常使用。</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成交供应商如不履行招标公告及投标人投标时承诺的条款中的任何一项，发包人有权对承包人进行处罚，每发现一次罚5000元，如发生不履行行为2次及以上，发包人有权对未支付的货款及履约保证金拒绝支付，同时记入不良信誉。第六条 售后要求及培训要求</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质保要求：本项目所有货物提供三年的上门服务及全免费质保（配件+人工），所有货物质保时间自验收合格之日起（原厂质保期高于供应商承诺质保期的，按原厂质保期计算。自验收合格报告签字确认日起，开始进入质保期）。</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售后服务要求：在免费质保期内，供应商在接到采购单位电话通知后，须在6小时之内上门服务并负责修复。如需更换货物或送修，必须在48小时内提供备用货物，并在7个工作日内负责维修完毕。供应商超时或未在规定的时间内及时处理故障，每次罚5000元扣款。质保期内，同一商品、同一质量问题连续两次维修仍无法正常使用，成交供应商应无条件给予全套更新。如成交供应商在接到采购单位通知后4小时内未实质性响应，采购单位可另行委托他人修理，所需费用在余款内予以扣除。</w:t>
      </w:r>
      <w:r/>
    </w:p>
    <w:p>
      <w:pPr>
        <w:ind w:firstLine="482"/>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 xml:space="preserve">第</w:t>
      </w: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lang w:val="en-US" w:eastAsia="zh-CN"/>
        </w:rPr>
        <w:t xml:space="preserve">条 </w:t>
      </w:r>
      <w:r>
        <w:rPr>
          <w:rFonts w:hint="eastAsia" w:ascii="宋体" w:hAnsi="宋体" w:eastAsia="宋体" w:cs="宋体"/>
          <w:b/>
          <w:bCs/>
          <w:color w:val="auto"/>
          <w:sz w:val="24"/>
          <w:szCs w:val="24"/>
          <w:highlight w:val="none"/>
        </w:rPr>
        <w:t xml:space="preserve">交货</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安装</w:t>
      </w:r>
      <w:r>
        <w:rPr>
          <w:rFonts w:hint="eastAsia" w:ascii="宋体" w:hAnsi="宋体" w:eastAsia="宋体" w:cs="宋体"/>
          <w:b/>
          <w:bCs/>
          <w:color w:val="auto"/>
          <w:sz w:val="24"/>
          <w:szCs w:val="24"/>
          <w:highlight w:val="none"/>
        </w:rPr>
        <w:t xml:space="preserve">地点：</w:t>
      </w:r>
      <w:r>
        <w:rPr>
          <w:rFonts w:hint="eastAsia" w:ascii="宋体" w:hAnsi="宋体" w:eastAsia="宋体" w:cs="宋体"/>
          <w:color w:val="auto"/>
          <w:sz w:val="24"/>
          <w:szCs w:val="24"/>
          <w:highlight w:val="none"/>
          <w:lang w:val="en-US" w:eastAsia="zh-CN" w:bidi="ar-SA"/>
        </w:rPr>
        <w:t xml:space="preserve">成交供应商应按照采购人的要求，在指定位置交货、安装牢固，确保正常使用。</w:t>
      </w:r>
      <w:r/>
    </w:p>
    <w:p>
      <w:pPr>
        <w:ind w:firstLine="482"/>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w:t>
      </w: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lang w:val="en-US" w:eastAsia="zh-CN"/>
        </w:rPr>
        <w:t xml:space="preserve">条 验收及提出质量异议的期限</w:t>
      </w:r>
      <w:r/>
    </w:p>
    <w:p>
      <w:pPr>
        <w:ind w:firstLine="480"/>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经启东市市场监督管理局组织抽样检验并取得合格的检测报告或有效的证明文件后方可安装，安装、调试完毕后，由</w:t>
      </w:r>
      <w:r>
        <w:rPr>
          <w:rFonts w:hint="eastAsia" w:ascii="宋体" w:hAnsi="宋体" w:cs="宋体"/>
          <w:color w:val="auto"/>
          <w:sz w:val="24"/>
          <w:szCs w:val="24"/>
          <w:highlight w:val="none"/>
          <w:lang w:val="en-US" w:eastAsia="zh-CN" w:bidi="ar-SA"/>
        </w:rPr>
        <w:t xml:space="preserve">供方</w:t>
      </w:r>
      <w:r>
        <w:rPr>
          <w:rFonts w:hint="eastAsia" w:ascii="宋体" w:hAnsi="宋体" w:eastAsia="宋体" w:cs="宋体"/>
          <w:color w:val="auto"/>
          <w:sz w:val="24"/>
          <w:szCs w:val="24"/>
          <w:highlight w:val="none"/>
          <w:lang w:val="en-US" w:eastAsia="zh-CN" w:bidi="ar-SA"/>
        </w:rPr>
        <w:t xml:space="preserve">向</w:t>
      </w:r>
      <w:r>
        <w:rPr>
          <w:rFonts w:hint="eastAsia" w:ascii="宋体" w:hAnsi="宋体" w:cs="宋体"/>
          <w:color w:val="auto"/>
          <w:sz w:val="24"/>
          <w:szCs w:val="24"/>
          <w:highlight w:val="none"/>
          <w:lang w:val="en-US" w:eastAsia="zh-CN" w:bidi="ar-SA"/>
        </w:rPr>
        <w:t xml:space="preserve">需方</w:t>
      </w:r>
      <w:r>
        <w:rPr>
          <w:rFonts w:hint="eastAsia" w:ascii="宋体" w:hAnsi="宋体" w:eastAsia="宋体" w:cs="宋体"/>
          <w:color w:val="auto"/>
          <w:sz w:val="24"/>
          <w:szCs w:val="24"/>
          <w:highlight w:val="none"/>
          <w:lang w:val="en-US" w:eastAsia="zh-CN" w:bidi="ar-SA"/>
        </w:rPr>
        <w:t xml:space="preserve">提出书面验收申请，</w:t>
      </w:r>
      <w:r>
        <w:rPr>
          <w:rFonts w:hint="eastAsia" w:ascii="宋体" w:hAnsi="宋体" w:cs="宋体"/>
          <w:color w:val="auto"/>
          <w:sz w:val="24"/>
          <w:szCs w:val="24"/>
          <w:highlight w:val="none"/>
          <w:lang w:val="en-US" w:eastAsia="zh-CN" w:bidi="ar-SA"/>
        </w:rPr>
        <w:t xml:space="preserve">需方</w:t>
      </w:r>
      <w:r>
        <w:rPr>
          <w:rFonts w:hint="eastAsia" w:ascii="宋体" w:hAnsi="宋体" w:eastAsia="宋体" w:cs="宋体"/>
          <w:color w:val="auto"/>
          <w:sz w:val="24"/>
          <w:szCs w:val="24"/>
          <w:highlight w:val="none"/>
          <w:lang w:val="en-US" w:eastAsia="zh-CN" w:bidi="ar-SA"/>
        </w:rPr>
        <w:t xml:space="preserve">在收到</w:t>
      </w:r>
      <w:r>
        <w:rPr>
          <w:rFonts w:hint="eastAsia" w:ascii="宋体" w:hAnsi="宋体" w:cs="宋体"/>
          <w:color w:val="auto"/>
          <w:sz w:val="24"/>
          <w:szCs w:val="24"/>
          <w:highlight w:val="none"/>
          <w:lang w:val="en-US" w:eastAsia="zh-CN" w:bidi="ar-SA"/>
        </w:rPr>
        <w:t xml:space="preserve">供方</w:t>
      </w:r>
      <w:r>
        <w:rPr>
          <w:rFonts w:hint="eastAsia" w:ascii="宋体" w:hAnsi="宋体" w:eastAsia="宋体" w:cs="宋体"/>
          <w:color w:val="auto"/>
          <w:sz w:val="24"/>
          <w:szCs w:val="24"/>
          <w:highlight w:val="none"/>
          <w:lang w:val="en-US" w:eastAsia="zh-CN" w:bidi="ar-SA"/>
        </w:rPr>
        <w:t xml:space="preserve">提交的书面项目验收申请后7个工作日内，将组织验收小组根据询价文件和</w:t>
      </w:r>
      <w:r>
        <w:rPr>
          <w:rFonts w:hint="eastAsia" w:ascii="宋体" w:hAnsi="宋体" w:cs="宋体"/>
          <w:color w:val="auto"/>
          <w:sz w:val="24"/>
          <w:szCs w:val="24"/>
          <w:highlight w:val="none"/>
          <w:lang w:val="en-US" w:eastAsia="zh-CN" w:bidi="ar-SA"/>
        </w:rPr>
        <w:t xml:space="preserve">供方</w:t>
      </w:r>
      <w:r>
        <w:rPr>
          <w:rFonts w:hint="eastAsia" w:ascii="宋体" w:hAnsi="宋体" w:eastAsia="宋体" w:cs="宋体"/>
          <w:color w:val="auto"/>
          <w:sz w:val="24"/>
          <w:szCs w:val="24"/>
          <w:highlight w:val="none"/>
          <w:lang w:val="en-US" w:eastAsia="zh-CN" w:bidi="ar-SA"/>
        </w:rPr>
        <w:t xml:space="preserve">投标文件对</w:t>
      </w:r>
      <w:r>
        <w:rPr>
          <w:rFonts w:hint="eastAsia" w:ascii="宋体" w:hAnsi="宋体" w:cs="宋体"/>
          <w:color w:val="auto"/>
          <w:sz w:val="24"/>
          <w:szCs w:val="24"/>
          <w:highlight w:val="none"/>
          <w:lang w:val="en-US" w:eastAsia="zh-CN" w:bidi="ar-SA"/>
        </w:rPr>
        <w:t xml:space="preserve">供方</w:t>
      </w:r>
      <w:r>
        <w:rPr>
          <w:rFonts w:hint="eastAsia" w:ascii="宋体" w:hAnsi="宋体" w:eastAsia="宋体" w:cs="宋体"/>
          <w:color w:val="auto"/>
          <w:sz w:val="24"/>
          <w:szCs w:val="24"/>
          <w:highlight w:val="none"/>
          <w:lang w:val="en-US" w:eastAsia="zh-CN" w:bidi="ar-SA"/>
        </w:rPr>
        <w:t xml:space="preserve">所供货物及相关产品合格证等进行验收。如验收时发现所供货物的数量、品牌、技术参数等与招投标文件不一致，或无有效产品合格证、存在安全隐患等，根据启东市市场监督管理局意见，</w:t>
      </w:r>
      <w:r>
        <w:rPr>
          <w:rFonts w:hint="eastAsia" w:ascii="宋体" w:hAnsi="宋体" w:cs="宋体"/>
          <w:color w:val="auto"/>
          <w:sz w:val="24"/>
          <w:szCs w:val="24"/>
          <w:highlight w:val="none"/>
          <w:lang w:val="en-US" w:eastAsia="zh-CN" w:bidi="ar-SA"/>
        </w:rPr>
        <w:t xml:space="preserve">需方</w:t>
      </w:r>
      <w:r>
        <w:rPr>
          <w:rFonts w:hint="eastAsia" w:ascii="宋体" w:hAnsi="宋体" w:eastAsia="宋体" w:cs="宋体"/>
          <w:color w:val="auto"/>
          <w:sz w:val="24"/>
          <w:szCs w:val="24"/>
          <w:highlight w:val="none"/>
          <w:lang w:val="en-US" w:eastAsia="zh-CN" w:bidi="ar-SA"/>
        </w:rPr>
        <w:t xml:space="preserve">将向</w:t>
      </w:r>
      <w:r>
        <w:rPr>
          <w:rFonts w:hint="eastAsia" w:ascii="宋体" w:hAnsi="宋体" w:cs="宋体"/>
          <w:color w:val="auto"/>
          <w:sz w:val="24"/>
          <w:szCs w:val="24"/>
          <w:highlight w:val="none"/>
          <w:lang w:val="en-US" w:eastAsia="zh-CN" w:bidi="ar-SA"/>
        </w:rPr>
        <w:t xml:space="preserve">供方</w:t>
      </w:r>
      <w:r>
        <w:rPr>
          <w:rFonts w:hint="eastAsia" w:ascii="宋体" w:hAnsi="宋体" w:eastAsia="宋体" w:cs="宋体"/>
          <w:color w:val="auto"/>
          <w:sz w:val="24"/>
          <w:szCs w:val="24"/>
          <w:highlight w:val="none"/>
          <w:lang w:val="en-US" w:eastAsia="zh-CN" w:bidi="ar-SA"/>
        </w:rPr>
        <w:t xml:space="preserve">签发整改通知书。</w:t>
      </w:r>
      <w:r>
        <w:rPr>
          <w:rFonts w:hint="eastAsia" w:ascii="宋体" w:hAnsi="宋体" w:cs="宋体"/>
          <w:color w:val="auto"/>
          <w:sz w:val="24"/>
          <w:szCs w:val="24"/>
          <w:highlight w:val="none"/>
          <w:lang w:val="en-US" w:eastAsia="zh-CN" w:bidi="ar-SA"/>
        </w:rPr>
        <w:t xml:space="preserve">供方</w:t>
      </w:r>
      <w:r>
        <w:rPr>
          <w:rFonts w:hint="eastAsia" w:ascii="宋体" w:hAnsi="宋体" w:eastAsia="宋体" w:cs="宋体"/>
          <w:color w:val="auto"/>
          <w:sz w:val="24"/>
          <w:szCs w:val="24"/>
          <w:highlight w:val="none"/>
          <w:lang w:val="en-US" w:eastAsia="zh-CN" w:bidi="ar-SA"/>
        </w:rPr>
        <w:t xml:space="preserve">在收到整改通知书后七日内必须按要求整改，如再次不符合要求或逾期，</w:t>
      </w:r>
      <w:r>
        <w:rPr>
          <w:rFonts w:hint="eastAsia" w:ascii="宋体" w:hAnsi="宋体" w:cs="宋体"/>
          <w:color w:val="auto"/>
          <w:sz w:val="24"/>
          <w:szCs w:val="24"/>
          <w:highlight w:val="none"/>
          <w:lang w:val="en-US" w:eastAsia="zh-CN" w:bidi="ar-SA"/>
        </w:rPr>
        <w:t xml:space="preserve">需方</w:t>
      </w:r>
      <w:r>
        <w:rPr>
          <w:rFonts w:hint="eastAsia" w:ascii="宋体" w:hAnsi="宋体" w:eastAsia="宋体" w:cs="宋体"/>
          <w:color w:val="auto"/>
          <w:sz w:val="24"/>
          <w:szCs w:val="24"/>
          <w:highlight w:val="none"/>
          <w:lang w:val="en-US" w:eastAsia="zh-CN" w:bidi="ar-SA"/>
        </w:rPr>
        <w:t xml:space="preserve">将视作项目整体验收不合格，终止合同履行，履约保证金不予退还并报相关部门进行处理</w:t>
      </w:r>
      <w:r>
        <w:rPr>
          <w:rFonts w:hint="eastAsia" w:ascii="宋体" w:hAnsi="宋体" w:eastAsia="宋体" w:cs="宋体"/>
          <w:color w:val="auto"/>
          <w:sz w:val="24"/>
          <w:szCs w:val="24"/>
          <w:highlight w:val="none"/>
          <w:lang w:val="en-US" w:eastAsia="zh-CN" w:bidi="ar-SA"/>
        </w:rPr>
        <w:t xml:space="preserve">。</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bidi="ar-SA"/>
        </w:rPr>
        <w:t xml:space="preserve">启东市市场监督管理局对没有具体执行标准或者以现有设备条件无法进行检测鉴定的情况下，</w:t>
      </w:r>
      <w:r>
        <w:rPr>
          <w:rFonts w:hint="eastAsia" w:ascii="宋体" w:hAnsi="宋体" w:cs="宋体"/>
          <w:color w:val="auto"/>
          <w:sz w:val="24"/>
          <w:szCs w:val="24"/>
          <w:highlight w:val="none"/>
          <w:lang w:val="en-US" w:eastAsia="zh-CN" w:bidi="ar-SA"/>
        </w:rPr>
        <w:t xml:space="preserve">需方</w:t>
      </w:r>
      <w:r>
        <w:rPr>
          <w:rFonts w:hint="eastAsia" w:ascii="宋体" w:hAnsi="宋体" w:eastAsia="宋体" w:cs="宋体"/>
          <w:color w:val="auto"/>
          <w:sz w:val="24"/>
          <w:szCs w:val="24"/>
          <w:highlight w:val="none"/>
          <w:lang w:val="en-US" w:eastAsia="zh-CN" w:bidi="ar-SA"/>
        </w:rPr>
        <w:t xml:space="preserve">可以委托第三方检测机构进行鉴定，产品质量鉴定结果不合格的，</w:t>
      </w:r>
      <w:r>
        <w:rPr>
          <w:rFonts w:hint="eastAsia" w:ascii="宋体" w:hAnsi="宋体" w:cs="宋体"/>
          <w:color w:val="auto"/>
          <w:sz w:val="24"/>
          <w:szCs w:val="24"/>
          <w:highlight w:val="none"/>
          <w:lang w:val="en-US" w:eastAsia="zh-CN" w:bidi="ar-SA"/>
        </w:rPr>
        <w:t xml:space="preserve">供方</w:t>
      </w:r>
      <w:r>
        <w:rPr>
          <w:rFonts w:hint="eastAsia" w:ascii="宋体" w:hAnsi="宋体" w:eastAsia="宋体" w:cs="宋体"/>
          <w:color w:val="auto"/>
          <w:sz w:val="24"/>
          <w:szCs w:val="24"/>
          <w:highlight w:val="none"/>
          <w:lang w:val="en-US" w:eastAsia="zh-CN" w:bidi="ar-SA"/>
        </w:rPr>
        <w:t xml:space="preserve">承担检测费用，</w:t>
      </w:r>
      <w:r>
        <w:rPr>
          <w:rFonts w:hint="eastAsia" w:ascii="宋体" w:hAnsi="宋体" w:cs="宋体"/>
          <w:color w:val="auto"/>
          <w:sz w:val="24"/>
          <w:szCs w:val="24"/>
          <w:highlight w:val="none"/>
          <w:lang w:val="en-US" w:eastAsia="zh-CN" w:bidi="ar-SA"/>
        </w:rPr>
        <w:t xml:space="preserve">需方</w:t>
      </w:r>
      <w:r>
        <w:rPr>
          <w:rFonts w:hint="eastAsia" w:ascii="宋体" w:hAnsi="宋体" w:eastAsia="宋体" w:cs="宋体"/>
          <w:color w:val="auto"/>
          <w:sz w:val="24"/>
          <w:szCs w:val="24"/>
          <w:highlight w:val="none"/>
          <w:lang w:val="en-US" w:eastAsia="zh-CN" w:bidi="ar-SA"/>
        </w:rPr>
        <w:t xml:space="preserve">有权拒收、部分拒收、退货、部分退货直至解除本合同，并要求</w:t>
      </w:r>
      <w:r>
        <w:rPr>
          <w:rFonts w:hint="eastAsia" w:ascii="宋体" w:hAnsi="宋体" w:cs="宋体"/>
          <w:color w:val="auto"/>
          <w:sz w:val="24"/>
          <w:szCs w:val="24"/>
          <w:highlight w:val="none"/>
          <w:lang w:val="en-US" w:eastAsia="zh-CN" w:bidi="ar-SA"/>
        </w:rPr>
        <w:t xml:space="preserve">供方</w:t>
      </w:r>
      <w:r>
        <w:rPr>
          <w:rFonts w:hint="eastAsia" w:ascii="宋体" w:hAnsi="宋体" w:eastAsia="宋体" w:cs="宋体"/>
          <w:color w:val="auto"/>
          <w:sz w:val="24"/>
          <w:szCs w:val="24"/>
          <w:highlight w:val="none"/>
          <w:lang w:val="en-US" w:eastAsia="zh-CN" w:bidi="ar-SA"/>
        </w:rPr>
        <w:t xml:space="preserve">支付因此造成的所有损失。破拆部件由</w:t>
      </w:r>
      <w:r>
        <w:rPr>
          <w:rFonts w:hint="eastAsia" w:ascii="宋体" w:hAnsi="宋体" w:cs="宋体"/>
          <w:color w:val="auto"/>
          <w:sz w:val="24"/>
          <w:szCs w:val="24"/>
          <w:highlight w:val="none"/>
          <w:lang w:val="en-US" w:eastAsia="zh-CN" w:bidi="ar-SA"/>
        </w:rPr>
        <w:t xml:space="preserve">供方</w:t>
      </w:r>
      <w:r>
        <w:rPr>
          <w:rFonts w:hint="eastAsia" w:ascii="宋体" w:hAnsi="宋体" w:eastAsia="宋体" w:cs="宋体"/>
          <w:color w:val="auto"/>
          <w:sz w:val="24"/>
          <w:szCs w:val="24"/>
          <w:highlight w:val="none"/>
          <w:lang w:val="en-US" w:eastAsia="zh-CN" w:bidi="ar-SA"/>
        </w:rPr>
        <w:t xml:space="preserve">负责补齐且</w:t>
      </w:r>
      <w:r>
        <w:rPr>
          <w:rFonts w:hint="eastAsia" w:ascii="宋体" w:hAnsi="宋体" w:cs="宋体"/>
          <w:color w:val="auto"/>
          <w:sz w:val="24"/>
          <w:szCs w:val="24"/>
          <w:highlight w:val="none"/>
          <w:lang w:val="en-US" w:eastAsia="zh-CN" w:bidi="ar-SA"/>
        </w:rPr>
        <w:t xml:space="preserve">需方</w:t>
      </w:r>
      <w:r>
        <w:rPr>
          <w:rFonts w:hint="eastAsia" w:ascii="宋体" w:hAnsi="宋体" w:eastAsia="宋体" w:cs="宋体"/>
          <w:color w:val="auto"/>
          <w:sz w:val="24"/>
          <w:szCs w:val="24"/>
          <w:highlight w:val="none"/>
          <w:lang w:val="en-US" w:eastAsia="zh-CN" w:bidi="ar-SA"/>
        </w:rPr>
        <w:t xml:space="preserve">不支付任何补偿费用</w:t>
      </w:r>
      <w:r>
        <w:rPr>
          <w:rFonts w:hint="eastAsia" w:ascii="宋体" w:hAnsi="宋体" w:eastAsia="宋体" w:cs="宋体"/>
          <w:color w:val="auto"/>
          <w:sz w:val="24"/>
          <w:szCs w:val="24"/>
          <w:highlight w:val="none"/>
          <w:lang w:val="en-US" w:eastAsia="zh-CN"/>
        </w:rPr>
        <w:t xml:space="preserve">。</w:t>
      </w:r>
      <w:r/>
    </w:p>
    <w:p>
      <w:pPr>
        <w:ind w:firstLine="482"/>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第</w:t>
      </w:r>
      <w:r>
        <w:rPr>
          <w:rFonts w:hint="eastAsia" w:ascii="宋体" w:hAnsi="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lang w:val="en-US" w:eastAsia="zh-CN"/>
        </w:rPr>
        <w:t xml:space="preserve">条 </w:t>
      </w:r>
      <w:r>
        <w:rPr>
          <w:rFonts w:hint="eastAsia" w:ascii="宋体" w:hAnsi="宋体" w:eastAsia="宋体" w:cs="宋体"/>
          <w:b/>
          <w:bCs/>
          <w:color w:val="auto"/>
          <w:sz w:val="24"/>
          <w:szCs w:val="24"/>
          <w:highlight w:val="none"/>
        </w:rPr>
        <w:t xml:space="preserve">结算方式和期限</w:t>
      </w:r>
      <w:r/>
    </w:p>
    <w:p>
      <w:pPr>
        <w:ind w:firstLine="540"/>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所有设备完成供货，通过启东市市场监督管理局检测，完成安装调试并经采购单位验收合格后，凭启东市市场监督管理局出具的告知书和采购单位出具的验收合格单等相关证明材料，付至合同价的90%；余款从验收合格之日算起至三年服务期满，经采购单位认可后一次性付清。</w:t>
      </w:r>
      <w:r/>
    </w:p>
    <w:p>
      <w:pPr>
        <w:ind w:firstLine="54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注：供应商申请付款的程序应符合采购人的财务规定。</w:t>
      </w:r>
      <w:r/>
    </w:p>
    <w:p>
      <w:pPr>
        <w:ind w:firstLine="482"/>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w:t>
      </w:r>
      <w:r>
        <w:rPr>
          <w:rFonts w:hint="eastAsia" w:ascii="宋体" w:hAnsi="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lang w:val="en-US" w:eastAsia="zh-CN"/>
        </w:rPr>
        <w:t xml:space="preserve">条 履约保证金</w:t>
      </w:r>
      <w:r/>
    </w:p>
    <w:p>
      <w:pPr>
        <w:ind w:firstLine="54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本项目成交后的履约保证金为项目成交价的10%</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en-US" w:eastAsia="zh-CN"/>
        </w:rPr>
        <w:t xml:space="preserve">元），</w:t>
      </w:r>
      <w:r>
        <w:rPr>
          <w:rFonts w:hint="eastAsia" w:ascii="宋体" w:hAnsi="宋体" w:eastAsia="宋体" w:cs="宋体"/>
          <w:color w:val="auto"/>
          <w:sz w:val="24"/>
          <w:szCs w:val="24"/>
          <w:highlight w:val="none"/>
          <w:lang w:val="en-US" w:eastAsia="zh-CN"/>
        </w:rPr>
        <w:t xml:space="preserve">中标供应商的履约保证金须在成交通知书发出之日起至合同签订前汇入采购单位账户（应当以数字人民币、支票、汇票或者金融机构、担保机构出具的保函等非现金形式提交），中标供应商凭中标通知书与采购单位签订合同。超期或未有协商，则视为自动放弃成交资格。</w:t>
      </w:r>
      <w:r/>
    </w:p>
    <w:p>
      <w:pPr>
        <w:ind w:firstLine="540"/>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2.成交供应商全部履约合同义务，经采购单位验收合格无质量、进度等问题的，采购人在验收合格后一次性退还履约保证金，采购人若逾期退还履约保证金的，按照逾期部分的每日0.05%支付违约金。</w:t>
      </w:r>
      <w:r/>
    </w:p>
    <w:p>
      <w:pPr>
        <w:ind w:firstLine="540"/>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发生以下情况的，履约保证金不予退还或部分退还</w:t>
      </w:r>
      <w:r>
        <w:rPr>
          <w:rFonts w:hint="eastAsia" w:ascii="宋体" w:hAnsi="宋体" w:eastAsia="宋体" w:cs="宋体"/>
          <w:b w:val="0"/>
          <w:bCs w:val="0"/>
          <w:color w:val="auto"/>
          <w:sz w:val="24"/>
          <w:szCs w:val="24"/>
          <w:highlight w:val="none"/>
          <w:lang w:val="en-US" w:eastAsia="zh-CN"/>
        </w:rPr>
        <w:t xml:space="preserve">：</w:t>
      </w:r>
      <w:r/>
    </w:p>
    <w:p>
      <w:pPr>
        <w:ind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a.签订合同后，中标供应商不履行合同义务的，采购单位有权全额扣除履约保证金，全额不予退还，同时采购单位亦有权终止合同，中标供应商还须承担相应的法律赔偿责任。</w:t>
      </w:r>
      <w:r/>
    </w:p>
    <w:p>
      <w:pPr>
        <w:ind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b.中标供应商在履约过程中发生违约行为，给采购单位造成损失的，采购单位有权在中标供应商缴纳的履约保证金中予以扣款，以弥补采购单位经济损失，不足的部分中标供应商另外补齐。</w:t>
      </w:r>
      <w:r/>
    </w:p>
    <w:p>
      <w:pPr>
        <w:numPr>
          <w:ilvl w:val="0"/>
          <w:numId w:val="0"/>
        </w:numPr>
        <w:ind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第十条 </w:t>
      </w:r>
      <w:r>
        <w:rPr>
          <w:rFonts w:hint="eastAsia" w:ascii="宋体" w:hAnsi="宋体" w:eastAsia="宋体" w:cs="宋体"/>
          <w:b/>
          <w:bCs/>
          <w:color w:val="auto"/>
          <w:sz w:val="24"/>
          <w:szCs w:val="24"/>
          <w:highlight w:val="none"/>
        </w:rPr>
        <w:t xml:space="preserve">违约责任</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因</w:t>
      </w:r>
      <w:r>
        <w:rPr>
          <w:rFonts w:hint="eastAsia" w:ascii="宋体" w:hAnsi="宋体" w:cs="宋体"/>
          <w:color w:val="auto"/>
          <w:sz w:val="24"/>
          <w:szCs w:val="24"/>
          <w:highlight w:val="none"/>
          <w:lang w:val="en-US" w:eastAsia="zh-CN"/>
        </w:rPr>
        <w:t xml:space="preserve">供方</w:t>
      </w:r>
      <w:r>
        <w:rPr>
          <w:rFonts w:hint="eastAsia" w:ascii="宋体" w:hAnsi="宋体" w:eastAsia="宋体" w:cs="宋体"/>
          <w:color w:val="auto"/>
          <w:sz w:val="24"/>
          <w:szCs w:val="24"/>
          <w:highlight w:val="none"/>
          <w:lang w:val="en-US" w:eastAsia="zh-CN"/>
        </w:rPr>
        <w:t xml:space="preserve">原因延期的，除扣除全部履约保证金外，每推迟一天加罚1万元，推迟7天（含7天）以上的每推迟一天加罚2万元。（具体供货要求以采购人书面通知为准。）</w:t>
      </w:r>
      <w:r/>
    </w:p>
    <w:p>
      <w:pPr>
        <w:ind w:firstLine="48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供方交付的货物时质量不符合规定的，应在需方规定的时间内再次供货，逾期供货或再次提交的货物质量仍不符合规定的，需方有权没收全部履约保证金，终止本合同，并要求供方赔偿需方由此造成的损失</w:t>
      </w:r>
      <w:r>
        <w:rPr>
          <w:rFonts w:hint="eastAsia" w:ascii="宋体" w:hAnsi="宋体" w:eastAsia="宋体" w:cs="宋体"/>
          <w:color w:val="auto"/>
          <w:sz w:val="24"/>
          <w:szCs w:val="24"/>
          <w:highlight w:val="none"/>
        </w:rPr>
        <w:t xml:space="preserve">。</w:t>
      </w:r>
      <w:r/>
    </w:p>
    <w:p>
      <w:pPr>
        <w:ind w:firstLine="482"/>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第十</w:t>
      </w:r>
      <w:r>
        <w:rPr>
          <w:rFonts w:hint="eastAsia" w:ascii="宋体" w:hAnsi="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val="en-US" w:eastAsia="zh-CN"/>
        </w:rPr>
        <w:t xml:space="preserve">条 </w:t>
      </w:r>
      <w:r>
        <w:rPr>
          <w:rFonts w:hint="eastAsia" w:ascii="宋体" w:hAnsi="宋体" w:eastAsia="宋体" w:cs="宋体"/>
          <w:b/>
          <w:bCs/>
          <w:color w:val="auto"/>
          <w:sz w:val="24"/>
          <w:szCs w:val="24"/>
          <w:highlight w:val="none"/>
        </w:rPr>
        <w:t xml:space="preserve">其它约定事项</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（1）供应商提供合格产品，随机资料及相关软件资源，如涉及进口货物需提供相关证明材料。</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（2）无论投标结果如何，供应商自行承担与投标响应有关的全部费用（包括供应商自行进行的现场勘察费用）。</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（3）在合同的履行过程中对标的物的质量发生争议时，以启东市市场监督管理局鉴定结果为准。</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（4）为本项目货物供货及后续服务所涉及的成交供应商安全均由中标供应商负责。</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在成交供应商供货安装完毕后，采购单位将组织验收小组根据招标文件和供应商报价文件对供应商所供货物进行进行验收。采购货物清单中的要求为最低要求，不得负偏离，否则视为无效报价。如验收时发现有参数偏离且未在报价文件中说明的，视为验收不合格。</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知识产权：成交供应商应保证采购人免除且成交供应商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numPr>
          <w:ilvl w:val="0"/>
          <w:numId w:val="0"/>
        </w:numPr>
        <w:ind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第十</w:t>
      </w: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条 解决合同争议的方式</w:t>
      </w:r>
      <w:r/>
    </w:p>
    <w:p>
      <w:pPr>
        <w:ind w:firstLine="48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本合同履行过程中如发生争议，供、需双方应协商解决，如协商不成，则任何一方均可向</w:t>
      </w:r>
      <w:r>
        <w:rPr>
          <w:rFonts w:hint="eastAsia" w:ascii="宋体" w:hAnsi="宋体" w:eastAsia="宋体" w:cs="宋体"/>
          <w:color w:val="auto"/>
          <w:sz w:val="24"/>
          <w:szCs w:val="24"/>
          <w:highlight w:val="none"/>
          <w:u w:val="single"/>
        </w:rPr>
        <w:t xml:space="preserve">  启东市  </w:t>
      </w:r>
      <w:r>
        <w:rPr>
          <w:rFonts w:hint="eastAsia" w:ascii="宋体" w:hAnsi="宋体" w:eastAsia="宋体" w:cs="宋体"/>
          <w:color w:val="auto"/>
          <w:sz w:val="24"/>
          <w:szCs w:val="24"/>
          <w:highlight w:val="none"/>
        </w:rPr>
        <w:t xml:space="preserve">人民法院提起诉讼。</w:t>
      </w:r>
      <w:r/>
    </w:p>
    <w:p>
      <w:pPr>
        <w:ind w:firstLine="482"/>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第十</w:t>
      </w: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en-US" w:eastAsia="zh-CN"/>
        </w:rPr>
        <w:t xml:space="preserve">条 </w:t>
      </w:r>
      <w:r>
        <w:rPr>
          <w:rFonts w:hint="eastAsia" w:ascii="宋体" w:hAnsi="宋体" w:eastAsia="宋体" w:cs="宋体"/>
          <w:color w:val="auto"/>
          <w:sz w:val="24"/>
          <w:szCs w:val="24"/>
          <w:highlight w:val="none"/>
        </w:rPr>
        <w:t xml:space="preserve">本合同由供、需双方签订并加盖公章（同时双方应加盖骑缝章）后生效，合同一式柒份（供需双方各执三份，财政局备案一份）。</w:t>
      </w:r>
      <w:r/>
    </w:p>
    <w:p>
      <w:pPr>
        <w:ind w:firstLine="720"/>
        <w:spacing w:line="500" w:lineRule="exact"/>
        <w:rPr>
          <w:rFonts w:ascii="宋体" w:hAnsi="宋体" w:cs="宋体"/>
          <w:color w:val="auto"/>
          <w:sz w:val="24"/>
          <w:highlight w:val="none"/>
        </w:rPr>
      </w:pPr>
      <w:r>
        <w:rPr>
          <w:rFonts w:hint="eastAsia" w:ascii="宋体" w:hAnsi="宋体" w:cs="宋体"/>
          <w:color w:val="auto"/>
          <w:sz w:val="24"/>
          <w:highlight w:val="none"/>
        </w:rPr>
        <w:t xml:space="preserve">供方（盖章）：                    需方（盖章）：            </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法定代表人：                      法定代表人：             </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委托代理人：                      委托代理人：            </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联系电话：                        联系电话：              </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开户银行：                        开户银行：</w:t>
      </w:r>
      <w:r/>
    </w:p>
    <w:p>
      <w:pPr>
        <w:spacing w:line="500" w:lineRule="exact"/>
        <w:rPr>
          <w:color w:val="auto"/>
          <w:highlight w:val="none"/>
        </w:rPr>
      </w:pPr>
      <w:r>
        <w:rPr>
          <w:rFonts w:hint="eastAsia" w:ascii="宋体" w:hAnsi="宋体" w:cs="宋体"/>
          <w:color w:val="auto"/>
          <w:sz w:val="24"/>
          <w:highlight w:val="none"/>
        </w:rPr>
        <w:t xml:space="preserve">      银行账号：                        银行账号：</w:t>
      </w:r>
      <w:r/>
    </w:p>
    <w:p>
      <w:pPr>
        <w:ind w:firstLine="560"/>
        <w:jc w:val="center"/>
        <w:spacing w:line="500" w:lineRule="exact"/>
        <w:rPr>
          <w:rFonts w:ascii="方正黑体_GBK" w:hAnsi="方正黑体_GBK" w:eastAsia="方正黑体_GBK" w:cs="方正黑体_GBK"/>
          <w:bCs/>
          <w:color w:val="auto"/>
          <w:sz w:val="28"/>
          <w:szCs w:val="28"/>
          <w:highlight w:val="none"/>
        </w:rPr>
      </w:pPr>
      <w:r>
        <w:rPr>
          <w:rFonts w:ascii="方正黑体_GBK" w:hAnsi="方正黑体_GBK" w:eastAsia="方正黑体_GBK" w:cs="方正黑体_GBK"/>
          <w:bCs/>
          <w:color w:val="auto"/>
          <w:sz w:val="28"/>
          <w:szCs w:val="28"/>
          <w:highlight w:val="none"/>
        </w:rPr>
      </w:r>
      <w:r/>
    </w:p>
    <w:p>
      <w:pPr>
        <w:jc w:val="center"/>
        <w:spacing w:line="500" w:lineRule="exact"/>
        <w:rPr>
          <w:rFonts w:eastAsia="方正小标宋_GBK"/>
          <w:bCs/>
          <w:color w:val="auto"/>
          <w:sz w:val="36"/>
          <w:szCs w:val="36"/>
          <w:highlight w:val="none"/>
        </w:rPr>
        <w:outlineLvl w:val="0"/>
      </w:pPr>
      <w:r>
        <w:rPr>
          <w:rFonts w:eastAsia="方正小标宋_GBK"/>
          <w:bCs/>
          <w:color w:val="auto"/>
          <w:sz w:val="36"/>
          <w:szCs w:val="36"/>
          <w:highlight w:val="none"/>
        </w:rPr>
        <w:br w:type="page" w:clear="all"/>
      </w:r>
      <w:r>
        <w:rPr>
          <w:rFonts w:eastAsia="方正小标宋_GBK"/>
          <w:bCs/>
          <w:color w:val="auto"/>
          <w:sz w:val="36"/>
          <w:szCs w:val="36"/>
          <w:highlight w:val="none"/>
        </w:rPr>
        <w:t xml:space="preserve">第四部分  开标和评标</w:t>
      </w:r>
      <w:r/>
    </w:p>
    <w:p>
      <w:pPr>
        <w:pStyle w:val="903"/>
        <w:ind w:left="0" w:right="0" w:firstLine="560"/>
        <w:jc w:val="left"/>
        <w:spacing w:before="0" w:after="0" w:line="500" w:lineRule="exact"/>
        <w:rPr>
          <w:rFonts w:ascii="方正黑体_GBK" w:hAnsi="方正黑体_GBK" w:eastAsia="方正黑体_GBK" w:cs="方正黑体_GBK"/>
          <w:bCs/>
          <w:color w:val="auto"/>
          <w:sz w:val="28"/>
          <w:szCs w:val="28"/>
          <w:highlight w:val="none"/>
        </w:rPr>
      </w:pPr>
      <w:r>
        <w:rPr>
          <w:rFonts w:hint="eastAsia" w:ascii="方正黑体_GBK" w:hAnsi="方正黑体_GBK" w:eastAsia="方正黑体_GBK" w:cs="方正黑体_GBK"/>
          <w:bCs/>
          <w:color w:val="auto"/>
          <w:sz w:val="28"/>
          <w:szCs w:val="28"/>
          <w:highlight w:val="none"/>
        </w:rPr>
        <w:t xml:space="preserve">一、开标</w:t>
      </w:r>
      <w:r/>
    </w:p>
    <w:p>
      <w:pPr>
        <w:ind w:firstLine="537"/>
        <w:spacing w:line="500" w:lineRule="exact"/>
        <w:tabs>
          <w:tab w:val="left" w:pos="3585" w:leader="none"/>
        </w:tabs>
        <w:rPr>
          <w:rFonts w:eastAsia="方正仿宋_GBK"/>
          <w:color w:val="auto"/>
          <w:sz w:val="28"/>
          <w:szCs w:val="28"/>
          <w:highlight w:val="none"/>
        </w:rPr>
      </w:pPr>
      <w:r>
        <w:rPr>
          <w:rFonts w:eastAsia="方正仿宋_GBK"/>
          <w:color w:val="auto"/>
          <w:sz w:val="28"/>
          <w:szCs w:val="28"/>
          <w:highlight w:val="none"/>
        </w:rPr>
        <w:t xml:space="preserve">不见面远程开标模式：投标人在各自地点通过“苏采云”系统参加开标会。</w:t>
      </w:r>
      <w:r/>
    </w:p>
    <w:p>
      <w:pPr>
        <w:pStyle w:val="903"/>
        <w:ind w:left="0" w:right="0" w:firstLine="560"/>
        <w:jc w:val="left"/>
        <w:spacing w:before="0" w:after="0" w:line="500" w:lineRule="exact"/>
        <w:rPr>
          <w:rFonts w:ascii="方正黑体_GBK" w:hAnsi="方正黑体_GBK" w:eastAsia="方正黑体_GBK" w:cs="方正黑体_GBK"/>
          <w:bCs/>
          <w:color w:val="auto"/>
          <w:sz w:val="28"/>
          <w:szCs w:val="28"/>
          <w:highlight w:val="none"/>
        </w:rPr>
      </w:pPr>
      <w:r>
        <w:rPr>
          <w:rFonts w:ascii="方正黑体_GBK" w:hAnsi="方正黑体_GBK" w:eastAsia="方正黑体_GBK" w:cs="方正黑体_GBK"/>
          <w:bCs/>
          <w:color w:val="auto"/>
          <w:sz w:val="28"/>
          <w:szCs w:val="28"/>
          <w:highlight w:val="none"/>
        </w:rPr>
        <w:t xml:space="preserve">二、评标流程和评标标准</w:t>
      </w:r>
      <w:r/>
    </w:p>
    <w:p>
      <w:pPr>
        <w:ind w:firstLine="555"/>
        <w:spacing w:line="500" w:lineRule="exact"/>
        <w:rPr>
          <w:rFonts w:eastAsia="方正仿宋_GBK"/>
          <w:color w:val="auto"/>
          <w:sz w:val="28"/>
          <w:szCs w:val="28"/>
          <w:highlight w:val="none"/>
        </w:rPr>
      </w:pPr>
      <w:r>
        <w:rPr>
          <w:rFonts w:eastAsia="方正仿宋_GBK"/>
          <w:color w:val="auto"/>
          <w:sz w:val="28"/>
          <w:szCs w:val="28"/>
          <w:highlight w:val="none"/>
        </w:rPr>
        <w:t xml:space="preserve">采用综合评分法，总分值为100分。</w:t>
      </w:r>
      <w:r/>
    </w:p>
    <w:p>
      <w:pPr>
        <w:ind w:firstLine="555"/>
        <w:spacing w:line="500" w:lineRule="exact"/>
        <w:rPr>
          <w:rFonts w:eastAsia="方正仿宋_GBK"/>
          <w:color w:val="auto"/>
          <w:sz w:val="28"/>
          <w:szCs w:val="28"/>
          <w:highlight w:val="none"/>
        </w:rPr>
      </w:pPr>
      <w:r>
        <w:rPr>
          <w:rFonts w:eastAsia="方正仿宋_GBK"/>
          <w:color w:val="auto"/>
          <w:sz w:val="28"/>
          <w:szCs w:val="28"/>
          <w:highlight w:val="none"/>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eastAsia="方正仿宋_GBK"/>
          <w:color w:val="auto"/>
          <w:sz w:val="28"/>
          <w:szCs w:val="28"/>
          <w:highlight w:val="none"/>
        </w:rPr>
      </w:pPr>
      <w:r>
        <w:rPr>
          <w:rFonts w:eastAsia="方正仿宋_GBK"/>
          <w:color w:val="auto"/>
          <w:sz w:val="28"/>
          <w:szCs w:val="28"/>
          <w:highlight w:val="none"/>
        </w:rPr>
        <w:t xml:space="preserve">评标结果按评审后总得分由高到低顺序排列，确定中标候选人名单并按顺序确定中标人。得分相同的，按投标报价由低到高顺序排列，得分且投标报价相同的并列。</w:t>
      </w:r>
      <w:r/>
    </w:p>
    <w:p>
      <w:pPr>
        <w:ind w:firstLine="555"/>
        <w:spacing w:line="500" w:lineRule="exact"/>
        <w:rPr>
          <w:rFonts w:eastAsia="方正仿宋_GBK"/>
          <w:color w:val="auto"/>
          <w:sz w:val="28"/>
          <w:szCs w:val="28"/>
          <w:highlight w:val="none"/>
        </w:rPr>
      </w:pPr>
      <w:r>
        <w:rPr>
          <w:rFonts w:eastAsia="方正仿宋_GBK"/>
          <w:color w:val="auto"/>
          <w:sz w:val="28"/>
          <w:szCs w:val="28"/>
          <w:highlight w:val="none"/>
        </w:rPr>
        <w:t xml:space="preserve">评委在认真审阅投标文件的基础上，根据各投标文件的响应程度独立评判，不得统一打分。</w:t>
      </w:r>
      <w:r/>
    </w:p>
    <w:p>
      <w:pPr>
        <w:ind w:firstLine="560"/>
        <w:spacing w:line="500" w:lineRule="exact"/>
        <w:rPr>
          <w:rFonts w:ascii="方正楷体_GBK" w:hAnsi="方正楷体_GBK" w:eastAsia="方正楷体_GBK" w:cs="方正楷体_GBK"/>
          <w:bCs/>
          <w:color w:val="auto"/>
          <w:sz w:val="28"/>
          <w:szCs w:val="28"/>
          <w:highlight w:val="none"/>
        </w:rPr>
      </w:pPr>
      <w:r>
        <w:rPr>
          <w:rFonts w:hint="eastAsia" w:ascii="方正楷体_GBK" w:hAnsi="方正楷体_GBK" w:eastAsia="方正楷体_GBK" w:cs="方正楷体_GBK"/>
          <w:bCs/>
          <w:color w:val="auto"/>
          <w:sz w:val="28"/>
          <w:szCs w:val="28"/>
          <w:highlight w:val="none"/>
        </w:rPr>
        <w:t xml:space="preserve">（一）采购人（代表）对投标人资格进行审查</w:t>
      </w:r>
      <w:r/>
    </w:p>
    <w:p>
      <w:pPr>
        <w:pStyle w:val="904"/>
        <w:ind w:firstLine="577"/>
        <w:spacing w:line="500" w:lineRule="exact"/>
        <w:rPr>
          <w:rFonts w:ascii="Times New Roman" w:hAnsi="Times New Roman" w:eastAsia="方正仿宋_GBK"/>
          <w:color w:val="auto"/>
          <w:sz w:val="28"/>
          <w:highlight w:val="none"/>
        </w:rPr>
      </w:pPr>
      <w:r>
        <w:rPr>
          <w:rFonts w:ascii="Times New Roman" w:hAnsi="Times New Roman" w:eastAsia="方正仿宋_GBK"/>
          <w:color w:val="auto"/>
          <w:sz w:val="28"/>
          <w:highlight w:val="none"/>
        </w:rPr>
        <w:t xml:space="preserve">投标人资格不合格的，其投标文件判定为无效投标文件。</w:t>
      </w:r>
      <w:r/>
    </w:p>
    <w:p>
      <w:pPr>
        <w:ind w:firstLine="560"/>
        <w:spacing w:line="500" w:lineRule="exact"/>
        <w:rPr>
          <w:rFonts w:ascii="方正楷体_GBK" w:hAnsi="方正楷体_GBK" w:eastAsia="方正楷体_GBK" w:cs="方正楷体_GBK"/>
          <w:bCs/>
          <w:color w:val="auto"/>
          <w:sz w:val="28"/>
          <w:szCs w:val="28"/>
          <w:highlight w:val="none"/>
        </w:rPr>
      </w:pPr>
      <w:r>
        <w:rPr>
          <w:rFonts w:ascii="方正楷体_GBK" w:hAnsi="方正楷体_GBK" w:eastAsia="方正楷体_GBK" w:cs="方正楷体_GBK"/>
          <w:bCs/>
          <w:color w:val="auto"/>
          <w:sz w:val="28"/>
          <w:szCs w:val="28"/>
          <w:highlight w:val="none"/>
        </w:rPr>
        <w:t xml:space="preserve">（二）评标委员会对符合资格投标人的投标文件进行符合性审</w:t>
      </w:r>
      <w:r/>
    </w:p>
    <w:p>
      <w:pPr>
        <w:spacing w:line="500" w:lineRule="exact"/>
        <w:rPr>
          <w:rFonts w:ascii="方正楷体_GBK" w:hAnsi="方正楷体_GBK" w:eastAsia="方正楷体_GBK" w:cs="方正楷体_GBK"/>
          <w:bCs/>
          <w:color w:val="auto"/>
          <w:sz w:val="28"/>
          <w:szCs w:val="28"/>
          <w:highlight w:val="none"/>
        </w:rPr>
      </w:pPr>
      <w:r>
        <w:rPr>
          <w:rFonts w:hint="eastAsia" w:ascii="方正楷体_GBK" w:hAnsi="方正楷体_GBK" w:eastAsia="方正楷体_GBK" w:cs="方正楷体_GBK"/>
          <w:bCs/>
          <w:color w:val="auto"/>
          <w:sz w:val="28"/>
          <w:szCs w:val="28"/>
          <w:highlight w:val="none"/>
        </w:rPr>
        <w:t xml:space="preserve">查</w:t>
      </w:r>
      <w:r/>
    </w:p>
    <w:p>
      <w:pPr>
        <w:pStyle w:val="904"/>
        <w:ind w:firstLine="577"/>
        <w:spacing w:line="500" w:lineRule="exact"/>
        <w:rPr>
          <w:rFonts w:ascii="Times New Roman" w:hAnsi="Times New Roman" w:eastAsia="方正仿宋_GBK"/>
          <w:color w:val="auto"/>
          <w:sz w:val="28"/>
          <w:highlight w:val="none"/>
        </w:rPr>
      </w:pPr>
      <w:r>
        <w:rPr>
          <w:rFonts w:ascii="Times New Roman" w:hAnsi="Times New Roman" w:eastAsia="方正仿宋_GBK"/>
          <w:color w:val="auto"/>
          <w:sz w:val="28"/>
          <w:highlight w:val="none"/>
        </w:rPr>
        <w:t xml:space="preserve">未通过符合性审查的投标文件，将被判为不满足招标文件实质性要求。</w:t>
      </w:r>
      <w:r/>
    </w:p>
    <w:p>
      <w:pPr>
        <w:ind w:firstLine="560"/>
        <w:jc w:val="left"/>
        <w:spacing w:line="500" w:lineRule="exact"/>
        <w:rPr>
          <w:rFonts w:ascii="方正楷体_GBK" w:hAnsi="方正楷体_GBK" w:eastAsia="方正楷体_GBK" w:cs="方正楷体_GBK"/>
          <w:bCs/>
          <w:color w:val="auto"/>
          <w:sz w:val="28"/>
          <w:szCs w:val="28"/>
          <w:highlight w:val="none"/>
          <w:lang w:val="zh-CN"/>
        </w:rPr>
      </w:pPr>
      <w:r>
        <w:rPr>
          <w:rFonts w:hint="eastAsia" w:ascii="方正楷体_GBK" w:hAnsi="方正楷体_GBK" w:eastAsia="方正楷体_GBK" w:cs="方正楷体_GBK"/>
          <w:bCs/>
          <w:color w:val="auto"/>
          <w:sz w:val="28"/>
          <w:szCs w:val="28"/>
          <w:highlight w:val="none"/>
        </w:rPr>
        <w:t xml:space="preserve">（</w:t>
      </w:r>
      <w:r>
        <w:rPr>
          <w:rFonts w:hint="eastAsia" w:ascii="方正楷体_GBK" w:hAnsi="方正楷体_GBK" w:eastAsia="方正楷体_GBK" w:cs="方正楷体_GBK"/>
          <w:bCs/>
          <w:color w:val="auto"/>
          <w:sz w:val="28"/>
          <w:szCs w:val="28"/>
          <w:highlight w:val="none"/>
          <w:lang w:val="zh-CN"/>
        </w:rPr>
        <w:t xml:space="preserve">三</w:t>
      </w:r>
      <w:r>
        <w:rPr>
          <w:rFonts w:hint="eastAsia" w:ascii="方正楷体_GBK" w:hAnsi="方正楷体_GBK" w:eastAsia="方正楷体_GBK" w:cs="方正楷体_GBK"/>
          <w:bCs/>
          <w:color w:val="auto"/>
          <w:sz w:val="28"/>
          <w:szCs w:val="28"/>
          <w:highlight w:val="none"/>
        </w:rPr>
        <w:t xml:space="preserve">）</w:t>
      </w:r>
      <w:r>
        <w:rPr>
          <w:rFonts w:hint="eastAsia" w:ascii="方正楷体_GBK" w:hAnsi="方正楷体_GBK" w:eastAsia="方正楷体_GBK" w:cs="方正楷体_GBK"/>
          <w:bCs/>
          <w:color w:val="auto"/>
          <w:sz w:val="28"/>
          <w:szCs w:val="28"/>
          <w:highlight w:val="none"/>
          <w:lang w:val="zh-CN"/>
        </w:rPr>
        <w:t xml:space="preserve">商务技术分：</w:t>
      </w:r>
      <w:r>
        <w:rPr>
          <w:rFonts w:hint="eastAsia" w:ascii="方正楷体_GBK" w:hAnsi="方正楷体_GBK" w:eastAsia="方正楷体_GBK" w:cs="方正楷体_GBK"/>
          <w:bCs/>
          <w:color w:val="auto"/>
          <w:sz w:val="28"/>
          <w:szCs w:val="28"/>
          <w:highlight w:val="none"/>
          <w:lang w:val="en-US" w:eastAsia="zh-CN"/>
        </w:rPr>
        <w:t xml:space="preserve">40</w:t>
      </w:r>
      <w:r>
        <w:rPr>
          <w:rFonts w:hint="eastAsia" w:ascii="方正楷体_GBK" w:hAnsi="方正楷体_GBK" w:eastAsia="方正楷体_GBK" w:cs="方正楷体_GBK"/>
          <w:bCs/>
          <w:color w:val="auto"/>
          <w:sz w:val="28"/>
          <w:szCs w:val="28"/>
          <w:highlight w:val="none"/>
          <w:lang w:val="zh-CN"/>
        </w:rPr>
        <w:t xml:space="preserve">分</w:t>
      </w:r>
      <w:r/>
    </w:p>
    <w:p>
      <w:pPr>
        <w:ind w:firstLine="560"/>
        <w:jc w:val="left"/>
        <w:spacing w:line="500" w:lineRule="exact"/>
        <w:rPr>
          <w:rFonts w:eastAsia="方正仿宋_GBK"/>
          <w:color w:val="auto"/>
          <w:sz w:val="28"/>
          <w:szCs w:val="28"/>
          <w:highlight w:val="none"/>
        </w:rPr>
      </w:pPr>
      <w:r>
        <w:rPr>
          <w:rFonts w:eastAsia="方正仿宋_GBK"/>
          <w:color w:val="auto"/>
          <w:sz w:val="28"/>
          <w:szCs w:val="28"/>
          <w:highlight w:val="none"/>
        </w:rPr>
        <w:t xml:space="preserve">各投标人得分为评委会成员评分的算术平均分，分值保留小数点后两位。</w:t>
      </w:r>
      <w:r/>
    </w:p>
    <w:tbl>
      <w:tblPr>
        <w:tblStyle w:val="901"/>
        <w:tblW w:w="94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978"/>
        <w:gridCol w:w="456"/>
        <w:gridCol w:w="7583"/>
      </w:tblGrid>
      <w:tr>
        <w:trPr>
          <w:jc w:val="center"/>
        </w:trPr>
        <w:tc>
          <w:tcPr>
            <w:tcW w:w="456" w:type="dxa"/>
            <w:vAlign w:val="center"/>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序号</w:t>
            </w:r>
            <w:r/>
          </w:p>
        </w:tc>
        <w:tc>
          <w:tcPr>
            <w:tcW w:w="978" w:type="dxa"/>
            <w:vAlign w:val="center"/>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评审项目</w:t>
            </w:r>
            <w:r/>
          </w:p>
        </w:tc>
        <w:tc>
          <w:tcPr>
            <w:tcW w:w="456" w:type="dxa"/>
            <w:vAlign w:val="center"/>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分值</w:t>
            </w:r>
            <w:r/>
          </w:p>
        </w:tc>
        <w:tc>
          <w:tcPr>
            <w:tcW w:w="7583" w:type="dxa"/>
            <w:vAlign w:val="center"/>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评分标准</w:t>
            </w:r>
            <w:r/>
          </w:p>
        </w:tc>
      </w:tr>
      <w:tr>
        <w:trPr>
          <w:jc w:val="center"/>
        </w:trPr>
        <w:tc>
          <w:tcPr>
            <w:tcW w:w="456" w:type="dxa"/>
            <w:vAlign w:val="center"/>
            <w:textDirection w:val="lrTb"/>
            <w:noWrap w:val="false"/>
          </w:tcPr>
          <w:p>
            <w:pPr>
              <w:pStyle w:val="906"/>
              <w:numPr>
                <w:ilvl w:val="0"/>
                <w:numId w:val="18"/>
              </w:num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978" w:type="dxa"/>
            <w:vAlign w:val="center"/>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成品检测报告</w:t>
            </w:r>
            <w:r/>
          </w:p>
        </w:tc>
        <w:tc>
          <w:tcPr>
            <w:tcW w:w="456" w:type="dxa"/>
            <w:vAlign w:val="center"/>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8</w:t>
            </w:r>
            <w:r/>
          </w:p>
        </w:tc>
        <w:tc>
          <w:tcPr>
            <w:tcW w:w="7583" w:type="dxa"/>
            <w:vAlign w:val="center"/>
            <w:textDirection w:val="lrTb"/>
            <w:noWrap w:val="false"/>
          </w:tcPr>
          <w:p>
            <w:pPr>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投标人（或生产厂家）提供自2024年1月1日起到至今的国家认可的第三方机构出具完整的检测报告：</w:t>
            </w:r>
            <w:r/>
          </w:p>
          <w:p>
            <w:pPr>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包括：实验室专用学生凳、椅子、单人位沙发、书包柜、仪器柜、教师演示讲台、专业功放、矮柜、陈列厨、更衣柜、智能音乐示教板、学习态度引导仪、智慧音乐教学云平台，提供相关检测报告（中标后，采购人有权要求中标人提供成品检测报告原件供核实），每缺少1份检测报告扣2分，直到扣完为止。检测报告需满足下列要求（须包含但不限于）：</w:t>
            </w:r>
            <w:r/>
          </w:p>
          <w:p>
            <w:pPr>
              <w:jc w:val="left"/>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 xml:space="preserve">1) 实验室专用学生凳：</w:t>
            </w:r>
            <w:r>
              <w:rPr>
                <w:rFonts w:hint="eastAsia" w:ascii="宋体" w:hAnsi="宋体" w:eastAsia="宋体"/>
                <w:color w:val="auto"/>
                <w:sz w:val="24"/>
                <w:szCs w:val="24"/>
                <w:highlight w:val="none"/>
              </w:rPr>
              <w:t xml:space="preserve">符合GB/T 35607-2024《绿色产品评价家具》要求，（绿色产品值）甲醛释放量≤0.05mg/m³、苯、甲苯、二甲苯、总挥发性有机化合物均未检出、家具涂层可迁移元素8 个均未检出、多环芳烃：苯并【a】芘</w:t>
            </w:r>
            <w:r>
              <w:rPr>
                <w:rFonts w:hint="eastAsia" w:ascii="宋体" w:hAnsi="宋体" w:eastAsia="宋体"/>
                <w:color w:val="auto"/>
                <w:sz w:val="24"/>
                <w:szCs w:val="24"/>
                <w:highlight w:val="none"/>
              </w:rPr>
              <w:t xml:space="preserve">未检出；JB/T 7901-2023《金属材料实验室均匀腐蚀全浸试验方法》要求，均匀腐蚀性能0.9%氯化钠溶液，均匀腐蚀100h，腐蚀速度≤0.2mm/a；GB/T40908-2021《家具产品及其材料中禁限用物质测定方法阻燃剂》要求，有机磷阻燃剂未检出；GB/T 4340.1-2024《金属材料维氏硬度试验第1 部分：试验方法》要求，维氏硬度HV30≥50；ISO21702:2019《塑料及其它非多孔表面抗病毒活性的测定》要求，肠道病毒71（EV71）；抗病毒活性值：≥2.0；抗病毒活性率：≥99.0%；</w:t>
            </w:r>
            <w:r/>
          </w:p>
          <w:p>
            <w:pPr>
              <w:jc w:val="left"/>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 xml:space="preserve">2)椅子：</w:t>
            </w:r>
            <w:r>
              <w:rPr>
                <w:rFonts w:hint="eastAsia" w:ascii="宋体" w:hAnsi="宋体" w:eastAsia="宋体"/>
                <w:color w:val="auto"/>
                <w:sz w:val="24"/>
                <w:szCs w:val="24"/>
                <w:highlight w:val="none"/>
              </w:rPr>
              <w:t xml:space="preserve">符合GB/T 3325-2024《金属家具通用技术条件》要求，其中，外观性能、理化性能-金属喷漆(塑)涂层附着力0 级、有害物质限量-可迁移有害元素（锑、砷、钡、镉、铬、铅、汞、硒），椅凳类强度和耐久性-座面椅背耐久性12 万次，GB/T 35607-2024《</w:t>
            </w:r>
            <w:r>
              <w:rPr>
                <w:rFonts w:ascii="宋体" w:hAnsi="宋体" w:eastAsia="宋体"/>
                <w:color w:val="auto"/>
                <w:sz w:val="24"/>
                <w:szCs w:val="24"/>
                <w:highlight w:val="none"/>
              </w:rPr>
              <w:t xml:space="preserve">绿色产品评价 家具》</w:t>
            </w:r>
            <w:r>
              <w:rPr>
                <w:rFonts w:hint="eastAsia" w:ascii="宋体" w:hAnsi="宋体" w:eastAsia="宋体"/>
                <w:color w:val="auto"/>
                <w:sz w:val="24"/>
                <w:szCs w:val="24"/>
                <w:highlight w:val="none"/>
              </w:rPr>
              <w:t xml:space="preserve">：产品有害物质-多环芳烃，GB/T 2423.18-2021</w:t>
            </w:r>
            <w:r>
              <w:rPr>
                <w:rFonts w:ascii="宋体" w:hAnsi="宋体" w:eastAsia="宋体"/>
                <w:color w:val="auto"/>
                <w:sz w:val="24"/>
                <w:szCs w:val="24"/>
                <w:highlight w:val="none"/>
              </w:rPr>
              <w:t xml:space="preserve">《环境试验 第 2 部分：试验方法 试验 Kb：盐雾，交变（氯化钠溶液）》</w:t>
            </w:r>
            <w:r>
              <w:rPr>
                <w:rFonts w:hint="eastAsia" w:ascii="宋体" w:hAnsi="宋体" w:eastAsia="宋体"/>
                <w:color w:val="auto"/>
                <w:sz w:val="24"/>
                <w:szCs w:val="24"/>
                <w:highlight w:val="none"/>
              </w:rPr>
              <w:t xml:space="preserve">：交变盐雾试验168h( 试验方法3:1 个循环周期7d) ，GB/T 230.1-2018</w:t>
            </w:r>
            <w:r>
              <w:rPr>
                <w:rFonts w:ascii="宋体" w:hAnsi="宋体" w:eastAsia="宋体"/>
                <w:color w:val="auto"/>
                <w:sz w:val="24"/>
                <w:szCs w:val="24"/>
                <w:highlight w:val="none"/>
              </w:rPr>
              <w:t xml:space="preserve">《金属材料 洛氏硬度试验 第 1 部分：试验方法》</w:t>
            </w:r>
            <w:r>
              <w:rPr>
                <w:rFonts w:hint="eastAsia" w:ascii="宋体" w:hAnsi="宋体" w:eastAsia="宋体"/>
                <w:color w:val="auto"/>
                <w:sz w:val="24"/>
                <w:szCs w:val="24"/>
                <w:highlight w:val="none"/>
              </w:rPr>
              <w:t xml:space="preserve">：洛氏硬度，GB/T 12000-2017</w:t>
            </w:r>
            <w:r>
              <w:rPr>
                <w:rFonts w:ascii="宋体" w:hAnsi="宋体" w:eastAsia="宋体"/>
                <w:color w:val="auto"/>
                <w:sz w:val="24"/>
                <w:szCs w:val="24"/>
                <w:highlight w:val="none"/>
              </w:rPr>
              <w:t xml:space="preserve">《塑料 暴露于湿热、水喷雾和盐雾中影响的测定》</w:t>
            </w:r>
            <w:r>
              <w:rPr>
                <w:rFonts w:hint="eastAsia" w:ascii="宋体" w:hAnsi="宋体" w:eastAsia="宋体"/>
                <w:color w:val="auto"/>
                <w:sz w:val="24"/>
                <w:szCs w:val="24"/>
                <w:highlight w:val="none"/>
              </w:rPr>
              <w:t xml:space="preserve">：盐雾试验100h，</w:t>
            </w:r>
            <w:bookmarkStart w:id="156" w:name="_Hlk232147999"/>
            <w:r>
              <w:rPr>
                <w:rFonts w:hint="eastAsia" w:ascii="宋体" w:hAnsi="宋体" w:eastAsia="宋体"/>
                <w:color w:val="auto"/>
                <w:sz w:val="24"/>
                <w:szCs w:val="24"/>
                <w:highlight w:val="none"/>
              </w:rPr>
              <w:t xml:space="preserve">GB/T 11547-2008</w:t>
            </w:r>
            <w:r>
              <w:rPr>
                <w:rFonts w:ascii="宋体" w:hAnsi="宋体" w:eastAsia="宋体"/>
                <w:color w:val="auto"/>
                <w:sz w:val="24"/>
                <w:szCs w:val="24"/>
                <w:highlight w:val="none"/>
              </w:rPr>
              <w:t xml:space="preserve">《塑料 耐液体化学试剂性能的测定》</w:t>
            </w:r>
            <w:bookmarkEnd w:id="156"/>
            <w:r>
              <w:rPr>
                <w:rFonts w:hint="eastAsia" w:ascii="宋体" w:hAnsi="宋体" w:eastAsia="宋体"/>
                <w:color w:val="auto"/>
                <w:sz w:val="24"/>
                <w:szCs w:val="24"/>
                <w:highlight w:val="none"/>
              </w:rPr>
              <w:t xml:space="preserve">：耐液体化学试剂性能：乙酸（50%）168h，外观变化等级（无变化），</w:t>
            </w:r>
            <w:bookmarkStart w:id="157" w:name="OLE_LINK11"/>
            <w:r>
              <w:rPr>
                <w:rFonts w:hint="eastAsia" w:ascii="宋体" w:hAnsi="宋体" w:eastAsia="宋体"/>
                <w:color w:val="auto"/>
                <w:sz w:val="24"/>
                <w:szCs w:val="24"/>
                <w:highlight w:val="none"/>
              </w:rPr>
              <w:t xml:space="preserve">GB/T 1633-2000</w:t>
            </w:r>
            <w:r>
              <w:rPr>
                <w:rFonts w:ascii="宋体" w:hAnsi="宋体" w:eastAsia="宋体"/>
                <w:color w:val="auto"/>
                <w:sz w:val="24"/>
                <w:szCs w:val="24"/>
                <w:highlight w:val="none"/>
              </w:rPr>
              <w:t xml:space="preserve">《热塑性塑料维卡软化温度（VST）的测定》</w:t>
            </w:r>
            <w:bookmarkEnd w:id="157"/>
            <w:r>
              <w:rPr>
                <w:rFonts w:ascii="宋体" w:hAnsi="宋体" w:eastAsia="宋体"/>
                <w:color w:val="auto"/>
                <w:sz w:val="24"/>
                <w:szCs w:val="24"/>
                <w:highlight w:val="none"/>
              </w:rPr>
              <w:t xml:space="preserve">国家标准化管理委员会</w:t>
            </w:r>
            <w:r>
              <w:rPr>
                <w:rFonts w:hint="eastAsia" w:ascii="宋体" w:hAnsi="宋体" w:eastAsia="宋体"/>
                <w:color w:val="auto"/>
                <w:sz w:val="24"/>
                <w:szCs w:val="24"/>
                <w:highlight w:val="none"/>
              </w:rPr>
              <w:t xml:space="preserve">：维卡软化温度，</w:t>
            </w:r>
            <w:bookmarkStart w:id="158" w:name="OLE_LINK22"/>
            <w:r>
              <w:rPr>
                <w:rFonts w:hint="eastAsia" w:ascii="宋体" w:hAnsi="宋体" w:eastAsia="宋体"/>
                <w:color w:val="auto"/>
                <w:sz w:val="24"/>
                <w:szCs w:val="24"/>
                <w:highlight w:val="none"/>
              </w:rPr>
              <w:t xml:space="preserve">GB/T 1741-2020</w:t>
            </w:r>
            <w:r>
              <w:rPr>
                <w:rFonts w:ascii="宋体" w:hAnsi="宋体" w:eastAsia="宋体"/>
                <w:color w:val="auto"/>
                <w:sz w:val="24"/>
                <w:szCs w:val="24"/>
                <w:highlight w:val="none"/>
              </w:rPr>
              <w:t xml:space="preserve">《漆膜耐霉菌性测定法》</w:t>
            </w:r>
            <w:bookmarkEnd w:id="158"/>
            <w:r>
              <w:rPr>
                <w:rFonts w:hint="eastAsia" w:ascii="宋体" w:hAnsi="宋体" w:eastAsia="宋体"/>
                <w:color w:val="auto"/>
                <w:sz w:val="24"/>
                <w:szCs w:val="24"/>
                <w:highlight w:val="none"/>
              </w:rPr>
              <w:t xml:space="preserve">：黑曲霉，耐霉菌性等级0 级；</w:t>
            </w:r>
            <w:bookmarkStart w:id="159" w:name="OLE_LINK23"/>
            <w:r>
              <w:rPr>
                <w:rFonts w:hint="eastAsia" w:ascii="宋体" w:hAnsi="宋体" w:eastAsia="宋体"/>
                <w:color w:val="auto"/>
                <w:sz w:val="24"/>
                <w:szCs w:val="24"/>
                <w:highlight w:val="none"/>
              </w:rPr>
              <w:t xml:space="preserve">GB/T 24128-2018</w:t>
            </w:r>
            <w:r>
              <w:rPr>
                <w:rFonts w:ascii="宋体" w:hAnsi="宋体" w:eastAsia="宋体"/>
                <w:color w:val="auto"/>
                <w:sz w:val="24"/>
                <w:szCs w:val="24"/>
                <w:highlight w:val="none"/>
              </w:rPr>
              <w:t xml:space="preserve">《塑料 塑料防霉剂的防霉效果评估》</w:t>
            </w:r>
            <w:bookmarkEnd w:id="159"/>
            <w:r>
              <w:rPr>
                <w:rFonts w:hint="eastAsia" w:ascii="宋体" w:hAnsi="宋体" w:eastAsia="宋体"/>
                <w:color w:val="auto"/>
                <w:sz w:val="24"/>
                <w:szCs w:val="24"/>
                <w:highlight w:val="none"/>
              </w:rPr>
              <w:t xml:space="preserve">：球毛壳霉,防霉等级0 级；</w:t>
            </w:r>
            <w:r/>
          </w:p>
          <w:p>
            <w:pPr>
              <w:jc w:val="left"/>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 xml:space="preserve">3)单人位沙发：</w:t>
            </w:r>
            <w:r>
              <w:rPr>
                <w:rFonts w:hint="eastAsia" w:ascii="宋体" w:hAnsi="宋体" w:eastAsia="宋体"/>
                <w:color w:val="auto"/>
                <w:sz w:val="24"/>
                <w:szCs w:val="24"/>
                <w:highlight w:val="none"/>
              </w:rPr>
              <w:t xml:space="preserve">符合QB/T 1952.1-2023《软体家具 沙发》、GB 18584-2024《家具中有害物质限量》、GB/T 3324-2024《木家具通用技术条件》要求，其中，主要尺寸及偏差、外形对称度、产品用料、加工（木制件、木材含水率W、泡沫塑料（表观密度-座面、表观密度-其他部位、回弹性能(慢回弹泡沫塑料除外)、压缩永久变形）、防锈处理、摩擦声、外观性能（面料、缝纫和包覆、木制件）、理化性能-表面涂</w:t>
            </w:r>
            <w:r>
              <w:rPr>
                <w:rFonts w:hint="eastAsia" w:ascii="宋体" w:hAnsi="宋体" w:eastAsia="宋体"/>
                <w:color w:val="auto"/>
                <w:sz w:val="24"/>
                <w:szCs w:val="24"/>
                <w:highlight w:val="none"/>
              </w:rPr>
              <w:t xml:space="preserve">层理化性能（木制件漆膜涂层（附着力(交叉切割法)、耐磨性、耐冷热温差、抗冲击）、理化性能-覆面材料理化性能（皮革/再生皮(革)（摩擦色牢度-干摩擦（500次)、摩擦色牢度湿摩擦（250次)、摩擦色牢度-人造汗液(80次)、耐磨性、涂层黏着牢度、pH））、力学性能（沙发座背及扶手耐久性、压缩量）、安全性能、外观要求（软包件）、有害物质限量（甲醛释放量、甲苯、二甲苯(邻、间、对二甲苯之和)、总挥发性有机化合物(TVOC)、可分解芳香胺染料均未检出）、有害物质限量-木制件表面涂层可迁移元素（八大重金属均未检出）；</w:t>
            </w:r>
            <w:r/>
          </w:p>
          <w:p>
            <w:pPr>
              <w:jc w:val="left"/>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 xml:space="preserve">4)书包柜：</w:t>
            </w:r>
            <w:r>
              <w:rPr>
                <w:rFonts w:hint="eastAsia" w:ascii="宋体" w:hAnsi="宋体" w:eastAsia="宋体"/>
                <w:color w:val="auto"/>
                <w:sz w:val="24"/>
                <w:szCs w:val="24"/>
                <w:highlight w:val="none"/>
              </w:rPr>
              <w:t xml:space="preserve">符合GB/T 3324-2017木家具通用技术条件室内装饰装修材料、GB 18584-2001 木家具中有</w:t>
            </w:r>
            <w:r>
              <w:rPr>
                <w:rFonts w:hint="eastAsia" w:ascii="宋体" w:hAnsi="宋体" w:eastAsia="宋体"/>
                <w:color w:val="auto"/>
                <w:sz w:val="24"/>
                <w:szCs w:val="24"/>
                <w:highlight w:val="none"/>
              </w:rPr>
              <w:t xml:space="preserve">害物质限量要求，其中，形状和位置公差（翘曲度、平整度、邻边垂直度(面板、框架)、位差度、分缝、底脚平稳性）、人造板外观（外表干花、湿花、内表干花、湿花、污斑、表面划痕、表面压痕、色差、鼓泡、龟裂、分层）、五金件外观、木工要求、结构安全性要求、软、硬质覆面理化性能（耐划痕、表面耐磨性）、柜类稳定性（搁板垂直加载稳定性试验、、非固定柜空载稳定性试验-活动部件关闭时、非固定柜空载稳定性试验-活动部件打开时、非固定柜加载稳定性试验-活动部件打开时）、柜类强度-顶板和底板试验（顶板、底板的持续加载试验）、甲醛释放量；</w:t>
            </w:r>
            <w:r/>
          </w:p>
          <w:p>
            <w:pPr>
              <w:jc w:val="left"/>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 xml:space="preserve">5)仪器柜：</w:t>
            </w:r>
            <w:r>
              <w:rPr>
                <w:rFonts w:hint="eastAsia" w:ascii="宋体" w:hAnsi="宋体" w:eastAsia="宋体"/>
                <w:color w:val="auto"/>
                <w:sz w:val="24"/>
                <w:szCs w:val="24"/>
                <w:highlight w:val="none"/>
              </w:rPr>
              <w:t xml:space="preserve">符合GB/T 32487-2016《塑料家</w:t>
            </w:r>
            <w:r>
              <w:rPr>
                <w:rFonts w:hint="eastAsia" w:ascii="宋体" w:hAnsi="宋体" w:eastAsia="宋体"/>
                <w:color w:val="auto"/>
                <w:sz w:val="24"/>
                <w:szCs w:val="24"/>
                <w:highlight w:val="none"/>
              </w:rPr>
              <w:t xml:space="preserve">具通用技术条件》、GB/T 24128-2018《塑料 塑料防霉剂的防霉效果评估》、GB/T 31402-2023《塑料和其他无孔材料表面抗菌活性的测定》、GB/T 12000-2017《塑料暴露于湿热、水喷雾和盐雾中影响的测定》、GB/T 43355-2023《塑料和其他无孔材料表面抗病毒活性的测定》要求，其中，外观（塑料外观件）、理化性能（塑料件（耐冷热循环、硬度））、塑料暴露于湿热、水喷雾和盐雾中影响的测定、表面抗菌活性（金黄色葡萄球菌）、防霉性能（黑曲霉达到0级）抗病毒活性（抗病毒活性率≥99%）；</w:t>
            </w:r>
            <w:r/>
          </w:p>
          <w:p>
            <w:pPr>
              <w:jc w:val="left"/>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 xml:space="preserve">6)教师演示讲台：</w:t>
            </w:r>
            <w:r>
              <w:rPr>
                <w:rFonts w:hint="eastAsia" w:ascii="宋体" w:hAnsi="宋体" w:eastAsia="宋体"/>
                <w:color w:val="auto"/>
                <w:sz w:val="24"/>
                <w:szCs w:val="24"/>
                <w:highlight w:val="none"/>
              </w:rPr>
              <w:t xml:space="preserve">符合GB/T10125-2021《人造气(氛腐蚀试验 盐雾验》、GB/T6461-2</w:t>
            </w:r>
            <w:r>
              <w:rPr>
                <w:rFonts w:hint="eastAsia" w:ascii="宋体" w:hAnsi="宋体" w:eastAsia="宋体"/>
                <w:color w:val="auto"/>
                <w:sz w:val="24"/>
                <w:szCs w:val="24"/>
                <w:highlight w:val="none"/>
              </w:rPr>
              <w:t xml:space="preserve">002《金属基体上金属和其他无机覆盖层经腐蚀试验后的试样和试件的评级》、GB/T21604-2022《化学品急性皮肤刺激性/腐蚀性试验方法》、GB/T17897-2016《金属和合金的腐蚀 不锈钢三氯化铁点腐蚀试验方法》、GB/T3325-2024《金属家具通用技术条件》、GB/T44690-2024《人造板及其制品挥发性有机化合物释放量分级》要求，其中，外观件（金属件、木制件、塑料件）、金属表面耐腐蚀、急性皮肤刺激性/腐蚀性试验、不锈钢三氯化铁点腐蚀、挥发性有机化合物释放量分级要求（总醛酮化合物未检出）；</w:t>
            </w:r>
            <w:r/>
          </w:p>
          <w:p>
            <w:pPr>
              <w:jc w:val="left"/>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 xml:space="preserve">7)专业功放：</w:t>
            </w:r>
            <w:r>
              <w:rPr>
                <w:rFonts w:hint="eastAsia" w:ascii="宋体" w:hAnsi="宋体" w:eastAsia="宋体"/>
                <w:color w:val="auto"/>
                <w:sz w:val="24"/>
                <w:szCs w:val="24"/>
                <w:highlight w:val="none"/>
              </w:rPr>
              <w:t xml:space="preserve">符合GB 4943.1-2022《音视频、信息技术和通信技术设备第1部分:安全要求》要求，其中，</w:t>
            </w:r>
            <w:bookmarkStart w:id="160" w:name="OLE_LINK24"/>
            <w:r>
              <w:rPr>
                <w:rFonts w:hint="eastAsia" w:ascii="宋体" w:hAnsi="宋体" w:eastAsia="宋体"/>
                <w:color w:val="auto"/>
                <w:sz w:val="24"/>
                <w:szCs w:val="24"/>
                <w:highlight w:val="none"/>
              </w:rPr>
              <w:t xml:space="preserve">包含但不限于：</w:t>
            </w:r>
            <w:bookmarkEnd w:id="160"/>
            <w:r>
              <w:rPr>
                <w:rFonts w:hint="eastAsia" w:ascii="宋体" w:hAnsi="宋体" w:eastAsia="宋体"/>
                <w:color w:val="auto"/>
                <w:sz w:val="24"/>
                <w:szCs w:val="24"/>
                <w:highlight w:val="none"/>
              </w:rPr>
              <w:t xml:space="preserve">基本要求、抗电强度试验、附录F设备标志、说明和指示性安全防护、产品功能均合格的检测报告（检测报告必须附带产品图片）；</w:t>
            </w:r>
            <w:r/>
          </w:p>
          <w:p>
            <w:pPr>
              <w:jc w:val="left"/>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 xml:space="preserve">8)矮柜：</w:t>
            </w:r>
            <w:bookmarkStart w:id="161" w:name="OLE_LINK12"/>
            <w:r>
              <w:rPr>
                <w:rFonts w:hint="eastAsia" w:ascii="宋体" w:hAnsi="宋体" w:eastAsia="宋体"/>
                <w:color w:val="auto"/>
                <w:sz w:val="24"/>
                <w:szCs w:val="24"/>
                <w:highlight w:val="none"/>
              </w:rPr>
              <w:t xml:space="preserve">符合GB/T3324-2017木家具通用技术条件、GB18584-2001室内装饰装修材料 木家具中有害物质限量要求，其中，</w:t>
            </w:r>
            <w:bookmarkEnd w:id="161"/>
            <w:r>
              <w:rPr>
                <w:rFonts w:hint="eastAsia" w:ascii="宋体" w:hAnsi="宋体" w:eastAsia="宋体"/>
                <w:color w:val="auto"/>
                <w:sz w:val="24"/>
                <w:szCs w:val="24"/>
                <w:highlight w:val="none"/>
              </w:rPr>
              <w:t xml:space="preserve">形状和位置公差、</w:t>
            </w:r>
            <w:bookmarkStart w:id="162" w:name="OLE_LINK13"/>
            <w:r>
              <w:rPr>
                <w:rFonts w:hint="eastAsia" w:ascii="宋体" w:hAnsi="宋体" w:eastAsia="宋体"/>
                <w:color w:val="auto"/>
                <w:sz w:val="24"/>
                <w:szCs w:val="24"/>
                <w:highlight w:val="none"/>
              </w:rPr>
              <w:t xml:space="preserve">人造板外观（外表干花、湿花、内表干花、湿花、污斑、表面划痕、表面压痕、色差、鼓泡、龟裂、分层）、</w:t>
            </w:r>
            <w:bookmarkEnd w:id="162"/>
            <w:r>
              <w:rPr>
                <w:rFonts w:hint="eastAsia" w:ascii="宋体" w:hAnsi="宋体" w:eastAsia="宋体"/>
                <w:color w:val="auto"/>
                <w:sz w:val="24"/>
                <w:szCs w:val="24"/>
                <w:highlight w:val="none"/>
              </w:rPr>
              <w:t xml:space="preserve">五金件外观、塑料件外观、木工要求、结构安全性要求、</w:t>
            </w:r>
            <w:bookmarkStart w:id="163" w:name="OLE_LINK14"/>
            <w:r>
              <w:rPr>
                <w:rFonts w:hint="eastAsia" w:ascii="宋体" w:hAnsi="宋体" w:eastAsia="宋体"/>
                <w:color w:val="auto"/>
                <w:sz w:val="24"/>
                <w:szCs w:val="24"/>
                <w:highlight w:val="none"/>
              </w:rPr>
              <w:t xml:space="preserve">软、硬质覆面理化性能（耐划、表面耐磨性）、</w:t>
            </w:r>
            <w:bookmarkEnd w:id="163"/>
            <w:r>
              <w:rPr>
                <w:rFonts w:hint="eastAsia" w:ascii="宋体" w:hAnsi="宋体" w:eastAsia="宋体"/>
                <w:color w:val="auto"/>
                <w:sz w:val="24"/>
                <w:szCs w:val="24"/>
                <w:highlight w:val="none"/>
              </w:rPr>
              <w:t xml:space="preserve">柜类稳定性（搁板垂直加载稳定性试、非固定柜空载稳定性试验-活动部件关闭时</w:t>
            </w:r>
            <w:bookmarkStart w:id="164" w:name="OLE_LINK10"/>
            <w:r>
              <w:rPr>
                <w:rFonts w:hint="eastAsia" w:ascii="宋体" w:hAnsi="宋体" w:eastAsia="宋体"/>
                <w:color w:val="auto"/>
                <w:sz w:val="24"/>
                <w:szCs w:val="24"/>
                <w:highlight w:val="none"/>
              </w:rPr>
              <w:t xml:space="preserve">、</w:t>
            </w:r>
            <w:bookmarkEnd w:id="164"/>
            <w:r>
              <w:rPr>
                <w:rFonts w:hint="eastAsia" w:ascii="宋体" w:hAnsi="宋体" w:eastAsia="宋体"/>
                <w:color w:val="auto"/>
                <w:sz w:val="24"/>
                <w:szCs w:val="24"/>
                <w:highlight w:val="none"/>
              </w:rPr>
              <w:t xml:space="preserve">非固定柜空载稳定性试捡一活动部件打开时、非固定柜加载稳定性试验-活动部件关闭时、非固定柜加载稳定性试验-活动部件打开时）、柜类强度一顶板和底板试验（顶板、底板的持续加载试验）、</w:t>
            </w:r>
            <w:bookmarkStart w:id="165" w:name="OLE_LINK15"/>
            <w:r>
              <w:rPr>
                <w:rFonts w:hint="eastAsia" w:ascii="宋体" w:hAnsi="宋体" w:eastAsia="宋体"/>
                <w:color w:val="auto"/>
                <w:sz w:val="24"/>
                <w:szCs w:val="24"/>
                <w:highlight w:val="none"/>
              </w:rPr>
              <w:t xml:space="preserve">甲醛释放量；</w:t>
            </w:r>
            <w:bookmarkEnd w:id="165"/>
            <w:r/>
            <w:r/>
          </w:p>
          <w:p>
            <w:pPr>
              <w:jc w:val="left"/>
              <w:rPr>
                <w:rFonts w:hint="eastAsia" w:ascii="宋体" w:hAnsi="宋体" w:eastAsia="宋体"/>
                <w:color w:val="auto"/>
                <w:sz w:val="24"/>
                <w:szCs w:val="24"/>
                <w:highlight w:val="none"/>
              </w:rPr>
            </w:pPr>
            <w:r/>
            <w:bookmarkStart w:id="166" w:name="OLE_LINK16"/>
            <w:r>
              <w:rPr>
                <w:rFonts w:hint="eastAsia" w:ascii="宋体" w:hAnsi="宋体" w:eastAsia="宋体"/>
                <w:b/>
                <w:bCs/>
                <w:color w:val="auto"/>
                <w:sz w:val="24"/>
                <w:szCs w:val="24"/>
                <w:highlight w:val="none"/>
              </w:rPr>
              <w:t xml:space="preserve">9)陈列厨：</w:t>
            </w:r>
            <w:bookmarkEnd w:id="166"/>
            <w:r>
              <w:rPr>
                <w:rFonts w:hint="eastAsia" w:ascii="宋体" w:hAnsi="宋体" w:eastAsia="宋体"/>
                <w:color w:val="auto"/>
                <w:sz w:val="24"/>
                <w:szCs w:val="24"/>
                <w:highlight w:val="none"/>
              </w:rPr>
              <w:t xml:space="preserve">符合GB/T3324-2017木家具通用技术条件、GB18584-2001室内装饰装修材料 木家具中有害物质限量要求，其中，形状和位置公差（翘曲度、平整度、邻边垂直度（面板、框架)、位差度、分缝、底脚平稳性、抽屉下垂度、抽屉摆动度）、人造板外观（外表干花、湿花、内表干花、湿花、污斑、表面划痕、表面压痕、色差、鼓泡、龟裂、分层）、五金件外观、木工要求、结构安全性要求、</w:t>
            </w:r>
            <w:r>
              <w:rPr>
                <w:rFonts w:hint="eastAsia" w:ascii="宋体" w:hAnsi="宋体" w:eastAsia="宋体"/>
                <w:color w:val="auto"/>
                <w:sz w:val="24"/>
                <w:szCs w:val="24"/>
                <w:highlight w:val="none"/>
              </w:rPr>
              <w:t xml:space="preserve">软、硬质覆面理化性能（耐冷热循环、耐干热、耐湿热、耐划痕、耐污染性能、表面耐磨性、抗冲击）、金属拉手耐腐蚀性、柜类稳定性（搁板垂直加载稳定性试、非固定柜空载稳定性试验-活动部件关闭时、非固定柜空载稳定性试捡一活动部件打开时、非固定柜加载稳定性试验-活动部件关闭时、非固定柜加载稳定性试验-活动部件打开时）、柜类强度-搁板试验（搁板支承件强度试验）、柜类强度-结构强度试验（结构和底架强度试验、跌落试验）、柜类强度-拉门试验（拉门垂直加载试验、拉门水平加载试验、柜类耐久性-拉门试验（拉门耐久性试验）、甲醛释放量；</w:t>
            </w:r>
            <w:r/>
          </w:p>
          <w:p>
            <w:pPr>
              <w:jc w:val="left"/>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 xml:space="preserve">10)更衣柜：</w:t>
            </w:r>
            <w:bookmarkStart w:id="167" w:name="OLE_LINK17"/>
            <w:r>
              <w:rPr>
                <w:rFonts w:hint="eastAsia" w:ascii="宋体" w:hAnsi="宋体" w:eastAsia="宋体"/>
                <w:color w:val="auto"/>
                <w:sz w:val="24"/>
                <w:szCs w:val="24"/>
                <w:highlight w:val="none"/>
              </w:rPr>
              <w:t xml:space="preserve">符合</w:t>
            </w:r>
            <w:bookmarkEnd w:id="167"/>
            <w:r>
              <w:rPr>
                <w:rFonts w:hint="eastAsia" w:ascii="宋体" w:hAnsi="宋体" w:eastAsia="宋体"/>
                <w:color w:val="auto"/>
                <w:sz w:val="24"/>
                <w:szCs w:val="24"/>
                <w:highlight w:val="none"/>
              </w:rPr>
              <w:t xml:space="preserve">GB/T 3325-2024《金属家具通用技术条件》、GB 18584-2024《家具中有害物质限量》、GB/T 35607-2024《绿色产品评价 家具》要求，其中，主要尺寸及偏差(柜类主要尺寸、尺寸偏差、产品外形尺寸偏差);形状和位置公差(邻边垂直度、翘曲度、平整度、位差度、分缝、推拉构件下垂度、推拉构件摆动度、底脚着地平稳性);外观性能(金属件(电镀件、喷漆(塑)涂层、合金件等其他金属件)、 可触及区域);安</w:t>
            </w:r>
            <w:r>
              <w:rPr>
                <w:rFonts w:hint="eastAsia" w:ascii="宋体" w:hAnsi="宋体" w:eastAsia="宋体"/>
                <w:color w:val="auto"/>
                <w:sz w:val="24"/>
                <w:szCs w:val="24"/>
                <w:highlight w:val="none"/>
              </w:rPr>
              <w:t xml:space="preserve">全性能(结构安全一通用结构安全);理化性能一产品表面理化性能(金 属喷涂(塑)涂层(硬度、冲击强度、耐盐浴、附着力)、金属电镀层(抗盐雾));力学性能(柜架类强度和耐久性(搁板试验-搁板定位试验—水平向外的力、搁板试验-搁板定位 试验一垂直向下的力、搁板试验-搁板弯曲试验、搁板试验-搁板支撑件强度试验、顶板和底 板试验-顶板和底板持续加载试验、顶板和底板试验-顶板和底板静载荷试验、结构强度试验-结构、底架和/或腿强度试验、结构强度试验-跌落试验、开门试验-开门垂直加载试验、开门试验-开门水平加载试验、开门试</w:t>
            </w:r>
            <w:r>
              <w:rPr>
                <w:rFonts w:hint="eastAsia" w:ascii="宋体" w:hAnsi="宋体" w:eastAsia="宋体"/>
                <w:color w:val="auto"/>
                <w:sz w:val="24"/>
                <w:szCs w:val="24"/>
                <w:highlight w:val="none"/>
              </w:rPr>
              <w:t xml:space="preserve">验-开门猛关试验、开门试验-开门耐久性试验、推拉构 件试验-推拉构件强度试验、推拉构件试验-推拉构件耐久性试验、推拉构件试验-推拉构件 猛关试验、推拉构件试验-推拉构件猛开试验、推拉构件试验-推拉构件底板强度试验、锁具、 插销试验-推拉构件锁具、插销的强度试验、锁具、插销试验-开门、翻门、卷门的门锁和插 销强度试验、锁具、插销试验-锁具、插销耐久性试验、柜架类稳定性);有害物质限量(八大重金属可迁移有害元素均未检出);环境属性(产品有害物质(甲醛释放量、苯、甲苯、 二甲苯、总挥发性有机化合物均未检出)) ；</w:t>
            </w:r>
            <w:r/>
          </w:p>
          <w:p>
            <w:pPr>
              <w:jc w:val="left"/>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 xml:space="preserve">11)</w:t>
            </w:r>
            <w:r>
              <w:rPr>
                <w:rFonts w:hint="eastAsia"/>
                <w:color w:val="auto"/>
                <w:highlight w:val="none"/>
              </w:rPr>
              <w:t xml:space="preserve"> </w:t>
            </w:r>
            <w:r>
              <w:rPr>
                <w:rFonts w:hint="eastAsia" w:ascii="宋体" w:hAnsi="宋体" w:eastAsia="宋体"/>
                <w:b/>
                <w:bCs/>
                <w:color w:val="auto"/>
                <w:sz w:val="24"/>
                <w:szCs w:val="24"/>
                <w:highlight w:val="none"/>
              </w:rPr>
              <w:t xml:space="preserve">智慧音乐示教板：</w:t>
            </w:r>
            <w:r>
              <w:rPr>
                <w:rFonts w:hint="eastAsia" w:ascii="宋体" w:hAnsi="宋体" w:eastAsia="宋体"/>
                <w:color w:val="auto"/>
                <w:sz w:val="24"/>
                <w:szCs w:val="24"/>
                <w:highlight w:val="none"/>
              </w:rPr>
              <w:t xml:space="preserve"> </w:t>
            </w:r>
            <w:bookmarkStart w:id="168" w:name="OLE_LINK25"/>
            <w:r>
              <w:rPr>
                <w:rFonts w:hint="eastAsia" w:ascii="宋体" w:hAnsi="宋体" w:eastAsia="宋体"/>
                <w:color w:val="auto"/>
                <w:sz w:val="24"/>
                <w:szCs w:val="24"/>
                <w:highlight w:val="none"/>
              </w:rPr>
              <w:t xml:space="preserve">提供</w:t>
            </w:r>
            <w:bookmarkEnd w:id="168"/>
            <w:r>
              <w:rPr>
                <w:rFonts w:hint="eastAsia" w:ascii="宋体" w:hAnsi="宋体" w:eastAsia="宋体"/>
                <w:color w:val="auto"/>
                <w:sz w:val="24"/>
                <w:szCs w:val="24"/>
                <w:highlight w:val="none"/>
              </w:rPr>
              <w:t xml:space="preserve">主要技术参数及功能（板面、键盘、谱表、LED 显示、音色种类、节奏种类、调式种类、节拍器、速度控制、音量控制、示范曲、录放音、和弦演示、USB接口、蓝牙功能、电子教鞭、MIDI接口、遥控器、音域、音准、外形尺寸）、外观及工艺（整体、版面、外框、功能按键、操作面板、按键、指示灯、数码显示性能、遥控器性能）均合格的检测报告（检测报告必须附带产品图片）；</w:t>
            </w:r>
            <w:r/>
          </w:p>
          <w:p>
            <w:pPr>
              <w:jc w:val="left"/>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 xml:space="preserve">12）学习态度引导仪：</w:t>
            </w:r>
            <w:r>
              <w:rPr>
                <w:rFonts w:hint="eastAsia" w:ascii="宋体" w:hAnsi="宋体" w:eastAsia="宋体"/>
                <w:color w:val="auto"/>
                <w:sz w:val="24"/>
                <w:szCs w:val="24"/>
                <w:highlight w:val="none"/>
              </w:rPr>
              <w:t xml:space="preserve">符合GB 4943.1-2022《音视频、信息技术和通信技术设备第1部分:安全要求》要求，其中：标记和说明、安全防护的强度、过流保护装置、电能量源的防护、抗电强度试验、保护连接系统的电阻预期的接触电压、接触电流和保护导体电流、机械引起的伤害均合格的检测报告（检测报告必须附带产品图片）；</w:t>
            </w:r>
            <w:r/>
          </w:p>
          <w:p>
            <w:pPr>
              <w:jc w:val="left"/>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 xml:space="preserve">13) 智慧音乐教学云平台：</w:t>
            </w:r>
            <w:r>
              <w:rPr>
                <w:rFonts w:hint="eastAsia" w:ascii="宋体" w:hAnsi="宋体" w:eastAsia="宋体"/>
                <w:color w:val="auto"/>
                <w:sz w:val="24"/>
                <w:szCs w:val="24"/>
                <w:highlight w:val="none"/>
              </w:rPr>
              <w:t xml:space="preserve">提供系统工具、MIDI作曲、电子课本、乐理课堂、智能电教、演奏课堂、钢琴书屋、音乐百科、音乐鉴赏、曲苑杂坛、趣味音乐（趣味音乐、拯救苹果、节奏火车、识谱练一练、听音比比看、音色练习、挑战模式、音符翻牌、音符连连看、迎接音符）、</w:t>
            </w:r>
            <w:bookmarkStart w:id="169" w:name="OLE_LINK26"/>
            <w:r>
              <w:rPr>
                <w:rFonts w:hint="eastAsia" w:ascii="宋体" w:hAnsi="宋体" w:eastAsia="宋体"/>
                <w:color w:val="auto"/>
                <w:sz w:val="24"/>
                <w:szCs w:val="24"/>
                <w:highlight w:val="none"/>
              </w:rPr>
              <w:t xml:space="preserve">乐器课堂</w:t>
            </w:r>
            <w:bookmarkEnd w:id="169"/>
            <w:r>
              <w:rPr>
                <w:rFonts w:hint="eastAsia" w:ascii="宋体" w:hAnsi="宋体" w:eastAsia="宋体"/>
                <w:color w:val="auto"/>
                <w:sz w:val="24"/>
                <w:szCs w:val="24"/>
                <w:highlight w:val="none"/>
              </w:rPr>
              <w:t xml:space="preserve">（乐器课堂、竖笛、吉他、葫芦丝、尤克里里、架子鼓、电子鼓击）、教学管理（教学管理、班级管理、作业管理、题库管理、音乐测评、演奏测评、电子教室）、合唱团、教学终端、我的管理均合格的检测报告；</w:t>
            </w:r>
            <w:r/>
          </w:p>
        </w:tc>
      </w:tr>
      <w:tr>
        <w:trPr>
          <w:jc w:val="center"/>
        </w:trPr>
        <w:tc>
          <w:tcPr>
            <w:tcW w:w="456" w:type="dxa"/>
            <w:vAlign w:val="center"/>
            <w:textDirection w:val="lrTb"/>
            <w:noWrap w:val="false"/>
          </w:tcPr>
          <w:p>
            <w:pPr>
              <w:pStyle w:val="906"/>
              <w:numPr>
                <w:ilvl w:val="0"/>
                <w:numId w:val="18"/>
              </w:num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978" w:type="dxa"/>
            <w:vAlign w:val="center"/>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主要原辅材料检测报告</w:t>
            </w:r>
            <w:r/>
          </w:p>
        </w:tc>
        <w:tc>
          <w:tcPr>
            <w:tcW w:w="456" w:type="dxa"/>
            <w:vAlign w:val="center"/>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8</w:t>
            </w:r>
            <w:r/>
          </w:p>
        </w:tc>
        <w:tc>
          <w:tcPr>
            <w:tcW w:w="7583" w:type="dxa"/>
            <w:vAlign w:val="center"/>
            <w:textDirection w:val="lrTb"/>
            <w:noWrap w:val="false"/>
          </w:tcPr>
          <w:p>
            <w:pPr>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投标人（或生产厂家）提供自2024年1月1日起到至今的国家认可的第三方机构出具完整的检测报告：</w:t>
            </w:r>
            <w:r/>
          </w:p>
          <w:p>
            <w:pPr>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包括：理化板、饰面多层板、饰面刨花板、封边条、塑料凳面板、塑粉、钢管、冷轧板、阻尼铰链、阻尼导轨、三合一偏心连接件、锁具、高回弹海绵、皮革、热熔胶，提供相关检测报告（中标后，采购人有权要求中标人提供主要原辅材料检测报告原件供核实），每缺少1份检测报告扣2分，直到扣完为止。检测报告需满足下列要求（须包含但不限于）：</w:t>
            </w:r>
            <w:r/>
          </w:p>
          <w:p>
            <w:pPr>
              <w:jc w:val="left"/>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 xml:space="preserve">1) 理化板：</w:t>
            </w:r>
            <w:r>
              <w:rPr>
                <w:rFonts w:hint="eastAsia" w:ascii="宋体" w:hAnsi="宋体" w:eastAsia="宋体"/>
                <w:color w:val="auto"/>
                <w:sz w:val="24"/>
                <w:szCs w:val="24"/>
                <w:highlight w:val="none"/>
              </w:rPr>
              <w:t xml:space="preserve">符合GB/T 26696-2011《家具用高分子材料台面板》要求，耐香烟灼烧、抗球冲击、耐水蒸气、耐酸碱、耐高温、表面耐干热、耐污染、耐光色牢度、抗老化；GB/T 39600-</w:t>
            </w:r>
            <w:r>
              <w:rPr>
                <w:rFonts w:hint="eastAsia" w:ascii="宋体" w:hAnsi="宋体" w:eastAsia="宋体"/>
                <w:color w:val="auto"/>
                <w:sz w:val="24"/>
                <w:szCs w:val="24"/>
                <w:highlight w:val="none"/>
              </w:rPr>
              <w:t xml:space="preserve">2021《人造板及其制品甲醛释放量分级》要求，甲醛释放量≤0.025mg/m³；GB/T35601-2024《绿色产品评价人造板和木质地板》要求，苯未检出、甲苯未检出、二甲苯未检出；GB 8624-2012《建筑材料及制品燃烧性能分级》要求，燃烧性能B1 级；JC/T 2039-2010《抗菌防霉木质装饰板抗菌性能》要求，肺炎克雷伯氏菌抗菌、金黄色葡萄球菌、大肠杆菌＞99.8%、防霉菌性能：黑曲霉、绿色木霉、出芽短梗霉，0 级；GB/T 20285-2006《材料产烟毒性危险分级》要求，产烟浓度－安全级AQ</w:t>
            </w:r>
            <w:r>
              <w:rPr>
                <w:rFonts w:ascii="Cambria Math" w:hAnsi="Cambria Math" w:eastAsia="宋体" w:cs="Cambria Math"/>
                <w:color w:val="auto"/>
                <w:sz w:val="24"/>
                <w:szCs w:val="24"/>
                <w:highlight w:val="none"/>
              </w:rPr>
              <w:t xml:space="preserve">₂</w:t>
            </w:r>
            <w:r>
              <w:rPr>
                <w:rFonts w:hint="eastAsia" w:ascii="宋体" w:hAnsi="宋体" w:eastAsia="宋体"/>
                <w:color w:val="auto"/>
                <w:sz w:val="24"/>
                <w:szCs w:val="24"/>
                <w:highlight w:val="none"/>
              </w:rPr>
              <w:t xml:space="preserve">≥50.0；麻醉性：实验小鼠30min 染毒期内无死亡（包括染毒后1h 内）；刺激性：实验小鼠在染毒期后3 天内平均体重恢复；</w:t>
            </w:r>
            <w:r/>
          </w:p>
          <w:p>
            <w:pPr>
              <w:jc w:val="left"/>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 xml:space="preserve">2)饰面多层板：</w:t>
            </w:r>
            <w:r>
              <w:rPr>
                <w:rFonts w:hint="eastAsia" w:ascii="宋体" w:hAnsi="宋体" w:eastAsia="宋体"/>
                <w:color w:val="auto"/>
                <w:sz w:val="24"/>
                <w:szCs w:val="24"/>
                <w:highlight w:val="none"/>
              </w:rPr>
              <w:t xml:space="preserve">符合GB/T 39600-2021《人造板及其制品甲醛释放量分级》、GB 8624-2012《建筑材料及制品燃烧性能分级》、GB 18580-2017《室内装饰装修材料人造板及其制品中甲醛释</w:t>
            </w:r>
            <w:r>
              <w:rPr>
                <w:rFonts w:hint="eastAsia" w:ascii="宋体" w:hAnsi="宋体" w:eastAsia="宋体"/>
                <w:color w:val="auto"/>
                <w:sz w:val="24"/>
                <w:szCs w:val="24"/>
                <w:highlight w:val="none"/>
              </w:rPr>
              <w:t xml:space="preserve">放限量》、GB/T 35601-2024《绿色产品评价 人造板和木质地板》、GB/T 34722-2025《浸渍胶膜纸饰面胶合板和细木工板》要求，其中，外观质量（表面无划痕、无压痕、无透底、无纸板错位、颜色不匹配、 光泽不均、无鼓包显现）；理化性能（表面耐磨、表面耐污染腐蚀、表面耐龟裂达到4 级以上；表面胶合强度≥0.6MPa；横向静曲强度的平均值≥19Mpa、最小值≥18 Mpa）；甲醛释放量≤0.025mg/m³,挥发性有机物（TVOC）≤70μg/m³；平板状建筑材料及制品的燃烧性能等级B1(B)级；</w:t>
            </w:r>
            <w:r/>
          </w:p>
          <w:p>
            <w:pPr>
              <w:jc w:val="left"/>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 xml:space="preserve">3)饰面刨花板：</w:t>
            </w:r>
            <w:r>
              <w:rPr>
                <w:rFonts w:hint="eastAsia" w:ascii="宋体" w:hAnsi="宋体" w:eastAsia="宋体"/>
                <w:color w:val="auto"/>
                <w:sz w:val="24"/>
                <w:szCs w:val="24"/>
                <w:highlight w:val="none"/>
              </w:rPr>
              <w:t xml:space="preserve">符合GB/T 39600-2021《人造板及其制品甲醛释放量分级》、GB/T 17657-2022《人造板及饰面人造板理化性能试验方法》、GB/T 35601-2024《绿色产品评价 人造板和木质地板》、GB/T 34722-2025《浸渍胶膜纸饰面胶合板和细木工板》要求，其中，静曲强度≥20Mpa，板面握螺钉力≥1400N、表面胶合强度≥1Mpa、甲醛释放量≤0.025mg/m³，苯、甲苯、二甲苯、TVOC均未检出；</w:t>
            </w:r>
            <w:r/>
          </w:p>
          <w:p>
            <w:pPr>
              <w:jc w:val="left"/>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 xml:space="preserve">4)封边条：</w:t>
            </w:r>
            <w:r>
              <w:rPr>
                <w:rFonts w:hint="eastAsia" w:ascii="宋体" w:hAnsi="宋体" w:eastAsia="宋体"/>
                <w:color w:val="auto"/>
                <w:sz w:val="24"/>
                <w:szCs w:val="24"/>
                <w:highlight w:val="none"/>
              </w:rPr>
              <w:t xml:space="preserve">符合QB/T 4463《家具用封边条技术要求》要求，其中，可迁移元素(可溶性重金展)：铅(Pb)≤90mg/kg、镉（Cd）≤75mg/kg、铬Cr≤60mg/kg，汞(Hg)≤60mg/kg、砷(AS)≤25mg/kg、钡(Ba)≤1000mg/kg、锑(Sb)≤60mg/kg、硒(Se)≤500mg/kg，邻苯二甲酸酯DBP、BBP、DEHP、DNOP、DINP、DIDP)的总量≤0.1%要求。不含多溴联苯(PBB)及多溴联苯醚(PBDE)）；</w:t>
            </w:r>
            <w:r/>
          </w:p>
          <w:p>
            <w:pPr>
              <w:jc w:val="left"/>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 xml:space="preserve">5)塑料凳面板：</w:t>
            </w:r>
            <w:r>
              <w:rPr>
                <w:rFonts w:hint="eastAsia" w:ascii="宋体" w:hAnsi="宋体" w:eastAsia="宋体"/>
                <w:color w:val="auto"/>
                <w:sz w:val="24"/>
                <w:szCs w:val="24"/>
                <w:highlight w:val="none"/>
              </w:rPr>
              <w:t xml:space="preserve">符合GB/T 32487-2016《塑料家具通用技术条件》要求，外观、耐老化性500h.冲击强度的保持率≥60%；外观颜色变色评级≥3级、邻苯二甲酸酯、多溴联苯、多溴二苯醚；ISO21702:2019《塑料和其他非多孔表面的抗病毒活性测量》要求， 乙型流感；GB/T12000-2017《塑料暴露于湿热、水喷雾和盐雾中影响的测定》要求，耐盐雾200h；GB/T33</w:t>
            </w:r>
            <w:r>
              <w:rPr>
                <w:rFonts w:hint="eastAsia" w:ascii="宋体" w:hAnsi="宋体" w:eastAsia="宋体"/>
                <w:color w:val="auto"/>
                <w:sz w:val="24"/>
                <w:szCs w:val="24"/>
                <w:highlight w:val="none"/>
              </w:rPr>
              <w:t xml:space="preserve">98.1-2008《塑料硬度测定第1 部分：球压痕法》要求，硬度（球压痕法）；GB/T 3682.1-2018《塑料热塑性塑料熔体质量流动速率（MFR）和熔体体积流动速率MVR）的测定第1 部分：标准方法》要求，熔体质量流动速率；GB/T 31402-2023《塑料和其他无孔材料表面抗菌活性的测定》要求，金黄色葡萄球菌、肺炎克雷伯氏菌、表皮葡萄球菌、大肠杆菌、宋内氏志贺氏菌抗菌效果99.22%；GB/T 24128-2018《塑料防霉剂的防霉效果评估》要求，防霉菌性能：黑曲霉、绿色木霉、出芽短梗霉，0 级；</w:t>
            </w:r>
            <w:r/>
          </w:p>
          <w:p>
            <w:pPr>
              <w:jc w:val="left"/>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 xml:space="preserve">6)塑粉：</w:t>
            </w:r>
            <w:r>
              <w:rPr>
                <w:rFonts w:hint="eastAsia" w:ascii="宋体" w:hAnsi="宋体" w:eastAsia="宋体"/>
                <w:color w:val="auto"/>
                <w:sz w:val="24"/>
                <w:szCs w:val="24"/>
                <w:highlight w:val="none"/>
              </w:rPr>
              <w:t xml:space="preserve">符合符合</w:t>
            </w:r>
            <w:bookmarkStart w:id="170" w:name="OLE_LINK31"/>
            <w:r>
              <w:rPr>
                <w:rFonts w:ascii="宋体" w:hAnsi="宋体" w:eastAsia="宋体"/>
                <w:color w:val="auto"/>
                <w:sz w:val="24"/>
                <w:szCs w:val="24"/>
                <w:highlight w:val="none"/>
              </w:rPr>
              <w:t xml:space="preserve">HG/T 2006</w:t>
            </w:r>
            <w:r>
              <w:rPr>
                <w:color w:val="auto"/>
                <w:highlight w:val="none"/>
              </w:rPr>
              <w:t xml:space="preserve"> </w:t>
            </w:r>
            <w:r>
              <w:rPr>
                <w:rFonts w:ascii="宋体" w:hAnsi="宋体" w:eastAsia="宋体"/>
                <w:color w:val="auto"/>
                <w:sz w:val="24"/>
                <w:szCs w:val="24"/>
                <w:highlight w:val="none"/>
              </w:rPr>
              <w:t xml:space="preserve">-2022</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热固性和热塑性粉末涂料</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GB18584</w:t>
            </w:r>
            <w:r>
              <w:rPr>
                <w:rFonts w:hint="eastAsia" w:ascii="宋体" w:hAnsi="宋体" w:eastAsia="宋体"/>
                <w:color w:val="auto"/>
                <w:sz w:val="24"/>
                <w:szCs w:val="24"/>
                <w:highlight w:val="none"/>
              </w:rPr>
              <w:t xml:space="preserve">-2024《</w:t>
            </w:r>
            <w:r>
              <w:rPr>
                <w:rFonts w:ascii="宋体" w:hAnsi="宋体" w:eastAsia="宋体"/>
                <w:color w:val="auto"/>
                <w:sz w:val="24"/>
                <w:szCs w:val="24"/>
                <w:highlight w:val="none"/>
              </w:rPr>
              <w:t xml:space="preserve">家具中有害物质限量</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GB/T 40906</w:t>
            </w:r>
            <w:r>
              <w:rPr>
                <w:rFonts w:hint="eastAsia" w:ascii="宋体" w:hAnsi="宋体" w:eastAsia="宋体"/>
                <w:color w:val="auto"/>
                <w:sz w:val="24"/>
                <w:szCs w:val="24"/>
                <w:highlight w:val="none"/>
              </w:rPr>
              <w:t xml:space="preserve">-2021《</w:t>
            </w:r>
            <w:r>
              <w:rPr>
                <w:rFonts w:ascii="宋体" w:hAnsi="宋体" w:eastAsia="宋体"/>
                <w:color w:val="auto"/>
                <w:sz w:val="24"/>
                <w:szCs w:val="24"/>
                <w:highlight w:val="none"/>
              </w:rPr>
              <w:t xml:space="preserve">家具产品及其材料中禁限用物质测定方法 邻苯二甲酸酯增塑剂</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GB/T 23991</w:t>
            </w:r>
            <w:bookmarkEnd w:id="170"/>
            <w:r>
              <w:rPr>
                <w:rFonts w:hint="eastAsia" w:ascii="宋体" w:hAnsi="宋体" w:eastAsia="宋体"/>
                <w:color w:val="auto"/>
                <w:sz w:val="24"/>
                <w:szCs w:val="24"/>
                <w:highlight w:val="none"/>
              </w:rPr>
              <w:t xml:space="preserve">-2009《</w:t>
            </w:r>
            <w:r>
              <w:rPr>
                <w:rFonts w:ascii="宋体" w:hAnsi="宋体" w:eastAsia="宋体"/>
                <w:color w:val="auto"/>
                <w:sz w:val="24"/>
                <w:szCs w:val="24"/>
                <w:highlight w:val="none"/>
              </w:rPr>
              <w:t xml:space="preserve">涂料中可溶性有害元素含量的测定</w:t>
            </w:r>
            <w:r>
              <w:rPr>
                <w:rFonts w:hint="eastAsia" w:ascii="宋体" w:hAnsi="宋体" w:eastAsia="宋体"/>
                <w:color w:val="auto"/>
                <w:sz w:val="24"/>
                <w:szCs w:val="24"/>
                <w:highlight w:val="none"/>
              </w:rPr>
              <w:t xml:space="preserve">》要求，其中，干附着力≤</w:t>
            </w: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级，邻苯二甲酸（</w:t>
            </w:r>
            <w:r>
              <w:rPr>
                <w:rFonts w:ascii="宋体" w:hAnsi="宋体" w:eastAsia="宋体"/>
                <w:color w:val="auto"/>
                <w:sz w:val="24"/>
                <w:szCs w:val="24"/>
                <w:highlight w:val="none"/>
              </w:rPr>
              <w:t xml:space="preserve">DBP</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BBP</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DEHP</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DNOP</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DINP</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DIDP</w:t>
            </w:r>
            <w:r>
              <w:rPr>
                <w:rFonts w:hint="eastAsia" w:ascii="宋体" w:hAnsi="宋体" w:eastAsia="宋体"/>
                <w:color w:val="auto"/>
                <w:sz w:val="24"/>
                <w:szCs w:val="24"/>
                <w:highlight w:val="none"/>
              </w:rPr>
              <w:t xml:space="preserve">限量值：总量≤</w:t>
            </w:r>
            <w:r>
              <w:rPr>
                <w:rFonts w:ascii="宋体" w:hAnsi="宋体" w:eastAsia="宋体"/>
                <w:color w:val="auto"/>
                <w:sz w:val="24"/>
                <w:szCs w:val="24"/>
                <w:highlight w:val="none"/>
              </w:rPr>
              <w:t xml:space="preserve">0.1%</w:t>
            </w:r>
            <w:r>
              <w:rPr>
                <w:rFonts w:hint="eastAsia" w:ascii="宋体" w:hAnsi="宋体" w:eastAsia="宋体"/>
                <w:color w:val="auto"/>
                <w:sz w:val="24"/>
                <w:szCs w:val="24"/>
                <w:highlight w:val="none"/>
              </w:rPr>
              <w:t xml:space="preserve">）可溶性元素含量限量值（锑≤</w:t>
            </w:r>
            <w:r>
              <w:rPr>
                <w:rFonts w:ascii="宋体" w:hAnsi="宋体" w:eastAsia="宋体"/>
                <w:color w:val="auto"/>
                <w:sz w:val="24"/>
                <w:szCs w:val="24"/>
                <w:highlight w:val="none"/>
              </w:rPr>
              <w:t xml:space="preserve">60mg/kg</w:t>
            </w:r>
            <w:r>
              <w:rPr>
                <w:rFonts w:hint="eastAsia" w:ascii="宋体" w:hAnsi="宋体" w:eastAsia="宋体"/>
                <w:color w:val="auto"/>
                <w:sz w:val="24"/>
                <w:szCs w:val="24"/>
                <w:highlight w:val="none"/>
              </w:rPr>
              <w:t xml:space="preserve">、砷≤</w:t>
            </w:r>
            <w:r>
              <w:rPr>
                <w:rFonts w:ascii="宋体" w:hAnsi="宋体" w:eastAsia="宋体"/>
                <w:color w:val="auto"/>
                <w:sz w:val="24"/>
                <w:szCs w:val="24"/>
                <w:highlight w:val="none"/>
              </w:rPr>
              <w:t xml:space="preserve">25mg/kg</w:t>
            </w:r>
            <w:r>
              <w:rPr>
                <w:rFonts w:hint="eastAsia" w:ascii="宋体" w:hAnsi="宋体" w:eastAsia="宋体"/>
                <w:color w:val="auto"/>
                <w:sz w:val="24"/>
                <w:szCs w:val="24"/>
                <w:highlight w:val="none"/>
              </w:rPr>
              <w:t xml:space="preserve">、钡≤</w:t>
            </w:r>
            <w:r>
              <w:rPr>
                <w:rFonts w:ascii="宋体" w:hAnsi="宋体" w:eastAsia="宋体"/>
                <w:color w:val="auto"/>
                <w:sz w:val="24"/>
                <w:szCs w:val="24"/>
                <w:highlight w:val="none"/>
              </w:rPr>
              <w:t xml:space="preserve">1000mg/kg</w:t>
            </w:r>
            <w:r>
              <w:rPr>
                <w:rFonts w:hint="eastAsia" w:ascii="宋体" w:hAnsi="宋体" w:eastAsia="宋体"/>
                <w:color w:val="auto"/>
                <w:sz w:val="24"/>
                <w:szCs w:val="24"/>
                <w:highlight w:val="none"/>
              </w:rPr>
              <w:t xml:space="preserve">、镉≤</w:t>
            </w:r>
            <w:r>
              <w:rPr>
                <w:rFonts w:ascii="宋体" w:hAnsi="宋体" w:eastAsia="宋体"/>
                <w:color w:val="auto"/>
                <w:sz w:val="24"/>
                <w:szCs w:val="24"/>
                <w:highlight w:val="none"/>
              </w:rPr>
              <w:t xml:space="preserve">75mg/kg</w:t>
            </w:r>
            <w:r>
              <w:rPr>
                <w:rFonts w:hint="eastAsia" w:ascii="宋体" w:hAnsi="宋体" w:eastAsia="宋体"/>
                <w:color w:val="auto"/>
                <w:sz w:val="24"/>
                <w:szCs w:val="24"/>
                <w:highlight w:val="none"/>
              </w:rPr>
              <w:t xml:space="preserve">、铬≤</w:t>
            </w:r>
            <w:r>
              <w:rPr>
                <w:rFonts w:ascii="宋体" w:hAnsi="宋体" w:eastAsia="宋体"/>
                <w:color w:val="auto"/>
                <w:sz w:val="24"/>
                <w:szCs w:val="24"/>
                <w:highlight w:val="none"/>
              </w:rPr>
              <w:t xml:space="preserve">60mg/kg</w:t>
            </w:r>
            <w:r>
              <w:rPr>
                <w:rFonts w:hint="eastAsia" w:ascii="宋体" w:hAnsi="宋体" w:eastAsia="宋体"/>
                <w:color w:val="auto"/>
                <w:sz w:val="24"/>
                <w:szCs w:val="24"/>
                <w:highlight w:val="none"/>
              </w:rPr>
              <w:t xml:space="preserve">、铅≤</w:t>
            </w:r>
            <w:r>
              <w:rPr>
                <w:rFonts w:ascii="宋体" w:hAnsi="宋体" w:eastAsia="宋体"/>
                <w:color w:val="auto"/>
                <w:sz w:val="24"/>
                <w:szCs w:val="24"/>
                <w:highlight w:val="none"/>
              </w:rPr>
              <w:t xml:space="preserve">90mg/kg</w:t>
            </w:r>
            <w:r>
              <w:rPr>
                <w:rFonts w:hint="eastAsia" w:ascii="宋体" w:hAnsi="宋体" w:eastAsia="宋体"/>
                <w:color w:val="auto"/>
                <w:sz w:val="24"/>
                <w:szCs w:val="24"/>
                <w:highlight w:val="none"/>
              </w:rPr>
              <w:t xml:space="preserve">、汞≤</w:t>
            </w:r>
            <w:r>
              <w:rPr>
                <w:rFonts w:ascii="宋体" w:hAnsi="宋体" w:eastAsia="宋体"/>
                <w:color w:val="auto"/>
                <w:sz w:val="24"/>
                <w:szCs w:val="24"/>
                <w:highlight w:val="none"/>
              </w:rPr>
              <w:t xml:space="preserve">60mg/kg</w:t>
            </w:r>
            <w:r>
              <w:rPr>
                <w:rFonts w:hint="eastAsia" w:ascii="宋体" w:hAnsi="宋体" w:eastAsia="宋体"/>
                <w:color w:val="auto"/>
                <w:sz w:val="24"/>
                <w:szCs w:val="24"/>
                <w:highlight w:val="none"/>
              </w:rPr>
              <w:t xml:space="preserve">、硒≤</w:t>
            </w:r>
            <w:r>
              <w:rPr>
                <w:rFonts w:ascii="宋体" w:hAnsi="宋体" w:eastAsia="宋体"/>
                <w:color w:val="auto"/>
                <w:sz w:val="24"/>
                <w:szCs w:val="24"/>
                <w:highlight w:val="none"/>
              </w:rPr>
              <w:t xml:space="preserve">500mg/kg</w:t>
            </w:r>
            <w:r>
              <w:rPr>
                <w:rFonts w:hint="eastAsia" w:ascii="宋体" w:hAnsi="宋体" w:eastAsia="宋体"/>
                <w:color w:val="auto"/>
                <w:sz w:val="24"/>
                <w:szCs w:val="24"/>
                <w:highlight w:val="none"/>
              </w:rPr>
              <w:t xml:space="preserve">均未检出的检测报告。</w:t>
            </w:r>
            <w:r/>
          </w:p>
          <w:p>
            <w:pPr>
              <w:jc w:val="left"/>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 xml:space="preserve">7)钢管：</w:t>
            </w:r>
            <w:r>
              <w:rPr>
                <w:rFonts w:hint="eastAsia" w:ascii="宋体" w:hAnsi="宋体" w:eastAsia="宋体"/>
                <w:color w:val="auto"/>
                <w:sz w:val="24"/>
                <w:szCs w:val="24"/>
                <w:highlight w:val="none"/>
              </w:rPr>
              <w:t xml:space="preserve">符合GB/T 3325-2024《金属家具通用技术条件》要求，其中，金属喷漆（塑）涂层耐盐浴；附着力不低于2 级,冲击高度400mm,应无剥落、裂纹、皱纹的；</w:t>
            </w:r>
            <w:r/>
          </w:p>
          <w:p>
            <w:pPr>
              <w:jc w:val="left"/>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 xml:space="preserve">8)冷轧板：</w:t>
            </w:r>
            <w:r>
              <w:rPr>
                <w:rFonts w:hint="eastAsia" w:ascii="宋体" w:hAnsi="宋体" w:eastAsia="宋体"/>
                <w:color w:val="auto"/>
                <w:sz w:val="24"/>
                <w:szCs w:val="24"/>
                <w:highlight w:val="none"/>
              </w:rPr>
              <w:t xml:space="preserve">符合GB/T 3325-2024《金属家具通用技术条件》要求，其中，金属喷漆（塑）涂层的耐盐浴100h，应无鼓泡、锈蚀、剥落和起皱等现象；附着力不低于2 级,冲击高度400mm,应无剥落、裂纹、皱纹；硬度2H，无塑性变形和内聚破坏；</w:t>
            </w:r>
            <w:r/>
          </w:p>
          <w:p>
            <w:pPr>
              <w:jc w:val="left"/>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 xml:space="preserve">9)阻尼铰链：</w:t>
            </w:r>
            <w:r>
              <w:rPr>
                <w:rFonts w:hint="eastAsia" w:ascii="宋体" w:hAnsi="宋体" w:eastAsia="宋体"/>
                <w:color w:val="auto"/>
                <w:sz w:val="24"/>
                <w:szCs w:val="24"/>
                <w:highlight w:val="none"/>
              </w:rPr>
              <w:t xml:space="preserve">符合QB/T 3827-1999《轻工产品金属镀层和化学处理层的耐腐蚀试验方法 乙酸盐雾试验(ASS)法》、QB/T 2189-2013《家具五金 杯状暗铰链》、QB/T 3826-1999《轻工产品金属镀层和化学处理层的耐腐蚀试验方法 中性盐雾试验(NSS)法》、QB/T 3832-1999《轻工产品金属镀层腐蚀试验结果的评价》要求，其中，垂直静载荷、水平静载荷均合格，金属表面耐腐蚀-中性盐雾试验360h达到10级；</w:t>
            </w:r>
            <w:r/>
          </w:p>
          <w:p>
            <w:pPr>
              <w:jc w:val="left"/>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 xml:space="preserve">10)</w:t>
            </w:r>
            <w:r>
              <w:rPr>
                <w:rFonts w:hint="eastAsia" w:ascii="宋体" w:hAnsi="宋体" w:eastAsia="宋体"/>
                <w:b/>
                <w:bCs/>
                <w:color w:val="auto"/>
                <w:sz w:val="24"/>
                <w:szCs w:val="24"/>
                <w:highlight w:val="none"/>
              </w:rPr>
              <w:tab/>
            </w:r>
            <w:r>
              <w:rPr>
                <w:rFonts w:hint="eastAsia" w:ascii="宋体" w:hAnsi="宋体" w:eastAsia="宋体"/>
                <w:b/>
                <w:bCs/>
                <w:color w:val="auto"/>
                <w:sz w:val="24"/>
                <w:szCs w:val="24"/>
                <w:highlight w:val="none"/>
              </w:rPr>
              <w:t xml:space="preserve">阻尼导轨：</w:t>
            </w:r>
            <w:r>
              <w:rPr>
                <w:rFonts w:hint="eastAsia" w:ascii="宋体" w:hAnsi="宋体" w:eastAsia="宋体"/>
                <w:color w:val="auto"/>
                <w:sz w:val="24"/>
                <w:szCs w:val="24"/>
                <w:highlight w:val="none"/>
              </w:rPr>
              <w:t xml:space="preserve">符合QB/T 3827-1999《轻工产品金属镀层和化学处理层的耐腐蚀试验方法 乙酸盐雾试验(ASS)法》、QB/T 2</w:t>
            </w:r>
            <w:r>
              <w:rPr>
                <w:rFonts w:hint="eastAsia" w:ascii="宋体" w:hAnsi="宋体" w:eastAsia="宋体"/>
                <w:color w:val="auto"/>
                <w:sz w:val="24"/>
                <w:szCs w:val="24"/>
                <w:highlight w:val="none"/>
              </w:rPr>
              <w:t xml:space="preserve">454-2013《家具五金 抽屉导轨》、QB/T 3826-1999《轻工产品金属镀层和化学处理层的耐腐蚀试验方法 中性盐雾试验(NSS)法》、QB/T 3832-1999《轻工产品金属镀层腐蚀试验结果的评价》要求，其中，过载（垂直向下静载荷、水平侧向静载荷、猛关或猛开）均合格，功能（操作力、抽屉导轨组件底部变形、抽屉导轨组件结构强度、耐久性、垂直向下静载荷、水平侧向静载荷、拉出安全性、猛关或猛开、下沉量）均合格，金属表面耐腐蚀中性盐雾试验360h达到10级、金属表面耐腐蚀乙酸盐雾试验120h达到10级的；</w:t>
            </w:r>
            <w:r/>
          </w:p>
          <w:p>
            <w:pPr>
              <w:jc w:val="left"/>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 xml:space="preserve">11)三合一偏心连接件：</w:t>
            </w:r>
            <w:r>
              <w:rPr>
                <w:rFonts w:hint="eastAsia" w:ascii="宋体" w:hAnsi="宋体" w:eastAsia="宋体"/>
                <w:color w:val="auto"/>
                <w:sz w:val="24"/>
                <w:szCs w:val="24"/>
                <w:highlight w:val="none"/>
              </w:rPr>
              <w:t xml:space="preserve">符合GB/T 28203-2011《家具用连接件技术要求及试验方法》要求，其中，三合一偏心连接件偏心体抗压强度≥280N，三合一偏心连接件预埋螺母抗拉强度应 ≥600N，三合一偏心连接件中连接螺杆螺纹与预埋螺母的抗拉强度应 ≥800N，三合一偏心连接件中偏心体与连接螺杆的扭矩≥10N·m的；</w:t>
            </w:r>
            <w:r/>
          </w:p>
          <w:p>
            <w:pPr>
              <w:jc w:val="left"/>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 xml:space="preserve">12)</w:t>
            </w:r>
            <w:r>
              <w:rPr>
                <w:rFonts w:hint="eastAsia" w:ascii="宋体" w:hAnsi="宋体" w:eastAsia="宋体"/>
                <w:b/>
                <w:bCs/>
                <w:color w:val="auto"/>
                <w:sz w:val="24"/>
                <w:szCs w:val="24"/>
                <w:highlight w:val="none"/>
              </w:rPr>
              <w:tab/>
            </w:r>
            <w:r>
              <w:rPr>
                <w:rFonts w:hint="eastAsia" w:ascii="宋体" w:hAnsi="宋体" w:eastAsia="宋体"/>
                <w:b/>
                <w:bCs/>
                <w:color w:val="auto"/>
                <w:sz w:val="24"/>
                <w:szCs w:val="24"/>
                <w:highlight w:val="none"/>
              </w:rPr>
              <w:t xml:space="preserve">锁具：</w:t>
            </w:r>
            <w:r>
              <w:rPr>
                <w:rFonts w:hint="eastAsia" w:ascii="宋体" w:hAnsi="宋体" w:eastAsia="宋体"/>
                <w:color w:val="auto"/>
                <w:sz w:val="24"/>
                <w:szCs w:val="24"/>
                <w:highlight w:val="none"/>
              </w:rPr>
              <w:t xml:space="preserve">符合QB/T 3827-1999《轻工产品金属镀层和化学处理层的耐腐蚀试验方法 乙酸盐雾试验(ASS)法》、QB/T 1621-2015《家具锁》、QB/T 3826-1999《轻工产品金属镀层和化学处理层的耐腐蚀试验方法 中性盐雾试验(NSS)法》、QB/T 3832-1999《轻工产品金属镀层腐蚀试验结果的评价》标准，其中金属表面耐腐蚀-中性盐雾试验300h达到10级、乙酸盐雾试验100h达到10级；</w:t>
            </w:r>
            <w:r/>
          </w:p>
          <w:p>
            <w:pPr>
              <w:jc w:val="left"/>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 xml:space="preserve">13)高回弹海绵：</w:t>
            </w:r>
            <w:r>
              <w:rPr>
                <w:rFonts w:hint="eastAsia" w:ascii="宋体" w:hAnsi="宋体" w:eastAsia="宋体"/>
                <w:color w:val="auto"/>
                <w:sz w:val="24"/>
                <w:szCs w:val="24"/>
                <w:highlight w:val="none"/>
              </w:rPr>
              <w:t xml:space="preserve">符合QB/T 2280-2016《办公家具 办公椅》要求，其中，回弹率≥35%，75%压缩永久变形≤7%，座面密度&gt;30kg/m³；</w:t>
            </w:r>
            <w:r/>
          </w:p>
          <w:p>
            <w:pPr>
              <w:jc w:val="left"/>
              <w:rPr>
                <w:rFonts w:hint="eastAsia" w:ascii="宋体" w:hAnsi="宋体" w:eastAsia="宋体"/>
                <w:color w:val="auto"/>
                <w:sz w:val="24"/>
                <w:szCs w:val="24"/>
                <w:highlight w:val="none"/>
              </w:rPr>
            </w:pPr>
            <w:r/>
            <w:bookmarkStart w:id="171" w:name="OLE_LINK18"/>
            <w:r>
              <w:rPr>
                <w:rFonts w:hint="eastAsia" w:ascii="宋体" w:hAnsi="宋体" w:eastAsia="宋体"/>
                <w:b/>
                <w:bCs/>
                <w:color w:val="auto"/>
                <w:sz w:val="24"/>
                <w:szCs w:val="24"/>
                <w:highlight w:val="none"/>
              </w:rPr>
              <w:t xml:space="preserve">14)</w:t>
            </w:r>
            <w:r>
              <w:rPr>
                <w:rFonts w:hint="eastAsia" w:ascii="宋体" w:hAnsi="宋体" w:eastAsia="宋体"/>
                <w:b/>
                <w:bCs/>
                <w:color w:val="auto"/>
                <w:sz w:val="24"/>
                <w:szCs w:val="24"/>
                <w:highlight w:val="none"/>
              </w:rPr>
              <w:tab/>
            </w:r>
            <w:r>
              <w:rPr>
                <w:rFonts w:hint="eastAsia" w:ascii="宋体" w:hAnsi="宋体" w:eastAsia="宋体"/>
                <w:b/>
                <w:bCs/>
                <w:color w:val="auto"/>
                <w:sz w:val="24"/>
                <w:szCs w:val="24"/>
                <w:highlight w:val="none"/>
              </w:rPr>
              <w:t xml:space="preserve">皮革：</w:t>
            </w:r>
            <w:bookmarkEnd w:id="171"/>
            <w:r>
              <w:rPr>
                <w:rFonts w:hint="eastAsia" w:ascii="宋体" w:hAnsi="宋体" w:eastAsia="宋体"/>
                <w:color w:val="auto"/>
                <w:sz w:val="24"/>
                <w:szCs w:val="24"/>
                <w:highlight w:val="none"/>
              </w:rPr>
              <w:t xml:space="preserve">符合GB/T 16799-2018《家具用皮革》、QB/T2709-2005《皮革物理和机械试验厚度的测定》 QB/ T2710-2018《皮革物理和机械试验抗张强度和伸长率的测定》要求，其中，摩擦色牢度≥4级， 耐折牢度（50000次)无裂纹， 撕裂力≥80N，伸长率≥60%，禁用偶氮染料</w:t>
            </w:r>
            <w:bookmarkStart w:id="172" w:name="OLE_LINK19"/>
            <w:r>
              <w:rPr>
                <w:rFonts w:hint="eastAsia" w:ascii="宋体" w:hAnsi="宋体" w:eastAsia="宋体"/>
                <w:color w:val="auto"/>
                <w:sz w:val="24"/>
                <w:szCs w:val="24"/>
                <w:highlight w:val="none"/>
              </w:rPr>
              <w:t xml:space="preserve">≤</w:t>
            </w:r>
            <w:bookmarkEnd w:id="172"/>
            <w:r>
              <w:rPr>
                <w:rFonts w:hint="eastAsia" w:ascii="宋体" w:hAnsi="宋体" w:eastAsia="宋体"/>
                <w:color w:val="auto"/>
                <w:sz w:val="24"/>
                <w:szCs w:val="24"/>
                <w:highlight w:val="none"/>
              </w:rPr>
              <w:t xml:space="preserve">20mg/kg，游离甲醛≤20mg/kg，挥发性有机化合物（VOC）≤30mg/kg；</w:t>
            </w:r>
            <w:r/>
          </w:p>
          <w:p>
            <w:pPr>
              <w:jc w:val="left"/>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 xml:space="preserve">15)</w:t>
            </w:r>
            <w:r>
              <w:rPr>
                <w:rFonts w:hint="eastAsia" w:ascii="宋体" w:hAnsi="宋体" w:eastAsia="宋体"/>
                <w:b/>
                <w:bCs/>
                <w:color w:val="auto"/>
                <w:sz w:val="24"/>
                <w:szCs w:val="24"/>
                <w:highlight w:val="none"/>
              </w:rPr>
              <w:tab/>
            </w:r>
            <w:r>
              <w:rPr>
                <w:rFonts w:hint="eastAsia" w:ascii="宋体" w:hAnsi="宋体" w:eastAsia="宋体"/>
                <w:b/>
                <w:bCs/>
                <w:color w:val="auto"/>
                <w:sz w:val="24"/>
                <w:szCs w:val="24"/>
                <w:highlight w:val="none"/>
              </w:rPr>
              <w:t xml:space="preserve">热熔胶：</w:t>
            </w:r>
            <w:r>
              <w:rPr>
                <w:rFonts w:hint="eastAsia" w:ascii="宋体" w:hAnsi="宋体" w:eastAsia="宋体"/>
                <w:color w:val="auto"/>
                <w:sz w:val="24"/>
                <w:szCs w:val="24"/>
                <w:highlight w:val="none"/>
              </w:rPr>
              <w:t xml:space="preserve">符合GB 33372-2020《胶粘剂挥发性有机化合物限量》要求，其中，VOC含量限量≤2g/kg。</w:t>
            </w:r>
            <w:r/>
          </w:p>
        </w:tc>
      </w:tr>
      <w:tr>
        <w:trPr>
          <w:jc w:val="center"/>
        </w:trPr>
        <w:tc>
          <w:tcPr>
            <w:tcW w:w="456" w:type="dxa"/>
            <w:vAlign w:val="center"/>
            <w:textDirection w:val="lrTb"/>
            <w:noWrap w:val="false"/>
          </w:tcPr>
          <w:p>
            <w:pPr>
              <w:pStyle w:val="906"/>
              <w:numPr>
                <w:ilvl w:val="0"/>
                <w:numId w:val="18"/>
              </w:num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978" w:type="dxa"/>
            <w:vAlign w:val="center"/>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所投产品的样品</w:t>
            </w:r>
            <w:r/>
          </w:p>
        </w:tc>
        <w:tc>
          <w:tcPr>
            <w:tcW w:w="456" w:type="dxa"/>
            <w:vAlign w:val="center"/>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8</w:t>
            </w:r>
            <w:r/>
          </w:p>
        </w:tc>
        <w:tc>
          <w:tcPr>
            <w:tcW w:w="7583" w:type="dxa"/>
            <w:vAlign w:val="center"/>
            <w:textDirection w:val="lrTb"/>
            <w:noWrap w:val="false"/>
          </w:tcPr>
          <w:p>
            <w:pPr>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评委根据投标人提供实物样品（见样品清单）的外观、性能等方面是否符合招标清单要求进行评审：</w:t>
            </w:r>
            <w:r/>
          </w:p>
          <w:p>
            <w:pPr>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外观整洁规范、无任何瑕疵，完全符合招标要求；性能优异，各项指标均达到或优于招标标准，能充分满足项目实际使用需求的得8分；</w:t>
            </w:r>
            <w:r/>
          </w:p>
          <w:p>
            <w:pPr>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外观基本符合招标要求，无明显瑕疵；性能基本达标，核心功能可正常使用，无重大性能偏差的得6分；</w:t>
            </w:r>
            <w:r/>
          </w:p>
          <w:p>
            <w:pPr>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外观存在一定瑕疵，但不影响基本观感；性能一般，核心功能可正常使用，但部分非关键指标未达标的得4 分；</w:t>
            </w:r>
            <w:r/>
          </w:p>
          <w:p>
            <w:pPr>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外观严重不符合招标要求、存在明显破损；或性能不达标，无法满足核心使用需求；或未提供样品、样品不全的得0 分。</w:t>
            </w:r>
            <w:r/>
          </w:p>
          <w:p>
            <w:pPr>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（本项所称“瑕疵”是指样品设计、制作不满足招标文件要求；制作工艺不精细）</w:t>
            </w:r>
            <w:r/>
          </w:p>
        </w:tc>
      </w:tr>
      <w:tr>
        <w:trPr>
          <w:jc w:val="center"/>
        </w:trPr>
        <w:tc>
          <w:tcPr>
            <w:tcW w:w="456" w:type="dxa"/>
            <w:vAlign w:val="center"/>
            <w:textDirection w:val="lrTb"/>
            <w:noWrap w:val="false"/>
          </w:tcPr>
          <w:p>
            <w:pPr>
              <w:pStyle w:val="906"/>
              <w:numPr>
                <w:ilvl w:val="0"/>
                <w:numId w:val="18"/>
              </w:num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978" w:type="dxa"/>
            <w:vAlign w:val="center"/>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产品功能演示</w:t>
            </w:r>
            <w:r/>
          </w:p>
        </w:tc>
        <w:tc>
          <w:tcPr>
            <w:tcW w:w="456" w:type="dxa"/>
            <w:vAlign w:val="center"/>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5</w:t>
            </w:r>
            <w:r/>
          </w:p>
        </w:tc>
        <w:tc>
          <w:tcPr>
            <w:tcW w:w="7583" w:type="dxa"/>
            <w:vAlign w:val="center"/>
            <w:textDirection w:val="lrTb"/>
            <w:noWrap w:val="false"/>
          </w:tcPr>
          <w:p>
            <w:pPr>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投标人（或生产厂家）提供产品：</w:t>
            </w:r>
            <w:r>
              <w:rPr>
                <w:rFonts w:hint="eastAsia" w:ascii="宋体" w:hAnsi="宋体" w:eastAsia="宋体"/>
                <w:b/>
                <w:bCs/>
                <w:color w:val="auto"/>
                <w:sz w:val="24"/>
                <w:szCs w:val="24"/>
                <w:highlight w:val="none"/>
              </w:rPr>
              <w:t xml:space="preserve">学习态度引导仪</w:t>
            </w:r>
            <w:r>
              <w:rPr>
                <w:rFonts w:hint="eastAsia" w:ascii="宋体" w:hAnsi="宋体" w:eastAsia="宋体"/>
                <w:color w:val="auto"/>
                <w:sz w:val="24"/>
                <w:szCs w:val="24"/>
                <w:highlight w:val="none"/>
              </w:rPr>
              <w:t xml:space="preserve">的现场功能演示，演示功能要求如下：</w:t>
            </w:r>
            <w:r/>
          </w:p>
          <w:p>
            <w:pPr>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1.打开设备，账户分别演示单机登录、联网登录使用；在联网使用状态下，选择展示7项任务：学习动机测验、情绪稳定性、情绪敏感性、情绪记忆、自我服务偏差、IAT任务、自我参照效应。”</w:t>
            </w:r>
            <w:r>
              <w:rPr>
                <w:rFonts w:hint="eastAsia"/>
                <w:color w:val="auto"/>
                <w:highlight w:val="none"/>
              </w:rPr>
              <w:t xml:space="preserve"> </w:t>
            </w:r>
            <w:r>
              <w:rPr>
                <w:rFonts w:hint="eastAsia" w:ascii="宋体" w:hAnsi="宋体" w:eastAsia="宋体"/>
                <w:b/>
                <w:bCs/>
                <w:color w:val="auto"/>
                <w:sz w:val="24"/>
                <w:szCs w:val="24"/>
                <w:highlight w:val="none"/>
              </w:rPr>
              <w:t xml:space="preserve">(演示成功得3分，不满足或者不演示的得0分)</w:t>
            </w:r>
            <w:bookmarkStart w:id="173" w:name="OLE_LINK28"/>
            <w:r>
              <w:rPr>
                <w:rFonts w:hint="eastAsia" w:ascii="宋体" w:hAnsi="宋体" w:eastAsia="宋体"/>
                <w:b/>
                <w:bCs/>
                <w:color w:val="auto"/>
                <w:sz w:val="24"/>
                <w:szCs w:val="24"/>
                <w:highlight w:val="none"/>
              </w:rPr>
              <w:t xml:space="preserve">；</w:t>
            </w:r>
            <w:bookmarkEnd w:id="173"/>
            <w:r/>
            <w:r/>
          </w:p>
          <w:p>
            <w:pPr>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2.操作使用IAT任务，并使用机器自带按键操作完成。完成任务可自动生成报告。</w:t>
            </w:r>
            <w:r>
              <w:rPr>
                <w:rFonts w:hint="eastAsia" w:ascii="宋体" w:hAnsi="宋体" w:eastAsia="宋体"/>
                <w:b/>
                <w:bCs/>
                <w:color w:val="auto"/>
                <w:sz w:val="24"/>
                <w:szCs w:val="24"/>
                <w:highlight w:val="none"/>
              </w:rPr>
              <w:t xml:space="preserve">(演示成功得1分，不满足或者不演示的得0分) ；</w:t>
            </w:r>
            <w:r/>
          </w:p>
          <w:p>
            <w:pPr>
              <w:jc w:val="left"/>
              <w:rPr>
                <w:rFonts w:hint="eastAsia" w:ascii="宋体" w:hAnsi="宋体" w:eastAsia="宋体"/>
                <w:b/>
                <w:bCs/>
                <w:color w:val="auto"/>
                <w:sz w:val="24"/>
                <w:szCs w:val="24"/>
                <w:highlight w:val="none"/>
              </w:rPr>
            </w:pPr>
            <w:r>
              <w:rPr>
                <w:rFonts w:hint="eastAsia" w:ascii="宋体" w:hAnsi="宋体" w:eastAsia="宋体"/>
                <w:color w:val="auto"/>
                <w:sz w:val="24"/>
                <w:szCs w:val="24"/>
                <w:highlight w:val="none"/>
              </w:rPr>
              <w:t xml:space="preserve">3.仪器屏幕进行180度翻转、灵活调整操作。</w:t>
            </w:r>
            <w:r>
              <w:rPr>
                <w:rFonts w:hint="eastAsia" w:ascii="宋体" w:hAnsi="宋体" w:eastAsia="宋体"/>
                <w:b/>
                <w:bCs/>
                <w:color w:val="auto"/>
                <w:sz w:val="24"/>
                <w:szCs w:val="24"/>
                <w:highlight w:val="none"/>
              </w:rPr>
              <w:t xml:space="preserve">(演示成功得1分，不满足或者不演示的得0分) ；</w:t>
            </w:r>
            <w:r/>
          </w:p>
        </w:tc>
      </w:tr>
      <w:tr>
        <w:trPr>
          <w:jc w:val="center"/>
        </w:trPr>
        <w:tc>
          <w:tcPr>
            <w:tcW w:w="456" w:type="dxa"/>
            <w:vAlign w:val="center"/>
            <w:textDirection w:val="lrTb"/>
            <w:noWrap w:val="false"/>
          </w:tcPr>
          <w:p>
            <w:pPr>
              <w:pStyle w:val="906"/>
              <w:numPr>
                <w:ilvl w:val="0"/>
                <w:numId w:val="18"/>
              </w:num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978" w:type="dxa"/>
            <w:vAlign w:val="center"/>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技术方案</w:t>
            </w:r>
            <w:r/>
          </w:p>
        </w:tc>
        <w:tc>
          <w:tcPr>
            <w:tcW w:w="456" w:type="dxa"/>
            <w:vAlign w:val="center"/>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6</w:t>
            </w:r>
            <w:r/>
          </w:p>
        </w:tc>
        <w:tc>
          <w:tcPr>
            <w:tcW w:w="7583" w:type="dxa"/>
            <w:vAlign w:val="center"/>
            <w:textDirection w:val="lrTb"/>
            <w:noWrap w:val="false"/>
          </w:tcPr>
          <w:p>
            <w:pPr>
              <w:pStyle w:val="906"/>
              <w:numPr>
                <w:ilvl w:val="0"/>
                <w:numId w:val="19"/>
              </w:numPr>
              <w:jc w:val="left"/>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项目设备安装调试的实施方案：</w:t>
            </w:r>
            <w:r/>
          </w:p>
          <w:p>
            <w:pPr>
              <w:ind w:firstLine="41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根据投标人提供的实施方案</w:t>
            </w:r>
            <w:bookmarkStart w:id="174" w:name="OLE_LINK21"/>
            <w:r/>
            <w:bookmarkStart w:id="175" w:name="OLE_LINK20"/>
            <w:r>
              <w:rPr>
                <w:rFonts w:hint="eastAsia" w:ascii="宋体" w:hAnsi="宋体" w:eastAsia="宋体"/>
                <w:color w:val="auto"/>
                <w:sz w:val="24"/>
                <w:szCs w:val="24"/>
                <w:highlight w:val="none"/>
              </w:rPr>
              <w:t xml:space="preserve">进行评分</w:t>
            </w:r>
            <w:bookmarkEnd w:id="174"/>
            <w:r>
              <w:rPr>
                <w:rFonts w:hint="eastAsia" w:ascii="宋体" w:hAnsi="宋体" w:eastAsia="宋体"/>
                <w:color w:val="auto"/>
                <w:sz w:val="24"/>
                <w:szCs w:val="24"/>
                <w:highlight w:val="none"/>
              </w:rPr>
              <w:t xml:space="preserve">，</w:t>
            </w:r>
            <w:bookmarkEnd w:id="175"/>
            <w:r>
              <w:rPr>
                <w:rFonts w:hint="eastAsia" w:ascii="宋体" w:hAnsi="宋体" w:eastAsia="宋体"/>
                <w:color w:val="auto"/>
                <w:sz w:val="24"/>
                <w:szCs w:val="24"/>
                <w:highlight w:val="none"/>
              </w:rPr>
              <w:t xml:space="preserve">方案至少包括①管理人员和各专业施工人员投入和技术人员的投入；②设备供货时间进度计划及其进度保证措施；③安装调试和验收。</w:t>
            </w:r>
            <w:r/>
          </w:p>
          <w:p>
            <w:pPr>
              <w:ind w:firstLine="41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1、完整详细、人员配备齐全、组织措施完善的得2-3分；</w:t>
            </w:r>
            <w:r/>
          </w:p>
          <w:p>
            <w:pPr>
              <w:ind w:firstLine="41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2、比较详细、人员配备较全、组织措施较完善的得1分；</w:t>
            </w:r>
            <w:r/>
          </w:p>
          <w:p>
            <w:pPr>
              <w:ind w:firstLine="41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3、有内容不得分。</w:t>
            </w:r>
            <w:r/>
          </w:p>
          <w:p>
            <w:pPr>
              <w:pStyle w:val="906"/>
              <w:numPr>
                <w:ilvl w:val="0"/>
                <w:numId w:val="19"/>
              </w:numPr>
              <w:jc w:val="left"/>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 xml:space="preserve">售后服务方案</w:t>
            </w:r>
            <w:r>
              <w:rPr>
                <w:rFonts w:hint="eastAsia" w:ascii="宋体" w:hAnsi="宋体" w:eastAsia="宋体"/>
                <w:color w:val="auto"/>
                <w:sz w:val="24"/>
                <w:szCs w:val="24"/>
                <w:highlight w:val="none"/>
              </w:rPr>
              <w:t xml:space="preserve">：</w:t>
            </w:r>
            <w:r/>
          </w:p>
          <w:p>
            <w:pPr>
              <w:ind w:firstLine="41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根据投标人提供的售后服务方案进行评分，评审标准：根据投标人售后服务内容的完整性：售后服务响应时间的及时性（</w:t>
            </w:r>
            <w:r>
              <w:rPr>
                <w:rFonts w:ascii="宋体" w:hAnsi="宋体" w:eastAsia="宋体"/>
                <w:color w:val="auto"/>
                <w:sz w:val="24"/>
                <w:szCs w:val="24"/>
                <w:highlight w:val="none"/>
              </w:rPr>
              <w:t xml:space="preserve">0-</w:t>
            </w:r>
            <w:r>
              <w:rPr>
                <w:rFonts w:hint="eastAsia" w:ascii="宋体" w:hAnsi="宋体" w:eastAsia="宋体"/>
                <w:color w:val="auto"/>
                <w:sz w:val="24"/>
                <w:szCs w:val="24"/>
                <w:highlight w:val="none"/>
              </w:rPr>
              <w:t xml:space="preserve">1.5分）、维保服务（包括但不限于产品的去污、保养等）的内容和价格（</w:t>
            </w:r>
            <w:r>
              <w:rPr>
                <w:rFonts w:ascii="宋体" w:hAnsi="宋体" w:eastAsia="宋体"/>
                <w:color w:val="auto"/>
                <w:sz w:val="24"/>
                <w:szCs w:val="24"/>
                <w:highlight w:val="none"/>
              </w:rPr>
              <w:t xml:space="preserve">0-</w:t>
            </w:r>
            <w:r>
              <w:rPr>
                <w:rFonts w:hint="eastAsia" w:ascii="宋体" w:hAnsi="宋体" w:eastAsia="宋体"/>
                <w:color w:val="auto"/>
                <w:sz w:val="24"/>
                <w:szCs w:val="24"/>
                <w:highlight w:val="none"/>
              </w:rPr>
              <w:t xml:space="preserve">1.5分）等进行综合评价。</w:t>
            </w:r>
            <w:r/>
          </w:p>
        </w:tc>
      </w:tr>
      <w:tr>
        <w:trPr>
          <w:jc w:val="center"/>
        </w:trPr>
        <w:tc>
          <w:tcPr>
            <w:tcW w:w="456" w:type="dxa"/>
            <w:vAlign w:val="center"/>
            <w:textDirection w:val="lrTb"/>
            <w:noWrap w:val="false"/>
          </w:tcPr>
          <w:p>
            <w:pPr>
              <w:pStyle w:val="906"/>
              <w:numPr>
                <w:ilvl w:val="0"/>
                <w:numId w:val="18"/>
              </w:num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978" w:type="dxa"/>
            <w:vAlign w:val="center"/>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企业实力</w:t>
            </w:r>
            <w:r/>
          </w:p>
        </w:tc>
        <w:tc>
          <w:tcPr>
            <w:tcW w:w="456" w:type="dxa"/>
            <w:vAlign w:val="center"/>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w:t>
            </w:r>
            <w:r/>
          </w:p>
        </w:tc>
        <w:tc>
          <w:tcPr>
            <w:tcW w:w="7583" w:type="dxa"/>
            <w:vAlign w:val="center"/>
            <w:textDirection w:val="lrTb"/>
            <w:noWrap w:val="false"/>
          </w:tcPr>
          <w:p>
            <w:pPr>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1）投标人（或生产厂家）提供</w:t>
            </w:r>
            <w:r>
              <w:rPr>
                <w:rFonts w:hint="eastAsia" w:ascii="宋体" w:hAnsi="宋体" w:eastAsia="宋体"/>
                <w:b/>
                <w:bCs/>
                <w:color w:val="auto"/>
                <w:sz w:val="24"/>
                <w:szCs w:val="24"/>
                <w:highlight w:val="none"/>
              </w:rPr>
              <w:t xml:space="preserve">立式四门冷柜的</w:t>
            </w:r>
            <w:r>
              <w:rPr>
                <w:rFonts w:hint="eastAsia" w:ascii="宋体" w:hAnsi="宋体" w:eastAsia="宋体"/>
                <w:color w:val="auto"/>
                <w:sz w:val="24"/>
                <w:szCs w:val="24"/>
                <w:highlight w:val="none"/>
              </w:rPr>
              <w:t xml:space="preserve">证书：提供一级能效标识，产品对应型号在中国能效标识网已完成备案，并且获得《中国节能产品认证证书》本产品为低碳绿色产品，提供产品碳标签评价证书、低碳产品供应商证书、碳标签标识使用授权书；</w:t>
            </w:r>
            <w:r>
              <w:rPr>
                <w:rFonts w:hint="eastAsia" w:ascii="宋体" w:hAnsi="宋体" w:eastAsia="宋体"/>
                <w:b/>
                <w:bCs/>
                <w:color w:val="auto"/>
                <w:sz w:val="24"/>
                <w:szCs w:val="24"/>
                <w:highlight w:val="none"/>
              </w:rPr>
              <w:t xml:space="preserve">（以上全部满足得2 分，缺项不得分）。</w:t>
            </w:r>
            <w:r/>
          </w:p>
          <w:p>
            <w:pPr>
              <w:jc w:val="left"/>
              <w:rPr>
                <w:rFonts w:hint="eastAsia" w:ascii="宋体" w:hAnsi="宋体" w:eastAsia="宋体"/>
                <w:b/>
                <w:bCs/>
                <w:color w:val="auto"/>
                <w:sz w:val="24"/>
                <w:szCs w:val="24"/>
                <w:highlight w:val="none"/>
              </w:rPr>
            </w:pPr>
            <w:r>
              <w:rPr>
                <w:rFonts w:hint="eastAsia" w:ascii="宋体" w:hAnsi="宋体" w:eastAsia="宋体"/>
                <w:color w:val="auto"/>
                <w:sz w:val="24"/>
                <w:szCs w:val="24"/>
                <w:highlight w:val="none"/>
              </w:rPr>
              <w:t xml:space="preserve">2）投标人（或生产厂家）提供有效期内CQC 中国环保产品认证证书（金属实验室家具、木制教学家具），提供相关认证证书。</w:t>
            </w:r>
            <w:bookmarkStart w:id="176" w:name="OLE_LINK27"/>
            <w:r>
              <w:rPr>
                <w:rFonts w:hint="eastAsia" w:ascii="宋体" w:hAnsi="宋体" w:eastAsia="宋体"/>
                <w:b/>
                <w:bCs/>
                <w:color w:val="auto"/>
                <w:sz w:val="24"/>
                <w:szCs w:val="24"/>
                <w:highlight w:val="none"/>
              </w:rPr>
              <w:t xml:space="preserve">（以上全部满足得2 分，缺项不得分）。</w:t>
            </w:r>
            <w:bookmarkEnd w:id="176"/>
            <w:r/>
            <w:r/>
          </w:p>
        </w:tc>
      </w:tr>
      <w:tr>
        <w:trPr>
          <w:jc w:val="center"/>
        </w:trPr>
        <w:tc>
          <w:tcPr>
            <w:tcW w:w="456" w:type="dxa"/>
            <w:vAlign w:val="center"/>
            <w:textDirection w:val="lrTb"/>
            <w:noWrap w:val="false"/>
          </w:tcPr>
          <w:p>
            <w:pPr>
              <w:pStyle w:val="906"/>
              <w:numPr>
                <w:ilvl w:val="0"/>
                <w:numId w:val="18"/>
              </w:num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978" w:type="dxa"/>
            <w:vAlign w:val="center"/>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节能环保</w:t>
            </w:r>
            <w:r/>
          </w:p>
        </w:tc>
        <w:tc>
          <w:tcPr>
            <w:tcW w:w="456" w:type="dxa"/>
            <w:vAlign w:val="center"/>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p>
        </w:tc>
        <w:tc>
          <w:tcPr>
            <w:tcW w:w="7583" w:type="dxa"/>
            <w:vAlign w:val="center"/>
            <w:textDirection w:val="lrTb"/>
            <w:noWrap w:val="false"/>
          </w:tcPr>
          <w:p>
            <w:pPr>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投标产品属于财政部、国家发展和改革委员会公布的“节能产品品目清单”范围内的，投标人提供国家确定的认证机构出具的、处于有效期之内的该节能产品认证证书复印件的，有1个得0.2分，最多得0.4分。如投标产品均属于政府强制采购节能产品品目清单范围内，本项不得分。</w:t>
            </w:r>
            <w:r/>
          </w:p>
          <w:p>
            <w:pPr>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2.投标产品属于财政部、生态环境部公布的“环境标志产品品目清单”范围内的，投标人提供国家确定的认证机构出具的、处于有效期内的该环保产品认证证书复印件的，有1个得0.2分，最多得0.4分。</w:t>
            </w:r>
            <w:r/>
          </w:p>
          <w:p>
            <w:pPr>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0.2分（投标时须提供相应使用低VOCs含量的有效证明材料，否则不得分）。</w:t>
            </w:r>
            <w:r/>
          </w:p>
        </w:tc>
      </w:tr>
    </w:tbl>
    <w:p>
      <w:pPr>
        <w:ind w:firstLine="560"/>
        <w:spacing w:line="500" w:lineRule="exact"/>
        <w:rPr>
          <w:rFonts w:hint="eastAsia" w:eastAsia="方正仿宋_GBK"/>
          <w:color w:val="auto"/>
          <w:sz w:val="28"/>
          <w:szCs w:val="28"/>
          <w:highlight w:val="none"/>
          <w:lang w:val="en-US" w:eastAsia="zh-CN"/>
        </w:rPr>
      </w:pPr>
      <w:r>
        <w:rPr>
          <w:rFonts w:hint="eastAsia" w:eastAsia="方正仿宋_GBK"/>
          <w:color w:val="auto"/>
          <w:sz w:val="28"/>
          <w:szCs w:val="28"/>
          <w:highlight w:val="none"/>
          <w:lang w:val="en-US" w:eastAsia="zh-CN"/>
        </w:rPr>
        <w:t xml:space="preserve">注：如投标供应商的商务技术分不满20分的则视为无效投标文件。</w:t>
      </w:r>
      <w:r/>
    </w:p>
    <w:p>
      <w:pPr>
        <w:ind w:firstLine="560"/>
        <w:spacing w:line="500" w:lineRule="exact"/>
        <w:rPr>
          <w:rFonts w:ascii="方正楷体_GBK" w:hAnsi="方正楷体_GBK" w:eastAsia="方正楷体_GBK" w:cs="方正楷体_GBK"/>
          <w:bCs/>
          <w:color w:val="auto"/>
          <w:sz w:val="28"/>
          <w:szCs w:val="28"/>
          <w:highlight w:val="none"/>
        </w:rPr>
      </w:pPr>
      <w:r>
        <w:rPr>
          <w:rFonts w:hint="eastAsia" w:ascii="方正楷体_GBK" w:hAnsi="方正楷体_GBK" w:eastAsia="方正楷体_GBK" w:cs="方正楷体_GBK"/>
          <w:bCs/>
          <w:color w:val="auto"/>
          <w:sz w:val="28"/>
          <w:szCs w:val="28"/>
          <w:highlight w:val="none"/>
        </w:rPr>
        <w:t xml:space="preserve">（四）</w:t>
      </w:r>
      <w:r>
        <w:rPr>
          <w:rFonts w:hint="eastAsia" w:ascii="方正楷体_GBK" w:hAnsi="方正楷体_GBK" w:eastAsia="方正楷体_GBK" w:cs="方正楷体_GBK"/>
          <w:bCs/>
          <w:color w:val="auto"/>
          <w:sz w:val="28"/>
          <w:szCs w:val="28"/>
          <w:highlight w:val="none"/>
          <w:lang w:val="zh-CN"/>
        </w:rPr>
        <w:t xml:space="preserve">价格分</w:t>
      </w:r>
      <w:r>
        <w:rPr>
          <w:rFonts w:hint="eastAsia" w:ascii="方正楷体_GBK" w:hAnsi="方正楷体_GBK" w:eastAsia="方正楷体_GBK" w:cs="方正楷体_GBK"/>
          <w:bCs/>
          <w:color w:val="auto"/>
          <w:sz w:val="28"/>
          <w:szCs w:val="28"/>
          <w:highlight w:val="none"/>
        </w:rPr>
        <w:t xml:space="preserve">：</w:t>
      </w:r>
      <w:r>
        <w:rPr>
          <w:rFonts w:hint="eastAsia" w:ascii="方正楷体_GBK" w:hAnsi="方正楷体_GBK" w:eastAsia="方正楷体_GBK" w:cs="方正楷体_GBK"/>
          <w:bCs/>
          <w:color w:val="auto"/>
          <w:sz w:val="28"/>
          <w:szCs w:val="28"/>
          <w:highlight w:val="none"/>
          <w:lang w:val="en-US" w:eastAsia="zh-CN"/>
        </w:rPr>
        <w:t xml:space="preserve">60</w:t>
      </w:r>
      <w:r>
        <w:rPr>
          <w:rFonts w:hint="eastAsia" w:ascii="方正楷体_GBK" w:hAnsi="方正楷体_GBK" w:eastAsia="方正楷体_GBK" w:cs="方正楷体_GBK"/>
          <w:bCs/>
          <w:color w:val="auto"/>
          <w:sz w:val="28"/>
          <w:szCs w:val="28"/>
          <w:highlight w:val="none"/>
          <w:lang w:val="zh-CN"/>
        </w:rPr>
        <w:t xml:space="preserve">分</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投标报价得分=（评标基准价/投标报价）×价格权值×100</w:t>
      </w:r>
      <w:r/>
    </w:p>
    <w:p>
      <w:pPr>
        <w:pStyle w:val="903"/>
        <w:ind w:left="0" w:right="0" w:firstLine="560"/>
        <w:jc w:val="both"/>
        <w:spacing w:before="0" w:after="0" w:line="500" w:lineRule="exact"/>
        <w:rPr>
          <w:rFonts w:ascii="方正楷体_GBK" w:hAnsi="方正楷体_GBK" w:eastAsia="方正楷体_GBK" w:cs="方正楷体_GBK"/>
          <w:bCs/>
          <w:color w:val="auto"/>
          <w:sz w:val="28"/>
          <w:szCs w:val="28"/>
          <w:highlight w:val="none"/>
        </w:rPr>
      </w:pPr>
      <w:r>
        <w:rPr>
          <w:rFonts w:hint="eastAsia" w:ascii="方正楷体_GBK" w:hAnsi="方正楷体_GBK" w:eastAsia="方正楷体_GBK" w:cs="方正楷体_GBK"/>
          <w:bCs/>
          <w:color w:val="auto"/>
          <w:sz w:val="28"/>
          <w:szCs w:val="28"/>
          <w:highlight w:val="none"/>
        </w:rPr>
        <w:t xml:space="preserve">（</w:t>
      </w:r>
      <w:r>
        <w:rPr>
          <w:rFonts w:hint="eastAsia" w:ascii="方正楷体_GBK" w:hAnsi="方正楷体_GBK" w:eastAsia="方正楷体_GBK" w:cs="方正楷体_GBK"/>
          <w:bCs/>
          <w:color w:val="auto"/>
          <w:sz w:val="28"/>
          <w:szCs w:val="28"/>
          <w:highlight w:val="none"/>
        </w:rPr>
        <w:t xml:space="preserve">五</w:t>
      </w:r>
      <w:r>
        <w:rPr>
          <w:rFonts w:hint="eastAsia" w:ascii="方正楷体_GBK" w:hAnsi="方正楷体_GBK" w:eastAsia="方正楷体_GBK" w:cs="方正楷体_GBK"/>
          <w:bCs/>
          <w:color w:val="auto"/>
          <w:sz w:val="28"/>
          <w:szCs w:val="28"/>
          <w:highlight w:val="none"/>
        </w:rPr>
        <w:t xml:space="preserve">）</w:t>
      </w:r>
      <w:r>
        <w:rPr>
          <w:rFonts w:hint="eastAsia" w:ascii="方正楷体_GBK" w:hAnsi="方正楷体_GBK" w:eastAsia="方正楷体_GBK" w:cs="方正楷体_GBK"/>
          <w:bCs/>
          <w:color w:val="auto"/>
          <w:sz w:val="28"/>
          <w:szCs w:val="28"/>
          <w:highlight w:val="none"/>
        </w:rPr>
        <w:t xml:space="preserve">政府采购政策功能落实</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1.非专门面向中小企业采购的项目或者采购包，执行以下价格评审优惠的扶持政策。</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（1）小微型企业价格扣除：</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①对小型和微型企业产品给予10%的扣除价格，用扣除后的价格参与评审。</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②供应商需按照《政府采购促进中小企业发展管理办法》（财库</w:t>
      </w:r>
      <w:r>
        <w:rPr>
          <w:rFonts w:eastAsia="方正仿宋_GBK"/>
          <w:color w:val="auto"/>
          <w:sz w:val="28"/>
          <w:szCs w:val="28"/>
          <w:highlight w:val="none"/>
        </w:rPr>
        <w:t xml:space="preserve">〔</w:t>
      </w:r>
      <w:r>
        <w:rPr>
          <w:rFonts w:eastAsia="方正仿宋_GBK"/>
          <w:bCs/>
          <w:color w:val="auto"/>
          <w:sz w:val="28"/>
          <w:szCs w:val="28"/>
          <w:highlight w:val="none"/>
        </w:rPr>
        <w:t xml:space="preserve">2020</w:t>
      </w:r>
      <w:r>
        <w:rPr>
          <w:rFonts w:eastAsia="方正仿宋_GBK"/>
          <w:color w:val="auto"/>
          <w:sz w:val="28"/>
          <w:szCs w:val="28"/>
          <w:highlight w:val="none"/>
        </w:rPr>
        <w:t xml:space="preserve">〕</w:t>
      </w:r>
      <w:r>
        <w:rPr>
          <w:rFonts w:eastAsia="方正仿宋_GBK"/>
          <w:bCs/>
          <w:color w:val="auto"/>
          <w:sz w:val="28"/>
          <w:szCs w:val="28"/>
          <w:highlight w:val="none"/>
        </w:rPr>
        <w:t xml:space="preserve">46号）的规定提供相应的《中小企业声明函》。</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③企业标准请参照《关于印发中小企业划型标准规定的通知》（工信部联企业</w:t>
      </w:r>
      <w:r>
        <w:rPr>
          <w:rFonts w:eastAsia="方正仿宋_GBK"/>
          <w:color w:val="auto"/>
          <w:sz w:val="28"/>
          <w:szCs w:val="28"/>
          <w:highlight w:val="none"/>
          <w:lang w:val="zh-CN"/>
        </w:rPr>
        <w:t xml:space="preserve">〔</w:t>
      </w:r>
      <w:r>
        <w:rPr>
          <w:rFonts w:eastAsia="方正仿宋_GBK"/>
          <w:bCs/>
          <w:color w:val="auto"/>
          <w:sz w:val="28"/>
          <w:szCs w:val="28"/>
          <w:highlight w:val="none"/>
        </w:rPr>
        <w:t xml:space="preserve">2011</w:t>
      </w:r>
      <w:r>
        <w:rPr>
          <w:rFonts w:eastAsia="方正仿宋_GBK"/>
          <w:color w:val="auto"/>
          <w:sz w:val="28"/>
          <w:szCs w:val="28"/>
          <w:highlight w:val="none"/>
          <w:lang w:val="zh-CN"/>
        </w:rPr>
        <w:t xml:space="preserve">〕</w:t>
      </w:r>
      <w:r>
        <w:rPr>
          <w:rFonts w:eastAsia="方正仿宋_GBK"/>
          <w:bCs/>
          <w:color w:val="auto"/>
          <w:sz w:val="28"/>
          <w:szCs w:val="28"/>
          <w:highlight w:val="none"/>
        </w:rPr>
        <w:t xml:space="preserve">300号）文件规定自行填写。</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（2）残疾人福利单位价格扣除：</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①对残疾人福利性单位，给予10%的价格扣除，用扣除后的价格参与评审。</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②残疾人福利单位需按照采购文件的要求提供《残疾人福利性单位声明函》。</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③残疾人福利单位标准请参照《关于促进残疾人就业政府采购政策的通知》（财库〔2017〕141号）。</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（3）监狱和戒毒企业价格扣除</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①对监狱和戒毒企业（简称监狱企业）给予10%的价格扣除，用扣除后的价格参与评审。</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③监狱企业标准请参照《关于政府采购支持监狱企业发展有关问题的通知》（财库〔2014</w:t>
      </w:r>
      <w:r>
        <w:rPr>
          <w:rFonts w:eastAsia="方正仿宋_GBK"/>
          <w:color w:val="auto"/>
          <w:sz w:val="28"/>
          <w:szCs w:val="28"/>
          <w:highlight w:val="none"/>
          <w:lang w:val="zh-CN"/>
        </w:rPr>
        <w:t xml:space="preserve">〕</w:t>
      </w:r>
      <w:r>
        <w:rPr>
          <w:rFonts w:eastAsia="方正仿宋_GBK"/>
          <w:bCs/>
          <w:color w:val="auto"/>
          <w:sz w:val="28"/>
          <w:szCs w:val="28"/>
          <w:highlight w:val="none"/>
        </w:rPr>
        <w:t xml:space="preserve">68号）。</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（4）残疾人福利单位、监狱企业属于小型、微型企业的，不重复享受政策。</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（6）联合体各方均为小型、微型企业（残疾人福利单位、监狱企业）的，联合体享受上述同类价格扣除，用扣除后的价格参与评审。</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2.专门面向中小企业采购的项目或者采购包，不再执行上述价格评审优惠的扶持政策。</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3.采购本国产品的支持政策</w:t>
      </w:r>
      <w:r/>
    </w:p>
    <w:p>
      <w:pPr>
        <w:ind w:firstLine="570"/>
        <w:spacing w:line="500" w:lineRule="exact"/>
        <w:rPr>
          <w:color w:val="auto"/>
          <w:sz w:val="24"/>
          <w:highlight w:val="none"/>
        </w:rPr>
      </w:pPr>
      <w:r>
        <w:rPr>
          <w:rFonts w:eastAsia="方正仿宋_GBK"/>
          <w:bCs/>
          <w:color w:val="auto"/>
          <w:sz w:val="28"/>
          <w:szCs w:val="28"/>
          <w:highlight w:val="none"/>
        </w:rPr>
        <w:t xml:space="preserve">3.1 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3.2 当采购项目或者采购包的采购标的中含有多种产品，供应商为该采购项目或者采购包提供的符合本国产品标准的产品成本之和占该供应商提供的全部产品成本之和的比例达到80%以上时（</w:t>
      </w:r>
      <w:r>
        <w:rPr>
          <w:rFonts w:eastAsia="方正仿宋_GBK"/>
          <w:b/>
          <w:color w:val="auto"/>
          <w:sz w:val="28"/>
          <w:szCs w:val="28"/>
          <w:highlight w:val="none"/>
        </w:rPr>
        <w:t xml:space="preserve">供应商需在“第五部分 投标文件格式”的“附件8 分项报价明细表”中填写比例数值</w:t>
      </w:r>
      <w:r>
        <w:rPr>
          <w:rFonts w:eastAsia="方正仿宋_GBK"/>
          <w:bCs/>
          <w:color w:val="auto"/>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70"/>
        <w:spacing w:line="500" w:lineRule="exact"/>
        <w:rPr>
          <w:color w:val="auto"/>
          <w:sz w:val="24"/>
          <w:highlight w:val="none"/>
        </w:rPr>
      </w:pPr>
      <w:r>
        <w:rPr>
          <w:rFonts w:eastAsia="方正仿宋_GBK"/>
          <w:bCs/>
          <w:color w:val="auto"/>
          <w:sz w:val="28"/>
          <w:szCs w:val="28"/>
          <w:highlight w:val="none"/>
        </w:rPr>
        <w:t xml:space="preserve">3.3 对于仅有本国产品参与竞争的政府采购项目，本国产品不享受价格扣除评审优惠。</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3.4供应商需按照招标文件的要求提供《关于符合本国产品标准的声明函》（以下简称《声明函》），如不提供将不享受本国产品价格评审优惠。</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3.4 供应商需在《声明函》中逐一、准确填写产品名称、厂名、生产厂址三项信息（</w:t>
      </w:r>
      <w:r>
        <w:rPr>
          <w:rFonts w:eastAsia="方正仿宋_GBK"/>
          <w:b/>
          <w:color w:val="auto"/>
          <w:sz w:val="28"/>
          <w:szCs w:val="28"/>
          <w:highlight w:val="none"/>
        </w:rPr>
        <w:t xml:space="preserve">《声明函》中用斜线划除的地方无需填写</w:t>
      </w:r>
      <w:r>
        <w:rPr>
          <w:rFonts w:eastAsia="方正仿宋_GBK"/>
          <w:bCs/>
          <w:color w:val="auto"/>
          <w:sz w:val="28"/>
          <w:szCs w:val="28"/>
          <w:highlight w:val="none"/>
        </w:rPr>
        <w:t xml:space="preserve">），三项信息中任意一项未填写的视为该项产品不符合本国产品标准，不享受本国产品价格评审优惠。</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3.5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Start w:id="177" w:name="_Hlk220575971"/>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4.对于非专门面向中小企业的采购项目，既有本国产品也有非本国产品参与竞争，且提供本国产品的供应商同时为小微企业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bookmarkEnd w:id="177"/>
      <w:r/>
      <w:r/>
    </w:p>
    <w:p>
      <w:pPr>
        <w:pStyle w:val="903"/>
        <w:ind w:left="0" w:right="0" w:firstLine="560"/>
        <w:jc w:val="both"/>
        <w:spacing w:before="0" w:after="0" w:line="500" w:lineRule="exact"/>
        <w:rPr>
          <w:rFonts w:ascii="方正楷体_GBK" w:hAnsi="方正楷体_GBK" w:eastAsia="方正楷体_GBK" w:cs="方正楷体_GBK"/>
          <w:bCs/>
          <w:color w:val="auto"/>
          <w:sz w:val="28"/>
          <w:szCs w:val="28"/>
          <w:highlight w:val="none"/>
        </w:rPr>
      </w:pPr>
      <w:r>
        <w:rPr>
          <w:rFonts w:ascii="方正楷体_GBK" w:hAnsi="方正楷体_GBK" w:eastAsia="方正楷体_GBK" w:cs="方正楷体_GBK"/>
          <w:bCs/>
          <w:color w:val="auto"/>
          <w:sz w:val="28"/>
          <w:szCs w:val="28"/>
          <w:highlight w:val="none"/>
        </w:rPr>
        <w:t xml:space="preserve">（六）中标人的确定</w:t>
      </w:r>
      <w:r/>
    </w:p>
    <w:p>
      <w:pPr>
        <w:ind w:firstLine="570"/>
        <w:spacing w:line="500" w:lineRule="exact"/>
        <w:rPr>
          <w:rFonts w:eastAsia="方正仿宋_GBK"/>
          <w:color w:val="auto"/>
          <w:sz w:val="28"/>
          <w:szCs w:val="28"/>
          <w:highlight w:val="none"/>
        </w:rPr>
      </w:pPr>
      <w:r>
        <w:rPr>
          <w:rFonts w:eastAsia="方正仿宋_GBK"/>
          <w:color w:val="auto"/>
          <w:sz w:val="28"/>
          <w:szCs w:val="28"/>
          <w:highlight w:val="none"/>
        </w:rPr>
        <w:t xml:space="preserve">评委会汇总各评委评分后，综合评审得分最高的投标人为中标候选人，若总得分者有相同时，则投标报价低者排名优先，均相同时则通过抽签方式随机确定排名顺序。</w:t>
      </w:r>
      <w:r/>
    </w:p>
    <w:p>
      <w:pPr>
        <w:ind w:firstLine="570"/>
        <w:spacing w:line="500" w:lineRule="exact"/>
        <w:rPr>
          <w:rFonts w:eastAsia="方正仿宋_GBK"/>
          <w:color w:val="auto"/>
          <w:sz w:val="28"/>
          <w:szCs w:val="28"/>
          <w:highlight w:val="none"/>
        </w:rPr>
      </w:pPr>
      <w:r>
        <w:rPr>
          <w:rFonts w:eastAsia="方正仿宋_GBK"/>
          <w:color w:val="auto"/>
          <w:sz w:val="28"/>
          <w:szCs w:val="28"/>
          <w:highlight w:val="none"/>
        </w:rPr>
        <w:t xml:space="preserve">本项目（每标段）选取1名中标候选人，并编写评标报告。采购人应根据评委会推荐的中标候选人确定中标人。</w:t>
      </w:r>
      <w:r/>
    </w:p>
    <w:p>
      <w:pPr>
        <w:pStyle w:val="903"/>
        <w:ind w:left="0" w:right="0" w:firstLine="560"/>
        <w:jc w:val="both"/>
        <w:spacing w:before="0" w:after="0" w:line="500" w:lineRule="exact"/>
        <w:rPr>
          <w:rFonts w:ascii="方正楷体_GBK" w:hAnsi="方正楷体_GBK" w:eastAsia="方正楷体_GBK" w:cs="方正楷体_GBK"/>
          <w:bCs/>
          <w:color w:val="auto"/>
          <w:sz w:val="28"/>
          <w:szCs w:val="28"/>
          <w:highlight w:val="none"/>
        </w:rPr>
      </w:pPr>
      <w:r>
        <w:rPr>
          <w:rFonts w:ascii="方正楷体_GBK" w:hAnsi="方正楷体_GBK" w:eastAsia="方正楷体_GBK" w:cs="方正楷体_GBK"/>
          <w:bCs/>
          <w:color w:val="auto"/>
          <w:sz w:val="28"/>
          <w:szCs w:val="28"/>
          <w:highlight w:val="none"/>
        </w:rPr>
        <w:t xml:space="preserve">（七）公告中标结果</w:t>
      </w:r>
      <w:r/>
    </w:p>
    <w:p>
      <w:pPr>
        <w:ind w:firstLine="570"/>
        <w:spacing w:line="500" w:lineRule="exact"/>
        <w:rPr>
          <w:rFonts w:eastAsia="方正仿宋_GBK"/>
          <w:color w:val="auto"/>
          <w:sz w:val="28"/>
          <w:szCs w:val="28"/>
          <w:highlight w:val="none"/>
        </w:rPr>
      </w:pPr>
      <w:r>
        <w:rPr>
          <w:rFonts w:eastAsia="方正仿宋_GBK"/>
          <w:color w:val="auto"/>
          <w:sz w:val="28"/>
          <w:szCs w:val="28"/>
          <w:highlight w:val="none"/>
        </w:rPr>
        <w:t xml:space="preserve">自确定中标人之日起2个工作日内，在江苏政府采购网公告中标结果，公告期限为1个工作日。</w:t>
      </w:r>
      <w:r/>
    </w:p>
    <w:p>
      <w:pPr>
        <w:pStyle w:val="903"/>
        <w:ind w:left="0" w:right="0" w:firstLine="560"/>
        <w:jc w:val="both"/>
        <w:spacing w:before="0" w:after="0" w:line="500" w:lineRule="exact"/>
        <w:rPr>
          <w:rFonts w:ascii="方正楷体_GBK" w:hAnsi="方正楷体_GBK" w:eastAsia="方正楷体_GBK" w:cs="方正楷体_GBK"/>
          <w:bCs/>
          <w:color w:val="auto"/>
          <w:sz w:val="28"/>
          <w:szCs w:val="28"/>
          <w:highlight w:val="none"/>
        </w:rPr>
      </w:pPr>
      <w:r>
        <w:rPr>
          <w:rFonts w:ascii="方正楷体_GBK" w:hAnsi="方正楷体_GBK" w:eastAsia="方正楷体_GBK" w:cs="方正楷体_GBK"/>
          <w:bCs/>
          <w:color w:val="auto"/>
          <w:sz w:val="28"/>
          <w:szCs w:val="28"/>
          <w:highlight w:val="none"/>
        </w:rPr>
        <w:t xml:space="preserve">（八）发放中标通知书</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公告中标结果的同时，</w:t>
      </w:r>
      <w:r>
        <w:rPr>
          <w:rFonts w:hint="eastAsia" w:eastAsia="方正仿宋_GBK"/>
          <w:color w:val="auto"/>
          <w:sz w:val="28"/>
          <w:szCs w:val="28"/>
          <w:highlight w:val="none"/>
          <w:lang w:val="en-US" w:eastAsia="zh-CN"/>
        </w:rPr>
        <w:t xml:space="preserve">采购人</w:t>
      </w:r>
      <w:r>
        <w:rPr>
          <w:rFonts w:eastAsia="方正仿宋_GBK"/>
          <w:bCs/>
          <w:color w:val="auto"/>
          <w:sz w:val="28"/>
          <w:szCs w:val="28"/>
          <w:highlight w:val="none"/>
        </w:rPr>
        <w:t xml:space="preserve">向中标供应商发放中标通知书。</w:t>
      </w:r>
      <w:r>
        <w:rPr>
          <w:rFonts w:eastAsia="方正仿宋_GBK"/>
          <w:color w:val="auto"/>
          <w:sz w:val="28"/>
          <w:szCs w:val="28"/>
          <w:highlight w:val="none"/>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70"/>
        <w:spacing w:line="500" w:lineRule="exact"/>
        <w:rPr>
          <w:rFonts w:eastAsia="方正仿宋_GBK"/>
          <w:color w:val="auto"/>
          <w:sz w:val="28"/>
          <w:szCs w:val="28"/>
          <w:highlight w:val="none"/>
        </w:rPr>
      </w:pPr>
      <w:r>
        <w:rPr>
          <w:rFonts w:eastAsia="方正仿宋_GBK"/>
          <w:color w:val="auto"/>
          <w:sz w:val="28"/>
          <w:szCs w:val="28"/>
          <w:highlight w:val="none"/>
        </w:rPr>
        <w:t xml:space="preserve">中标通知书发出后，采购人不得违法改变中标结果，中标供应商无正当理由不得放弃中标。</w:t>
      </w:r>
      <w:r/>
    </w:p>
    <w:p>
      <w:pPr>
        <w:ind w:firstLine="570"/>
        <w:spacing w:line="500" w:lineRule="exact"/>
        <w:rPr>
          <w:rFonts w:eastAsia="方正仿宋_GBK"/>
          <w:color w:val="auto"/>
          <w:sz w:val="28"/>
          <w:szCs w:val="28"/>
          <w:highlight w:val="none"/>
        </w:rPr>
      </w:pPr>
      <w:r>
        <w:rPr>
          <w:rFonts w:eastAsia="方正仿宋_GBK"/>
          <w:color w:val="auto"/>
          <w:sz w:val="28"/>
          <w:szCs w:val="28"/>
          <w:highlight w:val="none"/>
        </w:rPr>
      </w:r>
      <w:r/>
    </w:p>
    <w:p>
      <w:pPr>
        <w:jc w:val="center"/>
        <w:spacing w:line="500" w:lineRule="exact"/>
        <w:rPr>
          <w:rFonts w:eastAsia="方正小标宋_GBK"/>
          <w:bCs/>
          <w:color w:val="auto"/>
          <w:sz w:val="36"/>
          <w:szCs w:val="36"/>
          <w:highlight w:val="none"/>
        </w:rPr>
        <w:outlineLvl w:val="0"/>
      </w:pPr>
      <w:r>
        <w:rPr>
          <w:rFonts w:eastAsia="仿宋_GB2312"/>
          <w:b/>
          <w:color w:val="auto"/>
          <w:sz w:val="36"/>
          <w:szCs w:val="36"/>
          <w:highlight w:val="none"/>
        </w:rPr>
        <w:br w:type="page" w:clear="all"/>
      </w:r>
      <w:r>
        <w:rPr>
          <w:rFonts w:eastAsia="方正小标宋_GBK"/>
          <w:bCs/>
          <w:color w:val="auto"/>
          <w:sz w:val="36"/>
          <w:szCs w:val="36"/>
          <w:highlight w:val="none"/>
        </w:rPr>
        <w:t xml:space="preserve">第五部分  投标文件格式</w:t>
      </w:r>
      <w:r/>
    </w:p>
    <w:p>
      <w:pPr>
        <w:ind w:firstLine="560"/>
        <w:spacing w:line="500" w:lineRule="exact"/>
        <w:rPr>
          <w:rFonts w:eastAsia="方正仿宋_GBK"/>
          <w:color w:val="auto"/>
          <w:sz w:val="28"/>
          <w:szCs w:val="28"/>
          <w:highlight w:val="none"/>
          <w:lang w:val="zh-CN"/>
        </w:rPr>
      </w:pPr>
      <w:r>
        <w:rPr>
          <w:rFonts w:eastAsia="方正仿宋_GBK"/>
          <w:color w:val="auto"/>
          <w:sz w:val="28"/>
          <w:szCs w:val="28"/>
          <w:highlight w:val="none"/>
          <w:lang w:val="zh-CN"/>
        </w:rPr>
        <w:t xml:space="preserve">1.</w:t>
      </w:r>
      <w:r>
        <w:rPr>
          <w:rFonts w:eastAsia="方正仿宋_GBK"/>
          <w:color w:val="auto"/>
          <w:sz w:val="28"/>
          <w:szCs w:val="28"/>
          <w:highlight w:val="none"/>
        </w:rPr>
        <w:t xml:space="preserve">投标人符合《中华人民共和国政府采购法》第二十二条规定条件的声明函</w:t>
      </w:r>
      <w:r>
        <w:rPr>
          <w:rFonts w:eastAsia="方正仿宋_GBK"/>
          <w:color w:val="auto"/>
          <w:sz w:val="28"/>
          <w:szCs w:val="28"/>
          <w:highlight w:val="none"/>
          <w:lang w:val="zh-CN"/>
        </w:rPr>
        <w:t xml:space="preserve">（格式见附件1）（如分公司参加投标的，另需提供总公司的授权证明）</w:t>
      </w:r>
      <w:r>
        <w:rPr>
          <w:rFonts w:hint="eastAsia" w:eastAsia="方正仿宋_GBK"/>
          <w:color w:val="auto"/>
          <w:sz w:val="28"/>
          <w:szCs w:val="28"/>
          <w:highlight w:val="none"/>
          <w:lang w:val="zh-CN"/>
        </w:rPr>
        <w:t xml:space="preserve">；</w:t>
      </w:r>
      <w:r/>
    </w:p>
    <w:p>
      <w:pPr>
        <w:ind w:firstLine="560"/>
        <w:spacing w:line="500" w:lineRule="exact"/>
        <w:rPr>
          <w:rFonts w:eastAsia="方正仿宋_GBK"/>
          <w:color w:val="auto"/>
          <w:sz w:val="28"/>
          <w:szCs w:val="28"/>
          <w:highlight w:val="none"/>
          <w:lang w:val="zh-CN"/>
        </w:rPr>
      </w:pPr>
      <w:r>
        <w:rPr>
          <w:rFonts w:eastAsia="方正仿宋_GBK"/>
          <w:color w:val="auto"/>
          <w:sz w:val="28"/>
          <w:szCs w:val="28"/>
          <w:highlight w:val="none"/>
          <w:lang w:val="zh-CN"/>
        </w:rPr>
        <w:t xml:space="preserve">2.法人或者其他组织的营业执照等证明文件，自然人参加的提供身份证明</w:t>
      </w:r>
      <w:r>
        <w:rPr>
          <w:rFonts w:hint="eastAsia" w:eastAsia="方正仿宋_GBK"/>
          <w:color w:val="auto"/>
          <w:sz w:val="28"/>
          <w:szCs w:val="28"/>
          <w:highlight w:val="none"/>
          <w:lang w:val="zh-CN"/>
        </w:rPr>
        <w:t xml:space="preserve">；</w:t>
      </w:r>
      <w:r/>
    </w:p>
    <w:p>
      <w:pPr>
        <w:ind w:firstLine="560"/>
        <w:spacing w:line="500" w:lineRule="exact"/>
        <w:rPr>
          <w:rFonts w:eastAsia="方正仿宋_GBK"/>
          <w:color w:val="auto"/>
          <w:sz w:val="28"/>
          <w:szCs w:val="28"/>
          <w:highlight w:val="none"/>
          <w:lang w:val="zh-CN"/>
        </w:rPr>
      </w:pPr>
      <w:r>
        <w:rPr>
          <w:rFonts w:eastAsia="方正仿宋_GBK"/>
          <w:color w:val="auto"/>
          <w:sz w:val="28"/>
          <w:szCs w:val="28"/>
          <w:highlight w:val="none"/>
          <w:lang w:val="zh-CN"/>
        </w:rPr>
        <w:t xml:space="preserve">3.法定代表人参加投标的提供法定代表人身份证明书（格式见附件2）；非法定代表人参加投标的提供法定代表人授权委托书原件（格式见附件3）</w:t>
      </w:r>
      <w:r>
        <w:rPr>
          <w:rFonts w:hint="eastAsia" w:eastAsia="方正仿宋_GBK"/>
          <w:color w:val="auto"/>
          <w:sz w:val="28"/>
          <w:szCs w:val="28"/>
          <w:highlight w:val="none"/>
          <w:lang w:val="zh-CN"/>
        </w:rPr>
        <w:t xml:space="preserve">；</w:t>
      </w:r>
      <w:r/>
    </w:p>
    <w:p>
      <w:pPr>
        <w:ind w:firstLine="560"/>
        <w:spacing w:line="500" w:lineRule="exact"/>
        <w:rPr>
          <w:rFonts w:eastAsia="方正仿宋_GBK"/>
          <w:color w:val="auto"/>
          <w:sz w:val="28"/>
          <w:szCs w:val="28"/>
          <w:highlight w:val="none"/>
          <w:lang w:val="zh-CN"/>
        </w:rPr>
      </w:pPr>
      <w:r>
        <w:rPr>
          <w:rFonts w:eastAsia="方正仿宋_GBK"/>
          <w:color w:val="auto"/>
          <w:sz w:val="28"/>
          <w:szCs w:val="28"/>
          <w:highlight w:val="none"/>
        </w:rPr>
        <w:t xml:space="preserve">4.</w:t>
      </w:r>
      <w:r>
        <w:rPr>
          <w:rFonts w:eastAsia="方正仿宋_GBK"/>
          <w:color w:val="auto"/>
          <w:sz w:val="28"/>
          <w:szCs w:val="28"/>
          <w:highlight w:val="none"/>
          <w:lang w:val="zh-CN"/>
        </w:rPr>
        <w:t xml:space="preserve">供应商信用承诺书（格式见附件</w:t>
      </w:r>
      <w:r>
        <w:rPr>
          <w:rFonts w:eastAsia="方正仿宋_GBK"/>
          <w:color w:val="auto"/>
          <w:sz w:val="28"/>
          <w:szCs w:val="28"/>
          <w:highlight w:val="none"/>
        </w:rPr>
        <w:t xml:space="preserve">4</w:t>
      </w:r>
      <w:r>
        <w:rPr>
          <w:rFonts w:eastAsia="方正仿宋_GBK"/>
          <w:color w:val="auto"/>
          <w:sz w:val="28"/>
          <w:szCs w:val="28"/>
          <w:highlight w:val="none"/>
          <w:lang w:val="zh-CN"/>
        </w:rPr>
        <w:t xml:space="preserve">）</w:t>
      </w:r>
      <w:r>
        <w:rPr>
          <w:rFonts w:hint="eastAsia" w:eastAsia="方正仿宋_GBK"/>
          <w:color w:val="auto"/>
          <w:sz w:val="28"/>
          <w:szCs w:val="28"/>
          <w:highlight w:val="none"/>
          <w:lang w:val="zh-CN"/>
        </w:rPr>
        <w:t xml:space="preserve">；</w:t>
      </w:r>
      <w:r/>
    </w:p>
    <w:p>
      <w:pPr>
        <w:ind w:firstLine="560"/>
        <w:spacing w:line="500" w:lineRule="exact"/>
        <w:rPr>
          <w:rFonts w:eastAsia="方正仿宋_GBK"/>
          <w:color w:val="auto"/>
          <w:sz w:val="28"/>
          <w:szCs w:val="28"/>
          <w:highlight w:val="none"/>
          <w:lang w:val="zh-CN"/>
        </w:rPr>
      </w:pPr>
      <w:r>
        <w:rPr>
          <w:rFonts w:eastAsia="方正仿宋_GBK"/>
          <w:color w:val="auto"/>
          <w:sz w:val="28"/>
          <w:szCs w:val="28"/>
          <w:highlight w:val="none"/>
          <w:lang w:val="zh-CN"/>
        </w:rPr>
        <w:t xml:space="preserve">5.投标函（格式见附件5）</w:t>
      </w:r>
      <w:r>
        <w:rPr>
          <w:rFonts w:hint="eastAsia" w:eastAsia="方正仿宋_GBK"/>
          <w:color w:val="auto"/>
          <w:sz w:val="28"/>
          <w:szCs w:val="28"/>
          <w:highlight w:val="none"/>
          <w:lang w:val="zh-CN"/>
        </w:rPr>
        <w:t xml:space="preserve">；</w:t>
      </w:r>
      <w:r/>
    </w:p>
    <w:p>
      <w:pPr>
        <w:ind w:firstLine="560"/>
        <w:spacing w:line="500" w:lineRule="exact"/>
        <w:rPr>
          <w:rFonts w:eastAsia="方正仿宋_GBK"/>
          <w:bCs/>
          <w:color w:val="auto"/>
          <w:sz w:val="28"/>
          <w:szCs w:val="28"/>
          <w:highlight w:val="none"/>
          <w:lang w:val="zh-CN"/>
        </w:rPr>
      </w:pPr>
      <w:r>
        <w:rPr>
          <w:rFonts w:eastAsia="方正仿宋_GBK"/>
          <w:color w:val="auto"/>
          <w:sz w:val="28"/>
          <w:szCs w:val="28"/>
          <w:highlight w:val="none"/>
        </w:rPr>
        <w:t xml:space="preserve">6</w:t>
      </w:r>
      <w:r>
        <w:rPr>
          <w:rFonts w:eastAsia="方正仿宋_GBK"/>
          <w:color w:val="auto"/>
          <w:sz w:val="28"/>
          <w:szCs w:val="28"/>
          <w:highlight w:val="none"/>
          <w:lang w:val="zh-CN"/>
        </w:rPr>
        <w:t xml:space="preserve">.</w:t>
      </w:r>
      <w:r>
        <w:rPr>
          <w:rFonts w:eastAsia="方正仿宋_GBK"/>
          <w:bCs/>
          <w:color w:val="auto"/>
          <w:sz w:val="28"/>
          <w:szCs w:val="28"/>
          <w:highlight w:val="none"/>
          <w:lang w:val="zh-CN"/>
        </w:rPr>
        <w:t xml:space="preserve">商务部分正负偏离表（格式见附件6）、技术部分正负偏离表（格式见附件7）</w:t>
      </w:r>
      <w:r>
        <w:rPr>
          <w:rFonts w:hint="eastAsia" w:eastAsia="方正仿宋_GBK"/>
          <w:color w:val="auto"/>
          <w:sz w:val="28"/>
          <w:szCs w:val="28"/>
          <w:highlight w:val="none"/>
          <w:lang w:val="zh-CN"/>
        </w:rPr>
        <w:t xml:space="preserve">；</w:t>
      </w:r>
      <w:r/>
    </w:p>
    <w:p>
      <w:pPr>
        <w:ind w:firstLine="560"/>
        <w:spacing w:line="500" w:lineRule="exact"/>
        <w:rPr>
          <w:rFonts w:eastAsia="方正仿宋_GBK"/>
          <w:bCs/>
          <w:color w:val="auto"/>
          <w:sz w:val="28"/>
          <w:szCs w:val="28"/>
          <w:highlight w:val="none"/>
          <w:lang w:val="zh-CN"/>
        </w:rPr>
      </w:pPr>
      <w:r>
        <w:rPr>
          <w:rFonts w:eastAsia="方正仿宋_GBK"/>
          <w:bCs/>
          <w:color w:val="auto"/>
          <w:sz w:val="28"/>
          <w:szCs w:val="28"/>
          <w:highlight w:val="none"/>
          <w:lang w:val="zh-CN"/>
        </w:rPr>
        <w:t xml:space="preserve">填制正负偏离表，完全响应的，请以空白表列示。不完全响应的，必须在偏离表中列示；列示不全的，视同故意隐瞒。</w:t>
      </w:r>
      <w:r/>
    </w:p>
    <w:p>
      <w:pPr>
        <w:pStyle w:val="900"/>
        <w:ind w:firstLine="560"/>
        <w:spacing w:before="0" w:beforeAutospacing="0" w:after="0" w:afterAutospacing="0" w:line="500" w:lineRule="exact"/>
        <w:rPr>
          <w:rFonts w:ascii="Times New Roman" w:hAnsi="Times New Roman" w:eastAsia="方正仿宋_GBK"/>
          <w:color w:val="auto"/>
          <w:sz w:val="28"/>
          <w:szCs w:val="28"/>
          <w:highlight w:val="none"/>
          <w:lang w:val="zh-CN"/>
        </w:rPr>
      </w:pPr>
      <w:r>
        <w:rPr>
          <w:rFonts w:ascii="Times New Roman" w:hAnsi="Times New Roman" w:eastAsia="方正仿宋_GBK"/>
          <w:bCs/>
          <w:color w:val="auto"/>
          <w:sz w:val="28"/>
          <w:szCs w:val="28"/>
          <w:highlight w:val="none"/>
          <w:lang w:val="zh-CN"/>
        </w:rPr>
        <w:t xml:space="preserve">7.开标一览表[格式见“苏采云”系统内电子投标（响应）文件中表式]</w:t>
      </w:r>
      <w:r>
        <w:rPr>
          <w:rFonts w:hint="eastAsia" w:eastAsia="方正仿宋_GBK"/>
          <w:color w:val="auto"/>
          <w:sz w:val="28"/>
          <w:szCs w:val="28"/>
          <w:highlight w:val="none"/>
          <w:lang w:val="zh-CN"/>
        </w:rPr>
        <w:t xml:space="preserve">；</w:t>
      </w:r>
      <w:r/>
    </w:p>
    <w:p>
      <w:pPr>
        <w:ind w:firstLine="560"/>
        <w:spacing w:line="500" w:lineRule="exact"/>
        <w:rPr>
          <w:rFonts w:eastAsia="方正仿宋_GBK"/>
          <w:color w:val="auto"/>
          <w:sz w:val="28"/>
          <w:szCs w:val="28"/>
          <w:highlight w:val="none"/>
          <w:lang w:val="zh-CN"/>
        </w:rPr>
      </w:pPr>
      <w:r>
        <w:rPr>
          <w:rFonts w:eastAsia="方正仿宋_GBK"/>
          <w:color w:val="auto"/>
          <w:sz w:val="28"/>
          <w:szCs w:val="28"/>
          <w:highlight w:val="none"/>
          <w:lang w:val="zh-CN"/>
        </w:rPr>
        <w:t xml:space="preserve">8.分项报价明细表（格式见附件8）</w:t>
      </w:r>
      <w:r>
        <w:rPr>
          <w:rFonts w:hint="eastAsia" w:eastAsia="方正仿宋_GBK"/>
          <w:color w:val="auto"/>
          <w:sz w:val="28"/>
          <w:szCs w:val="28"/>
          <w:highlight w:val="none"/>
          <w:lang w:val="zh-CN"/>
        </w:rPr>
        <w:t xml:space="preserve">；</w:t>
      </w:r>
      <w:r/>
    </w:p>
    <w:p>
      <w:pPr>
        <w:ind w:firstLine="560"/>
        <w:spacing w:line="500" w:lineRule="exact"/>
        <w:rPr>
          <w:rFonts w:eastAsia="方正仿宋_GBK"/>
          <w:color w:val="auto"/>
          <w:sz w:val="28"/>
          <w:szCs w:val="28"/>
          <w:highlight w:val="none"/>
          <w:lang w:val="zh-CN"/>
        </w:rPr>
      </w:pPr>
      <w:r>
        <w:rPr>
          <w:rFonts w:eastAsia="方正仿宋_GBK"/>
          <w:color w:val="auto"/>
          <w:sz w:val="28"/>
          <w:szCs w:val="28"/>
          <w:highlight w:val="none"/>
          <w:lang w:val="zh-CN"/>
        </w:rPr>
        <w:t xml:space="preserve">9.</w:t>
      </w:r>
      <w:r>
        <w:rPr>
          <w:rFonts w:eastAsia="方正仿宋_GBK"/>
          <w:color w:val="auto"/>
          <w:sz w:val="28"/>
          <w:szCs w:val="28"/>
          <w:highlight w:val="none"/>
        </w:rPr>
        <w:t xml:space="preserve">中小企业声明函（格式见附件9）</w:t>
      </w:r>
      <w:r>
        <w:rPr>
          <w:rFonts w:hint="eastAsia" w:eastAsia="方正仿宋_GBK"/>
          <w:color w:val="auto"/>
          <w:sz w:val="28"/>
          <w:szCs w:val="28"/>
          <w:highlight w:val="none"/>
          <w:lang w:val="zh-CN"/>
        </w:rPr>
        <w:t xml:space="preserve">；</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lang w:val="zh-CN"/>
        </w:rPr>
        <w:t xml:space="preserve">10.</w:t>
      </w:r>
      <w:r>
        <w:rPr>
          <w:rFonts w:eastAsia="方正仿宋_GBK"/>
          <w:color w:val="auto"/>
          <w:sz w:val="28"/>
          <w:szCs w:val="28"/>
          <w:highlight w:val="none"/>
        </w:rPr>
        <w:t xml:space="preserve">残疾人福利性单位声明函（格式见附件10）</w:t>
      </w:r>
      <w:r>
        <w:rPr>
          <w:rFonts w:hint="eastAsia" w:eastAsia="方正仿宋_GBK"/>
          <w:color w:val="auto"/>
          <w:sz w:val="28"/>
          <w:szCs w:val="28"/>
          <w:highlight w:val="none"/>
          <w:lang w:val="zh-CN"/>
        </w:rPr>
        <w:t xml:space="preserve">；</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11.</w:t>
      </w:r>
      <w:r>
        <w:rPr>
          <w:rFonts w:eastAsia="方正仿宋_GBK"/>
          <w:bCs/>
          <w:color w:val="auto"/>
          <w:sz w:val="28"/>
          <w:szCs w:val="28"/>
          <w:highlight w:val="none"/>
        </w:rPr>
        <w:t xml:space="preserve">监狱和戒毒企业证明材料（格式见附件11）</w:t>
      </w:r>
      <w:r>
        <w:rPr>
          <w:rFonts w:hint="eastAsia" w:eastAsia="方正仿宋_GBK"/>
          <w:color w:val="auto"/>
          <w:sz w:val="28"/>
          <w:szCs w:val="28"/>
          <w:highlight w:val="none"/>
          <w:lang w:val="zh-CN"/>
        </w:rPr>
        <w:t xml:space="preserve">；</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12.关于符合本国产品标准的声明函（格式见附件12，</w:t>
      </w:r>
      <w:r>
        <w:rPr>
          <w:rFonts w:eastAsia="方正仿宋_GBK"/>
          <w:bCs/>
          <w:color w:val="auto"/>
          <w:sz w:val="28"/>
          <w:szCs w:val="28"/>
          <w:highlight w:val="none"/>
        </w:rPr>
        <w:t xml:space="preserve">如不提供将不享受本国产品价格评审优惠</w:t>
      </w:r>
      <w:r>
        <w:rPr>
          <w:rFonts w:eastAsia="方正仿宋_GBK"/>
          <w:color w:val="auto"/>
          <w:sz w:val="28"/>
          <w:szCs w:val="28"/>
          <w:highlight w:val="none"/>
        </w:rPr>
        <w:t xml:space="preserve">）</w:t>
      </w:r>
      <w:r>
        <w:rPr>
          <w:rFonts w:eastAsia="方正仿宋_GBK"/>
          <w:bCs/>
          <w:color w:val="auto"/>
          <w:sz w:val="28"/>
          <w:szCs w:val="28"/>
          <w:highlight w:val="none"/>
        </w:rPr>
        <w:t xml:space="preserve">。</w:t>
      </w:r>
      <w:r/>
    </w:p>
    <w:p>
      <w:pPr>
        <w:contextualSpacing/>
        <w:ind w:firstLine="540"/>
        <w:spacing w:line="400" w:lineRule="exact"/>
        <w:rPr>
          <w:b/>
          <w:color w:val="auto"/>
          <w:sz w:val="28"/>
          <w:szCs w:val="28"/>
          <w:highlight w:val="none"/>
          <w:lang w:val="zh-CN"/>
        </w:rPr>
      </w:pPr>
      <w:r>
        <w:rPr>
          <w:b/>
          <w:color w:val="auto"/>
          <w:sz w:val="28"/>
          <w:szCs w:val="28"/>
          <w:highlight w:val="none"/>
          <w:lang w:val="zh-CN"/>
        </w:rPr>
      </w:r>
      <w:r/>
    </w:p>
    <w:p>
      <w:pPr>
        <w:jc w:val="left"/>
        <w:widowControl/>
        <w:rPr>
          <w:rFonts w:eastAsia="方正黑体_GBK"/>
          <w:color w:val="auto"/>
          <w:sz w:val="32"/>
          <w:szCs w:val="32"/>
          <w:highlight w:val="none"/>
          <w:lang w:val="zh-CN"/>
        </w:rPr>
      </w:pPr>
      <w:r>
        <w:rPr>
          <w:rFonts w:eastAsia="方正黑体_GBK"/>
          <w:color w:val="auto"/>
          <w:sz w:val="32"/>
          <w:szCs w:val="32"/>
          <w:highlight w:val="none"/>
          <w:lang w:val="zh-CN"/>
        </w:rPr>
        <w:br w:type="page" w:clear="all"/>
      </w:r>
      <w:r>
        <w:rPr>
          <w:rFonts w:eastAsia="方正黑体_GBK"/>
          <w:color w:val="auto"/>
          <w:sz w:val="32"/>
          <w:szCs w:val="32"/>
          <w:highlight w:val="none"/>
          <w:lang w:val="zh-CN"/>
        </w:rPr>
        <w:t xml:space="preserve">附件1</w:t>
      </w:r>
      <w:r/>
    </w:p>
    <w:p>
      <w:pPr>
        <w:jc w:val="center"/>
        <w:rPr>
          <w:rFonts w:ascii="方正小标宋简体" w:hAnsi="方正小标宋简体" w:eastAsia="方正小标宋简体" w:cs="方正小标宋简体"/>
          <w:bCs/>
          <w:color w:val="auto"/>
          <w:sz w:val="30"/>
          <w:szCs w:val="30"/>
          <w:highlight w:val="none"/>
        </w:rPr>
      </w:pPr>
      <w:r>
        <w:rPr>
          <w:rFonts w:hint="eastAsia" w:ascii="方正小标宋简体" w:hAnsi="方正小标宋简体" w:eastAsia="方正小标宋简体" w:cs="方正小标宋简体"/>
          <w:bCs/>
          <w:color w:val="auto"/>
          <w:sz w:val="30"/>
          <w:szCs w:val="30"/>
          <w:highlight w:val="none"/>
        </w:rPr>
        <w:t xml:space="preserve">投标人符合《中华人民共和国政府采购法》第二十二条规定条件的声明函</w:t>
      </w:r>
      <w:r/>
    </w:p>
    <w:p>
      <w:pPr>
        <w:ind w:firstLine="482"/>
        <w:spacing w:line="520" w:lineRule="exact"/>
        <w:rPr>
          <w:rFonts w:ascii="宋体" w:hAnsi="宋体"/>
          <w:b/>
          <w:bCs/>
          <w:color w:val="auto"/>
          <w:sz w:val="24"/>
          <w:szCs w:val="21"/>
          <w:highlight w:val="none"/>
        </w:rPr>
      </w:pPr>
      <w:r>
        <w:rPr>
          <w:rFonts w:ascii="宋体" w:hAnsi="宋体"/>
          <w:b/>
          <w:bCs/>
          <w:color w:val="auto"/>
          <w:sz w:val="24"/>
          <w:szCs w:val="21"/>
          <w:highlight w:val="none"/>
        </w:rPr>
      </w:r>
      <w:r/>
    </w:p>
    <w:p>
      <w:pPr>
        <w:spacing w:line="520" w:lineRule="exact"/>
        <w:rPr>
          <w:rFonts w:eastAsia="仿宋"/>
          <w:b/>
          <w:bCs/>
          <w:color w:val="auto"/>
          <w:sz w:val="28"/>
          <w:szCs w:val="28"/>
          <w:highlight w:val="none"/>
        </w:rPr>
      </w:pPr>
      <w:r>
        <w:rPr>
          <w:rFonts w:eastAsia="仿宋"/>
          <w:bCs/>
          <w:color w:val="auto"/>
          <w:sz w:val="28"/>
          <w:szCs w:val="28"/>
          <w:highlight w:val="none"/>
        </w:rPr>
        <w:t xml:space="preserve">我单位参加</w:t>
      </w:r>
      <w:r>
        <w:rPr>
          <w:rFonts w:eastAsia="仿宋"/>
          <w:color w:val="auto"/>
          <w:sz w:val="28"/>
          <w:szCs w:val="28"/>
          <w:highlight w:val="none"/>
          <w:u w:val="single"/>
        </w:rPr>
        <w:t xml:space="preserve">               </w:t>
      </w:r>
      <w:r>
        <w:rPr>
          <w:rFonts w:hint="eastAsia" w:eastAsia="仿宋"/>
          <w:color w:val="auto"/>
          <w:sz w:val="28"/>
          <w:szCs w:val="28"/>
          <w:highlight w:val="none"/>
          <w:u w:val="single"/>
        </w:rPr>
        <w:t xml:space="preserve">          </w:t>
      </w:r>
      <w:r>
        <w:rPr>
          <w:rFonts w:eastAsia="仿宋"/>
          <w:color w:val="auto"/>
          <w:sz w:val="28"/>
          <w:szCs w:val="28"/>
          <w:highlight w:val="none"/>
          <w:u w:val="single"/>
        </w:rPr>
        <w:t xml:space="preserve">                 </w:t>
      </w:r>
      <w:r>
        <w:rPr>
          <w:rFonts w:eastAsia="仿宋"/>
          <w:bCs/>
          <w:color w:val="auto"/>
          <w:sz w:val="28"/>
          <w:szCs w:val="28"/>
          <w:highlight w:val="none"/>
        </w:rPr>
        <w:t xml:space="preserve">（项目名称）</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项目编号：                      </w:t>
      </w:r>
      <w:r>
        <w:rPr>
          <w:rFonts w:hint="eastAsia" w:ascii="仿宋" w:hAnsi="仿宋" w:eastAsia="仿宋" w:cs="仿宋"/>
          <w:color w:val="auto"/>
          <w:sz w:val="28"/>
          <w:szCs w:val="28"/>
          <w:highlight w:val="none"/>
        </w:rPr>
        <w:t xml:space="preserve">）</w:t>
      </w:r>
      <w:r>
        <w:rPr>
          <w:rFonts w:eastAsia="仿宋"/>
          <w:bCs/>
          <w:color w:val="auto"/>
          <w:sz w:val="28"/>
          <w:szCs w:val="28"/>
          <w:highlight w:val="none"/>
        </w:rPr>
        <w:t xml:space="preserve">投标活动。针对《中华人民共和国政府采购法》第二十二条规定做出如下声明：</w:t>
      </w:r>
      <w:r/>
    </w:p>
    <w:p>
      <w:pPr>
        <w:ind w:firstLine="482"/>
        <w:spacing w:line="520" w:lineRule="exact"/>
        <w:rPr>
          <w:rFonts w:eastAsia="仿宋"/>
          <w:color w:val="auto"/>
          <w:sz w:val="28"/>
          <w:szCs w:val="28"/>
          <w:highlight w:val="none"/>
        </w:rPr>
      </w:pPr>
      <w:r>
        <w:rPr>
          <w:rFonts w:eastAsia="仿宋"/>
          <w:bCs/>
          <w:color w:val="auto"/>
          <w:sz w:val="28"/>
          <w:szCs w:val="28"/>
          <w:highlight w:val="none"/>
        </w:rPr>
        <w:t xml:space="preserve">1.我单位具有独立承担民事责任的能力；</w:t>
      </w:r>
      <w:r/>
    </w:p>
    <w:p>
      <w:pPr>
        <w:ind w:firstLine="482"/>
        <w:spacing w:line="520" w:lineRule="exact"/>
        <w:rPr>
          <w:rFonts w:eastAsia="仿宋"/>
          <w:color w:val="auto"/>
          <w:sz w:val="28"/>
          <w:szCs w:val="28"/>
          <w:highlight w:val="none"/>
        </w:rPr>
      </w:pPr>
      <w:r>
        <w:rPr>
          <w:rFonts w:eastAsia="仿宋"/>
          <w:color w:val="auto"/>
          <w:sz w:val="28"/>
          <w:szCs w:val="28"/>
          <w:highlight w:val="none"/>
        </w:rPr>
        <w:t xml:space="preserve">2.我单位具有良好的商业信誉和健全的财务会计制度；</w:t>
      </w:r>
      <w:r/>
    </w:p>
    <w:p>
      <w:pPr>
        <w:ind w:firstLine="482"/>
        <w:spacing w:line="520" w:lineRule="exact"/>
        <w:rPr>
          <w:rFonts w:eastAsia="仿宋"/>
          <w:color w:val="auto"/>
          <w:sz w:val="28"/>
          <w:szCs w:val="28"/>
          <w:highlight w:val="none"/>
        </w:rPr>
      </w:pPr>
      <w:r>
        <w:rPr>
          <w:rFonts w:eastAsia="仿宋"/>
          <w:color w:val="auto"/>
          <w:sz w:val="28"/>
          <w:szCs w:val="28"/>
          <w:highlight w:val="none"/>
        </w:rPr>
        <w:t xml:space="preserve">3.我单位具有履行合同所必需的设备和专业技术能力；</w:t>
      </w:r>
      <w:r/>
    </w:p>
    <w:p>
      <w:pPr>
        <w:ind w:firstLine="482"/>
        <w:spacing w:line="520" w:lineRule="exact"/>
        <w:rPr>
          <w:rFonts w:eastAsia="仿宋"/>
          <w:color w:val="auto"/>
          <w:sz w:val="28"/>
          <w:szCs w:val="28"/>
          <w:highlight w:val="none"/>
        </w:rPr>
      </w:pPr>
      <w:r>
        <w:rPr>
          <w:rFonts w:eastAsia="仿宋"/>
          <w:color w:val="auto"/>
          <w:sz w:val="28"/>
          <w:szCs w:val="28"/>
          <w:highlight w:val="none"/>
        </w:rPr>
        <w:t xml:space="preserve">4.我单位有依法缴纳税收和社会保障资金的良好记录；</w:t>
      </w:r>
      <w:r/>
    </w:p>
    <w:p>
      <w:pPr>
        <w:ind w:firstLine="482"/>
        <w:spacing w:line="520" w:lineRule="exact"/>
        <w:rPr>
          <w:rFonts w:eastAsia="仿宋"/>
          <w:color w:val="auto"/>
          <w:sz w:val="28"/>
          <w:szCs w:val="28"/>
          <w:highlight w:val="none"/>
        </w:rPr>
      </w:pPr>
      <w:r>
        <w:rPr>
          <w:rFonts w:eastAsia="仿宋"/>
          <w:color w:val="auto"/>
          <w:sz w:val="28"/>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eastAsia="仿宋"/>
          <w:color w:val="auto"/>
          <w:sz w:val="28"/>
          <w:szCs w:val="28"/>
          <w:highlight w:val="none"/>
        </w:rPr>
      </w:pPr>
      <w:r>
        <w:rPr>
          <w:rFonts w:eastAsia="仿宋"/>
          <w:color w:val="auto"/>
          <w:sz w:val="28"/>
          <w:szCs w:val="28"/>
          <w:highlight w:val="none"/>
        </w:rPr>
        <w:t xml:space="preserve">6.我单位满足法律、行政法规规定的其他条件。</w:t>
      </w:r>
      <w:r/>
    </w:p>
    <w:p>
      <w:pPr>
        <w:spacing w:line="500" w:lineRule="exact"/>
        <w:rPr>
          <w:rFonts w:eastAsia="仿宋"/>
          <w:bCs/>
          <w:color w:val="auto"/>
          <w:sz w:val="28"/>
          <w:szCs w:val="28"/>
          <w:highlight w:val="none"/>
        </w:rPr>
      </w:pPr>
      <w:r>
        <w:rPr>
          <w:rFonts w:eastAsia="仿宋"/>
          <w:bCs/>
          <w:color w:val="auto"/>
          <w:sz w:val="28"/>
          <w:szCs w:val="28"/>
          <w:highlight w:val="none"/>
        </w:rPr>
      </w:r>
      <w:r/>
    </w:p>
    <w:p>
      <w:pPr>
        <w:spacing w:line="500" w:lineRule="exact"/>
        <w:rPr>
          <w:rFonts w:eastAsia="仿宋"/>
          <w:bCs/>
          <w:color w:val="auto"/>
          <w:sz w:val="28"/>
          <w:szCs w:val="28"/>
          <w:highlight w:val="none"/>
        </w:rPr>
      </w:pPr>
      <w:r>
        <w:rPr>
          <w:rFonts w:eastAsia="仿宋"/>
          <w:bCs/>
          <w:color w:val="auto"/>
          <w:sz w:val="28"/>
          <w:szCs w:val="28"/>
          <w:highlight w:val="none"/>
        </w:rPr>
      </w:r>
      <w:r/>
    </w:p>
    <w:p>
      <w:pPr>
        <w:jc w:val="center"/>
        <w:spacing w:line="460" w:lineRule="exact"/>
        <w:rPr>
          <w:rFonts w:eastAsia="仿宋"/>
          <w:bCs/>
          <w:color w:val="auto"/>
          <w:sz w:val="28"/>
          <w:szCs w:val="28"/>
          <w:highlight w:val="none"/>
        </w:rPr>
      </w:pPr>
      <w:r>
        <w:rPr>
          <w:rFonts w:eastAsia="仿宋"/>
          <w:bCs/>
          <w:color w:val="auto"/>
          <w:sz w:val="28"/>
          <w:szCs w:val="28"/>
          <w:highlight w:val="none"/>
        </w:rPr>
        <w:t xml:space="preserve"> 承诺人名称（</w:t>
      </w:r>
      <w:r>
        <w:rPr>
          <w:rFonts w:hint="eastAsia" w:eastAsia="仿宋"/>
          <w:bCs/>
          <w:color w:val="auto"/>
          <w:sz w:val="28"/>
          <w:szCs w:val="28"/>
          <w:highlight w:val="none"/>
        </w:rPr>
        <w:t xml:space="preserve">加盖</w:t>
      </w:r>
      <w:r>
        <w:rPr>
          <w:rFonts w:eastAsia="仿宋"/>
          <w:bCs/>
          <w:color w:val="auto"/>
          <w:sz w:val="28"/>
          <w:szCs w:val="28"/>
          <w:highlight w:val="none"/>
        </w:rPr>
        <w:t xml:space="preserve">公章）：</w:t>
      </w:r>
      <w:r>
        <w:rPr>
          <w:rFonts w:eastAsia="仿宋"/>
          <w:color w:val="auto"/>
          <w:sz w:val="28"/>
          <w:szCs w:val="28"/>
          <w:highlight w:val="none"/>
          <w:u w:val="single"/>
        </w:rPr>
        <w:t xml:space="preserve">                   </w:t>
      </w:r>
      <w:r/>
    </w:p>
    <w:p>
      <w:pPr>
        <w:jc w:val="right"/>
        <w:spacing w:line="460" w:lineRule="exact"/>
        <w:rPr>
          <w:rFonts w:eastAsia="仿宋"/>
          <w:bCs/>
          <w:color w:val="auto"/>
          <w:sz w:val="28"/>
          <w:szCs w:val="28"/>
          <w:highlight w:val="none"/>
        </w:rPr>
      </w:pPr>
      <w:r>
        <w:rPr>
          <w:rFonts w:eastAsia="仿宋"/>
          <w:bCs/>
          <w:color w:val="auto"/>
          <w:sz w:val="28"/>
          <w:szCs w:val="28"/>
          <w:highlight w:val="none"/>
        </w:rPr>
        <w:t xml:space="preserve">    </w:t>
      </w:r>
      <w:r/>
    </w:p>
    <w:p>
      <w:pPr>
        <w:jc w:val="right"/>
        <w:spacing w:line="460" w:lineRule="exact"/>
        <w:rPr>
          <w:rFonts w:eastAsia="仿宋"/>
          <w:bCs/>
          <w:color w:val="auto"/>
          <w:sz w:val="28"/>
          <w:szCs w:val="28"/>
          <w:highlight w:val="none"/>
        </w:rPr>
      </w:pPr>
      <w:r>
        <w:rPr>
          <w:rFonts w:eastAsia="仿宋"/>
          <w:bCs/>
          <w:color w:val="auto"/>
          <w:sz w:val="28"/>
          <w:szCs w:val="28"/>
          <w:highlight w:val="none"/>
        </w:rPr>
        <w:t xml:space="preserve">                                日期：</w:t>
      </w:r>
      <w:r>
        <w:rPr>
          <w:rFonts w:eastAsia="仿宋"/>
          <w:bCs/>
          <w:color w:val="auto"/>
          <w:sz w:val="28"/>
          <w:szCs w:val="28"/>
          <w:highlight w:val="none"/>
          <w:u w:val="single"/>
        </w:rPr>
        <w:t xml:space="preserve">        </w:t>
      </w:r>
      <w:r>
        <w:rPr>
          <w:rFonts w:eastAsia="仿宋"/>
          <w:bCs/>
          <w:color w:val="auto"/>
          <w:sz w:val="28"/>
          <w:szCs w:val="28"/>
          <w:highlight w:val="none"/>
        </w:rPr>
        <w:t xml:space="preserve">年</w:t>
      </w:r>
      <w:r>
        <w:rPr>
          <w:rFonts w:eastAsia="仿宋"/>
          <w:bCs/>
          <w:color w:val="auto"/>
          <w:sz w:val="28"/>
          <w:szCs w:val="28"/>
          <w:highlight w:val="none"/>
          <w:u w:val="single"/>
        </w:rPr>
        <w:t xml:space="preserve">    </w:t>
      </w:r>
      <w:r>
        <w:rPr>
          <w:rFonts w:eastAsia="仿宋"/>
          <w:bCs/>
          <w:color w:val="auto"/>
          <w:sz w:val="28"/>
          <w:szCs w:val="28"/>
          <w:highlight w:val="none"/>
        </w:rPr>
        <w:t xml:space="preserve">月</w:t>
      </w:r>
      <w:r>
        <w:rPr>
          <w:rFonts w:eastAsia="仿宋"/>
          <w:bCs/>
          <w:color w:val="auto"/>
          <w:sz w:val="28"/>
          <w:szCs w:val="28"/>
          <w:highlight w:val="none"/>
          <w:u w:val="single"/>
        </w:rPr>
        <w:t xml:space="preserve">    </w:t>
      </w:r>
      <w:r>
        <w:rPr>
          <w:rFonts w:eastAsia="仿宋"/>
          <w:bCs/>
          <w:color w:val="auto"/>
          <w:sz w:val="28"/>
          <w:szCs w:val="28"/>
          <w:highlight w:val="none"/>
        </w:rPr>
        <w:t xml:space="preserve">日</w:t>
      </w:r>
      <w:r/>
    </w:p>
    <w:p>
      <w:pPr>
        <w:contextualSpacing/>
        <w:spacing w:line="400" w:lineRule="exact"/>
        <w:rPr>
          <w:b/>
          <w:color w:val="auto"/>
          <w:sz w:val="28"/>
          <w:szCs w:val="28"/>
          <w:highlight w:val="none"/>
        </w:rPr>
      </w:pPr>
      <w:r>
        <w:rPr>
          <w:b/>
          <w:color w:val="auto"/>
          <w:sz w:val="28"/>
          <w:szCs w:val="28"/>
          <w:highlight w:val="none"/>
        </w:rPr>
      </w:r>
      <w:r/>
    </w:p>
    <w:p>
      <w:pPr>
        <w:contextualSpacing/>
        <w:spacing w:line="400" w:lineRule="exact"/>
        <w:rPr>
          <w:rFonts w:eastAsia="方正黑体_GBK"/>
          <w:color w:val="auto"/>
          <w:sz w:val="32"/>
          <w:szCs w:val="32"/>
          <w:highlight w:val="none"/>
          <w:lang w:val="zh-CN"/>
        </w:rPr>
      </w:pPr>
      <w:r>
        <w:rPr>
          <w:rFonts w:eastAsia="方正黑体_GBK"/>
          <w:color w:val="auto"/>
          <w:sz w:val="32"/>
          <w:szCs w:val="32"/>
          <w:highlight w:val="none"/>
          <w:lang w:val="zh-CN"/>
        </w:rPr>
        <w:t xml:space="preserve">附件2</w:t>
      </w:r>
      <w:r/>
    </w:p>
    <w:p>
      <w:pPr>
        <w:jc w:val="center"/>
        <w:rPr>
          <w:rFonts w:ascii="宋体" w:hAnsi="宋体"/>
          <w:color w:val="auto"/>
          <w:sz w:val="28"/>
          <w:szCs w:val="28"/>
          <w:highlight w:val="none"/>
        </w:rPr>
      </w:pPr>
      <w:r>
        <w:rPr>
          <w:rFonts w:hint="eastAsia" w:ascii="方正小标宋简体" w:hAnsi="方正小标宋简体" w:eastAsia="方正小标宋简体" w:cs="方正小标宋简体"/>
          <w:bCs/>
          <w:color w:val="auto"/>
          <w:sz w:val="30"/>
          <w:szCs w:val="30"/>
          <w:highlight w:val="none"/>
        </w:rPr>
        <w:t xml:space="preserve">法定代表人身份证明</w:t>
      </w:r>
      <w:r/>
    </w:p>
    <w:p>
      <w:pPr>
        <w:ind w:firstLine="560"/>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先生/女士，身份证号码：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，现任我单位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职务，为我单位法定代表人，特此证明。</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本证明用于参加</w:t>
      </w:r>
      <w:r>
        <w:rPr>
          <w:rFonts w:hint="eastAsia" w:ascii="仿宋" w:hAnsi="仿宋" w:eastAsia="仿宋" w:cs="仿宋"/>
          <w:color w:val="auto"/>
          <w:sz w:val="28"/>
          <w:szCs w:val="28"/>
          <w:highlight w:val="none"/>
          <w:u w:val="single"/>
        </w:rPr>
        <w:t xml:space="preserve">              </w:t>
      </w:r>
      <w:r>
        <w:rPr>
          <w:rFonts w:eastAsia="仿宋"/>
          <w:color w:val="auto"/>
          <w:sz w:val="28"/>
          <w:szCs w:val="28"/>
          <w:highlight w:val="none"/>
          <w:u w:val="single"/>
        </w:rPr>
        <w:t xml:space="preserve">                   </w:t>
      </w:r>
      <w:r>
        <w:rPr>
          <w:rFonts w:eastAsia="仿宋"/>
          <w:bCs/>
          <w:color w:val="auto"/>
          <w:sz w:val="28"/>
          <w:szCs w:val="28"/>
          <w:highlight w:val="none"/>
        </w:rPr>
        <w:t xml:space="preserve">（项目名称）</w:t>
      </w:r>
      <w:r>
        <w:rPr>
          <w:rFonts w:eastAsia="仿宋"/>
          <w:bCs/>
          <w:color w:val="auto"/>
          <w:sz w:val="28"/>
          <w:szCs w:val="28"/>
          <w:highlight w:val="none"/>
          <w:u w:val="single"/>
        </w:rPr>
        <w:t xml:space="preserve"> </w:t>
      </w:r>
      <w:r>
        <w:rPr>
          <w:rFonts w:eastAsia="仿宋"/>
          <w:bCs/>
          <w:color w:val="auto"/>
          <w:sz w:val="28"/>
          <w:szCs w:val="28"/>
          <w:highlight w:val="none"/>
        </w:rPr>
        <w:t xml:space="preserve">（</w:t>
      </w:r>
      <w:r>
        <w:rPr>
          <w:rFonts w:hint="eastAsia" w:ascii="仿宋" w:hAnsi="仿宋" w:eastAsia="仿宋" w:cs="仿宋"/>
          <w:color w:val="auto"/>
          <w:sz w:val="28"/>
          <w:szCs w:val="28"/>
          <w:highlight w:val="none"/>
          <w:u w:val="single"/>
        </w:rPr>
        <w:t xml:space="preserve">项目编号：                    </w:t>
      </w:r>
      <w:r>
        <w:rPr>
          <w:rFonts w:eastAsia="仿宋"/>
          <w:bCs/>
          <w:color w:val="auto"/>
          <w:sz w:val="28"/>
          <w:szCs w:val="28"/>
          <w:highlight w:val="none"/>
        </w:rPr>
        <w:t xml:space="preserve">）</w:t>
      </w:r>
      <w:r>
        <w:rPr>
          <w:rFonts w:hint="eastAsia" w:ascii="仿宋" w:hAnsi="仿宋" w:eastAsia="仿宋" w:cs="仿宋"/>
          <w:bCs/>
          <w:color w:val="auto"/>
          <w:sz w:val="28"/>
          <w:szCs w:val="28"/>
          <w:highlight w:val="none"/>
        </w:rPr>
        <w:t xml:space="preserve">投标活动。</w:t>
      </w:r>
      <w:r/>
    </w:p>
    <w:p>
      <w:pPr>
        <w:ind w:firstLine="480"/>
        <w:spacing w:line="48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480"/>
        <w:spacing w:line="48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left="3255" w:firstLine="280"/>
        <w:spacing w:line="48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left="3255" w:firstLine="280"/>
        <w:jc w:val="left"/>
        <w:spacing w:line="48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单位名称（加盖公章）：</w:t>
      </w:r>
      <w:r>
        <w:rPr>
          <w:rFonts w:hint="eastAsia" w:ascii="仿宋" w:hAnsi="仿宋" w:eastAsia="仿宋" w:cs="仿宋"/>
          <w:color w:val="auto"/>
          <w:sz w:val="28"/>
          <w:szCs w:val="28"/>
          <w:highlight w:val="none"/>
          <w:u w:val="single"/>
        </w:rPr>
        <w:t xml:space="preserve">                 </w:t>
      </w:r>
      <w:r/>
    </w:p>
    <w:p>
      <w:pPr>
        <w:ind w:left="3255" w:firstLine="280"/>
        <w:jc w:val="left"/>
        <w:spacing w:line="48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日 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w:t>
      </w:r>
      <w:r/>
    </w:p>
    <w:p>
      <w:pPr>
        <w:jc w:val="left"/>
        <w:spacing w:line="48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spacing w:line="360" w:lineRule="auto"/>
        <w:widowControl/>
        <w:rPr>
          <w:rFonts w:ascii="仿宋" w:hAnsi="仿宋" w:eastAsia="仿宋" w:cs="仿宋"/>
          <w:b/>
          <w:bCs/>
          <w:color w:val="auto"/>
          <w:sz w:val="28"/>
          <w:szCs w:val="28"/>
          <w:highlight w:val="none"/>
        </w:rPr>
      </w:pPr>
      <w:r>
        <w:rPr>
          <w:rFonts w:hint="eastAsia" w:ascii="仿宋" w:hAnsi="仿宋" w:eastAsia="仿宋" w:cs="仿宋"/>
          <w:b/>
          <w:color w:val="auto"/>
          <w:sz w:val="28"/>
          <w:szCs w:val="28"/>
          <w:highlight w:val="none"/>
        </w:rPr>
        <w:t xml:space="preserve">附：法定代表人的身份证复印件加盖单位公章</w:t>
      </w:r>
      <w:r/>
    </w:p>
    <w:p>
      <w:pPr>
        <w:rPr>
          <w:color w:val="auto"/>
          <w:highlight w:val="none"/>
        </w:rPr>
      </w:pPr>
      <w:r>
        <w:rPr>
          <w:color w:val="auto"/>
          <w:highlight w:val="none"/>
        </w:rPr>
        <w:t xml:space="preserve">     </w:t>
      </w:r>
      <w:r/>
    </w:p>
    <w:p>
      <w:pPr>
        <w:contextualSpacing/>
        <w:ind w:firstLine="540"/>
        <w:spacing w:line="400" w:lineRule="exact"/>
        <w:rPr>
          <w:b/>
          <w:color w:val="auto"/>
          <w:sz w:val="28"/>
          <w:szCs w:val="28"/>
          <w:highlight w:val="none"/>
        </w:rPr>
      </w:pPr>
      <w:r>
        <w:rPr>
          <w:b/>
          <w:color w:val="auto"/>
          <w:sz w:val="28"/>
          <w:szCs w:val="28"/>
          <w:highlight w:val="none"/>
        </w:rPr>
      </w:r>
      <w:r/>
    </w:p>
    <w:p>
      <w:pPr>
        <w:contextualSpacing/>
        <w:ind w:firstLine="540"/>
        <w:spacing w:line="400" w:lineRule="exact"/>
        <w:rPr>
          <w:b/>
          <w:color w:val="auto"/>
          <w:sz w:val="28"/>
          <w:szCs w:val="28"/>
          <w:highlight w:val="none"/>
          <w:lang w:val="zh-CN"/>
        </w:rPr>
      </w:pPr>
      <w:r>
        <w:rPr>
          <w:b/>
          <w:color w:val="auto"/>
          <w:sz w:val="28"/>
          <w:szCs w:val="28"/>
          <w:highlight w:val="none"/>
          <w:lang w:val="zh-CN"/>
        </w:rPr>
      </w:r>
      <w:r/>
    </w:p>
    <w:p>
      <w:pPr>
        <w:contextualSpacing/>
        <w:ind w:firstLine="540"/>
        <w:spacing w:line="400" w:lineRule="exact"/>
        <w:rPr>
          <w:b/>
          <w:color w:val="auto"/>
          <w:sz w:val="28"/>
          <w:szCs w:val="28"/>
          <w:highlight w:val="none"/>
          <w:lang w:val="zh-CN"/>
        </w:rPr>
      </w:pPr>
      <w:r>
        <w:rPr>
          <w:b/>
          <w:color w:val="auto"/>
          <w:sz w:val="28"/>
          <w:szCs w:val="28"/>
          <w:highlight w:val="none"/>
          <w:lang w:val="zh-CN"/>
        </w:rPr>
      </w:r>
      <w:r/>
    </w:p>
    <w:p>
      <w:pPr>
        <w:contextualSpacing/>
        <w:ind w:firstLine="540"/>
        <w:spacing w:line="400" w:lineRule="exact"/>
        <w:rPr>
          <w:b/>
          <w:color w:val="auto"/>
          <w:sz w:val="28"/>
          <w:szCs w:val="28"/>
          <w:highlight w:val="none"/>
        </w:rPr>
      </w:pPr>
      <w:r>
        <w:rPr>
          <w:b/>
          <w:color w:val="auto"/>
          <w:sz w:val="28"/>
          <w:szCs w:val="28"/>
          <w:highlight w:val="none"/>
        </w:rPr>
      </w:r>
      <w:r/>
    </w:p>
    <w:p>
      <w:pPr>
        <w:contextualSpacing/>
        <w:ind w:firstLine="540"/>
        <w:spacing w:line="400" w:lineRule="exact"/>
        <w:rPr>
          <w:b/>
          <w:color w:val="auto"/>
          <w:sz w:val="28"/>
          <w:szCs w:val="28"/>
          <w:highlight w:val="none"/>
          <w:lang w:val="zh-CN"/>
        </w:rPr>
      </w:pPr>
      <w:r>
        <w:rPr>
          <w:b/>
          <w:color w:val="auto"/>
          <w:sz w:val="28"/>
          <w:szCs w:val="28"/>
          <w:highlight w:val="none"/>
          <w:lang w:val="zh-CN"/>
        </w:rPr>
      </w:r>
      <w:r/>
    </w:p>
    <w:p>
      <w:pPr>
        <w:contextualSpacing/>
        <w:ind w:firstLine="540"/>
        <w:spacing w:line="400" w:lineRule="exact"/>
        <w:rPr>
          <w:b/>
          <w:color w:val="auto"/>
          <w:sz w:val="28"/>
          <w:szCs w:val="28"/>
          <w:highlight w:val="none"/>
          <w:lang w:val="zh-CN"/>
        </w:rPr>
      </w:pPr>
      <w:r>
        <w:rPr>
          <w:b/>
          <w:color w:val="auto"/>
          <w:sz w:val="28"/>
          <w:szCs w:val="28"/>
          <w:highlight w:val="none"/>
          <w:lang w:val="zh-CN"/>
        </w:rPr>
      </w:r>
      <w:r/>
    </w:p>
    <w:p>
      <w:pPr>
        <w:contextualSpacing/>
        <w:ind w:firstLine="540"/>
        <w:spacing w:line="400" w:lineRule="exact"/>
        <w:rPr>
          <w:b/>
          <w:color w:val="auto"/>
          <w:sz w:val="28"/>
          <w:szCs w:val="28"/>
          <w:highlight w:val="none"/>
          <w:lang w:val="zh-CN"/>
        </w:rPr>
      </w:pPr>
      <w:r>
        <w:rPr>
          <w:b/>
          <w:color w:val="auto"/>
          <w:sz w:val="28"/>
          <w:szCs w:val="28"/>
          <w:highlight w:val="none"/>
          <w:lang w:val="zh-CN"/>
        </w:rPr>
      </w:r>
      <w:r/>
    </w:p>
    <w:p>
      <w:pPr>
        <w:contextualSpacing/>
        <w:ind w:firstLine="540"/>
        <w:spacing w:line="400" w:lineRule="exact"/>
        <w:rPr>
          <w:b/>
          <w:color w:val="auto"/>
          <w:sz w:val="28"/>
          <w:szCs w:val="28"/>
          <w:highlight w:val="none"/>
          <w:lang w:val="zh-CN"/>
        </w:rPr>
      </w:pPr>
      <w:r>
        <w:rPr>
          <w:b/>
          <w:color w:val="auto"/>
          <w:sz w:val="28"/>
          <w:szCs w:val="28"/>
          <w:highlight w:val="none"/>
          <w:lang w:val="zh-CN"/>
        </w:rPr>
      </w:r>
      <w:r/>
    </w:p>
    <w:p>
      <w:pPr>
        <w:contextualSpacing/>
        <w:ind w:firstLine="540"/>
        <w:spacing w:line="400" w:lineRule="exact"/>
        <w:rPr>
          <w:b/>
          <w:color w:val="auto"/>
          <w:sz w:val="28"/>
          <w:szCs w:val="28"/>
          <w:highlight w:val="none"/>
          <w:lang w:val="zh-CN"/>
        </w:rPr>
      </w:pPr>
      <w:r>
        <w:rPr>
          <w:b/>
          <w:color w:val="auto"/>
          <w:sz w:val="28"/>
          <w:szCs w:val="28"/>
          <w:highlight w:val="none"/>
          <w:lang w:val="zh-CN"/>
        </w:rPr>
      </w:r>
      <w:r/>
    </w:p>
    <w:p>
      <w:pPr>
        <w:contextualSpacing/>
        <w:ind w:firstLine="540"/>
        <w:spacing w:line="400" w:lineRule="exact"/>
        <w:rPr>
          <w:b/>
          <w:color w:val="auto"/>
          <w:sz w:val="28"/>
          <w:szCs w:val="28"/>
          <w:highlight w:val="none"/>
          <w:lang w:val="zh-CN"/>
        </w:rPr>
      </w:pPr>
      <w:r>
        <w:rPr>
          <w:b/>
          <w:color w:val="auto"/>
          <w:sz w:val="28"/>
          <w:szCs w:val="28"/>
          <w:highlight w:val="none"/>
          <w:lang w:val="zh-CN"/>
        </w:rPr>
      </w:r>
      <w:r/>
    </w:p>
    <w:p>
      <w:pPr>
        <w:contextualSpacing/>
        <w:ind w:firstLine="540"/>
        <w:spacing w:line="400" w:lineRule="exact"/>
        <w:rPr>
          <w:b/>
          <w:color w:val="auto"/>
          <w:sz w:val="28"/>
          <w:szCs w:val="28"/>
          <w:highlight w:val="none"/>
          <w:lang w:val="zh-CN"/>
        </w:rPr>
      </w:pPr>
      <w:r>
        <w:rPr>
          <w:b/>
          <w:color w:val="auto"/>
          <w:sz w:val="28"/>
          <w:szCs w:val="28"/>
          <w:highlight w:val="none"/>
          <w:lang w:val="zh-CN"/>
        </w:rPr>
      </w:r>
      <w:r/>
    </w:p>
    <w:p>
      <w:pPr>
        <w:contextualSpacing/>
        <w:ind w:firstLine="540"/>
        <w:spacing w:line="400" w:lineRule="exact"/>
        <w:rPr>
          <w:b/>
          <w:color w:val="auto"/>
          <w:sz w:val="28"/>
          <w:szCs w:val="28"/>
          <w:highlight w:val="none"/>
          <w:lang w:val="zh-CN"/>
        </w:rPr>
      </w:pPr>
      <w:r>
        <w:rPr>
          <w:b/>
          <w:color w:val="auto"/>
          <w:sz w:val="28"/>
          <w:szCs w:val="28"/>
          <w:highlight w:val="none"/>
          <w:lang w:val="zh-CN"/>
        </w:rPr>
      </w:r>
      <w:r/>
    </w:p>
    <w:p>
      <w:pPr>
        <w:contextualSpacing/>
        <w:ind w:firstLine="540"/>
        <w:spacing w:line="400" w:lineRule="exact"/>
        <w:rPr>
          <w:b/>
          <w:color w:val="auto"/>
          <w:sz w:val="28"/>
          <w:szCs w:val="28"/>
          <w:highlight w:val="none"/>
          <w:lang w:val="zh-CN"/>
        </w:rPr>
      </w:pPr>
      <w:r>
        <w:rPr>
          <w:b/>
          <w:color w:val="auto"/>
          <w:sz w:val="28"/>
          <w:szCs w:val="28"/>
          <w:highlight w:val="none"/>
          <w:lang w:val="zh-CN"/>
        </w:rPr>
      </w:r>
      <w:r/>
    </w:p>
    <w:p>
      <w:pPr>
        <w:contextualSpacing/>
        <w:spacing w:line="400" w:lineRule="exact"/>
        <w:rPr>
          <w:rFonts w:eastAsia="方正黑体_GBK"/>
          <w:color w:val="auto"/>
          <w:sz w:val="32"/>
          <w:szCs w:val="32"/>
          <w:highlight w:val="none"/>
          <w:lang w:val="zh-CN"/>
        </w:rPr>
      </w:pPr>
      <w:r>
        <w:rPr>
          <w:rFonts w:eastAsia="方正黑体_GBK"/>
          <w:color w:val="auto"/>
          <w:sz w:val="32"/>
          <w:szCs w:val="32"/>
          <w:highlight w:val="none"/>
          <w:lang w:val="zh-CN"/>
        </w:rPr>
        <w:t xml:space="preserve">附件3</w:t>
      </w:r>
      <w:r/>
    </w:p>
    <w:p>
      <w:pPr>
        <w:jc w:val="center"/>
        <w:rPr>
          <w:rFonts w:ascii="Calibri" w:hAnsi="Calibri"/>
          <w:color w:val="auto"/>
          <w:sz w:val="32"/>
          <w:szCs w:val="32"/>
          <w:highlight w:val="none"/>
        </w:rPr>
      </w:pPr>
      <w:r>
        <w:rPr>
          <w:rFonts w:hint="eastAsia" w:ascii="方正小标宋简体" w:hAnsi="方正小标宋简体" w:eastAsia="方正小标宋简体" w:cs="方正小标宋简体"/>
          <w:bCs/>
          <w:color w:val="auto"/>
          <w:sz w:val="30"/>
          <w:szCs w:val="30"/>
          <w:highlight w:val="none"/>
        </w:rPr>
        <w:t xml:space="preserve">法定代表人授权委托书</w:t>
      </w:r>
      <w:r/>
    </w:p>
    <w:p>
      <w:pPr>
        <w:ind w:firstLine="560"/>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（姓名）系</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（授权单位名称）的法定代表人，现委托</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（姓名）（身份证号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）为我方代理人，以我方名义全权处理与</w:t>
      </w:r>
      <w:r>
        <w:rPr>
          <w:rFonts w:hint="eastAsia" w:ascii="仿宋" w:hAnsi="仿宋" w:eastAsia="仿宋" w:cs="仿宋"/>
          <w:color w:val="auto"/>
          <w:sz w:val="28"/>
          <w:szCs w:val="28"/>
          <w:highlight w:val="none"/>
          <w:u w:val="single"/>
        </w:rPr>
        <w:t xml:space="preserve">                       （项目名称）</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项目编号：                    </w:t>
      </w:r>
      <w:r>
        <w:rPr>
          <w:rFonts w:hint="eastAsia" w:ascii="仿宋" w:hAnsi="仿宋" w:eastAsia="仿宋" w:cs="仿宋"/>
          <w:color w:val="auto"/>
          <w:sz w:val="28"/>
          <w:szCs w:val="28"/>
          <w:highlight w:val="none"/>
        </w:rPr>
        <w:t xml:space="preserve">）有关的一切事务，其法律后果由我方承担。</w:t>
      </w:r>
      <w:r/>
    </w:p>
    <w:p>
      <w:pPr>
        <w:ind w:firstLine="560"/>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本授权书于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日起生效。代理人无转委托权。</w:t>
      </w:r>
      <w:r/>
    </w:p>
    <w:p>
      <w:pPr>
        <w:ind w:firstLine="420"/>
        <w:spacing w:line="48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420"/>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代理人（被授权人）签字：</w:t>
      </w:r>
      <w:r>
        <w:rPr>
          <w:rFonts w:hint="eastAsia" w:ascii="仿宋" w:hAnsi="仿宋" w:eastAsia="仿宋" w:cs="仿宋"/>
          <w:color w:val="auto"/>
          <w:sz w:val="28"/>
          <w:szCs w:val="28"/>
          <w:highlight w:val="none"/>
          <w:u w:val="single"/>
        </w:rPr>
        <w:t xml:space="preserve">                                </w:t>
      </w:r>
      <w:r/>
    </w:p>
    <w:p>
      <w:pPr>
        <w:ind w:firstLine="420"/>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授权单位名称（加盖公章）：</w:t>
      </w:r>
      <w:r>
        <w:rPr>
          <w:rFonts w:hint="eastAsia" w:ascii="仿宋" w:hAnsi="仿宋" w:eastAsia="仿宋" w:cs="仿宋"/>
          <w:color w:val="auto"/>
          <w:sz w:val="28"/>
          <w:szCs w:val="28"/>
          <w:highlight w:val="none"/>
          <w:u w:val="single"/>
        </w:rPr>
        <w:t xml:space="preserve">                                </w:t>
      </w:r>
      <w:r/>
    </w:p>
    <w:p>
      <w:pPr>
        <w:ind w:firstLine="420"/>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授权单位法定代表人（签字或盖章）：</w:t>
      </w:r>
      <w:r>
        <w:rPr>
          <w:rFonts w:hint="eastAsia" w:ascii="仿宋" w:hAnsi="仿宋" w:eastAsia="仿宋" w:cs="仿宋"/>
          <w:color w:val="auto"/>
          <w:sz w:val="28"/>
          <w:szCs w:val="28"/>
          <w:highlight w:val="none"/>
          <w:u w:val="single"/>
        </w:rPr>
        <w:t xml:space="preserve">                  </w:t>
      </w:r>
      <w:r/>
    </w:p>
    <w:p>
      <w:pPr>
        <w:jc w:val="right"/>
        <w:spacing w:line="48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contextualSpacing/>
        <w:ind w:firstLine="3897"/>
        <w:spacing w:line="400" w:lineRule="exact"/>
        <w:rPr>
          <w:rFonts w:ascii="宋体" w:hAnsi="宋体" w:cs="宋体"/>
          <w:b/>
          <w:color w:val="auto"/>
          <w:sz w:val="28"/>
          <w:szCs w:val="28"/>
          <w:highlight w:val="none"/>
        </w:rPr>
      </w:pPr>
      <w:r>
        <w:rPr>
          <w:rFonts w:hint="eastAsia" w:ascii="仿宋" w:hAnsi="仿宋" w:eastAsia="仿宋" w:cs="仿宋"/>
          <w:color w:val="auto"/>
          <w:sz w:val="28"/>
          <w:szCs w:val="28"/>
          <w:highlight w:val="none"/>
        </w:rPr>
        <w:t xml:space="preserve">日期：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w:t>
      </w:r>
      <w:r/>
    </w:p>
    <w:p>
      <w:pPr>
        <w:contextualSpacing/>
        <w:ind w:firstLine="540"/>
        <w:spacing w:line="400" w:lineRule="exact"/>
        <w:rPr>
          <w:rFonts w:ascii="仿宋" w:hAnsi="仿宋" w:eastAsia="仿宋" w:cs="仿宋"/>
          <w:b/>
          <w:color w:val="auto"/>
          <w:sz w:val="28"/>
          <w:szCs w:val="28"/>
          <w:highlight w:val="none"/>
        </w:rPr>
      </w:pPr>
      <w:r>
        <w:rPr>
          <w:rFonts w:ascii="仿宋" w:hAnsi="仿宋" w:eastAsia="仿宋" w:cs="仿宋"/>
          <w:b/>
          <w:color w:val="auto"/>
          <w:sz w:val="28"/>
          <w:szCs w:val="28"/>
          <w:highlight w:val="none"/>
        </w:rPr>
      </w:r>
      <w:r/>
    </w:p>
    <w:p>
      <w:pPr>
        <w:contextualSpacing/>
        <w:ind w:firstLine="540"/>
        <w:spacing w:line="400" w:lineRule="exac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附：代理人（被授权人）身份证复印件加盖单位公章</w:t>
      </w:r>
      <w:r/>
    </w:p>
    <w:p>
      <w:pPr>
        <w:contextualSpacing/>
        <w:ind w:firstLine="540"/>
        <w:spacing w:line="400" w:lineRule="exact"/>
        <w:rPr>
          <w:b/>
          <w:color w:val="auto"/>
          <w:sz w:val="28"/>
          <w:szCs w:val="28"/>
          <w:highlight w:val="none"/>
        </w:rPr>
      </w:pPr>
      <w:r>
        <w:rPr>
          <w:b/>
          <w:color w:val="auto"/>
          <w:sz w:val="28"/>
          <w:szCs w:val="28"/>
          <w:highlight w:val="none"/>
        </w:rPr>
      </w:r>
      <w:r/>
    </w:p>
    <w:p>
      <w:pPr>
        <w:contextualSpacing/>
        <w:ind w:firstLine="540"/>
        <w:spacing w:line="400" w:lineRule="exact"/>
        <w:rPr>
          <w:b/>
          <w:color w:val="auto"/>
          <w:sz w:val="28"/>
          <w:szCs w:val="28"/>
          <w:highlight w:val="none"/>
        </w:rPr>
      </w:pPr>
      <w:r>
        <w:rPr>
          <w:b/>
          <w:color w:val="auto"/>
          <w:sz w:val="28"/>
          <w:szCs w:val="28"/>
          <w:highlight w:val="none"/>
        </w:rPr>
      </w:r>
      <w:r/>
    </w:p>
    <w:p>
      <w:pPr>
        <w:contextualSpacing/>
        <w:ind w:firstLine="540"/>
        <w:spacing w:line="400" w:lineRule="exact"/>
        <w:rPr>
          <w:b/>
          <w:color w:val="auto"/>
          <w:sz w:val="28"/>
          <w:szCs w:val="28"/>
          <w:highlight w:val="none"/>
        </w:rPr>
      </w:pPr>
      <w:r>
        <w:rPr>
          <w:b/>
          <w:color w:val="auto"/>
          <w:sz w:val="28"/>
          <w:szCs w:val="28"/>
          <w:highlight w:val="none"/>
        </w:rPr>
      </w:r>
      <w:r/>
    </w:p>
    <w:p>
      <w:pPr>
        <w:contextualSpacing/>
        <w:ind w:firstLine="540"/>
        <w:spacing w:line="400" w:lineRule="exact"/>
        <w:rPr>
          <w:b/>
          <w:color w:val="auto"/>
          <w:sz w:val="28"/>
          <w:szCs w:val="28"/>
          <w:highlight w:val="none"/>
        </w:rPr>
      </w:pPr>
      <w:r>
        <w:rPr>
          <w:b/>
          <w:color w:val="auto"/>
          <w:sz w:val="28"/>
          <w:szCs w:val="28"/>
          <w:highlight w:val="none"/>
        </w:rPr>
      </w:r>
      <w:r/>
    </w:p>
    <w:p>
      <w:pPr>
        <w:contextualSpacing/>
        <w:ind w:firstLine="540"/>
        <w:spacing w:line="400" w:lineRule="exact"/>
        <w:rPr>
          <w:b/>
          <w:color w:val="auto"/>
          <w:sz w:val="28"/>
          <w:szCs w:val="28"/>
          <w:highlight w:val="none"/>
        </w:rPr>
      </w:pPr>
      <w:r>
        <w:rPr>
          <w:b/>
          <w:color w:val="auto"/>
          <w:sz w:val="28"/>
          <w:szCs w:val="28"/>
          <w:highlight w:val="none"/>
        </w:rPr>
      </w:r>
      <w:r/>
    </w:p>
    <w:p>
      <w:pPr>
        <w:contextualSpacing/>
        <w:ind w:firstLine="540"/>
        <w:spacing w:line="400" w:lineRule="exact"/>
        <w:rPr>
          <w:b/>
          <w:color w:val="auto"/>
          <w:sz w:val="28"/>
          <w:szCs w:val="28"/>
          <w:highlight w:val="none"/>
        </w:rPr>
      </w:pPr>
      <w:r>
        <w:rPr>
          <w:b/>
          <w:color w:val="auto"/>
          <w:sz w:val="28"/>
          <w:szCs w:val="28"/>
          <w:highlight w:val="none"/>
        </w:rPr>
      </w:r>
      <w:r/>
    </w:p>
    <w:p>
      <w:pPr>
        <w:contextualSpacing/>
        <w:ind w:firstLine="540"/>
        <w:spacing w:line="400" w:lineRule="exact"/>
        <w:rPr>
          <w:b/>
          <w:color w:val="auto"/>
          <w:sz w:val="28"/>
          <w:szCs w:val="28"/>
          <w:highlight w:val="none"/>
        </w:rPr>
      </w:pPr>
      <w:r>
        <w:rPr>
          <w:b/>
          <w:color w:val="auto"/>
          <w:sz w:val="28"/>
          <w:szCs w:val="28"/>
          <w:highlight w:val="none"/>
        </w:rPr>
      </w:r>
      <w:r/>
    </w:p>
    <w:p>
      <w:pPr>
        <w:contextualSpacing/>
        <w:ind w:firstLine="540"/>
        <w:spacing w:line="400" w:lineRule="exact"/>
        <w:rPr>
          <w:b/>
          <w:color w:val="auto"/>
          <w:sz w:val="28"/>
          <w:szCs w:val="28"/>
          <w:highlight w:val="none"/>
        </w:rPr>
      </w:pPr>
      <w:r>
        <w:rPr>
          <w:b/>
          <w:color w:val="auto"/>
          <w:sz w:val="28"/>
          <w:szCs w:val="28"/>
          <w:highlight w:val="none"/>
        </w:rPr>
      </w:r>
      <w:r/>
    </w:p>
    <w:p>
      <w:pPr>
        <w:contextualSpacing/>
        <w:ind w:firstLine="540"/>
        <w:spacing w:line="400" w:lineRule="exact"/>
        <w:rPr>
          <w:b/>
          <w:color w:val="auto"/>
          <w:sz w:val="28"/>
          <w:szCs w:val="28"/>
          <w:highlight w:val="none"/>
        </w:rPr>
      </w:pPr>
      <w:r>
        <w:rPr>
          <w:b/>
          <w:color w:val="auto"/>
          <w:sz w:val="28"/>
          <w:szCs w:val="28"/>
          <w:highlight w:val="none"/>
        </w:rPr>
      </w:r>
      <w:r/>
    </w:p>
    <w:p>
      <w:pPr>
        <w:contextualSpacing/>
        <w:ind w:firstLine="540"/>
        <w:spacing w:line="400" w:lineRule="exact"/>
        <w:rPr>
          <w:b/>
          <w:color w:val="auto"/>
          <w:sz w:val="28"/>
          <w:szCs w:val="28"/>
          <w:highlight w:val="none"/>
        </w:rPr>
      </w:pPr>
      <w:r>
        <w:rPr>
          <w:b/>
          <w:color w:val="auto"/>
          <w:sz w:val="28"/>
          <w:szCs w:val="28"/>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t xml:space="preserve">附件4</w:t>
      </w:r>
      <w:r/>
    </w:p>
    <w:p>
      <w:pPr>
        <w:jc w:val="center"/>
        <w:rPr>
          <w:rFonts w:ascii="方正小标宋简体" w:hAnsi="方正小标宋简体" w:eastAsia="方正小标宋简体" w:cs="方正小标宋简体"/>
          <w:bCs/>
          <w:color w:val="auto"/>
          <w:sz w:val="30"/>
          <w:szCs w:val="30"/>
          <w:highlight w:val="none"/>
        </w:rPr>
      </w:pPr>
      <w:r>
        <w:rPr>
          <w:rFonts w:hint="eastAsia" w:ascii="方正小标宋简体" w:hAnsi="方正小标宋简体" w:eastAsia="方正小标宋简体" w:cs="方正小标宋简体"/>
          <w:bCs/>
          <w:color w:val="auto"/>
          <w:sz w:val="30"/>
          <w:szCs w:val="30"/>
          <w:highlight w:val="none"/>
        </w:rPr>
        <w:t xml:space="preserve">供应商信用承诺书</w:t>
      </w:r>
      <w:r/>
    </w:p>
    <w:p>
      <w:pPr>
        <w:ind w:firstLine="560"/>
        <w:spacing w:line="48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bidi="ar"/>
        </w:rPr>
        <w:t xml:space="preserve">为营造公开、公平、公正的公共资源交易环境，树立诚信守法的投标人形象，本人代表本单位作出以下承诺：</w:t>
      </w:r>
      <w:r/>
    </w:p>
    <w:p>
      <w:pPr>
        <w:ind w:firstLine="560"/>
        <w:spacing w:line="48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bidi="ar"/>
        </w:rPr>
        <w:t xml:space="preserve">三、严格遵守即时信息公示规定，及时更新公共资源交易中心主体信息库中信息；</w:t>
      </w:r>
      <w:r/>
    </w:p>
    <w:p>
      <w:pPr>
        <w:ind w:firstLine="560"/>
        <w:spacing w:line="48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bidi="ar"/>
        </w:rPr>
        <w:t xml:space="preserve">六、自觉接受政府部门、行业组织、社会公众、新闻舆论等监督；</w:t>
      </w:r>
      <w:r/>
    </w:p>
    <w:p>
      <w:pPr>
        <w:ind w:firstLine="560"/>
        <w:spacing w:line="48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bidi="ar"/>
        </w:rPr>
        <w:t xml:space="preserve">七、上述承诺已向本单位员工作了宣传教育。</w:t>
      </w:r>
      <w:r/>
    </w:p>
    <w:p>
      <w:pPr>
        <w:ind w:firstLine="562"/>
        <w:spacing w:line="480" w:lineRule="exact"/>
        <w:rPr>
          <w:rFonts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bidi="ar"/>
        </w:rPr>
        <w:t xml:space="preserve">如有违反上述承诺的不良行为，本单位同意将其予以上网公示。</w:t>
      </w:r>
      <w:r/>
    </w:p>
    <w:p>
      <w:pPr>
        <w:spacing w:line="480" w:lineRule="exact"/>
        <w:rPr>
          <w:rFonts w:ascii="仿宋" w:hAnsi="仿宋" w:eastAsia="仿宋" w:cs="仿宋"/>
          <w:color w:val="auto"/>
          <w:sz w:val="28"/>
          <w:szCs w:val="28"/>
          <w:highlight w:val="none"/>
          <w:lang w:val="zh-CN"/>
        </w:rPr>
      </w:pPr>
      <w:r>
        <w:rPr>
          <w:rFonts w:ascii="仿宋" w:hAnsi="仿宋" w:eastAsia="仿宋" w:cs="仿宋"/>
          <w:color w:val="auto"/>
          <w:sz w:val="28"/>
          <w:szCs w:val="28"/>
          <w:highlight w:val="none"/>
          <w:lang w:val="zh-CN"/>
        </w:rPr>
      </w:r>
      <w:r/>
    </w:p>
    <w:p>
      <w:pPr>
        <w:ind w:firstLine="2800"/>
        <w:spacing w:line="480" w:lineRule="exact"/>
        <w:rPr>
          <w:rFonts w:ascii="仿宋" w:hAnsi="仿宋" w:eastAsia="仿宋" w:cs="仿宋"/>
          <w:color w:val="auto"/>
          <w:sz w:val="28"/>
          <w:szCs w:val="28"/>
          <w:highlight w:val="none"/>
          <w:lang w:val="zh-CN" w:bidi="ar"/>
        </w:rPr>
      </w:pPr>
      <w:r>
        <w:rPr>
          <w:rFonts w:hint="eastAsia" w:ascii="仿宋" w:hAnsi="仿宋" w:eastAsia="仿宋" w:cs="仿宋"/>
          <w:color w:val="auto"/>
          <w:sz w:val="28"/>
          <w:szCs w:val="28"/>
          <w:highlight w:val="none"/>
          <w:lang w:val="zh-CN" w:bidi="ar"/>
        </w:rPr>
        <w:t xml:space="preserve">投标供应商名称（加盖公章）：</w:t>
      </w:r>
      <w:r>
        <w:rPr>
          <w:rFonts w:hint="eastAsia" w:ascii="仿宋" w:hAnsi="仿宋" w:eastAsia="仿宋" w:cs="仿宋"/>
          <w:color w:val="auto"/>
          <w:sz w:val="28"/>
          <w:szCs w:val="28"/>
          <w:highlight w:val="none"/>
          <w:u w:val="single"/>
        </w:rPr>
        <w:t xml:space="preserve">                </w:t>
      </w:r>
      <w:r/>
    </w:p>
    <w:p>
      <w:pPr>
        <w:ind w:firstLine="2800"/>
        <w:spacing w:line="480" w:lineRule="exact"/>
        <w:rPr>
          <w:rFonts w:ascii="仿宋" w:hAnsi="仿宋" w:eastAsia="仿宋" w:cs="仿宋"/>
          <w:color w:val="auto"/>
          <w:sz w:val="28"/>
          <w:szCs w:val="28"/>
          <w:highlight w:val="none"/>
          <w:lang w:val="zh-CN" w:bidi="ar"/>
        </w:rPr>
      </w:pPr>
      <w:r>
        <w:rPr>
          <w:rFonts w:hint="eastAsia" w:ascii="仿宋" w:hAnsi="仿宋" w:eastAsia="仿宋" w:cs="仿宋"/>
          <w:color w:val="auto"/>
          <w:sz w:val="28"/>
          <w:szCs w:val="28"/>
          <w:highlight w:val="none"/>
          <w:lang w:val="zh-CN" w:bidi="ar"/>
        </w:rPr>
        <w:t xml:space="preserve">法定代表人（签字或盖章）：</w:t>
      </w:r>
      <w:r>
        <w:rPr>
          <w:rFonts w:hint="eastAsia" w:ascii="仿宋" w:hAnsi="仿宋" w:eastAsia="仿宋" w:cs="仿宋"/>
          <w:color w:val="auto"/>
          <w:sz w:val="28"/>
          <w:szCs w:val="28"/>
          <w:highlight w:val="none"/>
          <w:u w:val="single"/>
        </w:rPr>
        <w:t xml:space="preserve">                    </w:t>
      </w:r>
      <w:r/>
    </w:p>
    <w:p>
      <w:pPr>
        <w:ind w:firstLine="3080"/>
        <w:spacing w:line="480" w:lineRule="exact"/>
        <w:rPr>
          <w:rFonts w:ascii="仿宋" w:hAnsi="仿宋" w:eastAsia="仿宋" w:cs="仿宋"/>
          <w:color w:val="auto"/>
          <w:sz w:val="28"/>
          <w:szCs w:val="28"/>
          <w:highlight w:val="none"/>
          <w:lang w:val="zh-CN" w:bidi="ar"/>
        </w:rPr>
      </w:pPr>
      <w:r>
        <w:rPr>
          <w:rFonts w:hint="eastAsia" w:ascii="仿宋" w:hAnsi="仿宋" w:eastAsia="仿宋" w:cs="仿宋"/>
          <w:color w:val="auto"/>
          <w:sz w:val="28"/>
          <w:szCs w:val="28"/>
          <w:highlight w:val="none"/>
          <w:lang w:val="zh-CN" w:bidi="ar"/>
        </w:rPr>
        <w:t xml:space="preserve">时间：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lang w:val="zh-CN" w:bidi="ar"/>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lang w:val="zh-CN" w:bidi="ar"/>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lang w:val="zh-CN" w:bidi="ar"/>
        </w:rPr>
        <w:t xml:space="preserve">日</w:t>
      </w:r>
      <w:r/>
    </w:p>
    <w:p>
      <w:pPr>
        <w:keepLines/>
        <w:keepNext/>
        <w:spacing w:line="400" w:lineRule="exact"/>
        <w:rPr>
          <w:rFonts w:eastAsia="方正黑体_GBK"/>
          <w:color w:val="auto"/>
          <w:sz w:val="32"/>
          <w:szCs w:val="32"/>
          <w:highlight w:val="none"/>
        </w:rPr>
        <w:outlineLvl w:val="1"/>
      </w:pPr>
      <w:r>
        <w:rPr>
          <w:rFonts w:eastAsia="方正黑体_GBK"/>
          <w:color w:val="auto"/>
          <w:sz w:val="32"/>
          <w:szCs w:val="32"/>
          <w:highlight w:val="none"/>
        </w:rPr>
        <w:t xml:space="preserve">附件5</w:t>
      </w:r>
      <w:r/>
    </w:p>
    <w:p>
      <w:pPr>
        <w:jc w:val="center"/>
        <w:rPr>
          <w:rFonts w:ascii="方正小标宋简体" w:hAnsi="方正小标宋简体" w:eastAsia="方正小标宋简体" w:cs="方正小标宋简体"/>
          <w:bCs/>
          <w:color w:val="auto"/>
          <w:sz w:val="30"/>
          <w:szCs w:val="30"/>
          <w:highlight w:val="none"/>
        </w:rPr>
      </w:pPr>
      <w:r>
        <w:rPr>
          <w:rFonts w:hint="eastAsia" w:ascii="方正小标宋简体" w:hAnsi="方正小标宋简体" w:eastAsia="方正小标宋简体" w:cs="方正小标宋简体"/>
          <w:bCs/>
          <w:color w:val="auto"/>
          <w:sz w:val="30"/>
          <w:szCs w:val="30"/>
          <w:highlight w:val="none"/>
        </w:rPr>
        <w:t xml:space="preserve">投标函</w:t>
      </w:r>
      <w:r/>
    </w:p>
    <w:p>
      <w:pPr>
        <w:jc w:val="left"/>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（采购人名称）</w:t>
      </w:r>
      <w:r/>
    </w:p>
    <w:p>
      <w:pPr>
        <w:ind w:firstLine="560"/>
        <w:jc w:val="left"/>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根据贵方项目编号为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的招标文件，我方正式提交投标函，并宣布同意如下内容：</w:t>
      </w:r>
      <w:r/>
    </w:p>
    <w:p>
      <w:pPr>
        <w:ind w:firstLine="560"/>
        <w:jc w:val="left"/>
        <w:spacing w:line="480" w:lineRule="exact"/>
        <w:rPr>
          <w:rFonts w:eastAsia="仿宋"/>
          <w:color w:val="auto"/>
          <w:sz w:val="28"/>
          <w:szCs w:val="28"/>
          <w:highlight w:val="none"/>
        </w:rPr>
      </w:pPr>
      <w:r>
        <w:rPr>
          <w:rFonts w:eastAsia="仿宋"/>
          <w:color w:val="auto"/>
          <w:sz w:val="28"/>
          <w:szCs w:val="28"/>
          <w:highlight w:val="none"/>
        </w:rPr>
        <w:t xml:space="preserve">1.按招标文件规定的各项要求，向买方提供所需货物、服务（包含与货物相关的服务及与服务相关的货物）。</w:t>
      </w:r>
      <w:r/>
    </w:p>
    <w:p>
      <w:pPr>
        <w:ind w:firstLine="560"/>
        <w:jc w:val="left"/>
        <w:spacing w:line="480" w:lineRule="exact"/>
        <w:rPr>
          <w:rFonts w:eastAsia="仿宋"/>
          <w:color w:val="auto"/>
          <w:sz w:val="28"/>
          <w:szCs w:val="28"/>
          <w:highlight w:val="none"/>
        </w:rPr>
      </w:pPr>
      <w:r>
        <w:rPr>
          <w:rFonts w:eastAsia="仿宋"/>
          <w:color w:val="auto"/>
          <w:sz w:val="28"/>
          <w:szCs w:val="28"/>
          <w:highlight w:val="none"/>
        </w:rPr>
        <w:t xml:space="preserve">2.我们完全理解贵方不一定将合同授予最低报价的投标人。</w:t>
      </w:r>
      <w:r/>
    </w:p>
    <w:p>
      <w:pPr>
        <w:ind w:firstLine="560"/>
        <w:jc w:val="left"/>
        <w:spacing w:line="480" w:lineRule="exact"/>
        <w:rPr>
          <w:rFonts w:eastAsia="仿宋"/>
          <w:color w:val="auto"/>
          <w:sz w:val="28"/>
          <w:szCs w:val="28"/>
          <w:highlight w:val="none"/>
        </w:rPr>
      </w:pPr>
      <w:r>
        <w:rPr>
          <w:rFonts w:eastAsia="仿宋"/>
          <w:color w:val="auto"/>
          <w:sz w:val="28"/>
          <w:szCs w:val="28"/>
          <w:highlight w:val="none"/>
        </w:rPr>
        <w:t xml:space="preserve">3.我们已详细审核全部招标文件及其有效补充文件，我们知道必须放弃提出含糊不清或误解问题的权利。</w:t>
      </w:r>
      <w:r/>
    </w:p>
    <w:p>
      <w:pPr>
        <w:ind w:firstLine="480"/>
        <w:jc w:val="left"/>
        <w:spacing w:line="480" w:lineRule="exact"/>
        <w:rPr>
          <w:rFonts w:eastAsia="仿宋"/>
          <w:color w:val="auto"/>
          <w:sz w:val="28"/>
          <w:szCs w:val="28"/>
          <w:highlight w:val="none"/>
        </w:rPr>
      </w:pPr>
      <w:r>
        <w:rPr>
          <w:rFonts w:eastAsia="仿宋"/>
          <w:color w:val="auto"/>
          <w:sz w:val="28"/>
          <w:szCs w:val="28"/>
          <w:highlight w:val="none"/>
        </w:rPr>
        <w:t xml:space="preserve">4.我们同意从规定的开标日期起遵循本投标文件，并在规定的投标有效期期满之前均具有约束力。</w:t>
      </w:r>
      <w:r/>
    </w:p>
    <w:p>
      <w:pPr>
        <w:ind w:firstLine="480"/>
        <w:jc w:val="left"/>
        <w:spacing w:line="480" w:lineRule="exact"/>
        <w:rPr>
          <w:rFonts w:eastAsia="仿宋"/>
          <w:color w:val="auto"/>
          <w:sz w:val="28"/>
          <w:szCs w:val="28"/>
          <w:highlight w:val="none"/>
        </w:rPr>
      </w:pPr>
      <w:r>
        <w:rPr>
          <w:rFonts w:eastAsia="仿宋"/>
          <w:color w:val="auto"/>
          <w:sz w:val="28"/>
          <w:szCs w:val="28"/>
          <w:highlight w:val="none"/>
        </w:rPr>
        <w:t xml:space="preserve">5.同意向贵方提供贵方可能另外要求的与投标有关的任何证据或资料，并保证我方已提供和将要提供的文件是真实的、准确的。</w:t>
      </w:r>
      <w:r/>
    </w:p>
    <w:p>
      <w:pPr>
        <w:ind w:firstLine="480"/>
        <w:jc w:val="left"/>
        <w:spacing w:line="480" w:lineRule="exact"/>
        <w:rPr>
          <w:rFonts w:eastAsia="仿宋"/>
          <w:color w:val="auto"/>
          <w:sz w:val="28"/>
          <w:szCs w:val="28"/>
          <w:highlight w:val="none"/>
        </w:rPr>
      </w:pPr>
      <w:r>
        <w:rPr>
          <w:rFonts w:eastAsia="仿宋"/>
          <w:color w:val="auto"/>
          <w:sz w:val="28"/>
          <w:szCs w:val="28"/>
          <w:highlight w:val="none"/>
        </w:rPr>
        <w:t xml:space="preserve">6.一旦我方中标，我方将根据招标文件的规定，严格履行合同的责任和义务，并保证在招标文件规定的时间内完成项目，交付买方验收、使用。</w:t>
      </w:r>
      <w:r/>
    </w:p>
    <w:p>
      <w:pPr>
        <w:ind w:firstLine="560"/>
        <w:jc w:val="left"/>
        <w:spacing w:line="480" w:lineRule="exact"/>
        <w:rPr>
          <w:rFonts w:eastAsia="仿宋"/>
          <w:color w:val="auto"/>
          <w:sz w:val="28"/>
          <w:szCs w:val="28"/>
          <w:highlight w:val="none"/>
        </w:rPr>
      </w:pPr>
      <w:r>
        <w:rPr>
          <w:rFonts w:eastAsia="仿宋"/>
          <w:color w:val="auto"/>
          <w:sz w:val="28"/>
          <w:szCs w:val="28"/>
          <w:highlight w:val="none"/>
        </w:rPr>
        <w:t xml:space="preserve">7.与本</w:t>
      </w:r>
      <w:r>
        <w:rPr>
          <w:rFonts w:hint="eastAsia" w:eastAsia="仿宋"/>
          <w:color w:val="auto"/>
          <w:sz w:val="28"/>
          <w:szCs w:val="28"/>
          <w:highlight w:val="none"/>
        </w:rPr>
        <w:t xml:space="preserve">次</w:t>
      </w:r>
      <w:r>
        <w:rPr>
          <w:rFonts w:eastAsia="仿宋"/>
          <w:color w:val="auto"/>
          <w:sz w:val="28"/>
          <w:szCs w:val="28"/>
          <w:highlight w:val="none"/>
        </w:rPr>
        <w:t xml:space="preserve">投标有关的正式通讯地址为：</w:t>
      </w:r>
      <w:r/>
    </w:p>
    <w:p>
      <w:pPr>
        <w:ind w:left="420" w:firstLine="560"/>
        <w:jc w:val="left"/>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          址：</w:t>
      </w:r>
      <w:r>
        <w:rPr>
          <w:rFonts w:hint="eastAsia" w:ascii="仿宋" w:hAnsi="仿宋" w:eastAsia="仿宋" w:cs="仿宋"/>
          <w:color w:val="auto"/>
          <w:sz w:val="28"/>
          <w:szCs w:val="28"/>
          <w:highlight w:val="none"/>
          <w:u w:val="single"/>
        </w:rPr>
        <w:t xml:space="preserve">                  </w:t>
      </w:r>
      <w:r/>
    </w:p>
    <w:p>
      <w:pPr>
        <w:ind w:left="420" w:firstLine="560"/>
        <w:jc w:val="left"/>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邮          编：</w:t>
      </w:r>
      <w:r>
        <w:rPr>
          <w:rFonts w:hint="eastAsia" w:ascii="仿宋" w:hAnsi="仿宋" w:eastAsia="仿宋" w:cs="仿宋"/>
          <w:color w:val="auto"/>
          <w:sz w:val="28"/>
          <w:szCs w:val="28"/>
          <w:highlight w:val="none"/>
          <w:u w:val="single"/>
        </w:rPr>
        <w:t xml:space="preserve">                  </w:t>
      </w:r>
      <w:r/>
    </w:p>
    <w:p>
      <w:pPr>
        <w:ind w:left="420" w:firstLine="560"/>
        <w:jc w:val="left"/>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电          话：</w:t>
      </w:r>
      <w:r>
        <w:rPr>
          <w:rFonts w:hint="eastAsia" w:ascii="仿宋" w:hAnsi="仿宋" w:eastAsia="仿宋" w:cs="仿宋"/>
          <w:color w:val="auto"/>
          <w:sz w:val="28"/>
          <w:szCs w:val="28"/>
          <w:highlight w:val="none"/>
          <w:u w:val="single"/>
        </w:rPr>
        <w:t xml:space="preserve">                  </w:t>
      </w:r>
      <w:r/>
    </w:p>
    <w:p>
      <w:pPr>
        <w:ind w:left="420" w:firstLine="560"/>
        <w:jc w:val="left"/>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电  子  邮  箱：</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right="181" w:firstLine="980"/>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投标人名称（加盖公章）：</w:t>
      </w:r>
      <w:r>
        <w:rPr>
          <w:rFonts w:hint="eastAsia" w:ascii="仿宋" w:hAnsi="仿宋" w:eastAsia="仿宋" w:cs="仿宋"/>
          <w:color w:val="auto"/>
          <w:sz w:val="28"/>
          <w:szCs w:val="28"/>
          <w:highlight w:val="none"/>
          <w:u w:val="single"/>
        </w:rPr>
        <w:t xml:space="preserve">                  </w:t>
      </w:r>
      <w:r/>
    </w:p>
    <w:p>
      <w:pPr>
        <w:ind w:left="420" w:firstLine="560"/>
        <w:jc w:val="left"/>
        <w:spacing w:line="48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left="420" w:firstLine="560"/>
        <w:jc w:val="left"/>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          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w:t>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t xml:space="preserve">附件6</w:t>
      </w:r>
      <w:r/>
    </w:p>
    <w:p>
      <w:pPr>
        <w:jc w:val="center"/>
        <w:rPr>
          <w:rFonts w:eastAsia="方正小标宋简体"/>
          <w:bCs/>
          <w:color w:val="auto"/>
          <w:sz w:val="30"/>
          <w:szCs w:val="30"/>
          <w:highlight w:val="none"/>
        </w:rPr>
      </w:pPr>
      <w:r>
        <w:rPr>
          <w:rFonts w:eastAsia="方正小标宋简体"/>
          <w:bCs/>
          <w:color w:val="auto"/>
          <w:sz w:val="30"/>
          <w:szCs w:val="30"/>
          <w:highlight w:val="none"/>
        </w:rPr>
        <w:t xml:space="preserve">商务部分正负偏离表</w:t>
      </w:r>
      <w:r/>
    </w:p>
    <w:p>
      <w:pPr>
        <w:spacing w:line="520" w:lineRule="exact"/>
        <w:rPr>
          <w:rFonts w:eastAsia="仿宋"/>
          <w:bCs/>
          <w:color w:val="auto"/>
          <w:sz w:val="28"/>
          <w:szCs w:val="28"/>
          <w:highlight w:val="none"/>
          <w:u w:val="single"/>
        </w:rPr>
      </w:pPr>
      <w:r>
        <w:rPr>
          <w:rFonts w:eastAsia="仿宋"/>
          <w:bCs/>
          <w:color w:val="auto"/>
          <w:sz w:val="28"/>
          <w:szCs w:val="28"/>
          <w:highlight w:val="none"/>
        </w:rPr>
        <w:t xml:space="preserve">项目编号：</w:t>
      </w:r>
      <w:r>
        <w:rPr>
          <w:rFonts w:eastAsia="仿宋"/>
          <w:bCs/>
          <w:color w:val="auto"/>
          <w:sz w:val="28"/>
          <w:szCs w:val="28"/>
          <w:highlight w:val="none"/>
          <w:u w:val="single"/>
        </w:rPr>
        <w:t xml:space="preserve">      </w:t>
      </w:r>
      <w:r>
        <w:rPr>
          <w:rFonts w:hint="eastAsia" w:eastAsia="仿宋"/>
          <w:bCs/>
          <w:color w:val="auto"/>
          <w:sz w:val="28"/>
          <w:szCs w:val="28"/>
          <w:highlight w:val="none"/>
          <w:u w:val="single"/>
        </w:rPr>
        <w:t xml:space="preserve">   </w:t>
      </w:r>
      <w:r>
        <w:rPr>
          <w:rFonts w:eastAsia="仿宋"/>
          <w:bCs/>
          <w:color w:val="auto"/>
          <w:sz w:val="28"/>
          <w:szCs w:val="28"/>
          <w:highlight w:val="none"/>
          <w:u w:val="single"/>
        </w:rPr>
        <w:t xml:space="preserve">       </w:t>
      </w:r>
      <w:r/>
    </w:p>
    <w:p>
      <w:pPr>
        <w:ind w:firstLine="560"/>
        <w:jc w:val="center"/>
        <w:spacing w:line="520" w:lineRule="exact"/>
        <w:rPr>
          <w:rFonts w:eastAsia="仿宋"/>
          <w:color w:val="auto"/>
          <w:sz w:val="28"/>
          <w:szCs w:val="28"/>
          <w:highlight w:val="none"/>
        </w:rPr>
      </w:pPr>
      <w:r>
        <w:rPr>
          <w:rFonts w:eastAsia="仿宋"/>
          <w:color w:val="auto"/>
          <w:sz w:val="28"/>
          <w:szCs w:val="28"/>
          <w:highlight w:val="none"/>
        </w:rPr>
        <w:t xml:space="preserve">（由投标人据实填写，表格不够自行添加）</w:t>
      </w:r>
      <w:r/>
    </w:p>
    <w:tbl>
      <w:tblPr>
        <w:tblStyle w:val="895"/>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34"/>
        <w:gridCol w:w="2272"/>
        <w:gridCol w:w="1984"/>
        <w:gridCol w:w="2561"/>
        <w:gridCol w:w="1410"/>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color w:val="auto"/>
                <w:sz w:val="24"/>
                <w:highlight w:val="none"/>
              </w:rPr>
            </w:pPr>
            <w:r>
              <w:rPr>
                <w:rFonts w:eastAsia="黑体"/>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color w:val="auto"/>
                <w:sz w:val="24"/>
                <w:highlight w:val="none"/>
              </w:rPr>
            </w:pPr>
            <w:r>
              <w:rPr>
                <w:rFonts w:eastAsia="黑体"/>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color w:val="auto"/>
                <w:sz w:val="24"/>
                <w:highlight w:val="none"/>
              </w:rPr>
            </w:pPr>
            <w:r>
              <w:rPr>
                <w:rFonts w:eastAsia="黑体"/>
                <w:color w:val="auto"/>
                <w:sz w:val="24"/>
                <w:highlight w:val="none"/>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color w:val="auto"/>
                <w:sz w:val="24"/>
                <w:highlight w:val="none"/>
              </w:rPr>
            </w:pPr>
            <w:r>
              <w:rPr>
                <w:rFonts w:eastAsia="黑体"/>
                <w:color w:val="auto"/>
                <w:sz w:val="24"/>
                <w:highlight w:val="none"/>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color w:val="auto"/>
                <w:sz w:val="24"/>
                <w:highlight w:val="none"/>
              </w:rPr>
            </w:pPr>
            <w:r>
              <w:rPr>
                <w:rFonts w:eastAsia="黑体"/>
                <w:color w:val="auto"/>
                <w:sz w:val="24"/>
                <w:highlight w:val="none"/>
              </w:rPr>
            </w:r>
            <w:r/>
          </w:p>
          <w:p>
            <w:pPr>
              <w:jc w:val="center"/>
              <w:spacing w:line="340" w:lineRule="exact"/>
              <w:rPr>
                <w:rFonts w:eastAsia="黑体"/>
                <w:color w:val="auto"/>
                <w:sz w:val="24"/>
                <w:highlight w:val="none"/>
              </w:rPr>
            </w:pPr>
            <w:r>
              <w:rPr>
                <w:rFonts w:eastAsia="黑体"/>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highlight w:val="none"/>
              </w:rPr>
            </w:pPr>
            <w:r>
              <w:rPr>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highlight w:val="none"/>
              </w:rPr>
            </w:pPr>
            <w:r>
              <w:rPr>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highlight w:val="none"/>
              </w:rPr>
            </w:pPr>
            <w:r>
              <w:rPr>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highlight w:val="none"/>
              </w:rPr>
            </w:pPr>
            <w:r>
              <w:rPr>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bl>
    <w:p>
      <w:pPr>
        <w:contextualSpacing/>
        <w:spacing w:line="300" w:lineRule="auto"/>
        <w:rPr>
          <w:rFonts w:eastAsia="仿宋"/>
          <w:b/>
          <w:bCs/>
          <w:color w:val="auto"/>
          <w:sz w:val="28"/>
          <w:szCs w:val="28"/>
          <w:highlight w:val="none"/>
        </w:rPr>
      </w:pPr>
      <w:r>
        <w:rPr>
          <w:rFonts w:eastAsia="仿宋"/>
          <w:b/>
          <w:bCs/>
          <w:color w:val="auto"/>
          <w:sz w:val="28"/>
          <w:szCs w:val="28"/>
          <w:highlight w:val="none"/>
        </w:rPr>
        <w:t xml:space="preserve">注：</w:t>
      </w:r>
      <w:r/>
    </w:p>
    <w:p>
      <w:pPr>
        <w:contextualSpacing/>
        <w:ind w:firstLine="560"/>
        <w:spacing w:line="300" w:lineRule="auto"/>
        <w:rPr>
          <w:rFonts w:eastAsia="仿宋"/>
          <w:color w:val="auto"/>
          <w:sz w:val="28"/>
          <w:szCs w:val="28"/>
          <w:highlight w:val="none"/>
        </w:rPr>
      </w:pPr>
      <w:r>
        <w:rPr>
          <w:rFonts w:eastAsia="仿宋"/>
          <w:color w:val="auto"/>
          <w:sz w:val="28"/>
          <w:szCs w:val="28"/>
          <w:highlight w:val="none"/>
        </w:rPr>
        <w:t xml:space="preserve">1.未说明偏离的，将被认为响应招标文件的规定，但该表不作为投标人对所投标内容关于商务部分等详细描述和说明的替代。</w:t>
      </w:r>
      <w:r/>
    </w:p>
    <w:p>
      <w:pPr>
        <w:contextualSpacing/>
        <w:ind w:firstLine="560"/>
        <w:spacing w:line="300" w:lineRule="auto"/>
        <w:rPr>
          <w:rFonts w:eastAsia="仿宋"/>
          <w:color w:val="auto"/>
          <w:sz w:val="28"/>
          <w:szCs w:val="28"/>
          <w:highlight w:val="none"/>
        </w:rPr>
      </w:pPr>
      <w:r>
        <w:rPr>
          <w:rFonts w:eastAsia="仿宋"/>
          <w:color w:val="auto"/>
          <w:sz w:val="28"/>
          <w:szCs w:val="28"/>
          <w:highlight w:val="none"/>
        </w:rPr>
        <w:t xml:space="preserve">2.如有偏离的，在“偏离说明”一栏选择“正偏离</w:t>
      </w:r>
      <w:r>
        <w:rPr>
          <w:rFonts w:hint="eastAsia" w:eastAsia="仿宋"/>
          <w:color w:val="auto"/>
          <w:sz w:val="28"/>
          <w:szCs w:val="28"/>
          <w:highlight w:val="none"/>
        </w:rPr>
        <w:t xml:space="preserve">”“</w:t>
      </w:r>
      <w:r>
        <w:rPr>
          <w:rFonts w:eastAsia="仿宋"/>
          <w:color w:val="auto"/>
          <w:sz w:val="28"/>
          <w:szCs w:val="28"/>
          <w:highlight w:val="none"/>
        </w:rPr>
        <w:t xml:space="preserve">负偏离”进行填写。正偏离、负偏离的确认和</w:t>
      </w:r>
      <w:r>
        <w:rPr>
          <w:rFonts w:eastAsia="仿宋"/>
          <w:color w:val="auto"/>
          <w:sz w:val="28"/>
          <w:szCs w:val="28"/>
          <w:highlight w:val="none"/>
        </w:rPr>
        <w:t xml:space="preserve">负偏离的是否响应招标文件，由评标委员会认定。</w:t>
      </w:r>
      <w:r/>
    </w:p>
    <w:p>
      <w:pPr>
        <w:contextualSpacing/>
        <w:ind w:firstLine="560"/>
        <w:spacing w:line="300" w:lineRule="auto"/>
        <w:rPr>
          <w:rFonts w:eastAsia="仿宋"/>
          <w:bCs/>
          <w:color w:val="auto"/>
          <w:sz w:val="28"/>
          <w:szCs w:val="28"/>
          <w:highlight w:val="none"/>
        </w:rPr>
      </w:pPr>
      <w:r>
        <w:rPr>
          <w:rFonts w:eastAsia="仿宋"/>
          <w:bCs/>
          <w:color w:val="auto"/>
          <w:sz w:val="28"/>
          <w:szCs w:val="28"/>
          <w:highlight w:val="none"/>
        </w:rPr>
        <w:t xml:space="preserve">3.投标人若提供其他增值服务，可以在表中自行据实填写。</w:t>
      </w:r>
      <w:r/>
    </w:p>
    <w:p>
      <w:pPr>
        <w:contextualSpacing/>
        <w:ind w:firstLine="540"/>
        <w:spacing w:line="400" w:lineRule="exact"/>
        <w:rPr>
          <w:rFonts w:eastAsia="仿宋"/>
          <w:b/>
          <w:color w:val="auto"/>
          <w:sz w:val="28"/>
          <w:szCs w:val="28"/>
          <w:highlight w:val="none"/>
        </w:rPr>
      </w:pPr>
      <w:r>
        <w:rPr>
          <w:rFonts w:eastAsia="仿宋"/>
          <w:b/>
          <w:color w:val="auto"/>
          <w:sz w:val="28"/>
          <w:szCs w:val="28"/>
          <w:highlight w:val="none"/>
        </w:rPr>
      </w:r>
      <w:r/>
    </w:p>
    <w:p>
      <w:pPr>
        <w:contextualSpacing/>
        <w:ind w:firstLine="540"/>
        <w:spacing w:line="400" w:lineRule="exact"/>
        <w:rPr>
          <w:rFonts w:eastAsia="仿宋"/>
          <w:b/>
          <w:color w:val="auto"/>
          <w:sz w:val="28"/>
          <w:szCs w:val="28"/>
          <w:highlight w:val="none"/>
        </w:rPr>
      </w:pPr>
      <w:r>
        <w:rPr>
          <w:rFonts w:eastAsia="仿宋"/>
          <w:b/>
          <w:color w:val="auto"/>
          <w:sz w:val="28"/>
          <w:szCs w:val="28"/>
          <w:highlight w:val="none"/>
        </w:rPr>
      </w:r>
      <w:r/>
    </w:p>
    <w:p>
      <w:pPr>
        <w:contextualSpacing/>
        <w:ind w:firstLine="560"/>
        <w:spacing w:line="300" w:lineRule="auto"/>
        <w:rPr>
          <w:rFonts w:eastAsia="仿宋"/>
          <w:color w:val="auto"/>
          <w:sz w:val="28"/>
          <w:szCs w:val="28"/>
          <w:highlight w:val="none"/>
        </w:rPr>
      </w:pPr>
      <w:r>
        <w:rPr>
          <w:rFonts w:eastAsia="仿宋"/>
          <w:color w:val="auto"/>
          <w:sz w:val="28"/>
          <w:szCs w:val="28"/>
          <w:highlight w:val="none"/>
        </w:rPr>
      </w:r>
      <w:r/>
    </w:p>
    <w:p>
      <w:pPr>
        <w:contextualSpacing/>
        <w:ind w:firstLine="3080"/>
        <w:spacing w:line="300" w:lineRule="auto"/>
        <w:rPr>
          <w:rFonts w:eastAsia="仿宋"/>
          <w:color w:val="auto"/>
          <w:sz w:val="28"/>
          <w:szCs w:val="28"/>
          <w:highlight w:val="none"/>
        </w:rPr>
      </w:pPr>
      <w:r>
        <w:rPr>
          <w:rFonts w:eastAsia="仿宋"/>
          <w:color w:val="auto"/>
          <w:sz w:val="28"/>
          <w:szCs w:val="28"/>
          <w:highlight w:val="none"/>
        </w:rPr>
        <w:t xml:space="preserve">投标人名称（</w:t>
      </w:r>
      <w:r>
        <w:rPr>
          <w:rFonts w:hint="eastAsia" w:eastAsia="仿宋"/>
          <w:color w:val="auto"/>
          <w:sz w:val="28"/>
          <w:szCs w:val="28"/>
          <w:highlight w:val="none"/>
        </w:rPr>
        <w:t xml:space="preserve">加</w:t>
      </w:r>
      <w:r>
        <w:rPr>
          <w:rFonts w:eastAsia="仿宋"/>
          <w:color w:val="auto"/>
          <w:sz w:val="28"/>
          <w:szCs w:val="28"/>
          <w:highlight w:val="none"/>
        </w:rPr>
        <w:t xml:space="preserve">盖公章）：</w:t>
      </w:r>
      <w:r>
        <w:rPr>
          <w:rFonts w:eastAsia="仿宋"/>
          <w:color w:val="auto"/>
          <w:sz w:val="28"/>
          <w:szCs w:val="28"/>
          <w:highlight w:val="none"/>
          <w:u w:val="single"/>
        </w:rPr>
        <w:t xml:space="preserve">                  </w:t>
      </w:r>
      <w:r/>
    </w:p>
    <w:p>
      <w:pPr>
        <w:contextualSpacing/>
        <w:ind w:firstLine="3080"/>
        <w:spacing w:line="300" w:lineRule="auto"/>
        <w:rPr>
          <w:rFonts w:eastAsia="仿宋"/>
          <w:color w:val="auto"/>
          <w:sz w:val="28"/>
          <w:szCs w:val="28"/>
          <w:highlight w:val="none"/>
        </w:rPr>
      </w:pPr>
      <w:r>
        <w:rPr>
          <w:rFonts w:eastAsia="仿宋"/>
          <w:color w:val="auto"/>
          <w:sz w:val="28"/>
          <w:szCs w:val="28"/>
          <w:highlight w:val="none"/>
        </w:rPr>
        <w:t xml:space="preserve">日期：</w:t>
      </w:r>
      <w:r>
        <w:rPr>
          <w:rFonts w:eastAsia="仿宋"/>
          <w:color w:val="auto"/>
          <w:sz w:val="28"/>
          <w:szCs w:val="28"/>
          <w:highlight w:val="none"/>
          <w:u w:val="single"/>
        </w:rPr>
        <w:t xml:space="preserve">       </w:t>
      </w:r>
      <w:r>
        <w:rPr>
          <w:rFonts w:eastAsia="仿宋"/>
          <w:color w:val="auto"/>
          <w:sz w:val="28"/>
          <w:szCs w:val="28"/>
          <w:highlight w:val="none"/>
        </w:rPr>
        <w:t xml:space="preserve">年</w:t>
      </w:r>
      <w:r>
        <w:rPr>
          <w:rFonts w:eastAsia="仿宋"/>
          <w:color w:val="auto"/>
          <w:sz w:val="28"/>
          <w:szCs w:val="28"/>
          <w:highlight w:val="none"/>
          <w:u w:val="single"/>
        </w:rPr>
        <w:t xml:space="preserve">   </w:t>
      </w:r>
      <w:r>
        <w:rPr>
          <w:rFonts w:eastAsia="仿宋"/>
          <w:color w:val="auto"/>
          <w:sz w:val="28"/>
          <w:szCs w:val="28"/>
          <w:highlight w:val="none"/>
        </w:rPr>
        <w:t xml:space="preserve">月</w:t>
      </w:r>
      <w:r>
        <w:rPr>
          <w:rFonts w:eastAsia="仿宋"/>
          <w:color w:val="auto"/>
          <w:sz w:val="28"/>
          <w:szCs w:val="28"/>
          <w:highlight w:val="none"/>
          <w:u w:val="single"/>
        </w:rPr>
        <w:t xml:space="preserve">    </w:t>
      </w:r>
      <w:r>
        <w:rPr>
          <w:rFonts w:eastAsia="仿宋"/>
          <w:color w:val="auto"/>
          <w:sz w:val="28"/>
          <w:szCs w:val="28"/>
          <w:highlight w:val="none"/>
        </w:rPr>
        <w:t xml:space="preserve">日</w:t>
      </w:r>
      <w:r/>
    </w:p>
    <w:p>
      <w:pPr>
        <w:contextualSpacing/>
        <w:ind w:firstLine="480"/>
        <w:spacing w:line="300" w:lineRule="auto"/>
        <w:rPr>
          <w:color w:val="auto"/>
          <w:sz w:val="24"/>
          <w:highlight w:val="none"/>
        </w:rPr>
      </w:pPr>
      <w:r>
        <w:rPr>
          <w:color w:val="auto"/>
          <w:sz w:val="24"/>
          <w:highlight w:val="none"/>
        </w:rPr>
      </w:r>
      <w:r/>
    </w:p>
    <w:p>
      <w:pPr>
        <w:contextualSpacing/>
        <w:ind w:firstLine="480"/>
        <w:spacing w:line="300" w:lineRule="auto"/>
        <w:rPr>
          <w:color w:val="auto"/>
          <w:sz w:val="24"/>
          <w:highlight w:val="none"/>
        </w:rPr>
      </w:pPr>
      <w:r>
        <w:rPr>
          <w:color w:val="auto"/>
          <w:sz w:val="24"/>
          <w:highlight w:val="none"/>
        </w:rPr>
      </w:r>
      <w:r/>
    </w:p>
    <w:p>
      <w:pPr>
        <w:contextualSpacing/>
        <w:ind w:firstLine="480"/>
        <w:spacing w:line="300" w:lineRule="auto"/>
        <w:rPr>
          <w:color w:val="auto"/>
          <w:sz w:val="24"/>
          <w:highlight w:val="none"/>
        </w:rPr>
      </w:pPr>
      <w:r>
        <w:rPr>
          <w:color w:val="auto"/>
          <w:sz w:val="24"/>
          <w:highlight w:val="none"/>
        </w:rPr>
      </w:r>
      <w:r/>
    </w:p>
    <w:p>
      <w:pPr>
        <w:contextualSpacing/>
        <w:ind w:firstLine="540"/>
        <w:spacing w:line="400" w:lineRule="exact"/>
        <w:rPr>
          <w:b/>
          <w:color w:val="auto"/>
          <w:sz w:val="28"/>
          <w:szCs w:val="28"/>
          <w:highlight w:val="none"/>
        </w:rPr>
      </w:pPr>
      <w:r>
        <w:rPr>
          <w:b/>
          <w:color w:val="auto"/>
          <w:sz w:val="28"/>
          <w:szCs w:val="28"/>
          <w:highlight w:val="none"/>
        </w:rPr>
      </w:r>
      <w:r/>
    </w:p>
    <w:p>
      <w:pPr>
        <w:contextualSpacing/>
        <w:ind w:firstLine="540"/>
        <w:spacing w:line="400" w:lineRule="exact"/>
        <w:rPr>
          <w:b/>
          <w:color w:val="auto"/>
          <w:sz w:val="28"/>
          <w:szCs w:val="28"/>
          <w:highlight w:val="none"/>
        </w:rPr>
      </w:pPr>
      <w:r>
        <w:rPr>
          <w:b/>
          <w:color w:val="auto"/>
          <w:sz w:val="28"/>
          <w:szCs w:val="28"/>
          <w:highlight w:val="none"/>
        </w:rPr>
      </w:r>
      <w:r/>
    </w:p>
    <w:p>
      <w:pPr>
        <w:contextualSpacing/>
        <w:ind w:firstLine="540"/>
        <w:spacing w:line="400" w:lineRule="exact"/>
        <w:rPr>
          <w:b/>
          <w:color w:val="auto"/>
          <w:sz w:val="28"/>
          <w:szCs w:val="28"/>
          <w:highlight w:val="none"/>
        </w:rPr>
      </w:pPr>
      <w:r>
        <w:rPr>
          <w:b/>
          <w:color w:val="auto"/>
          <w:sz w:val="28"/>
          <w:szCs w:val="28"/>
          <w:highlight w:val="none"/>
        </w:rPr>
      </w:r>
      <w:r/>
    </w:p>
    <w:p>
      <w:pPr>
        <w:contextualSpacing/>
        <w:ind w:firstLine="540"/>
        <w:spacing w:line="400" w:lineRule="exact"/>
        <w:rPr>
          <w:b/>
          <w:color w:val="auto"/>
          <w:sz w:val="28"/>
          <w:szCs w:val="28"/>
          <w:highlight w:val="none"/>
        </w:rPr>
      </w:pPr>
      <w:r>
        <w:rPr>
          <w:b/>
          <w:color w:val="auto"/>
          <w:sz w:val="28"/>
          <w:szCs w:val="28"/>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t xml:space="preserve">附件7</w:t>
      </w:r>
      <w:r/>
    </w:p>
    <w:p>
      <w:pPr>
        <w:jc w:val="center"/>
        <w:rPr>
          <w:rFonts w:eastAsia="方正小标宋简体"/>
          <w:bCs/>
          <w:color w:val="auto"/>
          <w:sz w:val="30"/>
          <w:szCs w:val="30"/>
          <w:highlight w:val="none"/>
        </w:rPr>
      </w:pPr>
      <w:r>
        <w:rPr>
          <w:rFonts w:eastAsia="方正小标宋简体"/>
          <w:bCs/>
          <w:color w:val="auto"/>
          <w:sz w:val="30"/>
          <w:szCs w:val="30"/>
          <w:highlight w:val="none"/>
        </w:rPr>
        <w:t xml:space="preserve">技术部分正负偏离表</w:t>
      </w:r>
      <w:r/>
    </w:p>
    <w:p>
      <w:pPr>
        <w:spacing w:line="520" w:lineRule="exact"/>
        <w:rPr>
          <w:rFonts w:eastAsia="仿宋"/>
          <w:color w:val="auto"/>
          <w:sz w:val="28"/>
          <w:szCs w:val="28"/>
          <w:highlight w:val="none"/>
        </w:rPr>
      </w:pPr>
      <w:r>
        <w:rPr>
          <w:rFonts w:eastAsia="仿宋"/>
          <w:bCs/>
          <w:color w:val="auto"/>
          <w:sz w:val="28"/>
          <w:szCs w:val="28"/>
          <w:highlight w:val="none"/>
        </w:rPr>
        <w:t xml:space="preserve">项目</w:t>
      </w:r>
      <w:r>
        <w:rPr>
          <w:rFonts w:hint="eastAsia" w:eastAsia="仿宋"/>
          <w:bCs/>
          <w:color w:val="auto"/>
          <w:sz w:val="28"/>
          <w:szCs w:val="28"/>
          <w:highlight w:val="none"/>
        </w:rPr>
        <w:t xml:space="preserve">编号：</w:t>
      </w:r>
      <w:r>
        <w:rPr>
          <w:rFonts w:eastAsia="仿宋"/>
          <w:color w:val="auto"/>
          <w:sz w:val="28"/>
          <w:szCs w:val="28"/>
          <w:highlight w:val="none"/>
          <w:u w:val="single"/>
        </w:rPr>
        <w:t xml:space="preserve">                    </w:t>
      </w:r>
      <w:r/>
    </w:p>
    <w:p>
      <w:pPr>
        <w:ind w:firstLine="560"/>
        <w:jc w:val="center"/>
        <w:spacing w:line="520" w:lineRule="exact"/>
        <w:rPr>
          <w:rFonts w:eastAsia="仿宋"/>
          <w:color w:val="auto"/>
          <w:sz w:val="28"/>
          <w:szCs w:val="28"/>
          <w:highlight w:val="none"/>
        </w:rPr>
      </w:pPr>
      <w:r>
        <w:rPr>
          <w:rFonts w:eastAsia="仿宋"/>
          <w:color w:val="auto"/>
          <w:sz w:val="28"/>
          <w:szCs w:val="28"/>
          <w:highlight w:val="none"/>
        </w:rPr>
        <w:t xml:space="preserve">（由投标人据实填写，表格不够自行添加）</w:t>
      </w:r>
      <w:r/>
    </w:p>
    <w:tbl>
      <w:tblPr>
        <w:tblStyle w:val="895"/>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34"/>
        <w:gridCol w:w="2272"/>
        <w:gridCol w:w="1984"/>
        <w:gridCol w:w="2561"/>
        <w:gridCol w:w="1410"/>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color w:val="auto"/>
                <w:sz w:val="24"/>
                <w:highlight w:val="none"/>
              </w:rPr>
            </w:pPr>
            <w:r>
              <w:rPr>
                <w:rFonts w:eastAsia="黑体"/>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color w:val="auto"/>
                <w:sz w:val="24"/>
                <w:highlight w:val="none"/>
              </w:rPr>
            </w:pPr>
            <w:r>
              <w:rPr>
                <w:rFonts w:eastAsia="黑体"/>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color w:val="auto"/>
                <w:sz w:val="24"/>
                <w:highlight w:val="none"/>
              </w:rPr>
            </w:pPr>
            <w:r>
              <w:rPr>
                <w:rFonts w:eastAsia="黑体"/>
                <w:color w:val="auto"/>
                <w:sz w:val="24"/>
                <w:highlight w:val="none"/>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color w:val="auto"/>
                <w:sz w:val="24"/>
                <w:highlight w:val="none"/>
              </w:rPr>
            </w:pPr>
            <w:r>
              <w:rPr>
                <w:rFonts w:eastAsia="黑体"/>
                <w:color w:val="auto"/>
                <w:sz w:val="24"/>
                <w:highlight w:val="none"/>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color w:val="auto"/>
                <w:sz w:val="24"/>
                <w:highlight w:val="none"/>
              </w:rPr>
            </w:pPr>
            <w:r>
              <w:rPr>
                <w:rFonts w:eastAsia="黑体"/>
                <w:color w:val="auto"/>
                <w:sz w:val="24"/>
                <w:highlight w:val="none"/>
              </w:rPr>
            </w:r>
            <w:r/>
          </w:p>
          <w:p>
            <w:pPr>
              <w:jc w:val="center"/>
              <w:spacing w:line="340" w:lineRule="exact"/>
              <w:rPr>
                <w:rFonts w:eastAsia="黑体"/>
                <w:color w:val="auto"/>
                <w:sz w:val="24"/>
                <w:highlight w:val="none"/>
              </w:rPr>
            </w:pPr>
            <w:r>
              <w:rPr>
                <w:rFonts w:eastAsia="黑体"/>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highlight w:val="none"/>
              </w:rPr>
            </w:pPr>
            <w:r>
              <w:rPr>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highlight w:val="none"/>
              </w:rPr>
            </w:pPr>
            <w:r>
              <w:rPr>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highlight w:val="none"/>
              </w:rPr>
            </w:pPr>
            <w:r>
              <w:rPr>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highlight w:val="none"/>
              </w:rPr>
            </w:pPr>
            <w:r>
              <w:rPr>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bl>
    <w:p>
      <w:pPr>
        <w:contextualSpacing/>
        <w:spacing w:line="300" w:lineRule="auto"/>
        <w:rPr>
          <w:rFonts w:eastAsia="仿宋"/>
          <w:b/>
          <w:bCs/>
          <w:color w:val="auto"/>
          <w:sz w:val="28"/>
          <w:szCs w:val="28"/>
          <w:highlight w:val="none"/>
        </w:rPr>
      </w:pPr>
      <w:r>
        <w:rPr>
          <w:rFonts w:eastAsia="仿宋"/>
          <w:b/>
          <w:bCs/>
          <w:color w:val="auto"/>
          <w:sz w:val="28"/>
          <w:szCs w:val="28"/>
          <w:highlight w:val="none"/>
        </w:rPr>
        <w:t xml:space="preserve">注：</w:t>
      </w:r>
      <w:r/>
    </w:p>
    <w:p>
      <w:pPr>
        <w:contextualSpacing/>
        <w:ind w:firstLine="560"/>
        <w:spacing w:line="300" w:lineRule="auto"/>
        <w:rPr>
          <w:rFonts w:eastAsia="仿宋"/>
          <w:color w:val="auto"/>
          <w:sz w:val="28"/>
          <w:szCs w:val="28"/>
          <w:highlight w:val="none"/>
        </w:rPr>
      </w:pPr>
      <w:r>
        <w:rPr>
          <w:rFonts w:eastAsia="仿宋"/>
          <w:color w:val="auto"/>
          <w:sz w:val="28"/>
          <w:szCs w:val="28"/>
          <w:highlight w:val="none"/>
        </w:rPr>
        <w:t xml:space="preserve">1.未说明偏离的，将被认为响应招标文件的规定，但该表不作为投标人对所投标内容关于技术部分等详细描述和说明的替代。</w:t>
      </w:r>
      <w:r/>
    </w:p>
    <w:p>
      <w:pPr>
        <w:contextualSpacing/>
        <w:ind w:firstLine="560"/>
        <w:spacing w:line="300" w:lineRule="auto"/>
        <w:rPr>
          <w:rFonts w:eastAsia="仿宋"/>
          <w:color w:val="auto"/>
          <w:sz w:val="28"/>
          <w:szCs w:val="28"/>
          <w:highlight w:val="none"/>
        </w:rPr>
      </w:pPr>
      <w:r>
        <w:rPr>
          <w:rFonts w:eastAsia="仿宋"/>
          <w:color w:val="auto"/>
          <w:sz w:val="28"/>
          <w:szCs w:val="28"/>
          <w:highlight w:val="none"/>
        </w:rPr>
        <w:t xml:space="preserve">2. 如有偏离的，在“偏离说明”一栏选择“正偏离</w:t>
      </w:r>
      <w:r>
        <w:rPr>
          <w:rFonts w:hint="eastAsia" w:eastAsia="仿宋"/>
          <w:color w:val="auto"/>
          <w:sz w:val="28"/>
          <w:szCs w:val="28"/>
          <w:highlight w:val="none"/>
        </w:rPr>
        <w:t xml:space="preserve">”“</w:t>
      </w:r>
      <w:r>
        <w:rPr>
          <w:rFonts w:eastAsia="仿宋"/>
          <w:color w:val="auto"/>
          <w:sz w:val="28"/>
          <w:szCs w:val="28"/>
          <w:highlight w:val="none"/>
        </w:rPr>
        <w:t xml:space="preserve">负偏离”进行填写。正偏离、负偏离的确认和负偏离的是否响应招标文件，由评标委员会认定。</w:t>
      </w:r>
      <w:r/>
    </w:p>
    <w:p>
      <w:pPr>
        <w:contextualSpacing/>
        <w:ind w:firstLine="560"/>
        <w:spacing w:line="300" w:lineRule="auto"/>
        <w:rPr>
          <w:rFonts w:eastAsia="仿宋"/>
          <w:color w:val="auto"/>
          <w:sz w:val="28"/>
          <w:szCs w:val="28"/>
          <w:highlight w:val="none"/>
        </w:rPr>
      </w:pPr>
      <w:r>
        <w:rPr>
          <w:rFonts w:eastAsia="仿宋"/>
          <w:color w:val="auto"/>
          <w:sz w:val="28"/>
          <w:szCs w:val="28"/>
          <w:highlight w:val="none"/>
        </w:rPr>
        <w:t xml:space="preserve">3.投标人若提供其他增值服务，可以在表中自行据实填写。</w:t>
      </w:r>
      <w:r/>
    </w:p>
    <w:p>
      <w:pPr>
        <w:contextualSpacing/>
        <w:ind w:firstLine="540"/>
        <w:spacing w:line="400" w:lineRule="exact"/>
        <w:rPr>
          <w:b/>
          <w:color w:val="auto"/>
          <w:sz w:val="28"/>
          <w:szCs w:val="28"/>
          <w:highlight w:val="none"/>
        </w:rPr>
      </w:pPr>
      <w:r>
        <w:rPr>
          <w:b/>
          <w:color w:val="auto"/>
          <w:sz w:val="28"/>
          <w:szCs w:val="28"/>
          <w:highlight w:val="none"/>
        </w:rPr>
      </w:r>
      <w:r/>
    </w:p>
    <w:p>
      <w:pPr>
        <w:contextualSpacing/>
        <w:ind w:firstLine="540"/>
        <w:spacing w:line="400" w:lineRule="exact"/>
        <w:rPr>
          <w:b/>
          <w:color w:val="auto"/>
          <w:sz w:val="28"/>
          <w:szCs w:val="28"/>
          <w:highlight w:val="none"/>
        </w:rPr>
      </w:pPr>
      <w:r>
        <w:rPr>
          <w:b/>
          <w:color w:val="auto"/>
          <w:sz w:val="28"/>
          <w:szCs w:val="28"/>
          <w:highlight w:val="none"/>
        </w:rPr>
      </w:r>
      <w:r/>
    </w:p>
    <w:p>
      <w:pPr>
        <w:contextualSpacing/>
        <w:ind w:firstLine="540"/>
        <w:spacing w:line="400" w:lineRule="exact"/>
        <w:rPr>
          <w:b/>
          <w:color w:val="auto"/>
          <w:sz w:val="28"/>
          <w:szCs w:val="28"/>
          <w:highlight w:val="none"/>
        </w:rPr>
      </w:pPr>
      <w:r>
        <w:rPr>
          <w:b/>
          <w:color w:val="auto"/>
          <w:sz w:val="28"/>
          <w:szCs w:val="28"/>
          <w:highlight w:val="none"/>
        </w:rPr>
      </w:r>
      <w:r/>
    </w:p>
    <w:p>
      <w:pPr>
        <w:contextualSpacing/>
        <w:ind w:firstLine="540"/>
        <w:spacing w:line="400" w:lineRule="exact"/>
        <w:rPr>
          <w:b/>
          <w:color w:val="auto"/>
          <w:sz w:val="28"/>
          <w:szCs w:val="28"/>
          <w:highlight w:val="none"/>
        </w:rPr>
      </w:pPr>
      <w:r>
        <w:rPr>
          <w:b/>
          <w:color w:val="auto"/>
          <w:sz w:val="28"/>
          <w:szCs w:val="28"/>
          <w:highlight w:val="none"/>
        </w:rPr>
      </w:r>
      <w:r/>
    </w:p>
    <w:p>
      <w:pPr>
        <w:contextualSpacing/>
        <w:ind w:firstLine="3080"/>
        <w:spacing w:line="300" w:lineRule="auto"/>
        <w:rPr>
          <w:rFonts w:eastAsia="仿宋"/>
          <w:color w:val="auto"/>
          <w:sz w:val="28"/>
          <w:szCs w:val="28"/>
          <w:highlight w:val="none"/>
        </w:rPr>
      </w:pPr>
      <w:r>
        <w:rPr>
          <w:rFonts w:eastAsia="仿宋"/>
          <w:color w:val="auto"/>
          <w:sz w:val="28"/>
          <w:szCs w:val="28"/>
          <w:highlight w:val="none"/>
        </w:rPr>
        <w:t xml:space="preserve">投标人名称（</w:t>
      </w:r>
      <w:r>
        <w:rPr>
          <w:rFonts w:hint="eastAsia" w:eastAsia="仿宋"/>
          <w:color w:val="auto"/>
          <w:sz w:val="28"/>
          <w:szCs w:val="28"/>
          <w:highlight w:val="none"/>
        </w:rPr>
        <w:t xml:space="preserve">加</w:t>
      </w:r>
      <w:r>
        <w:rPr>
          <w:rFonts w:eastAsia="仿宋"/>
          <w:color w:val="auto"/>
          <w:sz w:val="28"/>
          <w:szCs w:val="28"/>
          <w:highlight w:val="none"/>
        </w:rPr>
        <w:t xml:space="preserve">盖公章）：</w:t>
      </w:r>
      <w:r>
        <w:rPr>
          <w:rFonts w:eastAsia="仿宋"/>
          <w:color w:val="auto"/>
          <w:sz w:val="28"/>
          <w:szCs w:val="28"/>
          <w:highlight w:val="none"/>
          <w:u w:val="single"/>
        </w:rPr>
        <w:t xml:space="preserve">                  </w:t>
      </w:r>
      <w:r/>
    </w:p>
    <w:p>
      <w:pPr>
        <w:contextualSpacing/>
        <w:ind w:firstLine="3080"/>
        <w:spacing w:line="300" w:lineRule="auto"/>
        <w:rPr>
          <w:rFonts w:eastAsia="方正黑体_GBK"/>
          <w:color w:val="auto"/>
          <w:sz w:val="32"/>
          <w:szCs w:val="32"/>
          <w:highlight w:val="none"/>
        </w:rPr>
      </w:pPr>
      <w:r>
        <w:rPr>
          <w:rFonts w:eastAsia="仿宋"/>
          <w:color w:val="auto"/>
          <w:sz w:val="28"/>
          <w:szCs w:val="28"/>
          <w:highlight w:val="none"/>
        </w:rPr>
        <w:t xml:space="preserve">日期：</w:t>
      </w:r>
      <w:r>
        <w:rPr>
          <w:rFonts w:eastAsia="仿宋"/>
          <w:color w:val="auto"/>
          <w:sz w:val="28"/>
          <w:szCs w:val="28"/>
          <w:highlight w:val="none"/>
          <w:u w:val="single"/>
        </w:rPr>
        <w:t xml:space="preserve">       </w:t>
      </w:r>
      <w:r>
        <w:rPr>
          <w:rFonts w:eastAsia="仿宋"/>
          <w:color w:val="auto"/>
          <w:sz w:val="28"/>
          <w:szCs w:val="28"/>
          <w:highlight w:val="none"/>
        </w:rPr>
        <w:t xml:space="preserve">年</w:t>
      </w:r>
      <w:r>
        <w:rPr>
          <w:rFonts w:eastAsia="仿宋"/>
          <w:color w:val="auto"/>
          <w:sz w:val="28"/>
          <w:szCs w:val="28"/>
          <w:highlight w:val="none"/>
          <w:u w:val="single"/>
        </w:rPr>
        <w:t xml:space="preserve">   </w:t>
      </w:r>
      <w:r>
        <w:rPr>
          <w:rFonts w:eastAsia="仿宋"/>
          <w:color w:val="auto"/>
          <w:sz w:val="28"/>
          <w:szCs w:val="28"/>
          <w:highlight w:val="none"/>
        </w:rPr>
        <w:t xml:space="preserve">月</w:t>
      </w:r>
      <w:r>
        <w:rPr>
          <w:rFonts w:eastAsia="仿宋"/>
          <w:color w:val="auto"/>
          <w:sz w:val="28"/>
          <w:szCs w:val="28"/>
          <w:highlight w:val="none"/>
          <w:u w:val="single"/>
        </w:rPr>
        <w:t xml:space="preserve">    </w:t>
      </w:r>
      <w:r>
        <w:rPr>
          <w:rFonts w:eastAsia="仿宋"/>
          <w:color w:val="auto"/>
          <w:sz w:val="28"/>
          <w:szCs w:val="28"/>
          <w:highlight w:val="none"/>
        </w:rPr>
        <w:t xml:space="preserve">日</w:t>
      </w:r>
      <w:r/>
    </w:p>
    <w:p>
      <w:pPr>
        <w:jc w:val="left"/>
        <w:widowControl/>
        <w:rPr>
          <w:rFonts w:eastAsia="方正黑体_GBK"/>
          <w:color w:val="auto"/>
          <w:sz w:val="32"/>
          <w:szCs w:val="32"/>
          <w:highlight w:val="none"/>
        </w:rPr>
      </w:pPr>
      <w:r>
        <w:rPr>
          <w:rFonts w:eastAsia="方正黑体_GBK"/>
          <w:color w:val="auto"/>
          <w:sz w:val="32"/>
          <w:szCs w:val="32"/>
          <w:highlight w:val="none"/>
        </w:rPr>
      </w:r>
      <w:r/>
    </w:p>
    <w:p>
      <w:pPr>
        <w:jc w:val="left"/>
        <w:widowControl/>
        <w:rPr>
          <w:rFonts w:eastAsia="方正黑体_GBK"/>
          <w:color w:val="auto"/>
          <w:sz w:val="32"/>
          <w:szCs w:val="32"/>
          <w:highlight w:val="none"/>
        </w:rPr>
      </w:pPr>
      <w:r>
        <w:rPr>
          <w:rFonts w:eastAsia="方正黑体_GBK"/>
          <w:color w:val="auto"/>
          <w:sz w:val="32"/>
          <w:szCs w:val="32"/>
          <w:highlight w:val="none"/>
        </w:rPr>
      </w:r>
      <w:r/>
    </w:p>
    <w:p>
      <w:pPr>
        <w:jc w:val="left"/>
        <w:widowControl/>
        <w:rPr>
          <w:rFonts w:eastAsia="方正黑体_GBK"/>
          <w:color w:val="auto"/>
          <w:sz w:val="32"/>
          <w:szCs w:val="32"/>
          <w:highlight w:val="none"/>
        </w:rPr>
      </w:pPr>
      <w:r>
        <w:rPr>
          <w:rFonts w:eastAsia="方正黑体_GBK"/>
          <w:color w:val="auto"/>
          <w:sz w:val="32"/>
          <w:szCs w:val="32"/>
          <w:highlight w:val="none"/>
        </w:rPr>
      </w:r>
      <w:r/>
    </w:p>
    <w:p>
      <w:pPr>
        <w:jc w:val="left"/>
        <w:widowControl/>
        <w:rPr>
          <w:rFonts w:eastAsia="方正黑体_GBK"/>
          <w:color w:val="auto"/>
          <w:sz w:val="32"/>
          <w:szCs w:val="32"/>
          <w:highlight w:val="none"/>
        </w:rPr>
      </w:pPr>
      <w:r>
        <w:rPr>
          <w:rFonts w:eastAsia="方正黑体_GBK"/>
          <w:color w:val="auto"/>
          <w:sz w:val="32"/>
          <w:szCs w:val="32"/>
          <w:highlight w:val="none"/>
        </w:rPr>
      </w:r>
      <w:r/>
    </w:p>
    <w:p>
      <w:pPr>
        <w:jc w:val="left"/>
        <w:widowControl/>
        <w:rPr>
          <w:b/>
          <w:color w:val="auto"/>
          <w:sz w:val="32"/>
          <w:szCs w:val="32"/>
          <w:highlight w:val="none"/>
        </w:rPr>
      </w:pPr>
      <w:r>
        <w:rPr>
          <w:rFonts w:eastAsia="方正黑体_GBK"/>
          <w:color w:val="auto"/>
          <w:sz w:val="32"/>
          <w:szCs w:val="32"/>
          <w:highlight w:val="none"/>
        </w:rPr>
        <w:t xml:space="preserve">附件8</w:t>
      </w:r>
      <w:r/>
    </w:p>
    <w:p>
      <w:pPr>
        <w:jc w:val="center"/>
        <w:spacing w:line="400" w:lineRule="exact"/>
        <w:rPr>
          <w:rFonts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分项报价明细表（货物类）</w:t>
      </w:r>
      <w:r/>
    </w:p>
    <w:p>
      <w:pPr>
        <w:spacing w:line="400" w:lineRule="exact"/>
        <w:rPr>
          <w:rFonts w:eastAsia="仿宋"/>
          <w:color w:val="auto"/>
          <w:sz w:val="28"/>
          <w:szCs w:val="28"/>
          <w:highlight w:val="none"/>
          <w:u w:val="single"/>
        </w:rPr>
      </w:pPr>
      <w:r>
        <w:rPr>
          <w:rFonts w:eastAsia="仿宋"/>
          <w:bCs/>
          <w:color w:val="auto"/>
          <w:sz w:val="28"/>
          <w:szCs w:val="28"/>
          <w:highlight w:val="none"/>
        </w:rPr>
        <w:t xml:space="preserve">项目编号：</w:t>
      </w:r>
      <w:r>
        <w:rPr>
          <w:rFonts w:eastAsia="仿宋"/>
          <w:color w:val="auto"/>
          <w:sz w:val="28"/>
          <w:szCs w:val="28"/>
          <w:highlight w:val="none"/>
          <w:u w:val="single"/>
        </w:rPr>
        <w:t xml:space="preserve">                      </w:t>
      </w:r>
      <w:r/>
    </w:p>
    <w:p>
      <w:pPr>
        <w:spacing w:line="400" w:lineRule="exact"/>
        <w:rPr>
          <w:rFonts w:eastAsia="仿宋_GB2312"/>
          <w:color w:val="auto"/>
          <w:sz w:val="28"/>
          <w:szCs w:val="28"/>
          <w:highlight w:val="none"/>
        </w:rPr>
      </w:pPr>
      <w:r>
        <w:rPr>
          <w:rFonts w:eastAsia="仿宋_GB2312"/>
          <w:color w:val="auto"/>
          <w:sz w:val="28"/>
          <w:szCs w:val="28"/>
          <w:highlight w:val="none"/>
        </w:rPr>
        <w:t xml:space="preserve">投标人名称（</w:t>
      </w:r>
      <w:r>
        <w:rPr>
          <w:rFonts w:hint="eastAsia" w:eastAsia="仿宋_GB2312"/>
          <w:color w:val="auto"/>
          <w:sz w:val="28"/>
          <w:szCs w:val="28"/>
          <w:highlight w:val="none"/>
        </w:rPr>
        <w:t xml:space="preserve">加盖公章</w:t>
      </w:r>
      <w:r>
        <w:rPr>
          <w:rFonts w:eastAsia="仿宋_GB2312"/>
          <w:color w:val="auto"/>
          <w:sz w:val="28"/>
          <w:szCs w:val="28"/>
          <w:highlight w:val="none"/>
        </w:rPr>
        <w:t xml:space="preserve">）：            </w:t>
      </w:r>
      <w:r>
        <w:rPr>
          <w:rFonts w:hint="eastAsia" w:eastAsia="仿宋_GB2312"/>
          <w:color w:val="auto"/>
          <w:sz w:val="28"/>
          <w:szCs w:val="28"/>
          <w:highlight w:val="none"/>
        </w:rPr>
        <w:t xml:space="preserve"> </w:t>
      </w:r>
      <w:r>
        <w:rPr>
          <w:rFonts w:eastAsia="仿宋_GB2312"/>
          <w:color w:val="auto"/>
          <w:sz w:val="28"/>
          <w:szCs w:val="28"/>
          <w:highlight w:val="none"/>
        </w:rPr>
        <w:t xml:space="preserve">                 年  月  日</w:t>
      </w:r>
      <w:r/>
    </w:p>
    <w:tbl>
      <w:tblPr>
        <w:tblStyle w:val="895"/>
        <w:tblW w:w="10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205"/>
        <w:gridCol w:w="1091"/>
        <w:gridCol w:w="1077"/>
        <w:gridCol w:w="954"/>
        <w:gridCol w:w="982"/>
        <w:gridCol w:w="886"/>
        <w:gridCol w:w="914"/>
        <w:gridCol w:w="1677"/>
        <w:gridCol w:w="980"/>
      </w:tblGrid>
      <w:tr>
        <w:trPr>
          <w:cantSplit/>
          <w:jc w:val="center"/>
          <w:trHeight w:val="812" w:hRule="exact"/>
        </w:trPr>
        <w:tc>
          <w:tcPr>
            <w:tcW w:w="1037" w:type="dxa"/>
            <w:vAlign w:val="center"/>
            <w:textDirection w:val="lrTb"/>
            <w:noWrap w:val="false"/>
          </w:tcPr>
          <w:p>
            <w:pPr>
              <w:jc w:val="center"/>
              <w:spacing w:line="360" w:lineRule="auto"/>
              <w:rPr>
                <w:rFonts w:ascii="黑体" w:hAnsi="黑体" w:eastAsia="黑体" w:cs="黑体"/>
                <w:bCs/>
                <w:color w:val="auto"/>
                <w:szCs w:val="21"/>
                <w:highlight w:val="none"/>
              </w:rPr>
            </w:pPr>
            <w:r>
              <w:rPr>
                <w:rFonts w:hint="eastAsia" w:ascii="黑体" w:hAnsi="黑体" w:eastAsia="黑体" w:cs="黑体"/>
                <w:bCs/>
                <w:color w:val="auto"/>
                <w:szCs w:val="21"/>
                <w:highlight w:val="none"/>
              </w:rPr>
              <w:t xml:space="preserve">序号</w:t>
            </w:r>
            <w:r/>
          </w:p>
        </w:tc>
        <w:tc>
          <w:tcPr>
            <w:tcW w:w="1205" w:type="dxa"/>
            <w:vAlign w:val="center"/>
            <w:textDirection w:val="lrTb"/>
            <w:noWrap w:val="false"/>
          </w:tcPr>
          <w:p>
            <w:pPr>
              <w:jc w:val="center"/>
              <w:spacing w:line="360" w:lineRule="auto"/>
              <w:rPr>
                <w:rFonts w:ascii="黑体" w:hAnsi="黑体" w:eastAsia="黑体" w:cs="黑体"/>
                <w:bCs/>
                <w:color w:val="auto"/>
                <w:szCs w:val="21"/>
                <w:highlight w:val="none"/>
              </w:rPr>
            </w:pPr>
            <w:r>
              <w:rPr>
                <w:rFonts w:hint="eastAsia" w:ascii="黑体" w:hAnsi="黑体" w:eastAsia="黑体" w:cs="黑体"/>
                <w:bCs/>
                <w:color w:val="auto"/>
                <w:szCs w:val="21"/>
                <w:highlight w:val="none"/>
              </w:rPr>
              <w:t xml:space="preserve">名称</w:t>
            </w:r>
            <w:r/>
          </w:p>
        </w:tc>
        <w:tc>
          <w:tcPr>
            <w:tcW w:w="1091" w:type="dxa"/>
            <w:vAlign w:val="center"/>
            <w:textDirection w:val="lrTb"/>
            <w:noWrap w:val="false"/>
          </w:tcPr>
          <w:p>
            <w:pPr>
              <w:jc w:val="center"/>
              <w:spacing w:line="360" w:lineRule="auto"/>
              <w:rPr>
                <w:rFonts w:ascii="黑体" w:hAnsi="黑体" w:eastAsia="黑体" w:cs="黑体"/>
                <w:bCs/>
                <w:color w:val="auto"/>
                <w:szCs w:val="21"/>
                <w:highlight w:val="none"/>
              </w:rPr>
            </w:pPr>
            <w:r>
              <w:rPr>
                <w:rFonts w:hint="eastAsia" w:ascii="黑体" w:hAnsi="黑体" w:eastAsia="黑体" w:cs="黑体"/>
                <w:bCs/>
                <w:color w:val="auto"/>
                <w:szCs w:val="21"/>
                <w:highlight w:val="none"/>
              </w:rPr>
              <w:t xml:space="preserve">规格型号</w:t>
            </w:r>
            <w:r/>
          </w:p>
        </w:tc>
        <w:tc>
          <w:tcPr>
            <w:tcW w:w="1077" w:type="dxa"/>
            <w:vAlign w:val="center"/>
            <w:textDirection w:val="lrTb"/>
            <w:noWrap w:val="false"/>
          </w:tcPr>
          <w:p>
            <w:pPr>
              <w:jc w:val="center"/>
              <w:spacing w:line="360" w:lineRule="auto"/>
              <w:rPr>
                <w:rFonts w:ascii="黑体" w:hAnsi="黑体" w:eastAsia="黑体" w:cs="黑体"/>
                <w:bCs/>
                <w:color w:val="auto"/>
                <w:szCs w:val="21"/>
                <w:highlight w:val="none"/>
              </w:rPr>
            </w:pPr>
            <w:r>
              <w:rPr>
                <w:rFonts w:hint="eastAsia" w:ascii="黑体" w:hAnsi="黑体" w:eastAsia="黑体" w:cs="黑体"/>
                <w:bCs/>
                <w:color w:val="auto"/>
                <w:szCs w:val="21"/>
                <w:highlight w:val="none"/>
              </w:rPr>
              <w:t xml:space="preserve">品牌</w:t>
            </w:r>
            <w:r/>
          </w:p>
        </w:tc>
        <w:tc>
          <w:tcPr>
            <w:tcW w:w="954" w:type="dxa"/>
            <w:vAlign w:val="center"/>
            <w:textDirection w:val="lrTb"/>
            <w:noWrap w:val="false"/>
          </w:tcPr>
          <w:p>
            <w:pPr>
              <w:jc w:val="center"/>
              <w:spacing w:line="360" w:lineRule="auto"/>
              <w:rPr>
                <w:rFonts w:ascii="黑体" w:hAnsi="黑体" w:eastAsia="黑体" w:cs="黑体"/>
                <w:bCs/>
                <w:color w:val="auto"/>
                <w:szCs w:val="21"/>
                <w:highlight w:val="none"/>
              </w:rPr>
            </w:pPr>
            <w:r>
              <w:rPr>
                <w:rFonts w:hint="eastAsia" w:ascii="黑体" w:hAnsi="黑体" w:eastAsia="黑体" w:cs="黑体"/>
                <w:bCs/>
                <w:color w:val="auto"/>
                <w:szCs w:val="21"/>
                <w:highlight w:val="none"/>
              </w:rPr>
              <w:t xml:space="preserve">生产厂家名称</w:t>
            </w:r>
            <w:r/>
          </w:p>
        </w:tc>
        <w:tc>
          <w:tcPr>
            <w:tcW w:w="982" w:type="dxa"/>
            <w:vAlign w:val="center"/>
            <w:textDirection w:val="lrTb"/>
            <w:noWrap w:val="false"/>
          </w:tcPr>
          <w:p>
            <w:pPr>
              <w:jc w:val="center"/>
              <w:spacing w:line="360" w:lineRule="auto"/>
              <w:rPr>
                <w:rFonts w:ascii="黑体" w:hAnsi="黑体" w:eastAsia="黑体" w:cs="黑体"/>
                <w:bCs/>
                <w:color w:val="auto"/>
                <w:szCs w:val="21"/>
                <w:highlight w:val="none"/>
              </w:rPr>
            </w:pPr>
            <w:r>
              <w:rPr>
                <w:rFonts w:hint="eastAsia" w:ascii="黑体" w:hAnsi="黑体" w:eastAsia="黑体" w:cs="黑体"/>
                <w:bCs/>
                <w:color w:val="auto"/>
                <w:szCs w:val="21"/>
                <w:highlight w:val="none"/>
              </w:rPr>
              <w:t xml:space="preserve">单位</w:t>
            </w:r>
            <w:r/>
          </w:p>
        </w:tc>
        <w:tc>
          <w:tcPr>
            <w:tcW w:w="886" w:type="dxa"/>
            <w:vAlign w:val="center"/>
            <w:textDirection w:val="lrTb"/>
            <w:noWrap w:val="false"/>
          </w:tcPr>
          <w:p>
            <w:pPr>
              <w:jc w:val="center"/>
              <w:spacing w:line="360" w:lineRule="auto"/>
              <w:rPr>
                <w:rFonts w:ascii="黑体" w:hAnsi="黑体" w:eastAsia="黑体" w:cs="黑体"/>
                <w:bCs/>
                <w:color w:val="auto"/>
                <w:szCs w:val="21"/>
                <w:highlight w:val="none"/>
              </w:rPr>
            </w:pPr>
            <w:r>
              <w:rPr>
                <w:rFonts w:hint="eastAsia" w:ascii="黑体" w:hAnsi="黑体" w:eastAsia="黑体" w:cs="黑体"/>
                <w:bCs/>
                <w:color w:val="auto"/>
                <w:szCs w:val="21"/>
                <w:highlight w:val="none"/>
              </w:rPr>
              <w:t xml:space="preserve">数量</w:t>
            </w:r>
            <w:r/>
          </w:p>
        </w:tc>
        <w:tc>
          <w:tcPr>
            <w:tcW w:w="914" w:type="dxa"/>
            <w:vAlign w:val="center"/>
            <w:textDirection w:val="lrTb"/>
            <w:noWrap w:val="false"/>
          </w:tcPr>
          <w:p>
            <w:pPr>
              <w:jc w:val="center"/>
              <w:spacing w:line="360" w:lineRule="auto"/>
              <w:rPr>
                <w:rFonts w:ascii="黑体" w:hAnsi="黑体" w:eastAsia="黑体" w:cs="黑体"/>
                <w:bCs/>
                <w:color w:val="auto"/>
                <w:szCs w:val="21"/>
                <w:highlight w:val="none"/>
              </w:rPr>
            </w:pPr>
            <w:r>
              <w:rPr>
                <w:rFonts w:hint="eastAsia" w:ascii="黑体" w:hAnsi="黑体" w:eastAsia="黑体" w:cs="黑体"/>
                <w:bCs/>
                <w:color w:val="auto"/>
                <w:szCs w:val="21"/>
                <w:highlight w:val="none"/>
              </w:rPr>
              <w:t xml:space="preserve">单价</w:t>
            </w:r>
            <w:r/>
          </w:p>
        </w:tc>
        <w:tc>
          <w:tcPr>
            <w:tcW w:w="1677" w:type="dxa"/>
            <w:vAlign w:val="center"/>
            <w:textDirection w:val="lrTb"/>
            <w:noWrap w:val="false"/>
          </w:tcPr>
          <w:p>
            <w:pPr>
              <w:jc w:val="center"/>
              <w:spacing w:line="360" w:lineRule="auto"/>
              <w:rPr>
                <w:rFonts w:ascii="黑体" w:hAnsi="黑体" w:eastAsia="黑体" w:cs="黑体"/>
                <w:bCs/>
                <w:color w:val="auto"/>
                <w:szCs w:val="21"/>
                <w:highlight w:val="none"/>
              </w:rPr>
            </w:pPr>
            <w:r>
              <w:rPr>
                <w:rFonts w:hint="eastAsia" w:ascii="黑体" w:hAnsi="黑体" w:eastAsia="黑体" w:cs="黑体"/>
                <w:bCs/>
                <w:color w:val="auto"/>
                <w:szCs w:val="21"/>
                <w:highlight w:val="none"/>
              </w:rPr>
              <w:t xml:space="preserve">金额</w:t>
            </w:r>
            <w:r/>
          </w:p>
        </w:tc>
        <w:tc>
          <w:tcPr>
            <w:tcW w:w="980" w:type="dxa"/>
            <w:vAlign w:val="center"/>
            <w:textDirection w:val="lrTb"/>
            <w:noWrap w:val="false"/>
          </w:tcPr>
          <w:p>
            <w:pPr>
              <w:ind w:firstLine="105"/>
              <w:jc w:val="center"/>
              <w:spacing w:line="360" w:lineRule="auto"/>
              <w:rPr>
                <w:rFonts w:ascii="黑体" w:hAnsi="黑体" w:eastAsia="黑体" w:cs="黑体"/>
                <w:bCs/>
                <w:color w:val="auto"/>
                <w:szCs w:val="21"/>
                <w:highlight w:val="none"/>
              </w:rPr>
            </w:pPr>
            <w:r>
              <w:rPr>
                <w:rFonts w:hint="eastAsia" w:ascii="黑体" w:hAnsi="黑体" w:eastAsia="黑体" w:cs="黑体"/>
                <w:bCs/>
                <w:color w:val="auto"/>
                <w:szCs w:val="21"/>
                <w:highlight w:val="none"/>
              </w:rPr>
              <w:t xml:space="preserve">备注</w:t>
            </w:r>
            <w:r/>
          </w:p>
        </w:tc>
      </w:tr>
      <w:tr>
        <w:trPr>
          <w:cantSplit/>
          <w:jc w:val="center"/>
          <w:trHeight w:val="479"/>
        </w:trPr>
        <w:tc>
          <w:tcPr>
            <w:tcW w:w="1037" w:type="dxa"/>
            <w:vAlign w:val="center"/>
            <w:textDirection w:val="lrTb"/>
            <w:noWrap w:val="false"/>
          </w:tcPr>
          <w:p>
            <w:pPr>
              <w:jc w:val="center"/>
              <w:spacing w:line="360" w:lineRule="auto"/>
              <w:rPr>
                <w:rFonts w:eastAsia="仿宋_GB2312"/>
                <w:color w:val="auto"/>
                <w:szCs w:val="21"/>
                <w:highlight w:val="none"/>
              </w:rPr>
            </w:pPr>
            <w:r>
              <w:rPr>
                <w:rFonts w:eastAsia="仿宋_GB2312"/>
                <w:color w:val="auto"/>
                <w:szCs w:val="21"/>
                <w:highlight w:val="none"/>
              </w:rPr>
              <w:t xml:space="preserve">1</w:t>
            </w:r>
            <w:r/>
          </w:p>
        </w:tc>
        <w:tc>
          <w:tcPr>
            <w:tcW w:w="1205" w:type="dxa"/>
            <w:vAlign w:val="center"/>
            <w:textDirection w:val="lrTb"/>
            <w:noWrap w:val="false"/>
          </w:tcPr>
          <w:p>
            <w:pPr>
              <w:jc w:val="center"/>
              <w:spacing w:line="360" w:lineRule="auto"/>
              <w:rPr>
                <w:rFonts w:eastAsia="仿宋_GB2312"/>
                <w:color w:val="auto"/>
                <w:sz w:val="24"/>
                <w:highlight w:val="none"/>
              </w:rPr>
            </w:pPr>
            <w:r>
              <w:rPr>
                <w:rFonts w:eastAsia="仿宋_GB2312"/>
                <w:color w:val="auto"/>
                <w:sz w:val="24"/>
                <w:highlight w:val="none"/>
              </w:rPr>
            </w:r>
            <w:r/>
          </w:p>
        </w:tc>
        <w:tc>
          <w:tcPr>
            <w:tcW w:w="1091" w:type="dxa"/>
            <w:vAlign w:val="center"/>
            <w:textDirection w:val="lrTb"/>
            <w:noWrap w:val="false"/>
          </w:tcPr>
          <w:p>
            <w:pPr>
              <w:jc w:val="center"/>
              <w:spacing w:line="360" w:lineRule="auto"/>
              <w:rPr>
                <w:rFonts w:eastAsia="仿宋_GB2312"/>
                <w:color w:val="auto"/>
                <w:sz w:val="24"/>
                <w:highlight w:val="none"/>
              </w:rPr>
            </w:pPr>
            <w:r>
              <w:rPr>
                <w:rFonts w:eastAsia="仿宋_GB2312"/>
                <w:color w:val="auto"/>
                <w:sz w:val="24"/>
                <w:highlight w:val="none"/>
              </w:rPr>
            </w:r>
            <w:r/>
          </w:p>
        </w:tc>
        <w:tc>
          <w:tcPr>
            <w:tcW w:w="1077" w:type="dxa"/>
            <w:vAlign w:val="center"/>
            <w:textDirection w:val="lrTb"/>
            <w:noWrap w:val="false"/>
          </w:tcPr>
          <w:p>
            <w:pPr>
              <w:jc w:val="center"/>
              <w:spacing w:line="360" w:lineRule="auto"/>
              <w:rPr>
                <w:rFonts w:eastAsia="仿宋_GB2312"/>
                <w:color w:val="auto"/>
                <w:sz w:val="24"/>
                <w:highlight w:val="none"/>
              </w:rPr>
            </w:pPr>
            <w:r>
              <w:rPr>
                <w:rFonts w:eastAsia="仿宋_GB2312"/>
                <w:color w:val="auto"/>
                <w:sz w:val="24"/>
                <w:highlight w:val="none"/>
              </w:rPr>
            </w:r>
            <w:r/>
          </w:p>
        </w:tc>
        <w:tc>
          <w:tcPr>
            <w:tcW w:w="954" w:type="dxa"/>
            <w:vAlign w:val="center"/>
            <w:textDirection w:val="lrTb"/>
            <w:noWrap w:val="false"/>
          </w:tcPr>
          <w:p>
            <w:pPr>
              <w:jc w:val="center"/>
              <w:spacing w:line="360" w:lineRule="auto"/>
              <w:rPr>
                <w:rFonts w:eastAsia="仿宋_GB2312"/>
                <w:color w:val="auto"/>
                <w:sz w:val="24"/>
                <w:highlight w:val="none"/>
              </w:rPr>
            </w:pPr>
            <w:r>
              <w:rPr>
                <w:rFonts w:eastAsia="仿宋_GB2312"/>
                <w:color w:val="auto"/>
                <w:sz w:val="24"/>
                <w:highlight w:val="none"/>
              </w:rPr>
            </w:r>
            <w:r/>
          </w:p>
        </w:tc>
        <w:tc>
          <w:tcPr>
            <w:tcW w:w="982" w:type="dxa"/>
            <w:vAlign w:val="center"/>
            <w:textDirection w:val="lrTb"/>
            <w:noWrap w:val="false"/>
          </w:tcPr>
          <w:p>
            <w:pPr>
              <w:jc w:val="center"/>
              <w:spacing w:line="360" w:lineRule="auto"/>
              <w:rPr>
                <w:rFonts w:eastAsia="仿宋_GB2312"/>
                <w:color w:val="auto"/>
                <w:sz w:val="24"/>
                <w:highlight w:val="none"/>
              </w:rPr>
            </w:pPr>
            <w:r>
              <w:rPr>
                <w:rFonts w:eastAsia="仿宋_GB2312"/>
                <w:color w:val="auto"/>
                <w:sz w:val="24"/>
                <w:highlight w:val="none"/>
              </w:rPr>
            </w:r>
            <w:r/>
          </w:p>
        </w:tc>
        <w:tc>
          <w:tcPr>
            <w:tcW w:w="886" w:type="dxa"/>
            <w:vAlign w:val="center"/>
            <w:textDirection w:val="lrTb"/>
            <w:noWrap w:val="false"/>
          </w:tcPr>
          <w:p>
            <w:pPr>
              <w:jc w:val="center"/>
              <w:spacing w:line="360" w:lineRule="auto"/>
              <w:rPr>
                <w:rFonts w:eastAsia="仿宋_GB2312"/>
                <w:color w:val="auto"/>
                <w:sz w:val="24"/>
                <w:highlight w:val="none"/>
              </w:rPr>
            </w:pPr>
            <w:r>
              <w:rPr>
                <w:rFonts w:eastAsia="仿宋_GB2312"/>
                <w:color w:val="auto"/>
                <w:sz w:val="24"/>
                <w:highlight w:val="none"/>
              </w:rPr>
            </w:r>
            <w:r/>
          </w:p>
        </w:tc>
        <w:tc>
          <w:tcPr>
            <w:tcW w:w="914" w:type="dxa"/>
            <w:vAlign w:val="center"/>
            <w:textDirection w:val="lrTb"/>
            <w:noWrap w:val="false"/>
          </w:tcPr>
          <w:p>
            <w:pPr>
              <w:jc w:val="center"/>
              <w:spacing w:line="360" w:lineRule="auto"/>
              <w:rPr>
                <w:rFonts w:eastAsia="仿宋_GB2312"/>
                <w:color w:val="auto"/>
                <w:sz w:val="24"/>
                <w:highlight w:val="none"/>
              </w:rPr>
            </w:pPr>
            <w:r>
              <w:rPr>
                <w:rFonts w:eastAsia="仿宋_GB2312"/>
                <w:color w:val="auto"/>
                <w:sz w:val="24"/>
                <w:highlight w:val="none"/>
              </w:rPr>
            </w:r>
            <w:r/>
          </w:p>
        </w:tc>
        <w:tc>
          <w:tcPr>
            <w:tcW w:w="1677" w:type="dxa"/>
            <w:vAlign w:val="center"/>
            <w:textDirection w:val="lrTb"/>
            <w:noWrap w:val="false"/>
          </w:tcPr>
          <w:p>
            <w:pPr>
              <w:jc w:val="center"/>
              <w:spacing w:line="360" w:lineRule="auto"/>
              <w:rPr>
                <w:rFonts w:eastAsia="仿宋_GB2312"/>
                <w:color w:val="auto"/>
                <w:sz w:val="24"/>
                <w:highlight w:val="none"/>
              </w:rPr>
            </w:pPr>
            <w:r>
              <w:rPr>
                <w:rFonts w:eastAsia="仿宋_GB2312"/>
                <w:color w:val="auto"/>
                <w:sz w:val="24"/>
                <w:highlight w:val="none"/>
              </w:rPr>
            </w:r>
            <w:r/>
          </w:p>
        </w:tc>
        <w:tc>
          <w:tcPr>
            <w:tcW w:w="980" w:type="dxa"/>
            <w:vAlign w:val="center"/>
            <w:textDirection w:val="lrTb"/>
            <w:noWrap w:val="false"/>
          </w:tcPr>
          <w:p>
            <w:pPr>
              <w:jc w:val="center"/>
              <w:spacing w:line="360" w:lineRule="auto"/>
              <w:rPr>
                <w:rFonts w:eastAsia="仿宋_GB2312"/>
                <w:color w:val="auto"/>
                <w:sz w:val="24"/>
                <w:highlight w:val="none"/>
              </w:rPr>
            </w:pPr>
            <w:r>
              <w:rPr>
                <w:rFonts w:eastAsia="仿宋_GB2312"/>
                <w:color w:val="auto"/>
                <w:sz w:val="24"/>
                <w:highlight w:val="none"/>
              </w:rPr>
            </w:r>
            <w:r/>
          </w:p>
        </w:tc>
      </w:tr>
      <w:tr>
        <w:trPr>
          <w:cantSplit/>
          <w:jc w:val="center"/>
          <w:trHeight w:val="502"/>
        </w:trPr>
        <w:tc>
          <w:tcPr>
            <w:tcW w:w="1037" w:type="dxa"/>
            <w:vAlign w:val="center"/>
            <w:textDirection w:val="lrTb"/>
            <w:noWrap w:val="false"/>
          </w:tcPr>
          <w:p>
            <w:pPr>
              <w:jc w:val="center"/>
              <w:spacing w:line="360" w:lineRule="auto"/>
              <w:rPr>
                <w:rFonts w:eastAsia="仿宋_GB2312"/>
                <w:color w:val="auto"/>
                <w:szCs w:val="21"/>
                <w:highlight w:val="none"/>
              </w:rPr>
            </w:pPr>
            <w:r>
              <w:rPr>
                <w:rFonts w:eastAsia="仿宋_GB2312"/>
                <w:color w:val="auto"/>
                <w:szCs w:val="21"/>
                <w:highlight w:val="none"/>
              </w:rPr>
              <w:t xml:space="preserve">2</w:t>
            </w:r>
            <w:r/>
          </w:p>
        </w:tc>
        <w:tc>
          <w:tcPr>
            <w:tcW w:w="1205" w:type="dxa"/>
            <w:vAlign w:val="center"/>
            <w:textDirection w:val="lrTb"/>
            <w:noWrap w:val="false"/>
          </w:tcPr>
          <w:p>
            <w:pPr>
              <w:jc w:val="center"/>
              <w:spacing w:line="360" w:lineRule="auto"/>
              <w:rPr>
                <w:rFonts w:eastAsia="仿宋_GB2312"/>
                <w:color w:val="auto"/>
                <w:sz w:val="24"/>
                <w:highlight w:val="none"/>
              </w:rPr>
            </w:pPr>
            <w:r>
              <w:rPr>
                <w:rFonts w:eastAsia="仿宋_GB2312"/>
                <w:color w:val="auto"/>
                <w:sz w:val="24"/>
                <w:highlight w:val="none"/>
              </w:rPr>
            </w:r>
            <w:r/>
          </w:p>
        </w:tc>
        <w:tc>
          <w:tcPr>
            <w:tcW w:w="1091" w:type="dxa"/>
            <w:vAlign w:val="center"/>
            <w:textDirection w:val="lrTb"/>
            <w:noWrap w:val="false"/>
          </w:tcPr>
          <w:p>
            <w:pPr>
              <w:jc w:val="center"/>
              <w:spacing w:line="360" w:lineRule="auto"/>
              <w:rPr>
                <w:rFonts w:eastAsia="仿宋_GB2312"/>
                <w:color w:val="auto"/>
                <w:sz w:val="24"/>
                <w:highlight w:val="none"/>
              </w:rPr>
            </w:pPr>
            <w:r>
              <w:rPr>
                <w:rFonts w:eastAsia="仿宋_GB2312"/>
                <w:color w:val="auto"/>
                <w:sz w:val="24"/>
                <w:highlight w:val="none"/>
              </w:rPr>
            </w:r>
            <w:r/>
          </w:p>
        </w:tc>
        <w:tc>
          <w:tcPr>
            <w:tcW w:w="1077" w:type="dxa"/>
            <w:vAlign w:val="center"/>
            <w:textDirection w:val="lrTb"/>
            <w:noWrap w:val="false"/>
          </w:tcPr>
          <w:p>
            <w:pPr>
              <w:jc w:val="center"/>
              <w:spacing w:line="360" w:lineRule="auto"/>
              <w:rPr>
                <w:rFonts w:eastAsia="仿宋_GB2312"/>
                <w:color w:val="auto"/>
                <w:sz w:val="24"/>
                <w:highlight w:val="none"/>
              </w:rPr>
            </w:pPr>
            <w:r>
              <w:rPr>
                <w:rFonts w:eastAsia="仿宋_GB2312"/>
                <w:color w:val="auto"/>
                <w:sz w:val="24"/>
                <w:highlight w:val="none"/>
              </w:rPr>
            </w:r>
            <w:r/>
          </w:p>
        </w:tc>
        <w:tc>
          <w:tcPr>
            <w:tcW w:w="954" w:type="dxa"/>
            <w:vAlign w:val="center"/>
            <w:textDirection w:val="lrTb"/>
            <w:noWrap w:val="false"/>
          </w:tcPr>
          <w:p>
            <w:pPr>
              <w:jc w:val="center"/>
              <w:spacing w:line="360" w:lineRule="auto"/>
              <w:rPr>
                <w:rFonts w:eastAsia="仿宋_GB2312"/>
                <w:color w:val="auto"/>
                <w:sz w:val="24"/>
                <w:highlight w:val="none"/>
              </w:rPr>
            </w:pPr>
            <w:r>
              <w:rPr>
                <w:rFonts w:eastAsia="仿宋_GB2312"/>
                <w:color w:val="auto"/>
                <w:sz w:val="24"/>
                <w:highlight w:val="none"/>
              </w:rPr>
            </w:r>
            <w:r/>
          </w:p>
        </w:tc>
        <w:tc>
          <w:tcPr>
            <w:tcW w:w="982" w:type="dxa"/>
            <w:vAlign w:val="center"/>
            <w:textDirection w:val="lrTb"/>
            <w:noWrap w:val="false"/>
          </w:tcPr>
          <w:p>
            <w:pPr>
              <w:jc w:val="center"/>
              <w:spacing w:line="360" w:lineRule="auto"/>
              <w:rPr>
                <w:rFonts w:eastAsia="仿宋_GB2312"/>
                <w:color w:val="auto"/>
                <w:sz w:val="24"/>
                <w:highlight w:val="none"/>
              </w:rPr>
            </w:pPr>
            <w:r>
              <w:rPr>
                <w:rFonts w:eastAsia="仿宋_GB2312"/>
                <w:color w:val="auto"/>
                <w:sz w:val="24"/>
                <w:highlight w:val="none"/>
              </w:rPr>
            </w:r>
            <w:r/>
          </w:p>
        </w:tc>
        <w:tc>
          <w:tcPr>
            <w:tcW w:w="886" w:type="dxa"/>
            <w:vAlign w:val="center"/>
            <w:textDirection w:val="lrTb"/>
            <w:noWrap w:val="false"/>
          </w:tcPr>
          <w:p>
            <w:pPr>
              <w:jc w:val="center"/>
              <w:spacing w:line="360" w:lineRule="auto"/>
              <w:rPr>
                <w:rFonts w:eastAsia="仿宋_GB2312"/>
                <w:color w:val="auto"/>
                <w:sz w:val="24"/>
                <w:highlight w:val="none"/>
              </w:rPr>
            </w:pPr>
            <w:r>
              <w:rPr>
                <w:rFonts w:eastAsia="仿宋_GB2312"/>
                <w:color w:val="auto"/>
                <w:sz w:val="24"/>
                <w:highlight w:val="none"/>
              </w:rPr>
            </w:r>
            <w:r/>
          </w:p>
        </w:tc>
        <w:tc>
          <w:tcPr>
            <w:tcW w:w="914" w:type="dxa"/>
            <w:vAlign w:val="center"/>
            <w:textDirection w:val="lrTb"/>
            <w:noWrap w:val="false"/>
          </w:tcPr>
          <w:p>
            <w:pPr>
              <w:jc w:val="center"/>
              <w:spacing w:line="360" w:lineRule="auto"/>
              <w:rPr>
                <w:rFonts w:eastAsia="仿宋_GB2312"/>
                <w:color w:val="auto"/>
                <w:sz w:val="24"/>
                <w:highlight w:val="none"/>
              </w:rPr>
            </w:pPr>
            <w:r>
              <w:rPr>
                <w:rFonts w:eastAsia="仿宋_GB2312"/>
                <w:color w:val="auto"/>
                <w:sz w:val="24"/>
                <w:highlight w:val="none"/>
              </w:rPr>
            </w:r>
            <w:r/>
          </w:p>
        </w:tc>
        <w:tc>
          <w:tcPr>
            <w:tcW w:w="1677" w:type="dxa"/>
            <w:vAlign w:val="center"/>
            <w:textDirection w:val="lrTb"/>
            <w:noWrap w:val="false"/>
          </w:tcPr>
          <w:p>
            <w:pPr>
              <w:jc w:val="center"/>
              <w:spacing w:line="360" w:lineRule="auto"/>
              <w:rPr>
                <w:rFonts w:eastAsia="仿宋_GB2312"/>
                <w:color w:val="auto"/>
                <w:sz w:val="24"/>
                <w:highlight w:val="none"/>
              </w:rPr>
            </w:pPr>
            <w:r>
              <w:rPr>
                <w:rFonts w:eastAsia="仿宋_GB2312"/>
                <w:color w:val="auto"/>
                <w:sz w:val="24"/>
                <w:highlight w:val="none"/>
              </w:rPr>
            </w:r>
            <w:r/>
          </w:p>
        </w:tc>
        <w:tc>
          <w:tcPr>
            <w:tcW w:w="980" w:type="dxa"/>
            <w:vAlign w:val="center"/>
            <w:textDirection w:val="lrTb"/>
            <w:noWrap w:val="false"/>
          </w:tcPr>
          <w:p>
            <w:pPr>
              <w:jc w:val="center"/>
              <w:spacing w:line="360" w:lineRule="auto"/>
              <w:rPr>
                <w:rFonts w:eastAsia="仿宋_GB2312"/>
                <w:color w:val="auto"/>
                <w:sz w:val="24"/>
                <w:highlight w:val="none"/>
              </w:rPr>
            </w:pPr>
            <w:r>
              <w:rPr>
                <w:rFonts w:eastAsia="仿宋_GB2312"/>
                <w:color w:val="auto"/>
                <w:sz w:val="24"/>
                <w:highlight w:val="none"/>
              </w:rPr>
            </w:r>
            <w:r/>
          </w:p>
        </w:tc>
      </w:tr>
      <w:tr>
        <w:trPr>
          <w:cantSplit/>
          <w:jc w:val="center"/>
          <w:trHeight w:val="513"/>
        </w:trPr>
        <w:tc>
          <w:tcPr>
            <w:tcW w:w="1037" w:type="dxa"/>
            <w:vAlign w:val="center"/>
            <w:textDirection w:val="lrTb"/>
            <w:noWrap w:val="false"/>
          </w:tcPr>
          <w:p>
            <w:pPr>
              <w:jc w:val="center"/>
              <w:spacing w:line="360" w:lineRule="auto"/>
              <w:rPr>
                <w:rFonts w:eastAsia="仿宋_GB2312"/>
                <w:color w:val="auto"/>
                <w:szCs w:val="21"/>
                <w:highlight w:val="none"/>
              </w:rPr>
            </w:pPr>
            <w:r>
              <w:rPr>
                <w:rFonts w:eastAsia="仿宋_GB2312"/>
                <w:color w:val="auto"/>
                <w:szCs w:val="21"/>
                <w:highlight w:val="none"/>
              </w:rPr>
              <w:t xml:space="preserve">3</w:t>
            </w:r>
            <w:r/>
          </w:p>
        </w:tc>
        <w:tc>
          <w:tcPr>
            <w:tcW w:w="1205" w:type="dxa"/>
            <w:vAlign w:val="center"/>
            <w:textDirection w:val="lrTb"/>
            <w:noWrap w:val="false"/>
          </w:tcPr>
          <w:p>
            <w:pPr>
              <w:jc w:val="center"/>
              <w:spacing w:line="360" w:lineRule="auto"/>
              <w:rPr>
                <w:rFonts w:eastAsia="仿宋_GB2312"/>
                <w:color w:val="auto"/>
                <w:sz w:val="24"/>
                <w:highlight w:val="none"/>
              </w:rPr>
            </w:pPr>
            <w:r>
              <w:rPr>
                <w:rFonts w:eastAsia="仿宋_GB2312"/>
                <w:color w:val="auto"/>
                <w:sz w:val="24"/>
                <w:highlight w:val="none"/>
              </w:rPr>
            </w:r>
            <w:r/>
          </w:p>
        </w:tc>
        <w:tc>
          <w:tcPr>
            <w:tcW w:w="1091" w:type="dxa"/>
            <w:vAlign w:val="center"/>
            <w:textDirection w:val="lrTb"/>
            <w:noWrap w:val="false"/>
          </w:tcPr>
          <w:p>
            <w:pPr>
              <w:jc w:val="center"/>
              <w:spacing w:line="360" w:lineRule="auto"/>
              <w:rPr>
                <w:rFonts w:eastAsia="仿宋_GB2312"/>
                <w:color w:val="auto"/>
                <w:sz w:val="24"/>
                <w:highlight w:val="none"/>
              </w:rPr>
            </w:pPr>
            <w:r>
              <w:rPr>
                <w:rFonts w:eastAsia="仿宋_GB2312"/>
                <w:color w:val="auto"/>
                <w:sz w:val="24"/>
                <w:highlight w:val="none"/>
              </w:rPr>
            </w:r>
            <w:r/>
          </w:p>
        </w:tc>
        <w:tc>
          <w:tcPr>
            <w:tcW w:w="1077" w:type="dxa"/>
            <w:vAlign w:val="center"/>
            <w:textDirection w:val="lrTb"/>
            <w:noWrap w:val="false"/>
          </w:tcPr>
          <w:p>
            <w:pPr>
              <w:jc w:val="center"/>
              <w:spacing w:line="360" w:lineRule="auto"/>
              <w:rPr>
                <w:rFonts w:eastAsia="仿宋_GB2312"/>
                <w:color w:val="auto"/>
                <w:sz w:val="24"/>
                <w:highlight w:val="none"/>
              </w:rPr>
            </w:pPr>
            <w:r>
              <w:rPr>
                <w:rFonts w:eastAsia="仿宋_GB2312"/>
                <w:color w:val="auto"/>
                <w:sz w:val="24"/>
                <w:highlight w:val="none"/>
              </w:rPr>
            </w:r>
            <w:r/>
          </w:p>
        </w:tc>
        <w:tc>
          <w:tcPr>
            <w:tcW w:w="954" w:type="dxa"/>
            <w:vAlign w:val="center"/>
            <w:textDirection w:val="lrTb"/>
            <w:noWrap w:val="false"/>
          </w:tcPr>
          <w:p>
            <w:pPr>
              <w:jc w:val="center"/>
              <w:spacing w:line="360" w:lineRule="auto"/>
              <w:rPr>
                <w:rFonts w:eastAsia="仿宋_GB2312"/>
                <w:color w:val="auto"/>
                <w:sz w:val="24"/>
                <w:highlight w:val="none"/>
              </w:rPr>
            </w:pPr>
            <w:r>
              <w:rPr>
                <w:rFonts w:eastAsia="仿宋_GB2312"/>
                <w:color w:val="auto"/>
                <w:sz w:val="24"/>
                <w:highlight w:val="none"/>
              </w:rPr>
            </w:r>
            <w:r/>
          </w:p>
        </w:tc>
        <w:tc>
          <w:tcPr>
            <w:tcW w:w="982" w:type="dxa"/>
            <w:vAlign w:val="center"/>
            <w:textDirection w:val="lrTb"/>
            <w:noWrap w:val="false"/>
          </w:tcPr>
          <w:p>
            <w:pPr>
              <w:jc w:val="center"/>
              <w:spacing w:line="360" w:lineRule="auto"/>
              <w:rPr>
                <w:rFonts w:eastAsia="仿宋_GB2312"/>
                <w:color w:val="auto"/>
                <w:sz w:val="24"/>
                <w:highlight w:val="none"/>
              </w:rPr>
            </w:pPr>
            <w:r>
              <w:rPr>
                <w:rFonts w:eastAsia="仿宋_GB2312"/>
                <w:color w:val="auto"/>
                <w:sz w:val="24"/>
                <w:highlight w:val="none"/>
              </w:rPr>
            </w:r>
            <w:r/>
          </w:p>
        </w:tc>
        <w:tc>
          <w:tcPr>
            <w:tcW w:w="886" w:type="dxa"/>
            <w:vAlign w:val="center"/>
            <w:textDirection w:val="lrTb"/>
            <w:noWrap w:val="false"/>
          </w:tcPr>
          <w:p>
            <w:pPr>
              <w:jc w:val="center"/>
              <w:spacing w:line="360" w:lineRule="auto"/>
              <w:rPr>
                <w:rFonts w:eastAsia="仿宋_GB2312"/>
                <w:color w:val="auto"/>
                <w:sz w:val="24"/>
                <w:highlight w:val="none"/>
              </w:rPr>
            </w:pPr>
            <w:r>
              <w:rPr>
                <w:rFonts w:eastAsia="仿宋_GB2312"/>
                <w:color w:val="auto"/>
                <w:sz w:val="24"/>
                <w:highlight w:val="none"/>
              </w:rPr>
            </w:r>
            <w:r/>
          </w:p>
        </w:tc>
        <w:tc>
          <w:tcPr>
            <w:tcW w:w="914" w:type="dxa"/>
            <w:vAlign w:val="center"/>
            <w:textDirection w:val="lrTb"/>
            <w:noWrap w:val="false"/>
          </w:tcPr>
          <w:p>
            <w:pPr>
              <w:jc w:val="center"/>
              <w:spacing w:line="360" w:lineRule="auto"/>
              <w:rPr>
                <w:rFonts w:eastAsia="仿宋_GB2312"/>
                <w:color w:val="auto"/>
                <w:sz w:val="24"/>
                <w:highlight w:val="none"/>
              </w:rPr>
            </w:pPr>
            <w:r>
              <w:rPr>
                <w:rFonts w:eastAsia="仿宋_GB2312"/>
                <w:color w:val="auto"/>
                <w:sz w:val="24"/>
                <w:highlight w:val="none"/>
              </w:rPr>
            </w:r>
            <w:r/>
          </w:p>
        </w:tc>
        <w:tc>
          <w:tcPr>
            <w:tcW w:w="1677" w:type="dxa"/>
            <w:vAlign w:val="center"/>
            <w:textDirection w:val="lrTb"/>
            <w:noWrap w:val="false"/>
          </w:tcPr>
          <w:p>
            <w:pPr>
              <w:jc w:val="center"/>
              <w:spacing w:line="360" w:lineRule="auto"/>
              <w:rPr>
                <w:rFonts w:eastAsia="仿宋_GB2312"/>
                <w:color w:val="auto"/>
                <w:sz w:val="24"/>
                <w:highlight w:val="none"/>
              </w:rPr>
            </w:pPr>
            <w:r>
              <w:rPr>
                <w:rFonts w:eastAsia="仿宋_GB2312"/>
                <w:color w:val="auto"/>
                <w:sz w:val="24"/>
                <w:highlight w:val="none"/>
              </w:rPr>
            </w:r>
            <w:r/>
          </w:p>
        </w:tc>
        <w:tc>
          <w:tcPr>
            <w:tcW w:w="980" w:type="dxa"/>
            <w:vAlign w:val="center"/>
            <w:textDirection w:val="lrTb"/>
            <w:noWrap w:val="false"/>
          </w:tcPr>
          <w:p>
            <w:pPr>
              <w:jc w:val="center"/>
              <w:spacing w:line="360" w:lineRule="auto"/>
              <w:rPr>
                <w:rFonts w:eastAsia="仿宋_GB2312"/>
                <w:color w:val="auto"/>
                <w:sz w:val="24"/>
                <w:highlight w:val="none"/>
              </w:rPr>
            </w:pPr>
            <w:r>
              <w:rPr>
                <w:rFonts w:eastAsia="仿宋_GB2312"/>
                <w:color w:val="auto"/>
                <w:sz w:val="24"/>
                <w:highlight w:val="none"/>
              </w:rPr>
            </w:r>
            <w:r/>
          </w:p>
        </w:tc>
      </w:tr>
      <w:tr>
        <w:trPr>
          <w:cantSplit/>
          <w:jc w:val="center"/>
          <w:trHeight w:val="513"/>
        </w:trPr>
        <w:tc>
          <w:tcPr>
            <w:tcW w:w="1037" w:type="dxa"/>
            <w:vAlign w:val="center"/>
            <w:textDirection w:val="lrTb"/>
            <w:noWrap w:val="false"/>
          </w:tcPr>
          <w:p>
            <w:pPr>
              <w:jc w:val="center"/>
              <w:spacing w:line="360" w:lineRule="auto"/>
              <w:rPr>
                <w:rFonts w:eastAsia="仿宋_GB2312"/>
                <w:color w:val="auto"/>
                <w:szCs w:val="21"/>
                <w:highlight w:val="none"/>
              </w:rPr>
            </w:pPr>
            <w:r>
              <w:rPr>
                <w:rFonts w:eastAsia="仿宋_GB2312"/>
                <w:color w:val="auto"/>
                <w:szCs w:val="21"/>
                <w:highlight w:val="none"/>
              </w:rPr>
              <w:t xml:space="preserve">4</w:t>
            </w:r>
            <w:r/>
          </w:p>
        </w:tc>
        <w:tc>
          <w:tcPr>
            <w:tcW w:w="1205" w:type="dxa"/>
            <w:vAlign w:val="center"/>
            <w:textDirection w:val="lrTb"/>
            <w:noWrap w:val="false"/>
          </w:tcPr>
          <w:p>
            <w:pPr>
              <w:jc w:val="center"/>
              <w:spacing w:line="360" w:lineRule="auto"/>
              <w:rPr>
                <w:rFonts w:eastAsia="仿宋_GB2312"/>
                <w:color w:val="auto"/>
                <w:sz w:val="24"/>
                <w:highlight w:val="none"/>
              </w:rPr>
            </w:pPr>
            <w:r>
              <w:rPr>
                <w:rFonts w:eastAsia="仿宋_GB2312"/>
                <w:color w:val="auto"/>
                <w:sz w:val="24"/>
                <w:highlight w:val="none"/>
              </w:rPr>
            </w:r>
            <w:r/>
          </w:p>
        </w:tc>
        <w:tc>
          <w:tcPr>
            <w:tcW w:w="1091" w:type="dxa"/>
            <w:vAlign w:val="center"/>
            <w:textDirection w:val="lrTb"/>
            <w:noWrap w:val="false"/>
          </w:tcPr>
          <w:p>
            <w:pPr>
              <w:jc w:val="center"/>
              <w:spacing w:line="360" w:lineRule="auto"/>
              <w:rPr>
                <w:rFonts w:eastAsia="仿宋_GB2312"/>
                <w:color w:val="auto"/>
                <w:sz w:val="24"/>
                <w:highlight w:val="none"/>
              </w:rPr>
            </w:pPr>
            <w:r>
              <w:rPr>
                <w:rFonts w:eastAsia="仿宋_GB2312"/>
                <w:color w:val="auto"/>
                <w:sz w:val="24"/>
                <w:highlight w:val="none"/>
              </w:rPr>
            </w:r>
            <w:r/>
          </w:p>
        </w:tc>
        <w:tc>
          <w:tcPr>
            <w:tcW w:w="1077" w:type="dxa"/>
            <w:vAlign w:val="center"/>
            <w:textDirection w:val="lrTb"/>
            <w:noWrap w:val="false"/>
          </w:tcPr>
          <w:p>
            <w:pPr>
              <w:jc w:val="center"/>
              <w:spacing w:line="360" w:lineRule="auto"/>
              <w:rPr>
                <w:rFonts w:eastAsia="仿宋_GB2312"/>
                <w:color w:val="auto"/>
                <w:sz w:val="24"/>
                <w:highlight w:val="none"/>
              </w:rPr>
            </w:pPr>
            <w:r>
              <w:rPr>
                <w:rFonts w:eastAsia="仿宋_GB2312"/>
                <w:color w:val="auto"/>
                <w:sz w:val="24"/>
                <w:highlight w:val="none"/>
              </w:rPr>
            </w:r>
            <w:r/>
          </w:p>
        </w:tc>
        <w:tc>
          <w:tcPr>
            <w:tcW w:w="954" w:type="dxa"/>
            <w:vAlign w:val="center"/>
            <w:textDirection w:val="lrTb"/>
            <w:noWrap w:val="false"/>
          </w:tcPr>
          <w:p>
            <w:pPr>
              <w:jc w:val="center"/>
              <w:spacing w:line="360" w:lineRule="auto"/>
              <w:rPr>
                <w:rFonts w:eastAsia="仿宋_GB2312"/>
                <w:color w:val="auto"/>
                <w:sz w:val="24"/>
                <w:highlight w:val="none"/>
              </w:rPr>
            </w:pPr>
            <w:r>
              <w:rPr>
                <w:rFonts w:eastAsia="仿宋_GB2312"/>
                <w:color w:val="auto"/>
                <w:sz w:val="24"/>
                <w:highlight w:val="none"/>
              </w:rPr>
            </w:r>
            <w:r/>
          </w:p>
        </w:tc>
        <w:tc>
          <w:tcPr>
            <w:tcW w:w="982" w:type="dxa"/>
            <w:vAlign w:val="center"/>
            <w:textDirection w:val="lrTb"/>
            <w:noWrap w:val="false"/>
          </w:tcPr>
          <w:p>
            <w:pPr>
              <w:jc w:val="center"/>
              <w:spacing w:line="360" w:lineRule="auto"/>
              <w:rPr>
                <w:rFonts w:eastAsia="仿宋_GB2312"/>
                <w:color w:val="auto"/>
                <w:sz w:val="24"/>
                <w:highlight w:val="none"/>
              </w:rPr>
            </w:pPr>
            <w:r>
              <w:rPr>
                <w:rFonts w:eastAsia="仿宋_GB2312"/>
                <w:color w:val="auto"/>
                <w:sz w:val="24"/>
                <w:highlight w:val="none"/>
              </w:rPr>
            </w:r>
            <w:r/>
          </w:p>
        </w:tc>
        <w:tc>
          <w:tcPr>
            <w:tcW w:w="886" w:type="dxa"/>
            <w:vAlign w:val="center"/>
            <w:textDirection w:val="lrTb"/>
            <w:noWrap w:val="false"/>
          </w:tcPr>
          <w:p>
            <w:pPr>
              <w:jc w:val="center"/>
              <w:spacing w:line="360" w:lineRule="auto"/>
              <w:rPr>
                <w:rFonts w:eastAsia="仿宋_GB2312"/>
                <w:color w:val="auto"/>
                <w:sz w:val="24"/>
                <w:highlight w:val="none"/>
              </w:rPr>
            </w:pPr>
            <w:r>
              <w:rPr>
                <w:rFonts w:eastAsia="仿宋_GB2312"/>
                <w:color w:val="auto"/>
                <w:sz w:val="24"/>
                <w:highlight w:val="none"/>
              </w:rPr>
            </w:r>
            <w:r/>
          </w:p>
        </w:tc>
        <w:tc>
          <w:tcPr>
            <w:tcW w:w="914" w:type="dxa"/>
            <w:vAlign w:val="center"/>
            <w:textDirection w:val="lrTb"/>
            <w:noWrap w:val="false"/>
          </w:tcPr>
          <w:p>
            <w:pPr>
              <w:jc w:val="center"/>
              <w:spacing w:line="360" w:lineRule="auto"/>
              <w:rPr>
                <w:rFonts w:eastAsia="仿宋_GB2312"/>
                <w:color w:val="auto"/>
                <w:sz w:val="24"/>
                <w:highlight w:val="none"/>
              </w:rPr>
            </w:pPr>
            <w:r>
              <w:rPr>
                <w:rFonts w:eastAsia="仿宋_GB2312"/>
                <w:color w:val="auto"/>
                <w:sz w:val="24"/>
                <w:highlight w:val="none"/>
              </w:rPr>
            </w:r>
            <w:r/>
          </w:p>
        </w:tc>
        <w:tc>
          <w:tcPr>
            <w:tcW w:w="1677" w:type="dxa"/>
            <w:vAlign w:val="center"/>
            <w:textDirection w:val="lrTb"/>
            <w:noWrap w:val="false"/>
          </w:tcPr>
          <w:p>
            <w:pPr>
              <w:jc w:val="center"/>
              <w:spacing w:line="360" w:lineRule="auto"/>
              <w:rPr>
                <w:rFonts w:eastAsia="仿宋_GB2312"/>
                <w:color w:val="auto"/>
                <w:sz w:val="24"/>
                <w:highlight w:val="none"/>
              </w:rPr>
            </w:pPr>
            <w:r>
              <w:rPr>
                <w:rFonts w:eastAsia="仿宋_GB2312"/>
                <w:color w:val="auto"/>
                <w:sz w:val="24"/>
                <w:highlight w:val="none"/>
              </w:rPr>
            </w:r>
            <w:r/>
          </w:p>
        </w:tc>
        <w:tc>
          <w:tcPr>
            <w:tcW w:w="980" w:type="dxa"/>
            <w:vAlign w:val="center"/>
            <w:textDirection w:val="lrTb"/>
            <w:noWrap w:val="false"/>
          </w:tcPr>
          <w:p>
            <w:pPr>
              <w:jc w:val="center"/>
              <w:spacing w:line="360" w:lineRule="auto"/>
              <w:rPr>
                <w:rFonts w:eastAsia="仿宋_GB2312"/>
                <w:color w:val="auto"/>
                <w:sz w:val="24"/>
                <w:highlight w:val="none"/>
              </w:rPr>
            </w:pPr>
            <w:r>
              <w:rPr>
                <w:rFonts w:eastAsia="仿宋_GB2312"/>
                <w:color w:val="auto"/>
                <w:sz w:val="24"/>
                <w:highlight w:val="none"/>
              </w:rPr>
            </w:r>
            <w:r/>
          </w:p>
        </w:tc>
      </w:tr>
      <w:tr>
        <w:trPr>
          <w:cantSplit/>
          <w:jc w:val="center"/>
          <w:trHeight w:val="513"/>
        </w:trPr>
        <w:tc>
          <w:tcPr>
            <w:tcW w:w="1037" w:type="dxa"/>
            <w:vAlign w:val="center"/>
            <w:textDirection w:val="lrTb"/>
            <w:noWrap w:val="false"/>
          </w:tcPr>
          <w:p>
            <w:pPr>
              <w:jc w:val="center"/>
              <w:spacing w:line="360" w:lineRule="auto"/>
              <w:rPr>
                <w:rFonts w:eastAsia="仿宋_GB2312"/>
                <w:color w:val="auto"/>
                <w:sz w:val="24"/>
                <w:highlight w:val="none"/>
              </w:rPr>
            </w:pPr>
            <w:r>
              <w:rPr>
                <w:rFonts w:eastAsia="仿宋_GB2312"/>
                <w:color w:val="auto"/>
                <w:sz w:val="24"/>
                <w:highlight w:val="none"/>
              </w:rPr>
            </w:r>
            <w:r/>
          </w:p>
        </w:tc>
        <w:tc>
          <w:tcPr>
            <w:tcW w:w="1205" w:type="dxa"/>
            <w:vAlign w:val="center"/>
            <w:textDirection w:val="lrTb"/>
            <w:noWrap w:val="false"/>
          </w:tcPr>
          <w:p>
            <w:pPr>
              <w:jc w:val="center"/>
              <w:spacing w:line="360" w:lineRule="auto"/>
              <w:rPr>
                <w:rFonts w:eastAsia="仿宋_GB2312"/>
                <w:color w:val="auto"/>
                <w:sz w:val="24"/>
                <w:highlight w:val="none"/>
              </w:rPr>
            </w:pPr>
            <w:r>
              <w:rPr>
                <w:rFonts w:eastAsia="仿宋_GB2312"/>
                <w:color w:val="auto"/>
                <w:sz w:val="24"/>
                <w:highlight w:val="none"/>
              </w:rPr>
            </w:r>
            <w:r/>
          </w:p>
        </w:tc>
        <w:tc>
          <w:tcPr>
            <w:tcW w:w="1091" w:type="dxa"/>
            <w:vAlign w:val="center"/>
            <w:textDirection w:val="lrTb"/>
            <w:noWrap w:val="false"/>
          </w:tcPr>
          <w:p>
            <w:pPr>
              <w:jc w:val="center"/>
              <w:spacing w:line="360" w:lineRule="auto"/>
              <w:rPr>
                <w:rFonts w:eastAsia="仿宋_GB2312"/>
                <w:color w:val="auto"/>
                <w:sz w:val="24"/>
                <w:highlight w:val="none"/>
              </w:rPr>
            </w:pPr>
            <w:r>
              <w:rPr>
                <w:rFonts w:eastAsia="仿宋_GB2312"/>
                <w:color w:val="auto"/>
                <w:sz w:val="24"/>
                <w:highlight w:val="none"/>
              </w:rPr>
            </w:r>
            <w:r/>
          </w:p>
        </w:tc>
        <w:tc>
          <w:tcPr>
            <w:tcW w:w="1077" w:type="dxa"/>
            <w:vAlign w:val="center"/>
            <w:textDirection w:val="lrTb"/>
            <w:noWrap w:val="false"/>
          </w:tcPr>
          <w:p>
            <w:pPr>
              <w:jc w:val="center"/>
              <w:spacing w:line="360" w:lineRule="auto"/>
              <w:rPr>
                <w:rFonts w:eastAsia="仿宋_GB2312"/>
                <w:color w:val="auto"/>
                <w:sz w:val="24"/>
                <w:highlight w:val="none"/>
              </w:rPr>
            </w:pPr>
            <w:r>
              <w:rPr>
                <w:rFonts w:eastAsia="仿宋_GB2312"/>
                <w:color w:val="auto"/>
                <w:sz w:val="24"/>
                <w:highlight w:val="none"/>
              </w:rPr>
            </w:r>
            <w:r/>
          </w:p>
        </w:tc>
        <w:tc>
          <w:tcPr>
            <w:tcW w:w="954" w:type="dxa"/>
            <w:vAlign w:val="center"/>
            <w:textDirection w:val="lrTb"/>
            <w:noWrap w:val="false"/>
          </w:tcPr>
          <w:p>
            <w:pPr>
              <w:jc w:val="center"/>
              <w:spacing w:line="360" w:lineRule="auto"/>
              <w:rPr>
                <w:rFonts w:eastAsia="仿宋_GB2312"/>
                <w:color w:val="auto"/>
                <w:sz w:val="24"/>
                <w:highlight w:val="none"/>
              </w:rPr>
            </w:pPr>
            <w:r>
              <w:rPr>
                <w:rFonts w:eastAsia="仿宋_GB2312"/>
                <w:color w:val="auto"/>
                <w:sz w:val="24"/>
                <w:highlight w:val="none"/>
              </w:rPr>
            </w:r>
            <w:r/>
          </w:p>
        </w:tc>
        <w:tc>
          <w:tcPr>
            <w:tcW w:w="982" w:type="dxa"/>
            <w:vAlign w:val="center"/>
            <w:textDirection w:val="lrTb"/>
            <w:noWrap w:val="false"/>
          </w:tcPr>
          <w:p>
            <w:pPr>
              <w:jc w:val="center"/>
              <w:spacing w:line="360" w:lineRule="auto"/>
              <w:rPr>
                <w:rFonts w:eastAsia="仿宋_GB2312"/>
                <w:color w:val="auto"/>
                <w:sz w:val="24"/>
                <w:highlight w:val="none"/>
              </w:rPr>
            </w:pPr>
            <w:r>
              <w:rPr>
                <w:rFonts w:eastAsia="仿宋_GB2312"/>
                <w:color w:val="auto"/>
                <w:sz w:val="24"/>
                <w:highlight w:val="none"/>
              </w:rPr>
            </w:r>
            <w:r/>
          </w:p>
        </w:tc>
        <w:tc>
          <w:tcPr>
            <w:tcW w:w="886" w:type="dxa"/>
            <w:vAlign w:val="center"/>
            <w:textDirection w:val="lrTb"/>
            <w:noWrap w:val="false"/>
          </w:tcPr>
          <w:p>
            <w:pPr>
              <w:jc w:val="center"/>
              <w:spacing w:line="360" w:lineRule="auto"/>
              <w:rPr>
                <w:rFonts w:eastAsia="仿宋_GB2312"/>
                <w:color w:val="auto"/>
                <w:sz w:val="24"/>
                <w:highlight w:val="none"/>
              </w:rPr>
            </w:pPr>
            <w:r>
              <w:rPr>
                <w:rFonts w:eastAsia="仿宋_GB2312"/>
                <w:color w:val="auto"/>
                <w:sz w:val="24"/>
                <w:highlight w:val="none"/>
              </w:rPr>
            </w:r>
            <w:r/>
          </w:p>
        </w:tc>
        <w:tc>
          <w:tcPr>
            <w:tcW w:w="914" w:type="dxa"/>
            <w:vAlign w:val="center"/>
            <w:textDirection w:val="lrTb"/>
            <w:noWrap w:val="false"/>
          </w:tcPr>
          <w:p>
            <w:pPr>
              <w:jc w:val="center"/>
              <w:spacing w:line="360" w:lineRule="auto"/>
              <w:rPr>
                <w:rFonts w:eastAsia="仿宋_GB2312"/>
                <w:color w:val="auto"/>
                <w:sz w:val="24"/>
                <w:highlight w:val="none"/>
              </w:rPr>
            </w:pPr>
            <w:r>
              <w:rPr>
                <w:rFonts w:eastAsia="仿宋_GB2312"/>
                <w:color w:val="auto"/>
                <w:sz w:val="24"/>
                <w:highlight w:val="none"/>
              </w:rPr>
            </w:r>
            <w:r/>
          </w:p>
        </w:tc>
        <w:tc>
          <w:tcPr>
            <w:tcW w:w="1677" w:type="dxa"/>
            <w:vAlign w:val="center"/>
            <w:textDirection w:val="lrTb"/>
            <w:noWrap w:val="false"/>
          </w:tcPr>
          <w:p>
            <w:pPr>
              <w:jc w:val="center"/>
              <w:spacing w:line="360" w:lineRule="auto"/>
              <w:rPr>
                <w:rFonts w:eastAsia="仿宋_GB2312"/>
                <w:color w:val="auto"/>
                <w:sz w:val="24"/>
                <w:highlight w:val="none"/>
              </w:rPr>
            </w:pPr>
            <w:r>
              <w:rPr>
                <w:rFonts w:eastAsia="仿宋_GB2312"/>
                <w:color w:val="auto"/>
                <w:sz w:val="24"/>
                <w:highlight w:val="none"/>
              </w:rPr>
            </w:r>
            <w:r/>
          </w:p>
        </w:tc>
        <w:tc>
          <w:tcPr>
            <w:tcW w:w="980" w:type="dxa"/>
            <w:vAlign w:val="center"/>
            <w:textDirection w:val="lrTb"/>
            <w:noWrap w:val="false"/>
          </w:tcPr>
          <w:p>
            <w:pPr>
              <w:jc w:val="center"/>
              <w:spacing w:line="360" w:lineRule="auto"/>
              <w:rPr>
                <w:rFonts w:eastAsia="仿宋_GB2312"/>
                <w:color w:val="auto"/>
                <w:sz w:val="24"/>
                <w:highlight w:val="none"/>
              </w:rPr>
            </w:pPr>
            <w:r>
              <w:rPr>
                <w:rFonts w:eastAsia="仿宋_GB2312"/>
                <w:color w:val="auto"/>
                <w:sz w:val="24"/>
                <w:highlight w:val="none"/>
              </w:rPr>
            </w:r>
            <w:r/>
          </w:p>
        </w:tc>
      </w:tr>
      <w:tr>
        <w:trPr>
          <w:cantSplit/>
          <w:jc w:val="center"/>
          <w:trHeight w:val="513"/>
        </w:trPr>
        <w:tc>
          <w:tcPr>
            <w:tcW w:w="1037" w:type="dxa"/>
            <w:vAlign w:val="center"/>
            <w:textDirection w:val="lrTb"/>
            <w:noWrap w:val="false"/>
          </w:tcPr>
          <w:p>
            <w:pPr>
              <w:jc w:val="cente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合计</w:t>
            </w:r>
            <w:r/>
          </w:p>
        </w:tc>
        <w:tc>
          <w:tcPr>
            <w:gridSpan w:val="7"/>
            <w:tcW w:w="7109" w:type="dxa"/>
            <w:vAlign w:val="center"/>
            <w:textDirection w:val="lrTb"/>
            <w:noWrap w:val="false"/>
          </w:tcPr>
          <w:p>
            <w:pP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人民币（大写）： </w:t>
            </w:r>
            <w:r/>
          </w:p>
        </w:tc>
        <w:tc>
          <w:tcPr>
            <w:gridSpan w:val="2"/>
            <w:tcW w:w="2657" w:type="dxa"/>
            <w:vAlign w:val="center"/>
            <w:textDirection w:val="lrTb"/>
            <w:noWrap w:val="false"/>
          </w:tcPr>
          <w:p>
            <w:pP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（小写）：¥</w:t>
            </w:r>
            <w:r/>
          </w:p>
        </w:tc>
      </w:tr>
      <w:tr>
        <w:trPr>
          <w:cantSplit/>
          <w:jc w:val="center"/>
          <w:trHeight w:val="441"/>
        </w:trPr>
        <w:tc>
          <w:tcPr>
            <w:gridSpan w:val="10"/>
            <w:tcW w:w="10803" w:type="dxa"/>
            <w:vAlign w:val="center"/>
            <w:textDirection w:val="lrTb"/>
            <w:noWrap w:val="false"/>
          </w:tcPr>
          <w:p>
            <w:pPr>
              <w:jc w:val="left"/>
              <w:spacing w:line="360" w:lineRule="auto"/>
              <w:rPr>
                <w:rFonts w:eastAsia="仿宋_GB2312"/>
                <w:color w:val="auto"/>
                <w:sz w:val="24"/>
                <w:highlight w:val="none"/>
              </w:rPr>
            </w:pPr>
            <w:r>
              <w:rPr>
                <w:rFonts w:hint="eastAsia" w:ascii="仿宋" w:hAnsi="仿宋" w:eastAsia="仿宋" w:cs="仿宋"/>
                <w:color w:val="auto"/>
                <w:sz w:val="24"/>
                <w:highlight w:val="none"/>
              </w:rPr>
              <w:t xml:space="preserve">本采购包中提供的符合本国产品标准的产品成本之和占该采购包提供的全部产品成本之和的比例为</w:t>
            </w:r>
            <w:r>
              <w:rPr>
                <w:rFonts w:eastAsia="仿宋"/>
                <w:color w:val="auto"/>
                <w:sz w:val="24"/>
                <w:highlight w:val="none"/>
                <w:u w:val="single"/>
              </w:rPr>
              <w:t xml:space="preserve">***</w:t>
            </w:r>
            <w:r>
              <w:rPr>
                <w:rFonts w:eastAsia="仿宋"/>
                <w:color w:val="auto"/>
                <w:sz w:val="24"/>
                <w:highlight w:val="none"/>
              </w:rPr>
              <w:t xml:space="preserve">%</w:t>
            </w:r>
            <w:r>
              <w:rPr>
                <w:rFonts w:hint="eastAsia" w:ascii="仿宋" w:hAnsi="仿宋" w:eastAsia="仿宋" w:cs="仿宋"/>
                <w:color w:val="auto"/>
                <w:sz w:val="24"/>
                <w:highlight w:val="none"/>
              </w:rPr>
              <w:t xml:space="preserve">。</w:t>
            </w:r>
            <w:r/>
          </w:p>
        </w:tc>
      </w:tr>
    </w:tbl>
    <w:p>
      <w:pPr>
        <w:ind w:left="984" w:hanging="984"/>
        <w:spacing w:line="400" w:lineRule="exact"/>
        <w:rPr>
          <w:rFonts w:eastAsia="仿宋_GB2312"/>
          <w:b/>
          <w:bCs/>
          <w:color w:val="auto"/>
          <w:sz w:val="28"/>
          <w:szCs w:val="28"/>
          <w:highlight w:val="none"/>
        </w:rPr>
      </w:pPr>
      <w:r>
        <w:rPr>
          <w:rFonts w:eastAsia="仿宋_GB2312"/>
          <w:b/>
          <w:bCs/>
          <w:color w:val="auto"/>
          <w:sz w:val="28"/>
          <w:szCs w:val="28"/>
          <w:highlight w:val="none"/>
        </w:rPr>
      </w:r>
      <w:r/>
    </w:p>
    <w:p>
      <w:pPr>
        <w:spacing w:line="360" w:lineRule="auto"/>
        <w:rPr>
          <w:rFonts w:ascii="仿宋" w:hAnsi="仿宋" w:eastAsia="仿宋" w:cs="仿宋"/>
          <w:b/>
          <w:color w:val="auto"/>
          <w:sz w:val="24"/>
          <w:highlight w:val="none"/>
          <w:lang w:val="zh-CN"/>
        </w:rPr>
      </w:pPr>
      <w:r>
        <w:rPr>
          <w:rFonts w:hint="eastAsia" w:ascii="仿宋" w:hAnsi="仿宋" w:eastAsia="仿宋" w:cs="仿宋"/>
          <w:b/>
          <w:color w:val="auto"/>
          <w:sz w:val="24"/>
          <w:highlight w:val="none"/>
          <w:lang w:val="zh-CN"/>
        </w:rPr>
        <w:t xml:space="preserve">注：</w:t>
      </w:r>
      <w:r>
        <w:rPr>
          <w:rFonts w:eastAsia="仿宋"/>
          <w:b/>
          <w:color w:val="auto"/>
          <w:sz w:val="24"/>
          <w:highlight w:val="none"/>
          <w:lang w:val="zh-CN"/>
        </w:rPr>
        <w:t xml:space="preserve">1.</w:t>
      </w:r>
      <w:r>
        <w:rPr>
          <w:rFonts w:hint="eastAsia" w:ascii="仿宋" w:hAnsi="仿宋" w:eastAsia="仿宋" w:cs="仿宋"/>
          <w:b/>
          <w:color w:val="auto"/>
          <w:sz w:val="24"/>
          <w:highlight w:val="none"/>
          <w:lang w:val="zh-CN"/>
        </w:rPr>
        <w:t xml:space="preserve">投标人必须按实填写项目采购清单中</w:t>
      </w:r>
      <w:r>
        <w:rPr>
          <w:rFonts w:hint="eastAsia" w:ascii="仿宋" w:hAnsi="仿宋" w:eastAsia="仿宋" w:cs="仿宋"/>
          <w:b/>
          <w:color w:val="auto"/>
          <w:sz w:val="24"/>
          <w:highlight w:val="none"/>
        </w:rPr>
        <w:t xml:space="preserve">的各项内容</w:t>
      </w:r>
      <w:r>
        <w:rPr>
          <w:rFonts w:hint="eastAsia" w:ascii="仿宋" w:hAnsi="仿宋" w:eastAsia="仿宋" w:cs="仿宋"/>
          <w:b/>
          <w:color w:val="auto"/>
          <w:sz w:val="24"/>
          <w:highlight w:val="none"/>
          <w:lang w:val="zh-CN"/>
        </w:rPr>
        <w:t xml:space="preserve">，且本表各分项报价合计应当与开标一览表报价合计相等。请各投标人务必按照以上要求填报，否则作为无效投标处理。</w:t>
      </w:r>
      <w:r/>
    </w:p>
    <w:p>
      <w:pPr>
        <w:ind w:firstLine="482"/>
        <w:spacing w:line="300" w:lineRule="auto"/>
        <w:rPr>
          <w:rFonts w:ascii="仿宋" w:hAnsi="仿宋" w:eastAsia="仿宋" w:cs="仿宋"/>
          <w:b/>
          <w:color w:val="auto"/>
          <w:sz w:val="24"/>
          <w:highlight w:val="none"/>
          <w:lang w:val="zh-CN"/>
        </w:rPr>
        <w:outlineLvl w:val="0"/>
      </w:pPr>
      <w:r>
        <w:rPr>
          <w:rFonts w:eastAsia="仿宋"/>
          <w:b/>
          <w:color w:val="auto"/>
          <w:sz w:val="24"/>
          <w:highlight w:val="none"/>
        </w:rPr>
        <w:t xml:space="preserve">2.</w:t>
      </w:r>
      <w:r>
        <w:rPr>
          <w:rFonts w:hint="eastAsia" w:ascii="仿宋" w:hAnsi="仿宋" w:eastAsia="仿宋" w:cs="仿宋"/>
          <w:b/>
          <w:color w:val="auto"/>
          <w:sz w:val="24"/>
          <w:highlight w:val="none"/>
        </w:rPr>
        <w:t xml:space="preserve">主要标的信息</w:t>
      </w:r>
      <w:r>
        <w:rPr>
          <w:rFonts w:hint="eastAsia" w:ascii="仿宋" w:hAnsi="仿宋" w:eastAsia="仿宋" w:cs="仿宋"/>
          <w:b/>
          <w:color w:val="auto"/>
          <w:sz w:val="24"/>
          <w:highlight w:val="none"/>
          <w:lang w:val="zh-CN"/>
        </w:rPr>
        <w:t xml:space="preserve">将随中标（成交）结果公告进行公示。内容不实的，属于提供虚假材料谋取中标、成交，依照《中华人民共和</w:t>
      </w:r>
      <w:r>
        <w:rPr>
          <w:rFonts w:hint="eastAsia" w:ascii="仿宋" w:hAnsi="仿宋" w:eastAsia="仿宋" w:cs="仿宋"/>
          <w:b/>
          <w:color w:val="auto"/>
          <w:sz w:val="24"/>
          <w:highlight w:val="none"/>
        </w:rPr>
        <w:t xml:space="preserve">国政府采购法》等国家有关规定追究相应责</w:t>
      </w:r>
      <w:r>
        <w:rPr>
          <w:rFonts w:hint="eastAsia" w:ascii="仿宋" w:hAnsi="仿宋" w:eastAsia="仿宋" w:cs="仿宋"/>
          <w:b/>
          <w:color w:val="auto"/>
          <w:sz w:val="24"/>
          <w:highlight w:val="none"/>
          <w:lang w:val="zh-CN"/>
        </w:rPr>
        <w:t xml:space="preserve">任。</w:t>
      </w:r>
      <w:r/>
    </w:p>
    <w:p>
      <w:pPr>
        <w:ind w:firstLine="482"/>
        <w:spacing w:line="300" w:lineRule="auto"/>
        <w:rPr>
          <w:rFonts w:ascii="仿宋" w:hAnsi="仿宋" w:eastAsia="仿宋" w:cs="仿宋"/>
          <w:b/>
          <w:color w:val="auto"/>
          <w:sz w:val="24"/>
          <w:highlight w:val="none"/>
          <w:lang w:val="zh-CN"/>
        </w:rPr>
        <w:outlineLvl w:val="0"/>
      </w:pPr>
      <w:r>
        <w:rPr>
          <w:rFonts w:eastAsia="仿宋"/>
          <w:b/>
          <w:color w:val="auto"/>
          <w:sz w:val="24"/>
          <w:highlight w:val="none"/>
        </w:rPr>
        <w:t xml:space="preserve">3.</w:t>
      </w:r>
      <w:r>
        <w:rPr>
          <w:rFonts w:hint="eastAsia" w:ascii="仿宋" w:hAnsi="仿宋" w:eastAsia="仿宋" w:cs="仿宋"/>
          <w:b/>
          <w:color w:val="auto"/>
          <w:sz w:val="24"/>
          <w:highlight w:val="none"/>
        </w:rPr>
        <w:t xml:space="preserve">本采购包中含有多种产品时，供应商未填写本采购包中提供的符合本国产品标准的产品成本之和占该采购包提供的全部产品成本之和的比例数值的，或比例数值未达到</w:t>
      </w:r>
      <w:r>
        <w:rPr>
          <w:rFonts w:eastAsia="仿宋"/>
          <w:b/>
          <w:color w:val="auto"/>
          <w:sz w:val="24"/>
          <w:highlight w:val="none"/>
        </w:rPr>
        <w:t xml:space="preserve">80%</w:t>
      </w:r>
      <w:r>
        <w:rPr>
          <w:rFonts w:hint="eastAsia" w:ascii="仿宋" w:hAnsi="仿宋" w:eastAsia="仿宋" w:cs="仿宋"/>
          <w:b/>
          <w:color w:val="auto"/>
          <w:sz w:val="24"/>
          <w:highlight w:val="none"/>
        </w:rPr>
        <w:t xml:space="preserve">的，将不享受本国产品价格评审优惠</w:t>
      </w:r>
      <w:r>
        <w:rPr>
          <w:rFonts w:hint="eastAsia" w:ascii="仿宋" w:hAnsi="仿宋" w:eastAsia="仿宋" w:cs="仿宋"/>
          <w:b/>
          <w:color w:val="auto"/>
          <w:sz w:val="24"/>
          <w:highlight w:val="none"/>
          <w:lang w:val="zh-CN"/>
        </w:rPr>
        <w:t xml:space="preserve">。</w:t>
      </w:r>
      <w:r/>
    </w:p>
    <w:p>
      <w:pPr>
        <w:ind w:firstLine="482"/>
        <w:spacing w:line="300" w:lineRule="auto"/>
        <w:rPr>
          <w:b/>
          <w:color w:val="auto"/>
          <w:sz w:val="24"/>
          <w:highlight w:val="none"/>
          <w:lang w:val="zh-CN"/>
        </w:rPr>
        <w:outlineLvl w:val="0"/>
      </w:pPr>
      <w:r>
        <w:rPr>
          <w:b/>
          <w:color w:val="auto"/>
          <w:sz w:val="24"/>
          <w:highlight w:val="none"/>
          <w:lang w:val="zh-CN"/>
        </w:rPr>
      </w:r>
      <w:r/>
    </w:p>
    <w:p>
      <w:pPr>
        <w:ind w:firstLine="562"/>
        <w:spacing w:line="300" w:lineRule="auto"/>
        <w:rPr>
          <w:b/>
          <w:color w:val="auto"/>
          <w:sz w:val="28"/>
          <w:szCs w:val="28"/>
          <w:highlight w:val="none"/>
          <w:lang w:val="zh-CN"/>
        </w:rPr>
        <w:outlineLvl w:val="0"/>
      </w:pPr>
      <w:r>
        <w:rPr>
          <w:b/>
          <w:color w:val="auto"/>
          <w:sz w:val="28"/>
          <w:szCs w:val="28"/>
          <w:highlight w:val="none"/>
          <w:lang w:val="zh-CN"/>
        </w:rPr>
      </w:r>
      <w:r/>
    </w:p>
    <w:p>
      <w:pPr>
        <w:jc w:val="left"/>
        <w:widowControl/>
        <w:rPr>
          <w:rFonts w:eastAsia="方正黑体_GBK"/>
          <w:color w:val="auto"/>
          <w:sz w:val="32"/>
          <w:szCs w:val="32"/>
          <w:highlight w:val="none"/>
        </w:rPr>
      </w:pPr>
      <w:r>
        <w:rPr>
          <w:rFonts w:eastAsia="方正黑体_GBK"/>
          <w:color w:val="auto"/>
          <w:sz w:val="32"/>
          <w:szCs w:val="32"/>
          <w:highlight w:val="none"/>
        </w:rPr>
        <w:br w:type="page" w:clear="all"/>
      </w:r>
      <w:r>
        <w:rPr>
          <w:rFonts w:eastAsia="方正黑体_GBK"/>
          <w:color w:val="auto"/>
          <w:sz w:val="32"/>
          <w:szCs w:val="32"/>
          <w:highlight w:val="none"/>
        </w:rPr>
        <w:t xml:space="preserve">附件9</w:t>
      </w:r>
      <w:r/>
    </w:p>
    <w:p>
      <w:pPr>
        <w:jc w:val="center"/>
        <w:spacing w:line="400" w:lineRule="exact"/>
        <w:rPr>
          <w:rFonts w:ascii="方正小标宋简体" w:hAnsi="方正小标宋简体" w:eastAsia="方正小标宋简体" w:cs="方正小标宋简体"/>
          <w:bCs/>
          <w:color w:val="auto"/>
          <w:sz w:val="30"/>
          <w:szCs w:val="30"/>
          <w:highlight w:val="none"/>
        </w:rPr>
      </w:pPr>
      <w:r>
        <w:rPr>
          <w:rFonts w:ascii="方正小标宋简体" w:hAnsi="方正小标宋简体" w:eastAsia="方正小标宋简体" w:cs="方正小标宋简体"/>
          <w:bCs/>
          <w:color w:val="auto"/>
          <w:sz w:val="30"/>
          <w:szCs w:val="30"/>
          <w:highlight w:val="none"/>
        </w:rPr>
        <w:t xml:space="preserve">中小微企业声明函（货物类项目）（采购包号：**）</w:t>
      </w:r>
      <w:r/>
    </w:p>
    <w:p>
      <w:pPr>
        <w:ind w:firstLine="240"/>
        <w:rPr>
          <w:color w:val="auto"/>
          <w:sz w:val="24"/>
          <w:highlight w:val="none"/>
        </w:rPr>
      </w:pPr>
      <w:r>
        <w:rPr>
          <w:color w:val="auto"/>
          <w:sz w:val="24"/>
          <w:highlight w:val="none"/>
        </w:rPr>
      </w:r>
      <w:r/>
    </w:p>
    <w:p>
      <w:pPr>
        <w:ind w:firstLine="36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本公司（联合体）郑重声明，根据《政府采购促进中小企业发展管理办法》（财库</w:t>
      </w:r>
      <w:r>
        <w:rPr>
          <w:rFonts w:eastAsia="仿宋"/>
          <w:color w:val="auto"/>
          <w:sz w:val="24"/>
          <w:highlight w:val="none"/>
        </w:rPr>
        <w:t xml:space="preserve">〔2020〕46号</w:t>
      </w:r>
      <w:r>
        <w:rPr>
          <w:rFonts w:hint="eastAsia" w:ascii="仿宋" w:hAnsi="仿宋" w:eastAsia="仿宋" w:cs="仿宋"/>
          <w:color w:val="auto"/>
          <w:sz w:val="24"/>
          <w:highlight w:val="none"/>
        </w:rPr>
        <w:t xml:space="preserve">）的规定，本公司（联合体）参加</w:t>
      </w:r>
      <w:r>
        <w:rPr>
          <w:rFonts w:hint="eastAsia" w:ascii="仿宋" w:hAnsi="仿宋" w:eastAsia="仿宋" w:cs="仿宋"/>
          <w:color w:val="auto"/>
          <w:sz w:val="24"/>
          <w:highlight w:val="none"/>
          <w:u w:val="single"/>
        </w:rPr>
        <w:t xml:space="preserve">（单位名称）</w:t>
      </w:r>
      <w:r>
        <w:rPr>
          <w:rFonts w:hint="eastAsia" w:ascii="仿宋" w:hAnsi="仿宋" w:eastAsia="仿宋" w:cs="仿宋"/>
          <w:color w:val="auto"/>
          <w:sz w:val="24"/>
          <w:highlight w:val="none"/>
        </w:rPr>
        <w:t xml:space="preserve">采购编号为</w:t>
      </w:r>
      <w:r>
        <w:rPr>
          <w:rFonts w:hint="eastAsia" w:ascii="仿宋" w:hAnsi="仿宋" w:eastAsia="仿宋" w:cs="仿宋"/>
          <w:color w:val="auto"/>
          <w:sz w:val="24"/>
          <w:highlight w:val="none"/>
          <w:u w:val="single"/>
        </w:rPr>
        <w:t xml:space="preserve">（采购编号）</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80" w:lineRule="exact"/>
        <w:rPr>
          <w:rFonts w:ascii="仿宋" w:hAnsi="仿宋" w:eastAsia="仿宋" w:cs="仿宋"/>
          <w:color w:val="auto"/>
          <w:sz w:val="24"/>
          <w:highlight w:val="none"/>
        </w:rPr>
      </w:pPr>
      <w:r>
        <w:rPr>
          <w:rFonts w:eastAsia="仿宋"/>
          <w:color w:val="auto"/>
          <w:sz w:val="24"/>
          <w:highlight w:val="none"/>
        </w:rPr>
        <w:t xml:space="preserve">1.</w:t>
      </w:r>
      <w:r>
        <w:rPr>
          <w:rFonts w:hint="eastAsia" w:ascii="仿宋" w:hAnsi="仿宋" w:eastAsia="仿宋" w:cs="仿宋"/>
          <w:color w:val="auto"/>
          <w:sz w:val="24"/>
          <w:highlight w:val="none"/>
          <w:u w:val="single"/>
        </w:rPr>
        <w:t xml:space="preserve">（标的名称）</w:t>
      </w:r>
      <w:r>
        <w:rPr>
          <w:rFonts w:hint="eastAsia" w:ascii="仿宋" w:hAnsi="仿宋" w:eastAsia="仿宋" w:cs="仿宋"/>
          <w:i/>
          <w:iCs/>
          <w:color w:val="auto"/>
          <w:sz w:val="24"/>
          <w:highlight w:val="none"/>
        </w:rPr>
        <w:t xml:space="preserve">，</w:t>
      </w:r>
      <w:r>
        <w:rPr>
          <w:rFonts w:hint="eastAsia" w:ascii="仿宋" w:hAnsi="仿宋" w:eastAsia="仿宋" w:cs="仿宋"/>
          <w:color w:val="auto"/>
          <w:sz w:val="24"/>
          <w:highlight w:val="none"/>
        </w:rPr>
        <w:t xml:space="preserve">属于</w:t>
      </w:r>
      <w:r>
        <w:rPr>
          <w:rFonts w:hint="eastAsia" w:ascii="仿宋" w:hAnsi="仿宋" w:eastAsia="仿宋" w:cs="仿宋"/>
          <w:color w:val="auto"/>
          <w:sz w:val="24"/>
          <w:highlight w:val="none"/>
          <w:u w:val="single"/>
        </w:rPr>
        <w:t xml:space="preserve">（供应商填写招标文件中明确的所属行业）</w:t>
      </w:r>
      <w:r>
        <w:rPr>
          <w:rFonts w:hint="eastAsia" w:ascii="仿宋" w:hAnsi="仿宋" w:eastAsia="仿宋" w:cs="仿宋"/>
          <w:color w:val="auto"/>
          <w:sz w:val="24"/>
          <w:highlight w:val="none"/>
        </w:rPr>
        <w:t xml:space="preserve">行业；投标产品制造商为</w:t>
      </w:r>
      <w:r>
        <w:rPr>
          <w:rFonts w:hint="eastAsia" w:ascii="仿宋" w:hAnsi="仿宋" w:eastAsia="仿宋" w:cs="仿宋"/>
          <w:color w:val="auto"/>
          <w:sz w:val="24"/>
          <w:highlight w:val="none"/>
          <w:u w:val="single"/>
        </w:rPr>
        <w:t xml:space="preserve">（企业名称）</w:t>
      </w:r>
      <w:r>
        <w:rPr>
          <w:rFonts w:hint="eastAsia" w:ascii="仿宋" w:hAnsi="仿宋" w:eastAsia="仿宋" w:cs="仿宋"/>
          <w:color w:val="auto"/>
          <w:sz w:val="24"/>
          <w:highlight w:val="none"/>
        </w:rPr>
        <w:t xml:space="preserve">，从业人员</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人，营业收入为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万元，资产总额为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万元，属于</w:t>
      </w:r>
      <w:r>
        <w:rPr>
          <w:rFonts w:hint="eastAsia" w:ascii="仿宋" w:hAnsi="仿宋" w:eastAsia="仿宋" w:cs="仿宋"/>
          <w:color w:val="auto"/>
          <w:sz w:val="24"/>
          <w:highlight w:val="none"/>
          <w:u w:val="single"/>
        </w:rPr>
        <w:t xml:space="preserve">（□中型企业 □小型企业 □微型企业）；</w:t>
      </w:r>
      <w:r/>
    </w:p>
    <w:p>
      <w:pPr>
        <w:ind w:firstLine="360"/>
        <w:spacing w:line="380" w:lineRule="exact"/>
        <w:rPr>
          <w:rFonts w:ascii="仿宋" w:hAnsi="仿宋" w:eastAsia="仿宋" w:cs="仿宋"/>
          <w:color w:val="auto"/>
          <w:sz w:val="24"/>
          <w:highlight w:val="none"/>
        </w:rPr>
      </w:pPr>
      <w:r>
        <w:rPr>
          <w:rFonts w:hint="eastAsia" w:eastAsia="仿宋"/>
          <w:color w:val="auto"/>
          <w:sz w:val="24"/>
          <w:highlight w:val="none"/>
        </w:rPr>
        <w:t xml:space="preserve">2.</w:t>
      </w:r>
      <w:r>
        <w:rPr>
          <w:rFonts w:hint="eastAsia" w:ascii="仿宋" w:hAnsi="仿宋" w:eastAsia="仿宋" w:cs="仿宋"/>
          <w:color w:val="auto"/>
          <w:sz w:val="24"/>
          <w:highlight w:val="none"/>
          <w:u w:val="single"/>
        </w:rPr>
        <w:t xml:space="preserve">（标的名称）</w:t>
      </w:r>
      <w:r>
        <w:rPr>
          <w:rFonts w:hint="eastAsia" w:ascii="仿宋" w:hAnsi="仿宋" w:eastAsia="仿宋" w:cs="仿宋"/>
          <w:i/>
          <w:iCs/>
          <w:color w:val="auto"/>
          <w:sz w:val="24"/>
          <w:highlight w:val="none"/>
        </w:rPr>
        <w:t xml:space="preserve">，</w:t>
      </w:r>
      <w:r>
        <w:rPr>
          <w:rFonts w:hint="eastAsia" w:ascii="仿宋" w:hAnsi="仿宋" w:eastAsia="仿宋" w:cs="仿宋"/>
          <w:color w:val="auto"/>
          <w:sz w:val="24"/>
          <w:highlight w:val="none"/>
        </w:rPr>
        <w:t xml:space="preserve">属于</w:t>
      </w:r>
      <w:r>
        <w:rPr>
          <w:rFonts w:hint="eastAsia" w:ascii="仿宋" w:hAnsi="仿宋" w:eastAsia="仿宋" w:cs="仿宋"/>
          <w:color w:val="auto"/>
          <w:sz w:val="24"/>
          <w:highlight w:val="none"/>
          <w:u w:val="single"/>
        </w:rPr>
        <w:t xml:space="preserve">（供应商填写招标文件中明确的所属行业）</w:t>
      </w:r>
      <w:r>
        <w:rPr>
          <w:rFonts w:hint="eastAsia" w:ascii="仿宋" w:hAnsi="仿宋" w:eastAsia="仿宋" w:cs="仿宋"/>
          <w:color w:val="auto"/>
          <w:sz w:val="24"/>
          <w:highlight w:val="none"/>
        </w:rPr>
        <w:t xml:space="preserve">行业；投标产品制造商为</w:t>
      </w:r>
      <w:r>
        <w:rPr>
          <w:rFonts w:hint="eastAsia" w:ascii="仿宋" w:hAnsi="仿宋" w:eastAsia="仿宋" w:cs="仿宋"/>
          <w:color w:val="auto"/>
          <w:sz w:val="24"/>
          <w:highlight w:val="none"/>
          <w:u w:val="single"/>
        </w:rPr>
        <w:t xml:space="preserve">（企业名称）</w:t>
      </w:r>
      <w:r>
        <w:rPr>
          <w:rFonts w:hint="eastAsia" w:ascii="仿宋" w:hAnsi="仿宋" w:eastAsia="仿宋" w:cs="仿宋"/>
          <w:color w:val="auto"/>
          <w:sz w:val="24"/>
          <w:highlight w:val="none"/>
        </w:rPr>
        <w:t xml:space="preserve">，从业人员</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人，营业收入为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万元，资产总额为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万元，属于</w:t>
      </w:r>
      <w:r>
        <w:rPr>
          <w:rFonts w:hint="eastAsia" w:ascii="仿宋" w:hAnsi="仿宋" w:eastAsia="仿宋" w:cs="仿宋"/>
          <w:color w:val="auto"/>
          <w:sz w:val="24"/>
          <w:highlight w:val="none"/>
          <w:u w:val="single"/>
        </w:rPr>
        <w:t xml:space="preserve">（□中型企业 □小型企业 □微型企业）；</w:t>
      </w:r>
      <w:r/>
    </w:p>
    <w:p>
      <w:pPr>
        <w:ind w:firstLine="36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w:t>
      </w:r>
      <w:r/>
    </w:p>
    <w:p>
      <w:pPr>
        <w:ind w:firstLine="36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本企业对上述声明内容的真实性负责。如有虚假，将依法承担相应责任</w:t>
      </w:r>
      <w:r/>
    </w:p>
    <w:p>
      <w:pPr>
        <w:ind w:right="72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right="180" w:firstLine="257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企业名称（加盖CA电子公章）：</w:t>
      </w:r>
      <w:r/>
    </w:p>
    <w:p>
      <w:pPr>
        <w:contextualSpacing/>
        <w:ind w:firstLine="2640"/>
        <w:spacing w:line="300" w:lineRule="auto"/>
        <w:rPr>
          <w:rFonts w:eastAsia="方正黑体_GBK"/>
          <w:color w:val="auto"/>
          <w:sz w:val="24"/>
          <w:highlight w:val="none"/>
        </w:rPr>
      </w:pPr>
      <w:r>
        <w:rPr>
          <w:rFonts w:eastAsia="仿宋"/>
          <w:color w:val="auto"/>
          <w:sz w:val="24"/>
          <w:highlight w:val="none"/>
        </w:rPr>
        <w:t xml:space="preserve">日期：</w:t>
      </w:r>
      <w:r>
        <w:rPr>
          <w:rFonts w:eastAsia="仿宋"/>
          <w:color w:val="auto"/>
          <w:sz w:val="24"/>
          <w:highlight w:val="none"/>
          <w:u w:val="single"/>
        </w:rPr>
        <w:t xml:space="preserve">       </w:t>
      </w:r>
      <w:r>
        <w:rPr>
          <w:rFonts w:eastAsia="仿宋"/>
          <w:color w:val="auto"/>
          <w:sz w:val="24"/>
          <w:highlight w:val="none"/>
        </w:rPr>
        <w:t xml:space="preserve">年</w:t>
      </w:r>
      <w:r>
        <w:rPr>
          <w:rFonts w:eastAsia="仿宋"/>
          <w:color w:val="auto"/>
          <w:sz w:val="24"/>
          <w:highlight w:val="none"/>
          <w:u w:val="single"/>
        </w:rPr>
        <w:t xml:space="preserve">   </w:t>
      </w:r>
      <w:r>
        <w:rPr>
          <w:rFonts w:eastAsia="仿宋"/>
          <w:color w:val="auto"/>
          <w:sz w:val="24"/>
          <w:highlight w:val="none"/>
        </w:rPr>
        <w:t xml:space="preserve">月</w:t>
      </w:r>
      <w:r>
        <w:rPr>
          <w:rFonts w:eastAsia="仿宋"/>
          <w:color w:val="auto"/>
          <w:sz w:val="24"/>
          <w:highlight w:val="none"/>
          <w:u w:val="single"/>
        </w:rPr>
        <w:t xml:space="preserve">    </w:t>
      </w:r>
      <w:r>
        <w:rPr>
          <w:rFonts w:eastAsia="仿宋"/>
          <w:color w:val="auto"/>
          <w:sz w:val="24"/>
          <w:highlight w:val="none"/>
        </w:rPr>
        <w:t xml:space="preserve">日</w:t>
      </w:r>
      <w:r/>
    </w:p>
    <w:p>
      <w:pPr>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备注：</w:t>
      </w:r>
      <w:r/>
    </w:p>
    <w:p>
      <w:pPr>
        <w:ind w:firstLine="480"/>
        <w:spacing w:line="380" w:lineRule="exact"/>
        <w:rPr>
          <w:rFonts w:ascii="仿宋" w:hAnsi="仿宋" w:eastAsia="仿宋" w:cs="仿宋"/>
          <w:color w:val="auto"/>
          <w:sz w:val="24"/>
          <w:highlight w:val="none"/>
        </w:rPr>
      </w:pPr>
      <w:r>
        <w:rPr>
          <w:rFonts w:hint="eastAsia" w:eastAsia="仿宋"/>
          <w:color w:val="auto"/>
          <w:sz w:val="24"/>
          <w:highlight w:val="none"/>
        </w:rPr>
        <w:t xml:space="preserve">1.</w:t>
      </w:r>
      <w:r>
        <w:rPr>
          <w:rFonts w:hint="eastAsia" w:ascii="仿宋" w:hAnsi="仿宋" w:eastAsia="仿宋" w:cs="仿宋"/>
          <w:color w:val="auto"/>
          <w:sz w:val="24"/>
          <w:highlight w:val="none"/>
        </w:rPr>
        <w:t xml:space="preserve">从业人员、营业收入、资产总额填报上一年度数据，无上一年度数据的新成立企业可不填报。</w:t>
      </w:r>
      <w:r/>
    </w:p>
    <w:p>
      <w:pPr>
        <w:ind w:firstLine="480"/>
        <w:spacing w:line="380" w:lineRule="exact"/>
        <w:rPr>
          <w:rFonts w:ascii="仿宋" w:hAnsi="仿宋" w:eastAsia="仿宋" w:cs="仿宋"/>
          <w:color w:val="auto"/>
          <w:sz w:val="24"/>
          <w:highlight w:val="none"/>
        </w:rPr>
      </w:pPr>
      <w:r>
        <w:rPr>
          <w:rFonts w:hint="eastAsia" w:eastAsia="仿宋"/>
          <w:color w:val="auto"/>
          <w:sz w:val="24"/>
          <w:highlight w:val="none"/>
        </w:rPr>
        <w:t xml:space="preserve">2.</w:t>
      </w:r>
      <w:r>
        <w:rPr>
          <w:rFonts w:hint="eastAsia" w:ascii="仿宋" w:hAnsi="仿宋" w:eastAsia="仿宋" w:cs="仿宋"/>
          <w:color w:val="auto"/>
          <w:sz w:val="24"/>
          <w:highlight w:val="none"/>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380" w:lineRule="exact"/>
        <w:rPr>
          <w:rFonts w:ascii="仿宋" w:hAnsi="仿宋" w:eastAsia="仿宋" w:cs="仿宋"/>
          <w:color w:val="auto"/>
          <w:sz w:val="24"/>
          <w:highlight w:val="none"/>
        </w:rPr>
      </w:pPr>
      <w:r>
        <w:rPr>
          <w:rFonts w:hint="eastAsia" w:eastAsia="仿宋"/>
          <w:color w:val="auto"/>
          <w:sz w:val="24"/>
          <w:highlight w:val="none"/>
        </w:rPr>
        <w:t xml:space="preserve">3.</w:t>
      </w:r>
      <w:r>
        <w:rPr>
          <w:rFonts w:hint="eastAsia" w:ascii="仿宋" w:hAnsi="仿宋" w:eastAsia="仿宋" w:cs="仿宋"/>
          <w:color w:val="auto"/>
          <w:sz w:val="24"/>
          <w:highlight w:val="none"/>
        </w:rPr>
        <w:t xml:space="preserve">供应商应对照《工业和信息化部、国家统计局、国家发展和改革委员会、</w:t>
      </w:r>
      <w:r/>
    </w:p>
    <w:p>
      <w:pPr>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财政部关于印发中小企业划型标准规定的通知》</w:t>
      </w:r>
      <w:r>
        <w:rPr>
          <w:rFonts w:eastAsia="仿宋"/>
          <w:color w:val="auto"/>
          <w:sz w:val="24"/>
          <w:highlight w:val="none"/>
        </w:rPr>
        <w:t xml:space="preserve">（工信部联企业〔2011〕300号）《国家统计局关于印发〈统计上大中小微型企业划分办法（2017）〉的通知》（国统字〔2017〕213号）的规定，自行勾选制造商的企业规模类型。</w:t>
      </w:r>
      <w:r/>
    </w:p>
    <w:p>
      <w:pPr>
        <w:jc w:val="center"/>
        <w:spacing w:line="300" w:lineRule="auto"/>
        <w:rPr>
          <w:b/>
          <w:bCs/>
          <w:color w:val="auto"/>
          <w:sz w:val="28"/>
          <w:szCs w:val="28"/>
          <w:highlight w:val="none"/>
          <w:lang w:bidi="zh-CN"/>
        </w:rPr>
        <w:outlineLvl w:val="0"/>
      </w:pPr>
      <w:r>
        <w:rPr>
          <w:b/>
          <w:bCs/>
          <w:color w:val="auto"/>
          <w:sz w:val="28"/>
          <w:szCs w:val="28"/>
          <w:highlight w:val="none"/>
          <w:lang w:bidi="zh-CN"/>
        </w:rPr>
      </w:r>
      <w:r/>
    </w:p>
    <w:p>
      <w:pPr>
        <w:jc w:val="center"/>
        <w:spacing w:line="400" w:lineRule="exact"/>
        <w:rPr>
          <w:rFonts w:ascii="方正小标宋简体" w:hAnsi="方正小标宋简体" w:eastAsia="方正小标宋简体" w:cs="方正小标宋简体"/>
          <w:bCs/>
          <w:color w:val="auto"/>
          <w:sz w:val="30"/>
          <w:szCs w:val="30"/>
          <w:highlight w:val="none"/>
        </w:rPr>
      </w:pPr>
      <w:r>
        <w:rPr>
          <w:rFonts w:ascii="方正小标宋简体" w:hAnsi="方正小标宋简体" w:eastAsia="方正小标宋简体" w:cs="方正小标宋简体"/>
          <w:bCs/>
          <w:color w:val="auto"/>
          <w:sz w:val="30"/>
          <w:szCs w:val="30"/>
          <w:highlight w:val="none"/>
        </w:rPr>
        <w:t xml:space="preserve">中小微企业声明函（服务类项目）（采购包号：**）</w:t>
      </w:r>
      <w:r/>
    </w:p>
    <w:p>
      <w:pPr>
        <w:ind w:firstLine="360"/>
        <w:jc w:val="center"/>
        <w:spacing w:line="380" w:lineRule="exact"/>
        <w:rPr>
          <w:color w:val="auto"/>
          <w:sz w:val="24"/>
          <w:highlight w:val="none"/>
        </w:rPr>
      </w:pPr>
      <w:r>
        <w:rPr>
          <w:color w:val="auto"/>
          <w:sz w:val="24"/>
          <w:highlight w:val="none"/>
        </w:rPr>
      </w:r>
      <w:r/>
    </w:p>
    <w:p>
      <w:pPr>
        <w:ind w:firstLine="36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本公司（联合体）郑重声明，根据《政府采购促进中小企业发展管理办法》（财库</w:t>
      </w:r>
      <w:r>
        <w:rPr>
          <w:rFonts w:hint="eastAsia" w:eastAsia="仿宋"/>
          <w:color w:val="auto"/>
          <w:sz w:val="24"/>
          <w:highlight w:val="none"/>
        </w:rPr>
        <w:t xml:space="preserve">〔2020〕46号</w:t>
      </w:r>
      <w:r>
        <w:rPr>
          <w:rFonts w:hint="eastAsia" w:ascii="仿宋" w:hAnsi="仿宋" w:eastAsia="仿宋" w:cs="仿宋"/>
          <w:color w:val="auto"/>
          <w:sz w:val="24"/>
          <w:highlight w:val="none"/>
        </w:rPr>
        <w:t xml:space="preserve">）的规定，本公司（联合体）参加</w:t>
      </w:r>
      <w:r>
        <w:rPr>
          <w:rFonts w:hint="eastAsia" w:ascii="仿宋" w:hAnsi="仿宋" w:eastAsia="仿宋" w:cs="仿宋"/>
          <w:color w:val="auto"/>
          <w:sz w:val="24"/>
          <w:highlight w:val="none"/>
          <w:u w:val="single"/>
        </w:rPr>
        <w:t xml:space="preserve">（单位名称）</w:t>
      </w:r>
      <w:r>
        <w:rPr>
          <w:rFonts w:hint="eastAsia" w:ascii="仿宋" w:hAnsi="仿宋" w:eastAsia="仿宋" w:cs="仿宋"/>
          <w:color w:val="auto"/>
          <w:sz w:val="24"/>
          <w:highlight w:val="none"/>
        </w:rPr>
        <w:t xml:space="preserve">采购编号为</w:t>
      </w:r>
      <w:r>
        <w:rPr>
          <w:rFonts w:hint="eastAsia" w:ascii="仿宋" w:hAnsi="仿宋" w:eastAsia="仿宋" w:cs="仿宋"/>
          <w:color w:val="auto"/>
          <w:sz w:val="24"/>
          <w:highlight w:val="none"/>
          <w:u w:val="single"/>
        </w:rPr>
        <w:t xml:space="preserve">（采购编号）</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项目（项目名称）（采购包号：**）的采购活动，提供的服务全部由符合政策的中小微企业承接。相关企业（含联合体中的中小微企业、签订采购包意向协议的中小微企业）的具体情况如下：</w:t>
      </w:r>
      <w:r/>
    </w:p>
    <w:p>
      <w:pPr>
        <w:ind w:firstLine="480"/>
        <w:spacing w:line="380" w:lineRule="exact"/>
        <w:rPr>
          <w:rFonts w:ascii="仿宋" w:hAnsi="仿宋" w:eastAsia="仿宋" w:cs="仿宋"/>
          <w:color w:val="auto"/>
          <w:sz w:val="24"/>
          <w:highlight w:val="none"/>
        </w:rPr>
      </w:pPr>
      <w:r>
        <w:rPr>
          <w:rFonts w:hint="eastAsia" w:eastAsia="仿宋"/>
          <w:color w:val="auto"/>
          <w:sz w:val="24"/>
          <w:highlight w:val="none"/>
        </w:rPr>
        <w:t xml:space="preserve">1.</w:t>
      </w:r>
      <w:r>
        <w:rPr>
          <w:rFonts w:hint="eastAsia" w:ascii="仿宋" w:hAnsi="仿宋" w:eastAsia="仿宋" w:cs="仿宋"/>
          <w:color w:val="auto"/>
          <w:sz w:val="24"/>
          <w:highlight w:val="none"/>
          <w:u w:val="single"/>
        </w:rPr>
        <w:t xml:space="preserve">（标的名称）</w:t>
      </w:r>
      <w:r>
        <w:rPr>
          <w:rFonts w:hint="eastAsia" w:ascii="仿宋" w:hAnsi="仿宋" w:eastAsia="仿宋" w:cs="仿宋"/>
          <w:color w:val="auto"/>
          <w:sz w:val="24"/>
          <w:highlight w:val="none"/>
        </w:rPr>
        <w:t xml:space="preserve">，属于</w:t>
      </w:r>
      <w:r>
        <w:rPr>
          <w:rFonts w:hint="eastAsia" w:ascii="仿宋" w:hAnsi="仿宋" w:eastAsia="仿宋" w:cs="仿宋"/>
          <w:color w:val="auto"/>
          <w:sz w:val="24"/>
          <w:highlight w:val="none"/>
          <w:u w:val="single"/>
        </w:rPr>
        <w:t xml:space="preserve">（供应商填写招标文件中明确的所属行业）</w:t>
      </w:r>
      <w:r>
        <w:rPr>
          <w:rFonts w:hint="eastAsia" w:ascii="仿宋" w:hAnsi="仿宋" w:eastAsia="仿宋" w:cs="仿宋"/>
          <w:color w:val="auto"/>
          <w:sz w:val="24"/>
          <w:highlight w:val="none"/>
        </w:rPr>
        <w:t xml:space="preserve">行业；承接企业为</w:t>
      </w:r>
      <w:r>
        <w:rPr>
          <w:rFonts w:hint="eastAsia" w:ascii="仿宋" w:hAnsi="仿宋" w:eastAsia="仿宋" w:cs="仿宋"/>
          <w:color w:val="auto"/>
          <w:sz w:val="24"/>
          <w:highlight w:val="none"/>
          <w:u w:val="single"/>
        </w:rPr>
        <w:t xml:space="preserve">（企业名称）</w:t>
      </w:r>
      <w:r>
        <w:rPr>
          <w:rFonts w:hint="eastAsia" w:ascii="仿宋" w:hAnsi="仿宋" w:eastAsia="仿宋" w:cs="仿宋"/>
          <w:color w:val="auto"/>
          <w:sz w:val="24"/>
          <w:highlight w:val="none"/>
        </w:rPr>
        <w:t xml:space="preserve">，从业人员</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人，营业收入为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万元，资产总额为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万元，属于（□中型企业 □小型企业 □微型企业）；</w:t>
      </w:r>
      <w:r/>
    </w:p>
    <w:p>
      <w:pPr>
        <w:ind w:firstLine="480"/>
        <w:spacing w:line="380" w:lineRule="exact"/>
        <w:rPr>
          <w:rFonts w:ascii="仿宋" w:hAnsi="仿宋" w:eastAsia="仿宋" w:cs="仿宋"/>
          <w:color w:val="auto"/>
          <w:sz w:val="24"/>
          <w:highlight w:val="none"/>
        </w:rPr>
      </w:pPr>
      <w:r>
        <w:rPr>
          <w:rFonts w:hint="eastAsia" w:eastAsia="仿宋"/>
          <w:color w:val="auto"/>
          <w:sz w:val="24"/>
          <w:highlight w:val="none"/>
        </w:rPr>
        <w:t xml:space="preserve">2.</w:t>
      </w:r>
      <w:r>
        <w:rPr>
          <w:rFonts w:hint="eastAsia" w:ascii="仿宋" w:hAnsi="仿宋" w:eastAsia="仿宋" w:cs="仿宋"/>
          <w:color w:val="auto"/>
          <w:sz w:val="24"/>
          <w:highlight w:val="none"/>
          <w:u w:val="single"/>
        </w:rPr>
        <w:t xml:space="preserve">（标的名称）</w:t>
      </w:r>
      <w:r>
        <w:rPr>
          <w:rFonts w:hint="eastAsia" w:ascii="仿宋" w:hAnsi="仿宋" w:eastAsia="仿宋" w:cs="仿宋"/>
          <w:color w:val="auto"/>
          <w:sz w:val="24"/>
          <w:highlight w:val="none"/>
        </w:rPr>
        <w:t xml:space="preserve">，属于</w:t>
      </w:r>
      <w:r>
        <w:rPr>
          <w:rFonts w:hint="eastAsia" w:ascii="仿宋" w:hAnsi="仿宋" w:eastAsia="仿宋" w:cs="仿宋"/>
          <w:color w:val="auto"/>
          <w:sz w:val="24"/>
          <w:highlight w:val="none"/>
          <w:u w:val="single"/>
        </w:rPr>
        <w:t xml:space="preserve">（供应商填写招标文件中明确的所属行业）</w:t>
      </w:r>
      <w:r>
        <w:rPr>
          <w:rFonts w:hint="eastAsia" w:ascii="仿宋" w:hAnsi="仿宋" w:eastAsia="仿宋" w:cs="仿宋"/>
          <w:color w:val="auto"/>
          <w:sz w:val="24"/>
          <w:highlight w:val="none"/>
        </w:rPr>
        <w:t xml:space="preserve">行业；承接企业为</w:t>
      </w:r>
      <w:r>
        <w:rPr>
          <w:rFonts w:hint="eastAsia" w:ascii="仿宋" w:hAnsi="仿宋" w:eastAsia="仿宋" w:cs="仿宋"/>
          <w:color w:val="auto"/>
          <w:sz w:val="24"/>
          <w:highlight w:val="none"/>
          <w:u w:val="single"/>
        </w:rPr>
        <w:t xml:space="preserve">（企业名称）</w:t>
      </w:r>
      <w:r>
        <w:rPr>
          <w:rFonts w:hint="eastAsia" w:ascii="仿宋" w:hAnsi="仿宋" w:eastAsia="仿宋" w:cs="仿宋"/>
          <w:color w:val="auto"/>
          <w:sz w:val="24"/>
          <w:highlight w:val="none"/>
        </w:rPr>
        <w:t xml:space="preserve">，从业人员</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人，营业收入为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万元，资产总额为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万元，属于</w:t>
      </w:r>
      <w:r>
        <w:rPr>
          <w:rFonts w:hint="eastAsia" w:ascii="仿宋" w:hAnsi="仿宋" w:eastAsia="仿宋" w:cs="仿宋"/>
          <w:color w:val="auto"/>
          <w:sz w:val="24"/>
          <w:highlight w:val="none"/>
          <w:u w:val="single"/>
        </w:rPr>
        <w:t xml:space="preserve">（□中型企业 □小型企业 □微型企业）；</w:t>
      </w:r>
      <w:r/>
    </w:p>
    <w:p>
      <w:pPr>
        <w:ind w:firstLine="36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w:t>
      </w:r>
      <w:r/>
    </w:p>
    <w:p>
      <w:pPr>
        <w:ind w:firstLine="36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本企业对上述声明内容的真实性负责。如有虚假，将依法承担相应责任</w:t>
      </w:r>
      <w:r/>
    </w:p>
    <w:p>
      <w:pPr>
        <w:ind w:firstLine="36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pStyle w:val="900"/>
        <w:ind w:right="180" w:firstLine="360"/>
        <w:jc w:val="center"/>
        <w:spacing w:before="0" w:beforeAutospacing="0" w:after="0" w:afterAutospacing="0" w:line="380" w:lineRule="exact"/>
        <w:rPr>
          <w:rFonts w:ascii="仿宋" w:hAnsi="仿宋" w:eastAsia="仿宋" w:cs="仿宋"/>
          <w:color w:val="auto"/>
          <w:highlight w:val="none"/>
        </w:rPr>
      </w:pPr>
      <w:r>
        <w:rPr>
          <w:rFonts w:hint="eastAsia" w:ascii="仿宋" w:hAnsi="仿宋" w:eastAsia="仿宋" w:cs="仿宋"/>
          <w:color w:val="auto"/>
          <w:highlight w:val="none"/>
        </w:rPr>
        <w:t xml:space="preserve">               企业名称（加盖CA电子公章）：</w:t>
      </w:r>
      <w:r/>
    </w:p>
    <w:p>
      <w:pPr>
        <w:contextualSpacing/>
        <w:ind w:firstLine="2310"/>
        <w:spacing w:line="300" w:lineRule="auto"/>
        <w:rPr>
          <w:rFonts w:ascii="仿宋" w:hAnsi="仿宋" w:eastAsia="仿宋" w:cs="仿宋"/>
          <w:color w:val="auto"/>
          <w:highlight w:val="none"/>
        </w:rPr>
      </w:pPr>
      <w:r>
        <w:rPr>
          <w:rFonts w:hint="eastAsia" w:ascii="仿宋" w:hAnsi="仿宋" w:eastAsia="仿宋" w:cs="仿宋"/>
          <w:color w:val="auto"/>
          <w:highlight w:val="none"/>
          <w:shd w:val="clear" w:color="auto" w:fill="ffffff"/>
        </w:rPr>
        <w:t xml:space="preserve">            </w:t>
      </w:r>
      <w:r>
        <w:rPr>
          <w:rFonts w:eastAsia="仿宋"/>
          <w:color w:val="auto"/>
          <w:sz w:val="24"/>
          <w:highlight w:val="none"/>
        </w:rPr>
        <w:t xml:space="preserve">日期：</w:t>
      </w:r>
      <w:r>
        <w:rPr>
          <w:rFonts w:eastAsia="仿宋"/>
          <w:color w:val="auto"/>
          <w:sz w:val="24"/>
          <w:highlight w:val="none"/>
          <w:u w:val="single"/>
        </w:rPr>
        <w:t xml:space="preserve">       </w:t>
      </w:r>
      <w:r>
        <w:rPr>
          <w:rFonts w:eastAsia="仿宋"/>
          <w:color w:val="auto"/>
          <w:sz w:val="24"/>
          <w:highlight w:val="none"/>
        </w:rPr>
        <w:t xml:space="preserve">年</w:t>
      </w:r>
      <w:r>
        <w:rPr>
          <w:rFonts w:eastAsia="仿宋"/>
          <w:color w:val="auto"/>
          <w:sz w:val="24"/>
          <w:highlight w:val="none"/>
          <w:u w:val="single"/>
        </w:rPr>
        <w:t xml:space="preserve">   </w:t>
      </w:r>
      <w:r>
        <w:rPr>
          <w:rFonts w:eastAsia="仿宋"/>
          <w:color w:val="auto"/>
          <w:sz w:val="24"/>
          <w:highlight w:val="none"/>
        </w:rPr>
        <w:t xml:space="preserve">月</w:t>
      </w:r>
      <w:r>
        <w:rPr>
          <w:rFonts w:eastAsia="仿宋"/>
          <w:color w:val="auto"/>
          <w:sz w:val="24"/>
          <w:highlight w:val="none"/>
          <w:u w:val="single"/>
        </w:rPr>
        <w:t xml:space="preserve">    </w:t>
      </w:r>
      <w:r>
        <w:rPr>
          <w:rFonts w:eastAsia="仿宋"/>
          <w:color w:val="auto"/>
          <w:sz w:val="24"/>
          <w:highlight w:val="none"/>
        </w:rPr>
        <w:t xml:space="preserve">日</w:t>
      </w:r>
      <w:r/>
    </w:p>
    <w:p>
      <w:pPr>
        <w:pStyle w:val="900"/>
        <w:ind w:firstLine="480"/>
        <w:jc w:val="both"/>
        <w:spacing w:before="0" w:beforeAutospacing="0" w:after="0" w:afterAutospacing="0" w:line="380" w:lineRule="exact"/>
        <w:widowControl w:val="off"/>
        <w:rPr>
          <w:rFonts w:ascii="仿宋" w:hAnsi="仿宋" w:eastAsia="仿宋" w:cs="仿宋"/>
          <w:color w:val="auto"/>
          <w:highlight w:val="none"/>
        </w:rPr>
      </w:pPr>
      <w:r>
        <w:rPr>
          <w:rFonts w:ascii="仿宋" w:hAnsi="仿宋" w:eastAsia="仿宋" w:cs="仿宋"/>
          <w:color w:val="auto"/>
          <w:highlight w:val="none"/>
        </w:rPr>
      </w:r>
      <w:r/>
    </w:p>
    <w:p>
      <w:pPr>
        <w:pStyle w:val="900"/>
        <w:ind w:firstLine="480"/>
        <w:jc w:val="both"/>
        <w:spacing w:before="0" w:beforeAutospacing="0" w:after="0" w:afterAutospacing="0" w:line="38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备注：</w:t>
      </w:r>
      <w:r/>
    </w:p>
    <w:p>
      <w:pPr>
        <w:pStyle w:val="900"/>
        <w:ind w:firstLine="480"/>
        <w:jc w:val="both"/>
        <w:spacing w:before="0" w:beforeAutospacing="0" w:after="0" w:afterAutospacing="0" w:line="380" w:lineRule="exact"/>
        <w:widowControl w:val="off"/>
        <w:rPr>
          <w:rFonts w:ascii="仿宋" w:hAnsi="仿宋" w:eastAsia="仿宋" w:cs="仿宋"/>
          <w:color w:val="auto"/>
          <w:highlight w:val="none"/>
        </w:rPr>
      </w:pPr>
      <w:r>
        <w:rPr>
          <w:rFonts w:hint="eastAsia" w:ascii="Times New Roman" w:hAnsi="Times New Roman" w:eastAsia="仿宋"/>
          <w:color w:val="auto"/>
          <w:highlight w:val="none"/>
        </w:rPr>
        <w:t xml:space="preserve">1.</w:t>
      </w:r>
      <w:r>
        <w:rPr>
          <w:rFonts w:hint="eastAsia" w:ascii="仿宋" w:hAnsi="仿宋" w:eastAsia="仿宋" w:cs="仿宋"/>
          <w:color w:val="auto"/>
          <w:highlight w:val="none"/>
        </w:rPr>
        <w:t xml:space="preserve">从业人员、营业收入、资产总额填报上一年度数据，无上一年度数据的新成立企业可不填报。</w:t>
      </w:r>
      <w:r/>
    </w:p>
    <w:p>
      <w:pPr>
        <w:pStyle w:val="900"/>
        <w:ind w:firstLine="480"/>
        <w:jc w:val="both"/>
        <w:spacing w:before="0" w:beforeAutospacing="0" w:after="0" w:afterAutospacing="0" w:line="380" w:lineRule="exact"/>
        <w:widowControl w:val="off"/>
        <w:rPr>
          <w:rFonts w:ascii="仿宋" w:hAnsi="仿宋" w:eastAsia="仿宋" w:cs="仿宋"/>
          <w:color w:val="auto"/>
          <w:highlight w:val="none"/>
        </w:rPr>
      </w:pPr>
      <w:r>
        <w:rPr>
          <w:rFonts w:hint="eastAsia" w:ascii="Times New Roman" w:hAnsi="Times New Roman" w:eastAsia="仿宋"/>
          <w:color w:val="auto"/>
          <w:highlight w:val="none"/>
        </w:rPr>
        <w:t xml:space="preserve">2.</w:t>
      </w:r>
      <w:r>
        <w:rPr>
          <w:rFonts w:hint="eastAsia" w:ascii="仿宋" w:hAnsi="仿宋" w:eastAsia="仿宋" w:cs="仿宋"/>
          <w:color w:val="auto"/>
          <w:highlight w:val="none"/>
        </w:rPr>
        <w:t xml:space="preserve">专门面向中小微型企业采购的项目，供应商如不提供此声明函，则不能通过资格审查；非专门面向中小微型企业采购的项目，供应商如不提供此声明函，价格将不做相应扣除。</w:t>
      </w:r>
      <w:r/>
    </w:p>
    <w:p>
      <w:pPr>
        <w:pStyle w:val="900"/>
        <w:ind w:firstLine="480"/>
        <w:jc w:val="both"/>
        <w:spacing w:before="0" w:beforeAutospacing="0" w:after="0" w:afterAutospacing="0" w:line="380" w:lineRule="exact"/>
        <w:widowControl w:val="off"/>
        <w:rPr>
          <w:rFonts w:ascii="仿宋" w:hAnsi="仿宋" w:eastAsia="仿宋" w:cs="仿宋"/>
          <w:color w:val="auto"/>
          <w:highlight w:val="none"/>
        </w:rPr>
      </w:pPr>
      <w:r>
        <w:rPr>
          <w:rFonts w:hint="eastAsia" w:ascii="Times New Roman" w:hAnsi="Times New Roman" w:eastAsia="仿宋"/>
          <w:color w:val="auto"/>
          <w:highlight w:val="none"/>
        </w:rPr>
        <w:t xml:space="preserve">3.</w:t>
      </w:r>
      <w:r>
        <w:rPr>
          <w:rFonts w:hint="eastAsia" w:ascii="仿宋" w:hAnsi="仿宋" w:eastAsia="仿宋" w:cs="仿宋"/>
          <w:color w:val="auto"/>
          <w:highlight w:val="none"/>
        </w:rPr>
        <w:t xml:space="preserve">供应商应对照《工业和信息化部、国家统计局、国家发展和改革委员会、财政部关于印发中小企业划型标准规定的通</w:t>
      </w:r>
      <w:r>
        <w:rPr>
          <w:rFonts w:ascii="Times New Roman" w:hAnsi="Times New Roman" w:eastAsia="仿宋"/>
          <w:color w:val="auto"/>
          <w:highlight w:val="none"/>
        </w:rPr>
        <w:t xml:space="preserve">知》（工信部联企业〔2011〕300号)和《国家统计局关于印发〈统计上大中小微型企业划分办法（2017）〉的通知》（国统字〔2017〕213号）的规定，自行勾选承接企业的企业规模类型。</w:t>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t xml:space="preserve">附件10</w:t>
      </w:r>
      <w:r/>
    </w:p>
    <w:p>
      <w:pPr>
        <w:jc w:val="center"/>
        <w:spacing w:line="400" w:lineRule="exact"/>
        <w:rPr>
          <w:color w:val="auto"/>
          <w:highlight w:val="none"/>
        </w:rPr>
      </w:pPr>
      <w:r>
        <w:rPr>
          <w:rFonts w:ascii="方正小标宋简体" w:hAnsi="方正小标宋简体" w:eastAsia="方正小标宋简体" w:cs="方正小标宋简体"/>
          <w:bCs/>
          <w:color w:val="auto"/>
          <w:sz w:val="30"/>
          <w:szCs w:val="30"/>
          <w:highlight w:val="none"/>
        </w:rPr>
        <w:t xml:space="preserve">残疾人福利性单位声明函（采购包号：**）</w:t>
      </w:r>
      <w:r>
        <w:rPr>
          <w:color w:val="auto"/>
          <w:highlight w:val="none"/>
        </w:rPr>
        <w:t xml:space="preserve"> </w:t>
      </w:r>
      <w:r/>
    </w:p>
    <w:p>
      <w:pPr>
        <w:pStyle w:val="900"/>
        <w:ind w:firstLine="480"/>
        <w:jc w:val="both"/>
        <w:spacing w:beforeAutospacing="0" w:afterAutospacing="0"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本单位郑重声明，根据《财政部 民政部 中国残疾人联合会关于促进残疾人就业政府采购政策的通知》（</w:t>
      </w:r>
      <w:r>
        <w:rPr>
          <w:rFonts w:ascii="Times New Roman" w:hAnsi="Times New Roman" w:eastAsia="仿宋"/>
          <w:color w:val="auto"/>
          <w:sz w:val="28"/>
          <w:szCs w:val="28"/>
          <w:highlight w:val="none"/>
        </w:rPr>
        <w:t xml:space="preserve">财库〔2017〕141号</w:t>
      </w:r>
      <w:r>
        <w:rPr>
          <w:rFonts w:hint="eastAsia" w:ascii="仿宋" w:hAnsi="仿宋" w:eastAsia="仿宋" w:cs="仿宋"/>
          <w:color w:val="auto"/>
          <w:sz w:val="28"/>
          <w:szCs w:val="28"/>
          <w:highlight w:val="none"/>
        </w:rPr>
        <w:t xml:space="preserve">）的规定，本单位为符合条件的残疾人福利性单位，且本单位参加</w:t>
      </w:r>
      <w:r>
        <w:rPr>
          <w:rFonts w:hint="eastAsia" w:ascii="仿宋" w:hAnsi="仿宋" w:eastAsia="仿宋" w:cs="仿宋"/>
          <w:color w:val="auto"/>
          <w:sz w:val="28"/>
          <w:szCs w:val="28"/>
          <w:highlight w:val="none"/>
          <w:u w:val="single"/>
        </w:rPr>
        <w:t xml:space="preserve">（单位名称）</w:t>
      </w:r>
      <w:r>
        <w:rPr>
          <w:rFonts w:hint="eastAsia" w:ascii="仿宋" w:hAnsi="仿宋" w:eastAsia="仿宋" w:cs="仿宋"/>
          <w:color w:val="auto"/>
          <w:sz w:val="28"/>
          <w:szCs w:val="28"/>
          <w:highlight w:val="none"/>
        </w:rPr>
        <w:t xml:space="preserve">采购编号为</w:t>
      </w:r>
      <w:r>
        <w:rPr>
          <w:rFonts w:hint="eastAsia" w:ascii="仿宋" w:hAnsi="仿宋" w:eastAsia="仿宋" w:cs="仿宋"/>
          <w:color w:val="auto"/>
          <w:sz w:val="28"/>
          <w:szCs w:val="28"/>
          <w:highlight w:val="none"/>
          <w:u w:val="single"/>
        </w:rPr>
        <w:t xml:space="preserve">（采购编号）</w:t>
      </w:r>
      <w:r>
        <w:rPr>
          <w:rFonts w:hint="eastAsia" w:ascii="仿宋" w:hAnsi="仿宋" w:eastAsia="仿宋" w:cs="仿宋"/>
          <w:color w:val="auto"/>
          <w:sz w:val="28"/>
          <w:szCs w:val="28"/>
          <w:highlight w:val="none"/>
        </w:rPr>
        <w:t xml:space="preserve">， </w:t>
      </w:r>
      <w:r>
        <w:rPr>
          <w:rFonts w:eastAsia="仿宋"/>
          <w:color w:val="auto"/>
          <w:highlight w:val="none"/>
          <w:u w:val="single"/>
        </w:rPr>
        <w:t xml:space="preserve">    </w:t>
      </w:r>
      <w:r>
        <w:rPr>
          <w:rFonts w:hint="eastAsia" w:eastAsia="仿宋"/>
          <w:color w:val="auto"/>
          <w:highlight w:val="none"/>
          <w:u w:val="single"/>
        </w:rPr>
        <w:t xml:space="preserve">     </w:t>
      </w:r>
      <w:r>
        <w:rPr>
          <w:rFonts w:eastAsia="仿宋"/>
          <w:color w:val="auto"/>
          <w:highlight w:val="none"/>
          <w:u w:val="single"/>
        </w:rPr>
        <w:t xml:space="preserve">   </w:t>
      </w:r>
      <w:r>
        <w:rPr>
          <w:rFonts w:hint="eastAsia" w:ascii="仿宋" w:hAnsi="仿宋" w:eastAsia="仿宋" w:cs="仿宋"/>
          <w:color w:val="auto"/>
          <w:sz w:val="28"/>
          <w:szCs w:val="28"/>
          <w:highlight w:val="none"/>
        </w:rPr>
        <w:t xml:space="preserve">项目（项目名称）（采购包号：**）采购活动由本单位提供服务。</w:t>
      </w:r>
      <w:r/>
    </w:p>
    <w:p>
      <w:pPr>
        <w:pStyle w:val="900"/>
        <w:ind w:firstLine="480"/>
        <w:jc w:val="both"/>
        <w:spacing w:beforeAutospacing="0" w:afterAutospacing="0"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本单位对上述声明的真实性负责。如有虚假，将依法承担相应责任。</w:t>
      </w:r>
      <w:r/>
    </w:p>
    <w:p>
      <w:pPr>
        <w:pStyle w:val="900"/>
        <w:ind w:firstLine="480"/>
        <w:jc w:val="both"/>
        <w:spacing w:beforeAutospacing="0" w:afterAutospacing="0"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备注：</w:t>
      </w:r>
      <w:r/>
    </w:p>
    <w:p>
      <w:pPr>
        <w:pStyle w:val="900"/>
        <w:ind w:firstLine="480"/>
        <w:jc w:val="both"/>
        <w:spacing w:beforeAutospacing="0" w:afterAutospacing="0" w:line="360" w:lineRule="auto"/>
        <w:rPr>
          <w:rFonts w:ascii="Times New Roman" w:hAnsi="Times New Roman" w:eastAsia="仿宋"/>
          <w:color w:val="auto"/>
          <w:sz w:val="28"/>
          <w:szCs w:val="28"/>
          <w:highlight w:val="none"/>
        </w:rPr>
      </w:pPr>
      <w:r>
        <w:rPr>
          <w:rFonts w:ascii="Times New Roman" w:hAnsi="Times New Roman" w:eastAsia="仿宋"/>
          <w:color w:val="auto"/>
          <w:sz w:val="28"/>
          <w:szCs w:val="28"/>
          <w:highlight w:val="none"/>
        </w:rPr>
        <w:t xml:space="preserve">1.专门面向中小微型企业采购的项目，供应商为残疾人福利性单位并提供服务的必须提供此声明函，否则将不能通过资格审查。</w:t>
      </w:r>
      <w:r/>
    </w:p>
    <w:p>
      <w:pPr>
        <w:pStyle w:val="900"/>
        <w:ind w:firstLine="480"/>
        <w:jc w:val="both"/>
        <w:spacing w:beforeAutospacing="0" w:afterAutospacing="0" w:line="360" w:lineRule="auto"/>
        <w:rPr>
          <w:rFonts w:ascii="Times New Roman" w:hAnsi="Times New Roman" w:eastAsia="仿宋"/>
          <w:color w:val="auto"/>
          <w:sz w:val="28"/>
          <w:szCs w:val="28"/>
          <w:highlight w:val="none"/>
        </w:rPr>
      </w:pPr>
      <w:r>
        <w:rPr>
          <w:rFonts w:ascii="Times New Roman" w:hAnsi="Times New Roman" w:eastAsia="仿宋"/>
          <w:color w:val="auto"/>
          <w:sz w:val="28"/>
          <w:szCs w:val="28"/>
          <w:highlight w:val="none"/>
        </w:rPr>
        <w:t xml:space="preserve">2.非专门面向中小微型企业采购的项目，供应商如不提供此声明函，价格将不做相应扣除。</w:t>
      </w:r>
      <w:r/>
    </w:p>
    <w:p>
      <w:pPr>
        <w:pStyle w:val="900"/>
        <w:ind w:firstLine="480"/>
        <w:jc w:val="both"/>
        <w:spacing w:beforeAutospacing="0" w:afterAutospacing="0" w:line="360" w:lineRule="auto"/>
        <w:rPr>
          <w:rFonts w:ascii="Times New Roman" w:hAnsi="Times New Roman" w:eastAsia="仿宋"/>
          <w:color w:val="auto"/>
          <w:sz w:val="28"/>
          <w:szCs w:val="28"/>
          <w:highlight w:val="none"/>
        </w:rPr>
      </w:pPr>
      <w:r>
        <w:rPr>
          <w:rFonts w:ascii="Times New Roman" w:hAnsi="Times New Roman" w:eastAsia="仿宋"/>
          <w:color w:val="auto"/>
          <w:sz w:val="28"/>
          <w:szCs w:val="28"/>
          <w:highlight w:val="none"/>
        </w:rPr>
        <w:t xml:space="preserve">3.中标/成交供应商为残疾人福利性单位的，此声明函将随中标/成交结果同时公告，接受社会监督。</w:t>
      </w:r>
      <w:r/>
    </w:p>
    <w:p>
      <w:pPr>
        <w:pStyle w:val="900"/>
        <w:ind w:firstLine="624"/>
        <w:jc w:val="both"/>
        <w:spacing w:beforeAutospacing="0" w:afterAutospacing="0"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p>
      <w:pPr>
        <w:pStyle w:val="900"/>
        <w:ind w:right="1559" w:firstLine="624"/>
        <w:jc w:val="center"/>
        <w:spacing w:beforeAutospacing="0" w:afterAutospacing="0" w:line="360" w:lineRule="auto"/>
        <w:tabs>
          <w:tab w:val="left" w:pos="4864" w:leader="none"/>
        </w:tabs>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供应商全称（加盖CA电子公章）：</w:t>
      </w:r>
      <w:r/>
    </w:p>
    <w:p>
      <w:pPr>
        <w:contextualSpacing/>
        <w:ind w:firstLine="2240"/>
        <w:spacing w:line="300" w:lineRule="auto"/>
        <w:rPr>
          <w:rFonts w:eastAsia="方正黑体_GBK"/>
          <w:color w:val="auto"/>
          <w:sz w:val="32"/>
          <w:szCs w:val="32"/>
          <w:highlight w:val="none"/>
        </w:rPr>
      </w:pPr>
      <w:r>
        <w:rPr>
          <w:rFonts w:eastAsia="仿宋"/>
          <w:color w:val="auto"/>
          <w:sz w:val="28"/>
          <w:szCs w:val="28"/>
          <w:highlight w:val="none"/>
        </w:rPr>
        <w:t xml:space="preserve">日期：</w:t>
      </w:r>
      <w:r>
        <w:rPr>
          <w:rFonts w:eastAsia="仿宋"/>
          <w:color w:val="auto"/>
          <w:sz w:val="28"/>
          <w:szCs w:val="28"/>
          <w:highlight w:val="none"/>
          <w:u w:val="single"/>
        </w:rPr>
        <w:t xml:space="preserve">       </w:t>
      </w:r>
      <w:r>
        <w:rPr>
          <w:rFonts w:eastAsia="仿宋"/>
          <w:color w:val="auto"/>
          <w:sz w:val="28"/>
          <w:szCs w:val="28"/>
          <w:highlight w:val="none"/>
        </w:rPr>
        <w:t xml:space="preserve">年</w:t>
      </w:r>
      <w:r>
        <w:rPr>
          <w:rFonts w:eastAsia="仿宋"/>
          <w:color w:val="auto"/>
          <w:sz w:val="28"/>
          <w:szCs w:val="28"/>
          <w:highlight w:val="none"/>
          <w:u w:val="single"/>
        </w:rPr>
        <w:t xml:space="preserve">   </w:t>
      </w:r>
      <w:r>
        <w:rPr>
          <w:rFonts w:eastAsia="仿宋"/>
          <w:color w:val="auto"/>
          <w:sz w:val="28"/>
          <w:szCs w:val="28"/>
          <w:highlight w:val="none"/>
        </w:rPr>
        <w:t xml:space="preserve">月</w:t>
      </w:r>
      <w:r>
        <w:rPr>
          <w:rFonts w:eastAsia="仿宋"/>
          <w:color w:val="auto"/>
          <w:sz w:val="28"/>
          <w:szCs w:val="28"/>
          <w:highlight w:val="none"/>
          <w:u w:val="single"/>
        </w:rPr>
        <w:t xml:space="preserve">    </w:t>
      </w:r>
      <w:r>
        <w:rPr>
          <w:rFonts w:eastAsia="仿宋"/>
          <w:color w:val="auto"/>
          <w:sz w:val="28"/>
          <w:szCs w:val="28"/>
          <w:highlight w:val="none"/>
        </w:rPr>
        <w:t xml:space="preserve">日</w:t>
      </w:r>
      <w:r/>
    </w:p>
    <w:p>
      <w:pPr>
        <w:pStyle w:val="900"/>
        <w:ind w:right="1559" w:firstLine="480"/>
        <w:jc w:val="center"/>
        <w:spacing w:beforeAutospacing="0" w:afterAutospacing="0" w:line="360" w:lineRule="auto"/>
        <w:tabs>
          <w:tab w:val="left" w:pos="4864" w:leader="none"/>
        </w:tabs>
        <w:rPr>
          <w:rFonts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  </w:t>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t xml:space="preserve">附件11</w:t>
      </w:r>
      <w:r/>
    </w:p>
    <w:p>
      <w:pPr>
        <w:jc w:val="center"/>
        <w:spacing w:line="400" w:lineRule="exact"/>
        <w:rPr>
          <w:rFonts w:ascii="方正小标宋简体" w:hAnsi="方正小标宋简体" w:eastAsia="方正小标宋简体" w:cs="方正小标宋简体"/>
          <w:bCs/>
          <w:color w:val="auto"/>
          <w:sz w:val="30"/>
          <w:szCs w:val="30"/>
          <w:highlight w:val="none"/>
        </w:rPr>
      </w:pPr>
      <w:r>
        <w:rPr>
          <w:rFonts w:hint="eastAsia" w:ascii="方正小标宋简体" w:hAnsi="方正小标宋简体" w:eastAsia="方正小标宋简体" w:cs="方正小标宋简体"/>
          <w:bCs/>
          <w:color w:val="auto"/>
          <w:sz w:val="30"/>
          <w:szCs w:val="30"/>
          <w:highlight w:val="none"/>
        </w:rPr>
        <w:t xml:space="preserve">监狱和戒毒企业证明材料</w:t>
      </w:r>
      <w:r/>
    </w:p>
    <w:p>
      <w:pPr>
        <w:ind w:firstLine="495"/>
        <w:spacing w:line="4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498"/>
        <w:spacing w:line="420" w:lineRule="exac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（格式自拟）</w:t>
      </w:r>
      <w:r/>
    </w:p>
    <w:p>
      <w:pPr>
        <w:ind w:firstLine="495"/>
        <w:spacing w:line="4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660"/>
        <w:spacing w:line="420" w:lineRule="exact"/>
        <w:rPr>
          <w:rFonts w:eastAsia="仿宋"/>
          <w:color w:val="auto"/>
          <w:sz w:val="28"/>
          <w:szCs w:val="28"/>
          <w:highlight w:val="none"/>
        </w:rPr>
      </w:pPr>
      <w:r>
        <w:rPr>
          <w:rFonts w:eastAsia="仿宋"/>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eastAsia="仿宋"/>
          <w:color w:val="auto"/>
          <w:sz w:val="28"/>
          <w:szCs w:val="28"/>
          <w:highlight w:val="none"/>
        </w:rPr>
        <w:outlineLvl w:val="0"/>
      </w:pPr>
      <w:r>
        <w:rPr>
          <w:rFonts w:eastAsia="仿宋"/>
          <w:color w:val="auto"/>
          <w:sz w:val="28"/>
          <w:szCs w:val="28"/>
          <w:highlight w:val="none"/>
        </w:rPr>
      </w:r>
      <w:r/>
    </w:p>
    <w:p>
      <w:pPr>
        <w:spacing w:line="300" w:lineRule="auto"/>
        <w:rPr>
          <w:rFonts w:eastAsia="仿宋"/>
          <w:color w:val="auto"/>
          <w:sz w:val="28"/>
          <w:szCs w:val="28"/>
          <w:highlight w:val="none"/>
        </w:rPr>
        <w:outlineLvl w:val="0"/>
      </w:pPr>
      <w:r>
        <w:rPr>
          <w:rFonts w:eastAsia="仿宋"/>
          <w:color w:val="auto"/>
          <w:sz w:val="28"/>
          <w:szCs w:val="28"/>
          <w:highlight w:val="none"/>
        </w:rPr>
      </w:r>
      <w:r/>
    </w:p>
    <w:p>
      <w:pPr>
        <w:spacing w:line="300" w:lineRule="auto"/>
        <w:rPr>
          <w:rFonts w:eastAsia="仿宋"/>
          <w:color w:val="auto"/>
          <w:sz w:val="28"/>
          <w:szCs w:val="28"/>
          <w:highlight w:val="none"/>
        </w:rPr>
        <w:outlineLvl w:val="0"/>
      </w:pPr>
      <w:r>
        <w:rPr>
          <w:rFonts w:eastAsia="仿宋"/>
          <w:color w:val="auto"/>
          <w:sz w:val="28"/>
          <w:szCs w:val="28"/>
          <w:highlight w:val="none"/>
        </w:rPr>
      </w:r>
      <w:r/>
    </w:p>
    <w:p>
      <w:pPr>
        <w:spacing w:line="300" w:lineRule="auto"/>
        <w:rPr>
          <w:rFonts w:eastAsia="仿宋"/>
          <w:color w:val="auto"/>
          <w:sz w:val="28"/>
          <w:szCs w:val="28"/>
          <w:highlight w:val="none"/>
        </w:rPr>
        <w:outlineLvl w:val="0"/>
      </w:pPr>
      <w:r>
        <w:rPr>
          <w:rFonts w:eastAsia="仿宋"/>
          <w:color w:val="auto"/>
          <w:sz w:val="28"/>
          <w:szCs w:val="28"/>
          <w:highlight w:val="none"/>
        </w:rPr>
      </w:r>
      <w:r/>
    </w:p>
    <w:p>
      <w:pPr>
        <w:spacing w:line="300" w:lineRule="auto"/>
        <w:rPr>
          <w:rFonts w:eastAsia="仿宋"/>
          <w:color w:val="auto"/>
          <w:sz w:val="28"/>
          <w:szCs w:val="28"/>
          <w:highlight w:val="none"/>
          <w:lang w:bidi="zh-CN"/>
        </w:rPr>
        <w:outlineLvl w:val="0"/>
      </w:pPr>
      <w:r>
        <w:rPr>
          <w:rFonts w:eastAsia="仿宋"/>
          <w:color w:val="auto"/>
          <w:sz w:val="28"/>
          <w:szCs w:val="28"/>
          <w:highlight w:val="none"/>
          <w:lang w:bidi="zh-CN"/>
        </w:rPr>
        <w:t xml:space="preserve">注：1.供应商如不提供此声明函，价格将不做相应扣除。</w:t>
      </w:r>
      <w:r/>
    </w:p>
    <w:p>
      <w:pPr>
        <w:ind w:firstLine="560"/>
        <w:spacing w:line="300" w:lineRule="auto"/>
        <w:rPr>
          <w:rFonts w:eastAsia="仿宋"/>
          <w:color w:val="auto"/>
          <w:sz w:val="28"/>
          <w:szCs w:val="28"/>
          <w:highlight w:val="none"/>
        </w:rPr>
        <w:outlineLvl w:val="0"/>
      </w:pPr>
      <w:r>
        <w:rPr>
          <w:rFonts w:eastAsia="仿宋"/>
          <w:color w:val="auto"/>
          <w:sz w:val="28"/>
          <w:szCs w:val="28"/>
          <w:highlight w:val="none"/>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t xml:space="preserve">附件12  </w:t>
      </w:r>
      <w:r/>
    </w:p>
    <w:p>
      <w:pPr>
        <w:jc w:val="center"/>
        <w:spacing w:line="400" w:lineRule="exact"/>
        <w:rPr>
          <w:rFonts w:ascii="方正小标宋简体" w:hAnsi="方正小标宋简体" w:eastAsia="方正小标宋简体" w:cs="方正小标宋简体"/>
          <w:bCs/>
          <w:color w:val="auto"/>
          <w:sz w:val="30"/>
          <w:szCs w:val="30"/>
          <w:highlight w:val="none"/>
        </w:rPr>
      </w:pPr>
      <w:r>
        <w:rPr>
          <w:rFonts w:ascii="方正小标宋简体" w:hAnsi="方正小标宋简体" w:eastAsia="方正小标宋简体" w:cs="方正小标宋简体"/>
          <w:bCs/>
          <w:color w:val="auto"/>
          <w:sz w:val="30"/>
          <w:szCs w:val="30"/>
          <w:highlight w:val="none"/>
        </w:rPr>
        <w:t xml:space="preserve">关于符合本国产品标准的声明函</w:t>
      </w:r>
      <w:r/>
    </w:p>
    <w:p>
      <w:pPr>
        <w:ind w:firstLine="420"/>
        <w:jc w:val="left"/>
        <w:spacing w:before="15" w:after="15"/>
        <w:shd w:val="clear" w:color="auto" w:fill="ffffff"/>
        <w:widowControl/>
        <w:rPr>
          <w:color w:val="auto"/>
          <w:sz w:val="24"/>
          <w:highlight w:val="none"/>
        </w:rPr>
      </w:pPr>
      <w:r>
        <w:rPr>
          <w:color w:val="auto"/>
          <w:sz w:val="24"/>
          <w:highlight w:val="none"/>
        </w:rPr>
        <w:t xml:space="preserve"> </w:t>
      </w:r>
      <w:r/>
    </w:p>
    <w:p>
      <w:pPr>
        <w:ind w:firstLine="420"/>
        <w:jc w:val="left"/>
        <w:spacing w:line="44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440" w:lineRule="exact"/>
        <w:shd w:val="clear" w:color="auto" w:fill="ffffff"/>
        <w:widowControl/>
        <w:rPr>
          <w:rFonts w:ascii="仿宋" w:hAnsi="仿宋" w:eastAsia="仿宋" w:cs="仿宋"/>
          <w:color w:val="auto"/>
          <w:sz w:val="28"/>
          <w:szCs w:val="28"/>
          <w:highlight w:val="none"/>
        </w:rPr>
      </w:pPr>
      <w:r>
        <w:rPr>
          <w:rFonts w:eastAsia="仿宋"/>
          <w:color w:val="auto"/>
          <w:sz w:val="28"/>
          <w:szCs w:val="28"/>
          <w:highlight w:val="none"/>
          <w:shd w:val="clear" w:color="auto" w:fill="ffffff"/>
        </w:rPr>
        <w:t xml:space="preserve">1.</w:t>
      </w:r>
      <w:r>
        <w:rPr>
          <w:rFonts w:hint="eastAsia" w:ascii="仿宋" w:hAnsi="仿宋" w:eastAsia="仿宋" w:cs="仿宋"/>
          <w:color w:val="auto"/>
          <w:sz w:val="28"/>
          <w:szCs w:val="28"/>
          <w:highlight w:val="none"/>
          <w:u w:val="single"/>
          <w:shd w:val="clear" w:color="auto" w:fill="ffffff"/>
        </w:rPr>
        <w:t xml:space="preserve">（产品名称1）</w:t>
      </w:r>
      <w:r>
        <w:rPr>
          <w:rFonts w:hint="eastAsia" w:ascii="仿宋" w:hAnsi="仿宋" w:eastAsia="仿宋" w:cs="仿宋"/>
          <w:color w:val="auto"/>
          <w:sz w:val="28"/>
          <w:szCs w:val="28"/>
          <w:highlight w:val="none"/>
          <w:shd w:val="clear" w:color="auto" w:fill="ffffff"/>
          <w:vertAlign w:val="superscript"/>
        </w:rPr>
        <w:t xml:space="preserve">1</w:t>
      </w:r>
      <w:r>
        <w:rPr>
          <w:rFonts w:hint="eastAsia" w:ascii="仿宋" w:hAnsi="仿宋" w:eastAsia="仿宋" w:cs="仿宋"/>
          <w:color w:val="auto"/>
          <w:sz w:val="28"/>
          <w:szCs w:val="28"/>
          <w:highlight w:val="none"/>
          <w:shd w:val="clear" w:color="auto" w:fill="ffffff"/>
        </w:rPr>
        <w:t xml:space="preserve">，生产厂为</w:t>
      </w:r>
      <w:r>
        <w:rPr>
          <w:rFonts w:hint="eastAsia" w:ascii="仿宋" w:hAnsi="仿宋" w:eastAsia="仿宋" w:cs="仿宋"/>
          <w:color w:val="auto"/>
          <w:sz w:val="28"/>
          <w:szCs w:val="28"/>
          <w:highlight w:val="none"/>
          <w:u w:val="single"/>
          <w:shd w:val="clear" w:color="auto" w:fill="ffffff"/>
        </w:rPr>
        <w:t xml:space="preserve">（厂名）</w:t>
      </w:r>
      <w:r>
        <w:rPr>
          <w:rFonts w:hint="eastAsia" w:ascii="仿宋" w:hAnsi="仿宋" w:eastAsia="仿宋" w:cs="仿宋"/>
          <w:color w:val="auto"/>
          <w:sz w:val="28"/>
          <w:szCs w:val="28"/>
          <w:highlight w:val="none"/>
          <w:shd w:val="clear" w:color="auto" w:fill="ffffff"/>
          <w:vertAlign w:val="superscript"/>
        </w:rPr>
        <w:t xml:space="preserve">2</w:t>
      </w:r>
      <w:r>
        <w:rPr>
          <w:rFonts w:hint="eastAsia" w:ascii="仿宋" w:hAnsi="仿宋" w:eastAsia="仿宋" w:cs="仿宋"/>
          <w:color w:val="auto"/>
          <w:sz w:val="28"/>
          <w:szCs w:val="28"/>
          <w:highlight w:val="none"/>
          <w:shd w:val="clear" w:color="auto" w:fill="ffffff"/>
        </w:rPr>
        <w:t xml:space="preserve">，厂址为</w:t>
      </w:r>
      <w:r>
        <w:rPr>
          <w:rFonts w:hint="eastAsia" w:ascii="仿宋" w:hAnsi="仿宋" w:eastAsia="仿宋" w:cs="仿宋"/>
          <w:color w:val="auto"/>
          <w:sz w:val="28"/>
          <w:szCs w:val="28"/>
          <w:highlight w:val="none"/>
          <w:u w:val="single"/>
          <w:shd w:val="clear" w:color="auto" w:fill="ffffff"/>
        </w:rPr>
        <w:t xml:space="preserve">（生产厂址）</w:t>
      </w:r>
      <w:r>
        <w:rPr>
          <w:rFonts w:hint="eastAsia" w:ascii="仿宋" w:hAnsi="仿宋" w:eastAsia="仿宋" w:cs="仿宋"/>
          <w:color w:val="auto"/>
          <w:sz w:val="28"/>
          <w:szCs w:val="28"/>
          <w:highlight w:val="none"/>
          <w:shd w:val="clear" w:color="auto" w:fill="ffffff"/>
        </w:rPr>
        <w:t xml:space="preserve">。</w:t>
      </w:r>
      <w:r>
        <w:rPr>
          <w:rFonts w:hint="eastAsia" w:ascii="仿宋" w:hAnsi="仿宋" w:eastAsia="仿宋" w:cs="仿宋"/>
          <w:color w:val="auto"/>
          <w:sz w:val="28"/>
          <w:szCs w:val="28"/>
          <w:highlight w:val="none"/>
          <w:u w:val="single"/>
          <w:shd w:val="clear" w:color="auto" w:fill="ffffff"/>
        </w:rPr>
        <w:t xml:space="preserve">  /  </w:t>
      </w:r>
      <w:r>
        <w:rPr>
          <w:rFonts w:hint="eastAsia" w:ascii="仿宋" w:hAnsi="仿宋" w:eastAsia="仿宋" w:cs="仿宋"/>
          <w:color w:val="auto"/>
          <w:sz w:val="28"/>
          <w:szCs w:val="28"/>
          <w:highlight w:val="none"/>
          <w:shd w:val="clear" w:color="auto" w:fill="ffffff"/>
        </w:rPr>
        <w:t xml:space="preserve">的中国境内生产的组件成本占比≥</w:t>
      </w:r>
      <w:r>
        <w:rPr>
          <w:rFonts w:hint="eastAsia" w:ascii="仿宋" w:hAnsi="仿宋" w:eastAsia="仿宋" w:cs="仿宋"/>
          <w:color w:val="auto"/>
          <w:sz w:val="28"/>
          <w:szCs w:val="28"/>
          <w:highlight w:val="none"/>
          <w:u w:val="single"/>
          <w:shd w:val="clear" w:color="auto" w:fill="ffffff"/>
        </w:rPr>
        <w:t xml:space="preserve">  /  </w:t>
      </w:r>
      <w:r>
        <w:rPr>
          <w:rFonts w:hint="eastAsia" w:ascii="仿宋" w:hAnsi="仿宋" w:eastAsia="仿宋" w:cs="仿宋"/>
          <w:color w:val="auto"/>
          <w:sz w:val="28"/>
          <w:szCs w:val="28"/>
          <w:highlight w:val="none"/>
          <w:shd w:val="clear" w:color="auto" w:fill="ffffff"/>
          <w:vertAlign w:val="superscript"/>
        </w:rPr>
        <w:t xml:space="preserve">3</w:t>
      </w:r>
      <w:r>
        <w:rPr>
          <w:rFonts w:hint="eastAsia" w:ascii="仿宋" w:hAnsi="仿宋" w:eastAsia="仿宋" w:cs="仿宋"/>
          <w:color w:val="auto"/>
          <w:sz w:val="28"/>
          <w:szCs w:val="28"/>
          <w:highlight w:val="none"/>
          <w:shd w:val="clear" w:color="auto" w:fill="ffffff"/>
        </w:rPr>
        <w:t xml:space="preserve">。</w:t>
      </w:r>
      <w:r>
        <w:rPr>
          <w:rFonts w:hint="eastAsia" w:ascii="仿宋" w:hAnsi="仿宋" w:eastAsia="仿宋" w:cs="仿宋"/>
          <w:color w:val="auto"/>
          <w:sz w:val="28"/>
          <w:szCs w:val="28"/>
          <w:highlight w:val="none"/>
          <w:u w:val="single"/>
          <w:shd w:val="clear" w:color="auto" w:fill="ffffff"/>
        </w:rPr>
        <w:t xml:space="preserve">  /  </w:t>
      </w:r>
      <w:r>
        <w:rPr>
          <w:rFonts w:hint="eastAsia" w:ascii="仿宋" w:hAnsi="仿宋" w:eastAsia="仿宋" w:cs="仿宋"/>
          <w:color w:val="auto"/>
          <w:sz w:val="28"/>
          <w:szCs w:val="28"/>
          <w:highlight w:val="none"/>
          <w:shd w:val="clear" w:color="auto" w:fill="ffffff"/>
        </w:rPr>
        <w:t xml:space="preserve">的</w:t>
      </w:r>
      <w:r>
        <w:rPr>
          <w:rFonts w:hint="eastAsia" w:ascii="仿宋" w:hAnsi="仿宋" w:eastAsia="仿宋" w:cs="仿宋"/>
          <w:color w:val="auto"/>
          <w:sz w:val="28"/>
          <w:szCs w:val="28"/>
          <w:highlight w:val="none"/>
          <w:u w:val="single"/>
          <w:shd w:val="clear" w:color="auto" w:fill="ffffff"/>
        </w:rPr>
        <w:t xml:space="preserve">  /  </w:t>
      </w:r>
      <w:r>
        <w:rPr>
          <w:rFonts w:hint="eastAsia" w:ascii="仿宋" w:hAnsi="仿宋" w:eastAsia="仿宋" w:cs="仿宋"/>
          <w:color w:val="auto"/>
          <w:sz w:val="28"/>
          <w:szCs w:val="28"/>
          <w:highlight w:val="none"/>
          <w:shd w:val="clear" w:color="auto" w:fill="ffffff"/>
          <w:vertAlign w:val="superscript"/>
        </w:rPr>
        <w:t xml:space="preserve">4</w:t>
      </w:r>
      <w:r>
        <w:rPr>
          <w:rFonts w:hint="eastAsia" w:ascii="仿宋" w:hAnsi="仿宋" w:eastAsia="仿宋" w:cs="仿宋"/>
          <w:color w:val="auto"/>
          <w:sz w:val="28"/>
          <w:szCs w:val="28"/>
          <w:highlight w:val="none"/>
          <w:shd w:val="clear" w:color="auto" w:fill="ffffff"/>
        </w:rPr>
        <w:t xml:space="preserve">在中国境内生产。</w:t>
      </w:r>
      <w:r>
        <w:rPr>
          <w:rFonts w:hint="eastAsia" w:ascii="仿宋" w:hAnsi="仿宋" w:eastAsia="仿宋" w:cs="仿宋"/>
          <w:color w:val="auto"/>
          <w:sz w:val="28"/>
          <w:szCs w:val="28"/>
          <w:highlight w:val="none"/>
          <w:u w:val="single"/>
          <w:shd w:val="clear" w:color="auto" w:fill="ffffff"/>
        </w:rPr>
        <w:t xml:space="preserve">  /  </w:t>
      </w:r>
      <w:r>
        <w:rPr>
          <w:rFonts w:hint="eastAsia" w:ascii="仿宋" w:hAnsi="仿宋" w:eastAsia="仿宋" w:cs="仿宋"/>
          <w:color w:val="auto"/>
          <w:sz w:val="28"/>
          <w:szCs w:val="28"/>
          <w:highlight w:val="none"/>
          <w:shd w:val="clear" w:color="auto" w:fill="ffffff"/>
        </w:rPr>
        <w:t xml:space="preserve">的</w:t>
      </w:r>
      <w:r>
        <w:rPr>
          <w:rFonts w:hint="eastAsia" w:ascii="仿宋" w:hAnsi="仿宋" w:eastAsia="仿宋" w:cs="仿宋"/>
          <w:color w:val="auto"/>
          <w:sz w:val="28"/>
          <w:szCs w:val="28"/>
          <w:highlight w:val="none"/>
          <w:u w:val="single"/>
          <w:shd w:val="clear" w:color="auto" w:fill="ffffff"/>
        </w:rPr>
        <w:t xml:space="preserve">  /  </w:t>
      </w:r>
      <w:r>
        <w:rPr>
          <w:rFonts w:hint="eastAsia" w:ascii="仿宋" w:hAnsi="仿宋" w:eastAsia="仿宋" w:cs="仿宋"/>
          <w:color w:val="auto"/>
          <w:sz w:val="28"/>
          <w:szCs w:val="28"/>
          <w:highlight w:val="none"/>
          <w:shd w:val="clear" w:color="auto" w:fill="ffffff"/>
          <w:vertAlign w:val="superscript"/>
        </w:rPr>
        <w:t xml:space="preserve">5</w:t>
      </w:r>
      <w:r>
        <w:rPr>
          <w:rFonts w:hint="eastAsia" w:ascii="仿宋" w:hAnsi="仿宋" w:eastAsia="仿宋" w:cs="仿宋"/>
          <w:color w:val="auto"/>
          <w:sz w:val="28"/>
          <w:szCs w:val="28"/>
          <w:highlight w:val="none"/>
          <w:shd w:val="clear" w:color="auto" w:fill="ffffff"/>
        </w:rPr>
        <w:t xml:space="preserve">在中国境内完成。</w:t>
      </w:r>
      <w:r/>
    </w:p>
    <w:p>
      <w:pPr>
        <w:ind w:firstLine="420"/>
        <w:spacing w:line="440" w:lineRule="exact"/>
        <w:shd w:val="clear" w:color="auto" w:fill="ffffff"/>
        <w:widowControl/>
        <w:rPr>
          <w:rFonts w:ascii="仿宋" w:hAnsi="仿宋" w:eastAsia="仿宋" w:cs="仿宋"/>
          <w:color w:val="auto"/>
          <w:sz w:val="28"/>
          <w:szCs w:val="28"/>
          <w:highlight w:val="none"/>
        </w:rPr>
      </w:pPr>
      <w:r>
        <w:rPr>
          <w:rFonts w:hint="eastAsia" w:eastAsia="仿宋"/>
          <w:color w:val="auto"/>
          <w:sz w:val="28"/>
          <w:szCs w:val="28"/>
          <w:highlight w:val="none"/>
          <w:shd w:val="clear" w:color="auto" w:fill="ffffff"/>
        </w:rPr>
        <w:t xml:space="preserve">2.</w:t>
      </w:r>
      <w:r>
        <w:rPr>
          <w:rFonts w:hint="eastAsia" w:ascii="仿宋" w:hAnsi="仿宋" w:eastAsia="仿宋" w:cs="仿宋"/>
          <w:color w:val="auto"/>
          <w:sz w:val="28"/>
          <w:szCs w:val="28"/>
          <w:highlight w:val="none"/>
          <w:u w:val="single"/>
          <w:shd w:val="clear" w:color="auto" w:fill="ffffff"/>
        </w:rPr>
        <w:t xml:space="preserve">（产品名称2）</w:t>
      </w:r>
      <w:r>
        <w:rPr>
          <w:rFonts w:hint="eastAsia" w:ascii="仿宋" w:hAnsi="仿宋" w:eastAsia="仿宋" w:cs="仿宋"/>
          <w:color w:val="auto"/>
          <w:sz w:val="28"/>
          <w:szCs w:val="28"/>
          <w:highlight w:val="none"/>
          <w:shd w:val="clear" w:color="auto" w:fill="ffffff"/>
        </w:rPr>
        <w:t xml:space="preserve">，生产厂为</w:t>
      </w:r>
      <w:r>
        <w:rPr>
          <w:rFonts w:hint="eastAsia" w:ascii="仿宋" w:hAnsi="仿宋" w:eastAsia="仿宋" w:cs="仿宋"/>
          <w:color w:val="auto"/>
          <w:sz w:val="28"/>
          <w:szCs w:val="28"/>
          <w:highlight w:val="none"/>
          <w:u w:val="single"/>
          <w:shd w:val="clear" w:color="auto" w:fill="ffffff"/>
        </w:rPr>
        <w:t xml:space="preserve">（厂名）</w:t>
      </w:r>
      <w:r>
        <w:rPr>
          <w:rFonts w:hint="eastAsia" w:ascii="仿宋" w:hAnsi="仿宋" w:eastAsia="仿宋" w:cs="仿宋"/>
          <w:color w:val="auto"/>
          <w:sz w:val="28"/>
          <w:szCs w:val="28"/>
          <w:highlight w:val="none"/>
          <w:shd w:val="clear" w:color="auto" w:fill="ffffff"/>
        </w:rPr>
        <w:t xml:space="preserve">，厂址为</w:t>
      </w:r>
      <w:r>
        <w:rPr>
          <w:rFonts w:hint="eastAsia" w:ascii="仿宋" w:hAnsi="仿宋" w:eastAsia="仿宋" w:cs="仿宋"/>
          <w:color w:val="auto"/>
          <w:sz w:val="28"/>
          <w:szCs w:val="28"/>
          <w:highlight w:val="none"/>
          <w:u w:val="single"/>
          <w:shd w:val="clear" w:color="auto" w:fill="ffffff"/>
        </w:rPr>
        <w:t xml:space="preserve">（生产厂址）</w:t>
      </w:r>
      <w:r>
        <w:rPr>
          <w:rFonts w:hint="eastAsia" w:ascii="仿宋" w:hAnsi="仿宋" w:eastAsia="仿宋" w:cs="仿宋"/>
          <w:color w:val="auto"/>
          <w:sz w:val="28"/>
          <w:szCs w:val="28"/>
          <w:highlight w:val="none"/>
          <w:shd w:val="clear" w:color="auto" w:fill="ffffff"/>
        </w:rPr>
        <w:t xml:space="preserve">。</w:t>
      </w:r>
      <w:r>
        <w:rPr>
          <w:rFonts w:hint="eastAsia" w:ascii="仿宋" w:hAnsi="仿宋" w:eastAsia="仿宋" w:cs="仿宋"/>
          <w:color w:val="auto"/>
          <w:sz w:val="28"/>
          <w:szCs w:val="28"/>
          <w:highlight w:val="none"/>
          <w:u w:val="single"/>
          <w:shd w:val="clear" w:color="auto" w:fill="ffffff"/>
        </w:rPr>
        <w:t xml:space="preserve">  /  </w:t>
      </w:r>
      <w:r>
        <w:rPr>
          <w:rFonts w:hint="eastAsia" w:ascii="仿宋" w:hAnsi="仿宋" w:eastAsia="仿宋" w:cs="仿宋"/>
          <w:color w:val="auto"/>
          <w:sz w:val="28"/>
          <w:szCs w:val="28"/>
          <w:highlight w:val="none"/>
          <w:shd w:val="clear" w:color="auto" w:fill="ffffff"/>
        </w:rPr>
        <w:t xml:space="preserve">的中国境内生产的组件成本占比≥</w:t>
      </w:r>
      <w:r>
        <w:rPr>
          <w:rFonts w:hint="eastAsia" w:ascii="仿宋" w:hAnsi="仿宋" w:eastAsia="仿宋" w:cs="仿宋"/>
          <w:color w:val="auto"/>
          <w:sz w:val="28"/>
          <w:szCs w:val="28"/>
          <w:highlight w:val="none"/>
          <w:u w:val="single"/>
          <w:shd w:val="clear" w:color="auto" w:fill="ffffff"/>
        </w:rPr>
        <w:t xml:space="preserve">  /  </w:t>
      </w:r>
      <w:r>
        <w:rPr>
          <w:rFonts w:hint="eastAsia" w:ascii="仿宋" w:hAnsi="仿宋" w:eastAsia="仿宋" w:cs="仿宋"/>
          <w:color w:val="auto"/>
          <w:sz w:val="28"/>
          <w:szCs w:val="28"/>
          <w:highlight w:val="none"/>
          <w:shd w:val="clear" w:color="auto" w:fill="ffffff"/>
        </w:rPr>
        <w:t xml:space="preserve">。</w:t>
      </w:r>
      <w:r>
        <w:rPr>
          <w:rFonts w:hint="eastAsia" w:ascii="仿宋" w:hAnsi="仿宋" w:eastAsia="仿宋" w:cs="仿宋"/>
          <w:color w:val="auto"/>
          <w:sz w:val="28"/>
          <w:szCs w:val="28"/>
          <w:highlight w:val="none"/>
          <w:u w:val="single"/>
          <w:shd w:val="clear" w:color="auto" w:fill="ffffff"/>
        </w:rPr>
        <w:t xml:space="preserve">  /  </w:t>
      </w:r>
      <w:r>
        <w:rPr>
          <w:rFonts w:hint="eastAsia" w:ascii="仿宋" w:hAnsi="仿宋" w:eastAsia="仿宋" w:cs="仿宋"/>
          <w:color w:val="auto"/>
          <w:sz w:val="28"/>
          <w:szCs w:val="28"/>
          <w:highlight w:val="none"/>
          <w:shd w:val="clear" w:color="auto" w:fill="ffffff"/>
        </w:rPr>
        <w:t xml:space="preserve">的</w:t>
      </w:r>
      <w:r>
        <w:rPr>
          <w:rFonts w:hint="eastAsia" w:ascii="仿宋" w:hAnsi="仿宋" w:eastAsia="仿宋" w:cs="仿宋"/>
          <w:color w:val="auto"/>
          <w:sz w:val="28"/>
          <w:szCs w:val="28"/>
          <w:highlight w:val="none"/>
          <w:u w:val="single"/>
          <w:shd w:val="clear" w:color="auto" w:fill="ffffff"/>
        </w:rPr>
        <w:t xml:space="preserve">  /  </w:t>
      </w:r>
      <w:r>
        <w:rPr>
          <w:rFonts w:hint="eastAsia" w:ascii="仿宋" w:hAnsi="仿宋" w:eastAsia="仿宋" w:cs="仿宋"/>
          <w:color w:val="auto"/>
          <w:sz w:val="28"/>
          <w:szCs w:val="28"/>
          <w:highlight w:val="none"/>
          <w:shd w:val="clear" w:color="auto" w:fill="ffffff"/>
        </w:rPr>
        <w:t xml:space="preserve">在中国境内生产。</w:t>
      </w:r>
      <w:r>
        <w:rPr>
          <w:rFonts w:hint="eastAsia" w:ascii="仿宋" w:hAnsi="仿宋" w:eastAsia="仿宋" w:cs="仿宋"/>
          <w:color w:val="auto"/>
          <w:sz w:val="28"/>
          <w:szCs w:val="28"/>
          <w:highlight w:val="none"/>
          <w:u w:val="single"/>
          <w:shd w:val="clear" w:color="auto" w:fill="ffffff"/>
        </w:rPr>
        <w:t xml:space="preserve">  /  </w:t>
      </w:r>
      <w:r>
        <w:rPr>
          <w:rFonts w:hint="eastAsia" w:ascii="仿宋" w:hAnsi="仿宋" w:eastAsia="仿宋" w:cs="仿宋"/>
          <w:color w:val="auto"/>
          <w:sz w:val="28"/>
          <w:szCs w:val="28"/>
          <w:highlight w:val="none"/>
          <w:shd w:val="clear" w:color="auto" w:fill="ffffff"/>
        </w:rPr>
        <w:t xml:space="preserve">的</w:t>
      </w:r>
      <w:r>
        <w:rPr>
          <w:rFonts w:hint="eastAsia" w:ascii="仿宋" w:hAnsi="仿宋" w:eastAsia="仿宋" w:cs="仿宋"/>
          <w:color w:val="auto"/>
          <w:sz w:val="28"/>
          <w:szCs w:val="28"/>
          <w:highlight w:val="none"/>
          <w:u w:val="single"/>
          <w:shd w:val="clear" w:color="auto" w:fill="ffffff"/>
        </w:rPr>
        <w:t xml:space="preserve">  /  </w:t>
      </w:r>
      <w:r>
        <w:rPr>
          <w:rFonts w:hint="eastAsia" w:ascii="仿宋" w:hAnsi="仿宋" w:eastAsia="仿宋" w:cs="仿宋"/>
          <w:color w:val="auto"/>
          <w:sz w:val="28"/>
          <w:szCs w:val="28"/>
          <w:highlight w:val="none"/>
          <w:shd w:val="clear" w:color="auto" w:fill="ffffff"/>
        </w:rPr>
        <w:t xml:space="preserve">在中国境内完成。</w:t>
      </w:r>
      <w:r/>
    </w:p>
    <w:p>
      <w:pPr>
        <w:ind w:firstLine="420"/>
        <w:jc w:val="left"/>
        <w:spacing w:line="440" w:lineRule="exact"/>
        <w:shd w:val="clear" w:color="auto" w:fill="ffffff"/>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w:t>
      </w:r>
      <w:r/>
    </w:p>
    <w:p>
      <w:pPr>
        <w:ind w:firstLine="420"/>
        <w:jc w:val="left"/>
        <w:spacing w:line="440" w:lineRule="exact"/>
        <w:shd w:val="clear" w:color="auto" w:fill="ffffff"/>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本公司（单位）对上述声明内容的真实性负责。如有虚假，愿承担相应法律责任。</w:t>
      </w:r>
      <w:r/>
    </w:p>
    <w:p>
      <w:pPr>
        <w:jc w:val="left"/>
        <w:spacing w:line="440" w:lineRule="exact"/>
        <w:shd w:val="clear" w:color="auto" w:fill="ffffff"/>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p>
      <w:pPr>
        <w:ind w:firstLine="560"/>
        <w:jc w:val="center"/>
        <w:spacing w:line="440" w:lineRule="exact"/>
        <w:shd w:val="clear" w:color="auto" w:fill="ffffff"/>
        <w:widowControl/>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公司（单位）名称（加盖CA电子公章）：         </w:t>
      </w:r>
      <w:r/>
    </w:p>
    <w:p>
      <w:pPr>
        <w:ind w:firstLine="1862"/>
        <w:spacing w:line="440" w:lineRule="exact"/>
        <w:shd w:val="clear" w:color="auto" w:fill="ffffff"/>
        <w:widowControl/>
        <w:rPr>
          <w:rFonts w:eastAsia="方正黑体_GBK"/>
          <w:color w:val="auto"/>
          <w:sz w:val="32"/>
          <w:szCs w:val="32"/>
          <w:highlight w:val="none"/>
        </w:rPr>
      </w:pPr>
      <w:r>
        <w:rPr>
          <w:rFonts w:eastAsia="仿宋"/>
          <w:color w:val="auto"/>
          <w:sz w:val="28"/>
          <w:szCs w:val="28"/>
          <w:highlight w:val="none"/>
        </w:rPr>
        <w:t xml:space="preserve">日期：</w:t>
      </w:r>
      <w:r>
        <w:rPr>
          <w:rFonts w:eastAsia="仿宋"/>
          <w:color w:val="auto"/>
          <w:sz w:val="28"/>
          <w:szCs w:val="28"/>
          <w:highlight w:val="none"/>
          <w:u w:val="single"/>
        </w:rPr>
        <w:t xml:space="preserve">       </w:t>
      </w:r>
      <w:r>
        <w:rPr>
          <w:rFonts w:eastAsia="仿宋"/>
          <w:color w:val="auto"/>
          <w:sz w:val="28"/>
          <w:szCs w:val="28"/>
          <w:highlight w:val="none"/>
        </w:rPr>
        <w:t xml:space="preserve">年</w:t>
      </w:r>
      <w:r>
        <w:rPr>
          <w:rFonts w:eastAsia="仿宋"/>
          <w:color w:val="auto"/>
          <w:sz w:val="28"/>
          <w:szCs w:val="28"/>
          <w:highlight w:val="none"/>
          <w:u w:val="single"/>
        </w:rPr>
        <w:t xml:space="preserve">   </w:t>
      </w:r>
      <w:r>
        <w:rPr>
          <w:rFonts w:eastAsia="仿宋"/>
          <w:color w:val="auto"/>
          <w:sz w:val="28"/>
          <w:szCs w:val="28"/>
          <w:highlight w:val="none"/>
        </w:rPr>
        <w:t xml:space="preserve">月</w:t>
      </w:r>
      <w:r>
        <w:rPr>
          <w:rFonts w:eastAsia="仿宋"/>
          <w:color w:val="auto"/>
          <w:sz w:val="28"/>
          <w:szCs w:val="28"/>
          <w:highlight w:val="none"/>
          <w:u w:val="single"/>
        </w:rPr>
        <w:t xml:space="preserve">    </w:t>
      </w:r>
      <w:r>
        <w:rPr>
          <w:rFonts w:eastAsia="仿宋"/>
          <w:color w:val="auto"/>
          <w:sz w:val="28"/>
          <w:szCs w:val="28"/>
          <w:highlight w:val="none"/>
        </w:rPr>
        <w:t xml:space="preserve">日</w:t>
      </w:r>
      <w:r/>
    </w:p>
    <w:p>
      <w:pPr>
        <w:jc w:val="center"/>
        <w:spacing w:line="440" w:lineRule="exact"/>
        <w:shd w:val="clear" w:color="auto" w:fill="ffffff"/>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         </w:t>
      </w:r>
      <w:r/>
    </w:p>
    <w:p>
      <w:pPr>
        <w:jc w:val="left"/>
        <w:spacing w:line="440" w:lineRule="exact"/>
        <w:shd w:val="clear" w:color="auto" w:fill="ffffff"/>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p>
      <w:pPr>
        <w:jc w:val="left"/>
        <w:spacing w:line="440" w:lineRule="exact"/>
        <w:shd w:val="clear" w:color="auto" w:fill="ffffff"/>
        <w:widowControl/>
        <w:rPr>
          <w:rFonts w:eastAsia="仿宋"/>
          <w:color w:val="auto"/>
          <w:sz w:val="28"/>
          <w:szCs w:val="28"/>
          <w:highlight w:val="none"/>
        </w:rPr>
      </w:pPr>
      <w:r>
        <w:rPr>
          <w:rFonts w:eastAsia="仿宋"/>
          <w:color w:val="auto"/>
          <w:sz w:val="28"/>
          <w:szCs w:val="28"/>
          <w:highlight w:val="none"/>
          <w:shd w:val="clear" w:color="auto" w:fill="ffffff"/>
        </w:rPr>
        <w:t xml:space="preserve">_________________</w:t>
      </w:r>
      <w:r/>
    </w:p>
    <w:p>
      <w:pPr>
        <w:jc w:val="left"/>
        <w:spacing w:line="440" w:lineRule="exact"/>
        <w:shd w:val="clear" w:color="auto" w:fill="ffffff"/>
        <w:widowControl/>
        <w:rPr>
          <w:rFonts w:ascii="仿宋" w:hAnsi="仿宋" w:eastAsia="仿宋" w:cs="仿宋"/>
          <w:color w:val="auto"/>
          <w:sz w:val="28"/>
          <w:szCs w:val="28"/>
          <w:highlight w:val="none"/>
        </w:rPr>
      </w:pPr>
      <w:r>
        <w:rPr>
          <w:rFonts w:hint="eastAsia" w:eastAsia="仿宋"/>
          <w:color w:val="auto"/>
          <w:sz w:val="28"/>
          <w:szCs w:val="28"/>
          <w:highlight w:val="none"/>
          <w:shd w:val="clear" w:color="auto" w:fill="ffffff"/>
        </w:rPr>
        <w:t xml:space="preserve">1.</w:t>
      </w:r>
      <w:r>
        <w:rPr>
          <w:rFonts w:hint="eastAsia" w:ascii="仿宋" w:hAnsi="仿宋" w:eastAsia="仿宋" w:cs="仿宋"/>
          <w:color w:val="auto"/>
          <w:sz w:val="28"/>
          <w:szCs w:val="28"/>
          <w:highlight w:val="none"/>
          <w:shd w:val="clear" w:color="auto" w:fill="ffffff"/>
        </w:rPr>
        <w:t xml:space="preserve">产品如有型号，请在“产品名称”栏一并填写。</w:t>
      </w:r>
      <w:r/>
    </w:p>
    <w:p>
      <w:pPr>
        <w:jc w:val="left"/>
        <w:spacing w:line="440" w:lineRule="exact"/>
        <w:shd w:val="clear" w:color="auto" w:fill="ffffff"/>
        <w:widowControl/>
        <w:rPr>
          <w:rFonts w:ascii="仿宋" w:hAnsi="仿宋" w:eastAsia="仿宋" w:cs="仿宋"/>
          <w:color w:val="auto"/>
          <w:sz w:val="28"/>
          <w:szCs w:val="28"/>
          <w:highlight w:val="none"/>
        </w:rPr>
      </w:pPr>
      <w:r>
        <w:rPr>
          <w:rFonts w:hint="eastAsia" w:eastAsia="仿宋"/>
          <w:color w:val="auto"/>
          <w:sz w:val="28"/>
          <w:szCs w:val="28"/>
          <w:highlight w:val="none"/>
          <w:shd w:val="clear" w:color="auto" w:fill="ffffff"/>
        </w:rPr>
        <w:t xml:space="preserve">2.</w:t>
      </w:r>
      <w:r>
        <w:rPr>
          <w:rFonts w:hint="eastAsia" w:ascii="仿宋" w:hAnsi="仿宋" w:eastAsia="仿宋" w:cs="仿宋"/>
          <w:color w:val="auto"/>
          <w:sz w:val="28"/>
          <w:szCs w:val="28"/>
          <w:highlight w:val="none"/>
          <w:shd w:val="clear" w:color="auto" w:fill="ffffff"/>
        </w:rPr>
        <w:t xml:space="preserve">生产厂名与厂址应与生产厂营业执照载明的相关信息保持一致。</w:t>
      </w:r>
      <w:r/>
    </w:p>
    <w:p>
      <w:pPr>
        <w:jc w:val="left"/>
        <w:spacing w:line="440" w:lineRule="exact"/>
        <w:shd w:val="clear" w:color="auto" w:fill="ffffff"/>
        <w:widowControl/>
        <w:rPr>
          <w:rFonts w:ascii="仿宋" w:hAnsi="仿宋" w:eastAsia="仿宋" w:cs="仿宋"/>
          <w:color w:val="auto"/>
          <w:sz w:val="28"/>
          <w:szCs w:val="28"/>
          <w:highlight w:val="none"/>
        </w:rPr>
      </w:pPr>
      <w:r>
        <w:rPr>
          <w:rFonts w:hint="eastAsia" w:eastAsia="仿宋"/>
          <w:color w:val="auto"/>
          <w:sz w:val="28"/>
          <w:szCs w:val="28"/>
          <w:highlight w:val="none"/>
          <w:shd w:val="clear" w:color="auto" w:fill="ffffff"/>
        </w:rPr>
        <w:t xml:space="preserve">3.</w:t>
      </w:r>
      <w:r>
        <w:rPr>
          <w:rFonts w:hint="eastAsia" w:ascii="仿宋" w:hAnsi="仿宋" w:eastAsia="仿宋" w:cs="仿宋"/>
          <w:color w:val="auto"/>
          <w:sz w:val="28"/>
          <w:szCs w:val="28"/>
          <w:highlight w:val="none"/>
          <w:shd w:val="clear" w:color="auto" w:fill="ffffff"/>
        </w:rPr>
        <w:t xml:space="preserve">该产品的中国境内生产的组件成本占比相关要求实施前，“规定比例”栏可不填，下同。</w:t>
      </w:r>
      <w:r/>
    </w:p>
    <w:p>
      <w:pPr>
        <w:jc w:val="left"/>
        <w:spacing w:line="440" w:lineRule="exact"/>
        <w:shd w:val="clear" w:color="auto" w:fill="ffffff"/>
        <w:widowControl/>
        <w:rPr>
          <w:rFonts w:ascii="仿宋" w:hAnsi="仿宋" w:eastAsia="仿宋" w:cs="仿宋"/>
          <w:color w:val="auto"/>
          <w:sz w:val="28"/>
          <w:szCs w:val="28"/>
          <w:highlight w:val="none"/>
        </w:rPr>
      </w:pPr>
      <w:r>
        <w:rPr>
          <w:rFonts w:hint="eastAsia" w:eastAsia="仿宋"/>
          <w:color w:val="auto"/>
          <w:sz w:val="28"/>
          <w:szCs w:val="28"/>
          <w:highlight w:val="none"/>
          <w:shd w:val="clear" w:color="auto" w:fill="ffffff"/>
        </w:rPr>
        <w:t xml:space="preserve">4.</w:t>
      </w:r>
      <w:r>
        <w:rPr>
          <w:rFonts w:hint="eastAsia" w:ascii="仿宋" w:hAnsi="仿宋" w:eastAsia="仿宋" w:cs="仿宋"/>
          <w:color w:val="auto"/>
          <w:sz w:val="28"/>
          <w:szCs w:val="28"/>
          <w:highlight w:val="none"/>
          <w:shd w:val="clear" w:color="auto" w:fill="ffffff"/>
        </w:rPr>
        <w:t xml:space="preserve">该产品的关键组件要求实施前，“关键组件”栏可不填，下同。</w:t>
      </w:r>
      <w:r/>
    </w:p>
    <w:p>
      <w:pPr>
        <w:jc w:val="left"/>
        <w:spacing w:line="440" w:lineRule="exact"/>
        <w:shd w:val="clear" w:color="auto" w:fill="ffffff"/>
        <w:widowControl/>
        <w:rPr>
          <w:rFonts w:ascii="仿宋" w:hAnsi="仿宋" w:eastAsia="仿宋" w:cs="仿宋"/>
          <w:color w:val="auto"/>
          <w:sz w:val="28"/>
          <w:szCs w:val="28"/>
          <w:highlight w:val="none"/>
        </w:rPr>
      </w:pPr>
      <w:r>
        <w:rPr>
          <w:rFonts w:hint="eastAsia" w:eastAsia="仿宋"/>
          <w:color w:val="auto"/>
          <w:sz w:val="28"/>
          <w:szCs w:val="28"/>
          <w:highlight w:val="none"/>
          <w:shd w:val="clear" w:color="auto" w:fill="ffffff"/>
        </w:rPr>
        <w:t xml:space="preserve">5.</w:t>
      </w:r>
      <w:r>
        <w:rPr>
          <w:rFonts w:hint="eastAsia" w:ascii="仿宋" w:hAnsi="仿宋" w:eastAsia="仿宋" w:cs="仿宋"/>
          <w:color w:val="auto"/>
          <w:sz w:val="28"/>
          <w:szCs w:val="28"/>
          <w:highlight w:val="none"/>
          <w:shd w:val="clear" w:color="auto" w:fill="ffffff"/>
        </w:rPr>
        <w:t xml:space="preserve">该产品的关键工序要求实施前，“关键工序”栏可不填，下同。</w:t>
      </w:r>
      <w:r/>
    </w:p>
    <w:p>
      <w:pPr>
        <w:jc w:val="left"/>
        <w:spacing w:line="440" w:lineRule="exact"/>
        <w:shd w:val="clear" w:color="auto" w:fill="ffffff"/>
        <w:widowControl/>
        <w:rPr>
          <w:rFonts w:ascii="仿宋" w:hAnsi="仿宋" w:eastAsia="仿宋" w:cs="仿宋"/>
          <w:color w:val="auto"/>
          <w:sz w:val="28"/>
          <w:szCs w:val="28"/>
          <w:highlight w:val="none"/>
        </w:rPr>
      </w:pPr>
      <w:r>
        <w:rPr>
          <w:rFonts w:hint="eastAsia" w:eastAsia="仿宋"/>
          <w:color w:val="auto"/>
          <w:sz w:val="28"/>
          <w:szCs w:val="28"/>
          <w:highlight w:val="none"/>
          <w:shd w:val="clear" w:color="auto" w:fill="ffffff"/>
        </w:rPr>
        <w:t xml:space="preserve">6.</w:t>
      </w:r>
      <w:r>
        <w:rPr>
          <w:rFonts w:hint="eastAsia" w:ascii="仿宋" w:hAnsi="仿宋" w:eastAsia="仿宋" w:cs="仿宋"/>
          <w:color w:val="auto"/>
          <w:sz w:val="28"/>
          <w:szCs w:val="28"/>
          <w:highlight w:val="none"/>
          <w:shd w:val="clear" w:color="auto" w:fill="ffffff"/>
        </w:rPr>
        <w:t xml:space="preserve">《声明函》中标注“</w:t>
      </w:r>
      <w:r>
        <w:rPr>
          <w:rFonts w:hint="eastAsia" w:ascii="仿宋" w:hAnsi="仿宋" w:eastAsia="仿宋" w:cs="仿宋"/>
          <w:color w:val="auto"/>
          <w:sz w:val="28"/>
          <w:szCs w:val="28"/>
          <w:highlight w:val="none"/>
          <w:u w:val="single"/>
          <w:shd w:val="clear" w:color="auto" w:fill="ffffff"/>
        </w:rPr>
        <w:t xml:space="preserve">  /  </w:t>
      </w:r>
      <w:r>
        <w:rPr>
          <w:rFonts w:hint="eastAsia" w:ascii="仿宋" w:hAnsi="仿宋" w:eastAsia="仿宋" w:cs="仿宋"/>
          <w:color w:val="auto"/>
          <w:sz w:val="28"/>
          <w:szCs w:val="28"/>
          <w:highlight w:val="none"/>
          <w:shd w:val="clear" w:color="auto" w:fill="ffffff"/>
        </w:rPr>
        <w:t xml:space="preserve">”的地方无需填写。</w:t>
      </w:r>
      <w:r/>
    </w:p>
    <w:p>
      <w:pPr>
        <w:rPr>
          <w:rFonts w:eastAsia="方正黑体_GBK"/>
          <w:bCs/>
          <w:color w:val="auto"/>
          <w:sz w:val="32"/>
          <w:szCs w:val="32"/>
          <w:highlight w:val="none"/>
          <w:lang w:bidi="ar"/>
        </w:rPr>
      </w:pPr>
      <w:r>
        <w:rPr>
          <w:rFonts w:eastAsia="方正黑体_GBK"/>
          <w:bCs/>
          <w:color w:val="auto"/>
          <w:sz w:val="32"/>
          <w:szCs w:val="32"/>
          <w:highlight w:val="none"/>
          <w:lang w:bidi="ar"/>
        </w:rPr>
        <w:t xml:space="preserve">附件13</w:t>
      </w:r>
      <w:r/>
    </w:p>
    <w:p>
      <w:pPr>
        <w:jc w:val="center"/>
        <w:rPr>
          <w:rFonts w:ascii="方正小标宋简体" w:hAnsi="方正小标宋简体" w:eastAsia="方正小标宋简体" w:cs="方正小标宋简体"/>
          <w:bCs/>
          <w:color w:val="auto"/>
          <w:sz w:val="44"/>
          <w:szCs w:val="44"/>
          <w:highlight w:val="none"/>
        </w:rPr>
      </w:pPr>
      <w:r>
        <w:rPr>
          <w:rFonts w:hint="eastAsia" w:ascii="方正小标宋简体" w:hAnsi="方正小标宋简体" w:eastAsia="方正小标宋简体" w:cs="方正小标宋简体"/>
          <w:bCs/>
          <w:color w:val="auto"/>
          <w:sz w:val="44"/>
          <w:szCs w:val="44"/>
          <w:highlight w:val="none"/>
        </w:rPr>
        <w:t xml:space="preserve">质疑函范本</w:t>
      </w:r>
      <w:r/>
    </w:p>
    <w:p>
      <w:pPr>
        <w:spacing w:line="560" w:lineRule="exact"/>
        <w:rPr>
          <w:rFonts w:eastAsia="黑体"/>
          <w:bCs/>
          <w:color w:val="auto"/>
          <w:sz w:val="32"/>
          <w:szCs w:val="32"/>
          <w:highlight w:val="none"/>
        </w:rPr>
      </w:pPr>
      <w:r>
        <w:rPr>
          <w:rFonts w:eastAsia="黑体"/>
          <w:bCs/>
          <w:color w:val="auto"/>
          <w:sz w:val="32"/>
          <w:szCs w:val="32"/>
          <w:highlight w:val="none"/>
        </w:rPr>
        <w:t xml:space="preserve">一、质疑供应商基本信息</w:t>
      </w:r>
      <w:r/>
    </w:p>
    <w:p>
      <w:pPr>
        <w:spacing w:line="560" w:lineRule="exact"/>
        <w:rPr>
          <w:rFonts w:eastAsia="仿宋"/>
          <w:color w:val="auto"/>
          <w:sz w:val="32"/>
          <w:szCs w:val="32"/>
          <w:highlight w:val="none"/>
          <w:u w:val="single"/>
        </w:rPr>
      </w:pPr>
      <w:r>
        <w:rPr>
          <w:rFonts w:eastAsia="仿宋"/>
          <w:color w:val="auto"/>
          <w:sz w:val="32"/>
          <w:szCs w:val="32"/>
          <w:highlight w:val="none"/>
        </w:rPr>
        <w:t xml:space="preserve">质疑供应商：</w:t>
      </w:r>
      <w:r/>
    </w:p>
    <w:p>
      <w:pPr>
        <w:spacing w:line="560" w:lineRule="exact"/>
        <w:rPr>
          <w:rFonts w:eastAsia="仿宋"/>
          <w:color w:val="auto"/>
          <w:sz w:val="32"/>
          <w:szCs w:val="32"/>
          <w:highlight w:val="none"/>
        </w:rPr>
      </w:pPr>
      <w:r>
        <w:rPr>
          <w:rFonts w:eastAsia="仿宋"/>
          <w:color w:val="auto"/>
          <w:sz w:val="32"/>
          <w:szCs w:val="32"/>
          <w:highlight w:val="none"/>
        </w:rPr>
        <w:t xml:space="preserve">地址：邮编：</w:t>
      </w:r>
      <w:r/>
    </w:p>
    <w:p>
      <w:pPr>
        <w:spacing w:line="560" w:lineRule="exact"/>
        <w:rPr>
          <w:rFonts w:eastAsia="仿宋"/>
          <w:color w:val="auto"/>
          <w:sz w:val="32"/>
          <w:szCs w:val="32"/>
          <w:highlight w:val="none"/>
        </w:rPr>
      </w:pPr>
      <w:r>
        <w:rPr>
          <w:rFonts w:eastAsia="仿宋"/>
          <w:color w:val="auto"/>
          <w:sz w:val="32"/>
          <w:szCs w:val="32"/>
          <w:highlight w:val="none"/>
        </w:rPr>
        <w:t xml:space="preserve">联系人：联系电话：</w:t>
      </w:r>
      <w:r/>
    </w:p>
    <w:p>
      <w:pPr>
        <w:spacing w:line="560" w:lineRule="exact"/>
        <w:rPr>
          <w:rFonts w:eastAsia="仿宋"/>
          <w:color w:val="auto"/>
          <w:sz w:val="32"/>
          <w:szCs w:val="32"/>
          <w:highlight w:val="none"/>
          <w:u w:val="single"/>
        </w:rPr>
      </w:pPr>
      <w:r>
        <w:rPr>
          <w:rFonts w:eastAsia="仿宋"/>
          <w:color w:val="auto"/>
          <w:sz w:val="32"/>
          <w:szCs w:val="32"/>
          <w:highlight w:val="none"/>
        </w:rPr>
        <w:t xml:space="preserve">授权代表：</w:t>
      </w:r>
      <w:r/>
    </w:p>
    <w:p>
      <w:pPr>
        <w:spacing w:line="560" w:lineRule="exact"/>
        <w:rPr>
          <w:rFonts w:eastAsia="仿宋"/>
          <w:color w:val="auto"/>
          <w:sz w:val="32"/>
          <w:szCs w:val="32"/>
          <w:highlight w:val="none"/>
        </w:rPr>
      </w:pPr>
      <w:r>
        <w:rPr>
          <w:rFonts w:eastAsia="仿宋"/>
          <w:color w:val="auto"/>
          <w:sz w:val="32"/>
          <w:szCs w:val="32"/>
          <w:highlight w:val="none"/>
        </w:rPr>
        <w:t xml:space="preserve">联系电话：</w:t>
      </w:r>
      <w:r/>
    </w:p>
    <w:p>
      <w:pPr>
        <w:spacing w:line="560" w:lineRule="exact"/>
        <w:rPr>
          <w:rFonts w:eastAsia="仿宋"/>
          <w:color w:val="auto"/>
          <w:sz w:val="32"/>
          <w:szCs w:val="32"/>
          <w:highlight w:val="none"/>
        </w:rPr>
      </w:pPr>
      <w:r>
        <w:rPr>
          <w:rFonts w:eastAsia="仿宋"/>
          <w:color w:val="auto"/>
          <w:sz w:val="32"/>
          <w:szCs w:val="32"/>
          <w:highlight w:val="none"/>
        </w:rPr>
        <w:t xml:space="preserve">地址：邮编：</w:t>
      </w:r>
      <w:r/>
    </w:p>
    <w:p>
      <w:pPr>
        <w:spacing w:line="560" w:lineRule="exact"/>
        <w:rPr>
          <w:rFonts w:eastAsia="黑体"/>
          <w:bCs/>
          <w:color w:val="auto"/>
          <w:sz w:val="32"/>
          <w:szCs w:val="32"/>
          <w:highlight w:val="none"/>
        </w:rPr>
      </w:pPr>
      <w:r>
        <w:rPr>
          <w:rFonts w:eastAsia="黑体"/>
          <w:bCs/>
          <w:color w:val="auto"/>
          <w:sz w:val="32"/>
          <w:szCs w:val="32"/>
          <w:highlight w:val="none"/>
        </w:rPr>
        <w:t xml:space="preserve">二、质疑项目基本情况</w:t>
      </w:r>
      <w:r/>
    </w:p>
    <w:p>
      <w:pPr>
        <w:spacing w:line="560" w:lineRule="exact"/>
        <w:rPr>
          <w:rFonts w:eastAsia="仿宋"/>
          <w:color w:val="auto"/>
          <w:sz w:val="32"/>
          <w:szCs w:val="32"/>
          <w:highlight w:val="none"/>
        </w:rPr>
      </w:pPr>
      <w:r>
        <w:rPr>
          <w:rFonts w:eastAsia="仿宋"/>
          <w:color w:val="auto"/>
          <w:sz w:val="32"/>
          <w:szCs w:val="32"/>
          <w:highlight w:val="none"/>
        </w:rPr>
        <w:t xml:space="preserve">质疑项目的名称：</w:t>
      </w:r>
      <w:r/>
    </w:p>
    <w:p>
      <w:pPr>
        <w:spacing w:line="560" w:lineRule="exact"/>
        <w:rPr>
          <w:rFonts w:eastAsia="仿宋"/>
          <w:color w:val="auto"/>
          <w:sz w:val="32"/>
          <w:szCs w:val="32"/>
          <w:highlight w:val="none"/>
        </w:rPr>
      </w:pPr>
      <w:r>
        <w:rPr>
          <w:rFonts w:eastAsia="仿宋"/>
          <w:color w:val="auto"/>
          <w:sz w:val="32"/>
          <w:szCs w:val="32"/>
          <w:highlight w:val="none"/>
        </w:rPr>
        <w:t xml:space="preserve">质疑项目的编号：包号：</w:t>
      </w:r>
      <w:r/>
    </w:p>
    <w:p>
      <w:pPr>
        <w:spacing w:line="560" w:lineRule="exact"/>
        <w:rPr>
          <w:rFonts w:eastAsia="仿宋"/>
          <w:color w:val="auto"/>
          <w:sz w:val="32"/>
          <w:szCs w:val="32"/>
          <w:highlight w:val="none"/>
        </w:rPr>
      </w:pPr>
      <w:r>
        <w:rPr>
          <w:rFonts w:eastAsia="仿宋"/>
          <w:color w:val="auto"/>
          <w:sz w:val="32"/>
          <w:szCs w:val="32"/>
          <w:highlight w:val="none"/>
        </w:rPr>
        <w:t xml:space="preserve">采购人名称：</w:t>
      </w:r>
      <w:r/>
    </w:p>
    <w:p>
      <w:pPr>
        <w:spacing w:line="560" w:lineRule="exact"/>
        <w:rPr>
          <w:rFonts w:eastAsia="仿宋"/>
          <w:color w:val="auto"/>
          <w:sz w:val="32"/>
          <w:szCs w:val="32"/>
          <w:highlight w:val="none"/>
        </w:rPr>
      </w:pPr>
      <w:r>
        <w:rPr>
          <w:rFonts w:eastAsia="仿宋"/>
          <w:color w:val="auto"/>
          <w:sz w:val="32"/>
          <w:szCs w:val="32"/>
          <w:highlight w:val="none"/>
        </w:rPr>
        <w:t xml:space="preserve">采购文件获取日期：</w:t>
      </w:r>
      <w:r/>
    </w:p>
    <w:p>
      <w:pPr>
        <w:spacing w:line="560" w:lineRule="exact"/>
        <w:rPr>
          <w:rFonts w:eastAsia="黑体"/>
          <w:bCs/>
          <w:color w:val="auto"/>
          <w:sz w:val="32"/>
          <w:szCs w:val="32"/>
          <w:highlight w:val="none"/>
        </w:rPr>
      </w:pPr>
      <w:r>
        <w:rPr>
          <w:rFonts w:eastAsia="黑体"/>
          <w:bCs/>
          <w:color w:val="auto"/>
          <w:sz w:val="32"/>
          <w:szCs w:val="32"/>
          <w:highlight w:val="none"/>
        </w:rPr>
        <w:t xml:space="preserve">三、质疑事项具体内容</w:t>
      </w:r>
      <w:r/>
    </w:p>
    <w:p>
      <w:pPr>
        <w:spacing w:line="560" w:lineRule="exact"/>
        <w:rPr>
          <w:rFonts w:eastAsia="仿宋"/>
          <w:color w:val="auto"/>
          <w:sz w:val="32"/>
          <w:szCs w:val="32"/>
          <w:highlight w:val="none"/>
        </w:rPr>
      </w:pPr>
      <w:r>
        <w:rPr>
          <w:rFonts w:eastAsia="仿宋"/>
          <w:color w:val="auto"/>
          <w:sz w:val="32"/>
          <w:szCs w:val="32"/>
          <w:highlight w:val="none"/>
        </w:rPr>
        <w:t xml:space="preserve">质疑事项1：</w:t>
      </w:r>
      <w:r/>
    </w:p>
    <w:p>
      <w:pPr>
        <w:spacing w:line="560" w:lineRule="exact"/>
        <w:rPr>
          <w:rFonts w:eastAsia="仿宋"/>
          <w:color w:val="auto"/>
          <w:sz w:val="32"/>
          <w:szCs w:val="32"/>
          <w:highlight w:val="none"/>
        </w:rPr>
      </w:pPr>
      <w:r>
        <w:rPr>
          <w:rFonts w:eastAsia="仿宋"/>
          <w:color w:val="auto"/>
          <w:sz w:val="32"/>
          <w:szCs w:val="32"/>
          <w:highlight w:val="none"/>
        </w:rPr>
        <w:t xml:space="preserve">事实依据：</w:t>
      </w:r>
      <w:r/>
    </w:p>
    <w:p>
      <w:pPr>
        <w:spacing w:line="560" w:lineRule="exact"/>
        <w:rPr>
          <w:rFonts w:eastAsia="仿宋"/>
          <w:color w:val="auto"/>
          <w:sz w:val="32"/>
          <w:szCs w:val="32"/>
          <w:highlight w:val="none"/>
        </w:rPr>
      </w:pPr>
      <w:r>
        <w:rPr>
          <w:rFonts w:eastAsia="仿宋"/>
          <w:color w:val="auto"/>
          <w:sz w:val="32"/>
          <w:szCs w:val="32"/>
          <w:highlight w:val="none"/>
        </w:rPr>
      </w:r>
      <w:r/>
    </w:p>
    <w:p>
      <w:pPr>
        <w:spacing w:line="560" w:lineRule="exact"/>
        <w:rPr>
          <w:rFonts w:eastAsia="仿宋"/>
          <w:color w:val="auto"/>
          <w:sz w:val="32"/>
          <w:szCs w:val="32"/>
          <w:highlight w:val="none"/>
        </w:rPr>
      </w:pPr>
      <w:r>
        <w:rPr>
          <w:rFonts w:eastAsia="仿宋"/>
          <w:color w:val="auto"/>
          <w:sz w:val="32"/>
          <w:szCs w:val="32"/>
          <w:highlight w:val="none"/>
        </w:rPr>
        <w:t xml:space="preserve">法律依据：</w:t>
      </w:r>
      <w:r/>
    </w:p>
    <w:p>
      <w:pPr>
        <w:spacing w:line="560" w:lineRule="exact"/>
        <w:rPr>
          <w:rFonts w:eastAsia="仿宋"/>
          <w:color w:val="auto"/>
          <w:sz w:val="32"/>
          <w:szCs w:val="32"/>
          <w:highlight w:val="none"/>
        </w:rPr>
      </w:pPr>
      <w:r>
        <w:rPr>
          <w:rFonts w:eastAsia="仿宋"/>
          <w:color w:val="auto"/>
          <w:sz w:val="32"/>
          <w:szCs w:val="32"/>
          <w:highlight w:val="none"/>
        </w:rPr>
      </w:r>
      <w:r/>
    </w:p>
    <w:p>
      <w:pPr>
        <w:spacing w:line="560" w:lineRule="exact"/>
        <w:rPr>
          <w:rFonts w:eastAsia="仿宋"/>
          <w:color w:val="auto"/>
          <w:sz w:val="32"/>
          <w:szCs w:val="32"/>
          <w:highlight w:val="none"/>
        </w:rPr>
      </w:pPr>
      <w:r>
        <w:rPr>
          <w:rFonts w:eastAsia="仿宋"/>
          <w:color w:val="auto"/>
          <w:sz w:val="32"/>
          <w:szCs w:val="32"/>
          <w:highlight w:val="none"/>
        </w:rPr>
        <w:t xml:space="preserve">质疑事项2</w:t>
      </w:r>
      <w:r/>
    </w:p>
    <w:p>
      <w:pPr>
        <w:spacing w:line="560" w:lineRule="exact"/>
        <w:rPr>
          <w:rFonts w:eastAsia="仿宋"/>
          <w:color w:val="auto"/>
          <w:sz w:val="32"/>
          <w:szCs w:val="32"/>
          <w:highlight w:val="none"/>
        </w:rPr>
      </w:pPr>
      <w:r>
        <w:rPr>
          <w:rFonts w:eastAsia="仿宋"/>
          <w:color w:val="auto"/>
          <w:sz w:val="32"/>
          <w:szCs w:val="32"/>
          <w:highlight w:val="none"/>
        </w:rPr>
        <w:t xml:space="preserve">……</w:t>
      </w:r>
      <w:r/>
    </w:p>
    <w:p>
      <w:pPr>
        <w:spacing w:line="560" w:lineRule="exact"/>
        <w:rPr>
          <w:rFonts w:eastAsia="黑体"/>
          <w:bCs/>
          <w:color w:val="auto"/>
          <w:sz w:val="32"/>
          <w:szCs w:val="32"/>
          <w:highlight w:val="none"/>
        </w:rPr>
      </w:pPr>
      <w:r>
        <w:rPr>
          <w:rFonts w:eastAsia="黑体"/>
          <w:bCs/>
          <w:color w:val="auto"/>
          <w:sz w:val="32"/>
          <w:szCs w:val="32"/>
          <w:highlight w:val="none"/>
        </w:rPr>
        <w:t xml:space="preserve">四、与质疑事项相关的质疑请求</w:t>
      </w:r>
      <w:r/>
    </w:p>
    <w:p>
      <w:pPr>
        <w:spacing w:line="560" w:lineRule="exact"/>
        <w:rPr>
          <w:rFonts w:eastAsia="仿宋"/>
          <w:color w:val="auto"/>
          <w:sz w:val="32"/>
          <w:szCs w:val="32"/>
          <w:highlight w:val="none"/>
        </w:rPr>
      </w:pPr>
      <w:r>
        <w:rPr>
          <w:rFonts w:eastAsia="仿宋"/>
          <w:color w:val="auto"/>
          <w:sz w:val="32"/>
          <w:szCs w:val="32"/>
          <w:highlight w:val="none"/>
        </w:rPr>
        <w:t xml:space="preserve">请求：</w:t>
      </w:r>
      <w:r/>
    </w:p>
    <w:p>
      <w:pPr>
        <w:spacing w:line="560" w:lineRule="exact"/>
        <w:rPr>
          <w:rFonts w:eastAsia="仿宋"/>
          <w:color w:val="auto"/>
          <w:sz w:val="32"/>
          <w:szCs w:val="32"/>
          <w:highlight w:val="none"/>
        </w:rPr>
      </w:pPr>
      <w:r>
        <w:rPr>
          <w:rFonts w:eastAsia="仿宋"/>
          <w:color w:val="auto"/>
          <w:sz w:val="32"/>
          <w:szCs w:val="32"/>
          <w:highlight w:val="none"/>
        </w:rPr>
        <w:t xml:space="preserve">签字（签章）：                   公章：                      </w:t>
      </w:r>
      <w:r/>
    </w:p>
    <w:p>
      <w:pPr>
        <w:spacing w:line="560" w:lineRule="exact"/>
        <w:rPr>
          <w:rFonts w:eastAsia="仿宋"/>
          <w:color w:val="auto"/>
          <w:sz w:val="32"/>
          <w:szCs w:val="32"/>
          <w:highlight w:val="none"/>
        </w:rPr>
      </w:pPr>
      <w:r>
        <w:rPr>
          <w:rFonts w:eastAsia="仿宋"/>
          <w:color w:val="auto"/>
          <w:sz w:val="32"/>
          <w:szCs w:val="32"/>
          <w:highlight w:val="none"/>
        </w:rPr>
        <w:t xml:space="preserve">日期：</w:t>
      </w:r>
      <w:r/>
    </w:p>
    <w:p>
      <w:pPr>
        <w:spacing w:line="560" w:lineRule="exact"/>
        <w:rPr>
          <w:rFonts w:eastAsia="黑体"/>
          <w:b/>
          <w:color w:val="auto"/>
          <w:sz w:val="32"/>
          <w:szCs w:val="32"/>
          <w:highlight w:val="none"/>
        </w:rPr>
      </w:pPr>
      <w:r>
        <w:rPr>
          <w:rFonts w:eastAsia="黑体"/>
          <w:b/>
          <w:color w:val="auto"/>
          <w:sz w:val="32"/>
          <w:szCs w:val="32"/>
          <w:highlight w:val="none"/>
        </w:rPr>
      </w:r>
      <w:r/>
    </w:p>
    <w:p>
      <w:pPr>
        <w:spacing w:line="560" w:lineRule="exact"/>
        <w:rPr>
          <w:rFonts w:eastAsia="黑体"/>
          <w:bCs/>
          <w:color w:val="auto"/>
          <w:sz w:val="32"/>
          <w:szCs w:val="32"/>
          <w:highlight w:val="none"/>
        </w:rPr>
      </w:pPr>
      <w:r>
        <w:rPr>
          <w:rFonts w:eastAsia="黑体"/>
          <w:bCs/>
          <w:color w:val="auto"/>
          <w:sz w:val="32"/>
          <w:szCs w:val="32"/>
          <w:highlight w:val="none"/>
        </w:rPr>
        <w:t xml:space="preserve">质疑函制作说明：</w:t>
      </w:r>
      <w:r/>
    </w:p>
    <w:p>
      <w:pPr>
        <w:ind w:firstLine="640"/>
        <w:spacing w:line="560" w:lineRule="exact"/>
        <w:rPr>
          <w:rFonts w:eastAsia="仿宋"/>
          <w:color w:val="auto"/>
          <w:sz w:val="32"/>
          <w:szCs w:val="32"/>
          <w:highlight w:val="none"/>
        </w:rPr>
      </w:pPr>
      <w:r>
        <w:rPr>
          <w:rFonts w:eastAsia="仿宋"/>
          <w:color w:val="auto"/>
          <w:sz w:val="32"/>
          <w:szCs w:val="32"/>
          <w:highlight w:val="none"/>
        </w:rPr>
        <w:t xml:space="preserve">1.供应商提出质疑时，应提交质疑函和必要的证明材料。</w:t>
      </w:r>
      <w:r/>
    </w:p>
    <w:p>
      <w:pPr>
        <w:ind w:firstLine="640"/>
        <w:spacing w:line="560" w:lineRule="exact"/>
        <w:rPr>
          <w:rFonts w:eastAsia="仿宋"/>
          <w:color w:val="auto"/>
          <w:sz w:val="32"/>
          <w:szCs w:val="32"/>
          <w:highlight w:val="none"/>
        </w:rPr>
      </w:pPr>
      <w:r>
        <w:rPr>
          <w:rFonts w:eastAsia="仿宋"/>
          <w:color w:val="auto"/>
          <w:sz w:val="32"/>
          <w:szCs w:val="32"/>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spacing w:line="560" w:lineRule="exact"/>
        <w:rPr>
          <w:rFonts w:eastAsia="仿宋"/>
          <w:color w:val="auto"/>
          <w:sz w:val="32"/>
          <w:szCs w:val="32"/>
          <w:highlight w:val="none"/>
        </w:rPr>
      </w:pPr>
      <w:r>
        <w:rPr>
          <w:rFonts w:eastAsia="仿宋"/>
          <w:color w:val="auto"/>
          <w:sz w:val="32"/>
          <w:szCs w:val="32"/>
          <w:highlight w:val="none"/>
        </w:rPr>
        <w:t xml:space="preserve">3.质疑供应商若对项目的某一分包进行质疑，质疑函中应列明具体分包号。</w:t>
      </w:r>
      <w:r/>
    </w:p>
    <w:p>
      <w:pPr>
        <w:ind w:firstLine="640"/>
        <w:spacing w:line="560" w:lineRule="exact"/>
        <w:rPr>
          <w:rFonts w:eastAsia="仿宋"/>
          <w:color w:val="auto"/>
          <w:sz w:val="32"/>
          <w:szCs w:val="32"/>
          <w:highlight w:val="none"/>
        </w:rPr>
      </w:pPr>
      <w:r>
        <w:rPr>
          <w:rFonts w:eastAsia="仿宋"/>
          <w:color w:val="auto"/>
          <w:sz w:val="32"/>
          <w:szCs w:val="32"/>
          <w:highlight w:val="none"/>
        </w:rPr>
        <w:t xml:space="preserve">4.质疑函的质疑事项应具体、明确，并有必要的事实依据和法律依据。</w:t>
      </w:r>
      <w:r/>
    </w:p>
    <w:p>
      <w:pPr>
        <w:ind w:firstLine="640"/>
        <w:spacing w:line="560" w:lineRule="exact"/>
        <w:rPr>
          <w:rFonts w:eastAsia="仿宋"/>
          <w:color w:val="auto"/>
          <w:sz w:val="32"/>
          <w:szCs w:val="32"/>
          <w:highlight w:val="none"/>
        </w:rPr>
      </w:pPr>
      <w:r>
        <w:rPr>
          <w:rFonts w:eastAsia="仿宋"/>
          <w:color w:val="auto"/>
          <w:sz w:val="32"/>
          <w:szCs w:val="32"/>
          <w:highlight w:val="none"/>
        </w:rPr>
        <w:t xml:space="preserve">5.质疑函的质疑请求应与质疑事项相关。</w:t>
      </w:r>
      <w:r/>
    </w:p>
    <w:p>
      <w:pPr>
        <w:ind w:firstLine="640"/>
        <w:spacing w:line="560" w:lineRule="exact"/>
        <w:rPr>
          <w:rFonts w:eastAsia="仿宋"/>
          <w:color w:val="auto"/>
          <w:sz w:val="32"/>
          <w:szCs w:val="32"/>
          <w:highlight w:val="none"/>
        </w:rPr>
      </w:pPr>
      <w:r>
        <w:rPr>
          <w:rFonts w:eastAsia="仿宋"/>
          <w:color w:val="auto"/>
          <w:sz w:val="32"/>
          <w:szCs w:val="32"/>
          <w:highlight w:val="none"/>
        </w:rPr>
        <w:t xml:space="preserve">6.质疑供应商为自然人的，质疑函应由本人签字；质疑供应商为法人或者其他组织的，质疑函应由法定代表人、主要负责人，或者其授权代表签字或者盖章，并加盖公章。</w:t>
      </w:r>
      <w:r/>
    </w:p>
    <w:p>
      <w:pPr>
        <w:rPr>
          <w:color w:val="auto"/>
          <w:highlight w:val="none"/>
        </w:rPr>
      </w:pPr>
      <w:r>
        <w:rPr>
          <w:color w:val="auto"/>
          <w:highlight w:val="none"/>
        </w:rPr>
      </w:r>
      <w:r/>
    </w:p>
    <w:sectPr>
      <w:headerReference w:type="default" r:id="rId9"/>
      <w:footerReference w:type="default" r:id="rId10"/>
      <w:footnotePr/>
      <w:endnotePr/>
      <w:type w:val="nextPage"/>
      <w:pgSz w:w="11906" w:h="16838" w:orient="portrait"/>
      <w:pgMar w:top="2098" w:right="1474" w:bottom="1984" w:left="158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仿宋">
    <w:panose1 w:val="02010609060101010101"/>
  </w:font>
  <w:font w:name="方正小标宋简体">
    <w:panose1 w:val="020B0503020202020204"/>
  </w:font>
  <w:font w:name="Cambria Math">
    <w:panose1 w:val="02040503050406030204"/>
  </w:font>
  <w:font w:name="方正楷体_GBK">
    <w:panose1 w:val="020B0503020202020204"/>
  </w:font>
  <w:font w:name="Calibri">
    <w:panose1 w:val="020F0502020204030204"/>
  </w:font>
  <w:font w:name="楷体_GB2312">
    <w:panose1 w:val="02010609060101010101"/>
  </w:font>
  <w:font w:name="方正仿宋_GBK">
    <w:panose1 w:val="020B0503020202020204"/>
  </w:font>
  <w:font w:name="方正黑体_GBK">
    <w:panose1 w:val="020B0503020202020204"/>
  </w:font>
  <w:font w:name="Wingdings">
    <w:panose1 w:val="05000000000000000000"/>
  </w:font>
  <w:font w:name="Courier New">
    <w:panose1 w:val="02070309020205020404"/>
  </w:font>
  <w:font w:name="仿宋_GB2312">
    <w:panose1 w:val="02010609060101010101"/>
  </w:font>
  <w:font w:name="楷体">
    <w:panose1 w:val="02010609060101010101"/>
  </w:font>
  <w:font w:name="新宋体">
    <w:panose1 w:val="02010609030101010101"/>
  </w:font>
  <w:font w:name="Symbol">
    <w:panose1 w:val="05050102010706020507"/>
  </w:font>
  <w:font w:name="宋体">
    <w:panose1 w:val="02010600030101010101"/>
  </w:font>
  <w:font w:name="方正小标宋_GBK">
    <w:panose1 w:val="020B0503020202020204"/>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8"/>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8"/>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0"/>
  </w:num>
  <w:num w:numId="3">
    <w:abstractNumId w:val="18"/>
  </w:num>
  <w:num w:numId="4">
    <w:abstractNumId w:val="15"/>
  </w:num>
  <w:num w:numId="5">
    <w:abstractNumId w:val="9"/>
  </w:num>
  <w:num w:numId="6">
    <w:abstractNumId w:val="5"/>
  </w:num>
  <w:num w:numId="7">
    <w:abstractNumId w:val="6"/>
  </w:num>
  <w:num w:numId="8">
    <w:abstractNumId w:val="4"/>
  </w:num>
  <w:num w:numId="9">
    <w:abstractNumId w:val="7"/>
  </w:num>
  <w:num w:numId="10">
    <w:abstractNumId w:val="13"/>
  </w:num>
  <w:num w:numId="11">
    <w:abstractNumId w:val="3"/>
  </w:num>
  <w:num w:numId="12">
    <w:abstractNumId w:val="1"/>
  </w:num>
  <w:num w:numId="13">
    <w:abstractNumId w:val="17"/>
  </w:num>
  <w:num w:numId="14">
    <w:abstractNumId w:val="8"/>
  </w:num>
  <w:num w:numId="15">
    <w:abstractNumId w:val="16"/>
  </w:num>
  <w:num w:numId="16">
    <w:abstractNumId w:val="10"/>
  </w:num>
  <w:num w:numId="17">
    <w:abstractNumId w:val="2"/>
  </w:num>
  <w:num w:numId="18">
    <w:abstractNumId w:val="11"/>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9">
    <w:name w:val="Heading 1"/>
    <w:basedOn w:val="891"/>
    <w:next w:val="891"/>
    <w:link w:val="720"/>
    <w:uiPriority w:val="9"/>
    <w:qFormat/>
    <w:pPr>
      <w:keepLines/>
      <w:keepNext/>
      <w:spacing w:before="480" w:after="200"/>
      <w:outlineLvl w:val="0"/>
    </w:pPr>
    <w:rPr>
      <w:rFonts w:ascii="Arial" w:hAnsi="Arial" w:eastAsia="Arial" w:cs="Arial"/>
      <w:sz w:val="40"/>
      <w:szCs w:val="40"/>
    </w:rPr>
  </w:style>
  <w:style w:type="character" w:styleId="720">
    <w:name w:val="Heading 1 Char"/>
    <w:basedOn w:val="894"/>
    <w:link w:val="719"/>
    <w:uiPriority w:val="9"/>
    <w:rPr>
      <w:rFonts w:ascii="Arial" w:hAnsi="Arial" w:eastAsia="Arial" w:cs="Arial"/>
      <w:sz w:val="40"/>
      <w:szCs w:val="40"/>
    </w:rPr>
  </w:style>
  <w:style w:type="paragraph" w:styleId="721">
    <w:name w:val="Heading 2"/>
    <w:basedOn w:val="891"/>
    <w:next w:val="891"/>
    <w:link w:val="722"/>
    <w:uiPriority w:val="9"/>
    <w:unhideWhenUsed/>
    <w:qFormat/>
    <w:pPr>
      <w:keepLines/>
      <w:keepNext/>
      <w:spacing w:before="360" w:after="200"/>
      <w:outlineLvl w:val="1"/>
    </w:pPr>
    <w:rPr>
      <w:rFonts w:ascii="Arial" w:hAnsi="Arial" w:eastAsia="Arial" w:cs="Arial"/>
      <w:sz w:val="34"/>
    </w:rPr>
  </w:style>
  <w:style w:type="character" w:styleId="722">
    <w:name w:val="Heading 2 Char"/>
    <w:basedOn w:val="894"/>
    <w:link w:val="721"/>
    <w:uiPriority w:val="9"/>
    <w:rPr>
      <w:rFonts w:ascii="Arial" w:hAnsi="Arial" w:eastAsia="Arial" w:cs="Arial"/>
      <w:sz w:val="34"/>
    </w:rPr>
  </w:style>
  <w:style w:type="paragraph" w:styleId="723">
    <w:name w:val="Heading 3"/>
    <w:basedOn w:val="891"/>
    <w:next w:val="891"/>
    <w:link w:val="724"/>
    <w:uiPriority w:val="9"/>
    <w:unhideWhenUsed/>
    <w:qFormat/>
    <w:pPr>
      <w:keepLines/>
      <w:keepNext/>
      <w:spacing w:before="320" w:after="200"/>
      <w:outlineLvl w:val="2"/>
    </w:pPr>
    <w:rPr>
      <w:rFonts w:ascii="Arial" w:hAnsi="Arial" w:eastAsia="Arial" w:cs="Arial"/>
      <w:sz w:val="30"/>
      <w:szCs w:val="30"/>
    </w:rPr>
  </w:style>
  <w:style w:type="character" w:styleId="724">
    <w:name w:val="Heading 3 Char"/>
    <w:basedOn w:val="894"/>
    <w:link w:val="723"/>
    <w:uiPriority w:val="9"/>
    <w:rPr>
      <w:rFonts w:ascii="Arial" w:hAnsi="Arial" w:eastAsia="Arial" w:cs="Arial"/>
      <w:sz w:val="30"/>
      <w:szCs w:val="30"/>
    </w:rPr>
  </w:style>
  <w:style w:type="character" w:styleId="725">
    <w:name w:val="Heading 4 Char"/>
    <w:basedOn w:val="894"/>
    <w:link w:val="892"/>
    <w:uiPriority w:val="9"/>
    <w:rPr>
      <w:rFonts w:ascii="Arial" w:hAnsi="Arial" w:eastAsia="Arial" w:cs="Arial"/>
      <w:b/>
      <w:bCs/>
      <w:sz w:val="26"/>
      <w:szCs w:val="26"/>
    </w:rPr>
  </w:style>
  <w:style w:type="paragraph" w:styleId="726">
    <w:name w:val="Heading 5"/>
    <w:basedOn w:val="891"/>
    <w:next w:val="891"/>
    <w:link w:val="727"/>
    <w:uiPriority w:val="9"/>
    <w:unhideWhenUsed/>
    <w:qFormat/>
    <w:pPr>
      <w:keepLines/>
      <w:keepNext/>
      <w:spacing w:before="320" w:after="200"/>
      <w:outlineLvl w:val="4"/>
    </w:pPr>
    <w:rPr>
      <w:rFonts w:ascii="Arial" w:hAnsi="Arial" w:eastAsia="Arial" w:cs="Arial"/>
      <w:b/>
      <w:bCs/>
      <w:sz w:val="24"/>
      <w:szCs w:val="24"/>
    </w:rPr>
  </w:style>
  <w:style w:type="character" w:styleId="727">
    <w:name w:val="Heading 5 Char"/>
    <w:basedOn w:val="894"/>
    <w:link w:val="726"/>
    <w:uiPriority w:val="9"/>
    <w:rPr>
      <w:rFonts w:ascii="Arial" w:hAnsi="Arial" w:eastAsia="Arial" w:cs="Arial"/>
      <w:b/>
      <w:bCs/>
      <w:sz w:val="24"/>
      <w:szCs w:val="24"/>
    </w:rPr>
  </w:style>
  <w:style w:type="character" w:styleId="728">
    <w:name w:val="Heading 6 Char"/>
    <w:basedOn w:val="894"/>
    <w:link w:val="893"/>
    <w:uiPriority w:val="9"/>
    <w:rPr>
      <w:rFonts w:ascii="Arial" w:hAnsi="Arial" w:eastAsia="Arial" w:cs="Arial"/>
      <w:b/>
      <w:bCs/>
      <w:sz w:val="22"/>
      <w:szCs w:val="22"/>
    </w:rPr>
  </w:style>
  <w:style w:type="paragraph" w:styleId="729">
    <w:name w:val="Heading 7"/>
    <w:basedOn w:val="891"/>
    <w:next w:val="891"/>
    <w:link w:val="730"/>
    <w:uiPriority w:val="9"/>
    <w:unhideWhenUsed/>
    <w:qFormat/>
    <w:pPr>
      <w:keepLines/>
      <w:keepNext/>
      <w:spacing w:before="320" w:after="200"/>
      <w:outlineLvl w:val="6"/>
    </w:pPr>
    <w:rPr>
      <w:rFonts w:ascii="Arial" w:hAnsi="Arial" w:eastAsia="Arial" w:cs="Arial"/>
      <w:b/>
      <w:bCs/>
      <w:i/>
      <w:iCs/>
      <w:sz w:val="22"/>
      <w:szCs w:val="22"/>
    </w:rPr>
  </w:style>
  <w:style w:type="character" w:styleId="730">
    <w:name w:val="Heading 7 Char"/>
    <w:basedOn w:val="894"/>
    <w:link w:val="729"/>
    <w:uiPriority w:val="9"/>
    <w:rPr>
      <w:rFonts w:ascii="Arial" w:hAnsi="Arial" w:eastAsia="Arial" w:cs="Arial"/>
      <w:b/>
      <w:bCs/>
      <w:i/>
      <w:iCs/>
      <w:sz w:val="22"/>
      <w:szCs w:val="22"/>
    </w:rPr>
  </w:style>
  <w:style w:type="paragraph" w:styleId="731">
    <w:name w:val="Heading 8"/>
    <w:basedOn w:val="891"/>
    <w:next w:val="891"/>
    <w:link w:val="732"/>
    <w:uiPriority w:val="9"/>
    <w:unhideWhenUsed/>
    <w:qFormat/>
    <w:pPr>
      <w:keepLines/>
      <w:keepNext/>
      <w:spacing w:before="320" w:after="200"/>
      <w:outlineLvl w:val="7"/>
    </w:pPr>
    <w:rPr>
      <w:rFonts w:ascii="Arial" w:hAnsi="Arial" w:eastAsia="Arial" w:cs="Arial"/>
      <w:i/>
      <w:iCs/>
      <w:sz w:val="22"/>
      <w:szCs w:val="22"/>
    </w:rPr>
  </w:style>
  <w:style w:type="character" w:styleId="732">
    <w:name w:val="Heading 8 Char"/>
    <w:basedOn w:val="894"/>
    <w:link w:val="731"/>
    <w:uiPriority w:val="9"/>
    <w:rPr>
      <w:rFonts w:ascii="Arial" w:hAnsi="Arial" w:eastAsia="Arial" w:cs="Arial"/>
      <w:i/>
      <w:iCs/>
      <w:sz w:val="22"/>
      <w:szCs w:val="22"/>
    </w:rPr>
  </w:style>
  <w:style w:type="paragraph" w:styleId="733">
    <w:name w:val="Heading 9"/>
    <w:basedOn w:val="891"/>
    <w:next w:val="891"/>
    <w:link w:val="734"/>
    <w:uiPriority w:val="9"/>
    <w:unhideWhenUsed/>
    <w:qFormat/>
    <w:pPr>
      <w:keepLines/>
      <w:keepNext/>
      <w:spacing w:before="320" w:after="200"/>
      <w:outlineLvl w:val="8"/>
    </w:pPr>
    <w:rPr>
      <w:rFonts w:ascii="Arial" w:hAnsi="Arial" w:eastAsia="Arial" w:cs="Arial"/>
      <w:i/>
      <w:iCs/>
      <w:sz w:val="21"/>
      <w:szCs w:val="21"/>
    </w:rPr>
  </w:style>
  <w:style w:type="character" w:styleId="734">
    <w:name w:val="Heading 9 Char"/>
    <w:basedOn w:val="894"/>
    <w:link w:val="733"/>
    <w:uiPriority w:val="9"/>
    <w:rPr>
      <w:rFonts w:ascii="Arial" w:hAnsi="Arial" w:eastAsia="Arial" w:cs="Arial"/>
      <w:i/>
      <w:iCs/>
      <w:sz w:val="21"/>
      <w:szCs w:val="21"/>
    </w:rPr>
  </w:style>
  <w:style w:type="paragraph" w:styleId="735">
    <w:name w:val="No Spacing"/>
    <w:uiPriority w:val="1"/>
    <w:qFormat/>
    <w:pPr>
      <w:spacing w:before="0" w:after="0" w:line="240" w:lineRule="auto"/>
    </w:pPr>
  </w:style>
  <w:style w:type="paragraph" w:styleId="736">
    <w:name w:val="Title"/>
    <w:basedOn w:val="891"/>
    <w:next w:val="891"/>
    <w:link w:val="737"/>
    <w:uiPriority w:val="10"/>
    <w:qFormat/>
    <w:pPr>
      <w:contextualSpacing/>
      <w:spacing w:before="300" w:after="200"/>
    </w:pPr>
    <w:rPr>
      <w:sz w:val="48"/>
      <w:szCs w:val="48"/>
    </w:rPr>
  </w:style>
  <w:style w:type="character" w:styleId="737">
    <w:name w:val="Title Char"/>
    <w:basedOn w:val="894"/>
    <w:link w:val="736"/>
    <w:uiPriority w:val="10"/>
    <w:rPr>
      <w:sz w:val="48"/>
      <w:szCs w:val="48"/>
    </w:rPr>
  </w:style>
  <w:style w:type="paragraph" w:styleId="738">
    <w:name w:val="Subtitle"/>
    <w:basedOn w:val="891"/>
    <w:next w:val="891"/>
    <w:link w:val="739"/>
    <w:uiPriority w:val="11"/>
    <w:qFormat/>
    <w:pPr>
      <w:spacing w:before="200" w:after="200"/>
    </w:pPr>
    <w:rPr>
      <w:sz w:val="24"/>
      <w:szCs w:val="24"/>
    </w:rPr>
  </w:style>
  <w:style w:type="character" w:styleId="739">
    <w:name w:val="Subtitle Char"/>
    <w:basedOn w:val="894"/>
    <w:link w:val="738"/>
    <w:uiPriority w:val="11"/>
    <w:rPr>
      <w:sz w:val="24"/>
      <w:szCs w:val="24"/>
    </w:rPr>
  </w:style>
  <w:style w:type="paragraph" w:styleId="740">
    <w:name w:val="Quote"/>
    <w:basedOn w:val="891"/>
    <w:next w:val="891"/>
    <w:link w:val="741"/>
    <w:uiPriority w:val="29"/>
    <w:qFormat/>
    <w:pPr>
      <w:ind w:left="720" w:right="720"/>
    </w:pPr>
    <w:rPr>
      <w:i/>
    </w:rPr>
  </w:style>
  <w:style w:type="character" w:styleId="741">
    <w:name w:val="Quote Char"/>
    <w:link w:val="740"/>
    <w:uiPriority w:val="29"/>
    <w:rPr>
      <w:i/>
    </w:rPr>
  </w:style>
  <w:style w:type="paragraph" w:styleId="742">
    <w:name w:val="Intense Quote"/>
    <w:basedOn w:val="891"/>
    <w:next w:val="891"/>
    <w:link w:val="7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name w:val="Intense Quote Char"/>
    <w:link w:val="742"/>
    <w:uiPriority w:val="30"/>
    <w:rPr>
      <w:i/>
    </w:rPr>
  </w:style>
  <w:style w:type="character" w:styleId="744">
    <w:name w:val="Header Char"/>
    <w:basedOn w:val="894"/>
    <w:link w:val="899"/>
    <w:uiPriority w:val="99"/>
  </w:style>
  <w:style w:type="character" w:styleId="745">
    <w:name w:val="Footer Char"/>
    <w:basedOn w:val="894"/>
    <w:link w:val="898"/>
    <w:uiPriority w:val="99"/>
  </w:style>
  <w:style w:type="paragraph" w:styleId="746">
    <w:name w:val="Caption"/>
    <w:basedOn w:val="891"/>
    <w:next w:val="891"/>
    <w:uiPriority w:val="35"/>
    <w:semiHidden/>
    <w:unhideWhenUsed/>
    <w:qFormat/>
    <w:pPr>
      <w:spacing w:line="276" w:lineRule="auto"/>
    </w:pPr>
    <w:rPr>
      <w:b/>
      <w:bCs/>
      <w:color w:val="4f81bd" w:themeColor="accent1"/>
      <w:sz w:val="18"/>
      <w:szCs w:val="18"/>
    </w:rPr>
  </w:style>
  <w:style w:type="character" w:styleId="747">
    <w:name w:val="Caption Char"/>
    <w:basedOn w:val="746"/>
    <w:link w:val="898"/>
    <w:uiPriority w:val="99"/>
  </w:style>
  <w:style w:type="table" w:styleId="748">
    <w:name w:val="Table Grid Light"/>
    <w:basedOn w:val="8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9">
    <w:name w:val="Plain Table 1"/>
    <w:basedOn w:val="8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basedOn w:val="89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basedOn w:val="8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basedOn w:val="8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basedOn w:val="8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basedOn w:val="89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1 Light - Accent 1"/>
    <w:basedOn w:val="89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6">
    <w:name w:val="Grid Table 1 Light - Accent 2"/>
    <w:basedOn w:val="89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7">
    <w:name w:val="Grid Table 1 Light - Accent 3"/>
    <w:basedOn w:val="89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8">
    <w:name w:val="Grid Table 1 Light - Accent 4"/>
    <w:basedOn w:val="89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9">
    <w:name w:val="Grid Table 1 Light - Accent 5"/>
    <w:basedOn w:val="89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0">
    <w:name w:val="Grid Table 1 Light - Accent 6"/>
    <w:basedOn w:val="89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1">
    <w:name w:val="Grid Table 2"/>
    <w:basedOn w:val="8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2 - Accent 1"/>
    <w:basedOn w:val="89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3">
    <w:name w:val="Grid Table 2 - Accent 2"/>
    <w:basedOn w:val="89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2 - Accent 3"/>
    <w:basedOn w:val="89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2 - Accent 4"/>
    <w:basedOn w:val="89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2 - Accent 5"/>
    <w:basedOn w:val="89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7">
    <w:name w:val="Grid Table 2 - Accent 6"/>
    <w:basedOn w:val="89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8">
    <w:name w:val="Grid Table 3"/>
    <w:basedOn w:val="8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1"/>
    <w:basedOn w:val="89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2"/>
    <w:basedOn w:val="89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3"/>
    <w:basedOn w:val="89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4"/>
    <w:basedOn w:val="89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5"/>
    <w:basedOn w:val="89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6"/>
    <w:basedOn w:val="89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basedOn w:val="89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4 - Accent 1"/>
    <w:basedOn w:val="89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7">
    <w:name w:val="Grid Table 4 - Accent 2"/>
    <w:basedOn w:val="89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8">
    <w:name w:val="Grid Table 4 - Accent 3"/>
    <w:basedOn w:val="89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9">
    <w:name w:val="Grid Table 4 - Accent 4"/>
    <w:basedOn w:val="89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0">
    <w:name w:val="Grid Table 4 - Accent 5"/>
    <w:basedOn w:val="89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1">
    <w:name w:val="Grid Table 4 - Accent 6"/>
    <w:basedOn w:val="89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2">
    <w:name w:val="Grid Table 5 Dark"/>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3">
    <w:name w:val="Grid Table 5 Dark- Accent 1"/>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84">
    <w:name w:val="Grid Table 5 Dark - Accent 2"/>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85">
    <w:name w:val="Grid Table 5 Dark - Accent 3"/>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86">
    <w:name w:val="Grid Table 5 Dark- Accent 4"/>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87">
    <w:name w:val="Grid Table 5 Dark - Accent 5"/>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88">
    <w:name w:val="Grid Table 5 Dark - Accent 6"/>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89">
    <w:name w:val="Grid Table 6 Colorful"/>
    <w:basedOn w:val="89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6 Colorful - Accent 1"/>
    <w:basedOn w:val="89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91">
    <w:name w:val="Grid Table 6 Colorful - Accent 2"/>
    <w:basedOn w:val="89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92">
    <w:name w:val="Grid Table 6 Colorful - Accent 3"/>
    <w:basedOn w:val="89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93">
    <w:name w:val="Grid Table 6 Colorful - Accent 4"/>
    <w:basedOn w:val="89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94">
    <w:name w:val="Grid Table 6 Colorful - Accent 5"/>
    <w:basedOn w:val="89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95">
    <w:name w:val="Grid Table 6 Colorful - Accent 6"/>
    <w:basedOn w:val="89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96">
    <w:name w:val="Grid Table 7 Colorful"/>
    <w:basedOn w:val="89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7">
    <w:name w:val="Grid Table 7 Colorful - Accent 1"/>
    <w:basedOn w:val="89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8">
    <w:name w:val="Grid Table 7 Colorful - Accent 2"/>
    <w:basedOn w:val="89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7 Colorful - Accent 3"/>
    <w:basedOn w:val="89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7 Colorful - Accent 4"/>
    <w:basedOn w:val="89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7 Colorful - Accent 5"/>
    <w:basedOn w:val="89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2">
    <w:name w:val="Grid Table 7 Colorful - Accent 6"/>
    <w:basedOn w:val="89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3">
    <w:name w:val="List Table 1 Light"/>
    <w:basedOn w:val="89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name w:val="List Table 1 Light - Accent 1"/>
    <w:basedOn w:val="89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5">
    <w:name w:val="List Table 1 Light - Accent 2"/>
    <w:basedOn w:val="89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6">
    <w:name w:val="List Table 1 Light - Accent 3"/>
    <w:basedOn w:val="89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7">
    <w:name w:val="List Table 1 Light - Accent 4"/>
    <w:basedOn w:val="89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8">
    <w:name w:val="List Table 1 Light - Accent 5"/>
    <w:basedOn w:val="89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9">
    <w:name w:val="List Table 1 Light - Accent 6"/>
    <w:basedOn w:val="89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0">
    <w:name w:val="List Table 2"/>
    <w:basedOn w:val="89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2 - Accent 1"/>
    <w:basedOn w:val="89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2">
    <w:name w:val="List Table 2 - Accent 2"/>
    <w:basedOn w:val="89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3">
    <w:name w:val="List Table 2 - Accent 3"/>
    <w:basedOn w:val="89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4">
    <w:name w:val="List Table 2 - Accent 4"/>
    <w:basedOn w:val="89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5">
    <w:name w:val="List Table 2 - Accent 5"/>
    <w:basedOn w:val="89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6">
    <w:name w:val="List Table 2 - Accent 6"/>
    <w:basedOn w:val="89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7">
    <w:name w:val="List Table 3"/>
    <w:basedOn w:val="8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3 - Accent 1"/>
    <w:basedOn w:val="89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19">
    <w:name w:val="List Table 3 - Accent 2"/>
    <w:basedOn w:val="89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20">
    <w:name w:val="List Table 3 - Accent 3"/>
    <w:basedOn w:val="89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21">
    <w:name w:val="List Table 3 - Accent 4"/>
    <w:basedOn w:val="89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22">
    <w:name w:val="List Table 3 - Accent 5"/>
    <w:basedOn w:val="89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23">
    <w:name w:val="List Table 3 - Accent 6"/>
    <w:basedOn w:val="89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24">
    <w:name w:val="List Table 4"/>
    <w:basedOn w:val="8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4 - Accent 1"/>
    <w:basedOn w:val="89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26">
    <w:name w:val="List Table 4 - Accent 2"/>
    <w:basedOn w:val="89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27">
    <w:name w:val="List Table 4 - Accent 3"/>
    <w:basedOn w:val="89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28">
    <w:name w:val="List Table 4 - Accent 4"/>
    <w:basedOn w:val="89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29">
    <w:name w:val="List Table 4 - Accent 5"/>
    <w:basedOn w:val="89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30">
    <w:name w:val="List Table 4 - Accent 6"/>
    <w:basedOn w:val="89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31">
    <w:name w:val="List Table 5 Dark"/>
    <w:basedOn w:val="89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1"/>
    <w:basedOn w:val="89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2"/>
    <w:basedOn w:val="89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3"/>
    <w:basedOn w:val="89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4"/>
    <w:basedOn w:val="89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5"/>
    <w:basedOn w:val="89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6"/>
    <w:basedOn w:val="89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6 Colorful"/>
    <w:basedOn w:val="89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9">
    <w:name w:val="List Table 6 Colorful - Accent 1"/>
    <w:basedOn w:val="89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40">
    <w:name w:val="List Table 6 Colorful - Accent 2"/>
    <w:basedOn w:val="89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41">
    <w:name w:val="List Table 6 Colorful - Accent 3"/>
    <w:basedOn w:val="89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42">
    <w:name w:val="List Table 6 Colorful - Accent 4"/>
    <w:basedOn w:val="89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43">
    <w:name w:val="List Table 6 Colorful - Accent 5"/>
    <w:basedOn w:val="89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44">
    <w:name w:val="List Table 6 Colorful - Accent 6"/>
    <w:basedOn w:val="89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45">
    <w:name w:val="List Table 7 Colorful"/>
    <w:basedOn w:val="89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6">
    <w:name w:val="List Table 7 Colorful - Accent 1"/>
    <w:basedOn w:val="89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47">
    <w:name w:val="List Table 7 Colorful - Accent 2"/>
    <w:basedOn w:val="89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48">
    <w:name w:val="List Table 7 Colorful - Accent 3"/>
    <w:basedOn w:val="89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49">
    <w:name w:val="List Table 7 Colorful - Accent 4"/>
    <w:basedOn w:val="89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50">
    <w:name w:val="List Table 7 Colorful - Accent 5"/>
    <w:basedOn w:val="89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51">
    <w:name w:val="List Table 7 Colorful - Accent 6"/>
    <w:basedOn w:val="89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52">
    <w:name w:val="Lined - Accent"/>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Lined - Accent 1"/>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4">
    <w:name w:val="Lined - Accent 2"/>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5">
    <w:name w:val="Lined - Accent 3"/>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6">
    <w:name w:val="Lined - Accent 4"/>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7">
    <w:name w:val="Lined - Accent 5"/>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8">
    <w:name w:val="Lined - Accent 6"/>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59">
    <w:name w:val="Bordered &amp; Lined - Accent"/>
    <w:basedOn w:val="89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Bordered &amp; Lined - Accent 1"/>
    <w:basedOn w:val="89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61">
    <w:name w:val="Bordered &amp; Lined - Accent 2"/>
    <w:basedOn w:val="89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62">
    <w:name w:val="Bordered &amp; Lined - Accent 3"/>
    <w:basedOn w:val="89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63">
    <w:name w:val="Bordered &amp; Lined - Accent 4"/>
    <w:basedOn w:val="89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64">
    <w:name w:val="Bordered &amp; Lined - Accent 5"/>
    <w:basedOn w:val="89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65">
    <w:name w:val="Bordered &amp; Lined - Accent 6"/>
    <w:basedOn w:val="89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66">
    <w:name w:val="Bordered"/>
    <w:basedOn w:val="89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7">
    <w:name w:val="Bordered - Accent 1"/>
    <w:basedOn w:val="89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8">
    <w:name w:val="Bordered - Accent 2"/>
    <w:basedOn w:val="89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9">
    <w:name w:val="Bordered - Accent 3"/>
    <w:basedOn w:val="89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0">
    <w:name w:val="Bordered - Accent 4"/>
    <w:basedOn w:val="89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1">
    <w:name w:val="Bordered - Accent 5"/>
    <w:basedOn w:val="89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2">
    <w:name w:val="Bordered - Accent 6"/>
    <w:basedOn w:val="89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3">
    <w:name w:val="Hyperlink"/>
    <w:uiPriority w:val="99"/>
    <w:unhideWhenUsed/>
    <w:rPr>
      <w:color w:val="0000ff" w:themeColor="hyperlink"/>
      <w:u w:val="single"/>
    </w:rPr>
  </w:style>
  <w:style w:type="paragraph" w:styleId="874">
    <w:name w:val="footnote text"/>
    <w:basedOn w:val="891"/>
    <w:link w:val="875"/>
    <w:uiPriority w:val="99"/>
    <w:semiHidden/>
    <w:unhideWhenUsed/>
    <w:pPr>
      <w:spacing w:after="40" w:line="240" w:lineRule="auto"/>
    </w:pPr>
    <w:rPr>
      <w:sz w:val="18"/>
    </w:rPr>
  </w:style>
  <w:style w:type="character" w:styleId="875">
    <w:name w:val="Footnote Text Char"/>
    <w:link w:val="874"/>
    <w:uiPriority w:val="99"/>
    <w:rPr>
      <w:sz w:val="18"/>
    </w:rPr>
  </w:style>
  <w:style w:type="character" w:styleId="876">
    <w:name w:val="footnote reference"/>
    <w:basedOn w:val="894"/>
    <w:uiPriority w:val="99"/>
    <w:unhideWhenUsed/>
    <w:rPr>
      <w:vertAlign w:val="superscript"/>
    </w:rPr>
  </w:style>
  <w:style w:type="paragraph" w:styleId="877">
    <w:name w:val="endnote text"/>
    <w:basedOn w:val="891"/>
    <w:link w:val="878"/>
    <w:uiPriority w:val="99"/>
    <w:semiHidden/>
    <w:unhideWhenUsed/>
    <w:pPr>
      <w:spacing w:after="0" w:line="240" w:lineRule="auto"/>
    </w:pPr>
    <w:rPr>
      <w:sz w:val="20"/>
    </w:rPr>
  </w:style>
  <w:style w:type="character" w:styleId="878">
    <w:name w:val="Endnote Text Char"/>
    <w:link w:val="877"/>
    <w:uiPriority w:val="99"/>
    <w:rPr>
      <w:sz w:val="20"/>
    </w:rPr>
  </w:style>
  <w:style w:type="character" w:styleId="879">
    <w:name w:val="endnote reference"/>
    <w:basedOn w:val="894"/>
    <w:uiPriority w:val="99"/>
    <w:semiHidden/>
    <w:unhideWhenUsed/>
    <w:rPr>
      <w:vertAlign w:val="superscript"/>
    </w:rPr>
  </w:style>
  <w:style w:type="paragraph" w:styleId="880">
    <w:name w:val="toc 1"/>
    <w:basedOn w:val="891"/>
    <w:next w:val="891"/>
    <w:uiPriority w:val="39"/>
    <w:unhideWhenUsed/>
    <w:pPr>
      <w:ind w:left="0" w:right="0" w:firstLine="0"/>
      <w:spacing w:after="57"/>
    </w:pPr>
  </w:style>
  <w:style w:type="paragraph" w:styleId="881">
    <w:name w:val="toc 2"/>
    <w:basedOn w:val="891"/>
    <w:next w:val="891"/>
    <w:uiPriority w:val="39"/>
    <w:unhideWhenUsed/>
    <w:pPr>
      <w:ind w:left="283" w:right="0" w:firstLine="0"/>
      <w:spacing w:after="57"/>
    </w:pPr>
  </w:style>
  <w:style w:type="paragraph" w:styleId="882">
    <w:name w:val="toc 3"/>
    <w:basedOn w:val="891"/>
    <w:next w:val="891"/>
    <w:uiPriority w:val="39"/>
    <w:unhideWhenUsed/>
    <w:pPr>
      <w:ind w:left="567" w:right="0" w:firstLine="0"/>
      <w:spacing w:after="57"/>
    </w:pPr>
  </w:style>
  <w:style w:type="paragraph" w:styleId="883">
    <w:name w:val="toc 4"/>
    <w:basedOn w:val="891"/>
    <w:next w:val="891"/>
    <w:uiPriority w:val="39"/>
    <w:unhideWhenUsed/>
    <w:pPr>
      <w:ind w:left="850" w:right="0" w:firstLine="0"/>
      <w:spacing w:after="57"/>
    </w:pPr>
  </w:style>
  <w:style w:type="paragraph" w:styleId="884">
    <w:name w:val="toc 5"/>
    <w:basedOn w:val="891"/>
    <w:next w:val="891"/>
    <w:uiPriority w:val="39"/>
    <w:unhideWhenUsed/>
    <w:pPr>
      <w:ind w:left="1134" w:right="0" w:firstLine="0"/>
      <w:spacing w:after="57"/>
    </w:pPr>
  </w:style>
  <w:style w:type="paragraph" w:styleId="885">
    <w:name w:val="toc 6"/>
    <w:basedOn w:val="891"/>
    <w:next w:val="891"/>
    <w:uiPriority w:val="39"/>
    <w:unhideWhenUsed/>
    <w:pPr>
      <w:ind w:left="1417" w:right="0" w:firstLine="0"/>
      <w:spacing w:after="57"/>
    </w:pPr>
  </w:style>
  <w:style w:type="paragraph" w:styleId="886">
    <w:name w:val="toc 7"/>
    <w:basedOn w:val="891"/>
    <w:next w:val="891"/>
    <w:uiPriority w:val="39"/>
    <w:unhideWhenUsed/>
    <w:pPr>
      <w:ind w:left="1701" w:right="0" w:firstLine="0"/>
      <w:spacing w:after="57"/>
    </w:pPr>
  </w:style>
  <w:style w:type="paragraph" w:styleId="887">
    <w:name w:val="toc 8"/>
    <w:basedOn w:val="891"/>
    <w:next w:val="891"/>
    <w:uiPriority w:val="39"/>
    <w:unhideWhenUsed/>
    <w:pPr>
      <w:ind w:left="1984" w:right="0" w:firstLine="0"/>
      <w:spacing w:after="57"/>
    </w:pPr>
  </w:style>
  <w:style w:type="paragraph" w:styleId="888">
    <w:name w:val="toc 9"/>
    <w:basedOn w:val="891"/>
    <w:next w:val="891"/>
    <w:uiPriority w:val="39"/>
    <w:unhideWhenUsed/>
    <w:pPr>
      <w:ind w:left="2268" w:right="0" w:firstLine="0"/>
      <w:spacing w:after="57"/>
    </w:pPr>
  </w:style>
  <w:style w:type="paragraph" w:styleId="889">
    <w:name w:val="TOC Heading"/>
    <w:uiPriority w:val="39"/>
    <w:unhideWhenUsed/>
  </w:style>
  <w:style w:type="paragraph" w:styleId="890">
    <w:name w:val="table of figures"/>
    <w:basedOn w:val="891"/>
    <w:next w:val="891"/>
    <w:uiPriority w:val="99"/>
    <w:unhideWhenUsed/>
    <w:pPr>
      <w:spacing w:after="0" w:afterAutospacing="0"/>
    </w:pPr>
  </w:style>
  <w:style w:type="paragraph" w:styleId="89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92">
    <w:name w:val="Heading 4"/>
    <w:basedOn w:val="891"/>
    <w:next w:val="891"/>
    <w:uiPriority w:val="0"/>
    <w:qFormat/>
    <w:pPr>
      <w:jc w:val="center"/>
      <w:keepNext/>
      <w:outlineLvl w:val="3"/>
    </w:pPr>
    <w:rPr>
      <w:rFonts w:eastAsia="新宋体"/>
      <w:sz w:val="30"/>
      <w:szCs w:val="21"/>
    </w:rPr>
  </w:style>
  <w:style w:type="paragraph" w:styleId="893">
    <w:name w:val="Heading 6"/>
    <w:basedOn w:val="891"/>
    <w:next w:val="896"/>
    <w:uiPriority w:val="0"/>
    <w:qFormat/>
    <w:pPr>
      <w:jc w:val="center"/>
      <w:keepNext/>
      <w:outlineLvl w:val="5"/>
    </w:pPr>
    <w:rPr>
      <w:b/>
      <w:sz w:val="44"/>
      <w:szCs w:val="20"/>
    </w:rPr>
  </w:style>
  <w:style w:type="character" w:styleId="894" w:default="1">
    <w:name w:val="Default Paragraph Font"/>
    <w:uiPriority w:val="0"/>
    <w:semiHidden/>
    <w:qFormat/>
  </w:style>
  <w:style w:type="table" w:styleId="895" w:default="1">
    <w:name w:val="Normal Table"/>
    <w:uiPriority w:val="0"/>
    <w:semiHidden/>
    <w:qFormat/>
    <w:tblPr>
      <w:tblCellMar>
        <w:left w:w="108" w:type="dxa"/>
        <w:top w:w="0" w:type="dxa"/>
        <w:right w:w="108" w:type="dxa"/>
        <w:bottom w:w="0" w:type="dxa"/>
      </w:tblCellMar>
    </w:tblPr>
  </w:style>
  <w:style w:type="paragraph" w:styleId="896">
    <w:name w:val="Normal Indent"/>
    <w:basedOn w:val="891"/>
    <w:uiPriority w:val="0"/>
    <w:qFormat/>
    <w:pPr>
      <w:ind w:firstLine="420"/>
    </w:pPr>
    <w:rPr>
      <w:sz w:val="20"/>
      <w:szCs w:val="20"/>
    </w:rPr>
  </w:style>
  <w:style w:type="paragraph" w:styleId="897">
    <w:name w:val="Body Text"/>
    <w:basedOn w:val="891"/>
    <w:next w:val="891"/>
    <w:uiPriority w:val="0"/>
    <w:qFormat/>
    <w:pPr>
      <w:spacing w:after="120"/>
    </w:pPr>
    <w:rPr>
      <w:rFonts w:ascii="Times New Roman" w:hAnsi="Times New Roman"/>
      <w:szCs w:val="20"/>
    </w:rPr>
  </w:style>
  <w:style w:type="paragraph" w:styleId="898">
    <w:name w:val="Footer"/>
    <w:basedOn w:val="891"/>
    <w:uiPriority w:val="99"/>
    <w:qFormat/>
    <w:pPr>
      <w:jc w:val="left"/>
      <w:tabs>
        <w:tab w:val="center" w:pos="4153" w:leader="none"/>
        <w:tab w:val="right" w:pos="8306" w:leader="none"/>
      </w:tabs>
    </w:pPr>
    <w:rPr>
      <w:sz w:val="18"/>
      <w:szCs w:val="20"/>
    </w:rPr>
  </w:style>
  <w:style w:type="paragraph" w:styleId="899">
    <w:name w:val="Header"/>
    <w:basedOn w:val="891"/>
    <w:uiPriority w:val="0"/>
    <w:qFormat/>
    <w:pPr>
      <w:jc w:val="center"/>
      <w:tabs>
        <w:tab w:val="center" w:pos="4153" w:leader="none"/>
        <w:tab w:val="right" w:pos="8306" w:leader="none"/>
      </w:tabs>
      <w:pBdr>
        <w:bottom w:val="single" w:color="auto" w:sz="6" w:space="1"/>
      </w:pBdr>
    </w:pPr>
    <w:rPr>
      <w:sz w:val="18"/>
      <w:szCs w:val="18"/>
    </w:rPr>
  </w:style>
  <w:style w:type="paragraph" w:styleId="900">
    <w:name w:val="Normal (Web)"/>
    <w:basedOn w:val="891"/>
    <w:uiPriority w:val="0"/>
    <w:qFormat/>
    <w:pPr>
      <w:jc w:val="left"/>
      <w:spacing w:before="100" w:beforeAutospacing="1" w:after="100" w:afterAutospacing="1"/>
      <w:widowControl/>
    </w:pPr>
    <w:rPr>
      <w:rFonts w:ascii="宋体" w:hAnsi="宋体"/>
      <w:color w:val="000000"/>
      <w:sz w:val="24"/>
    </w:rPr>
  </w:style>
  <w:style w:type="table" w:styleId="901">
    <w:name w:val="Table Grid"/>
    <w:basedOn w:val="89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2">
    <w:name w:val="Strong"/>
    <w:basedOn w:val="894"/>
    <w:uiPriority w:val="22"/>
    <w:qFormat/>
    <w:rPr>
      <w:b/>
    </w:rPr>
  </w:style>
  <w:style w:type="paragraph" w:styleId="903" w:customStyle="1">
    <w:name w:val="普通正文"/>
    <w:basedOn w:val="891"/>
    <w:uiPriority w:val="0"/>
    <w:qFormat/>
    <w:pPr>
      <w:ind w:left="-2" w:right="120" w:firstLine="480"/>
      <w:jc w:val="center"/>
      <w:spacing w:before="120" w:after="120" w:line="360" w:lineRule="auto"/>
    </w:pPr>
    <w:rPr>
      <w:rFonts w:ascii="Arial" w:hAnsi="Arial"/>
      <w:sz w:val="24"/>
    </w:rPr>
  </w:style>
  <w:style w:type="paragraph" w:styleId="904" w:customStyle="1">
    <w:name w:val="正文缩进2格"/>
    <w:basedOn w:val="891"/>
    <w:uiPriority w:val="0"/>
    <w:qFormat/>
    <w:pPr>
      <w:ind w:firstLine="639"/>
      <w:spacing w:line="600" w:lineRule="exact"/>
    </w:pPr>
    <w:rPr>
      <w:rFonts w:ascii="仿宋_GB2312" w:hAnsi="宋体" w:eastAsia="仿宋_GB2312"/>
      <w:sz w:val="31"/>
      <w:szCs w:val="28"/>
    </w:rPr>
  </w:style>
  <w:style w:type="paragraph" w:styleId="905" w:customStyle="1">
    <w:name w:val="Body text|1"/>
    <w:basedOn w:val="891"/>
    <w:uiPriority w:val="0"/>
    <w:qFormat/>
    <w:pPr>
      <w:ind w:firstLine="280"/>
      <w:spacing w:line="432" w:lineRule="auto"/>
      <w:shd w:val="clear" w:color="auto" w:fill="auto"/>
      <w:widowControl w:val="off"/>
    </w:pPr>
    <w:rPr>
      <w:rFonts w:ascii="宋体" w:hAnsi="宋体" w:eastAsia="宋体" w:cs="宋体"/>
      <w:sz w:val="17"/>
      <w:szCs w:val="17"/>
      <w:u w:val="none"/>
      <w:shd w:val="clear" w:color="auto" w:fill="auto"/>
      <w:lang w:val="zh-CN" w:eastAsia="zh-CN" w:bidi="zh-CN"/>
    </w:rPr>
  </w:style>
  <w:style w:type="paragraph" w:styleId="906">
    <w:name w:val="List Paragraph"/>
    <w:basedOn w:val="891"/>
    <w:uiPriority w:val="34"/>
    <w:qFormat/>
    <w:pPr>
      <w:contextualSpacing/>
      <w:ind w:left="720"/>
    </w:pPr>
  </w:style>
  <w:style w:type="numbering" w:styleId="9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9877</dc:creator>
  <cp:lastModifiedBy>倪雨凯</cp:lastModifiedBy>
  <cp:revision>3</cp:revision>
  <dcterms:created xsi:type="dcterms:W3CDTF">2026-06-24T01:19:00Z</dcterms:created>
  <dcterms:modified xsi:type="dcterms:W3CDTF">2026-07-15T07:39:49Z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44B84B5047B8429D912069878BB50805_11</vt:lpwstr>
  </property>
  <property fmtid="{D5CDD505-2E9C-101B-9397-08002B2CF9AE}" pid="4" name="KSOTemplateDocerSaveRecord">
    <vt:lpwstr>eyJoZGlkIjoiMjE5MDk5NDZiYmM1Njc0MzFiYWYwNmQ2OTU2Y2U5ZGMiLCJ1c2VySWQiOiIyMjM3NDM2MjUifQ==</vt:lpwstr>
  </property>
</Properties>
</file>