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lang w:val="en-US" w:eastAsia="zh-CN"/>
        </w:rPr>
        <w:t xml:space="preserve">    </w:t>
      </w: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rPr>
        <w:t xml:space="preserve">如东县农村不动产确权登记成果和农村建设用</w:t>
      </w: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rPr>
        <w:t xml:space="preserve">地调查成果更新调查及补充测绘调查项目</w:t>
      </w:r>
      <w:r/>
    </w:p>
    <w:p>
      <w:pPr>
        <w:ind w:firstLine="1285"/>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rPr>
        <w:t xml:space="preserve">JSZC-320623-HSGL-C2026-0037 </w:t>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23"/>
        <w:jc w:val="center"/>
        <w:spacing w:before="120" w:after="120" w:line="400" w:lineRule="exact"/>
        <w:rPr>
          <w:rFonts w:ascii="宋体" w:hAnsi="宋体"/>
          <w:b/>
          <w:bCs/>
          <w:color w:val="auto"/>
          <w:sz w:val="36"/>
          <w:szCs w:val="36"/>
          <w:highlight w:val="none"/>
          <w:u w:val="single"/>
        </w:rPr>
      </w:pPr>
      <w:r>
        <w:rPr>
          <w:rFonts w:hint="eastAsia" w:ascii="宋体" w:hAnsi="宋体"/>
          <w:b/>
          <w:bCs/>
          <w:color w:val="auto"/>
          <w:sz w:val="36"/>
          <w:szCs w:val="36"/>
          <w:highlight w:val="none"/>
          <w:u w:val="single"/>
        </w:rPr>
        <w:t xml:space="preserve">如东县自然资源和规划局</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7</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479757206"/>
      <w:r/>
      <w:bookmarkStart w:id="2" w:name="_Toc16938516"/>
      <w:r/>
      <w:bookmarkStart w:id="3" w:name="_Toc513029200"/>
      <w:r/>
      <w:bookmarkStart w:id="4" w:name="_Toc20823272"/>
      <w:r/>
      <w:bookmarkStart w:id="5" w:name="_Toc523127445"/>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20</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7</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31</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如东县自然资源和规划局</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江苏衡晟项目管理咨询有限公司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如东县农村不动产确权登记成果和农村建设用地调查成果更新调查及补充测绘调查项目【</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val="en-US" w:eastAsia="zh-CN"/>
        </w:rPr>
        <w:t xml:space="preserve">：JSZC-320623-HSGL-C2026-0037</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项目进行竞争性磋商采购，欢迎符合条件的供应商参加磋商。</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ind w:firstLine="480"/>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rPr>
        <w:t xml:space="preserve">如东县农村不动产确权登记成果和农村建设用地调查成果更新调查及补充测绘调查项目</w:t>
      </w:r>
      <w:r>
        <w:rPr>
          <w:rFonts w:ascii="Times New Roman" w:hAnsi="Times New Roman"/>
          <w:color w:val="auto"/>
          <w:sz w:val="24"/>
          <w:szCs w:val="24"/>
          <w:highlight w:val="none"/>
        </w:rPr>
        <w:t xml:space="preserve">的潜在供应商可在</w:t>
      </w:r>
      <w:r>
        <w:rPr>
          <w:rFonts w:ascii="Times New Roman" w:hAnsi="Times New Roman"/>
          <w:color w:val="auto"/>
          <w:sz w:val="24"/>
          <w:szCs w:val="24"/>
          <w:highlight w:val="none"/>
          <w:u w:val="single"/>
        </w:rPr>
        <w:t xml:space="preserve">“江苏政府采购网”自行免费下载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2026年</w:t>
      </w:r>
      <w:r>
        <w:rPr>
          <w:rFonts w:hint="eastAsia" w:ascii="Times New Roman" w:hAnsi="Times New Roman"/>
          <w:b/>
          <w:bCs/>
          <w:color w:val="auto"/>
          <w:sz w:val="24"/>
          <w:szCs w:val="24"/>
          <w:highlight w:val="none"/>
          <w:u w:val="single"/>
          <w:lang w:val="en-US" w:eastAsia="zh-CN"/>
        </w:rPr>
        <w:t xml:space="preserve">7</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24</w:t>
      </w:r>
      <w:r>
        <w:rPr>
          <w:rFonts w:hint="eastAsia" w:ascii="Times New Roman" w:hAnsi="Times New Roman"/>
          <w:b/>
          <w:bCs/>
          <w:color w:val="auto"/>
          <w:sz w:val="24"/>
          <w:szCs w:val="24"/>
          <w:highlight w:val="none"/>
          <w:u w:val="single"/>
        </w:rPr>
        <w:t xml:space="preserve">日</w:t>
      </w:r>
      <w:r>
        <w:rPr>
          <w:rFonts w:hint="eastAsia" w:ascii="Times New Roman" w:hAnsi="Times New Roman"/>
          <w:b/>
          <w:bCs/>
          <w:color w:val="auto"/>
          <w:sz w:val="24"/>
          <w:szCs w:val="24"/>
          <w:highlight w:val="none"/>
          <w:u w:val="single"/>
          <w:lang w:val="en-US" w:eastAsia="zh-CN"/>
        </w:rPr>
        <w:t xml:space="preserve">   上</w:t>
      </w:r>
      <w:r>
        <w:rPr>
          <w:rFonts w:hint="eastAsia" w:ascii="Times New Roman" w:hAnsi="Times New Roman"/>
          <w:b/>
          <w:bCs/>
          <w:color w:val="auto"/>
          <w:sz w:val="24"/>
          <w:szCs w:val="24"/>
          <w:highlight w:val="none"/>
          <w:u w:val="single"/>
        </w:rPr>
        <w:t xml:space="preserve">午</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时</w:t>
      </w:r>
      <w:r>
        <w:rPr>
          <w:rFonts w:hint="eastAsia" w:ascii="Times New Roman" w:hAnsi="Times New Roman"/>
          <w:b/>
          <w:bCs/>
          <w:color w:val="auto"/>
          <w:sz w:val="24"/>
          <w:szCs w:val="24"/>
          <w:highlight w:val="none"/>
          <w:u w:val="single"/>
          <w:lang w:val="en-US" w:eastAsia="zh-CN"/>
        </w:rPr>
        <w:t xml:space="preserve">00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rPr>
          <w:rFonts w:hint="eastAsia" w:ascii="Times New Roman" w:hAnsi="Times New Roman"/>
          <w:b/>
          <w:bCs/>
          <w:color w:val="auto"/>
          <w:sz w:val="24"/>
          <w:szCs w:val="24"/>
          <w:highlight w:val="none"/>
        </w:rPr>
        <w:t xml:space="preserve"> </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28359002"/>
      <w:r/>
      <w:bookmarkStart w:id="7" w:name="_Toc28359079"/>
      <w:r/>
      <w:bookmarkStart w:id="8" w:name="_Toc38985263"/>
      <w:r/>
      <w:bookmarkStart w:id="9" w:name="_Toc35393790"/>
      <w:r/>
      <w:bookmarkStart w:id="10" w:name="_Toc35393621"/>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zh-CN"/>
        </w:rPr>
        <w:t xml:space="preserve">1.项目编号：JSZC-320623-HSGL-C2026-0037</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 </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如东县农村不动产确权登记成果和农村建设用地调查成果更新调查及补充测绘调查项目</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3.项目类型：服务</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4.项目行业：</w:t>
      </w:r>
      <w:r>
        <w:rPr>
          <w:rFonts w:hint="eastAsia" w:ascii="Times New Roman" w:hAnsi="Times New Roman"/>
          <w:color w:val="auto"/>
          <w:sz w:val="24"/>
          <w:szCs w:val="24"/>
          <w:highlight w:val="none"/>
          <w:lang w:val="zh-CN"/>
        </w:rPr>
        <w:t xml:space="preserve">其他未列明行业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en-US" w:eastAsia="zh-CN"/>
        </w:rPr>
        <w:t xml:space="preserve">预估总价</w:t>
      </w:r>
      <w:r>
        <w:rPr>
          <w:rFonts w:hint="eastAsia" w:ascii="Times New Roman" w:hAnsi="Times New Roman"/>
          <w:color w:val="auto"/>
          <w:sz w:val="24"/>
          <w:szCs w:val="24"/>
          <w:highlight w:val="none"/>
        </w:rPr>
        <w:t xml:space="preserve">201</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zh-CN" w:eastAsia="zh-CN"/>
        </w:rPr>
        <w:t xml:space="preserve">三年</w:t>
      </w:r>
      <w:r>
        <w:rPr>
          <w:rFonts w:hint="eastAsia" w:ascii="Times New Roman" w:hAnsi="Times New Roman"/>
          <w:color w:val="auto"/>
          <w:sz w:val="24"/>
          <w:szCs w:val="24"/>
          <w:highlight w:val="none"/>
          <w:lang w:val="en-US" w:eastAsia="zh-CN"/>
        </w:rPr>
        <w:t xml:space="preserve">的</w:t>
      </w:r>
      <w:r>
        <w:rPr>
          <w:rFonts w:hint="eastAsia" w:ascii="Times New Roman" w:hAnsi="Times New Roman"/>
          <w:color w:val="auto"/>
          <w:sz w:val="24"/>
          <w:szCs w:val="24"/>
          <w:highlight w:val="none"/>
          <w:lang w:val="zh-CN" w:eastAsia="zh-CN"/>
        </w:rPr>
        <w:t xml:space="preserve">总费用</w:t>
      </w:r>
      <w:r>
        <w:rPr>
          <w:rFonts w:hint="eastAsia" w:ascii="Times New Roman" w:hAnsi="Times New Roman"/>
          <w:color w:val="auto"/>
          <w:sz w:val="24"/>
          <w:szCs w:val="24"/>
          <w:highlight w:val="none"/>
          <w:lang w:val="zh-CN"/>
        </w:rPr>
        <w:t xml:space="preserve">）</w:t>
      </w:r>
      <w:r/>
    </w:p>
    <w:p>
      <w:pPr>
        <w:contextualSpacing/>
        <w:ind w:firstLine="480"/>
        <w:spacing w:line="400" w:lineRule="exact"/>
        <w:rPr>
          <w:rFonts w:ascii="Times New Roman" w:hAnsi="Times New Roman"/>
          <w:b/>
          <w:bCs/>
          <w:color w:val="auto"/>
          <w:sz w:val="28"/>
          <w:szCs w:val="28"/>
          <w:highlight w:val="none"/>
        </w:rPr>
      </w:pPr>
      <w:r>
        <w:rPr>
          <w:rFonts w:ascii="Times New Roman" w:hAnsi="Times New Roman"/>
          <w:color w:val="auto"/>
          <w:sz w:val="24"/>
          <w:szCs w:val="24"/>
          <w:highlight w:val="none"/>
        </w:rPr>
        <w:t xml:space="preserve">6.最高限价：</w:t>
      </w:r>
      <w:r>
        <w:rPr>
          <w:rFonts w:hint="eastAsia" w:ascii="Times New Roman" w:hAnsi="Times New Roman"/>
          <w:color w:val="auto"/>
          <w:sz w:val="24"/>
          <w:szCs w:val="24"/>
          <w:highlight w:val="none"/>
          <w:lang w:val="en-US" w:eastAsia="zh-CN"/>
        </w:rPr>
        <w:t xml:space="preserve">预估总价</w:t>
      </w:r>
      <w:r>
        <w:rPr>
          <w:rFonts w:hint="eastAsia" w:ascii="Times New Roman" w:hAnsi="Times New Roman"/>
          <w:color w:val="auto"/>
          <w:sz w:val="24"/>
          <w:szCs w:val="24"/>
          <w:highlight w:val="none"/>
        </w:rPr>
        <w:t xml:space="preserve">201</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zh-CN" w:eastAsia="zh-CN"/>
        </w:rPr>
        <w:t xml:space="preserve">三年</w:t>
      </w:r>
      <w:r>
        <w:rPr>
          <w:rFonts w:hint="eastAsia" w:ascii="Times New Roman" w:hAnsi="Times New Roman"/>
          <w:color w:val="auto"/>
          <w:sz w:val="24"/>
          <w:szCs w:val="24"/>
          <w:highlight w:val="none"/>
          <w:lang w:val="en-US" w:eastAsia="zh-CN"/>
        </w:rPr>
        <w:t xml:space="preserve">的</w:t>
      </w:r>
      <w:r>
        <w:rPr>
          <w:rFonts w:hint="eastAsia" w:ascii="Times New Roman" w:hAnsi="Times New Roman"/>
          <w:color w:val="auto"/>
          <w:sz w:val="24"/>
          <w:szCs w:val="24"/>
          <w:highlight w:val="none"/>
          <w:lang w:val="zh-CN" w:eastAsia="zh-CN"/>
        </w:rPr>
        <w:t xml:space="preserve">总费用</w:t>
      </w:r>
      <w:r>
        <w:rPr>
          <w:rFonts w:hint="eastAsia" w:ascii="Times New Roman" w:hAnsi="Times New Roman"/>
          <w:color w:val="auto"/>
          <w:sz w:val="24"/>
          <w:szCs w:val="24"/>
          <w:highlight w:val="none"/>
          <w:lang w:val="zh-CN"/>
        </w:rPr>
        <w:t xml:space="preserve">）</w:t>
      </w:r>
      <w:r>
        <w:rPr>
          <w:rFonts w:hint="eastAsia" w:ascii="宋体" w:hAnsi="宋体"/>
          <w:b/>
          <w:color w:val="auto"/>
          <w:sz w:val="24"/>
          <w:szCs w:val="24"/>
          <w:highlight w:val="none"/>
        </w:rPr>
        <w:t xml:space="preserve">（最终结算金额按实际完成的宗地数量×分项中标单价，其中分项预算单价为：</w:t>
      </w:r>
      <w:r>
        <w:rPr>
          <w:rFonts w:hint="eastAsia" w:ascii="宋体" w:hAnsi="宋体"/>
          <w:b/>
          <w:color w:val="auto"/>
          <w:sz w:val="24"/>
          <w:szCs w:val="24"/>
          <w:highlight w:val="none"/>
          <w:lang w:eastAsia="zh-CN"/>
        </w:rPr>
        <w:t xml:space="preserve">更新调查</w:t>
      </w:r>
      <w:r>
        <w:rPr>
          <w:rFonts w:hint="eastAsia" w:ascii="宋体" w:hAnsi="宋体"/>
          <w:b/>
          <w:color w:val="auto"/>
          <w:sz w:val="24"/>
          <w:szCs w:val="24"/>
          <w:highlight w:val="none"/>
          <w:lang w:val="en-US" w:eastAsia="zh-CN"/>
        </w:rPr>
        <w:t xml:space="preserve">120</w:t>
      </w:r>
      <w:r>
        <w:rPr>
          <w:rFonts w:hint="eastAsia" w:ascii="宋体" w:hAnsi="宋体"/>
          <w:b/>
          <w:color w:val="auto"/>
          <w:sz w:val="24"/>
          <w:szCs w:val="24"/>
          <w:highlight w:val="none"/>
        </w:rPr>
        <w:t xml:space="preserve">元/宗；</w:t>
      </w:r>
      <w:r>
        <w:rPr>
          <w:rFonts w:hint="eastAsia" w:ascii="宋体" w:hAnsi="宋体"/>
          <w:b/>
          <w:color w:val="auto"/>
          <w:sz w:val="24"/>
          <w:szCs w:val="24"/>
          <w:highlight w:val="none"/>
          <w:lang w:eastAsia="zh-CN"/>
        </w:rPr>
        <w:t xml:space="preserve">补充测绘调查</w:t>
      </w:r>
      <w:r>
        <w:rPr>
          <w:rFonts w:hint="eastAsia" w:ascii="宋体" w:hAnsi="宋体"/>
          <w:b/>
          <w:color w:val="auto"/>
          <w:sz w:val="24"/>
          <w:szCs w:val="24"/>
          <w:highlight w:val="none"/>
          <w:lang w:val="en-US" w:eastAsia="zh-CN"/>
        </w:rPr>
        <w:t xml:space="preserve">300元/宗）</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最终报价（</w:t>
      </w:r>
      <w:r>
        <w:rPr>
          <w:rFonts w:hint="eastAsia" w:ascii="宋体" w:hAnsi="宋体"/>
          <w:b/>
          <w:color w:val="auto"/>
          <w:sz w:val="24"/>
          <w:szCs w:val="24"/>
          <w:highlight w:val="none"/>
        </w:rPr>
        <w:t xml:space="preserve">分项单价报价</w:t>
      </w:r>
      <w:r>
        <w:rPr>
          <w:rFonts w:hint="eastAsia" w:ascii="宋体" w:hAnsi="宋体"/>
          <w:color w:val="auto"/>
          <w:sz w:val="24"/>
          <w:szCs w:val="24"/>
          <w:highlight w:val="none"/>
        </w:rPr>
        <w:t xml:space="preserve">）超过</w:t>
      </w:r>
      <w:r>
        <w:rPr>
          <w:rFonts w:ascii="Times New Roman" w:hAnsi="Times New Roman"/>
          <w:color w:val="auto"/>
          <w:sz w:val="24"/>
          <w:szCs w:val="24"/>
          <w:highlight w:val="none"/>
        </w:rPr>
        <w:t xml:space="preserve">最高限价</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分项预算单价</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为无效投标。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7.采购需求（简介）：详见磋商文件第四章,请仔细研究。</w:t>
      </w:r>
      <w:r/>
    </w:p>
    <w:p>
      <w:pPr>
        <w:contextualSpacing/>
        <w:ind w:firstLine="480"/>
        <w:spacing w:line="400" w:lineRule="exact"/>
        <w:rPr>
          <w:rFonts w:hint="eastAsia" w:ascii="宋体" w:hAnsi="宋体" w:eastAsia="宋体" w:cs="宋体"/>
          <w:color w:val="auto"/>
          <w:spacing w:val="-2"/>
          <w:sz w:val="24"/>
          <w:szCs w:val="24"/>
          <w:highlight w:val="none"/>
          <w:lang w:val="en-US" w:eastAsia="zh-CN" w:bidi="ar-SA"/>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lang w:eastAsia="zh-CN"/>
        </w:rPr>
        <w:t xml:space="preserve">履行时间（</w:t>
      </w:r>
      <w:r>
        <w:rPr>
          <w:rFonts w:ascii="Times New Roman" w:hAnsi="Times New Roman"/>
          <w:color w:val="auto"/>
          <w:sz w:val="24"/>
          <w:szCs w:val="24"/>
          <w:highlight w:val="none"/>
        </w:rPr>
        <w:t xml:space="preserve">期限</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w:t>
      </w:r>
      <w:r>
        <w:rPr>
          <w:rFonts w:hint="eastAsia" w:ascii="宋体" w:hAnsi="宋体" w:eastAsia="宋体" w:cs="宋体"/>
          <w:color w:val="auto"/>
          <w:spacing w:val="-2"/>
          <w:sz w:val="24"/>
          <w:szCs w:val="24"/>
          <w:highlight w:val="none"/>
          <w:lang w:val="en-US" w:eastAsia="zh-CN" w:bidi="ar-SA"/>
        </w:rPr>
        <w:t xml:space="preserve">合同签订之日起三年（2026年8月至2029年7月）</w:t>
      </w:r>
      <w:r>
        <w:rPr>
          <w:rFonts w:hint="eastAsia" w:ascii="宋体" w:hAnsi="宋体" w:cs="宋体"/>
          <w:bCs/>
          <w:color w:val="auto"/>
          <w:sz w:val="24"/>
          <w:szCs w:val="24"/>
          <w:highlight w:val="none"/>
          <w:lang w:val="en-US" w:eastAsia="zh-CN"/>
        </w:rPr>
        <w:t xml:space="preserve">成交供应商必须在采购人委托期限内完成委托工作，并提交相关成果资料，不得逾期。</w:t>
      </w:r>
      <w:r>
        <w:rPr>
          <w:rFonts w:hint="eastAsia" w:ascii="宋体" w:hAnsi="宋体" w:eastAsia="宋体" w:cs="宋体"/>
          <w:color w:val="auto"/>
          <w:spacing w:val="-2"/>
          <w:sz w:val="24"/>
          <w:szCs w:val="24"/>
          <w:highlight w:val="none"/>
          <w:lang w:val="en-US" w:eastAsia="zh-CN" w:bidi="ar-SA"/>
        </w:rPr>
        <w:t xml:space="preserve">履行期限届满后，若有与本项目有关的未尽事宜，</w:t>
      </w:r>
      <w:r>
        <w:rPr>
          <w:rFonts w:hint="eastAsia" w:ascii="宋体" w:hAnsi="宋体" w:cs="宋体"/>
          <w:color w:val="auto"/>
          <w:spacing w:val="-2"/>
          <w:sz w:val="24"/>
          <w:szCs w:val="24"/>
          <w:highlight w:val="none"/>
          <w:lang w:val="en-US" w:eastAsia="zh-CN" w:bidi="ar-SA"/>
        </w:rPr>
        <w:t xml:space="preserve">成交供应商</w:t>
      </w:r>
      <w:r>
        <w:rPr>
          <w:rFonts w:hint="eastAsia" w:ascii="宋体" w:hAnsi="宋体" w:eastAsia="宋体" w:cs="宋体"/>
          <w:color w:val="auto"/>
          <w:spacing w:val="-2"/>
          <w:sz w:val="24"/>
          <w:szCs w:val="24"/>
          <w:highlight w:val="none"/>
          <w:lang w:val="en-US" w:eastAsia="zh-CN" w:bidi="ar-SA"/>
        </w:rPr>
        <w:t xml:space="preserve">应免费负责处理。</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9.本项目是否接受联合体投标：</w:t>
      </w:r>
      <w:r>
        <w:rPr>
          <w:rFonts w:hint="eastAsia" w:ascii="Times New Roman" w:hAnsi="Times New Roman"/>
          <w:color w:val="auto"/>
          <w:sz w:val="24"/>
          <w:szCs w:val="24"/>
          <w:highlight w:val="none"/>
        </w:rPr>
        <w:t xml:space="preserve">否</w:t>
      </w:r>
      <w:r>
        <w:rPr>
          <w:rFonts w:ascii="Times New Roman" w:hAnsi="Times New Roman"/>
          <w:color w:val="auto"/>
          <w:sz w:val="24"/>
          <w:szCs w:val="24"/>
          <w:highlight w:val="none"/>
        </w:rPr>
        <w:t xml:space="preserve">。</w:t>
      </w:r>
      <w:r/>
    </w:p>
    <w:p>
      <w:pPr>
        <w:contextualSpacing/>
        <w:ind w:firstLine="482"/>
        <w:spacing w:line="400" w:lineRule="exact"/>
        <w:rPr>
          <w:rFonts w:ascii="Times New Roman" w:hAnsi="Times New Roman"/>
          <w:b/>
          <w:bCs/>
          <w:i w:val="0"/>
          <w:iCs w:val="0"/>
          <w:color w:val="auto"/>
          <w:sz w:val="24"/>
          <w:szCs w:val="24"/>
          <w:highlight w:val="none"/>
        </w:rPr>
      </w:pPr>
      <w:r>
        <w:rPr>
          <w:rFonts w:ascii="Times New Roman" w:hAnsi="Times New Roman"/>
          <w:b/>
          <w:bCs/>
          <w:i w:val="0"/>
          <w:iCs w:val="0"/>
          <w:color w:val="auto"/>
          <w:sz w:val="24"/>
          <w:szCs w:val="24"/>
          <w:highlight w:val="none"/>
        </w:rPr>
        <w:t xml:space="preserve">10.本项目是否专门面向中小企业采购: </w:t>
      </w:r>
      <w:r>
        <w:rPr>
          <w:rFonts w:hint="eastAsia" w:ascii="Times New Roman" w:hAnsi="Times New Roman"/>
          <w:b/>
          <w:bCs/>
          <w:i w:val="0"/>
          <w:iCs w:val="0"/>
          <w:color w:val="auto"/>
          <w:sz w:val="24"/>
          <w:szCs w:val="24"/>
          <w:highlight w:val="none"/>
          <w:lang w:eastAsia="zh-CN"/>
        </w:rPr>
        <w:t xml:space="preserve">是</w:t>
      </w:r>
      <w:r>
        <w:rPr>
          <w:rFonts w:ascii="Times New Roman" w:hAnsi="Times New Roman"/>
          <w:b/>
          <w:bCs/>
          <w:i w:val="0"/>
          <w:iCs w:val="0"/>
          <w:color w:val="auto"/>
          <w:sz w:val="24"/>
          <w:szCs w:val="24"/>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28359003"/>
      <w:r/>
      <w:bookmarkStart w:id="13" w:name="_Toc28359080"/>
      <w:r/>
      <w:bookmarkStart w:id="14" w:name="_Toc38985264"/>
      <w:r/>
      <w:bookmarkStart w:id="15" w:name="_Toc35393622"/>
      <w:r/>
      <w:bookmarkStart w:id="16" w:name="_Toc35393791"/>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color w:val="auto"/>
          <w:sz w:val="24"/>
          <w:szCs w:val="24"/>
          <w:highlight w:val="none"/>
        </w:rPr>
        <w:t xml:space="preserve">（响应文件中无需提供证明材料）</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本项目属于专门面向中小微型企业采购。残疾人福利性单位、监狱和戒毒企业（简称监狱企业）视同小型、微型企业。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723"/>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本项目特定资格要求：</w:t>
      </w:r>
      <w:r>
        <w:rPr>
          <w:rFonts w:hint="eastAsia" w:ascii="Times New Roman" w:hAnsi="Times New Roman"/>
          <w:b/>
          <w:bCs/>
          <w:color w:val="auto"/>
          <w:sz w:val="24"/>
          <w:szCs w:val="24"/>
          <w:highlight w:val="none"/>
        </w:rPr>
        <w:t xml:space="preserve">供应商具有国家测绘主管部门颁发的乙级及以上测绘资质证书且专业类别包含</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界线与不动产测绘</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和“地理信息系统工程”。</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38985266"/>
      <w:r/>
      <w:bookmarkStart w:id="23" w:name="_Toc28359082"/>
      <w:r/>
      <w:bookmarkStart w:id="24" w:name="_Toc35393624"/>
      <w:r/>
      <w:bookmarkStart w:id="25" w:name="_Toc35393793"/>
      <w:r/>
      <w:bookmarkStart w:id="26" w:name="_Toc28359005"/>
      <w:r/>
      <w:bookmarkStart w:id="27" w:name="_Toc35393625"/>
      <w:r/>
      <w:bookmarkStart w:id="28" w:name="_Toc28359007"/>
      <w:r/>
      <w:bookmarkStart w:id="29" w:name="_Toc38985267"/>
      <w:r/>
      <w:bookmarkStart w:id="30" w:name="_Toc28359084"/>
      <w:r/>
      <w:bookmarkStart w:id="31" w:name="_Toc35393794"/>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ascii="Times New Roman" w:hAnsi="Times New Roman"/>
          <w:b w:val="0"/>
          <w:bCs w:val="0"/>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时00分（北京时间）。逾时，系统将拒绝接受上传响应文件电子文档。</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5393795"/>
      <w:r/>
      <w:bookmarkStart w:id="33" w:name="_Toc38985268"/>
      <w:r/>
      <w:bookmarkStart w:id="34" w:name="_Toc35393626"/>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627"/>
      <w:r/>
      <w:bookmarkStart w:id="36" w:name="_Toc38985269"/>
      <w:r/>
      <w:bookmarkStart w:id="37" w:name="_Toc35393796"/>
      <w:r/>
      <w:bookmarkStart w:id="38" w:name="_Toc28359085"/>
      <w:r/>
      <w:bookmarkStart w:id="39" w:name="_Toc28359008"/>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4.开标当天供应商应及时登录“苏采云”政府采购一体化平台，并</w:t>
      </w:r>
      <w:r>
        <w:rPr>
          <w:rFonts w:ascii="Times New Roman" w:hAnsi="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480"/>
        <w:jc w:val="left"/>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称：如东县自然资源和规划局</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地址：如东县城中街道长江路25号 </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联系人：徐荣 </w:t>
      </w:r>
      <w:r/>
    </w:p>
    <w:p>
      <w:pPr>
        <w:ind w:firstLine="480"/>
        <w:spacing w:line="44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18921692099</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2.代理机构信息</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称：江苏衡晟项目管理咨询有限公司</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联系人：王海军</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联系方式：18662855686/15906291850      </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 徐荣     </w:t>
      </w:r>
      <w:r/>
    </w:p>
    <w:p>
      <w:pPr>
        <w:ind w:firstLine="480"/>
        <w:spacing w:line="44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18921692099</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4.软件维护人员</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5.CA联系方式</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联系人：朱工 </w:t>
      </w:r>
      <w:r/>
    </w:p>
    <w:p>
      <w:pPr>
        <w:ind w:firstLine="480"/>
        <w:jc w:val="left"/>
        <w:spacing w:line="44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40"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40"/>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41" w:name="_Toc16938519"/>
      <w:r/>
      <w:bookmarkStart w:id="42" w:name="_Toc513029203"/>
      <w:r/>
      <w:bookmarkStart w:id="43" w:name="_Toc120614214"/>
      <w:r/>
      <w:bookmarkStart w:id="44" w:name="_Toc20823275"/>
      <w:r>
        <w:rPr>
          <w:rFonts w:ascii="Times New Roman" w:hAnsi="Times New Roman"/>
          <w:b/>
          <w:bCs/>
          <w:color w:val="auto"/>
          <w:sz w:val="32"/>
          <w:szCs w:val="32"/>
          <w:highlight w:val="none"/>
        </w:rPr>
        <w:t xml:space="preserve">一、总则</w:t>
      </w:r>
      <w:bookmarkEnd w:id="41"/>
      <w:r/>
      <w:bookmarkEnd w:id="42"/>
      <w:r/>
      <w:bookmarkEnd w:id="43"/>
      <w:r/>
      <w:bookmarkEnd w:id="44"/>
      <w:r/>
      <w:r/>
    </w:p>
    <w:p>
      <w:pPr>
        <w:ind w:firstLine="560"/>
        <w:keepLines/>
        <w:keepNext/>
        <w:spacing w:line="400" w:lineRule="exact"/>
        <w:rPr>
          <w:rFonts w:ascii="Times New Roman" w:hAnsi="Times New Roman" w:eastAsia="黑体"/>
          <w:color w:val="auto"/>
          <w:sz w:val="28"/>
          <w:szCs w:val="28"/>
          <w:highlight w:val="none"/>
        </w:rPr>
        <w:outlineLvl w:val="3"/>
      </w:pPr>
      <w:r/>
      <w:bookmarkStart w:id="45" w:name="_Hlt16619475"/>
      <w:r/>
      <w:bookmarkEnd w:id="45"/>
      <w:r/>
      <w:bookmarkStart w:id="46" w:name="_Toc458694821"/>
      <w:r/>
      <w:bookmarkStart w:id="47" w:name="_Toc513029204"/>
      <w:r/>
      <w:bookmarkStart w:id="48" w:name="_Toc20823276"/>
      <w:r/>
      <w:bookmarkStart w:id="49" w:name="_Toc16938520"/>
      <w:r>
        <w:rPr>
          <w:rFonts w:ascii="Times New Roman" w:hAnsi="Times New Roman" w:eastAsia="黑体"/>
          <w:color w:val="auto"/>
          <w:sz w:val="28"/>
          <w:szCs w:val="28"/>
          <w:highlight w:val="none"/>
        </w:rPr>
        <w:t xml:space="preserve">1</w:t>
      </w:r>
      <w:bookmarkEnd w:id="46"/>
      <w:r>
        <w:rPr>
          <w:rFonts w:ascii="Times New Roman" w:hAnsi="Times New Roman" w:eastAsia="黑体"/>
          <w:color w:val="auto"/>
          <w:sz w:val="28"/>
          <w:szCs w:val="28"/>
          <w:highlight w:val="none"/>
        </w:rPr>
        <w:t xml:space="preserve">、采购方式</w:t>
      </w:r>
      <w:bookmarkEnd w:id="47"/>
      <w:r/>
      <w:bookmarkEnd w:id="48"/>
      <w:r/>
      <w:bookmarkEnd w:id="4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50" w:name="_Toc513029205"/>
      <w:r/>
      <w:bookmarkStart w:id="51" w:name="_Toc20823277"/>
      <w:r/>
      <w:bookmarkStart w:id="52" w:name="_Toc16938521"/>
      <w:r>
        <w:rPr>
          <w:rFonts w:ascii="Times New Roman" w:hAnsi="Times New Roman" w:eastAsia="黑体"/>
          <w:color w:val="auto"/>
          <w:sz w:val="28"/>
          <w:szCs w:val="28"/>
          <w:highlight w:val="none"/>
        </w:rPr>
        <w:t xml:space="preserve">2、合格的</w:t>
      </w:r>
      <w:bookmarkEnd w:id="50"/>
      <w:r/>
      <w:bookmarkEnd w:id="51"/>
      <w:r/>
      <w:bookmarkEnd w:id="52"/>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53" w:name="_Toc16938522"/>
      <w:r/>
      <w:bookmarkStart w:id="54" w:name="_Toc513029206"/>
      <w:r/>
      <w:bookmarkStart w:id="55" w:name="_Toc20823278"/>
      <w:r>
        <w:rPr>
          <w:rFonts w:ascii="Times New Roman" w:hAnsi="Times New Roman" w:eastAsia="黑体"/>
          <w:color w:val="auto"/>
          <w:sz w:val="28"/>
          <w:szCs w:val="28"/>
          <w:highlight w:val="none"/>
        </w:rPr>
        <w:t xml:space="preserve">3、适用法律</w:t>
      </w:r>
      <w:bookmarkEnd w:id="53"/>
      <w:r/>
      <w:bookmarkEnd w:id="54"/>
      <w:r/>
      <w:bookmarkEnd w:id="55"/>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56" w:name="_Toc513029207"/>
      <w:r/>
      <w:bookmarkStart w:id="57" w:name="_Toc20823279"/>
      <w:r/>
      <w:bookmarkStart w:id="58" w:name="_Toc462564067"/>
      <w:r/>
      <w:bookmarkStart w:id="59" w:name="_Toc16938523"/>
      <w:r>
        <w:rPr>
          <w:rFonts w:ascii="Times New Roman" w:hAnsi="Times New Roman" w:eastAsia="黑体"/>
          <w:color w:val="auto"/>
          <w:sz w:val="28"/>
          <w:szCs w:val="28"/>
          <w:highlight w:val="none"/>
        </w:rPr>
        <w:t xml:space="preserve">4、磋商费用</w:t>
      </w:r>
      <w:bookmarkEnd w:id="56"/>
      <w:r/>
      <w:bookmarkEnd w:id="57"/>
      <w:r/>
      <w:bookmarkEnd w:id="58"/>
      <w:r/>
      <w:bookmarkEnd w:id="59"/>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w:t>
      </w:r>
      <w:r>
        <w:rPr>
          <w:rFonts w:hint="eastAsia" w:ascii="Times New Roman" w:hAnsi="Times New Roman"/>
          <w:b/>
          <w:bCs/>
          <w:color w:val="auto"/>
          <w:sz w:val="24"/>
          <w:szCs w:val="24"/>
          <w:highlight w:val="none"/>
          <w:u w:val="single"/>
        </w:rPr>
        <w:t xml:space="preserve">代理费按14000元</w:t>
      </w:r>
      <w:r>
        <w:rPr>
          <w:rFonts w:hint="eastAsia" w:ascii="Times New Roman" w:hAnsi="Times New Roman"/>
          <w:b/>
          <w:bCs/>
          <w:color w:val="auto"/>
          <w:sz w:val="24"/>
          <w:szCs w:val="24"/>
          <w:highlight w:val="none"/>
          <w:u w:val="single"/>
          <w:lang w:val="en-US" w:eastAsia="zh-CN"/>
        </w:rPr>
        <w:t xml:space="preserve">收取</w:t>
      </w:r>
      <w:r>
        <w:rPr>
          <w:rFonts w:hint="eastAsia"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请各供应商将此费用一并考虑在投标</w:t>
      </w:r>
      <w:r>
        <w:rPr>
          <w:rFonts w:hint="eastAsia" w:ascii="Times New Roman" w:hAnsi="Times New Roman"/>
          <w:b/>
          <w:bCs/>
          <w:color w:val="auto"/>
          <w:sz w:val="24"/>
          <w:szCs w:val="24"/>
          <w:highlight w:val="none"/>
          <w:lang w:eastAsia="zh-CN"/>
        </w:rPr>
        <w:t xml:space="preserve">（</w:t>
      </w:r>
      <w:r>
        <w:rPr>
          <w:rFonts w:hint="eastAsia" w:ascii="Times New Roman" w:hAnsi="Times New Roman"/>
          <w:b/>
          <w:bCs/>
          <w:color w:val="auto"/>
          <w:sz w:val="24"/>
          <w:szCs w:val="24"/>
          <w:highlight w:val="none"/>
          <w:lang w:val="en-US" w:eastAsia="zh-CN"/>
        </w:rPr>
        <w:t xml:space="preserve">响应</w:t>
      </w:r>
      <w:r>
        <w:rPr>
          <w:rFonts w:hint="eastAsia" w:ascii="Times New Roman" w:hAnsi="Times New Roman"/>
          <w:b/>
          <w:bCs/>
          <w:color w:val="auto"/>
          <w:sz w:val="24"/>
          <w:szCs w:val="24"/>
          <w:highlight w:val="none"/>
          <w:lang w:eastAsia="zh-CN"/>
        </w:rPr>
        <w:t xml:space="preserve">）</w:t>
      </w:r>
      <w:r>
        <w:rPr>
          <w:rFonts w:ascii="Times New Roman" w:hAnsi="Times New Roman"/>
          <w:b/>
          <w:bCs/>
          <w:color w:val="auto"/>
          <w:sz w:val="24"/>
          <w:szCs w:val="24"/>
          <w:highlight w:val="none"/>
        </w:rPr>
        <w:t xml:space="preserve">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0" w:name="_Toc20823281"/>
      <w:r/>
      <w:bookmarkStart w:id="61" w:name="_Toc120614215"/>
      <w:r/>
      <w:bookmarkStart w:id="62" w:name="_Toc513029209"/>
      <w:r/>
      <w:bookmarkStart w:id="63" w:name="_Toc16938525"/>
      <w:r>
        <w:rPr>
          <w:rFonts w:ascii="Times New Roman" w:hAnsi="Times New Roman"/>
          <w:b/>
          <w:bCs/>
          <w:color w:val="auto"/>
          <w:sz w:val="32"/>
          <w:szCs w:val="32"/>
          <w:highlight w:val="none"/>
        </w:rPr>
        <w:t xml:space="preserve">二、</w:t>
      </w:r>
      <w:bookmarkEnd w:id="60"/>
      <w:r/>
      <w:bookmarkEnd w:id="61"/>
      <w:r/>
      <w:bookmarkEnd w:id="62"/>
      <w:r/>
      <w:bookmarkEnd w:id="63"/>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513029210"/>
      <w:r/>
      <w:bookmarkStart w:id="65" w:name="_Toc16938526"/>
      <w:r/>
      <w:bookmarkStart w:id="66" w:name="_Toc20823282"/>
      <w:r>
        <w:rPr>
          <w:rFonts w:ascii="Times New Roman" w:hAnsi="Times New Roman" w:eastAsia="黑体"/>
          <w:color w:val="auto"/>
          <w:sz w:val="28"/>
          <w:szCs w:val="28"/>
          <w:highlight w:val="none"/>
        </w:rPr>
        <w:t xml:space="preserve">6、磋商文件构成</w:t>
      </w:r>
      <w:bookmarkEnd w:id="64"/>
      <w:r/>
      <w:bookmarkEnd w:id="65"/>
      <w:r/>
      <w:bookmarkEnd w:id="66"/>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462564070"/>
      <w:r/>
      <w:bookmarkStart w:id="68" w:name="_Toc513029211"/>
      <w:r/>
      <w:bookmarkStart w:id="69" w:name="_Toc20823283"/>
      <w:r/>
      <w:bookmarkStart w:id="70" w:name="_Toc16938527"/>
      <w:r>
        <w:rPr>
          <w:rFonts w:ascii="Times New Roman" w:hAnsi="Times New Roman" w:eastAsia="黑体"/>
          <w:color w:val="auto"/>
          <w:sz w:val="28"/>
          <w:szCs w:val="28"/>
          <w:highlight w:val="none"/>
        </w:rPr>
        <w:t xml:space="preserve">7、磋商文件的澄清</w:t>
      </w:r>
      <w:bookmarkEnd w:id="67"/>
      <w:r/>
      <w:bookmarkEnd w:id="68"/>
      <w:r/>
      <w:bookmarkEnd w:id="69"/>
      <w:r/>
      <w:bookmarkEnd w:id="70"/>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71" w:name="_Toc462564071"/>
      <w:r/>
      <w:bookmarkStart w:id="72" w:name="_Toc20823284"/>
      <w:r/>
      <w:bookmarkStart w:id="73" w:name="_Toc16938528"/>
      <w:r/>
      <w:bookmarkStart w:id="74" w:name="_Toc513029212"/>
      <w:r>
        <w:rPr>
          <w:rFonts w:ascii="Times New Roman" w:hAnsi="Times New Roman" w:eastAsia="黑体"/>
          <w:color w:val="auto"/>
          <w:sz w:val="28"/>
          <w:szCs w:val="28"/>
          <w:highlight w:val="none"/>
        </w:rPr>
        <w:t xml:space="preserve">8、磋商文件的澄清和修改</w:t>
      </w:r>
      <w:bookmarkEnd w:id="71"/>
      <w:r/>
      <w:bookmarkEnd w:id="72"/>
      <w:r/>
      <w:bookmarkEnd w:id="73"/>
      <w:r/>
      <w:bookmarkEnd w:id="74"/>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5" w:name="_Toc20823285"/>
      <w:r/>
      <w:bookmarkStart w:id="76" w:name="_Toc462564072"/>
      <w:r/>
      <w:bookmarkStart w:id="77" w:name="_Toc16938529"/>
      <w:r/>
      <w:bookmarkStart w:id="78" w:name="_Toc120614216"/>
      <w:r/>
      <w:bookmarkStart w:id="79" w:name="_Toc513029213"/>
      <w:r>
        <w:rPr>
          <w:rFonts w:ascii="Times New Roman" w:hAnsi="Times New Roman"/>
          <w:b/>
          <w:bCs/>
          <w:color w:val="auto"/>
          <w:sz w:val="32"/>
          <w:szCs w:val="32"/>
          <w:highlight w:val="none"/>
        </w:rPr>
        <w:t xml:space="preserve">三、响应文件的编制</w:t>
      </w:r>
      <w:bookmarkEnd w:id="75"/>
      <w:r/>
      <w:bookmarkEnd w:id="76"/>
      <w:r/>
      <w:bookmarkEnd w:id="77"/>
      <w:r/>
      <w:bookmarkEnd w:id="78"/>
      <w:r/>
      <w:bookmarkEnd w:id="79"/>
      <w:r/>
      <w:r/>
    </w:p>
    <w:p>
      <w:pPr>
        <w:ind w:firstLine="560"/>
        <w:keepLines/>
        <w:keepNext/>
        <w:spacing w:line="400" w:lineRule="exact"/>
        <w:rPr>
          <w:rFonts w:ascii="Times New Roman" w:hAnsi="Times New Roman" w:eastAsia="黑体"/>
          <w:b/>
          <w:color w:val="auto"/>
          <w:sz w:val="28"/>
          <w:szCs w:val="28"/>
          <w:highlight w:val="none"/>
        </w:rPr>
        <w:outlineLvl w:val="3"/>
      </w:pPr>
      <w:r/>
      <w:bookmarkStart w:id="80" w:name="_Toc20823286"/>
      <w:r/>
      <w:bookmarkStart w:id="81" w:name="_Toc513029214"/>
      <w:r/>
      <w:bookmarkStart w:id="82" w:name="_Toc16938530"/>
      <w:r/>
      <w:bookmarkStart w:id="83" w:name="_Toc462564073"/>
      <w:r>
        <w:rPr>
          <w:rFonts w:ascii="Times New Roman" w:hAnsi="Times New Roman" w:eastAsia="黑体"/>
          <w:color w:val="auto"/>
          <w:sz w:val="28"/>
          <w:szCs w:val="28"/>
          <w:highlight w:val="none"/>
        </w:rPr>
        <w:t xml:space="preserve">9、响应文件的语言及度量衡单位</w:t>
      </w:r>
      <w:bookmarkEnd w:id="80"/>
      <w:r/>
      <w:bookmarkEnd w:id="81"/>
      <w:r/>
      <w:bookmarkEnd w:id="82"/>
      <w:r/>
      <w:bookmarkEnd w:id="8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84" w:name="_Toc16938531"/>
      <w:r/>
      <w:bookmarkStart w:id="85" w:name="_Toc513029215"/>
      <w:r/>
      <w:bookmarkStart w:id="86" w:name="_Toc462564074"/>
      <w:r/>
      <w:bookmarkStart w:id="87" w:name="_Toc20823287"/>
      <w:r>
        <w:rPr>
          <w:rFonts w:ascii="Times New Roman" w:hAnsi="Times New Roman" w:eastAsia="黑体"/>
          <w:color w:val="auto"/>
          <w:sz w:val="28"/>
          <w:szCs w:val="28"/>
          <w:highlight w:val="none"/>
        </w:rPr>
        <w:t xml:space="preserve">10、响应文件构成</w:t>
      </w:r>
      <w:bookmarkEnd w:id="84"/>
      <w:r/>
      <w:bookmarkEnd w:id="85"/>
      <w:r/>
      <w:bookmarkEnd w:id="86"/>
      <w:r/>
      <w:bookmarkEnd w:id="8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88" w:name="_Hlt26670360"/>
      <w:r/>
      <w:bookmarkEnd w:id="88"/>
      <w:r/>
      <w:bookmarkStart w:id="89" w:name="_Hlt26668975"/>
      <w:r/>
      <w:bookmarkEnd w:id="89"/>
      <w:r/>
      <w:bookmarkStart w:id="90" w:name="_Hlt26954838"/>
      <w:r/>
      <w:bookmarkEnd w:id="90"/>
      <w:r/>
      <w:bookmarkStart w:id="91" w:name="_Toc49090509"/>
      <w:r/>
      <w:bookmarkStart w:id="92" w:name="_Toc513029219"/>
      <w:r/>
      <w:bookmarkStart w:id="93" w:name="_Toc14577357"/>
      <w:r/>
      <w:bookmarkStart w:id="94" w:name="_Toc14577354"/>
      <w:r/>
      <w:bookmarkStart w:id="95" w:name="_Toc49090507"/>
      <w:r/>
      <w:bookmarkStart w:id="96" w:name="_Toc513029216"/>
      <w:r/>
      <w:bookmarkStart w:id="97" w:name="_Toc49090508"/>
      <w:r/>
      <w:bookmarkStart w:id="98" w:name="_Toc14577355"/>
      <w:r>
        <w:rPr>
          <w:rFonts w:ascii="Times New Roman" w:hAnsi="Times New Roman" w:eastAsia="黑体"/>
          <w:color w:val="auto"/>
          <w:sz w:val="28"/>
          <w:szCs w:val="28"/>
          <w:highlight w:val="none"/>
        </w:rPr>
        <w:t xml:space="preserve">11、证明磋商响应标的符合磋商文件规定的文件</w:t>
      </w:r>
      <w:bookmarkEnd w:id="91"/>
      <w:r/>
      <w:bookmarkEnd w:id="92"/>
      <w:r/>
      <w:bookmarkEnd w:id="93"/>
      <w:r/>
      <w:bookmarkEnd w:id="94"/>
      <w:bookmarkEnd w:id="95"/>
      <w:bookmarkEnd w:id="96"/>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97"/>
      <w:bookmarkEnd w:id="98"/>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99" w:name="_Hlt26670486"/>
      <w:r/>
      <w:bookmarkEnd w:id="99"/>
      <w:r/>
      <w:bookmarkStart w:id="100" w:name="_Hlt26954731"/>
      <w:r/>
      <w:bookmarkEnd w:id="100"/>
      <w:r/>
      <w:bookmarkStart w:id="101" w:name="_Hlt26954846"/>
      <w:r/>
      <w:bookmarkEnd w:id="101"/>
      <w:r/>
      <w:bookmarkStart w:id="102" w:name="_Hlt26670482"/>
      <w:r/>
      <w:bookmarkEnd w:id="102"/>
      <w:r/>
      <w:bookmarkStart w:id="103" w:name="_Hlt26954848"/>
      <w:r/>
      <w:bookmarkEnd w:id="103"/>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04" w:name="_Toc49090510"/>
      <w:r/>
      <w:bookmarkStart w:id="105" w:name="_Toc14577359"/>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04"/>
      <w:bookmarkEnd w:id="105"/>
      <w:r/>
    </w:p>
    <w:p>
      <w:pPr>
        <w:ind w:firstLine="560"/>
        <w:keepLines/>
        <w:keepNext/>
        <w:spacing w:line="400" w:lineRule="exact"/>
        <w:rPr>
          <w:rFonts w:ascii="Times New Roman" w:hAnsi="Times New Roman" w:eastAsia="黑体"/>
          <w:color w:val="auto"/>
          <w:sz w:val="28"/>
          <w:szCs w:val="28"/>
          <w:highlight w:val="none"/>
        </w:rPr>
        <w:outlineLvl w:val="3"/>
      </w:pPr>
      <w:r/>
      <w:bookmarkStart w:id="106" w:name="_Toc14577360"/>
      <w:r/>
      <w:bookmarkStart w:id="107" w:name="_Toc49090511"/>
      <w:r>
        <w:rPr>
          <w:rFonts w:ascii="Times New Roman" w:hAnsi="Times New Roman" w:eastAsia="黑体"/>
          <w:color w:val="auto"/>
          <w:sz w:val="28"/>
          <w:szCs w:val="28"/>
          <w:highlight w:val="none"/>
        </w:rPr>
        <w:t xml:space="preserve">16、磋商有效期</w:t>
      </w:r>
      <w:bookmarkEnd w:id="106"/>
      <w:r/>
      <w:bookmarkEnd w:id="107"/>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08" w:name="_Hlt26954739"/>
      <w:r/>
      <w:bookmarkEnd w:id="108"/>
      <w:r/>
      <w:bookmarkStart w:id="109" w:name="_Hlt26954852"/>
      <w:r/>
      <w:bookmarkEnd w:id="109"/>
      <w:r/>
      <w:bookmarkStart w:id="110" w:name="_Toc120614217"/>
      <w:r/>
      <w:bookmarkStart w:id="111" w:name="_Toc513029224"/>
      <w:r/>
      <w:bookmarkStart w:id="112" w:name="_Toc16938540"/>
      <w:r/>
      <w:bookmarkStart w:id="113" w:name="_Toc20823296"/>
      <w:r>
        <w:rPr>
          <w:rFonts w:ascii="Times New Roman" w:hAnsi="Times New Roman"/>
          <w:b/>
          <w:bCs/>
          <w:color w:val="auto"/>
          <w:sz w:val="32"/>
          <w:szCs w:val="32"/>
          <w:highlight w:val="none"/>
        </w:rPr>
        <w:t xml:space="preserve">四、响应文件的递交</w:t>
      </w:r>
      <w:bookmarkEnd w:id="110"/>
      <w:r/>
      <w:bookmarkEnd w:id="111"/>
      <w:r/>
      <w:bookmarkEnd w:id="112"/>
      <w:r/>
      <w:bookmarkEnd w:id="113"/>
      <w:r/>
      <w:r/>
    </w:p>
    <w:p>
      <w:pPr>
        <w:ind w:firstLine="560"/>
        <w:keepLines/>
        <w:keepNext/>
        <w:spacing w:line="400" w:lineRule="exact"/>
        <w:rPr>
          <w:rFonts w:ascii="Times New Roman" w:hAnsi="Times New Roman" w:eastAsia="黑体"/>
          <w:color w:val="auto"/>
          <w:sz w:val="28"/>
          <w:szCs w:val="28"/>
          <w:highlight w:val="none"/>
        </w:rPr>
        <w:outlineLvl w:val="3"/>
      </w:pPr>
      <w:r/>
      <w:bookmarkStart w:id="114" w:name="_Toc513029225"/>
      <w:r/>
      <w:bookmarkStart w:id="115" w:name="_Toc462564084"/>
      <w:r/>
      <w:bookmarkStart w:id="116" w:name="_Toc20823297"/>
      <w:r/>
      <w:bookmarkStart w:id="117" w:name="_Toc16938541"/>
      <w:r>
        <w:rPr>
          <w:rFonts w:ascii="Times New Roman" w:hAnsi="Times New Roman" w:eastAsia="黑体"/>
          <w:color w:val="auto"/>
          <w:sz w:val="28"/>
          <w:szCs w:val="28"/>
          <w:highlight w:val="none"/>
        </w:rPr>
        <w:t xml:space="preserve">18、电子磋商</w:t>
      </w:r>
      <w:bookmarkEnd w:id="114"/>
      <w:r/>
      <w:bookmarkEnd w:id="115"/>
      <w:r/>
      <w:bookmarkEnd w:id="116"/>
      <w:r/>
      <w:bookmarkEnd w:id="117"/>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18" w:name="_Toc513029226"/>
      <w:r/>
      <w:bookmarkStart w:id="119" w:name="_Toc16938542"/>
      <w:r/>
      <w:bookmarkStart w:id="120" w:name="_Toc20823298"/>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18"/>
      <w:r/>
      <w:bookmarkEnd w:id="119"/>
      <w:r/>
      <w:bookmarkEnd w:id="120"/>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21" w:name="_Toc20823299"/>
      <w:r/>
      <w:bookmarkStart w:id="122" w:name="_Toc513029227"/>
      <w:r/>
      <w:bookmarkStart w:id="123" w:name="_Toc16938543"/>
      <w:r>
        <w:rPr>
          <w:rFonts w:ascii="Times New Roman" w:hAnsi="Times New Roman" w:eastAsia="黑体"/>
          <w:color w:val="auto"/>
          <w:sz w:val="28"/>
          <w:szCs w:val="28"/>
          <w:highlight w:val="none"/>
        </w:rPr>
        <w:t xml:space="preserve">20、响应文件</w:t>
      </w:r>
      <w:bookmarkEnd w:id="121"/>
      <w:r/>
      <w:bookmarkEnd w:id="122"/>
      <w:r/>
      <w:bookmarkEnd w:id="123"/>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24" w:name="_Toc513029228"/>
      <w:r/>
      <w:bookmarkStart w:id="125" w:name="_Toc16938544"/>
      <w:r/>
      <w:bookmarkStart w:id="126" w:name="_Toc20823300"/>
      <w:r>
        <w:rPr>
          <w:rFonts w:ascii="Times New Roman" w:hAnsi="Times New Roman" w:eastAsia="黑体"/>
          <w:color w:val="auto"/>
          <w:sz w:val="28"/>
          <w:szCs w:val="28"/>
          <w:highlight w:val="none"/>
        </w:rPr>
        <w:t xml:space="preserve">21、响应文件的撤回和修改</w:t>
      </w:r>
      <w:bookmarkEnd w:id="124"/>
      <w:r/>
      <w:bookmarkEnd w:id="125"/>
      <w:r/>
      <w:bookmarkEnd w:id="126"/>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7" w:name="_Toc20823301"/>
      <w:r/>
      <w:bookmarkStart w:id="128" w:name="_Toc120614218"/>
      <w:r/>
      <w:bookmarkStart w:id="129" w:name="_Toc513029229"/>
      <w:r/>
      <w:bookmarkStart w:id="130" w:name="_Toc16938545"/>
      <w:r>
        <w:rPr>
          <w:rFonts w:ascii="Times New Roman" w:hAnsi="Times New Roman"/>
          <w:b/>
          <w:bCs/>
          <w:color w:val="auto"/>
          <w:sz w:val="32"/>
          <w:szCs w:val="32"/>
          <w:highlight w:val="none"/>
        </w:rPr>
        <w:t xml:space="preserve">五、响应文件的解密与评审</w:t>
      </w:r>
      <w:bookmarkEnd w:id="127"/>
      <w:r/>
      <w:bookmarkEnd w:id="128"/>
      <w:r/>
      <w:bookmarkEnd w:id="129"/>
      <w:r/>
      <w:bookmarkEnd w:id="130"/>
      <w:r/>
      <w:r/>
    </w:p>
    <w:p>
      <w:pPr>
        <w:ind w:firstLine="560"/>
        <w:keepLines/>
        <w:keepNext/>
        <w:spacing w:line="400" w:lineRule="exact"/>
        <w:rPr>
          <w:rFonts w:ascii="Times New Roman" w:hAnsi="Times New Roman" w:eastAsia="黑体"/>
          <w:color w:val="auto"/>
          <w:sz w:val="28"/>
          <w:szCs w:val="28"/>
          <w:highlight w:val="none"/>
        </w:rPr>
        <w:outlineLvl w:val="3"/>
      </w:pPr>
      <w:r/>
      <w:bookmarkStart w:id="131" w:name="_Toc16938546"/>
      <w:r/>
      <w:bookmarkStart w:id="132" w:name="_Toc513029230"/>
      <w:r/>
      <w:bookmarkStart w:id="133" w:name="_Toc20823302"/>
      <w:r>
        <w:rPr>
          <w:rFonts w:ascii="Times New Roman" w:hAnsi="Times New Roman" w:eastAsia="黑体"/>
          <w:color w:val="auto"/>
          <w:sz w:val="28"/>
          <w:szCs w:val="28"/>
          <w:highlight w:val="none"/>
        </w:rPr>
        <w:t xml:space="preserve">22、</w:t>
      </w:r>
      <w:bookmarkEnd w:id="131"/>
      <w:r/>
      <w:bookmarkEnd w:id="132"/>
      <w:r/>
      <w:bookmarkEnd w:id="133"/>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34" w:name="_Toc20823303"/>
      <w:r/>
      <w:bookmarkStart w:id="135" w:name="_Toc16938547"/>
      <w:r/>
      <w:bookmarkStart w:id="136" w:name="_Toc513029231"/>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34"/>
      <w:bookmarkEnd w:id="135"/>
      <w:bookmarkEnd w:id="136"/>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37" w:name="_Toc20823304"/>
      <w:r/>
      <w:bookmarkStart w:id="138" w:name="_Toc513029232"/>
      <w:r/>
      <w:bookmarkStart w:id="139" w:name="_Toc16938548"/>
      <w:r>
        <w:rPr>
          <w:rFonts w:ascii="Times New Roman" w:hAnsi="Times New Roman" w:eastAsia="黑体"/>
          <w:color w:val="auto"/>
          <w:sz w:val="28"/>
          <w:szCs w:val="28"/>
          <w:highlight w:val="none"/>
        </w:rPr>
        <w:t xml:space="preserve">25、评审过程中的的澄清</w:t>
      </w:r>
      <w:bookmarkEnd w:id="137"/>
      <w:r/>
      <w:bookmarkEnd w:id="138"/>
      <w:r/>
      <w:bookmarkEnd w:id="139"/>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40" w:name="_Toc20823305"/>
      <w:r/>
      <w:bookmarkStart w:id="141" w:name="_Toc16938549"/>
      <w:r/>
      <w:bookmarkStart w:id="142" w:name="_Toc513029233"/>
      <w:r>
        <w:rPr>
          <w:rFonts w:ascii="Times New Roman" w:hAnsi="Times New Roman" w:eastAsia="黑体"/>
          <w:color w:val="auto"/>
          <w:sz w:val="28"/>
          <w:szCs w:val="28"/>
          <w:highlight w:val="none"/>
        </w:rPr>
        <w:t xml:space="preserve">26、对响应文件的审</w:t>
      </w:r>
      <w:bookmarkEnd w:id="140"/>
      <w:r/>
      <w:bookmarkEnd w:id="141"/>
      <w:r/>
      <w:bookmarkEnd w:id="142"/>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43" w:name="_Toc513029234"/>
      <w:r/>
      <w:bookmarkStart w:id="144" w:name="_Toc16938550"/>
      <w:r/>
      <w:bookmarkStart w:id="145" w:name="_Toc20823306"/>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43"/>
      <w:r/>
      <w:bookmarkEnd w:id="144"/>
      <w:r/>
      <w:bookmarkEnd w:id="145"/>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rPr>
        <w:t xml:space="preserve">10</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46" w:name="_Toc513029235"/>
      <w:r/>
      <w:bookmarkStart w:id="147" w:name="_Toc16938551"/>
      <w:r/>
      <w:bookmarkStart w:id="148" w:name="_Toc20823307"/>
      <w:r/>
      <w:bookmarkStart w:id="149" w:name="_Toc120614219"/>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46"/>
      <w:r/>
      <w:bookmarkEnd w:id="147"/>
      <w:r/>
      <w:bookmarkEnd w:id="148"/>
      <w:r/>
      <w:bookmarkEnd w:id="149"/>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0" w:name="_Toc513029238"/>
      <w:r/>
      <w:bookmarkStart w:id="151" w:name="_Toc16938554"/>
      <w:r/>
      <w:bookmarkStart w:id="152" w:name="_Toc20823310"/>
      <w:r>
        <w:rPr>
          <w:rFonts w:ascii="Times New Roman" w:hAnsi="Times New Roman" w:eastAsia="黑体"/>
          <w:bCs/>
          <w:color w:val="auto"/>
          <w:sz w:val="30"/>
          <w:szCs w:val="30"/>
          <w:highlight w:val="none"/>
        </w:rPr>
        <w:t xml:space="preserve">28、</w:t>
      </w:r>
      <w:bookmarkEnd w:id="150"/>
      <w:r>
        <w:rPr>
          <w:rFonts w:ascii="Times New Roman" w:hAnsi="Times New Roman" w:eastAsia="黑体"/>
          <w:bCs/>
          <w:color w:val="auto"/>
          <w:sz w:val="30"/>
          <w:szCs w:val="30"/>
          <w:highlight w:val="none"/>
        </w:rPr>
        <w:t xml:space="preserve">确定</w:t>
      </w:r>
      <w:bookmarkEnd w:id="151"/>
      <w:r/>
      <w:bookmarkEnd w:id="152"/>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3" w:name="_Toc200451960"/>
      <w:r>
        <w:rPr>
          <w:rFonts w:ascii="Times New Roman" w:hAnsi="Times New Roman" w:eastAsia="黑体"/>
          <w:bCs/>
          <w:color w:val="auto"/>
          <w:sz w:val="30"/>
          <w:szCs w:val="30"/>
          <w:highlight w:val="none"/>
        </w:rPr>
        <w:t xml:space="preserve">29、质疑处理</w:t>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80" w:lineRule="exact"/>
        <w:rPr>
          <w:rFonts w:ascii="Times New Roman" w:hAnsi="Times New Roman"/>
          <w:b/>
          <w:bCs/>
          <w:color w:val="auto"/>
          <w:sz w:val="32"/>
          <w:szCs w:val="32"/>
          <w:highlight w:val="none"/>
        </w:rPr>
        <w:outlineLvl w:val="2"/>
      </w:pPr>
      <w:r/>
      <w:bookmarkStart w:id="154" w:name="_Toc120614220"/>
      <w:r/>
      <w:bookmarkStart w:id="155" w:name="_Toc20823308"/>
      <w:r/>
      <w:bookmarkStart w:id="156" w:name="_Toc16938552"/>
      <w:r/>
      <w:bookmarkStart w:id="157" w:name="_Toc513029236"/>
      <w:r>
        <w:rPr>
          <w:rFonts w:ascii="Times New Roman" w:hAnsi="Times New Roman"/>
          <w:b/>
          <w:bCs/>
          <w:color w:val="auto"/>
          <w:sz w:val="32"/>
          <w:szCs w:val="32"/>
          <w:highlight w:val="none"/>
        </w:rPr>
        <w:t xml:space="preserve">七、授予合同</w:t>
      </w:r>
      <w:bookmarkEnd w:id="154"/>
      <w:r/>
      <w:bookmarkEnd w:id="155"/>
      <w:bookmarkEnd w:id="156"/>
      <w:bookmarkEnd w:id="157"/>
      <w:r/>
    </w:p>
    <w:p>
      <w:pPr>
        <w:ind w:firstLine="600"/>
        <w:keepLines/>
        <w:keepNext/>
        <w:spacing w:line="380" w:lineRule="exact"/>
        <w:rPr>
          <w:rFonts w:ascii="Times New Roman" w:hAnsi="Times New Roman" w:eastAsia="黑体"/>
          <w:bCs/>
          <w:color w:val="auto"/>
          <w:sz w:val="30"/>
          <w:szCs w:val="30"/>
          <w:highlight w:val="none"/>
        </w:rPr>
        <w:outlineLvl w:val="3"/>
      </w:pPr>
      <w:r/>
      <w:bookmarkStart w:id="158" w:name="_Toc513029237"/>
      <w:r/>
      <w:bookmarkStart w:id="159" w:name="_Toc16938553"/>
      <w:r/>
      <w:bookmarkStart w:id="160" w:name="_Toc20823309"/>
      <w:r>
        <w:rPr>
          <w:rFonts w:ascii="Times New Roman" w:hAnsi="Times New Roman" w:eastAsia="黑体"/>
          <w:bCs/>
          <w:color w:val="auto"/>
          <w:sz w:val="30"/>
          <w:szCs w:val="30"/>
          <w:highlight w:val="none"/>
        </w:rPr>
        <w:t xml:space="preserve">31. 签订合同</w:t>
      </w:r>
      <w:r/>
    </w:p>
    <w:p>
      <w:pPr>
        <w:ind w:firstLine="480"/>
        <w:spacing w:line="38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38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58"/>
      <w:bookmarkEnd w:id="159"/>
      <w:bookmarkEnd w:id="160"/>
      <w:r/>
    </w:p>
    <w:p>
      <w:pPr>
        <w:ind w:firstLine="600"/>
        <w:spacing w:line="380" w:lineRule="exact"/>
        <w:rPr>
          <w:rFonts w:ascii="Times New Roman" w:hAnsi="Times New Roman"/>
          <w:color w:val="auto"/>
          <w:sz w:val="24"/>
          <w:szCs w:val="24"/>
          <w:highlight w:val="none"/>
        </w:rPr>
      </w:pPr>
      <w:r/>
      <w:bookmarkStart w:id="161" w:name="_Toc479757207"/>
      <w:r/>
      <w:bookmarkStart w:id="162" w:name="_Toc16938558"/>
      <w:r/>
      <w:bookmarkStart w:id="163" w:name="_Toc120614221"/>
      <w:r/>
      <w:bookmarkStart w:id="164" w:name="_Toc513029242"/>
      <w:r/>
      <w:bookmarkStart w:id="165" w:name="_Toc20823314"/>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3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38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rPr>
          <w:color w:val="auto"/>
          <w:highlight w:val="none"/>
        </w:rPr>
      </w:pPr>
      <w:r>
        <w:rPr>
          <w:color w:val="auto"/>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第三章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合同</w:t>
      </w:r>
      <w:bookmarkEnd w:id="161"/>
      <w:r/>
      <w:bookmarkEnd w:id="162"/>
      <w:r/>
      <w:bookmarkEnd w:id="163"/>
      <w:r/>
      <w:bookmarkEnd w:id="164"/>
      <w:r/>
      <w:bookmarkEnd w:id="165"/>
      <w:r>
        <w:rPr>
          <w:rFonts w:ascii="Times New Roman" w:hAnsi="Times New Roman"/>
          <w:b/>
          <w:bCs/>
          <w:color w:val="auto"/>
          <w:sz w:val="36"/>
          <w:szCs w:val="36"/>
          <w:highlight w:val="none"/>
        </w:rPr>
        <w:t xml:space="preserve">文本</w:t>
      </w:r>
      <w:r/>
    </w:p>
    <w:p>
      <w:pPr>
        <w:ind w:firstLine="480"/>
        <w:spacing w:line="400" w:lineRule="exact"/>
        <w:rPr>
          <w:rFonts w:ascii="Times New Roman" w:hAnsi="Times New Roman"/>
          <w:b/>
          <w:color w:val="auto"/>
          <w:sz w:val="30"/>
          <w:szCs w:val="21"/>
          <w:highlight w:val="none"/>
        </w:rPr>
      </w:pPr>
      <w:r/>
      <w:bookmarkStart w:id="166" w:name="_Toc513029243"/>
      <w:r/>
      <w:bookmarkStart w:id="167" w:name="_Toc16938559"/>
      <w:r/>
      <w:bookmarkStart w:id="168" w:name="_Toc20823315"/>
      <w:r>
        <w:rPr>
          <w:rFonts w:ascii="Times New Roman" w:hAnsi="Times New Roman"/>
          <w:bCs/>
          <w:color w:val="auto"/>
          <w:sz w:val="24"/>
          <w:szCs w:val="21"/>
          <w:highlight w:val="none"/>
        </w:rPr>
        <w:t xml:space="preserve">以下为成交后签定本项目合同的通用条款，成交供应商不得提出实质性的修改。</w:t>
      </w:r>
      <w:r/>
    </w:p>
    <w:p>
      <w:pPr>
        <w:ind w:firstLine="643"/>
        <w:jc w:val="center"/>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江苏省政府采购合同（合同编号）</w:t>
      </w:r>
      <w:r/>
    </w:p>
    <w:p>
      <w:pPr>
        <w:ind w:firstLine="480"/>
        <w:keepLines w:val="0"/>
        <w:keepNext w:val="0"/>
        <w:pageBreakBefore w:val="0"/>
        <w:spacing w:before="120" w:after="120" w:line="40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项目名称：</w:t>
      </w:r>
      <w:r>
        <w:rPr>
          <w:rFonts w:hint="eastAsia" w:ascii="Times New Roman" w:hAnsi="Times New Roman"/>
          <w:b w:val="0"/>
          <w:bCs w:val="0"/>
          <w:color w:val="auto"/>
          <w:sz w:val="24"/>
          <w:szCs w:val="24"/>
          <w:highlight w:val="none"/>
        </w:rPr>
        <w:t xml:space="preserve">如东县农村不动产确权登记成果和农村建设用地调查成果更新调查及补充测绘调查</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项目编号：</w:t>
      </w:r>
      <w:r/>
    </w:p>
    <w:p>
      <w:pPr>
        <w:ind w:firstLine="480"/>
        <w:keepLines w:val="0"/>
        <w:keepNext w:val="0"/>
        <w:pageBreakBefore w:val="0"/>
        <w:spacing w:before="120" w:after="120" w:line="40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甲方：（买方）</w:t>
      </w:r>
      <w:r>
        <w:rPr>
          <w:rFonts w:hint="eastAsia" w:ascii="Times New Roman" w:hAnsi="Times New Roman"/>
          <w:color w:val="auto"/>
          <w:sz w:val="24"/>
          <w:szCs w:val="24"/>
          <w:highlight w:val="none"/>
          <w:lang w:eastAsia="zh-CN"/>
        </w:rPr>
        <w:t xml:space="preserve">如东县自然资源和规划局</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乙方：（卖方）</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根据《中华人民共和国民法典》、《中华人民共和国政府采购法》等法律法规的规定以及项目采购结果，甲乙双方遵循平等、自愿、公平、诚实信用的原则，就</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项目事宜经双方协商一致，订立本合同。</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一、合同内容</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1.1 标的名称：</w:t>
      </w:r>
      <w:r>
        <w:rPr>
          <w:rFonts w:hint="eastAsia" w:ascii="Times New Roman" w:hAnsi="Times New Roman"/>
          <w:b w:val="0"/>
          <w:bCs w:val="0"/>
          <w:color w:val="auto"/>
          <w:sz w:val="24"/>
          <w:szCs w:val="24"/>
          <w:highlight w:val="none"/>
        </w:rPr>
        <w:t xml:space="preserve">如东县农村不动产确权登记成果和农村建设用地调查成果更新调查及补充测绘调查</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1.2标的质量：</w:t>
      </w:r>
      <w:r>
        <w:rPr>
          <w:rFonts w:hint="eastAsia" w:ascii="宋体" w:hAnsi="宋体" w:cs="宋体"/>
          <w:color w:val="auto"/>
          <w:spacing w:val="-2"/>
          <w:sz w:val="24"/>
          <w:szCs w:val="24"/>
          <w:highlight w:val="none"/>
        </w:rPr>
        <w:t xml:space="preserve">乙方须严格按法律法规、行业规范要求及</w:t>
      </w:r>
      <w:r>
        <w:rPr>
          <w:rFonts w:hint="eastAsia" w:ascii="宋体" w:hAnsi="宋体" w:cs="宋体"/>
          <w:color w:val="auto"/>
          <w:spacing w:val="-2"/>
          <w:sz w:val="24"/>
          <w:szCs w:val="24"/>
          <w:highlight w:val="none"/>
          <w:lang w:eastAsia="zh-CN"/>
        </w:rPr>
        <w:t xml:space="preserve">采购文件、</w:t>
      </w:r>
      <w:r>
        <w:rPr>
          <w:rFonts w:hint="eastAsia" w:ascii="宋体" w:hAnsi="宋体" w:cs="宋体"/>
          <w:color w:val="auto"/>
          <w:spacing w:val="-2"/>
          <w:sz w:val="24"/>
          <w:szCs w:val="24"/>
          <w:highlight w:val="none"/>
        </w:rPr>
        <w:t xml:space="preserve">合同</w:t>
      </w:r>
      <w:r>
        <w:rPr>
          <w:rFonts w:hint="eastAsia" w:ascii="宋体" w:hAnsi="宋体" w:cs="宋体"/>
          <w:color w:val="auto"/>
          <w:spacing w:val="-2"/>
          <w:sz w:val="24"/>
          <w:szCs w:val="24"/>
          <w:highlight w:val="none"/>
          <w:lang w:eastAsia="zh-CN"/>
        </w:rPr>
        <w:t xml:space="preserve">约定</w:t>
      </w:r>
      <w:r>
        <w:rPr>
          <w:rFonts w:hint="eastAsia" w:ascii="宋体" w:hAnsi="宋体" w:cs="宋体"/>
          <w:color w:val="auto"/>
          <w:spacing w:val="-2"/>
          <w:sz w:val="24"/>
          <w:szCs w:val="24"/>
          <w:highlight w:val="none"/>
        </w:rPr>
        <w:t xml:space="preserve">向甲方提供</w:t>
      </w:r>
      <w:r>
        <w:rPr>
          <w:rFonts w:hint="eastAsia" w:ascii="宋体" w:hAnsi="宋体" w:cs="宋体"/>
          <w:color w:val="auto"/>
          <w:sz w:val="24"/>
          <w:szCs w:val="24"/>
          <w:highlight w:val="none"/>
          <w:lang w:val="zh-TW"/>
        </w:rPr>
        <w:t xml:space="preserve">服务</w:t>
      </w:r>
      <w:r>
        <w:rPr>
          <w:rFonts w:hint="eastAsia" w:ascii="宋体" w:hAnsi="宋体" w:cs="宋体"/>
          <w:color w:val="auto"/>
          <w:spacing w:val="-2"/>
          <w:sz w:val="24"/>
          <w:szCs w:val="24"/>
          <w:highlight w:val="none"/>
          <w:lang w:eastAsia="zh-CN"/>
        </w:rPr>
        <w:t xml:space="preserve">，服务质量需通过甲方审核验收。</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1.3 服务内容及范围（规模）：</w:t>
      </w:r>
      <w:r/>
    </w:p>
    <w:p>
      <w:pPr>
        <w:ind w:firstLine="480"/>
        <w:spacing w:line="50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1.3.1 </w:t>
      </w:r>
      <w:r>
        <w:rPr>
          <w:rFonts w:hint="eastAsia" w:ascii="宋体" w:hAnsi="宋体" w:cs="宋体"/>
          <w:b w:val="0"/>
          <w:bCs/>
          <w:color w:val="auto"/>
          <w:sz w:val="24"/>
          <w:szCs w:val="24"/>
          <w:highlight w:val="none"/>
        </w:rPr>
        <w:t xml:space="preserve">服务项目及数据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（1）更新调查</w:t>
      </w:r>
      <w:r>
        <w:rPr>
          <w:rFonts w:hint="eastAsia" w:ascii="宋体" w:hAnsi="宋体" w:cs="宋体"/>
          <w:bCs/>
          <w:color w:val="auto"/>
          <w:sz w:val="24"/>
          <w:szCs w:val="24"/>
          <w:highlight w:val="none"/>
          <w:lang w:val="en-US" w:eastAsia="zh-CN"/>
        </w:rPr>
        <w:t xml:space="preserve">10500</w:t>
      </w:r>
      <w:r>
        <w:rPr>
          <w:rFonts w:hint="eastAsia" w:ascii="宋体" w:hAnsi="宋体" w:cs="宋体"/>
          <w:bCs/>
          <w:color w:val="auto"/>
          <w:sz w:val="24"/>
          <w:szCs w:val="24"/>
          <w:highlight w:val="none"/>
        </w:rPr>
        <w:t xml:space="preserve">宗；</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（2）补充测绘及调查</w:t>
      </w:r>
      <w:r>
        <w:rPr>
          <w:rFonts w:hint="eastAsia" w:ascii="宋体" w:hAnsi="宋体" w:cs="宋体"/>
          <w:bCs/>
          <w:color w:val="auto"/>
          <w:sz w:val="24"/>
          <w:szCs w:val="24"/>
          <w:highlight w:val="none"/>
          <w:lang w:val="en-US" w:eastAsia="zh-CN"/>
        </w:rPr>
        <w:t xml:space="preserve">2500</w:t>
      </w:r>
      <w:r>
        <w:rPr>
          <w:rFonts w:hint="eastAsia" w:ascii="宋体" w:hAnsi="宋体" w:cs="宋体"/>
          <w:bCs/>
          <w:color w:val="auto"/>
          <w:sz w:val="24"/>
          <w:szCs w:val="24"/>
          <w:highlight w:val="none"/>
        </w:rPr>
        <w:t xml:space="preserve">宗；</w:t>
      </w:r>
      <w:r/>
    </w:p>
    <w:p>
      <w:pPr>
        <w:ind w:firstLine="420"/>
        <w:spacing w:line="500" w:lineRule="exact"/>
        <w:rPr>
          <w:rFonts w:ascii="宋体" w:hAnsi="宋体" w:cs="宋体"/>
          <w:b w:val="0"/>
          <w:bCs/>
          <w:color w:val="auto"/>
          <w:sz w:val="24"/>
          <w:szCs w:val="24"/>
          <w:highlight w:val="none"/>
        </w:rPr>
      </w:pPr>
      <w:r>
        <w:rPr>
          <w:rFonts w:hint="eastAsia" w:ascii="宋体" w:hAnsi="宋体" w:cs="宋体"/>
          <w:b w:val="0"/>
          <w:bCs/>
          <w:color w:val="auto"/>
          <w:szCs w:val="21"/>
          <w:highlight w:val="none"/>
        </w:rPr>
        <w:t xml:space="preserve">注：以上宗数为估算，最终按实际发生数量结算。</w:t>
      </w:r>
      <w:r/>
    </w:p>
    <w:p>
      <w:pPr>
        <w:ind w:firstLine="480"/>
        <w:spacing w:line="50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1.3.</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服务工作内容</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（1）更新调查</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对前期农村房地一体宅基地统一开展过调查且</w:t>
      </w:r>
      <w:r>
        <w:rPr>
          <w:rFonts w:hint="eastAsia" w:ascii="宋体" w:hAnsi="宋体" w:cs="宋体"/>
          <w:bCs/>
          <w:color w:val="auto"/>
          <w:sz w:val="24"/>
          <w:szCs w:val="24"/>
          <w:highlight w:val="none"/>
          <w:lang w:eastAsia="zh-CN"/>
        </w:rPr>
        <w:t xml:space="preserve">主房至今未翻建、改建的宅基地</w:t>
      </w:r>
      <w:r>
        <w:rPr>
          <w:rFonts w:hint="eastAsia" w:ascii="宋体" w:hAnsi="宋体" w:cs="宋体"/>
          <w:bCs/>
          <w:color w:val="auto"/>
          <w:sz w:val="24"/>
          <w:szCs w:val="24"/>
          <w:highlight w:val="none"/>
        </w:rPr>
        <w:t xml:space="preserve">，</w:t>
      </w:r>
      <w:r>
        <w:rPr>
          <w:rFonts w:hint="eastAsia" w:ascii="宋体" w:hAnsi="宋体" w:cs="宋体"/>
          <w:bCs/>
          <w:strike/>
          <w:color w:val="auto"/>
          <w:sz w:val="24"/>
          <w:szCs w:val="24"/>
          <w:highlight w:val="none"/>
        </w:rPr>
        <w:t xml:space="preserve">核实</w:t>
      </w:r>
      <w:r>
        <w:rPr>
          <w:rFonts w:hint="eastAsia" w:ascii="宋体" w:hAnsi="宋体" w:cs="宋体"/>
          <w:bCs/>
          <w:color w:val="auto"/>
          <w:sz w:val="24"/>
          <w:szCs w:val="24"/>
          <w:highlight w:val="none"/>
        </w:rPr>
        <w:t xml:space="preserve">原地籍调查成果</w:t>
      </w:r>
      <w:r>
        <w:rPr>
          <w:rFonts w:hint="eastAsia" w:ascii="宋体" w:hAnsi="宋体" w:cs="宋体"/>
          <w:bCs/>
          <w:color w:val="auto"/>
          <w:sz w:val="24"/>
          <w:szCs w:val="24"/>
          <w:highlight w:val="none"/>
          <w:lang w:eastAsia="zh-CN"/>
        </w:rPr>
        <w:t xml:space="preserve">有错误的开展更新调查</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同时收集权属来源、权利人身份证明等材料形</w:t>
      </w:r>
      <w:r>
        <w:rPr>
          <w:rFonts w:hint="eastAsia" w:ascii="宋体" w:hAnsi="宋体" w:cs="宋体"/>
          <w:bCs/>
          <w:color w:val="auto"/>
          <w:sz w:val="24"/>
          <w:szCs w:val="24"/>
          <w:highlight w:val="none"/>
        </w:rPr>
        <w:t xml:space="preserve">成现势性农村房地一体宅基地地籍调查成果，</w:t>
      </w:r>
      <w:r>
        <w:rPr>
          <w:rFonts w:hint="eastAsia" w:ascii="宋体" w:hAnsi="宋体" w:cs="宋体"/>
          <w:bCs/>
          <w:color w:val="auto"/>
          <w:sz w:val="24"/>
          <w:szCs w:val="24"/>
          <w:highlight w:val="none"/>
          <w:lang w:val="en-US" w:eastAsia="zh-CN"/>
        </w:rPr>
        <w:t xml:space="preserve">满足登记发证要求</w:t>
      </w:r>
      <w:r>
        <w:rPr>
          <w:rFonts w:hint="eastAsia" w:ascii="宋体" w:hAnsi="宋体" w:cs="宋体"/>
          <w:bCs/>
          <w:color w:val="auto"/>
          <w:sz w:val="24"/>
          <w:szCs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（2）补充测绘及调查</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对前期农村房地一体宅基地统一调查中遗漏的宅基地及房屋，按要求补充测绘，同时收集权属来源、权利人身份证明等材料形成农村房地一体宅基地地籍调查成果，</w:t>
      </w:r>
      <w:r>
        <w:rPr>
          <w:rFonts w:hint="eastAsia" w:ascii="宋体" w:hAnsi="宋体" w:cs="宋体"/>
          <w:bCs/>
          <w:color w:val="auto"/>
          <w:sz w:val="24"/>
          <w:szCs w:val="24"/>
          <w:highlight w:val="none"/>
          <w:lang w:val="en-US" w:eastAsia="zh-CN"/>
        </w:rPr>
        <w:t xml:space="preserve">满足登记发证要求。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（3）数据库建设与更新</w:t>
      </w:r>
      <w:r/>
    </w:p>
    <w:p>
      <w:pPr>
        <w:ind w:firstLine="480"/>
        <w:spacing w:line="500" w:lineRule="exact"/>
        <w:rPr>
          <w:color w:val="auto"/>
          <w:highlight w:val="none"/>
        </w:rPr>
      </w:pPr>
      <w:r>
        <w:rPr>
          <w:rFonts w:hint="eastAsia" w:ascii="宋体" w:hAnsi="宋体" w:cs="宋体"/>
          <w:bCs/>
          <w:color w:val="auto"/>
          <w:sz w:val="24"/>
          <w:szCs w:val="24"/>
          <w:highlight w:val="none"/>
          <w:lang w:val="en-US" w:eastAsia="zh-CN"/>
        </w:rPr>
        <w:t xml:space="preserve">完成更新调查成果和补充测绘及调查成果数据库建设；协助甲方做好汇交数据库更新工作，满足汇交要求。</w:t>
      </w:r>
      <w:r/>
    </w:p>
    <w:p>
      <w:pPr>
        <w:ind w:firstLine="480"/>
        <w:keepLines w:val="0"/>
        <w:keepNext w:val="0"/>
        <w:pageBreakBefore w:val="0"/>
        <w:spacing w:before="120" w:after="120" w:line="400" w:lineRule="exact"/>
        <w:widowControl w:val="off"/>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1.4 履行时间（期限）：</w:t>
      </w:r>
      <w:r>
        <w:rPr>
          <w:rFonts w:hint="eastAsia" w:ascii="宋体" w:hAnsi="宋体" w:eastAsia="宋体" w:cs="宋体"/>
          <w:color w:val="auto"/>
          <w:spacing w:val="-2"/>
          <w:sz w:val="24"/>
          <w:szCs w:val="24"/>
          <w:highlight w:val="none"/>
          <w:lang w:val="en-US" w:eastAsia="zh-CN" w:bidi="ar-SA"/>
        </w:rPr>
        <w:t xml:space="preserve">合同签订之日起三年（2026年8月至2029年7月）</w:t>
      </w:r>
      <w:r>
        <w:rPr>
          <w:rFonts w:hint="eastAsia" w:ascii="宋体" w:hAnsi="宋体" w:cs="宋体"/>
          <w:bCs/>
          <w:color w:val="auto"/>
          <w:sz w:val="24"/>
          <w:szCs w:val="24"/>
          <w:highlight w:val="none"/>
          <w:lang w:val="en-US" w:eastAsia="zh-CN"/>
        </w:rPr>
        <w:t xml:space="preserve">成交供应商必须在采购人委托期限内完成委托工作，并提交相关成果资料，不得逾期。</w:t>
      </w:r>
      <w:r>
        <w:rPr>
          <w:rFonts w:hint="eastAsia" w:ascii="宋体" w:hAnsi="宋体" w:eastAsia="宋体" w:cs="宋体"/>
          <w:color w:val="auto"/>
          <w:spacing w:val="-2"/>
          <w:sz w:val="24"/>
          <w:szCs w:val="24"/>
          <w:highlight w:val="none"/>
          <w:lang w:val="en-US" w:eastAsia="zh-CN" w:bidi="ar-SA"/>
        </w:rPr>
        <w:t xml:space="preserve">履行期限届满后，若有与本项目有关的未尽事宜，</w:t>
      </w:r>
      <w:r>
        <w:rPr>
          <w:rFonts w:hint="eastAsia" w:ascii="宋体" w:hAnsi="宋体" w:cs="宋体"/>
          <w:color w:val="auto"/>
          <w:spacing w:val="-2"/>
          <w:sz w:val="24"/>
          <w:szCs w:val="24"/>
          <w:highlight w:val="none"/>
          <w:lang w:val="en-US" w:eastAsia="zh-CN" w:bidi="ar-SA"/>
        </w:rPr>
        <w:t xml:space="preserve">成交供应商</w:t>
      </w:r>
      <w:r>
        <w:rPr>
          <w:rFonts w:hint="eastAsia" w:ascii="宋体" w:hAnsi="宋体" w:eastAsia="宋体" w:cs="宋体"/>
          <w:color w:val="auto"/>
          <w:spacing w:val="-2"/>
          <w:sz w:val="24"/>
          <w:szCs w:val="24"/>
          <w:highlight w:val="none"/>
          <w:lang w:val="en-US" w:eastAsia="zh-CN" w:bidi="ar-SA"/>
        </w:rPr>
        <w:t xml:space="preserve">应免费负责处理。</w:t>
      </w:r>
      <w:r/>
    </w:p>
    <w:p>
      <w:pPr>
        <w:ind w:firstLine="480"/>
        <w:keepLines w:val="0"/>
        <w:keepNext w:val="0"/>
        <w:pageBreakBefore w:val="0"/>
        <w:spacing w:before="120" w:after="120" w:line="40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1.5 履行地点：</w:t>
      </w:r>
      <w:r>
        <w:rPr>
          <w:rFonts w:hint="eastAsia" w:ascii="Times New Roman" w:hAnsi="Times New Roman"/>
          <w:color w:val="auto"/>
          <w:sz w:val="24"/>
          <w:szCs w:val="24"/>
          <w:highlight w:val="none"/>
          <w:lang w:eastAsia="zh-CN"/>
        </w:rPr>
        <w:t xml:space="preserve">由采购人指定</w:t>
      </w:r>
      <w:r/>
    </w:p>
    <w:p>
      <w:pPr>
        <w:ind w:firstLine="480"/>
        <w:keepLines w:val="0"/>
        <w:keepNext w:val="0"/>
        <w:pageBreakBefore w:val="0"/>
        <w:spacing w:before="120" w:after="120" w:line="40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1.6履行方式：</w:t>
      </w:r>
      <w:r>
        <w:rPr>
          <w:rFonts w:hint="eastAsia" w:ascii="Times New Roman" w:hAnsi="Times New Roman"/>
          <w:color w:val="auto"/>
          <w:sz w:val="24"/>
          <w:szCs w:val="24"/>
          <w:highlight w:val="none"/>
          <w:lang w:eastAsia="zh-CN"/>
        </w:rPr>
        <w:t xml:space="preserve">按磋商文件执行</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二、合同金额</w:t>
      </w:r>
      <w:r/>
    </w:p>
    <w:p>
      <w:pPr>
        <w:pStyle w:val="816"/>
        <w:ind w:firstLine="480"/>
        <w:keepLines w:val="0"/>
        <w:keepNext w:val="0"/>
        <w:pageBreakBefore w:val="0"/>
        <w:spacing w:after="0" w:line="35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2.1 本合同金额为（大写）：_____________圆（_______________元）人民币。</w:t>
      </w:r>
      <w:r/>
    </w:p>
    <w:p>
      <w:pPr>
        <w:pStyle w:val="816"/>
        <w:ind w:firstLine="480"/>
        <w:keepLines w:val="0"/>
        <w:keepNext w:val="0"/>
        <w:pageBreakBefore w:val="0"/>
        <w:spacing w:after="0" w:line="350" w:lineRule="exact"/>
        <w:widowControl w:val="off"/>
        <w:rPr>
          <w:rFonts w:hint="eastAsia" w:hAnsi="宋体" w:cs="仿宋"/>
          <w:color w:val="auto"/>
          <w:highlight w:val="none"/>
          <w:lang w:eastAsia="zh-CN"/>
        </w:rPr>
      </w:pPr>
      <w:r>
        <w:rPr>
          <w:rFonts w:hint="eastAsia" w:ascii="宋体" w:hAnsi="宋体" w:eastAsia="宋体"/>
          <w:color w:val="auto"/>
          <w:sz w:val="24"/>
          <w:szCs w:val="24"/>
          <w:highlight w:val="none"/>
          <w:lang w:val="zh-CN"/>
        </w:rPr>
        <w:t xml:space="preserve">合同</w:t>
      </w:r>
      <w:r>
        <w:rPr>
          <w:rFonts w:hAnsi="宋体"/>
          <w:color w:val="auto"/>
          <w:sz w:val="24"/>
          <w:szCs w:val="24"/>
          <w:highlight w:val="none"/>
        </w:rPr>
        <w:t xml:space="preserve">金额</w:t>
      </w:r>
      <w:r>
        <w:rPr>
          <w:rFonts w:hint="eastAsia" w:ascii="宋体" w:hAnsi="宋体" w:eastAsia="宋体"/>
          <w:color w:val="auto"/>
          <w:sz w:val="24"/>
          <w:szCs w:val="24"/>
          <w:highlight w:val="none"/>
          <w:lang w:val="zh-CN"/>
        </w:rPr>
        <w:t xml:space="preserve">包括</w:t>
      </w:r>
      <w:r>
        <w:rPr>
          <w:rFonts w:hint="eastAsia" w:hAnsi="宋体"/>
          <w:color w:val="auto"/>
          <w:sz w:val="24"/>
          <w:szCs w:val="24"/>
          <w:highlight w:val="none"/>
          <w:lang w:val="en-US" w:eastAsia="zh-CN"/>
        </w:rPr>
        <w:t xml:space="preserve">为完成</w:t>
      </w:r>
      <w:r>
        <w:rPr>
          <w:rFonts w:hint="eastAsia" w:ascii="宋体" w:hAnsi="宋体" w:eastAsia="宋体"/>
          <w:color w:val="auto"/>
          <w:sz w:val="24"/>
          <w:szCs w:val="24"/>
          <w:highlight w:val="none"/>
          <w:lang w:val="zh-CN"/>
        </w:rPr>
        <w:t xml:space="preserve">本次采购项目的所有费用及</w:t>
      </w:r>
      <w:r>
        <w:rPr>
          <w:rFonts w:hint="eastAsia" w:ascii="宋体" w:hAnsi="宋体" w:eastAsia="宋体"/>
          <w:color w:val="auto"/>
          <w:sz w:val="24"/>
          <w:szCs w:val="24"/>
          <w:highlight w:val="none"/>
        </w:rPr>
        <w:t xml:space="preserve">合同履行过程中可能发生的一切风险和责任</w:t>
      </w:r>
      <w:r>
        <w:rPr>
          <w:rFonts w:hint="eastAsia" w:hAnsi="宋体" w:eastAsia="宋体"/>
          <w:color w:val="auto"/>
          <w:sz w:val="24"/>
          <w:szCs w:val="24"/>
          <w:highlight w:val="none"/>
          <w:lang w:eastAsia="zh-CN"/>
        </w:rPr>
        <w:t xml:space="preserve">，</w:t>
      </w:r>
      <w:r>
        <w:rPr>
          <w:rFonts w:hint="eastAsia" w:hAnsi="宋体"/>
          <w:color w:val="auto"/>
          <w:sz w:val="24"/>
          <w:szCs w:val="24"/>
          <w:highlight w:val="none"/>
        </w:rPr>
        <w:t xml:space="preserve">甲方不承担</w:t>
      </w:r>
      <w:r>
        <w:rPr>
          <w:rFonts w:hAnsi="宋体"/>
          <w:color w:val="auto"/>
          <w:sz w:val="24"/>
          <w:szCs w:val="24"/>
          <w:highlight w:val="none"/>
        </w:rPr>
        <w:t xml:space="preserve">合同金额</w:t>
      </w:r>
      <w:r>
        <w:rPr>
          <w:rFonts w:hint="eastAsia" w:hAnsi="宋体"/>
          <w:color w:val="auto"/>
          <w:sz w:val="24"/>
          <w:szCs w:val="24"/>
          <w:highlight w:val="none"/>
          <w:lang w:eastAsia="zh-CN"/>
        </w:rPr>
        <w:t xml:space="preserve">以外</w:t>
      </w:r>
      <w:r>
        <w:rPr>
          <w:rFonts w:hint="eastAsia" w:hAnsi="宋体"/>
          <w:color w:val="auto"/>
          <w:sz w:val="24"/>
          <w:szCs w:val="24"/>
          <w:highlight w:val="none"/>
        </w:rPr>
        <w:t xml:space="preserve">任何责任和费用。</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三、技术资料</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乙方应按采购文件规定的时间向甲方提供服务（包含与服务相关的产品）的有关技术资料。</w:t>
      </w:r>
      <w:r/>
    </w:p>
    <w:p>
      <w:pPr>
        <w:ind w:firstLine="480"/>
        <w:spacing w:before="156" w:line="520" w:lineRule="exact"/>
        <w:rPr>
          <w:rFonts w:hint="eastAsia" w:ascii="宋体" w:hAnsi="宋体" w:eastAsia="宋体" w:cs="宋体"/>
          <w:color w:val="auto"/>
          <w:sz w:val="24"/>
          <w:szCs w:val="24"/>
          <w:highlight w:val="none"/>
        </w:rPr>
      </w:pPr>
      <w:r>
        <w:rPr>
          <w:rFonts w:ascii="Times New Roman" w:hAnsi="Times New Roman"/>
          <w:color w:val="auto"/>
          <w:sz w:val="24"/>
          <w:szCs w:val="24"/>
          <w:highlight w:val="none"/>
        </w:rPr>
        <w:t xml:space="preserve">3.2 没有甲方事先书面同意，乙方不得将由甲方提供的有关合同或任何合同条文、规格、计划、图纸、样品或资料</w:t>
      </w:r>
      <w:r>
        <w:rPr>
          <w:rFonts w:hint="eastAsia" w:ascii="Times New Roman" w:hAnsi="Times New Roman"/>
          <w:color w:val="auto"/>
          <w:sz w:val="24"/>
          <w:szCs w:val="24"/>
          <w:highlight w:val="none"/>
          <w:lang w:eastAsia="zh-CN"/>
        </w:rPr>
        <w:t xml:space="preserve">以及乙方服务成果</w:t>
      </w:r>
      <w:r>
        <w:rPr>
          <w:rFonts w:ascii="Times New Roman" w:hAnsi="Times New Roman"/>
          <w:color w:val="auto"/>
          <w:sz w:val="24"/>
          <w:szCs w:val="24"/>
          <w:highlight w:val="none"/>
        </w:rPr>
        <w:t xml:space="preserve">提供给与履行本合同无关的任何其他人。即使向履行本合同有关的人员提供，也应注意保密并限于履行合同的必需范围。</w:t>
      </w:r>
      <w:r>
        <w:rPr>
          <w:rFonts w:hint="eastAsia" w:ascii="宋体" w:hAnsi="宋体" w:eastAsia="宋体" w:cs="宋体"/>
          <w:b w:val="0"/>
          <w:bCs/>
          <w:color w:val="auto"/>
          <w:sz w:val="24"/>
          <w:szCs w:val="24"/>
          <w:highlight w:val="none"/>
        </w:rPr>
        <w:t xml:space="preserve">如乙方违反</w:t>
      </w:r>
      <w:r>
        <w:rPr>
          <w:rFonts w:hint="eastAsia" w:ascii="宋体" w:hAnsi="宋体" w:eastAsia="宋体" w:cs="宋体"/>
          <w:b w:val="0"/>
          <w:bCs/>
          <w:color w:val="auto"/>
          <w:sz w:val="24"/>
          <w:szCs w:val="24"/>
          <w:highlight w:val="none"/>
          <w:lang w:eastAsia="zh-CN"/>
        </w:rPr>
        <w:t xml:space="preserve">保密约定</w:t>
      </w:r>
      <w:r>
        <w:rPr>
          <w:rFonts w:hint="eastAsia" w:ascii="宋体" w:hAnsi="宋体" w:eastAsia="宋体" w:cs="宋体"/>
          <w:b w:val="0"/>
          <w:bCs/>
          <w:color w:val="auto"/>
          <w:sz w:val="24"/>
          <w:szCs w:val="24"/>
          <w:highlight w:val="none"/>
        </w:rPr>
        <w:t xml:space="preserve">给甲方造成损失的，需赔偿甲方全部损失</w:t>
      </w:r>
      <w:r>
        <w:rPr>
          <w:rFonts w:hint="eastAsia" w:ascii="宋体" w:hAnsi="宋体" w:eastAsia="宋体" w:cs="宋体"/>
          <w:color w:val="auto"/>
          <w:sz w:val="24"/>
          <w:szCs w:val="24"/>
          <w:highlight w:val="none"/>
        </w:rPr>
        <w:t xml:space="preserve">（包括但不限于</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实际</w:t>
      </w:r>
      <w:r>
        <w:rPr>
          <w:rFonts w:hint="eastAsia" w:ascii="宋体" w:hAnsi="宋体" w:eastAsia="宋体" w:cs="宋体"/>
          <w:b w:val="0"/>
          <w:bCs/>
          <w:color w:val="auto"/>
          <w:sz w:val="24"/>
          <w:szCs w:val="24"/>
          <w:highlight w:val="none"/>
        </w:rPr>
        <w:t xml:space="preserve">损失</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诉讼费、律师费等）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并且甲方有权根据乙方泄密的事实和情节决定解除合同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本约定在本合同终止后继续有效。也不因本合同无效或解除而失效。</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四、知识产权</w:t>
      </w:r>
      <w:r/>
    </w:p>
    <w:p>
      <w:pPr>
        <w:ind w:firstLine="480"/>
        <w:spacing w:line="420" w:lineRule="exact"/>
        <w:rPr>
          <w:rFonts w:hint="eastAsia" w:ascii="宋体" w:hAnsi="宋体" w:eastAsia="宋体" w:cs="宋体"/>
          <w:color w:val="auto"/>
          <w:sz w:val="24"/>
          <w:szCs w:val="24"/>
          <w:highlight w:val="none"/>
        </w:rPr>
      </w:pPr>
      <w:r>
        <w:rPr>
          <w:rFonts w:ascii="Times New Roman" w:hAnsi="Times New Roman"/>
          <w:color w:val="auto"/>
          <w:sz w:val="24"/>
          <w:szCs w:val="24"/>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ascii="宋体" w:hAnsi="宋体" w:eastAsia="宋体" w:cs="宋体"/>
          <w:color w:val="auto"/>
          <w:sz w:val="24"/>
          <w:szCs w:val="24"/>
          <w:highlight w:val="none"/>
        </w:rPr>
        <w:t xml:space="preserve">乙方任何侵犯第三方知识产权的行为与甲方无关，责任由乙方自行承担，若因此造成甲方损失（包括但不限于</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实际</w:t>
      </w:r>
      <w:r>
        <w:rPr>
          <w:rFonts w:hint="eastAsia" w:ascii="宋体" w:hAnsi="宋体" w:eastAsia="宋体" w:cs="宋体"/>
          <w:b w:val="0"/>
          <w:bCs/>
          <w:color w:val="auto"/>
          <w:sz w:val="24"/>
          <w:szCs w:val="24"/>
          <w:highlight w:val="none"/>
        </w:rPr>
        <w:t xml:space="preserve">损失</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诉讼费、律师费等），乙方应承担全部赔偿责任。</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五、产权担保</w:t>
      </w:r>
      <w:r/>
    </w:p>
    <w:p>
      <w:pPr>
        <w:ind w:left="0"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5.1 乙方保证所交付的服务（包含与服务相关的产品）的所有权完全属于乙方且无任何抵押、查封等产权瑕疵。</w:t>
      </w:r>
      <w:r/>
    </w:p>
    <w:p>
      <w:pPr>
        <w:pStyle w:val="810"/>
        <w:ind w:firstLine="482"/>
        <w:keepLines w:val="0"/>
        <w:keepNext w:val="0"/>
        <w:pageBreakBefore w:val="0"/>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 乙方交纳中标合同价的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6.2合同履行结束后，甲方应及时</w:t>
      </w:r>
      <w:r>
        <w:rPr>
          <w:rFonts w:hint="eastAsia" w:ascii="宋体" w:hAnsi="宋体" w:cs="宋体"/>
          <w:color w:val="auto"/>
          <w:sz w:val="24"/>
          <w:szCs w:val="24"/>
          <w:highlight w:val="none"/>
          <w:lang w:val="en-US" w:eastAsia="zh-CN"/>
        </w:rPr>
        <w:t xml:space="preserve">对乙方履约情况进行审核，并根据履约审核情况</w:t>
      </w:r>
      <w:r>
        <w:rPr>
          <w:rFonts w:hint="eastAsia" w:ascii="宋体" w:hAnsi="宋体" w:eastAsia="宋体" w:cs="宋体"/>
          <w:color w:val="auto"/>
          <w:sz w:val="24"/>
          <w:szCs w:val="24"/>
          <w:highlight w:val="none"/>
          <w:lang w:val="en-US" w:eastAsia="zh-CN"/>
        </w:rPr>
        <w:t xml:space="preserve">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6.2.1履约保证金退还方式：</w:t>
      </w:r>
      <w:r>
        <w:rPr>
          <w:rFonts w:hint="eastAsia" w:ascii="宋体" w:hAnsi="宋体" w:eastAsia="宋体" w:cs="宋体"/>
          <w:color w:val="auto"/>
          <w:sz w:val="24"/>
          <w:szCs w:val="24"/>
          <w:highlight w:val="none"/>
          <w:u w:val="single"/>
          <w:lang w:eastAsia="zh-CN"/>
        </w:rPr>
        <w:t xml:space="preserve">双方自行约定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6.2.3发生以下情况的，履约保证金不予退还或部分退还：</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6.2.3.1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6.2.3.2 乙方在履约过程中发生违约行为，给甲方造成损失的，甲方有权在乙方缴纳的履约保证金中予以扣款，以弥补甲方经济损失，不足的部分乙方另外补齐。</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lang w:eastAsia="zh-CN"/>
        </w:rPr>
        <w:t xml:space="preserve">七、合同</w:t>
      </w:r>
      <w:r>
        <w:rPr>
          <w:rFonts w:ascii="Times New Roman" w:hAnsi="Times New Roman"/>
          <w:b/>
          <w:color w:val="auto"/>
          <w:sz w:val="24"/>
          <w:szCs w:val="24"/>
          <w:highlight w:val="none"/>
        </w:rPr>
        <w:t xml:space="preserve">转包</w:t>
      </w:r>
      <w:r/>
    </w:p>
    <w:p>
      <w:pPr>
        <w:ind w:firstLine="480"/>
        <w:keepLines w:val="0"/>
        <w:keepNext w:val="0"/>
        <w:pageBreakBefore w:val="0"/>
        <w:spacing w:line="400" w:lineRule="exact"/>
        <w:widowControl w:val="off"/>
        <w:rPr>
          <w:rFonts w:ascii="Times New Roman" w:hAnsi="Times New Roman" w:eastAsia="宋体" w:cs="Times New Roman"/>
          <w:color w:val="auto"/>
          <w:sz w:val="24"/>
          <w:szCs w:val="24"/>
          <w:highlight w:val="none"/>
        </w:rPr>
      </w:pPr>
      <w:r>
        <w:rPr>
          <w:rFonts w:hint="eastAsia" w:ascii="Times New Roman" w:hAnsi="Times New Roman"/>
          <w:color w:val="auto"/>
          <w:sz w:val="24"/>
          <w:szCs w:val="24"/>
          <w:highlight w:val="none"/>
          <w:lang w:val="en-US" w:eastAsia="zh-CN"/>
        </w:rPr>
        <w:t xml:space="preserve">7</w:t>
      </w:r>
      <w:r>
        <w:rPr>
          <w:rFonts w:ascii="Times New Roman" w:hAnsi="Times New Roman"/>
          <w:color w:val="auto"/>
          <w:sz w:val="24"/>
          <w:szCs w:val="24"/>
          <w:highlight w:val="none"/>
        </w:rPr>
        <w:t xml:space="preserve">.1 乙方不得将合同标的转包给他人履行</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未经甲方同意，乙方也不得随意采用分包的形式履行合同，否则甲方有权</w:t>
      </w:r>
      <w:r>
        <w:rPr>
          <w:rFonts w:hint="eastAsia" w:ascii="Times New Roman" w:hAnsi="Times New Roman" w:eastAsia="宋体" w:cs="Times New Roman"/>
          <w:color w:val="auto"/>
          <w:sz w:val="24"/>
          <w:szCs w:val="24"/>
          <w:highlight w:val="none"/>
          <w:lang w:eastAsia="zh-CN"/>
        </w:rPr>
        <w:t xml:space="preserve">解除</w:t>
      </w:r>
      <w:r>
        <w:rPr>
          <w:rFonts w:hint="eastAsia" w:ascii="Times New Roman" w:hAnsi="Times New Roman" w:eastAsia="宋体" w:cs="Times New Roman"/>
          <w:color w:val="auto"/>
          <w:sz w:val="24"/>
          <w:szCs w:val="24"/>
          <w:highlight w:val="none"/>
        </w:rPr>
        <w:t xml:space="preserve">合同</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不支付合同价款</w:t>
      </w:r>
      <w:r>
        <w:rPr>
          <w:rFonts w:hint="eastAsia" w:ascii="Times New Roman" w:hAnsi="Times New Roman" w:eastAsia="宋体" w:cs="Times New Roman"/>
          <w:color w:val="auto"/>
          <w:sz w:val="24"/>
          <w:szCs w:val="24"/>
          <w:highlight w:val="none"/>
        </w:rPr>
        <w:t xml:space="preserve">。转包或分包造成甲方损失的，乙方应承担相应赔偿责任。</w:t>
      </w:r>
      <w:r/>
    </w:p>
    <w:p>
      <w:pPr>
        <w:ind w:firstLine="480"/>
        <w:keepLines w:val="0"/>
        <w:keepNext w:val="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项目进度安排</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进度安排以</w:t>
      </w:r>
      <w:r>
        <w:rPr>
          <w:rFonts w:hint="eastAsia" w:ascii="Times New Roman" w:hAnsi="Times New Roman"/>
          <w:color w:val="auto"/>
          <w:sz w:val="24"/>
          <w:szCs w:val="24"/>
          <w:highlight w:val="none"/>
          <w:lang w:eastAsia="zh-CN"/>
        </w:rPr>
        <w:t xml:space="preserve">如东县自然资源和规划局</w:t>
      </w:r>
      <w:r>
        <w:rPr>
          <w:rFonts w:hint="eastAsia" w:ascii="Times New Roman" w:hAnsi="Times New Roman"/>
          <w:color w:val="auto"/>
          <w:sz w:val="24"/>
          <w:szCs w:val="24"/>
          <w:highlight w:val="none"/>
        </w:rPr>
        <w:t xml:space="preserve">具体工作安排为准</w:t>
      </w:r>
      <w:r>
        <w:rPr>
          <w:rFonts w:hint="eastAsia" w:ascii="Times New Roman" w:hAnsi="Times New Roman"/>
          <w:color w:val="auto"/>
          <w:sz w:val="24"/>
          <w:szCs w:val="24"/>
          <w:highlight w:val="none"/>
          <w:lang w:eastAsia="zh-CN"/>
        </w:rPr>
        <w:t xml:space="preserve">，乙方需按</w:t>
      </w:r>
      <w:r>
        <w:rPr>
          <w:rFonts w:hint="eastAsia" w:ascii="Times New Roman" w:hAnsi="Times New Roman"/>
          <w:color w:val="auto"/>
          <w:sz w:val="24"/>
          <w:szCs w:val="24"/>
          <w:highlight w:val="none"/>
        </w:rPr>
        <w:t xml:space="preserve">项目进度安排</w:t>
      </w:r>
      <w:r>
        <w:rPr>
          <w:rFonts w:hint="eastAsia" w:ascii="Times New Roman" w:hAnsi="Times New Roman"/>
          <w:color w:val="auto"/>
          <w:sz w:val="24"/>
          <w:szCs w:val="24"/>
          <w:highlight w:val="none"/>
          <w:lang w:eastAsia="zh-CN"/>
        </w:rPr>
        <w:t xml:space="preserve">履行</w:t>
      </w:r>
      <w:r>
        <w:rPr>
          <w:rFonts w:hint="eastAsia" w:ascii="Times New Roman" w:hAnsi="Times New Roman"/>
          <w:color w:val="auto"/>
          <w:sz w:val="24"/>
          <w:szCs w:val="24"/>
          <w:highlight w:val="none"/>
        </w:rPr>
        <w:t xml:space="preserve">。</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lang w:eastAsia="zh-CN"/>
        </w:rPr>
        <w:t xml:space="preserve">八</w:t>
      </w:r>
      <w:r>
        <w:rPr>
          <w:rFonts w:ascii="Times New Roman" w:hAnsi="Times New Roman"/>
          <w:b/>
          <w:color w:val="auto"/>
          <w:sz w:val="24"/>
          <w:szCs w:val="24"/>
          <w:highlight w:val="none"/>
        </w:rPr>
        <w:t xml:space="preserve">、合同款项支付</w:t>
      </w:r>
      <w:r/>
    </w:p>
    <w:p>
      <w:pPr>
        <w:ind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 </w:t>
      </w:r>
      <w:r>
        <w:rPr>
          <w:rFonts w:hint="eastAsia" w:ascii="宋体" w:hAnsi="宋体" w:cs="宋体"/>
          <w:bCs/>
          <w:color w:val="auto"/>
          <w:sz w:val="24"/>
          <w:szCs w:val="24"/>
          <w:highlight w:val="none"/>
          <w:lang w:val="en-US" w:eastAsia="zh-CN"/>
        </w:rPr>
        <w:t xml:space="preserve">本项目付款按年度</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四次支付</w:t>
      </w:r>
      <w:r>
        <w:rPr>
          <w:rFonts w:hint="eastAsia" w:ascii="宋体" w:hAnsi="宋体" w:eastAsia="宋体" w:cs="宋体"/>
          <w:bCs/>
          <w:color w:val="auto"/>
          <w:sz w:val="24"/>
          <w:szCs w:val="24"/>
          <w:highlight w:val="none"/>
          <w:lang w:val="en-US" w:eastAsia="zh-CN"/>
        </w:rPr>
        <w:t xml:space="preserve">：</w:t>
      </w:r>
      <w:r/>
    </w:p>
    <w:p>
      <w:pPr>
        <w:pStyle w:val="810"/>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2027年2月底前，对2026年8月至12月的实际业务发生量进行结算（凭合同原件、验收单、经甲乙双方盖章确认的任务派单明细及正式发票等）；</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202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年2月底前，对202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1至12月</w:t>
      </w:r>
      <w:r>
        <w:rPr>
          <w:rFonts w:hint="eastAsia" w:ascii="宋体" w:hAnsi="宋体" w:eastAsia="宋体" w:cs="宋体"/>
          <w:color w:val="auto"/>
          <w:sz w:val="24"/>
          <w:szCs w:val="24"/>
          <w:highlight w:val="none"/>
          <w:lang w:val="en-US" w:eastAsia="zh-CN"/>
        </w:rPr>
        <w:t xml:space="preserve">的实际业务发生量进行结算（凭合同、验收单、经甲乙双方盖章确认的任务派单明细及正式发票等）；</w:t>
      </w:r>
      <w:r/>
    </w:p>
    <w:p>
      <w:pPr>
        <w:pStyle w:val="810"/>
        <w:ind w:firstLine="48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8.1.3 2029年2月底前，对2028年1至12月的实际业务发生量进行结算（凭合同、验收单、经甲乙双方盖章确认的任务派单明细及正式发票等）；</w:t>
      </w:r>
      <w:r/>
    </w:p>
    <w:p>
      <w:pPr>
        <w:pStyle w:val="810"/>
        <w:ind w:firstLine="480"/>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8.1.4 2029年8月底前，对2029年1月至7月的实际业务发生量进行结算（凭合同、验收单、经甲乙双方盖章确认的任务派单明细及正式发票等）</w:t>
      </w:r>
      <w:r>
        <w:rPr>
          <w:rFonts w:hint="eastAsia" w:ascii="宋体" w:hAnsi="宋体" w:eastAsia="宋体" w:cs="宋体"/>
          <w:b/>
          <w:bCs/>
          <w:color w:val="auto"/>
          <w:sz w:val="24"/>
          <w:szCs w:val="24"/>
          <w:highlight w:val="none"/>
        </w:rPr>
        <w:t xml:space="preserve">。    </w:t>
      </w:r>
      <w:r/>
    </w:p>
    <w:p>
      <w:pPr>
        <w:ind w:firstLine="482"/>
        <w:keepLines w:val="0"/>
        <w:keepNext w:val="0"/>
        <w:pageBreakBefore w:val="0"/>
        <w:spacing w:before="120" w:after="120" w:line="40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注：如合同总金额在扣除前三次付款后，剩余部分不足以支付第四次结算的费用时，则以剩余金额进行全额支付，超出部分不予支付。</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lang w:eastAsia="zh-CN"/>
        </w:rPr>
        <w:t xml:space="preserve">九</w:t>
      </w:r>
      <w:r>
        <w:rPr>
          <w:rFonts w:ascii="Times New Roman" w:hAnsi="Times New Roman"/>
          <w:b/>
          <w:color w:val="auto"/>
          <w:sz w:val="24"/>
          <w:szCs w:val="24"/>
          <w:highlight w:val="none"/>
        </w:rPr>
        <w:t xml:space="preserve">、税费</w:t>
      </w:r>
      <w:r/>
    </w:p>
    <w:p>
      <w:pPr>
        <w:ind w:firstLine="480"/>
        <w:keepLines w:val="0"/>
        <w:keepNext w:val="0"/>
        <w:pageBreakBefore w:val="0"/>
        <w:spacing w:before="143" w:after="143"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9</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 本合同执行中相关的一切税费均由乙方负担。</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lang w:eastAsia="zh-CN"/>
        </w:rPr>
        <w:t xml:space="preserve">十</w:t>
      </w:r>
      <w:r>
        <w:rPr>
          <w:rFonts w:ascii="Times New Roman" w:hAnsi="Times New Roman"/>
          <w:b/>
          <w:color w:val="auto"/>
          <w:sz w:val="24"/>
          <w:szCs w:val="24"/>
          <w:highlight w:val="none"/>
        </w:rPr>
        <w:t xml:space="preserve">、项目验收</w:t>
      </w:r>
      <w:r/>
    </w:p>
    <w:p>
      <w:pPr>
        <w:ind w:firstLine="480"/>
        <w:keepLines w:val="0"/>
        <w:keepNext w:val="0"/>
        <w:pageBreakBefore w:val="0"/>
        <w:spacing w:before="143" w:after="143"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.1 甲方依法组织履约验收工作</w:t>
      </w:r>
      <w:r>
        <w:rPr>
          <w:rFonts w:hint="eastAsia" w:ascii="Times New Roman" w:hAnsi="Times New Roman"/>
          <w:color w:val="auto"/>
          <w:sz w:val="24"/>
          <w:szCs w:val="24"/>
          <w:highlight w:val="none"/>
          <w:lang w:eastAsia="zh-CN"/>
        </w:rPr>
        <w:t xml:space="preserve">，验收费用由乙方负担。</w:t>
      </w:r>
      <w:r/>
    </w:p>
    <w:p>
      <w:pPr>
        <w:ind w:firstLine="480"/>
        <w:keepLines w:val="0"/>
        <w:keepNext w:val="0"/>
        <w:pageBreakBefore w:val="0"/>
        <w:spacing w:before="143" w:after="143"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.2 甲方在组织履约验收前，乙方应做好相应配合工作。</w:t>
      </w:r>
      <w:r/>
    </w:p>
    <w:p>
      <w:pPr>
        <w:ind w:firstLine="480"/>
        <w:keepLines w:val="0"/>
        <w:keepNext w:val="0"/>
        <w:pageBreakBefore w:val="0"/>
        <w:spacing w:before="143" w:after="143"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.3 甲方按照采购合同的约定对乙方的履约情况进行验收。验收时,甲方按照采购合同的约定对履约情况进行确认。验收结束后,验收小组出具验收意见,列明验收情况及项目总体评价。验收结果与采购合同约定的资金支付条件挂钩。</w:t>
      </w:r>
      <w:r/>
    </w:p>
    <w:p>
      <w:pPr>
        <w:ind w:firstLine="480"/>
        <w:keepLines w:val="0"/>
        <w:keepNext w:val="0"/>
        <w:pageBreakBefore w:val="0"/>
        <w:spacing w:before="143" w:after="143"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.4 验收合格的项目,甲方根据采购合同的约定及时向乙方支付合同款项。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eastAsia="zh-CN"/>
        </w:rPr>
        <w:t xml:space="preserve">一</w:t>
      </w:r>
      <w:r>
        <w:rPr>
          <w:rFonts w:ascii="Times New Roman" w:hAnsi="Times New Roman"/>
          <w:b/>
          <w:color w:val="auto"/>
          <w:sz w:val="24"/>
          <w:szCs w:val="24"/>
          <w:highlight w:val="none"/>
        </w:rPr>
        <w:t xml:space="preserve">、违约责任</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.1 甲方无正当理由拒绝接受乙方提供服务的，甲方向乙方偿付拒绝接受服务合同价款总值</w:t>
      </w:r>
      <w:r>
        <w:rPr>
          <w:rFonts w:hint="eastAsia" w:ascii="宋体" w:hAnsi="宋体" w:cs="宋体"/>
          <w:color w:val="auto"/>
          <w:sz w:val="24"/>
          <w:szCs w:val="24"/>
          <w:highlight w:val="none"/>
          <w:lang w:val="en-US" w:eastAsia="zh-CN"/>
        </w:rPr>
        <w:t xml:space="preserve">5</w:t>
      </w:r>
      <w:r>
        <w:rPr>
          <w:rFonts w:hint="eastAsia" w:ascii="Times New Roman" w:hAnsi="Times New Roman"/>
          <w:color w:val="auto"/>
          <w:sz w:val="24"/>
          <w:szCs w:val="24"/>
          <w:highlight w:val="none"/>
          <w:lang w:val="en-US" w:eastAsia="zh-CN"/>
        </w:rPr>
        <w:t xml:space="preserve">%</w:t>
      </w:r>
      <w:r>
        <w:rPr>
          <w:rFonts w:ascii="Times New Roman" w:hAnsi="Times New Roman"/>
          <w:color w:val="auto"/>
          <w:sz w:val="24"/>
          <w:szCs w:val="24"/>
          <w:highlight w:val="none"/>
        </w:rPr>
        <w:t xml:space="preserve">的违约金。</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.2 甲方无故逾期验收和办理合同款项支付手续的,甲方应按逾期付款总额每日</w:t>
      </w:r>
      <w:r>
        <w:rPr>
          <w:rFonts w:hint="eastAsia" w:ascii="宋体" w:hAnsi="宋体" w:cs="宋体"/>
          <w:color w:val="auto"/>
          <w:sz w:val="24"/>
          <w:szCs w:val="24"/>
          <w:highlight w:val="none"/>
          <w:lang w:val="en-US" w:eastAsia="zh-CN"/>
        </w:rPr>
        <w:t xml:space="preserve">1‰</w:t>
      </w:r>
      <w:r>
        <w:rPr>
          <w:rFonts w:ascii="Times New Roman" w:hAnsi="Times New Roman"/>
          <w:color w:val="auto"/>
          <w:sz w:val="24"/>
          <w:szCs w:val="24"/>
          <w:highlight w:val="none"/>
        </w:rPr>
        <w:t xml:space="preserve">向乙方支付违约金。</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.3 乙方逾期提供服务的，乙方应按逾期提供服务合同总额每日</w:t>
      </w:r>
      <w:r>
        <w:rPr>
          <w:rFonts w:hint="eastAsia" w:ascii="Times New Roman" w:hAnsi="Times New Roman"/>
          <w:color w:val="auto"/>
          <w:sz w:val="24"/>
          <w:szCs w:val="24"/>
          <w:highlight w:val="none"/>
          <w:lang w:eastAsia="zh-CN"/>
        </w:rPr>
        <w:t xml:space="preserve">万分之三</w:t>
      </w:r>
      <w:r>
        <w:rPr>
          <w:rFonts w:ascii="Times New Roman" w:hAnsi="Times New Roman"/>
          <w:color w:val="auto"/>
          <w:sz w:val="24"/>
          <w:szCs w:val="24"/>
          <w:highlight w:val="none"/>
        </w:rPr>
        <w:t xml:space="preserve">向甲方支付违约金，由甲方从待付合同款项中扣除。逾期超过约定日期个工作日不能提供服务的，甲方可解除本合同。乙方因逾期提供服务或因其他违约行为导致甲方解除合同的，乙方应向甲方支付合同价款总额</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2</w:t>
      </w:r>
      <w:r>
        <w:rPr>
          <w:rFonts w:hint="eastAsia" w:hAnsi="宋体"/>
          <w:color w:val="auto"/>
          <w:sz w:val="24"/>
          <w:szCs w:val="24"/>
          <w:highlight w:val="none"/>
          <w:u w:val="single"/>
        </w:rPr>
        <w:t xml:space="preserve">0 %</w:t>
      </w:r>
      <w:r>
        <w:rPr>
          <w:rFonts w:ascii="Times New Roman" w:hAnsi="Times New Roman"/>
          <w:color w:val="auto"/>
          <w:sz w:val="24"/>
          <w:szCs w:val="24"/>
          <w:highlight w:val="none"/>
        </w:rPr>
        <w:t xml:space="preserve">的违约金，如造成甲方损失超过违约金的，超出部分由乙方继续承担赔偿责任。</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.4 </w:t>
      </w:r>
      <w:r>
        <w:rPr>
          <w:rFonts w:hint="eastAsia" w:ascii="宋体" w:hAnsi="宋体" w:eastAsia="宋体" w:cs="宋体"/>
          <w:color w:val="auto"/>
          <w:sz w:val="24"/>
          <w:szCs w:val="24"/>
          <w:highlight w:val="none"/>
        </w:rPr>
        <w:t xml:space="preserve">乙方提供的服务不符合合同规定及磋商文件规定标准的，甲方有权拒绝接受乙方提供的服务成果，</w:t>
      </w:r>
      <w:r>
        <w:rPr>
          <w:rFonts w:hint="eastAsia" w:ascii="宋体" w:hAnsi="宋体" w:eastAsia="宋体" w:cs="宋体"/>
          <w:color w:val="auto"/>
          <w:sz w:val="24"/>
          <w:szCs w:val="24"/>
          <w:highlight w:val="none"/>
          <w:lang w:eastAsia="zh-CN"/>
        </w:rPr>
        <w:t xml:space="preserve">或由</w:t>
      </w:r>
      <w:r>
        <w:rPr>
          <w:rFonts w:hint="eastAsia" w:ascii="宋体" w:hAnsi="宋体" w:eastAsia="宋体" w:cs="宋体"/>
          <w:color w:val="auto"/>
          <w:sz w:val="24"/>
          <w:szCs w:val="24"/>
          <w:highlight w:val="none"/>
        </w:rPr>
        <w:t xml:space="preserve">乙方免费负责重做或补充，直至符合合同约定的要求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若造成逾期提交服务成果的，应按约定承担逾期提交的违约责任；若给甲方造成损失的，乙方需赔偿甲方损失，并且甲方有权解除合同。</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eastAsia="zh-CN"/>
        </w:rPr>
        <w:t xml:space="preserve">二</w:t>
      </w:r>
      <w:r>
        <w:rPr>
          <w:rFonts w:ascii="Times New Roman" w:hAnsi="Times New Roman"/>
          <w:b/>
          <w:color w:val="auto"/>
          <w:sz w:val="24"/>
          <w:szCs w:val="24"/>
          <w:highlight w:val="none"/>
        </w:rPr>
        <w:t xml:space="preserve">、不可抗力事件处理</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.2 不可抗力事件发生后，应立即通知对方，并寄送有关权威机构出具的证明。</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.3 不可抗力事件延续120天以上，双方应通过友好协商，确定是否继续履行合同。</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eastAsia="zh-CN"/>
        </w:rPr>
        <w:t xml:space="preserve">三</w:t>
      </w:r>
      <w:r>
        <w:rPr>
          <w:rFonts w:ascii="Times New Roman" w:hAnsi="Times New Roman"/>
          <w:b/>
          <w:color w:val="auto"/>
          <w:sz w:val="24"/>
          <w:szCs w:val="24"/>
          <w:highlight w:val="none"/>
        </w:rPr>
        <w:t xml:space="preserve">、诉讼</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.1 双方在执行合同中所发生的一切争议，应通过协商解决。如协商不成，</w:t>
      </w:r>
      <w:r>
        <w:rPr>
          <w:rFonts w:hint="eastAsia" w:ascii="宋体" w:hAnsi="宋体"/>
          <w:color w:val="auto"/>
          <w:sz w:val="24"/>
          <w:szCs w:val="24"/>
          <w:highlight w:val="none"/>
        </w:rPr>
        <w:t xml:space="preserve">向</w:t>
      </w:r>
      <w:r>
        <w:rPr>
          <w:rFonts w:hAnsi="宋体"/>
          <w:color w:val="auto"/>
          <w:sz w:val="24"/>
          <w:szCs w:val="24"/>
          <w:highlight w:val="none"/>
        </w:rPr>
        <w:t xml:space="preserve">甲</w:t>
      </w:r>
      <w:r>
        <w:rPr>
          <w:rFonts w:hint="eastAsia" w:ascii="宋体" w:hAnsi="宋体"/>
          <w:color w:val="auto"/>
          <w:sz w:val="24"/>
          <w:szCs w:val="24"/>
          <w:highlight w:val="none"/>
        </w:rPr>
        <w:t xml:space="preserve">方所在地人民法院提起诉讼</w:t>
      </w:r>
      <w:r>
        <w:rPr>
          <w:rFonts w:ascii="Times New Roman" w:hAnsi="Times New Roman"/>
          <w:color w:val="auto"/>
          <w:sz w:val="24"/>
          <w:szCs w:val="24"/>
          <w:highlight w:val="none"/>
        </w:rPr>
        <w:t xml:space="preserve">。</w:t>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eastAsia="zh-CN"/>
        </w:rPr>
        <w:t xml:space="preserve">四</w:t>
      </w:r>
      <w:r>
        <w:rPr>
          <w:rFonts w:ascii="Times New Roman" w:hAnsi="Times New Roman"/>
          <w:b/>
          <w:color w:val="auto"/>
          <w:sz w:val="24"/>
          <w:szCs w:val="24"/>
          <w:highlight w:val="none"/>
        </w:rPr>
        <w:t xml:space="preserve">、其他</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.1 本合同所有附件、</w:t>
      </w:r>
      <w:r>
        <w:rPr>
          <w:rFonts w:hint="eastAsia" w:ascii="Times New Roman" w:hAnsi="Times New Roman"/>
          <w:color w:val="auto"/>
          <w:sz w:val="24"/>
          <w:szCs w:val="24"/>
          <w:highlight w:val="none"/>
          <w:lang w:val="en-US" w:eastAsia="zh-CN"/>
        </w:rPr>
        <w:t xml:space="preserve">采购</w:t>
      </w:r>
      <w:r>
        <w:rPr>
          <w:rFonts w:ascii="Times New Roman" w:hAnsi="Times New Roman"/>
          <w:color w:val="auto"/>
          <w:sz w:val="24"/>
          <w:szCs w:val="24"/>
          <w:highlight w:val="none"/>
        </w:rPr>
        <w:t xml:space="preserve">文件、</w:t>
      </w:r>
      <w:r>
        <w:rPr>
          <w:rFonts w:hint="eastAsia" w:ascii="Times New Roman" w:hAnsi="Times New Roman"/>
          <w:color w:val="auto"/>
          <w:sz w:val="24"/>
          <w:szCs w:val="24"/>
          <w:highlight w:val="none"/>
          <w:lang w:val="en-US" w:eastAsia="zh-CN"/>
        </w:rPr>
        <w:t xml:space="preserve">响应</w:t>
      </w:r>
      <w:r>
        <w:rPr>
          <w:rFonts w:ascii="Times New Roman" w:hAnsi="Times New Roman"/>
          <w:color w:val="auto"/>
          <w:sz w:val="24"/>
          <w:szCs w:val="24"/>
          <w:highlight w:val="none"/>
        </w:rPr>
        <w:t xml:space="preserve">文件、中标通知书均为合同的有效组成部分，与本合同具有同等法律效力。</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 除甲方事先书面同意外，乙方不得部分或全部转让其应履行的合同项下的义务。</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本合同未尽事宜，遵照《中华人民共和国民法典（合同编）》有关条文执行。</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乙方在履行合同过程中，一切事故其责任由乙方承担，甲方不承担任何责任</w:t>
      </w:r>
      <w:r>
        <w:rPr>
          <w:rFonts w:hint="eastAsia" w:ascii="宋体" w:hAnsi="宋体" w:eastAsia="宋体" w:cs="宋体"/>
          <w:color w:val="auto"/>
          <w:sz w:val="24"/>
          <w:szCs w:val="24"/>
          <w:highlight w:val="none"/>
          <w:lang w:eastAsia="zh-CN"/>
        </w:rPr>
        <w:t xml:space="preserve">和费用</w:t>
      </w:r>
      <w:r>
        <w:rPr>
          <w:rFonts w:hint="eastAsia" w:ascii="宋体" w:hAnsi="宋体" w:eastAsia="宋体" w:cs="宋体"/>
          <w:color w:val="auto"/>
          <w:sz w:val="24"/>
          <w:szCs w:val="24"/>
          <w:highlight w:val="none"/>
        </w:rPr>
        <w:t xml:space="preserve">。 </w:t>
      </w:r>
      <w:r/>
    </w:p>
    <w:p>
      <w:pPr>
        <w:pStyle w:val="810"/>
        <w:ind w:firstLine="480"/>
        <w:keepLines w:val="0"/>
        <w:keepNext w:val="0"/>
        <w:pageBreakBefore w:val="0"/>
        <w:widowControl w:val="off"/>
        <w:rPr>
          <w:rFonts w:ascii="Times New Roman" w:hAnsi="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Style w:val="915"/>
          <w:rFonts w:hint="eastAsia" w:ascii="宋体" w:hAnsi="宋体" w:eastAsia="宋体" w:cs="宋体"/>
          <w:color w:val="auto"/>
          <w:sz w:val="24"/>
          <w:szCs w:val="24"/>
          <w:highlight w:val="none"/>
        </w:rPr>
        <w:t xml:space="preserve">甲方有权向乙方了解服务进展情况等相关内容，有权对乙方服务进行检查、提出对具体问题的意见和建议，发现乙方的服务存在问题有权通知乙方整改。乙方无正当理由拒绝甲方检查和整改要求，甲方有权解除合同。</w:t>
      </w:r>
      <w:r/>
    </w:p>
    <w:p>
      <w:pPr>
        <w:ind w:firstLine="420"/>
        <w:keepLines w:val="0"/>
        <w:keepNext w:val="0"/>
        <w:pageBreakBefore w:val="0"/>
        <w:widowControl w:val="off"/>
        <w:rPr>
          <w:color w:val="auto"/>
          <w:highlight w:val="none"/>
        </w:rPr>
      </w:pPr>
      <w:r>
        <w:rPr>
          <w:color w:val="auto"/>
          <w:highlight w:val="none"/>
        </w:rPr>
      </w:r>
      <w:r/>
    </w:p>
    <w:p>
      <w:pPr>
        <w:ind w:firstLine="482"/>
        <w:keepLines w:val="0"/>
        <w:keepNext w:val="0"/>
        <w:pageBreakBefore w:val="0"/>
        <w:spacing w:before="120" w:after="120" w:line="40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eastAsia="zh-CN"/>
        </w:rPr>
        <w:t xml:space="preserve">五</w:t>
      </w:r>
      <w:r>
        <w:rPr>
          <w:rFonts w:ascii="Times New Roman" w:hAnsi="Times New Roman"/>
          <w:b/>
          <w:color w:val="auto"/>
          <w:sz w:val="24"/>
          <w:szCs w:val="24"/>
          <w:highlight w:val="none"/>
        </w:rPr>
        <w:t xml:space="preserve">、合同生效</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rPr>
          <w:rFonts w:ascii="Times New Roman" w:hAnsi="Times New Roman"/>
          <w:color w:val="auto"/>
          <w:sz w:val="24"/>
          <w:szCs w:val="24"/>
          <w:highlight w:val="none"/>
        </w:rPr>
        <w:t xml:space="preserve">.1 合同经双方法定代表人或授权委托代表人签字并加盖单位公章后生效。</w:t>
      </w:r>
      <w:r/>
    </w:p>
    <w:p>
      <w:pPr>
        <w:ind w:firstLine="480"/>
        <w:keepLines w:val="0"/>
        <w:keepNext w:val="0"/>
        <w:pageBreakBefore w:val="0"/>
        <w:spacing w:before="120" w:after="120"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rPr>
          <w:rFonts w:ascii="Times New Roman" w:hAnsi="Times New Roman"/>
          <w:color w:val="auto"/>
          <w:sz w:val="24"/>
          <w:szCs w:val="24"/>
          <w:highlight w:val="none"/>
        </w:rPr>
        <w:t xml:space="preserve">.2 本合同一式</w:t>
      </w:r>
      <w:r>
        <w:rPr>
          <w:rFonts w:hint="eastAsia" w:ascii="Times New Roman" w:hAnsi="Times New Roman"/>
          <w:color w:val="auto"/>
          <w:sz w:val="24"/>
          <w:szCs w:val="24"/>
          <w:highlight w:val="none"/>
        </w:rPr>
        <w:t xml:space="preserve">陆</w:t>
      </w:r>
      <w:r>
        <w:rPr>
          <w:rFonts w:ascii="Times New Roman" w:hAnsi="Times New Roman"/>
          <w:color w:val="auto"/>
          <w:sz w:val="24"/>
          <w:szCs w:val="24"/>
          <w:highlight w:val="none"/>
        </w:rPr>
        <w:t xml:space="preserve">份</w:t>
      </w:r>
      <w:r>
        <w:rPr>
          <w:rFonts w:hint="eastAsia" w:ascii="Times New Roman" w:hAnsi="Times New Roman"/>
          <w:color w:val="auto"/>
          <w:sz w:val="24"/>
          <w:szCs w:val="24"/>
          <w:highlight w:val="none"/>
        </w:rPr>
        <w:t xml:space="preserve">，甲乙双方各执叁份，具有同等法律效力。</w:t>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乙方：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地址：</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法定代表人或授权代表：</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法定代表人或授权代表：</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联系电话：</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签订日期：年月日</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签订日期：年月日</w:t>
      </w:r>
      <w:r/>
    </w:p>
    <w:p>
      <w:pPr>
        <w:pStyle w:val="836"/>
        <w:spacing w:line="400" w:lineRule="exact"/>
        <w:rPr>
          <w:rFonts w:ascii="Times New Roman" w:hAnsi="Times New Roman"/>
          <w:color w:val="auto"/>
          <w:highlight w:val="none"/>
        </w:rPr>
      </w:pPr>
      <w:r>
        <w:rPr>
          <w:rFonts w:ascii="Times New Roman" w:hAnsi="Times New Roman"/>
          <w:color w:val="auto"/>
          <w:highlight w:val="none"/>
        </w:rPr>
        <w:br w:type="page" w:clear="all"/>
      </w:r>
      <w:bookmarkEnd w:id="166"/>
      <w:bookmarkEnd w:id="167"/>
      <w:bookmarkEnd w:id="168"/>
      <w:r/>
    </w:p>
    <w:p>
      <w:pPr>
        <w:ind w:firstLine="723"/>
        <w:jc w:val="center"/>
        <w:keepNext/>
        <w:spacing w:line="400" w:lineRule="exact"/>
        <w:rPr>
          <w:rFonts w:ascii="Times New Roman" w:hAnsi="Times New Roman"/>
          <w:b/>
          <w:bCs/>
          <w:color w:val="auto"/>
          <w:sz w:val="36"/>
          <w:szCs w:val="36"/>
          <w:highlight w:val="none"/>
        </w:rPr>
        <w:outlineLvl w:val="0"/>
      </w:pPr>
      <w:r/>
      <w:bookmarkStart w:id="169" w:name="_Hlt16619350"/>
      <w:r/>
      <w:bookmarkStart w:id="170" w:name="_Toc16938590"/>
      <w:r/>
      <w:bookmarkStart w:id="171" w:name="_Toc120614244"/>
      <w:r/>
      <w:bookmarkStart w:id="172" w:name="_Toc20823346"/>
      <w:r/>
      <w:bookmarkStart w:id="173" w:name="_Toc462564139"/>
      <w:r/>
      <w:bookmarkStart w:id="174" w:name="_Toc479757211"/>
      <w:r>
        <w:rPr>
          <w:rFonts w:ascii="Times New Roman" w:hAnsi="Times New Roman"/>
          <w:b/>
          <w:bCs/>
          <w:color w:val="auto"/>
          <w:sz w:val="36"/>
          <w:szCs w:val="36"/>
          <w:highlight w:val="none"/>
        </w:rPr>
        <w:t xml:space="preserve">第</w:t>
      </w:r>
      <w:bookmarkEnd w:id="169"/>
      <w:r>
        <w:rPr>
          <w:rFonts w:ascii="Times New Roman" w:hAnsi="Times New Roman"/>
          <w:b/>
          <w:bCs/>
          <w:color w:val="auto"/>
          <w:sz w:val="36"/>
          <w:szCs w:val="36"/>
          <w:highlight w:val="none"/>
        </w:rPr>
        <w:t xml:space="preserve">四章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采购需求</w:t>
      </w:r>
      <w:bookmarkEnd w:id="170"/>
      <w:r/>
      <w:bookmarkEnd w:id="171"/>
      <w:r/>
      <w:bookmarkEnd w:id="172"/>
      <w:r/>
      <w:bookmarkStart w:id="175" w:name="_Toc49090575"/>
      <w:r/>
      <w:bookmarkStart w:id="176" w:name="_Toc26554093"/>
      <w:r/>
      <w:r/>
    </w:p>
    <w:p>
      <w:pPr>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供应商在制作响应文件时仔细研究采购需求说明。采购需求包括技术要求和商务要求:</w:t>
      </w:r>
      <w:r/>
    </w:p>
    <w:p>
      <w:pPr>
        <w:ind w:firstLine="480"/>
        <w:spacing w:line="400" w:lineRule="exact"/>
        <w:rPr>
          <w:rFonts w:ascii="宋体" w:hAnsi="宋体"/>
          <w:b/>
          <w:i/>
          <w:iCs/>
          <w:color w:val="auto"/>
          <w:sz w:val="24"/>
          <w:szCs w:val="24"/>
          <w:highlight w:val="none"/>
          <w:u w:val="single"/>
        </w:rPr>
      </w:pPr>
      <w:r>
        <w:rPr>
          <w:rFonts w:hint="eastAsia" w:ascii="宋体" w:hAnsi="宋体"/>
          <w:bCs/>
          <w:color w:val="auto"/>
          <w:sz w:val="24"/>
          <w:szCs w:val="24"/>
          <w:highlight w:val="none"/>
        </w:rPr>
        <w:t xml:space="preserve">技术要求是指对采购标的功能和质量要求，包括性能、材料、结构、外观、安全，或者服务内容和标准等。</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一、有关要求说明</w:t>
      </w:r>
      <w:r/>
    </w:p>
    <w:p>
      <w:pPr>
        <w:ind w:firstLine="480"/>
        <w:spacing w:line="50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二、项目概况</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为贯彻落实自然资源部《关于持续推进农村房地一体宅基地确权登记办证工作的通知》（自然资发〔2023〕109号）、自然资源部 农业农村部《关于分类化解历史遗留问题扎实做好房地一体宅基地确权登记工作的通知》（自然资发〔2025〕217号）、自然资源部自然资源确权登记局《关于加快推动农房宅基地登记工作的函》（自然资登记函〔2026〕42号）精神，实现符合登记条件尚未登记以及历史遗留问题按照自然资发〔2025〕217号文件可化解的农房宅基地“应登尽登”和做好已有确权登记成果日常更新的工作要求，开展本项目。</w:t>
      </w:r>
      <w:r/>
    </w:p>
    <w:p>
      <w:pPr>
        <w:spacing w:line="500" w:lineRule="exact"/>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、具体工作内容</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1、服务项目及数据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（1）更新调查</w:t>
      </w:r>
      <w:r>
        <w:rPr>
          <w:rFonts w:hint="eastAsia" w:ascii="宋体" w:hAnsi="宋体" w:cs="宋体"/>
          <w:bCs/>
          <w:color w:val="auto"/>
          <w:sz w:val="24"/>
          <w:szCs w:val="24"/>
          <w:highlight w:val="none"/>
          <w:lang w:val="en-US" w:eastAsia="zh-CN"/>
        </w:rPr>
        <w:t xml:space="preserve">10500</w:t>
      </w:r>
      <w:r>
        <w:rPr>
          <w:rFonts w:hint="eastAsia" w:ascii="宋体" w:hAnsi="宋体" w:cs="宋体"/>
          <w:bCs/>
          <w:color w:val="auto"/>
          <w:sz w:val="24"/>
          <w:szCs w:val="24"/>
          <w:highlight w:val="none"/>
        </w:rPr>
        <w:t xml:space="preserve">宗；</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（2）补充测绘及调查</w:t>
      </w:r>
      <w:r>
        <w:rPr>
          <w:rFonts w:hint="eastAsia" w:ascii="宋体" w:hAnsi="宋体" w:cs="宋体"/>
          <w:bCs/>
          <w:color w:val="auto"/>
          <w:sz w:val="24"/>
          <w:szCs w:val="24"/>
          <w:highlight w:val="none"/>
          <w:lang w:val="en-US" w:eastAsia="zh-CN"/>
        </w:rPr>
        <w:t xml:space="preserve">2500</w:t>
      </w:r>
      <w:r>
        <w:rPr>
          <w:rFonts w:hint="eastAsia" w:ascii="宋体" w:hAnsi="宋体" w:cs="宋体"/>
          <w:bCs/>
          <w:color w:val="auto"/>
          <w:sz w:val="24"/>
          <w:szCs w:val="24"/>
          <w:highlight w:val="none"/>
        </w:rPr>
        <w:t xml:space="preserve">宗；</w:t>
      </w:r>
      <w:r/>
    </w:p>
    <w:p>
      <w:pPr>
        <w:ind w:firstLine="422"/>
        <w:spacing w:line="500" w:lineRule="exact"/>
        <w:rPr>
          <w:rFonts w:ascii="宋体" w:hAnsi="宋体" w:cs="宋体"/>
          <w:bCs/>
          <w:color w:val="auto"/>
          <w:sz w:val="24"/>
          <w:szCs w:val="24"/>
          <w:highlight w:val="none"/>
        </w:rPr>
      </w:pPr>
      <w:r>
        <w:rPr>
          <w:rFonts w:hint="eastAsia" w:ascii="宋体" w:hAnsi="宋体" w:cs="宋体"/>
          <w:b/>
          <w:color w:val="auto"/>
          <w:szCs w:val="21"/>
          <w:highlight w:val="none"/>
        </w:rPr>
        <w:t xml:space="preserve">注：以上宗数为估算，最终按实际发生数量结算。</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2、服务工作内容</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（1）更新调查</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对前期农村房地一体宅基地统一开展过调查且</w:t>
      </w:r>
      <w:r>
        <w:rPr>
          <w:rFonts w:hint="eastAsia" w:ascii="宋体" w:hAnsi="宋体" w:cs="宋体"/>
          <w:bCs/>
          <w:color w:val="auto"/>
          <w:sz w:val="24"/>
          <w:szCs w:val="24"/>
          <w:highlight w:val="none"/>
          <w:lang w:eastAsia="zh-CN"/>
        </w:rPr>
        <w:t xml:space="preserve">主房至今未翻建、改建的宅基地</w:t>
      </w:r>
      <w:r>
        <w:rPr>
          <w:rFonts w:hint="eastAsia" w:ascii="宋体" w:hAnsi="宋体" w:cs="宋体"/>
          <w:bCs/>
          <w:color w:val="auto"/>
          <w:sz w:val="24"/>
          <w:szCs w:val="24"/>
          <w:highlight w:val="none"/>
        </w:rPr>
        <w:t xml:space="preserve">，</w:t>
      </w:r>
      <w:r>
        <w:rPr>
          <w:rFonts w:hint="eastAsia" w:ascii="宋体" w:hAnsi="宋体" w:cs="宋体"/>
          <w:bCs/>
          <w:strike/>
          <w:color w:val="auto"/>
          <w:sz w:val="24"/>
          <w:szCs w:val="24"/>
          <w:highlight w:val="none"/>
        </w:rPr>
        <w:t xml:space="preserve">核实</w:t>
      </w:r>
      <w:r>
        <w:rPr>
          <w:rFonts w:hint="eastAsia" w:ascii="宋体" w:hAnsi="宋体" w:cs="宋体"/>
          <w:bCs/>
          <w:color w:val="auto"/>
          <w:sz w:val="24"/>
          <w:szCs w:val="24"/>
          <w:highlight w:val="none"/>
        </w:rPr>
        <w:t xml:space="preserve">原地籍调查成果</w:t>
      </w:r>
      <w:r>
        <w:rPr>
          <w:rFonts w:hint="eastAsia" w:ascii="宋体" w:hAnsi="宋体" w:cs="宋体"/>
          <w:bCs/>
          <w:color w:val="auto"/>
          <w:sz w:val="24"/>
          <w:szCs w:val="24"/>
          <w:highlight w:val="none"/>
          <w:lang w:eastAsia="zh-CN"/>
        </w:rPr>
        <w:t xml:space="preserve">有错误的开展更新调查</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同时收集权属来源、权利人身份证明等材料形</w:t>
      </w:r>
      <w:r>
        <w:rPr>
          <w:rFonts w:hint="eastAsia" w:ascii="宋体" w:hAnsi="宋体" w:cs="宋体"/>
          <w:bCs/>
          <w:color w:val="auto"/>
          <w:sz w:val="24"/>
          <w:szCs w:val="24"/>
          <w:highlight w:val="none"/>
        </w:rPr>
        <w:t xml:space="preserve">成现势性农村房地一体宅基地地籍调查成果，</w:t>
      </w:r>
      <w:r>
        <w:rPr>
          <w:rFonts w:hint="eastAsia" w:ascii="宋体" w:hAnsi="宋体" w:cs="宋体"/>
          <w:bCs/>
          <w:color w:val="auto"/>
          <w:sz w:val="24"/>
          <w:szCs w:val="24"/>
          <w:highlight w:val="none"/>
          <w:lang w:val="en-US" w:eastAsia="zh-CN"/>
        </w:rPr>
        <w:t xml:space="preserve">满足登记发证要求</w:t>
      </w:r>
      <w:r>
        <w:rPr>
          <w:rFonts w:hint="eastAsia" w:ascii="宋体" w:hAnsi="宋体" w:cs="宋体"/>
          <w:bCs/>
          <w:color w:val="auto"/>
          <w:sz w:val="24"/>
          <w:szCs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（2）补充测绘及调查</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对前期农村房地一体宅基地统一调查中遗漏的宅基地及房屋，按要求补充测绘，同时收集权属来源、权利人身份证明等材料形成农村房地一体宅基地地籍调查成果，</w:t>
      </w:r>
      <w:r>
        <w:rPr>
          <w:rFonts w:hint="eastAsia" w:ascii="宋体" w:hAnsi="宋体" w:cs="宋体"/>
          <w:bCs/>
          <w:color w:val="auto"/>
          <w:sz w:val="24"/>
          <w:szCs w:val="24"/>
          <w:highlight w:val="none"/>
          <w:lang w:val="en-US" w:eastAsia="zh-CN"/>
        </w:rPr>
        <w:t xml:space="preserve">满足登记发证要求。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（3）数据库建设与更新</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完成更新调查成果和补充测绘及调查成果数据库建设；协助甲方做好汇交数据库更新工作，满足汇交要求。</w:t>
      </w:r>
      <w:r/>
    </w:p>
    <w:p>
      <w:pPr>
        <w:pStyle w:val="810"/>
        <w:numPr>
          <w:ilvl w:val="0"/>
          <w:numId w:val="5"/>
        </w:numPr>
        <w:ind w:left="240" w:firstLine="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服务期限</w:t>
      </w:r>
      <w:r/>
    </w:p>
    <w:p>
      <w:pPr>
        <w:ind w:firstLine="480"/>
        <w:spacing w:line="5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服务期：</w:t>
      </w:r>
      <w:r>
        <w:rPr>
          <w:rFonts w:hint="eastAsia" w:ascii="宋体" w:hAnsi="宋体" w:eastAsia="宋体" w:cs="宋体"/>
          <w:color w:val="auto"/>
          <w:spacing w:val="-2"/>
          <w:sz w:val="24"/>
          <w:szCs w:val="24"/>
          <w:highlight w:val="none"/>
          <w:lang w:val="en-US" w:eastAsia="zh-CN" w:bidi="ar-SA"/>
        </w:rPr>
        <w:t xml:space="preserve">合同签订之日起三年（2026年8月至2029年7月）</w:t>
      </w:r>
      <w:r>
        <w:rPr>
          <w:rFonts w:hint="eastAsia" w:ascii="宋体" w:hAnsi="宋体" w:cs="宋体"/>
          <w:bCs/>
          <w:color w:val="auto"/>
          <w:sz w:val="24"/>
          <w:szCs w:val="24"/>
          <w:highlight w:val="none"/>
          <w:lang w:val="en-US" w:eastAsia="zh-CN"/>
        </w:rPr>
        <w:t xml:space="preserve">成交供应商必须在采购人委托期限内完成委托工作，并提交相关成果资料，不得逾期。</w:t>
      </w:r>
      <w:r>
        <w:rPr>
          <w:rFonts w:hint="eastAsia" w:ascii="宋体" w:hAnsi="宋体" w:eastAsia="宋体" w:cs="宋体"/>
          <w:color w:val="auto"/>
          <w:spacing w:val="-2"/>
          <w:sz w:val="24"/>
          <w:szCs w:val="24"/>
          <w:highlight w:val="none"/>
          <w:lang w:val="en-US" w:eastAsia="zh-CN" w:bidi="ar-SA"/>
        </w:rPr>
        <w:t xml:space="preserve">履行期限届满后，若有与本项目有关的未尽事宜，</w:t>
      </w:r>
      <w:r>
        <w:rPr>
          <w:rFonts w:hint="eastAsia" w:ascii="宋体" w:hAnsi="宋体" w:cs="宋体"/>
          <w:color w:val="auto"/>
          <w:spacing w:val="-2"/>
          <w:sz w:val="24"/>
          <w:szCs w:val="24"/>
          <w:highlight w:val="none"/>
          <w:lang w:val="en-US" w:eastAsia="zh-CN" w:bidi="ar-SA"/>
        </w:rPr>
        <w:t xml:space="preserve">成交供应商</w:t>
      </w:r>
      <w:r>
        <w:rPr>
          <w:rFonts w:hint="eastAsia" w:ascii="宋体" w:hAnsi="宋体" w:eastAsia="宋体" w:cs="宋体"/>
          <w:color w:val="auto"/>
          <w:spacing w:val="-2"/>
          <w:sz w:val="24"/>
          <w:szCs w:val="24"/>
          <w:highlight w:val="none"/>
          <w:lang w:val="en-US" w:eastAsia="zh-CN" w:bidi="ar-SA"/>
        </w:rPr>
        <w:t xml:space="preserve">应免费负责处理。</w:t>
      </w:r>
      <w:r/>
    </w:p>
    <w:p>
      <w:pPr>
        <w:ind w:firstLine="241"/>
        <w:spacing w:line="440" w:lineRule="exact"/>
        <w:rPr>
          <w:b/>
          <w:bCs/>
          <w:color w:val="auto"/>
          <w:sz w:val="24"/>
          <w:szCs w:val="24"/>
          <w:highlight w:val="none"/>
        </w:rPr>
      </w:pPr>
      <w:r>
        <w:rPr>
          <w:rFonts w:hint="eastAsia"/>
          <w:b/>
          <w:bCs/>
          <w:color w:val="auto"/>
          <w:sz w:val="24"/>
          <w:szCs w:val="24"/>
          <w:highlight w:val="none"/>
          <w:lang w:eastAsia="zh-CN"/>
        </w:rPr>
        <w:t xml:space="preserve">五</w:t>
      </w:r>
      <w:r>
        <w:rPr>
          <w:rFonts w:hint="eastAsia"/>
          <w:b/>
          <w:bCs/>
          <w:color w:val="auto"/>
          <w:sz w:val="24"/>
          <w:szCs w:val="24"/>
          <w:highlight w:val="none"/>
        </w:rPr>
        <w:t xml:space="preserve">、作业依据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1、《土地利用现状分类》(GB/T21010-2017)；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2、《地籍调查规程》(GB/T 42547-2023)；</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3、《不动产权籍调查技术方案》(试行)；</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4、《江苏省地方标准房屋面积测算技术规程》（DGJ32/TJ131-2011）；</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5、《不动产登记数据库标准》（TD/T 1066 2021）</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6、《江苏省农村不动产权籍调查数据库标准》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7、《江苏省农村不动产权籍调查数据汇交指南》</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8、《不动产登记暂行条例》</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9、其它有关文件。</w:t>
      </w:r>
      <w:r/>
    </w:p>
    <w:p>
      <w:pPr>
        <w:ind w:firstLine="241"/>
        <w:spacing w:line="440" w:lineRule="exact"/>
        <w:rPr>
          <w:b/>
          <w:bCs/>
          <w:color w:val="auto"/>
          <w:sz w:val="24"/>
          <w:szCs w:val="24"/>
          <w:highlight w:val="none"/>
        </w:rPr>
      </w:pPr>
      <w:r>
        <w:rPr>
          <w:rFonts w:hint="eastAsia"/>
          <w:b/>
          <w:bCs/>
          <w:color w:val="auto"/>
          <w:sz w:val="24"/>
          <w:szCs w:val="24"/>
          <w:highlight w:val="none"/>
          <w:lang w:eastAsia="zh-CN"/>
        </w:rPr>
        <w:t xml:space="preserve">六</w:t>
      </w:r>
      <w:r>
        <w:rPr>
          <w:rFonts w:hint="eastAsia"/>
          <w:b/>
          <w:bCs/>
          <w:color w:val="auto"/>
          <w:sz w:val="24"/>
          <w:szCs w:val="24"/>
          <w:highlight w:val="none"/>
        </w:rPr>
        <w:t xml:space="preserve">、服务要求</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1、调查精度</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（1）坐标系统</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平面坐标系统：CGCS2000国家坐标系。</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高程基准：1985国家高程基准。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投影方式：采用高斯-克吕格投影，3°带的平面直角系统。</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（2）图形比例尺</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1）地籍图：比例尺1:500；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2）宗地图：图幅面为A4纸张大小，比例尺可根据宗地大小在1:100-1:1000之间适当选择，但比例尺分母必须为100的整数倍。</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3）房产分层分户图：图幅面为A4纸张大小，根据房屋占地面积大小在1:100-1:500之间适当选择，但比例尺分母必须为100的整数倍。</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（3）计量单位</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1）坐标单位采用米（m），保留三位小数。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2）长度单位采用米（m），保留两位小数。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3）面积单位采用平方米（㎡），保留两位小数。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（4）地籍测量主要精度指标</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1）界址点的精度</w:t>
      </w:r>
      <w:r/>
    </w:p>
    <w:tbl>
      <w:tblPr>
        <w:tblStyle w:val="803"/>
        <w:tblW w:w="499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510"/>
        <w:gridCol w:w="5254"/>
      </w:tblGrid>
      <w:tr>
        <w:trPr>
          <w:jc w:val="center"/>
          <w:trHeight w:val="510"/>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级</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别</w:t>
            </w:r>
            <w:r/>
          </w:p>
        </w:tc>
        <w:tc>
          <w:tcPr>
            <w:gridSpan w:val="2"/>
            <w:tcBorders>
              <w:top w:val="single" w:color="auto" w:sz="4" w:space="0"/>
              <w:left w:val="single" w:color="auto" w:sz="4" w:space="0"/>
              <w:bottom w:val="single" w:color="auto" w:sz="4" w:space="0"/>
              <w:right w:val="single" w:color="auto" w:sz="4" w:space="0"/>
            </w:tcBorders>
            <w:tcW w:w="4596" w:type="pct"/>
            <w:vAlign w:val="center"/>
            <w:textDirection w:val="lrTb"/>
            <w:noWrap w:val="false"/>
          </w:tcPr>
          <w:p>
            <w:pPr>
              <w:ind w:firstLine="422"/>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界址点相对于邻近控制点的点位误差，相邻界址点间距误差/cm</w:t>
            </w:r>
            <w:r/>
          </w:p>
        </w:tc>
      </w:tr>
      <w:tr>
        <w:trPr>
          <w:jc w:val="center"/>
          <w:trHeight w:val="510"/>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ind w:firstLine="422"/>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pct"/>
            <w:vAlign w:val="center"/>
            <w:textDirection w:val="lrTb"/>
            <w:noWrap w:val="false"/>
          </w:tcPr>
          <w:p>
            <w:pPr>
              <w:ind w:firstLine="48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中误差</w:t>
            </w:r>
            <w:r/>
          </w:p>
        </w:tc>
        <w:tc>
          <w:tcPr>
            <w:tcBorders>
              <w:top w:val="single" w:color="auto" w:sz="4" w:space="0"/>
              <w:left w:val="single" w:color="auto" w:sz="4" w:space="0"/>
              <w:bottom w:val="single" w:color="auto" w:sz="4" w:space="0"/>
              <w:right w:val="single" w:color="auto" w:sz="4" w:space="0"/>
            </w:tcBorders>
            <w:tcW w:w="2755" w:type="pct"/>
            <w:vAlign w:val="center"/>
            <w:textDirection w:val="lrTb"/>
            <w:noWrap w:val="false"/>
          </w:tcPr>
          <w:p>
            <w:pPr>
              <w:ind w:firstLine="48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允许误差</w:t>
            </w:r>
            <w:r/>
          </w:p>
        </w:tc>
      </w:tr>
      <w:tr>
        <w:trPr>
          <w:jc w:val="center"/>
          <w:trHeight w:val="510"/>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841"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2755"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jc w:val="center"/>
          <w:trHeight w:val="510"/>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1841"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w:t>
            </w:r>
            <w:r/>
          </w:p>
        </w:tc>
        <w:tc>
          <w:tcPr>
            <w:tcBorders>
              <w:top w:val="single" w:color="auto" w:sz="4" w:space="0"/>
              <w:left w:val="single" w:color="auto" w:sz="4" w:space="0"/>
              <w:bottom w:val="single" w:color="auto" w:sz="4" w:space="0"/>
              <w:right w:val="single" w:color="auto" w:sz="4" w:space="0"/>
            </w:tcBorders>
            <w:tcW w:w="2755"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±15.0</w:t>
            </w:r>
            <w:r/>
          </w:p>
        </w:tc>
      </w:tr>
      <w:tr>
        <w:trPr>
          <w:jc w:val="center"/>
          <w:trHeight w:val="510"/>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1841"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2755" w:type="pct"/>
            <w:vAlign w:val="center"/>
            <w:textDirection w:val="lrTb"/>
            <w:noWrap w:val="false"/>
          </w:tcPr>
          <w:p>
            <w:pPr>
              <w:ind w:firstLine="42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±20.0</w:t>
            </w:r>
            <w:r/>
          </w:p>
        </w:tc>
      </w:tr>
    </w:tbl>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2）地籍图平面位置精度</w:t>
      </w:r>
      <w:r/>
    </w:p>
    <w:tbl>
      <w:tblPr>
        <w:tblStyle w:val="803"/>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137"/>
        <w:gridCol w:w="2100"/>
        <w:gridCol w:w="2336"/>
      </w:tblGrid>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ind w:firstLine="422"/>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图上中误差/mm</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图上允许误差/mm</w:t>
            </w:r>
            <w:r/>
          </w:p>
        </w:tc>
      </w:tr>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相邻界址点的间距误差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±0.3</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±0.6</w:t>
            </w:r>
            <w:r/>
          </w:p>
        </w:tc>
      </w:tr>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界址点相对于邻近控制点的点位误差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±0.3</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±0.6</w:t>
            </w:r>
            <w:r/>
          </w:p>
        </w:tc>
      </w:tr>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界址点相对于邻近地物点的间距误差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±0.3</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±0.6</w:t>
            </w:r>
            <w:r/>
          </w:p>
        </w:tc>
      </w:tr>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邻近地物点的间距误差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±0.4</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±0.8</w:t>
            </w:r>
            <w:r/>
          </w:p>
        </w:tc>
      </w:tr>
      <w:tr>
        <w:trPr>
          <w:jc w:val="center"/>
          <w:trHeight w:val="46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6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地物点相对于邻近控制点的点位误差</w:t>
            </w:r>
            <w:r/>
          </w:p>
        </w:tc>
        <w:tc>
          <w:tcPr>
            <w:tcBorders>
              <w:top w:val="single" w:color="auto" w:sz="4" w:space="0"/>
              <w:left w:val="single" w:color="auto" w:sz="4" w:space="0"/>
              <w:bottom w:val="single" w:color="auto" w:sz="4" w:space="0"/>
              <w:right w:val="single" w:color="auto" w:sz="4" w:space="0"/>
            </w:tcBorders>
            <w:tcW w:w="11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±0.5</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bl>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（5）农村房屋测量主要精度指标 </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1）房产界址点精度要求</w:t>
      </w:r>
      <w:r>
        <w:rPr>
          <w:rFonts w:hint="eastAsia" w:ascii="宋体" w:hAnsi="宋体" w:cs="宋体"/>
          <w:bCs/>
          <w:color w:val="auto"/>
          <w:sz w:val="24"/>
          <w:szCs w:val="24"/>
          <w:highlight w:val="none"/>
        </w:rPr>
        <w:tab/>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房产界址点的精度分三级，各级界址点相对于邻近控制点的点位中误差和间距超过50m的相邻界址点的间距误差不超过下表的规定。</w:t>
      </w:r>
      <w:r/>
    </w:p>
    <w:tbl>
      <w:tblPr>
        <w:tblStyle w:val="8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8"/>
        <w:gridCol w:w="3835"/>
        <w:gridCol w:w="3641"/>
      </w:tblGrid>
      <w:tr>
        <w:trPr>
          <w:jc w:val="center"/>
          <w:trHeight w:val="506"/>
        </w:trPr>
        <w:tc>
          <w:tcPr>
            <w:tcBorders>
              <w:top w:val="single" w:color="auto" w:sz="4" w:space="0"/>
              <w:left w:val="single" w:color="auto" w:sz="4" w:space="0"/>
              <w:bottom w:val="single" w:color="auto" w:sz="4" w:space="0"/>
              <w:right w:val="single" w:color="auto" w:sz="4" w:space="0"/>
            </w:tcBorders>
            <w:tcW w:w="1079" w:type="pct"/>
            <w:vAlign w:val="center"/>
            <w:vMerge w:val="restart"/>
            <w:textDirection w:val="lrTb"/>
            <w:noWrap w:val="false"/>
          </w:tcPr>
          <w:p>
            <w:pPr>
              <w:ind w:firstLine="172"/>
              <w:rPr>
                <w:rFonts w:ascii="宋体" w:hAnsi="宋体" w:cs="宋体"/>
                <w:color w:val="auto"/>
                <w:szCs w:val="21"/>
                <w:highlight w:val="none"/>
              </w:rPr>
            </w:pPr>
            <w:r>
              <w:rPr>
                <w:rFonts w:hint="eastAsia" w:ascii="宋体" w:hAnsi="宋体" w:cs="宋体"/>
                <w:color w:val="auto"/>
                <w:szCs w:val="21"/>
                <w:highlight w:val="none"/>
              </w:rPr>
              <w:t xml:space="preserve">界址点等级</w:t>
            </w:r>
            <w:r/>
          </w:p>
        </w:tc>
        <w:tc>
          <w:tcPr>
            <w:gridSpan w:val="2"/>
            <w:tcBorders>
              <w:top w:val="single" w:color="auto" w:sz="4" w:space="0"/>
              <w:left w:val="single" w:color="auto" w:sz="4" w:space="0"/>
              <w:bottom w:val="single" w:color="auto" w:sz="4" w:space="0"/>
              <w:right w:val="single" w:color="auto" w:sz="4" w:space="0"/>
            </w:tcBorders>
            <w:tcW w:w="3920" w:type="pct"/>
            <w:vAlign w:val="center"/>
            <w:textDirection w:val="lrTb"/>
            <w:noWrap w:val="false"/>
          </w:tcPr>
          <w:p>
            <w:pPr>
              <w:ind w:firstLine="480"/>
              <w:jc w:val="center"/>
              <w:rPr>
                <w:rFonts w:ascii="宋体" w:hAnsi="宋体" w:cs="宋体"/>
                <w:color w:val="auto"/>
                <w:szCs w:val="21"/>
                <w:highlight w:val="none"/>
              </w:rPr>
            </w:pPr>
            <w:r>
              <w:rPr>
                <w:rFonts w:hint="eastAsia" w:ascii="宋体" w:hAnsi="宋体" w:cs="宋体"/>
                <w:color w:val="auto"/>
                <w:szCs w:val="21"/>
                <w:highlight w:val="none"/>
              </w:rPr>
              <w:t xml:space="preserve">界址点相对于邻近控制点的点位中误差和相邻界址点的间距误差</w:t>
            </w:r>
            <w:r/>
          </w:p>
        </w:tc>
      </w:tr>
      <w:tr>
        <w:trPr>
          <w:jc w:val="center"/>
          <w:trHeight w:val="506"/>
        </w:trPr>
        <w:tc>
          <w:tcPr>
            <w:tcBorders>
              <w:top w:val="single" w:color="auto" w:sz="4" w:space="0"/>
              <w:left w:val="single" w:color="auto" w:sz="4" w:space="0"/>
              <w:bottom w:val="single" w:color="auto" w:sz="4" w:space="0"/>
              <w:right w:val="single" w:color="auto" w:sz="4" w:space="0"/>
            </w:tcBorders>
            <w:tcW w:w="1079" w:type="pct"/>
            <w:vAlign w:val="center"/>
            <w:vMerge w:val="continue"/>
            <w:textDirection w:val="lrTb"/>
            <w:noWrap w:val="false"/>
          </w:tcPr>
          <w:p>
            <w:pPr>
              <w:ind w:firstLine="422"/>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11" w:type="pct"/>
            <w:vAlign w:val="center"/>
            <w:textDirection w:val="lrTb"/>
            <w:noWrap w:val="false"/>
          </w:tcPr>
          <w:p>
            <w:pPr>
              <w:ind w:firstLine="480"/>
              <w:jc w:val="center"/>
              <w:rPr>
                <w:rFonts w:ascii="宋体" w:hAnsi="宋体" w:cs="宋体"/>
                <w:color w:val="auto"/>
                <w:szCs w:val="21"/>
                <w:highlight w:val="none"/>
              </w:rPr>
            </w:pPr>
            <w:r>
              <w:rPr>
                <w:rFonts w:hint="eastAsia" w:ascii="宋体" w:hAnsi="宋体" w:cs="宋体"/>
                <w:color w:val="auto"/>
                <w:szCs w:val="21"/>
                <w:highlight w:val="none"/>
              </w:rPr>
              <w:t xml:space="preserve">限差</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val="false"/>
          </w:tcPr>
          <w:p>
            <w:pPr>
              <w:ind w:firstLine="480"/>
              <w:jc w:val="center"/>
              <w:rPr>
                <w:rFonts w:ascii="宋体" w:hAnsi="宋体" w:cs="宋体"/>
                <w:color w:val="auto"/>
                <w:szCs w:val="21"/>
                <w:highlight w:val="none"/>
              </w:rPr>
            </w:pPr>
            <w:r>
              <w:rPr>
                <w:rFonts w:hint="eastAsia" w:ascii="宋体" w:hAnsi="宋体" w:cs="宋体"/>
                <w:color w:val="auto"/>
                <w:szCs w:val="21"/>
                <w:highlight w:val="none"/>
              </w:rPr>
              <w:t xml:space="preserve">中误差</w:t>
            </w:r>
            <w:r/>
          </w:p>
        </w:tc>
      </w:tr>
      <w:tr>
        <w:trPr>
          <w:jc w:val="center"/>
          <w:trHeight w:val="506"/>
        </w:trPr>
        <w:tc>
          <w:tcPr>
            <w:tcBorders>
              <w:top w:val="single" w:color="auto" w:sz="4" w:space="0"/>
              <w:left w:val="single" w:color="auto" w:sz="4" w:space="0"/>
              <w:bottom w:val="single" w:color="auto" w:sz="4" w:space="0"/>
              <w:right w:val="single" w:color="auto" w:sz="4" w:space="0"/>
            </w:tcBorders>
            <w:tcW w:w="1079" w:type="pct"/>
            <w:vAlign w:val="center"/>
            <w:textDirection w:val="lrTb"/>
            <w:noWrap w:val="false"/>
          </w:tcPr>
          <w:p>
            <w:pPr>
              <w:ind w:firstLine="525"/>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2011"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±0.04</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±0.02</w:t>
            </w:r>
            <w:r/>
          </w:p>
        </w:tc>
      </w:tr>
      <w:tr>
        <w:trPr>
          <w:jc w:val="center"/>
          <w:trHeight w:val="506"/>
        </w:trPr>
        <w:tc>
          <w:tcPr>
            <w:tcBorders>
              <w:top w:val="single" w:color="auto" w:sz="4" w:space="0"/>
              <w:left w:val="single" w:color="auto" w:sz="4" w:space="0"/>
              <w:bottom w:val="single" w:color="auto" w:sz="4" w:space="0"/>
              <w:right w:val="single" w:color="auto" w:sz="4" w:space="0"/>
            </w:tcBorders>
            <w:tcW w:w="1079" w:type="pct"/>
            <w:vAlign w:val="center"/>
            <w:textDirection w:val="lrTb"/>
            <w:noWrap w:val="false"/>
          </w:tcPr>
          <w:p>
            <w:pPr>
              <w:ind w:firstLine="525"/>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2011"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±0.10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±0.05</w:t>
            </w:r>
            <w:r/>
          </w:p>
        </w:tc>
      </w:tr>
      <w:tr>
        <w:trPr>
          <w:jc w:val="center"/>
          <w:trHeight w:val="506"/>
        </w:trPr>
        <w:tc>
          <w:tcPr>
            <w:tcBorders>
              <w:top w:val="single" w:color="auto" w:sz="4" w:space="0"/>
              <w:left w:val="single" w:color="auto" w:sz="4" w:space="0"/>
              <w:bottom w:val="single" w:color="auto" w:sz="4" w:space="0"/>
              <w:right w:val="single" w:color="auto" w:sz="4" w:space="0"/>
            </w:tcBorders>
            <w:tcW w:w="1079" w:type="pct"/>
            <w:vAlign w:val="center"/>
            <w:textDirection w:val="lrTb"/>
            <w:noWrap w:val="false"/>
          </w:tcPr>
          <w:p>
            <w:pPr>
              <w:ind w:firstLine="525"/>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2011"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±0.20</w:t>
            </w:r>
            <w:r/>
          </w:p>
        </w:tc>
        <w:tc>
          <w:tcPr>
            <w:tcBorders>
              <w:top w:val="single" w:color="auto" w:sz="4" w:space="0"/>
              <w:left w:val="single" w:color="auto" w:sz="4" w:space="0"/>
              <w:bottom w:val="single" w:color="auto" w:sz="4" w:space="0"/>
              <w:right w:val="single" w:color="auto" w:sz="4" w:space="0"/>
            </w:tcBorders>
            <w:tcW w:w="1908" w:type="pct"/>
            <w:vAlign w:val="center"/>
            <w:textDirection w:val="lrTb"/>
            <w:noWrap w:val="false"/>
          </w:tcPr>
          <w:p>
            <w:pPr>
              <w:ind w:firstLine="420"/>
              <w:jc w:val="center"/>
              <w:rPr>
                <w:rFonts w:ascii="宋体" w:hAnsi="宋体" w:cs="宋体"/>
                <w:color w:val="auto"/>
                <w:szCs w:val="21"/>
                <w:highlight w:val="none"/>
              </w:rPr>
            </w:pPr>
            <w:r>
              <w:rPr>
                <w:rFonts w:hint="eastAsia" w:ascii="宋体" w:hAnsi="宋体" w:cs="宋体"/>
                <w:color w:val="auto"/>
                <w:szCs w:val="21"/>
                <w:highlight w:val="none"/>
              </w:rPr>
              <w:t xml:space="preserve">±0.10</w:t>
            </w:r>
            <w:r/>
          </w:p>
        </w:tc>
      </w:tr>
    </w:tbl>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2）房产面积精度要求</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房产面积的精度分为三级，各级面积的限差和中误差不得超过下表计算的结果。</w:t>
      </w:r>
      <w:r/>
    </w:p>
    <w:tbl>
      <w:tblPr>
        <w:tblStyle w:val="8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24"/>
        <w:gridCol w:w="3179"/>
        <w:gridCol w:w="3331"/>
      </w:tblGrid>
      <w:tr>
        <w:trPr>
          <w:jc w:val="center"/>
          <w:trHeight w:val="493"/>
        </w:trPr>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房产面积的精度等级</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限差</w:t>
            </w:r>
            <w:r/>
          </w:p>
        </w:tc>
        <w:tc>
          <w:tcPr>
            <w:tcBorders>
              <w:top w:val="single" w:color="auto" w:sz="4" w:space="0"/>
              <w:left w:val="single" w:color="auto" w:sz="4" w:space="0"/>
              <w:bottom w:val="single" w:color="auto" w:sz="4" w:space="0"/>
              <w:right w:val="single" w:color="auto" w:sz="4" w:space="0"/>
            </w:tcBorders>
            <w:tcW w:w="174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中误差</w:t>
            </w:r>
            <w:r/>
          </w:p>
        </w:tc>
      </w:tr>
      <w:tr>
        <w:trPr>
          <w:jc w:val="center"/>
          <w:trHeight w:val="415"/>
        </w:trPr>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firstLine="560"/>
              <w:rPr>
                <w:rFonts w:ascii="宋体" w:hAnsi="宋体" w:cs="宋体"/>
                <w:color w:val="auto"/>
                <w:szCs w:val="21"/>
                <w:highlight w:val="none"/>
              </w:rPr>
            </w:pPr>
            <w:r>
              <w:rPr>
                <w:rFonts w:hint="eastAsia" w:ascii="宋体" w:hAnsi="宋体" w:cs="宋体"/>
                <w:color w:val="auto"/>
                <w:szCs w:val="21"/>
                <w:highlight w:val="none"/>
              </w:rPr>
              <w:t xml:space="preserve">0.02</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+0.0006S</w:t>
            </w:r>
            <w:r/>
          </w:p>
        </w:tc>
        <w:tc>
          <w:tcPr>
            <w:tcBorders>
              <w:top w:val="single" w:color="auto" w:sz="4" w:space="0"/>
              <w:left w:val="single" w:color="auto" w:sz="4" w:space="0"/>
              <w:bottom w:val="single" w:color="auto" w:sz="4" w:space="0"/>
              <w:right w:val="single" w:color="auto" w:sz="4" w:space="0"/>
            </w:tcBorders>
            <w:tcW w:w="1746" w:type="pct"/>
            <w:vAlign w:val="center"/>
            <w:textDirection w:val="lrTb"/>
            <w:noWrap w:val="false"/>
          </w:tcPr>
          <w:p>
            <w:pPr>
              <w:ind w:firstLine="560"/>
              <w:rPr>
                <w:rFonts w:ascii="宋体" w:hAnsi="宋体" w:cs="宋体"/>
                <w:color w:val="auto"/>
                <w:szCs w:val="21"/>
                <w:highlight w:val="none"/>
              </w:rPr>
            </w:pPr>
            <w:r>
              <w:rPr>
                <w:rFonts w:hint="eastAsia" w:ascii="宋体" w:hAnsi="宋体" w:cs="宋体"/>
                <w:color w:val="auto"/>
                <w:szCs w:val="21"/>
                <w:highlight w:val="none"/>
              </w:rPr>
              <w:t xml:space="preserve">0.01</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+0.0003S</w:t>
            </w:r>
            <w:r/>
          </w:p>
        </w:tc>
      </w:tr>
      <w:tr>
        <w:trPr>
          <w:jc w:val="center"/>
          <w:trHeight w:val="624"/>
        </w:trPr>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0.04</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+0.002S</w:t>
            </w:r>
            <w:r/>
          </w:p>
        </w:tc>
        <w:tc>
          <w:tcPr>
            <w:tcBorders>
              <w:top w:val="single" w:color="auto" w:sz="4" w:space="0"/>
              <w:left w:val="single" w:color="auto" w:sz="4" w:space="0"/>
              <w:bottom w:val="single" w:color="auto" w:sz="4" w:space="0"/>
              <w:right w:val="single" w:color="auto" w:sz="4" w:space="0"/>
            </w:tcBorders>
            <w:tcW w:w="174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0.02</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+0.001S</w:t>
            </w:r>
            <w:r/>
          </w:p>
        </w:tc>
      </w:tr>
      <w:tr>
        <w:trPr>
          <w:jc w:val="center"/>
          <w:trHeight w:val="624"/>
        </w:trPr>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0.08</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+0.006S</w:t>
            </w:r>
            <w:r/>
          </w:p>
        </w:tc>
        <w:tc>
          <w:tcPr>
            <w:tcBorders>
              <w:top w:val="single" w:color="auto" w:sz="4" w:space="0"/>
              <w:left w:val="single" w:color="auto" w:sz="4" w:space="0"/>
              <w:bottom w:val="single" w:color="auto" w:sz="4" w:space="0"/>
              <w:right w:val="single" w:color="auto" w:sz="4" w:space="0"/>
            </w:tcBorders>
            <w:tcW w:w="174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0.04</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71450" cy="180975"/>
                      <wp:effectExtent l="0" t="0" r="0" b="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7">
                                <a:clrChange>
                                  <a:clrFrom>
                                    <a:srgbClr val="FFFFFF"/>
                                  </a:clrFrom>
                                  <a:clrTo>
                                    <a:srgbClr val="FFFFFF">
                                      <a:alpha val="0"/>
                                    </a:srgbClr>
                                  </a:clrTo>
                                </a:clrChange>
                              </a:blip>
                              <a:stretch/>
                            </pic:blipFill>
                            <pic:spPr bwMode="auto">
                              <a:xfrm>
                                <a:off x="0" y="0"/>
                                <a:ext cx="171450" cy="18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5pt;height:1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t xml:space="preserve">+0.003S</w:t>
            </w:r>
            <w:r/>
          </w:p>
        </w:tc>
      </w:tr>
      <w:tr>
        <w:trPr>
          <w:jc w:val="center"/>
          <w:trHeight w:val="624"/>
        </w:trPr>
        <w:tc>
          <w:tcPr>
            <w:gridSpan w:val="3"/>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备注：S为房产面积，单位为</w:t>
            </w:r>
            <w:r>
              <w:rPr>
                <w:rFonts w:ascii="宋体" w:hAnsi="宋体" w:cs="宋体"/>
                <w:color w:val="auto"/>
                <w:szCs w:val="21"/>
                <w:highlight w:val="none"/>
              </w:rPr>
              <mc:AlternateContent>
                <mc:Choice Requires="wpg">
                  <w:drawing>
                    <wp:inline xmlns:wp="http://schemas.openxmlformats.org/drawingml/2006/wordprocessingDrawing" distT="0" distB="0" distL="0" distR="0">
                      <wp:extent cx="180975" cy="17145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clrChange>
                                  <a:clrFrom>
                                    <a:srgbClr val="FFFFFF"/>
                                  </a:clrFrom>
                                  <a:clrTo>
                                    <a:srgbClr val="FFFFFF">
                                      <a:alpha val="0"/>
                                    </a:srgbClr>
                                  </a:clrTo>
                                </a:clrChange>
                              </a:blip>
                              <a:stretch/>
                            </pic:blipFill>
                            <pic:spPr bwMode="auto">
                              <a:xfrm>
                                <a:off x="0" y="0"/>
                                <a:ext cx="180975" cy="171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2pt;height:13.5pt;mso-wrap-distance-left:0.0pt;mso-wrap-distance-top:0.0pt;mso-wrap-distance-right:0.0pt;mso-wrap-distance-bottom:0.0pt;" stroked="f">
                      <v:path textboxrect="0,0,0,0"/>
                      <v:imagedata r:id="rId18" o:title=""/>
                    </v:shape>
                  </w:pict>
                </mc:Fallback>
              </mc:AlternateContent>
            </w:r>
            <w:r/>
          </w:p>
        </w:tc>
      </w:tr>
    </w:tbl>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（6）不动产单元编码规则</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根据《宗地代码编制规则》和相城区最新划分的“地籍区、地籍子区”范围，更新数据库中宗地编码（新增宗地在地籍子区最大号后续编）并做好新旧宗地编码对照表。</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按照每个不动产单元应具有唯一代码的基本要求，依据GB/T 7027规定的信息分类原则和方法，不动产单元代码采用七层28位层次码结构，由宗地代码与定着物代码构成。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1）宗地代码为五层19位层次码，采用TD/T 1001规定的编码规则，按层次分别表示县级行政区划、地籍区、地籍子区、宗地特征码、宗地顺序号，其中宗地特征码和宗地顺序号组成宗地号。</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2）定着物代码为二层9位层次码，按层次分别表示定着物特征码、定着物单元编号。</w:t>
      </w:r>
      <w:r/>
    </w:p>
    <w:p>
      <w:pPr>
        <w:ind w:firstLine="63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   3）不动产单元代码结构如下图所示：</w:t>
      </w:r>
      <w:r/>
    </w:p>
    <w:p>
      <w:pPr>
        <w:ind w:left="425"/>
        <w:spacing w:line="560" w:lineRule="exact"/>
        <w:rPr>
          <w:rFonts w:ascii="宋体" w:hAnsi="宋体" w:cs="宋体"/>
          <w:color w:val="auto"/>
          <w:szCs w:val="21"/>
          <w:highlight w:val="none"/>
        </w:rPr>
      </w:pP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49530</wp:posOffset>
                </wp:positionH>
                <wp:positionV relativeFrom="paragraph">
                  <wp:posOffset>146050</wp:posOffset>
                </wp:positionV>
                <wp:extent cx="668020" cy="289560"/>
                <wp:effectExtent l="0" t="0" r="0" b="0"/>
                <wp:wrapNone/>
                <wp:docPr id="12" name="矩形 332"/>
                <wp:cNvGraphicFramePr/>
                <a:graphic xmlns:a="http://schemas.openxmlformats.org/drawingml/2006/main">
                  <a:graphicData uri="http://schemas.microsoft.com/office/word/2010/wordprocessingShape">
                    <wps:wsp>
                      <wps:cNvPr id="0" name=""/>
                      <wps:cNvSpPr>
                        <a:spLocks noChangeArrowheads="1"/>
                      </wps:cNvSpPr>
                      <wps:spPr bwMode="auto">
                        <a:xfrm>
                          <a:off x="0" y="0"/>
                          <a:ext cx="668020" cy="289560"/>
                        </a:xfrm>
                        <a:prstGeom prst="rect">
                          <a:avLst/>
                        </a:prstGeom>
                        <a:noFill/>
                        <a:ln>
                          <a:noFill/>
                        </a:ln>
                        <a:effectLst/>
                      </wps:spPr>
                      <wps:txbx>
                        <w:txbxContent>
                          <w:p>
                            <w:r>
                              <w:rPr>
                                <w:rFonts w:hint="eastAsia" w:ascii="宋体" w:hAnsi="宋体"/>
                                <w:color w:val="000000"/>
                                <w:sz w:val="24"/>
                                <w:u w:val="single"/>
                              </w:rPr>
                              <w:t xml:space="preserve">XXXXXX</w:t>
                            </w:r>
                            <w:r/>
                          </w:p>
                        </w:txbxContent>
                      </wps:txbx>
                      <wps:bodyPr rot="0" vert="horz" wrap="square" lIns="91440" tIns="45720" rIns="91440" bIns="45720" anchor="t" anchorCtr="0" upright="1">
                        <a:spAutoFit/>
                      </wps:bodyPr>
                    </wps:wsp>
                  </a:graphicData>
                </a:graphic>
              </wp:anchor>
            </w:drawing>
          </mc:Choice>
          <mc:Fallback>
            <w:pict>
              <v:shape id="shape 11" o:spid="_x0000_s11" o:spt="1" type="#_x0000_t1" style="position:absolute;z-index:251666432;o:allowoverlap:true;o:allowincell:true;mso-position-horizontal-relative:text;margin-left:3.9pt;mso-position-horizontal:absolute;mso-position-vertical-relative:text;margin-top:11.5pt;mso-position-vertical:absolute;width:52.6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XXXXXX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2267585</wp:posOffset>
                </wp:positionH>
                <wp:positionV relativeFrom="paragraph">
                  <wp:posOffset>146050</wp:posOffset>
                </wp:positionV>
                <wp:extent cx="835025" cy="289560"/>
                <wp:effectExtent l="0" t="0" r="0" b="0"/>
                <wp:wrapNone/>
                <wp:docPr id="13" name="矩形 338"/>
                <wp:cNvGraphicFramePr/>
                <a:graphic xmlns:a="http://schemas.openxmlformats.org/drawingml/2006/main">
                  <a:graphicData uri="http://schemas.microsoft.com/office/word/2010/wordprocessingShape">
                    <wps:wsp>
                      <wps:cNvPr id="0" name=""/>
                      <wps:cNvSpPr>
                        <a:spLocks noChangeArrowheads="1"/>
                      </wps:cNvSpPr>
                      <wps:spPr bwMode="auto">
                        <a:xfrm>
                          <a:off x="0" y="0"/>
                          <a:ext cx="835025" cy="289560"/>
                        </a:xfrm>
                        <a:prstGeom prst="rect">
                          <a:avLst/>
                        </a:prstGeom>
                        <a:noFill/>
                        <a:ln>
                          <a:noFill/>
                        </a:ln>
                        <a:effectLst/>
                      </wps:spPr>
                      <wps:txbx>
                        <w:txbxContent>
                          <w:p>
                            <w:r>
                              <w:rPr>
                                <w:rFonts w:hint="eastAsia" w:ascii="宋体" w:hAnsi="宋体"/>
                                <w:color w:val="000000"/>
                                <w:sz w:val="24"/>
                                <w:u w:val="single"/>
                              </w:rPr>
                              <w:t xml:space="preserve">XXXXXXXX</w:t>
                            </w:r>
                            <w:r/>
                          </w:p>
                        </w:txbxContent>
                      </wps:txbx>
                      <wps:bodyPr rot="0" vert="horz" wrap="square" lIns="91440" tIns="45720" rIns="91440" bIns="45720" anchor="t" anchorCtr="0" upright="1">
                        <a:spAutoFit/>
                      </wps:bodyPr>
                    </wps:wsp>
                  </a:graphicData>
                </a:graphic>
              </wp:anchor>
            </w:drawing>
          </mc:Choice>
          <mc:Fallback>
            <w:pict>
              <v:shape id="shape 12" o:spid="_x0000_s12" o:spt="1" type="#_x0000_t1" style="position:absolute;z-index:251660288;o:allowoverlap:true;o:allowincell:true;mso-position-horizontal-relative:text;margin-left:178.5pt;mso-position-horizontal:absolute;mso-position-vertical-relative:text;margin-top:11.5pt;mso-position-vertical:absolute;width:65.8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XXXXXXXX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2065655</wp:posOffset>
                </wp:positionH>
                <wp:positionV relativeFrom="paragraph">
                  <wp:posOffset>138430</wp:posOffset>
                </wp:positionV>
                <wp:extent cx="294640" cy="289560"/>
                <wp:effectExtent l="0" t="0" r="0" b="0"/>
                <wp:wrapNone/>
                <wp:docPr id="14" name="矩形 337"/>
                <wp:cNvGraphicFramePr/>
                <a:graphic xmlns:a="http://schemas.openxmlformats.org/drawingml/2006/main">
                  <a:graphicData uri="http://schemas.microsoft.com/office/word/2010/wordprocessingShape">
                    <wps:wsp>
                      <wps:cNvPr id="0" name=""/>
                      <wps:cNvSpPr>
                        <a:spLocks noChangeArrowheads="1"/>
                      </wps:cNvSpPr>
                      <wps:spPr bwMode="auto">
                        <a:xfrm>
                          <a:off x="0" y="0"/>
                          <a:ext cx="294640" cy="289560"/>
                        </a:xfrm>
                        <a:prstGeom prst="rect">
                          <a:avLst/>
                        </a:prstGeom>
                        <a:noFill/>
                        <a:ln>
                          <a:noFill/>
                        </a:ln>
                        <a:effectLst/>
                      </wps:spPr>
                      <wps:txbx>
                        <w:txbxContent>
                          <w:p>
                            <w:r>
                              <w:rPr>
                                <w:rFonts w:hint="eastAsia" w:ascii="宋体" w:hAnsi="宋体"/>
                                <w:color w:val="000000"/>
                                <w:sz w:val="24"/>
                                <w:u w:val="single"/>
                              </w:rPr>
                              <w:t xml:space="preserve">X</w:t>
                            </w:r>
                            <w:r/>
                          </w:p>
                        </w:txbxContent>
                      </wps:txbx>
                      <wps:bodyPr rot="0" vert="horz" wrap="square" lIns="91440" tIns="45720" rIns="91440" bIns="45720" anchor="t" anchorCtr="0" upright="1">
                        <a:spAutoFit/>
                      </wps:bodyPr>
                    </wps:wsp>
                  </a:graphicData>
                </a:graphic>
              </wp:anchor>
            </w:drawing>
          </mc:Choice>
          <mc:Fallback>
            <w:pict>
              <v:shape id="shape 13" o:spid="_x0000_s13" o:spt="1" type="#_x0000_t1" style="position:absolute;z-index:251661312;o:allowoverlap:true;o:allowincell:true;mso-position-horizontal-relative:text;margin-left:162.7pt;mso-position-horizontal:absolute;mso-position-vertical-relative:text;margin-top:10.9pt;mso-position-vertical:absolute;width:23.2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1553845</wp:posOffset>
                </wp:positionH>
                <wp:positionV relativeFrom="paragraph">
                  <wp:posOffset>139700</wp:posOffset>
                </wp:positionV>
                <wp:extent cx="566420" cy="289560"/>
                <wp:effectExtent l="0" t="0" r="0" b="0"/>
                <wp:wrapNone/>
                <wp:docPr id="15" name="矩形 336"/>
                <wp:cNvGraphicFramePr/>
                <a:graphic xmlns:a="http://schemas.openxmlformats.org/drawingml/2006/main">
                  <a:graphicData uri="http://schemas.microsoft.com/office/word/2010/wordprocessingShape">
                    <wps:wsp>
                      <wps:cNvPr id="0" name=""/>
                      <wps:cNvSpPr>
                        <a:spLocks noChangeArrowheads="1"/>
                      </wps:cNvSpPr>
                      <wps:spPr bwMode="auto">
                        <a:xfrm>
                          <a:off x="0" y="0"/>
                          <a:ext cx="566420" cy="289560"/>
                        </a:xfrm>
                        <a:prstGeom prst="rect">
                          <a:avLst/>
                        </a:prstGeom>
                        <a:noFill/>
                        <a:ln>
                          <a:noFill/>
                        </a:ln>
                        <a:effectLst/>
                      </wps:spPr>
                      <wps:txbx>
                        <w:txbxContent>
                          <w:p>
                            <w:r>
                              <w:rPr>
                                <w:rFonts w:hint="eastAsia" w:ascii="宋体" w:hAnsi="宋体"/>
                                <w:color w:val="000000"/>
                                <w:sz w:val="24"/>
                                <w:u w:val="single"/>
                              </w:rPr>
                              <w:t xml:space="preserve">XXXXX</w:t>
                            </w:r>
                            <w:r/>
                          </w:p>
                        </w:txbxContent>
                      </wps:txbx>
                      <wps:bodyPr rot="0" vert="horz" wrap="square" lIns="91440" tIns="45720" rIns="91440" bIns="45720" anchor="t" anchorCtr="0" upright="1">
                        <a:spAutoFit/>
                      </wps:bodyPr>
                    </wps:wsp>
                  </a:graphicData>
                </a:graphic>
              </wp:anchor>
            </w:drawing>
          </mc:Choice>
          <mc:Fallback>
            <w:pict>
              <v:shape id="shape 14" o:spid="_x0000_s14" o:spt="1" type="#_x0000_t1" style="position:absolute;z-index:251662336;o:allowoverlap:true;o:allowincell:true;mso-position-horizontal-relative:text;margin-left:122.3pt;mso-position-horizontal:absolute;mso-position-vertical-relative:text;margin-top:11.0pt;mso-position-vertical:absolute;width:44.6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XXXXX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1275715</wp:posOffset>
                </wp:positionH>
                <wp:positionV relativeFrom="paragraph">
                  <wp:posOffset>133350</wp:posOffset>
                </wp:positionV>
                <wp:extent cx="359410" cy="289560"/>
                <wp:effectExtent l="0" t="0" r="0" b="0"/>
                <wp:wrapNone/>
                <wp:docPr id="16" name="矩形 335"/>
                <wp:cNvGraphicFramePr/>
                <a:graphic xmlns:a="http://schemas.openxmlformats.org/drawingml/2006/main">
                  <a:graphicData uri="http://schemas.microsoft.com/office/word/2010/wordprocessingShape">
                    <wps:wsp>
                      <wps:cNvPr id="0" name=""/>
                      <wps:cNvSpPr>
                        <a:spLocks noChangeArrowheads="1"/>
                      </wps:cNvSpPr>
                      <wps:spPr bwMode="auto">
                        <a:xfrm>
                          <a:off x="0" y="0"/>
                          <a:ext cx="359410" cy="289560"/>
                        </a:xfrm>
                        <a:prstGeom prst="rect">
                          <a:avLst/>
                        </a:prstGeom>
                        <a:noFill/>
                        <a:ln>
                          <a:noFill/>
                        </a:ln>
                        <a:effectLst/>
                      </wps:spPr>
                      <wps:txbx>
                        <w:txbxContent>
                          <w:p>
                            <w:r>
                              <w:rPr>
                                <w:rFonts w:hint="eastAsia" w:ascii="宋体" w:hAnsi="宋体"/>
                                <w:color w:val="000000"/>
                                <w:sz w:val="24"/>
                                <w:u w:val="single"/>
                              </w:rPr>
                              <w:t xml:space="preserve">XX</w:t>
                            </w:r>
                            <w:r/>
                          </w:p>
                        </w:txbxContent>
                      </wps:txbx>
                      <wps:bodyPr rot="0" vert="horz" wrap="square" lIns="91440" tIns="45720" rIns="91440" bIns="45720" anchor="t" anchorCtr="0" upright="1">
                        <a:spAutoFit/>
                      </wps:bodyPr>
                    </wps:wsp>
                  </a:graphicData>
                </a:graphic>
              </wp:anchor>
            </w:drawing>
          </mc:Choice>
          <mc:Fallback>
            <w:pict>
              <v:shape id="shape 15" o:spid="_x0000_s15" o:spt="1" type="#_x0000_t1" style="position:absolute;z-index:251663360;o:allowoverlap:true;o:allowincell:true;mso-position-horizontal-relative:text;margin-left:100.4pt;mso-position-horizontal:absolute;mso-position-vertical-relative:text;margin-top:10.5pt;mso-position-vertical:absolute;width:28.3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953135</wp:posOffset>
                </wp:positionH>
                <wp:positionV relativeFrom="paragraph">
                  <wp:posOffset>138430</wp:posOffset>
                </wp:positionV>
                <wp:extent cx="425450" cy="289560"/>
                <wp:effectExtent l="0" t="0" r="0" b="0"/>
                <wp:wrapNone/>
                <wp:docPr id="17" name="矩形 334"/>
                <wp:cNvGraphicFramePr/>
                <a:graphic xmlns:a="http://schemas.openxmlformats.org/drawingml/2006/main">
                  <a:graphicData uri="http://schemas.microsoft.com/office/word/2010/wordprocessingShape">
                    <wps:wsp>
                      <wps:cNvPr id="0" name=""/>
                      <wps:cNvSpPr>
                        <a:spLocks noChangeArrowheads="1"/>
                      </wps:cNvSpPr>
                      <wps:spPr bwMode="auto">
                        <a:xfrm>
                          <a:off x="0" y="0"/>
                          <a:ext cx="425450" cy="289560"/>
                        </a:xfrm>
                        <a:prstGeom prst="rect">
                          <a:avLst/>
                        </a:prstGeom>
                        <a:noFill/>
                        <a:ln>
                          <a:noFill/>
                        </a:ln>
                        <a:effectLst/>
                      </wps:spPr>
                      <wps:txbx>
                        <w:txbxContent>
                          <w:p>
                            <w:r>
                              <w:rPr>
                                <w:rFonts w:hint="eastAsia" w:ascii="宋体" w:hAnsi="宋体"/>
                                <w:color w:val="000000"/>
                                <w:sz w:val="24"/>
                                <w:u w:val="single"/>
                              </w:rPr>
                              <w:t xml:space="preserve">XXX</w:t>
                            </w:r>
                            <w:r/>
                          </w:p>
                        </w:txbxContent>
                      </wps:txbx>
                      <wps:bodyPr rot="0" vert="horz" wrap="square" lIns="91440" tIns="45720" rIns="91440" bIns="45720" anchor="t" anchorCtr="0" upright="1">
                        <a:spAutoFit/>
                      </wps:bodyPr>
                    </wps:wsp>
                  </a:graphicData>
                </a:graphic>
              </wp:anchor>
            </w:drawing>
          </mc:Choice>
          <mc:Fallback>
            <w:pict>
              <v:shape id="shape 16" o:spid="_x0000_s16" o:spt="1" type="#_x0000_t1" style="position:absolute;z-index:251664384;o:allowoverlap:true;o:allowincell:true;mso-position-horizontal-relative:text;margin-left:75.0pt;mso-position-horizontal:absolute;mso-position-vertical-relative:text;margin-top:10.9pt;mso-position-vertical:absolute;width:33.5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596900</wp:posOffset>
                </wp:positionH>
                <wp:positionV relativeFrom="paragraph">
                  <wp:posOffset>133350</wp:posOffset>
                </wp:positionV>
                <wp:extent cx="425450" cy="289560"/>
                <wp:effectExtent l="0" t="0" r="0" b="0"/>
                <wp:wrapNone/>
                <wp:docPr id="18" name="矩形 333"/>
                <wp:cNvGraphicFramePr/>
                <a:graphic xmlns:a="http://schemas.openxmlformats.org/drawingml/2006/main">
                  <a:graphicData uri="http://schemas.microsoft.com/office/word/2010/wordprocessingShape">
                    <wps:wsp>
                      <wps:cNvPr id="0" name=""/>
                      <wps:cNvSpPr>
                        <a:spLocks noChangeArrowheads="1"/>
                      </wps:cNvSpPr>
                      <wps:spPr bwMode="auto">
                        <a:xfrm>
                          <a:off x="0" y="0"/>
                          <a:ext cx="425450" cy="289560"/>
                        </a:xfrm>
                        <a:prstGeom prst="rect">
                          <a:avLst/>
                        </a:prstGeom>
                        <a:noFill/>
                        <a:ln>
                          <a:noFill/>
                        </a:ln>
                        <a:effectLst/>
                      </wps:spPr>
                      <wps:txbx>
                        <w:txbxContent>
                          <w:p>
                            <w:r>
                              <w:rPr>
                                <w:rFonts w:hint="eastAsia" w:ascii="宋体" w:hAnsi="宋体"/>
                                <w:color w:val="000000"/>
                                <w:sz w:val="24"/>
                                <w:u w:val="single"/>
                              </w:rPr>
                              <w:t xml:space="preserve">XXX</w:t>
                            </w:r>
                            <w:r/>
                          </w:p>
                        </w:txbxContent>
                      </wps:txbx>
                      <wps:bodyPr rot="0" vert="horz" wrap="square" lIns="91440" tIns="45720" rIns="91440" bIns="45720" anchor="t" anchorCtr="0" upright="1">
                        <a:spAutoFit/>
                      </wps:bodyPr>
                    </wps:wsp>
                  </a:graphicData>
                </a:graphic>
              </wp:anchor>
            </w:drawing>
          </mc:Choice>
          <mc:Fallback>
            <w:pict>
              <v:shape id="shape 17" o:spid="_x0000_s17" o:spt="1" type="#_x0000_t1" style="position:absolute;z-index:251665408;o:allowoverlap:true;o:allowincell:true;mso-position-horizontal-relative:text;margin-left:47.0pt;mso-position-horizontal:absolute;mso-position-vertical-relative:text;margin-top:10.5pt;mso-position-vertical:absolute;width:33.5pt;height:22.8pt;mso-wrap-distance-left:9.0pt;mso-wrap-distance-top:0.0pt;mso-wrap-distance-right:9.0pt;mso-wrap-distance-bottom:0.0pt;v-text-anchor:top;visibility:visible;" filled="f" stroked="f">
                <v:textbox inset="0,0,0,0">
                  <w:txbxContent>
                    <w:p>
                      <w:r>
                        <w:rPr>
                          <w:rFonts w:hint="eastAsia" w:ascii="宋体" w:hAnsi="宋体"/>
                          <w:color w:val="000000"/>
                          <w:sz w:val="24"/>
                          <w:u w:val="single"/>
                        </w:rPr>
                        <w:t xml:space="preserve">XXX</w:t>
                      </w:r>
                      <w:r/>
                    </w:p>
                  </w:txbxContent>
                </v:textbox>
              </v:shape>
            </w:pict>
          </mc:Fallback>
        </mc:AlternateContent>
      </w:r>
      <w:r>
        <w:rPr>
          <w:rFonts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386715</wp:posOffset>
                </wp:positionH>
                <wp:positionV relativeFrom="paragraph">
                  <wp:posOffset>412750</wp:posOffset>
                </wp:positionV>
                <wp:extent cx="5615940" cy="2811145"/>
                <wp:effectExtent l="13970" t="5080" r="0" b="0"/>
                <wp:wrapNone/>
                <wp:docPr id="19" name="组合 8"/>
                <wp:cNvGraphicFramePr/>
                <a:graphic xmlns:a="http://schemas.openxmlformats.org/drawingml/2006/main">
                  <a:graphicData uri="http://schemas.microsoft.com/office/word/2010/wordprocessingGroup">
                    <wpg:wgp>
                      <wpg:cNvGrpSpPr/>
                      <wpg:grpSpPr bwMode="auto">
                        <a:xfrm>
                          <a:off x="0" y="0"/>
                          <a:ext cx="5615940" cy="2811145"/>
                          <a:chOff x="0" y="0"/>
                          <a:chExt cx="8844" cy="4427"/>
                        </a:xfrm>
                      </wpg:grpSpPr>
                      <wps:wsp>
                        <wps:cNvPr id="0" name=""/>
                        <wps:cNvSpPr>
                          <a:spLocks noChangeArrowheads="1"/>
                        </wps:cNvSpPr>
                        <wps:spPr bwMode="auto">
                          <a:xfrm>
                            <a:off x="5124" y="2014"/>
                            <a:ext cx="3720" cy="422"/>
                          </a:xfrm>
                          <a:prstGeom prst="rect">
                            <a:avLst/>
                          </a:prstGeom>
                          <a:noFill/>
                          <a:ln>
                            <a:noFill/>
                          </a:ln>
                          <a:effectLst/>
                        </wps:spPr>
                        <wps:txbx>
                          <w:txbxContent>
                            <w:p>
                              <w:pPr>
                                <w:jc w:val="left"/>
                                <w:rPr>
                                  <w:sz w:val="24"/>
                                </w:rPr>
                              </w:pPr>
                              <w:r>
                                <w:rPr>
                                  <w:rFonts w:hint="eastAsia"/>
                                  <w:sz w:val="24"/>
                                </w:rPr>
                                <w:t xml:space="preserve">宗地顺序号</w:t>
                              </w:r>
                              <w:r/>
                            </w:p>
                          </w:txbxContent>
                        </wps:txbx>
                        <wps:bodyPr rot="0" vert="horz" wrap="square" lIns="0" tIns="0" rIns="0" bIns="0" anchor="t" anchorCtr="0" upright="1">
                          <a:noAutofit/>
                        </wps:bodyPr>
                      </wps:wsp>
                      <wpg:grpSp>
                        <wpg:cNvGrpSpPr/>
                        <wpg:grpSpPr bwMode="auto">
                          <a:xfrm>
                            <a:off x="0" y="0"/>
                            <a:ext cx="8644" cy="4427"/>
                            <a:chOff x="0" y="0"/>
                            <a:chExt cx="8644" cy="4427"/>
                          </a:xfrm>
                        </wpg:grpSpPr>
                        <wpg:grpSp>
                          <wpg:cNvGrpSpPr/>
                          <wpg:grpSpPr bwMode="auto">
                            <a:xfrm>
                              <a:off x="2844" y="0"/>
                              <a:ext cx="4715" cy="1844"/>
                              <a:chOff x="0" y="0"/>
                              <a:chExt cx="4715" cy="1844"/>
                            </a:xfrm>
                          </wpg:grpSpPr>
                          <wps:wsp>
                            <wps:cNvPr id="1" name=""/>
                            <wps:cNvSpPr>
                              <a:spLocks noChangeArrowheads="1"/>
                            </wps:cNvSpPr>
                            <wps:spPr bwMode="auto">
                              <a:xfrm>
                                <a:off x="2252" y="1492"/>
                                <a:ext cx="2463" cy="352"/>
                              </a:xfrm>
                              <a:prstGeom prst="rect">
                                <a:avLst/>
                              </a:prstGeom>
                              <a:noFill/>
                              <a:ln>
                                <a:noFill/>
                              </a:ln>
                              <a:effectLst/>
                            </wps:spPr>
                            <wps:txbx>
                              <w:txbxContent>
                                <w:p>
                                  <w:pPr>
                                    <w:jc w:val="left"/>
                                    <w:rPr>
                                      <w:color w:val="0c0c0c"/>
                                      <w:sz w:val="24"/>
                                    </w:rPr>
                                  </w:pPr>
                                  <w:r>
                                    <w:rPr>
                                      <w:rFonts w:hint="eastAsia"/>
                                      <w:color w:val="0c0c0c"/>
                                      <w:sz w:val="24"/>
                                    </w:rPr>
                                    <w:t xml:space="preserve">定着物特征码</w:t>
                                  </w:r>
                                  <w:r/>
                                </w:p>
                              </w:txbxContent>
                            </wps:txbx>
                            <wps:bodyPr rot="0" vert="horz" wrap="square" lIns="0" tIns="0" rIns="0" bIns="0" anchor="t" anchorCtr="0" upright="1">
                              <a:noAutofit/>
                            </wps:bodyPr>
                          </wps:wsp>
                          <wps:wsp>
                            <wps:cNvPr id="2" name=""/>
                            <wps:cNvSpPr/>
                            <wps:spPr bwMode="auto">
                              <a:xfrm>
                                <a:off x="0" y="0"/>
                                <a:ext cx="2212" cy="1659"/>
                              </a:xfrm>
                              <a:prstGeom prst="bentConnector3">
                                <a:avLst>
                                  <a:gd name="adj1" fmla="val -42"/>
                                </a:avLst>
                              </a:prstGeom>
                              <a:noFill/>
                              <a:ln w="9525">
                                <a:solidFill>
                                  <a:srgbClr val="000000"/>
                                </a:solidFill>
                                <a:miter lim="800000"/>
                              </a:ln>
                              <a:effectLst/>
                            </wps:spPr>
                            <wps:bodyPr rot="0">
                              <a:prstTxWarp prst="textNoShape">
                                <a:avLst/>
                              </a:prstTxWarp>
                              <a:noAutofit/>
                            </wps:bodyPr>
                          </wps:wsp>
                        </wpg:grpSp>
                        <wpg:grpSp>
                          <wpg:cNvGrpSpPr/>
                          <wpg:grpSpPr bwMode="auto">
                            <a:xfrm>
                              <a:off x="3544" y="0"/>
                              <a:ext cx="4009" cy="1351"/>
                              <a:chOff x="0" y="0"/>
                              <a:chExt cx="4009" cy="1351"/>
                            </a:xfrm>
                          </wpg:grpSpPr>
                          <wps:wsp>
                            <wps:cNvPr id="3" name=""/>
                            <wps:cNvSpPr/>
                            <wps:spPr bwMode="auto">
                              <a:xfrm>
                                <a:off x="0" y="0"/>
                                <a:ext cx="1506" cy="1113"/>
                              </a:xfrm>
                              <a:prstGeom prst="bentConnector3">
                                <a:avLst>
                                  <a:gd name="adj1" fmla="val 97"/>
                                </a:avLst>
                              </a:prstGeom>
                              <a:noFill/>
                              <a:ln w="9525">
                                <a:solidFill>
                                  <a:srgbClr val="000000"/>
                                </a:solidFill>
                                <a:miter lim="800000"/>
                              </a:ln>
                              <a:effectLst/>
                            </wps:spPr>
                            <wps:bodyPr rot="0">
                              <a:prstTxWarp prst="textNoShape">
                                <a:avLst/>
                              </a:prstTxWarp>
                              <a:noAutofit/>
                            </wps:bodyPr>
                          </wps:wsp>
                          <wps:wsp>
                            <wps:cNvPr id="4" name=""/>
                            <wps:cNvSpPr>
                              <a:spLocks noChangeArrowheads="1"/>
                            </wps:cNvSpPr>
                            <wps:spPr bwMode="auto">
                              <a:xfrm>
                                <a:off x="1545" y="954"/>
                                <a:ext cx="2464" cy="396"/>
                              </a:xfrm>
                              <a:prstGeom prst="rect">
                                <a:avLst/>
                              </a:prstGeom>
                              <a:noFill/>
                              <a:ln>
                                <a:noFill/>
                              </a:ln>
                              <a:effectLst/>
                            </wps:spPr>
                            <wps:txbx>
                              <w:txbxContent>
                                <w:p>
                                  <w:pPr>
                                    <w:jc w:val="left"/>
                                    <w:rPr>
                                      <w:color w:val="0c0c0c"/>
                                      <w:sz w:val="24"/>
                                    </w:rPr>
                                  </w:pPr>
                                  <w:r>
                                    <w:rPr>
                                      <w:rFonts w:hint="eastAsia"/>
                                      <w:color w:val="0c0c0c"/>
                                      <w:sz w:val="24"/>
                                    </w:rPr>
                                    <w:t xml:space="preserve">定着物单元编号</w:t>
                                  </w:r>
                                  <w:r/>
                                </w:p>
                              </w:txbxContent>
                            </wps:txbx>
                            <wps:bodyPr rot="0" vert="horz" wrap="square" lIns="0" tIns="0" rIns="0" bIns="0" anchor="t" anchorCtr="0" upright="1">
                              <a:noAutofit/>
                            </wps:bodyPr>
                          </wps:wsp>
                        </wpg:grpSp>
                        <wpg:grpSp>
                          <wpg:cNvGrpSpPr/>
                          <wpg:grpSpPr bwMode="auto">
                            <a:xfrm>
                              <a:off x="1673" y="0"/>
                              <a:ext cx="6971" cy="2946"/>
                              <a:chOff x="0" y="0"/>
                              <a:chExt cx="6971" cy="2946"/>
                            </a:xfrm>
                          </wpg:grpSpPr>
                          <wps:wsp>
                            <wps:cNvPr id="5" name=""/>
                            <wps:cNvSpPr>
                              <a:spLocks noChangeArrowheads="1"/>
                            </wps:cNvSpPr>
                            <wps:spPr bwMode="auto">
                              <a:xfrm>
                                <a:off x="3485" y="2608"/>
                                <a:ext cx="3485" cy="338"/>
                              </a:xfrm>
                              <a:prstGeom prst="rect">
                                <a:avLst/>
                              </a:prstGeom>
                              <a:noFill/>
                              <a:ln>
                                <a:noFill/>
                              </a:ln>
                              <a:effectLst/>
                            </wps:spPr>
                            <wps:txbx>
                              <w:txbxContent>
                                <w:p>
                                  <w:pPr>
                                    <w:jc w:val="left"/>
                                    <w:rPr>
                                      <w:color w:val="0c0c0c"/>
                                      <w:sz w:val="24"/>
                                    </w:rPr>
                                  </w:pPr>
                                  <w:r>
                                    <w:rPr>
                                      <w:rFonts w:hint="eastAsia"/>
                                      <w:color w:val="0c0c0c"/>
                                      <w:sz w:val="24"/>
                                    </w:rPr>
                                    <w:t xml:space="preserve">宗地特征码</w:t>
                                  </w:r>
                                  <w:r/>
                                </w:p>
                              </w:txbxContent>
                            </wps:txbx>
                            <wps:bodyPr rot="0" vert="horz" wrap="square" lIns="0" tIns="0" rIns="0" bIns="0" anchor="t" anchorCtr="0" upright="1">
                              <a:noAutofit/>
                            </wps:bodyPr>
                          </wps:wsp>
                          <wps:wsp>
                            <wps:cNvPr id="6" name=""/>
                            <wps:cNvSpPr/>
                            <wps:spPr bwMode="auto">
                              <a:xfrm>
                                <a:off x="0" y="0"/>
                                <a:ext cx="3385" cy="2781"/>
                              </a:xfrm>
                              <a:prstGeom prst="bentConnector3">
                                <a:avLst>
                                  <a:gd name="adj1" fmla="val -319"/>
                                </a:avLst>
                              </a:prstGeom>
                              <a:noFill/>
                              <a:ln w="9525">
                                <a:solidFill>
                                  <a:srgbClr val="000000"/>
                                </a:solidFill>
                                <a:miter lim="800000"/>
                              </a:ln>
                              <a:effectLst/>
                            </wps:spPr>
                            <wps:bodyPr rot="0">
                              <a:prstTxWarp prst="textNoShape">
                                <a:avLst/>
                              </a:prstTxWarp>
                              <a:noAutofit/>
                            </wps:bodyPr>
                          </wps:wsp>
                        </wpg:grpSp>
                        <wpg:grpSp>
                          <wpg:cNvGrpSpPr/>
                          <wpg:grpSpPr bwMode="auto">
                            <a:xfrm>
                              <a:off x="1217" y="0"/>
                              <a:ext cx="6374" cy="3461"/>
                              <a:chOff x="0" y="0"/>
                              <a:chExt cx="6374" cy="3461"/>
                            </a:xfrm>
                          </wpg:grpSpPr>
                          <wps:wsp>
                            <wps:cNvPr id="7" name=""/>
                            <wps:cNvSpPr>
                              <a:spLocks noChangeArrowheads="1"/>
                            </wps:cNvSpPr>
                            <wps:spPr bwMode="auto">
                              <a:xfrm>
                                <a:off x="3910" y="3120"/>
                                <a:ext cx="2463" cy="341"/>
                              </a:xfrm>
                              <a:prstGeom prst="rect">
                                <a:avLst/>
                              </a:prstGeom>
                              <a:noFill/>
                              <a:ln>
                                <a:noFill/>
                              </a:ln>
                              <a:effectLst/>
                            </wps:spPr>
                            <wps:txbx>
                              <w:txbxContent>
                                <w:p>
                                  <w:pPr>
                                    <w:jc w:val="left"/>
                                    <w:rPr>
                                      <w:color w:val="0c0c0c"/>
                                      <w:sz w:val="24"/>
                                    </w:rPr>
                                  </w:pPr>
                                  <w:r>
                                    <w:rPr>
                                      <w:rFonts w:hint="eastAsia"/>
                                      <w:color w:val="0c0c0c"/>
                                      <w:sz w:val="24"/>
                                    </w:rPr>
                                    <w:t xml:space="preserve">地籍子区</w:t>
                                  </w:r>
                                  <w:r/>
                                </w:p>
                              </w:txbxContent>
                            </wps:txbx>
                            <wps:bodyPr rot="0" vert="horz" wrap="square" lIns="0" tIns="0" rIns="0" bIns="0" anchor="t" anchorCtr="0" upright="1">
                              <a:noAutofit/>
                            </wps:bodyPr>
                          </wps:wsp>
                          <wps:wsp>
                            <wps:cNvPr id="8" name=""/>
                            <wps:cNvSpPr/>
                            <wps:spPr bwMode="auto">
                              <a:xfrm>
                                <a:off x="0" y="0"/>
                                <a:ext cx="3863" cy="3269"/>
                              </a:xfrm>
                              <a:prstGeom prst="bentConnector3">
                                <a:avLst>
                                  <a:gd name="adj1" fmla="val -287"/>
                                </a:avLst>
                              </a:prstGeom>
                              <a:noFill/>
                              <a:ln w="9525">
                                <a:solidFill>
                                  <a:srgbClr val="000000"/>
                                </a:solidFill>
                                <a:miter lim="800000"/>
                              </a:ln>
                              <a:effectLst/>
                            </wps:spPr>
                            <wps:bodyPr rot="0">
                              <a:prstTxWarp prst="textNoShape">
                                <a:avLst/>
                              </a:prstTxWarp>
                              <a:noAutofit/>
                            </wps:bodyPr>
                          </wps:wsp>
                        </wpg:grpSp>
                        <wpg:grpSp>
                          <wpg:cNvGrpSpPr/>
                          <wpg:grpSpPr bwMode="auto">
                            <a:xfrm>
                              <a:off x="669" y="0"/>
                              <a:ext cx="6930" cy="3924"/>
                              <a:chOff x="0" y="0"/>
                              <a:chExt cx="6930" cy="3924"/>
                            </a:xfrm>
                          </wpg:grpSpPr>
                          <wps:wsp>
                            <wps:cNvPr id="9" name=""/>
                            <wps:cNvSpPr>
                              <a:spLocks noChangeArrowheads="1"/>
                            </wps:cNvSpPr>
                            <wps:spPr bwMode="auto">
                              <a:xfrm>
                                <a:off x="4467" y="3575"/>
                                <a:ext cx="2463" cy="349"/>
                              </a:xfrm>
                              <a:prstGeom prst="rect">
                                <a:avLst/>
                              </a:prstGeom>
                              <a:noFill/>
                              <a:ln>
                                <a:noFill/>
                              </a:ln>
                              <a:effectLst/>
                            </wps:spPr>
                            <wps:txbx>
                              <w:txbxContent>
                                <w:p>
                                  <w:pPr>
                                    <w:jc w:val="left"/>
                                    <w:rPr>
                                      <w:color w:val="0c0c0c"/>
                                      <w:sz w:val="24"/>
                                    </w:rPr>
                                  </w:pPr>
                                  <w:r>
                                    <w:rPr>
                                      <w:rFonts w:hint="eastAsia"/>
                                      <w:color w:val="0c0c0c"/>
                                      <w:sz w:val="24"/>
                                    </w:rPr>
                                    <w:t xml:space="preserve">地籍区</w:t>
                                  </w:r>
                                  <w:r/>
                                </w:p>
                              </w:txbxContent>
                            </wps:txbx>
                            <wps:bodyPr rot="0" vert="horz" wrap="square" lIns="0" tIns="0" rIns="0" bIns="0" anchor="t" anchorCtr="0" upright="1">
                              <a:noAutofit/>
                            </wps:bodyPr>
                          </wps:wsp>
                          <wps:wsp>
                            <wps:cNvPr id="10" name=""/>
                            <wps:cNvSpPr/>
                            <wps:spPr bwMode="auto">
                              <a:xfrm>
                                <a:off x="0" y="0"/>
                                <a:ext cx="4414" cy="3729"/>
                              </a:xfrm>
                              <a:prstGeom prst="bentConnector3">
                                <a:avLst>
                                  <a:gd name="adj1" fmla="val -333"/>
                                </a:avLst>
                              </a:prstGeom>
                              <a:noFill/>
                              <a:ln w="9525">
                                <a:solidFill>
                                  <a:srgbClr val="000000"/>
                                </a:solidFill>
                                <a:miter lim="800000"/>
                              </a:ln>
                              <a:effectLst/>
                            </wps:spPr>
                            <wps:bodyPr rot="0">
                              <a:prstTxWarp prst="textNoShape">
                                <a:avLst/>
                              </a:prstTxWarp>
                              <a:noAutofit/>
                            </wps:bodyPr>
                          </wps:wsp>
                        </wpg:grpSp>
                        <wpg:grpSp>
                          <wpg:cNvGrpSpPr/>
                          <wpg:grpSpPr bwMode="auto">
                            <a:xfrm>
                              <a:off x="0" y="0"/>
                              <a:ext cx="7582" cy="4427"/>
                              <a:chOff x="0" y="0"/>
                              <a:chExt cx="7582" cy="4427"/>
                            </a:xfrm>
                          </wpg:grpSpPr>
                          <wps:wsp>
                            <wps:cNvPr id="11" name=""/>
                            <wps:cNvSpPr>
                              <a:spLocks noChangeArrowheads="1"/>
                            </wps:cNvSpPr>
                            <wps:spPr bwMode="auto">
                              <a:xfrm>
                                <a:off x="5119" y="4046"/>
                                <a:ext cx="2463" cy="381"/>
                              </a:xfrm>
                              <a:prstGeom prst="rect">
                                <a:avLst/>
                              </a:prstGeom>
                              <a:noFill/>
                              <a:ln>
                                <a:noFill/>
                              </a:ln>
                              <a:effectLst/>
                            </wps:spPr>
                            <wps:txbx>
                              <w:txbxContent>
                                <w:p>
                                  <w:pPr>
                                    <w:jc w:val="left"/>
                                    <w:rPr>
                                      <w:color w:val="0c0c0c"/>
                                      <w:sz w:val="24"/>
                                    </w:rPr>
                                  </w:pPr>
                                  <w:r>
                                    <w:rPr>
                                      <w:rFonts w:hint="eastAsia"/>
                                      <w:color w:val="0c0c0c"/>
                                      <w:sz w:val="24"/>
                                    </w:rPr>
                                    <w:t xml:space="preserve">行政区划</w:t>
                                  </w:r>
                                  <w:r/>
                                </w:p>
                              </w:txbxContent>
                            </wps:txbx>
                            <wps:bodyPr rot="0" vert="horz" wrap="square" lIns="0" tIns="0" rIns="0" bIns="0" anchor="t" anchorCtr="0" upright="1">
                              <a:noAutofit/>
                            </wps:bodyPr>
                          </wps:wsp>
                          <wps:wsp>
                            <wps:cNvPr id="12" name=""/>
                            <wps:cNvSpPr/>
                            <wps:spPr bwMode="auto">
                              <a:xfrm>
                                <a:off x="0" y="0"/>
                                <a:ext cx="5073" cy="4199"/>
                              </a:xfrm>
                              <a:prstGeom prst="bentConnector3">
                                <a:avLst>
                                  <a:gd name="adj1" fmla="val -292"/>
                                </a:avLst>
                              </a:prstGeom>
                              <a:noFill/>
                              <a:ln w="9525">
                                <a:solidFill>
                                  <a:srgbClr val="000000"/>
                                </a:solidFill>
                                <a:miter lim="800000"/>
                              </a:ln>
                              <a:effectLst/>
                            </wps:spPr>
                            <wps:bodyPr rot="0">
                              <a:prstTxWarp prst="textNoShape">
                                <a:avLst/>
                              </a:prstTxWarp>
                              <a:noAutofit/>
                            </wps:bodyPr>
                          </wps:wsp>
                        </wpg:grpSp>
                        <wps:wsp>
                          <wps:cNvPr id="13" name=""/>
                          <wps:cNvSpPr/>
                          <wps:spPr bwMode="auto">
                            <a:xfrm>
                              <a:off x="2297" y="0"/>
                              <a:ext cx="2763" cy="2177"/>
                            </a:xfrm>
                            <a:prstGeom prst="bentConnector3">
                              <a:avLst>
                                <a:gd name="adj1" fmla="val -148"/>
                              </a:avLst>
                            </a:prstGeom>
                            <a:noFill/>
                            <a:ln w="9525">
                              <a:solidFill>
                                <a:srgbClr val="000000"/>
                              </a:solidFill>
                              <a:miter lim="800000"/>
                            </a:ln>
                            <a:effectLst/>
                          </wps:spPr>
                          <wps:bodyPr rot="0">
                            <a:prstTxWarp prst="textNoShape">
                              <a:avLst/>
                            </a:prstTxWarp>
                            <a:noAutofit/>
                          </wps:bodyPr>
                        </wps:wsp>
                      </wpg:grpSp>
                    </wpg:wgp>
                  </a:graphicData>
                </a:graphic>
              </wp:anchor>
            </w:drawing>
          </mc:Choice>
          <mc:Fallback>
            <w:pict>
              <v:group id="group 18" o:spid="_x0000_s0000" style="position:absolute;z-index:251667456;o:allowoverlap:true;o:allowincell:true;mso-position-horizontal-relative:text;margin-left:30.4pt;mso-position-horizontal:absolute;mso-position-vertical-relative:text;margin-top:32.5pt;mso-position-vertical:absolute;width:442.2pt;height:221.3pt;mso-wrap-distance-left:9.0pt;mso-wrap-distance-top:0.0pt;mso-wrap-distance-right:9.0pt;mso-wrap-distance-bottom:0.0pt;" coordorigin="0,0" coordsize="88,44">
                <v:shape id="shape 19" o:spid="_x0000_s19" o:spt="1" type="#_x0000_t1" style="position:absolute;left:51;top:20;width:37;height:4;v-text-anchor:top;visibility:visible;" filled="f" stroked="f">
                  <v:textbox inset="0,0,0,0">
                    <w:txbxContent>
                      <w:p>
                        <w:pPr>
                          <w:jc w:val="left"/>
                          <w:rPr>
                            <w:sz w:val="24"/>
                          </w:rPr>
                        </w:pPr>
                        <w:r>
                          <w:rPr>
                            <w:rFonts w:hint="eastAsia"/>
                            <w:sz w:val="24"/>
                          </w:rPr>
                          <w:t xml:space="preserve">宗地顺序号</w:t>
                        </w:r>
                        <w:r/>
                      </w:p>
                    </w:txbxContent>
                  </v:textbox>
                </v:shape>
                <v:group id="group 20" o:spid="_x0000_s0000" style="position:absolute;left:0;top:0;width:86;height:44;" coordorigin="0,0" coordsize="86,44">
                  <v:group id="group 21" o:spid="_x0000_s0000" style="position:absolute;left:28;top:0;width:47;height:18;" coordorigin="0,0" coordsize="47,18">
                    <v:shape id="shape 22" o:spid="_x0000_s22" o:spt="1" type="#_x0000_t1" style="position:absolute;left:22;top:14;width:24;height:3;v-text-anchor:top;visibility:visible;" filled="f" stroked="f">
                      <v:textbox inset="0,0,0,0">
                        <w:txbxContent>
                          <w:p>
                            <w:pPr>
                              <w:jc w:val="left"/>
                              <w:rPr>
                                <w:color w:val="0c0c0c"/>
                                <w:sz w:val="24"/>
                              </w:rPr>
                            </w:pPr>
                            <w:r>
                              <w:rPr>
                                <w:rFonts w:hint="eastAsia"/>
                                <w:color w:val="0c0c0c"/>
                                <w:sz w:val="24"/>
                              </w:rPr>
                              <w:t xml:space="preserve">定着物特征码</w:t>
                            </w:r>
                            <w:r/>
                          </w:p>
                        </w:txbxContent>
                      </v:textbox>
                    </v:shape>
                    <v:shape id="shape 23" o:spid="_x0000_s23" o:spt="34" type="#_x0000_t34" style="position:absolute;left:0;top:0;width:22;height:16;visibility:visible;" filled="f" strokecolor="#000000" strokeweight="0.75pt"/>
                  </v:group>
                  <v:group id="group 24" o:spid="_x0000_s0000" style="position:absolute;left:35;top:0;width:40;height:13;" coordorigin="0,0" coordsize="40,13">
                    <v:shape id="shape 25" o:spid="_x0000_s25" o:spt="34" type="#_x0000_t34" style="position:absolute;left:0;top:0;width:15;height:11;visibility:visible;" filled="f" strokecolor="#000000" strokeweight="0.75pt"/>
                    <v:shape id="shape 26" o:spid="_x0000_s26" o:spt="1" type="#_x0000_t1" style="position:absolute;left:15;top:9;width:24;height:3;v-text-anchor:top;visibility:visible;" filled="f" stroked="f">
                      <v:textbox inset="0,0,0,0">
                        <w:txbxContent>
                          <w:p>
                            <w:pPr>
                              <w:jc w:val="left"/>
                              <w:rPr>
                                <w:color w:val="0c0c0c"/>
                                <w:sz w:val="24"/>
                              </w:rPr>
                            </w:pPr>
                            <w:r>
                              <w:rPr>
                                <w:rFonts w:hint="eastAsia"/>
                                <w:color w:val="0c0c0c"/>
                                <w:sz w:val="24"/>
                              </w:rPr>
                              <w:t xml:space="preserve">定着物单元编号</w:t>
                            </w:r>
                            <w:r/>
                          </w:p>
                        </w:txbxContent>
                      </v:textbox>
                    </v:shape>
                  </v:group>
                  <v:group id="group 27" o:spid="_x0000_s0000" style="position:absolute;left:16;top:0;width:69;height:29;" coordorigin="0,0" coordsize="69,29">
                    <v:shape id="shape 28" o:spid="_x0000_s28" o:spt="1" type="#_x0000_t1" style="position:absolute;left:34;top:26;width:34;height:3;v-text-anchor:top;visibility:visible;" filled="f" stroked="f">
                      <v:textbox inset="0,0,0,0">
                        <w:txbxContent>
                          <w:p>
                            <w:pPr>
                              <w:jc w:val="left"/>
                              <w:rPr>
                                <w:color w:val="0c0c0c"/>
                                <w:sz w:val="24"/>
                              </w:rPr>
                            </w:pPr>
                            <w:r>
                              <w:rPr>
                                <w:rFonts w:hint="eastAsia"/>
                                <w:color w:val="0c0c0c"/>
                                <w:sz w:val="24"/>
                              </w:rPr>
                              <w:t xml:space="preserve">宗地特征码</w:t>
                            </w:r>
                            <w:r/>
                          </w:p>
                        </w:txbxContent>
                      </v:textbox>
                    </v:shape>
                    <v:shape id="shape 29" o:spid="_x0000_s29" o:spt="34" type="#_x0000_t34" style="position:absolute;left:0;top:0;width:33;height:27;visibility:visible;" filled="f" strokecolor="#000000" strokeweight="0.75pt"/>
                  </v:group>
                  <v:group id="group 30" o:spid="_x0000_s0000" style="position:absolute;left:12;top:0;width:63;height:34;" coordorigin="0,0" coordsize="63,34">
                    <v:shape id="shape 31" o:spid="_x0000_s31" o:spt="1" type="#_x0000_t1" style="position:absolute;left:39;top:31;width:24;height:3;v-text-anchor:top;visibility:visible;" filled="f" stroked="f">
                      <v:textbox inset="0,0,0,0">
                        <w:txbxContent>
                          <w:p>
                            <w:pPr>
                              <w:jc w:val="left"/>
                              <w:rPr>
                                <w:color w:val="0c0c0c"/>
                                <w:sz w:val="24"/>
                              </w:rPr>
                            </w:pPr>
                            <w:r>
                              <w:rPr>
                                <w:rFonts w:hint="eastAsia"/>
                                <w:color w:val="0c0c0c"/>
                                <w:sz w:val="24"/>
                              </w:rPr>
                              <w:t xml:space="preserve">地籍子区</w:t>
                            </w:r>
                            <w:r/>
                          </w:p>
                        </w:txbxContent>
                      </v:textbox>
                    </v:shape>
                    <v:shape id="shape 32" o:spid="_x0000_s32" o:spt="34" type="#_x0000_t34" style="position:absolute;left:0;top:0;width:38;height:32;visibility:visible;" filled="f" strokecolor="#000000" strokeweight="0.75pt"/>
                  </v:group>
                  <v:group id="group 33" o:spid="_x0000_s0000" style="position:absolute;left:6;top:0;width:69;height:39;" coordorigin="0,0" coordsize="69,39">
                    <v:shape id="shape 34" o:spid="_x0000_s34" o:spt="1" type="#_x0000_t1" style="position:absolute;left:44;top:35;width:24;height:3;v-text-anchor:top;visibility:visible;" filled="f" stroked="f">
                      <v:textbox inset="0,0,0,0">
                        <w:txbxContent>
                          <w:p>
                            <w:pPr>
                              <w:jc w:val="left"/>
                              <w:rPr>
                                <w:color w:val="0c0c0c"/>
                                <w:sz w:val="24"/>
                              </w:rPr>
                            </w:pPr>
                            <w:r>
                              <w:rPr>
                                <w:rFonts w:hint="eastAsia"/>
                                <w:color w:val="0c0c0c"/>
                                <w:sz w:val="24"/>
                              </w:rPr>
                              <w:t xml:space="preserve">地籍区</w:t>
                            </w:r>
                            <w:r/>
                          </w:p>
                        </w:txbxContent>
                      </v:textbox>
                    </v:shape>
                    <v:shape id="shape 35" o:spid="_x0000_s35" o:spt="34" type="#_x0000_t34" style="position:absolute;left:0;top:0;width:44;height:37;visibility:visible;" filled="f" strokecolor="#000000" strokeweight="0.75pt"/>
                  </v:group>
                  <v:group id="group 36" o:spid="_x0000_s0000" style="position:absolute;left:0;top:0;width:75;height:44;" coordorigin="0,0" coordsize="75,44">
                    <v:shape id="shape 37" o:spid="_x0000_s37" o:spt="1" type="#_x0000_t1" style="position:absolute;left:51;top:40;width:24;height:3;v-text-anchor:top;visibility:visible;" filled="f" stroked="f">
                      <v:textbox inset="0,0,0,0">
                        <w:txbxContent>
                          <w:p>
                            <w:pPr>
                              <w:jc w:val="left"/>
                              <w:rPr>
                                <w:color w:val="0c0c0c"/>
                                <w:sz w:val="24"/>
                              </w:rPr>
                            </w:pPr>
                            <w:r>
                              <w:rPr>
                                <w:rFonts w:hint="eastAsia"/>
                                <w:color w:val="0c0c0c"/>
                                <w:sz w:val="24"/>
                              </w:rPr>
                              <w:t xml:space="preserve">行政区划</w:t>
                            </w:r>
                            <w:r/>
                          </w:p>
                        </w:txbxContent>
                      </v:textbox>
                    </v:shape>
                    <v:shape id="shape 38" o:spid="_x0000_s38" o:spt="34" type="#_x0000_t34" style="position:absolute;left:0;top:0;width:50;height:41;visibility:visible;" filled="f" strokecolor="#000000" strokeweight="0.75pt"/>
                  </v:group>
                  <v:shape id="shape 39" o:spid="_x0000_s39" o:spt="34" type="#_x0000_t34" style="position:absolute;left:22;top:0;width:27;height:21;visibility:visible;" filled="f" strokecolor="#000000" strokeweight="0.75pt"/>
                </v:group>
              </v:group>
            </w:pict>
          </mc:Fallback>
        </mc:AlternateContent>
      </w:r>
      <w:r/>
    </w:p>
    <w:p>
      <w:pPr>
        <w:ind w:left="425"/>
        <w:jc w:val="left"/>
        <w:spacing w:line="560" w:lineRule="exact"/>
        <w:widowControl/>
        <w:rPr>
          <w:rFonts w:ascii="宋体" w:hAnsi="宋体" w:cs="宋体"/>
          <w:color w:val="auto"/>
          <w:szCs w:val="21"/>
          <w:highlight w:val="none"/>
        </w:rPr>
      </w:pPr>
      <w:r>
        <w:rPr>
          <w:rFonts w:ascii="宋体" w:hAnsi="宋体" w:cs="宋体"/>
          <w:color w:val="auto"/>
          <w:szCs w:val="21"/>
          <w:highlight w:val="none"/>
        </w:rPr>
      </w:r>
      <w:r/>
    </w:p>
    <w:p>
      <w:pPr>
        <w:ind w:left="425"/>
        <w:jc w:val="left"/>
        <w:spacing w:line="560" w:lineRule="exact"/>
        <w:widowControl/>
        <w:rPr>
          <w:rFonts w:ascii="宋体" w:hAnsi="宋体" w:cs="宋体"/>
          <w:color w:val="auto"/>
          <w:szCs w:val="21"/>
          <w:highlight w:val="none"/>
        </w:rPr>
      </w:pPr>
      <w:r>
        <w:rPr>
          <w:rFonts w:ascii="宋体" w:hAnsi="宋体" w:cs="宋体"/>
          <w:color w:val="auto"/>
          <w:szCs w:val="21"/>
          <w:highlight w:val="none"/>
        </w:rPr>
      </w:r>
      <w:r/>
    </w:p>
    <w:p>
      <w:pPr>
        <w:ind w:left="425"/>
        <w:spacing w:line="560" w:lineRule="exact"/>
        <w:rPr>
          <w:rFonts w:ascii="宋体" w:hAnsi="宋体" w:cs="宋体"/>
          <w:color w:val="auto"/>
          <w:szCs w:val="21"/>
          <w:highlight w:val="none"/>
        </w:rPr>
      </w:pPr>
      <w:r>
        <w:rPr>
          <w:rFonts w:ascii="宋体" w:hAnsi="宋体" w:cs="宋体"/>
          <w:color w:val="auto"/>
          <w:szCs w:val="21"/>
          <w:highlight w:val="none"/>
        </w:rPr>
      </w:r>
      <w:r/>
    </w:p>
    <w:p>
      <w:pPr>
        <w:ind w:left="425"/>
        <w:spacing w:line="560" w:lineRule="exact"/>
        <w:rPr>
          <w:rFonts w:ascii="宋体" w:hAnsi="宋体" w:cs="宋体"/>
          <w:color w:val="auto"/>
          <w:szCs w:val="21"/>
          <w:highlight w:val="none"/>
        </w:rPr>
      </w:pPr>
      <w:r>
        <w:rPr>
          <w:rFonts w:ascii="宋体" w:hAnsi="宋体" w:cs="宋体"/>
          <w:color w:val="auto"/>
          <w:szCs w:val="21"/>
          <w:highlight w:val="none"/>
        </w:rPr>
      </w:r>
      <w:r/>
    </w:p>
    <w:p>
      <w:pPr>
        <w:ind w:left="425"/>
        <w:spacing w:line="560" w:lineRule="exact"/>
        <w:rPr>
          <w:rFonts w:ascii="宋体" w:hAnsi="宋体" w:cs="宋体"/>
          <w:color w:val="auto"/>
          <w:szCs w:val="21"/>
          <w:highlight w:val="none"/>
        </w:rPr>
      </w:pPr>
      <w:r>
        <w:rPr>
          <w:rFonts w:ascii="宋体" w:hAnsi="宋体" w:cs="宋体"/>
          <w:color w:val="auto"/>
          <w:szCs w:val="21"/>
          <w:highlight w:val="none"/>
        </w:rPr>
      </w:r>
      <w:r/>
    </w:p>
    <w:p>
      <w:pPr>
        <w:ind w:left="425"/>
        <w:jc w:val="left"/>
        <w:widowControl/>
        <w:rPr>
          <w:rFonts w:ascii="宋体" w:hAnsi="宋体" w:cs="宋体"/>
          <w:color w:val="auto"/>
          <w:szCs w:val="21"/>
          <w:highlight w:val="none"/>
        </w:rPr>
      </w:pPr>
      <w:r/>
      <w:bookmarkStart w:id="177" w:name="_Toc408577025"/>
      <w:r/>
      <w:bookmarkStart w:id="178" w:name="_Toc304130991"/>
      <w:r/>
      <w:bookmarkStart w:id="179" w:name="_Toc299953455"/>
      <w:r/>
      <w:bookmarkStart w:id="180" w:name="_Toc299959303"/>
      <w:r/>
      <w:bookmarkStart w:id="181" w:name="_Toc299723214"/>
      <w:r/>
      <w:bookmarkStart w:id="182" w:name="_Toc408773862"/>
      <w:r/>
      <w:bookmarkStart w:id="183" w:name="_Toc299957249"/>
      <w:r/>
      <w:bookmarkEnd w:id="177"/>
      <w:bookmarkEnd w:id="178"/>
      <w:bookmarkEnd w:id="179"/>
      <w:bookmarkEnd w:id="180"/>
      <w:bookmarkEnd w:id="181"/>
      <w:bookmarkEnd w:id="182"/>
      <w:bookmarkEnd w:id="183"/>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a）宗地统一编码工作，行政区划代码、地籍区、地籍子区代码按照已有资料进行编写。</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b）第四层次为宗地（宗海）特征码，代码为2位。其中：</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1）第1位用G、J、Z表示。“G”表示国家土地（海域）所有权，“J”表示集体土地所有权，“Z”表示土地（海域）所有权未确定或有争议。</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第2位用A、B、S、X、C、D、E、F、G、H、W、Y表示。“A”表示集体土地所有权宗地，“B”表示建设用地使用权宗地（地表），“S”表示建设用地使用权宗地（地上），“X”表示建设用地使用权宗地（地下），“C”表示宅基地使用权宗地，“D”表示土地承包经营权宗地（耕地），“E”表示土地承包经营权宗地（林地），“F”表示土地承包经营权宗地（草地），“H”表示海域使用权宗海，“G”表示使用权无居民海岛，“W”表示使用权未确定或有争议的土地（海域），“Y”表示其它使用权土地（海域），用于宗地（宗海）特征扩展。</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c）第五层次为宗地顺序号，代码为5位，码值为00001-99999，在相应的宗地特征码后顺序编号。</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d）第六层次为定着物特征码，代码为1位，用F、L、Q、W表示。“F”表示房屋等建筑物、构筑物，“L”表示森林或林木，“Q”表示其他类型的定着物，“W”表示无定着物。</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e）第七层次为定着物单元编号，代码为8位。</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定着物为房屋的，定着物单元在使用权宗地内应具有唯一编号。前4位表示房屋的幢号，房屋幢号在使用权宗地内统一编号，码值为0001～9999；后4位表示房屋的户号，房屋户号在每幢房屋内统一编号，码值为0001～9999。</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2）定着物为森林、林木的，定着物单元在使用权宗地内应具有唯一的编号，码值为00000001 - 99999999。</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3）其他的定着物，定着物单元在使用权宗地内应具有唯一的编号，码值为00000001-99999999。</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4）面积要求</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根据实际要求，最小上图地块面积为100㎡。</w:t>
      </w:r>
      <w:r/>
    </w:p>
    <w:p>
      <w:pPr>
        <w:numPr>
          <w:ilvl w:val="0"/>
          <w:numId w:val="6"/>
        </w:num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不动产登记存量数据成果命名规则</w:t>
      </w:r>
      <w:r/>
    </w:p>
    <w:tbl>
      <w:tblPr>
        <w:tblStyle w:val="8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9"/>
        <w:gridCol w:w="756"/>
        <w:gridCol w:w="3524"/>
        <w:gridCol w:w="4354"/>
      </w:tblGrid>
      <w:tr>
        <w:trPr>
          <w:jc w:val="center"/>
          <w:tblHeader/>
        </w:trPr>
        <w:tc>
          <w:tcPr>
            <w:gridSpan w:val="3"/>
            <w:tcW w:w="860" w:type="pct"/>
            <w:vAlign w:val="center"/>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命名对象</w:t>
            </w:r>
            <w:r/>
          </w:p>
        </w:tc>
        <w:tc>
          <w:tcPr>
            <w:tcW w:w="1852" w:type="pct"/>
            <w:vAlign w:val="center"/>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命名规则</w:t>
            </w:r>
            <w:r/>
          </w:p>
        </w:tc>
        <w:tc>
          <w:tcPr>
            <w:tcW w:w="2287" w:type="pct"/>
            <w:vAlign w:val="center"/>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备注</w:t>
            </w:r>
            <w:r/>
          </w:p>
        </w:tc>
      </w:tr>
      <w:tr>
        <w:trPr>
          <w:jc w:val="center"/>
        </w:trPr>
        <w:tc>
          <w:tcPr>
            <w:tcW w:w="466" w:type="pct"/>
            <w:vAlign w:val="center"/>
            <w:vMerge w:val="restart"/>
            <w:textDirection w:val="lrTb"/>
            <w:noWrap w:val="false"/>
          </w:tcPr>
          <w:p>
            <w:pPr>
              <w:tabs>
                <w:tab w:val="left" w:pos="1620" w:leader="none"/>
              </w:tabs>
              <w:rPr>
                <w:rFonts w:hint="eastAsia" w:ascii="宋体" w:hAnsi="宋体" w:cs="宋体"/>
                <w:color w:val="auto"/>
                <w:spacing w:val="-6"/>
                <w:sz w:val="18"/>
                <w:szCs w:val="18"/>
                <w:highlight w:val="none"/>
              </w:rPr>
            </w:pPr>
            <w:r>
              <w:rPr>
                <w:rFonts w:hint="eastAsia" w:ascii="宋体" w:hAnsi="宋体" w:cs="宋体"/>
                <w:color w:val="auto"/>
                <w:spacing w:val="-6"/>
                <w:sz w:val="18"/>
                <w:szCs w:val="18"/>
                <w:highlight w:val="none"/>
              </w:rPr>
              <w:t xml:space="preserve">矢量数据</w:t>
            </w:r>
            <w:r/>
          </w:p>
        </w:tc>
        <w:tc>
          <w:tcPr>
            <w:gridSpan w:val="2"/>
            <w:tcW w:w="393"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原始坐标数据</w:t>
            </w:r>
            <w:r/>
          </w:p>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W w:w="1852"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矢量数据：“行政区划代码”+“图层名称”+“.后缀名”</w:t>
            </w:r>
            <w:r/>
          </w:p>
        </w:tc>
        <w:tc>
          <w:tcPr>
            <w:tcW w:w="2287" w:type="pct"/>
            <w:vMerge w:val="restart"/>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1、行政区划代码采用六位数字码，参照国家标准《中华人民共和国行政区划代码》（GB/T 2260）；</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2、图层名称采用《不动产数据库标准》中与图层对应的属性表名（其中行政要素注记命名为xzys_ZJ,所有权宗地图层命名为“syq_”+属性表名，使用权宗地图层命名为“shyq_”+属性表名，），下同；</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3、矢量数据后缀名应包括主文件（*.shp）、索引文件（*.shx）、表文件（*.dbf）、投影信息文件（*.prj）；</w:t>
            </w:r>
            <w:r/>
          </w:p>
          <w:p>
            <w:pPr>
              <w:ind w:firstLine="360"/>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4、统一坐标数据空间参考采用2000坐标系。</w:t>
            </w:r>
            <w:r/>
          </w:p>
        </w:tc>
      </w:tr>
      <w:tr>
        <w:trPr>
          <w:jc w:val="center"/>
          <w:trHeight w:val="439"/>
        </w:trPr>
        <w:tc>
          <w:tcPr>
            <w:tcW w:w="466" w:type="pct"/>
            <w:vAlign w:val="center"/>
            <w:vMerge w:val="continue"/>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gridSpan w:val="2"/>
            <w:tcW w:w="393"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统一坐标数据</w:t>
            </w:r>
            <w:r/>
          </w:p>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W w:w="1852"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矢量数据：“行政区划代码”+“图层名称”+“.后缀名”</w:t>
            </w:r>
            <w:r/>
          </w:p>
        </w:tc>
        <w:tc>
          <w:tcPr>
            <w:tcW w:w="2287" w:type="pct"/>
            <w:vMerge w:val="continue"/>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745"/>
        </w:trPr>
        <w:tc>
          <w:tcPr>
            <w:gridSpan w:val="3"/>
            <w:tcW w:w="860"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数字正射影像图（DOM）</w:t>
            </w:r>
            <w:r/>
          </w:p>
        </w:tc>
        <w:tc>
          <w:tcPr>
            <w:tcW w:w="1852"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影像文件：“行政区代码”+“DOM”+“.img”或“行政区代码”+“DOM”+“.tif”</w:t>
            </w:r>
            <w:r/>
          </w:p>
        </w:tc>
        <w:tc>
          <w:tcPr>
            <w:tcW w:w="2287" w:type="pct"/>
            <w:textDirection w:val="lrTb"/>
            <w:noWrap w:val="false"/>
          </w:tcPr>
          <w:p>
            <w:pPr>
              <w:ind w:firstLine="289"/>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1、一个行政区可以融合成一个影像文件，也可以多个文件，多个文件时在文件名后加“1”、“2”、……顺序号区分；</w:t>
            </w:r>
            <w:r/>
          </w:p>
          <w:p>
            <w:pPr>
              <w:ind w:firstLine="27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2、对于存在不同波段的可以在文件名后加“_1”、“_2”、……顺序号区分。</w:t>
            </w:r>
            <w:r/>
          </w:p>
        </w:tc>
      </w:tr>
      <w:tr>
        <w:trPr>
          <w:jc w:val="center"/>
          <w:trHeight w:val="745"/>
        </w:trPr>
        <w:tc>
          <w:tcPr>
            <w:gridSpan w:val="3"/>
            <w:tcW w:w="860"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数字栅格地图（DRG）</w:t>
            </w:r>
            <w:r/>
          </w:p>
        </w:tc>
        <w:tc>
          <w:tcPr>
            <w:tcW w:w="1852" w:type="pct"/>
            <w:vAlign w:val="center"/>
            <w:textDirection w:val="lrTb"/>
            <w:noWrap w:val="false"/>
          </w:tcPr>
          <w:p>
            <w:pPr>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影像文件：“行政区代码”+“DRG”+“.img”</w:t>
            </w:r>
            <w:r/>
          </w:p>
        </w:tc>
        <w:tc>
          <w:tcPr>
            <w:tcW w:w="2287" w:type="pct"/>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01"/>
        </w:trPr>
        <w:tc>
          <w:tcPr>
            <w:gridSpan w:val="3"/>
            <w:tcW w:w="860"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属性表格数据</w:t>
            </w:r>
            <w:r/>
          </w:p>
        </w:tc>
        <w:tc>
          <w:tcPr>
            <w:tcW w:w="1852" w:type="pct"/>
            <w:vAlign w:val="center"/>
            <w:textDirection w:val="lrTb"/>
            <w:noWrap w:val="false"/>
          </w:tcPr>
          <w:p>
            <w:pPr>
              <w:ind w:firstLine="64"/>
              <w:jc w:val="left"/>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“行政区代码”+“SXB”+“.mdb”</w:t>
            </w:r>
            <w:r/>
          </w:p>
        </w:tc>
        <w:tc>
          <w:tcPr>
            <w:tcW w:w="2287" w:type="pct"/>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08"/>
        </w:trPr>
        <w:tc>
          <w:tcPr>
            <w:gridSpan w:val="3"/>
            <w:tcW w:w="860" w:type="pct"/>
            <w:vAlign w:val="center"/>
            <w:textDirection w:val="lrTb"/>
            <w:noWrap w:val="false"/>
          </w:tcPr>
          <w:p>
            <w:pPr>
              <w:ind w:firstLine="199"/>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元数据</w:t>
            </w:r>
            <w:r/>
          </w:p>
        </w:tc>
        <w:tc>
          <w:tcPr>
            <w:tcW w:w="1852" w:type="pct"/>
            <w:vAlign w:val="center"/>
            <w:textDirection w:val="lrTb"/>
            <w:noWrap w:val="false"/>
          </w:tcPr>
          <w:p>
            <w:pPr>
              <w:ind w:firstLine="360"/>
              <w:jc w:val="left"/>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“行政区划代码”+“metadata”+“.xml”</w:t>
            </w:r>
            <w:r/>
          </w:p>
        </w:tc>
        <w:tc>
          <w:tcPr>
            <w:tcW w:w="2287" w:type="pct"/>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Pr>
        <w:tc>
          <w:tcPr>
            <w:gridSpan w:val="2"/>
            <w:tcW w:w="480" w:type="pct"/>
            <w:vAlign w:val="center"/>
            <w:vMerge w:val="restart"/>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其他数据</w:t>
            </w:r>
            <w:r/>
          </w:p>
        </w:tc>
        <w:tc>
          <w:tcPr>
            <w:tcW w:w="380" w:type="pct"/>
            <w:vAlign w:val="center"/>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数据建设文档</w:t>
            </w:r>
            <w:r/>
          </w:p>
        </w:tc>
        <w:tc>
          <w:tcPr>
            <w:tcW w:w="1852" w:type="pct"/>
            <w:vAlign w:val="center"/>
            <w:textDirection w:val="lrTb"/>
            <w:noWrap w:val="false"/>
          </w:tcPr>
          <w:p>
            <w:pPr>
              <w:jc w:val="left"/>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“行政区划代码”+“不动产登记存量数据建设工作报告”+“.DOC”</w:t>
            </w:r>
            <w:r/>
          </w:p>
          <w:p>
            <w:pPr>
              <w:ind w:firstLine="64"/>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“行政区划代码”+“不动产登记存量数据建设技术报告”+“.DOC”</w:t>
            </w:r>
            <w:r/>
          </w:p>
          <w:p>
            <w:pPr>
              <w:ind w:firstLine="64"/>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“行政区划代码”+“不动产登记存量数据建设成果分析报告”+“.DOC”</w:t>
            </w:r>
            <w:r/>
          </w:p>
        </w:tc>
        <w:tc>
          <w:tcPr>
            <w:tcW w:w="2287" w:type="pct"/>
            <w:textDirection w:val="lrTb"/>
            <w:noWrap w:val="false"/>
          </w:tcPr>
          <w:p>
            <w:pPr>
              <w:ind w:left="227" w:hanging="226"/>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Pr>
        <w:tc>
          <w:tcPr>
            <w:gridSpan w:val="2"/>
            <w:tcW w:w="480" w:type="pct"/>
            <w:vAlign w:val="center"/>
            <w:vMerge w:val="continue"/>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W w:w="380"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数据预检报告</w:t>
            </w:r>
            <w:r/>
          </w:p>
        </w:tc>
        <w:tc>
          <w:tcPr>
            <w:tcW w:w="1852"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“行政区划代码”+“数据质量有关情况说明”+“.DOC”</w:t>
            </w:r>
            <w:r/>
          </w:p>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“行政区划代码”+“数据质量检查报告”+“.DOC”</w:t>
            </w:r>
            <w:r/>
          </w:p>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“行政区划代码”+“数据质量检查结果记录”+“.xls”</w:t>
            </w:r>
            <w:r/>
          </w:p>
        </w:tc>
        <w:tc>
          <w:tcPr>
            <w:tcW w:w="2287" w:type="pct"/>
            <w:textDirection w:val="lrTb"/>
            <w:noWrap w:val="false"/>
          </w:tcPr>
          <w:p>
            <w:pPr>
              <w:ind w:firstLine="360"/>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Pr>
        <w:tc>
          <w:tcPr>
            <w:gridSpan w:val="2"/>
            <w:tcW w:w="480" w:type="pct"/>
            <w:vAlign w:val="center"/>
            <w:vMerge w:val="continue"/>
            <w:textDirection w:val="lrTb"/>
            <w:noWrap w:val="false"/>
          </w:tcPr>
          <w:p>
            <w:pPr>
              <w:ind w:firstLine="360"/>
              <w:jc w:val="cente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W w:w="380" w:type="pct"/>
            <w:vAlign w:val="center"/>
            <w:textDirection w:val="lrTb"/>
            <w:noWrap w:val="false"/>
          </w:tcPr>
          <w:p>
            <w:pPr>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其他资 料</w:t>
            </w:r>
            <w:r/>
          </w:p>
        </w:tc>
        <w:tc>
          <w:tcPr>
            <w:tcW w:w="1852" w:type="pct"/>
            <w:vAlign w:val="center"/>
            <w:textDirection w:val="lrTb"/>
            <w:noWrap w:val="false"/>
          </w:tcPr>
          <w:p>
            <w:pPr>
              <w:ind w:firstLine="360"/>
              <w:tabs>
                <w:tab w:val="left" w:pos="1620" w:leader="none"/>
              </w:tabs>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“其他资料名称”+“.后缀名”</w:t>
            </w:r>
            <w:r/>
          </w:p>
        </w:tc>
        <w:tc>
          <w:tcPr>
            <w:tcW w:w="2287" w:type="pct"/>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其他资料名称:自行命名。</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后缀名：自行确定。</w:t>
            </w:r>
            <w:r/>
          </w:p>
        </w:tc>
      </w:tr>
    </w:tbl>
    <w:p>
      <w:pPr>
        <w:pStyle w:val="810"/>
        <w:rPr>
          <w:rFonts w:hint="eastAsia"/>
          <w:color w:val="auto"/>
          <w:highlight w:val="none"/>
        </w:rPr>
      </w:pPr>
      <w:r>
        <w:rPr>
          <w:rFonts w:hint="eastAsia"/>
          <w:color w:val="auto"/>
          <w:highlight w:val="none"/>
        </w:rPr>
      </w:r>
      <w:r/>
    </w:p>
    <w:p>
      <w:pPr>
        <w:ind w:firstLine="241"/>
        <w:spacing w:line="440" w:lineRule="exact"/>
        <w:rPr>
          <w:rFonts w:hint="eastAsia"/>
          <w:b/>
          <w:bCs/>
          <w:color w:val="auto"/>
          <w:sz w:val="24"/>
          <w:szCs w:val="24"/>
          <w:highlight w:val="none"/>
        </w:rPr>
      </w:pPr>
      <w:r>
        <w:rPr>
          <w:rFonts w:hint="eastAsia"/>
          <w:b/>
          <w:bCs/>
          <w:color w:val="auto"/>
          <w:sz w:val="24"/>
          <w:szCs w:val="24"/>
          <w:highlight w:val="none"/>
          <w:lang w:eastAsia="zh-CN"/>
        </w:rPr>
        <w:t xml:space="preserve">七</w:t>
      </w:r>
      <w:r>
        <w:rPr>
          <w:rFonts w:hint="eastAsia"/>
          <w:b/>
          <w:bCs/>
          <w:color w:val="auto"/>
          <w:sz w:val="24"/>
          <w:szCs w:val="24"/>
          <w:highlight w:val="none"/>
        </w:rPr>
        <w:t xml:space="preserve">、提交成果：</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项目成果由表格成果、图件成果以及数据库成果组成。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1、表格成果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(1)不动产</w:t>
      </w:r>
      <w:r>
        <w:rPr>
          <w:rFonts w:hint="eastAsia" w:ascii="宋体" w:hAnsi="宋体" w:cs="宋体"/>
          <w:bCs/>
          <w:color w:val="auto"/>
          <w:szCs w:val="21"/>
          <w:highlight w:val="none"/>
          <w:lang w:eastAsia="zh-CN"/>
        </w:rPr>
        <w:t xml:space="preserve">地</w:t>
      </w:r>
      <w:r>
        <w:rPr>
          <w:rFonts w:hint="eastAsia" w:ascii="宋体" w:hAnsi="宋体" w:cs="宋体"/>
          <w:bCs/>
          <w:color w:val="auto"/>
          <w:szCs w:val="21"/>
          <w:highlight w:val="none"/>
        </w:rPr>
        <w:t xml:space="preserve">籍调查表。</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2、图件成果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(1)工作底图；(2)宗地图；(3)分层分户图。</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3、数据库成果</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不动产</w:t>
      </w:r>
      <w:r>
        <w:rPr>
          <w:rFonts w:hint="eastAsia" w:ascii="宋体" w:hAnsi="宋体" w:cs="宋体"/>
          <w:bCs/>
          <w:color w:val="auto"/>
          <w:szCs w:val="21"/>
          <w:highlight w:val="none"/>
          <w:lang w:eastAsia="zh-CN"/>
        </w:rPr>
        <w:t xml:space="preserve">地</w:t>
      </w:r>
      <w:r>
        <w:rPr>
          <w:rFonts w:hint="eastAsia" w:ascii="宋体" w:hAnsi="宋体" w:cs="宋体"/>
          <w:bCs/>
          <w:color w:val="auto"/>
          <w:szCs w:val="21"/>
          <w:highlight w:val="none"/>
        </w:rPr>
        <w:t xml:space="preserve">籍调查数据库。</w:t>
      </w:r>
      <w:r/>
    </w:p>
    <w:p>
      <w:pPr>
        <w:numPr>
          <w:ilvl w:val="0"/>
          <w:numId w:val="0"/>
        </w:numPr>
        <w:ind w:firstLine="482"/>
        <w:spacing w:line="440" w:lineRule="exact"/>
        <w:rPr>
          <w:rFonts w:hint="eastAsia"/>
          <w:b/>
          <w:bCs/>
          <w:color w:val="auto"/>
          <w:sz w:val="24"/>
          <w:szCs w:val="24"/>
          <w:highlight w:val="none"/>
          <w:lang w:eastAsia="zh-CN"/>
        </w:rPr>
      </w:pPr>
      <w:r>
        <w:rPr>
          <w:rFonts w:hint="eastAsia"/>
          <w:b/>
          <w:bCs/>
          <w:color w:val="auto"/>
          <w:sz w:val="24"/>
          <w:szCs w:val="24"/>
          <w:highlight w:val="none"/>
          <w:lang w:eastAsia="zh-CN"/>
        </w:rPr>
        <w:t xml:space="preserve">八、付款方式</w:t>
      </w:r>
      <w:r/>
    </w:p>
    <w:p>
      <w:pPr>
        <w:ind w:firstLine="480"/>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本项目付款按年度</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四次支付</w:t>
      </w:r>
      <w:r>
        <w:rPr>
          <w:rFonts w:hint="eastAsia" w:ascii="宋体" w:hAnsi="宋体" w:eastAsia="宋体" w:cs="宋体"/>
          <w:bCs/>
          <w:color w:val="auto"/>
          <w:sz w:val="24"/>
          <w:szCs w:val="24"/>
          <w:highlight w:val="none"/>
          <w:lang w:val="en-US" w:eastAsia="zh-CN"/>
        </w:rPr>
        <w:t xml:space="preserve">：</w:t>
      </w:r>
      <w:r/>
    </w:p>
    <w:p>
      <w:pPr>
        <w:pStyle w:val="810"/>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①2027年2月底前，对2026年8月至12月的实际业务发生量进行结算（凭合同原件、验收单、经甲乙双方盖章确认的任务派单明细及正式发票等）；</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年2月底前，对202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1至12月</w:t>
      </w:r>
      <w:r>
        <w:rPr>
          <w:rFonts w:hint="eastAsia" w:ascii="宋体" w:hAnsi="宋体" w:eastAsia="宋体" w:cs="宋体"/>
          <w:color w:val="auto"/>
          <w:sz w:val="24"/>
          <w:szCs w:val="24"/>
          <w:highlight w:val="none"/>
          <w:lang w:val="en-US" w:eastAsia="zh-CN"/>
        </w:rPr>
        <w:t xml:space="preserve">的实际业务发生量进行结算（凭合同、验收单、经甲乙双方盖章确认的任务派单明细及正式发票等）；</w:t>
      </w:r>
      <w:r/>
    </w:p>
    <w:p>
      <w:pPr>
        <w:pStyle w:val="810"/>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③2029年2月底前，对2028年1至12月的实际业务发生量进行结算（凭合同、验收单、经甲乙双方盖章确认的任务派单明细及正式发票等）；</w:t>
      </w:r>
      <w:r/>
    </w:p>
    <w:p>
      <w:pPr>
        <w:pStyle w:val="810"/>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④2029年8月底前，对2029年1月至7月的实际业务发生量进行结算（凭合同、验收单、经甲乙双方盖章确认的任务派单明细及正式发票等）</w:t>
      </w:r>
      <w:r>
        <w:rPr>
          <w:rFonts w:hint="eastAsia" w:ascii="宋体" w:hAnsi="宋体" w:eastAsia="宋体" w:cs="宋体"/>
          <w:b/>
          <w:bCs/>
          <w:color w:val="auto"/>
          <w:sz w:val="24"/>
          <w:szCs w:val="24"/>
          <w:highlight w:val="none"/>
        </w:rPr>
        <w:t xml:space="preserve">。    </w:t>
      </w:r>
      <w:r/>
    </w:p>
    <w:p>
      <w:pPr>
        <w:ind w:firstLine="482"/>
        <w:spacing w:before="120" w:after="120" w:line="400" w:lineRule="exact"/>
        <w:rPr>
          <w:rFonts w:hint="default"/>
          <w:color w:val="auto"/>
          <w:highlight w:val="none"/>
          <w:lang w:val="en-US" w:eastAsia="zh-CN"/>
        </w:rPr>
      </w:pPr>
      <w:r>
        <w:rPr>
          <w:rFonts w:hint="eastAsia" w:ascii="宋体" w:hAnsi="宋体" w:cs="宋体"/>
          <w:b/>
          <w:bCs/>
          <w:color w:val="auto"/>
          <w:sz w:val="24"/>
          <w:szCs w:val="24"/>
          <w:highlight w:val="none"/>
          <w:lang w:eastAsia="zh-CN"/>
        </w:rPr>
        <w:t xml:space="preserve">注：如合同总金额在扣除前三次付款后，剩余部分不足以支付第四次结算的费用时，则以剩余金额进行全额支付，超出部分不予支付。</w:t>
      </w:r>
      <w:r/>
    </w:p>
    <w:p>
      <w:pPr>
        <w:pStyle w:val="810"/>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九、履约保证金</w:t>
      </w:r>
      <w:r/>
    </w:p>
    <w:p>
      <w:pPr>
        <w:ind w:firstLine="480"/>
        <w:keepLines w:val="0"/>
        <w:keepNext w:val="0"/>
        <w:pageBreakBefore w:val="0"/>
        <w:spacing w:line="4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
          <w:bCs w:val="0"/>
          <w:color w:val="auto"/>
          <w:sz w:val="24"/>
          <w:szCs w:val="24"/>
          <w:highlight w:val="none"/>
          <w:lang w:eastAsia="zh-CN"/>
        </w:rPr>
        <w:t xml:space="preserve">本</w:t>
      </w:r>
      <w:r>
        <w:rPr>
          <w:rFonts w:hint="eastAsia" w:ascii="宋体" w:hAnsi="宋体" w:cs="宋体"/>
          <w:b/>
          <w:bCs w:val="0"/>
          <w:color w:val="auto"/>
          <w:sz w:val="24"/>
          <w:szCs w:val="24"/>
          <w:highlight w:val="none"/>
          <w:lang w:val="en-US" w:eastAsia="zh-CN"/>
        </w:rPr>
        <w:t xml:space="preserve">项目</w:t>
      </w:r>
      <w:r>
        <w:rPr>
          <w:rFonts w:hint="eastAsia" w:ascii="宋体" w:hAnsi="宋体" w:cs="宋体"/>
          <w:b/>
          <w:bCs w:val="0"/>
          <w:color w:val="auto"/>
          <w:sz w:val="24"/>
          <w:szCs w:val="24"/>
          <w:highlight w:val="none"/>
          <w:lang w:eastAsia="zh-CN"/>
        </w:rPr>
        <w:t xml:space="preserve">中标后的履约保证金为项目中标价的</w:t>
      </w:r>
      <w:r>
        <w:rPr>
          <w:rFonts w:hint="eastAsia" w:ascii="宋体" w:hAnsi="宋体" w:cs="宋体"/>
          <w:b/>
          <w:bCs w:val="0"/>
          <w:color w:val="auto"/>
          <w:sz w:val="24"/>
          <w:szCs w:val="24"/>
          <w:highlight w:val="none"/>
          <w:lang w:val="en-US" w:eastAsia="zh-CN"/>
        </w:rPr>
        <w:t xml:space="preserve">10</w:t>
      </w:r>
      <w:r>
        <w:rPr>
          <w:rFonts w:hint="eastAsia" w:ascii="宋体" w:hAnsi="宋体" w:cs="宋体"/>
          <w:b/>
          <w:bCs w:val="0"/>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成交供应商的履约保证金须在中标通知书发出之日起至合同签订前汇入采购单位账户（应当以数字人民币、支票、汇票或者金融机构、担保机构出具的保函等非现金形式提交），成交供应商凭中标通知书与采购单位签订合同。超期或未有协商，则视为自动放弃中标资格。</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2、成交供应商全部履约合同义务，经采购单位验收合格无质量、进度等问题的，采购人在验收合格后一次性退还履约保证金；</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3、发生以下情况的，履约保证金不予退还或部分退还：</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（http://ggzyjy.nantong.gov.cn/NTdzbhweb/supermarket/）“履约保证保险”模块在线申请履约保证保险投保。</w:t>
      </w:r>
      <w:r/>
    </w:p>
    <w:p>
      <w:pPr>
        <w:ind w:firstLine="482"/>
        <w:keepLines w:val="0"/>
        <w:keepNext w:val="0"/>
        <w:pageBreakBefore w:val="0"/>
        <w:spacing w:line="420" w:lineRule="exact"/>
        <w:widowControl w:val="off"/>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十</w:t>
      </w:r>
      <w:r>
        <w:rPr>
          <w:rFonts w:hint="eastAsia" w:ascii="宋体" w:hAnsi="宋体" w:cs="宋体"/>
          <w:b/>
          <w:color w:val="auto"/>
          <w:sz w:val="24"/>
          <w:szCs w:val="24"/>
          <w:highlight w:val="none"/>
        </w:rPr>
        <w:t xml:space="preserve">、约定事项</w:t>
      </w:r>
      <w:r/>
    </w:p>
    <w:p>
      <w:pPr>
        <w:ind w:firstLine="480"/>
        <w:keepLines w:val="0"/>
        <w:keepNext w:val="0"/>
        <w:pageBreakBefore w:val="0"/>
        <w:spacing w:line="42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1、本项目实施人员必须是</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文件中提供的人员，</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不得以任何原因和方式将合同转包、分包或雇用其他作业人员进行生产。一经发现有上述情况的，将按违约处理，采购人有权拒付合同额。</w:t>
      </w:r>
      <w:r/>
    </w:p>
    <w:p>
      <w:pPr>
        <w:ind w:firstLine="480"/>
        <w:keepLines w:val="0"/>
        <w:keepNext w:val="0"/>
        <w:pageBreakBefore w:val="0"/>
        <w:spacing w:line="42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2、采购人向</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提供的全部资料及</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生产的全部成果资料（包括中间资料）其版权归采购人所有，</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不得自留使用或以任何方式转让或提供给第三方使用。</w:t>
      </w:r>
      <w:r/>
    </w:p>
    <w:p>
      <w:pPr>
        <w:ind w:firstLine="480"/>
        <w:keepLines w:val="0"/>
        <w:keepNext w:val="0"/>
        <w:pageBreakBefore w:val="0"/>
        <w:spacing w:line="42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3、本项目最终成果的检查验收由采购人组织，其经费由</w:t>
      </w:r>
      <w:r>
        <w:rPr>
          <w:rFonts w:hint="eastAsia" w:cs="宋体"/>
          <w:color w:val="auto"/>
          <w:sz w:val="24"/>
          <w:szCs w:val="24"/>
          <w:highlight w:val="none"/>
        </w:rPr>
        <w:t xml:space="preserve">成交供应商</w:t>
      </w:r>
      <w:r>
        <w:rPr>
          <w:rFonts w:hint="eastAsia" w:ascii="宋体" w:hAnsi="宋体" w:cs="宋体"/>
          <w:bCs/>
          <w:color w:val="auto"/>
          <w:sz w:val="24"/>
          <w:szCs w:val="24"/>
          <w:highlight w:val="none"/>
        </w:rPr>
        <w:t xml:space="preserve">承担。</w:t>
      </w:r>
      <w:r/>
    </w:p>
    <w:p>
      <w:pPr>
        <w:ind w:firstLine="480"/>
        <w:keepLines w:val="0"/>
        <w:keepNext w:val="0"/>
        <w:pageBreakBefore w:val="0"/>
        <w:spacing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、响应时间要求：接到任务后，必须在24小时内响应，48小时内完成实地测绘</w:t>
      </w:r>
      <w:r>
        <w:rPr>
          <w:rFonts w:hint="eastAsia" w:ascii="宋体" w:hAnsi="宋体" w:cs="宋体"/>
          <w:color w:val="auto"/>
          <w:sz w:val="24"/>
          <w:szCs w:val="24"/>
          <w:highlight w:val="none"/>
          <w:lang w:eastAsia="zh-CN"/>
        </w:rPr>
        <w:t xml:space="preserve">调查</w:t>
      </w:r>
      <w:r>
        <w:rPr>
          <w:rFonts w:hint="eastAsia" w:ascii="宋体" w:hAnsi="宋体" w:cs="宋体"/>
          <w:color w:val="auto"/>
          <w:sz w:val="24"/>
          <w:szCs w:val="24"/>
          <w:highlight w:val="none"/>
        </w:rPr>
        <w:t xml:space="preserve">，72小时内形成</w:t>
      </w:r>
      <w:r>
        <w:rPr>
          <w:rFonts w:hint="eastAsia" w:ascii="宋体" w:hAnsi="宋体" w:cs="宋体"/>
          <w:bCs/>
          <w:color w:val="auto"/>
          <w:sz w:val="24"/>
          <w:szCs w:val="24"/>
          <w:highlight w:val="none"/>
          <w:lang w:eastAsia="zh-CN"/>
        </w:rPr>
        <w:t xml:space="preserve">地籍调查</w:t>
      </w:r>
      <w:r>
        <w:rPr>
          <w:rFonts w:hint="eastAsia" w:ascii="宋体" w:hAnsi="宋体" w:cs="宋体"/>
          <w:color w:val="auto"/>
          <w:sz w:val="24"/>
          <w:szCs w:val="24"/>
          <w:highlight w:val="none"/>
        </w:rPr>
        <w:t xml:space="preserve">成果。</w:t>
      </w:r>
      <w:r/>
    </w:p>
    <w:p>
      <w:pPr>
        <w:ind w:firstLine="480"/>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责任造成项目未按规定时间完成的，逾期1天，扣除单个项目费用的2%；逾期2天，扣除单个项目费用的5%；逾期3天及以上，扣除单个项目费用的8%；逾期3天以上或累计逾期3次以上的，采购人有权解除合同。因无故拖延服务</w:t>
      </w:r>
      <w:r>
        <w:rPr>
          <w:rFonts w:hint="eastAsia"/>
          <w:color w:val="auto"/>
          <w:sz w:val="24"/>
          <w:szCs w:val="24"/>
          <w:highlight w:val="none"/>
        </w:rPr>
        <w:t xml:space="preserve">给项目实施造成影响和损失的，将</w:t>
      </w:r>
      <w:r>
        <w:rPr>
          <w:rFonts w:hint="eastAsia"/>
          <w:color w:val="auto"/>
          <w:sz w:val="24"/>
          <w:szCs w:val="24"/>
          <w:highlight w:val="none"/>
          <w:lang w:val="en-US" w:eastAsia="zh-CN"/>
        </w:rPr>
        <w:t xml:space="preserve">被没收履约保证金</w:t>
      </w:r>
      <w:r>
        <w:rPr>
          <w:rFonts w:hint="eastAsia"/>
          <w:color w:val="auto"/>
          <w:sz w:val="24"/>
          <w:szCs w:val="24"/>
          <w:highlight w:val="none"/>
        </w:rPr>
        <w:t xml:space="preserve">。</w:t>
      </w:r>
      <w:r/>
    </w:p>
    <w:p>
      <w:pPr>
        <w:ind w:firstLine="480"/>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w:t>
      </w:r>
      <w:r>
        <w:rPr>
          <w:rFonts w:hint="eastAsia"/>
          <w:color w:val="auto"/>
          <w:sz w:val="24"/>
          <w:szCs w:val="24"/>
          <w:highlight w:val="none"/>
          <w:lang w:val="en-US" w:eastAsia="zh-CN"/>
        </w:rPr>
        <w:t xml:space="preserve">供应商</w:t>
      </w:r>
      <w:r>
        <w:rPr>
          <w:rFonts w:hint="eastAsia"/>
          <w:color w:val="auto"/>
          <w:sz w:val="24"/>
          <w:szCs w:val="24"/>
          <w:highlight w:val="none"/>
        </w:rPr>
        <w:t xml:space="preserve">的投标</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响应</w:t>
      </w:r>
      <w:r>
        <w:rPr>
          <w:rFonts w:hint="eastAsia"/>
          <w:color w:val="auto"/>
          <w:sz w:val="24"/>
          <w:szCs w:val="24"/>
          <w:highlight w:val="none"/>
          <w:lang w:eastAsia="zh-CN"/>
        </w:rPr>
        <w:t xml:space="preserve">）</w:t>
      </w:r>
      <w:r>
        <w:rPr>
          <w:rFonts w:hint="eastAsia"/>
          <w:color w:val="auto"/>
          <w:sz w:val="24"/>
          <w:szCs w:val="24"/>
          <w:highlight w:val="none"/>
        </w:rPr>
        <w:t xml:space="preserve">报价，在合同实施期间，中标价不随国家政策或法规、标准及任何市场因素的变化而进行调整。</w:t>
      </w:r>
      <w:r/>
    </w:p>
    <w:p>
      <w:pPr>
        <w:ind w:firstLine="480"/>
        <w:keepLines w:val="0"/>
        <w:keepNext w:val="0"/>
        <w:pageBreakBefore w:val="0"/>
        <w:spacing w:line="420" w:lineRule="exact"/>
        <w:widowControl w:val="off"/>
        <w:rPr>
          <w:rFonts w:ascii="Times New Roman" w:hAnsi="Times New Roman"/>
          <w:color w:val="auto"/>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w:t>
      </w:r>
      <w:r>
        <w:rPr>
          <w:rFonts w:hint="eastAsia"/>
          <w:color w:val="auto"/>
          <w:sz w:val="24"/>
          <w:szCs w:val="24"/>
          <w:highlight w:val="none"/>
          <w:lang w:eastAsia="zh-CN"/>
        </w:rPr>
        <w:t xml:space="preserve">成交</w:t>
      </w:r>
      <w:r>
        <w:rPr>
          <w:rFonts w:hint="eastAsia"/>
          <w:color w:val="auto"/>
          <w:sz w:val="24"/>
          <w:szCs w:val="24"/>
          <w:highlight w:val="none"/>
        </w:rPr>
        <w:t xml:space="preserve">供应商在履行合同过程中，一切事故其责任由</w:t>
      </w:r>
      <w:r>
        <w:rPr>
          <w:rFonts w:hint="eastAsia"/>
          <w:color w:val="auto"/>
          <w:sz w:val="24"/>
          <w:szCs w:val="24"/>
          <w:highlight w:val="none"/>
          <w:lang w:eastAsia="zh-CN"/>
        </w:rPr>
        <w:t xml:space="preserve">成交</w:t>
      </w:r>
      <w:r>
        <w:rPr>
          <w:rFonts w:hint="eastAsia"/>
          <w:color w:val="auto"/>
          <w:sz w:val="24"/>
          <w:szCs w:val="24"/>
          <w:highlight w:val="none"/>
        </w:rPr>
        <w:t xml:space="preserve">供应商承担，采购人不承担任何责任。</w:t>
      </w:r>
      <w:r/>
    </w:p>
    <w:p>
      <w:pPr>
        <w:ind w:firstLine="2530"/>
        <w:keepNext/>
        <w:spacing w:line="400" w:lineRule="exact"/>
        <w:rPr>
          <w:rFonts w:ascii="Times New Roman" w:hAnsi="Times New Roman"/>
          <w:color w:val="auto"/>
          <w:szCs w:val="21"/>
          <w:highlight w:val="none"/>
        </w:rPr>
        <w:outlineLvl w:val="0"/>
      </w:pPr>
      <w:r/>
      <w:bookmarkStart w:id="184"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836"/>
        <w:ind w:left="0" w:firstLine="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一、评审方法：</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%的扣除，用扣除后的价格参与评审。</w:t>
      </w:r>
      <w:r/>
    </w:p>
    <w:p>
      <w:pPr>
        <w:pStyle w:val="836"/>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836"/>
        <w:ind w:firstLine="480"/>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w:t>
      </w:r>
      <w:r>
        <w:rPr>
          <w:rFonts w:hint="eastAsia" w:ascii="Times New Roman" w:hAnsi="Times New Roman"/>
          <w:b/>
          <w:bCs/>
          <w:color w:val="auto"/>
          <w:sz w:val="24"/>
          <w:szCs w:val="24"/>
          <w:highlight w:val="none"/>
          <w:lang w:val="en-US" w:eastAsia="zh-CN"/>
        </w:rPr>
        <w:t xml:space="preserve">本项目为</w:t>
      </w:r>
      <w:r>
        <w:rPr>
          <w:rFonts w:ascii="Times New Roman" w:hAnsi="Times New Roman"/>
          <w:b/>
          <w:bCs/>
          <w:color w:val="auto"/>
          <w:sz w:val="24"/>
          <w:szCs w:val="24"/>
          <w:highlight w:val="none"/>
        </w:rPr>
        <w:t xml:space="preserve">专门面向中小</w:t>
      </w:r>
      <w:r>
        <w:rPr>
          <w:rFonts w:hint="eastAsia" w:ascii="Times New Roman" w:hAnsi="Times New Roman"/>
          <w:b/>
          <w:bCs/>
          <w:color w:val="auto"/>
          <w:sz w:val="24"/>
          <w:szCs w:val="24"/>
          <w:highlight w:val="none"/>
          <w:lang w:val="en-US" w:eastAsia="zh-CN"/>
        </w:rPr>
        <w:t xml:space="preserve">微</w:t>
      </w:r>
      <w:r>
        <w:rPr>
          <w:rFonts w:ascii="Times New Roman" w:hAnsi="Times New Roman"/>
          <w:b/>
          <w:bCs/>
          <w:color w:val="auto"/>
          <w:sz w:val="24"/>
          <w:szCs w:val="24"/>
          <w:highlight w:val="none"/>
        </w:rPr>
        <w:t xml:space="preserve">企业采购的项目或者采购包，不再执行价格评审优惠的扶持政策。</w:t>
      </w:r>
      <w:r/>
    </w:p>
    <w:p>
      <w:pPr>
        <w:pStyle w:val="836"/>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836"/>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36"/>
        <w:ind w:firstLine="482"/>
        <w:spacing w:line="400" w:lineRule="exact"/>
        <w:rPr>
          <w:rFonts w:ascii="Times New Roman" w:hAnsi="Times New Roman"/>
          <w:b/>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6"/>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836"/>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（一）商务技术</w:t>
      </w:r>
      <w:r>
        <w:rPr>
          <w:rFonts w:hint="eastAsia" w:ascii="宋体" w:hAnsi="宋体" w:cs="宋体"/>
          <w:b/>
          <w:bCs/>
          <w:color w:val="auto"/>
          <w:sz w:val="28"/>
          <w:szCs w:val="28"/>
          <w:highlight w:val="none"/>
        </w:rPr>
        <w:t xml:space="preserve">分（</w:t>
      </w:r>
      <w:r>
        <w:rPr>
          <w:rFonts w:hint="eastAsia" w:ascii="宋体" w:hAnsi="宋体" w:cs="宋体"/>
          <w:b/>
          <w:bCs/>
          <w:color w:val="auto"/>
          <w:sz w:val="28"/>
          <w:szCs w:val="28"/>
          <w:highlight w:val="none"/>
          <w:lang w:val="en-US" w:eastAsia="zh-CN"/>
        </w:rPr>
        <w:t xml:space="preserve">90</w:t>
      </w:r>
      <w:r>
        <w:rPr>
          <w:rFonts w:hint="eastAsia" w:ascii="宋体" w:hAnsi="宋体" w:cs="宋体"/>
          <w:b/>
          <w:bCs/>
          <w:color w:val="auto"/>
          <w:sz w:val="28"/>
          <w:szCs w:val="28"/>
          <w:highlight w:val="none"/>
        </w:rPr>
        <w:t xml:space="preserve">分）</w:t>
      </w:r>
      <w:r/>
    </w:p>
    <w:p>
      <w:pPr>
        <w:ind w:firstLine="241"/>
        <w:jc w:val="left"/>
        <w:spacing w:line="400" w:lineRule="exact"/>
        <w:widowControl/>
        <w:rPr>
          <w:rFonts w:ascii="宋体" w:hAnsi="宋体" w:cs="宋体"/>
          <w:b/>
          <w:bCs/>
          <w:color w:val="auto"/>
          <w:sz w:val="32"/>
          <w:szCs w:val="32"/>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803"/>
        <w:tblW w:w="9653" w:type="dxa"/>
        <w:jc w:val="center"/>
        <w:tblLayout w:type="fixed"/>
        <w:tblCellMar>
          <w:left w:w="0" w:type="dxa"/>
          <w:top w:w="0" w:type="dxa"/>
          <w:right w:w="0" w:type="dxa"/>
          <w:bottom w:w="0" w:type="dxa"/>
        </w:tblCellMar>
        <w:tblLook w:val="04A0" w:firstRow="1" w:lastRow="0" w:firstColumn="1" w:lastColumn="0" w:noHBand="0" w:noVBand="1"/>
      </w:tblPr>
      <w:tblGrid>
        <w:gridCol w:w="959"/>
        <w:gridCol w:w="945"/>
        <w:gridCol w:w="7012"/>
        <w:gridCol w:w="737"/>
      </w:tblGrid>
      <w:tr>
        <w:trPr>
          <w:jc w:val="center"/>
          <w:trHeight w:val="610" w:hRule="exact"/>
        </w:trPr>
        <w:tc>
          <w:tcPr>
            <w:gridSpan w:val="2"/>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ascii="宋体" w:hAnsi="宋体"/>
                <w:color w:val="auto"/>
                <w:szCs w:val="21"/>
                <w:highlight w:val="none"/>
              </w:rPr>
            </w:pPr>
            <w:r>
              <w:rPr>
                <w:rFonts w:hint="eastAsia" w:ascii="宋体" w:hAnsi="宋体" w:cs="等线"/>
                <w:color w:val="auto"/>
                <w:szCs w:val="21"/>
                <w:highlight w:val="none"/>
              </w:rPr>
              <w:t xml:space="preserve">分值</w:t>
            </w:r>
            <w:r/>
          </w:p>
        </w:tc>
      </w:tr>
      <w:tr>
        <w:trPr>
          <w:jc w:val="center"/>
          <w:trHeight w:val="5422" w:hRule="exact"/>
        </w:trPr>
        <w:tc>
          <w:tcPr>
            <w:tcBorders>
              <w:top w:val="single" w:color="000000" w:sz="4" w:space="0"/>
              <w:left w:val="single" w:color="000000" w:sz="4" w:space="0"/>
              <w:bottom w:val="single" w:color="000000" w:sz="4" w:space="0"/>
              <w:right w:val="single" w:color="000000" w:sz="4" w:space="0"/>
            </w:tcBorders>
            <w:tcW w:w="959" w:type="dxa"/>
            <w:vAlign w:val="center"/>
            <w:vMerge w:val="restart"/>
            <w:textDirection w:val="lrTb"/>
            <w:noWrap w:val="false"/>
          </w:tcPr>
          <w:p>
            <w:pPr>
              <w:ind w:left="200" w:hanging="2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项目具体技术方案</w:t>
            </w:r>
            <w:r/>
          </w:p>
          <w:p>
            <w:pPr>
              <w:ind w:left="200" w:hanging="2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54</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方案可行性</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27</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组织架构（</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包括①</w:t>
            </w:r>
            <w:r>
              <w:rPr>
                <w:rFonts w:hint="eastAsia" w:ascii="宋体" w:hAnsi="宋体"/>
                <w:color w:val="auto"/>
                <w:szCs w:val="21"/>
                <w:highlight w:val="none"/>
              </w:rPr>
              <w:t xml:space="preserve">项目组织架构</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②是否适应项目实施需要</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③</w:t>
            </w:r>
            <w:r>
              <w:rPr>
                <w:rFonts w:hint="eastAsia" w:ascii="宋体" w:hAnsi="宋体"/>
                <w:color w:val="auto"/>
                <w:szCs w:val="21"/>
                <w:highlight w:val="none"/>
              </w:rPr>
              <w:t xml:space="preserve">工期滞后弥补办法</w:t>
            </w:r>
            <w:r>
              <w:rPr>
                <w:rFonts w:hint="eastAsia" w:ascii="宋体" w:hAnsi="宋体"/>
                <w:color w:val="auto"/>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numPr>
                <w:ilvl w:val="0"/>
                <w:numId w:val="0"/>
              </w:numPr>
              <w:jc w:val="left"/>
              <w:spacing w:line="360" w:lineRule="exact"/>
              <w:widowControl/>
              <w:rPr>
                <w:rFonts w:ascii="宋体" w:hAnsi="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上述3个方面每一项内容得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分，每有一项内容不完整或有缺陷的该项内容不得分，本项最高得</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分。照抄磋商文件或未提供的不得分。</w:t>
            </w:r>
            <w:r/>
          </w:p>
          <w:p>
            <w:pPr>
              <w:jc w:val="left"/>
              <w:spacing w:line="36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left"/>
              <w:spacing w:line="360" w:lineRule="exact"/>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进度安排（</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包括①</w:t>
            </w:r>
            <w:r>
              <w:rPr>
                <w:rFonts w:hint="eastAsia" w:ascii="宋体" w:hAnsi="宋体"/>
                <w:color w:val="auto"/>
                <w:szCs w:val="21"/>
                <w:highlight w:val="none"/>
              </w:rPr>
              <w:t xml:space="preserve">项目进度安排</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工序管理措施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③</w:t>
            </w:r>
            <w:r>
              <w:rPr>
                <w:rFonts w:hint="eastAsia" w:ascii="宋体" w:hAnsi="宋体"/>
                <w:color w:val="auto"/>
                <w:szCs w:val="21"/>
                <w:highlight w:val="none"/>
              </w:rPr>
              <w:t xml:space="preserve">工期滞后弥补办法</w:t>
            </w:r>
            <w:r>
              <w:rPr>
                <w:rFonts w:hint="eastAsia" w:ascii="宋体" w:hAnsi="宋体"/>
                <w:color w:val="auto"/>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numPr>
                <w:ilvl w:val="0"/>
                <w:numId w:val="0"/>
              </w:numPr>
              <w:jc w:val="left"/>
              <w:spacing w:line="360" w:lineRule="exact"/>
              <w:widowControl/>
              <w:rPr>
                <w:rFonts w:hint="eastAsia" w:ascii="宋体" w:hAnsi="宋体"/>
                <w:color w:val="auto"/>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上述3个方面每一项内容得3分，每有一项内容不完整或有缺陷的该项内容不得分，本项最高得9分。照抄磋商文件或未提供的不得分。</w:t>
            </w:r>
            <w:r/>
          </w:p>
          <w:p>
            <w:pPr>
              <w:jc w:val="left"/>
              <w:spacing w:line="36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left"/>
              <w:spacing w:line="360" w:lineRule="exact"/>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技术路线（</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包括①针对本磋商文件规定的各项任务</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②有针对性制定技术路线等各项工作任务及其子项任务的响应度</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③各项工作任务及其子项任务技术路线；</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jc w:val="left"/>
              <w:spacing w:line="360" w:lineRule="exact"/>
              <w:widowControl/>
              <w:rPr>
                <w:rFonts w:ascii="宋体" w:hAnsi="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上述3个方面每一项内容得3分，每有一项内容不完整或有缺陷的该项内容不得分，本项最高得9分。照抄磋商文件或未提供的不得分。</w:t>
            </w:r>
            <w:r/>
          </w:p>
          <w:p>
            <w:pPr>
              <w:numPr>
                <w:ilvl w:val="0"/>
                <w:numId w:val="0"/>
              </w:num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27</w:t>
            </w:r>
            <w:r>
              <w:rPr>
                <w:rFonts w:hint="eastAsia" w:ascii="宋体" w:hAnsi="宋体"/>
                <w:color w:val="auto"/>
                <w:szCs w:val="21"/>
                <w:highlight w:val="none"/>
              </w:rPr>
              <w:t xml:space="preserve">分</w:t>
            </w:r>
            <w:r/>
          </w:p>
        </w:tc>
      </w:tr>
      <w:tr>
        <w:trPr>
          <w:jc w:val="center"/>
          <w:trHeight w:val="1962" w:hRule="exact"/>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质量保证措施</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（9分）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包括①质量管理组织机构</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服务质量保证措施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③</w:t>
            </w:r>
            <w:r>
              <w:rPr>
                <w:rFonts w:hint="eastAsia" w:ascii="宋体" w:hAnsi="宋体"/>
                <w:color w:val="auto"/>
                <w:szCs w:val="21"/>
                <w:highlight w:val="none"/>
              </w:rPr>
              <w:t xml:space="preserve">质量管理关键点分析及应对</w:t>
            </w:r>
            <w:r>
              <w:rPr>
                <w:rFonts w:hint="eastAsia" w:ascii="宋体" w:hAnsi="宋体"/>
                <w:color w:val="auto"/>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jc w:val="left"/>
              <w:spacing w:line="360" w:lineRule="exact"/>
              <w:widowControl/>
              <w:rPr>
                <w:rFonts w:hint="eastAsia" w:ascii="宋体" w:hAnsi="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上述3个方面每一项内容得3分，每有一项内容不完整或有缺陷的该项内容不得分，本项最高得9分。照抄磋商文件或未提供的不得分。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9分</w:t>
            </w:r>
            <w:r/>
          </w:p>
        </w:tc>
      </w:tr>
      <w:tr>
        <w:trPr>
          <w:jc w:val="center"/>
          <w:trHeight w:val="1626" w:hRule="exact"/>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方案后续服务</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包括①售后服务方案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售后服务承诺落实的保障措施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③</w:t>
            </w:r>
            <w:r>
              <w:rPr>
                <w:rFonts w:hint="eastAsia" w:ascii="宋体" w:hAnsi="宋体"/>
                <w:color w:val="auto"/>
                <w:szCs w:val="21"/>
                <w:highlight w:val="none"/>
              </w:rPr>
              <w:t xml:space="preserve">维护期内外的后续技术支持和维护能力</w:t>
            </w:r>
            <w:r>
              <w:rPr>
                <w:rFonts w:hint="eastAsia" w:ascii="宋体" w:hAnsi="宋体"/>
                <w:color w:val="auto"/>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jc w:val="left"/>
              <w:spacing w:line="360" w:lineRule="exact"/>
              <w:widowControl/>
              <w:rPr>
                <w:rFonts w:hint="eastAsia" w:ascii="宋体" w:hAnsi="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上述3个方面每一项内容得3分，每有一项内容不完整或有缺陷的该项内容不得分，本项最高得9分。照抄磋商文件或未提供的不得分。</w:t>
            </w:r>
            <w:r/>
          </w:p>
          <w:p>
            <w:pPr>
              <w:jc w:val="left"/>
              <w:spacing w:line="36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tc>
      </w:tr>
      <w:tr>
        <w:trPr>
          <w:jc w:val="center"/>
          <w:trHeight w:val="1573" w:hRule="exact"/>
        </w:trPr>
        <w:tc>
          <w:tcPr>
            <w:tcBorders>
              <w:top w:val="singl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ind w:firstLine="4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安全保密措施</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安全保密措施包括①</w:t>
            </w:r>
            <w:r>
              <w:rPr>
                <w:rFonts w:hint="eastAsia" w:ascii="宋体" w:hAnsi="宋体"/>
                <w:color w:val="auto"/>
                <w:szCs w:val="21"/>
                <w:highlight w:val="none"/>
              </w:rPr>
              <w:t xml:space="preserve">涉密管理制度</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保密方案</w:t>
            </w:r>
            <w:r>
              <w:rPr>
                <w:rFonts w:hint="eastAsia" w:ascii="宋体" w:hAnsi="宋体"/>
                <w:color w:val="auto"/>
                <w:szCs w:val="21"/>
                <w:highlight w:val="none"/>
                <w:lang w:eastAsia="zh-CN"/>
              </w:rPr>
              <w:t xml:space="preserve">；</w:t>
            </w:r>
            <w:r>
              <w:rPr>
                <w:rFonts w:hint="eastAsia" w:ascii="宋体" w:hAnsi="宋体" w:cs="宋体"/>
                <w:i w:val="0"/>
                <w:iCs w:val="0"/>
                <w:color w:val="auto"/>
                <w:sz w:val="21"/>
                <w:szCs w:val="21"/>
                <w:highlight w:val="none"/>
                <w:u w:val="none"/>
                <w:lang w:val="en-US" w:eastAsia="zh-CN" w:bidi="ar"/>
              </w:rPr>
              <w:t xml:space="preserve">③保密承诺；</w:t>
            </w:r>
            <w:r>
              <w:rPr>
                <w:rFonts w:hint="eastAsia" w:ascii="宋体" w:hAnsi="宋体" w:eastAsia="宋体" w:cs="宋体"/>
                <w:i w:val="0"/>
                <w:iCs w:val="0"/>
                <w:color w:val="auto"/>
                <w:sz w:val="21"/>
                <w:szCs w:val="21"/>
                <w:highlight w:val="none"/>
                <w:u w:val="none"/>
                <w:lang w:val="en-US" w:eastAsia="zh-CN" w:bidi="ar"/>
              </w:rPr>
              <w:t xml:space="preserve">以上每项内容逐条阐述。</w:t>
            </w:r>
            <w:r/>
          </w:p>
          <w:p>
            <w:pPr>
              <w:jc w:val="left"/>
              <w:spacing w:line="360" w:lineRule="exact"/>
              <w:widowControl/>
              <w:rPr>
                <w:rFonts w:hint="eastAsia" w:ascii="宋体" w:hAnsi="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上述</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个方面每一项内容得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分，每有一项内容不完整或有缺陷的该项内容不得分，本项最高得</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分。照抄磋商文件或未提供的不得分。</w:t>
            </w:r>
            <w:r/>
          </w:p>
          <w:p>
            <w:pPr>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tc>
      </w:tr>
      <w:tr>
        <w:trPr>
          <w:jc w:val="center"/>
          <w:trHeight w:val="1812" w:hRule="exact"/>
        </w:trPr>
        <w:tc>
          <w:tcPr>
            <w:tcBorders>
              <w:top w:val="single" w:color="000000" w:sz="4" w:space="0"/>
              <w:left w:val="single" w:color="000000" w:sz="4" w:space="0"/>
              <w:right w:val="single" w:color="000000" w:sz="4" w:space="0"/>
            </w:tcBorders>
            <w:tcW w:w="959" w:type="dxa"/>
            <w:vAlign w:val="center"/>
            <w:vMerge w:val="restart"/>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企业综合实力及荣誉</w:t>
            </w:r>
            <w:r/>
          </w:p>
          <w:p>
            <w:pPr>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lang w:val="en-US" w:eastAsia="zh-CN"/>
              </w:rPr>
              <w:t xml:space="preserve">36</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ind w:left="105" w:hanging="100"/>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企业实力</w:t>
            </w:r>
            <w:r/>
          </w:p>
          <w:p>
            <w:pPr>
              <w:ind w:left="105" w:hanging="110"/>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具有中国国家认证认可监督委员会认证机构颁发的</w:t>
            </w:r>
            <w:r>
              <w:rPr>
                <w:rFonts w:hint="eastAsia" w:ascii="宋体" w:hAnsi="宋体"/>
                <w:color w:val="auto"/>
                <w:szCs w:val="21"/>
                <w:highlight w:val="none"/>
                <w:lang w:val="en-US" w:eastAsia="zh-CN"/>
              </w:rPr>
              <w:t xml:space="preserve">有效期内</w:t>
            </w:r>
            <w:r>
              <w:rPr>
                <w:rFonts w:hint="eastAsia" w:ascii="宋体" w:hAnsi="宋体"/>
                <w:color w:val="auto"/>
                <w:szCs w:val="21"/>
                <w:highlight w:val="none"/>
              </w:rPr>
              <w:t xml:space="preserve">的质量管理体系认证、测量管理体系认证、信息安全管理体系认证、信息技术服务管理体系认证证书、知识产权管理体系认证证书，有1项得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注：需提供以上所有证书扫描件，否则不得分。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r>
      <w:tr>
        <w:trPr>
          <w:jc w:val="center"/>
          <w:trHeight w:val="1148" w:hRule="exact"/>
        </w:trPr>
        <w:tc>
          <w:tcPr>
            <w:tcBorders>
              <w:top w:val="single" w:color="000000" w:sz="4" w:space="0"/>
              <w:left w:val="single" w:color="000000" w:sz="4" w:space="0"/>
              <w:right w:val="single" w:color="000000" w:sz="4" w:space="0"/>
            </w:tcBorders>
            <w:tcW w:w="959" w:type="dxa"/>
            <w:vAlign w:val="center"/>
            <w:vMerge w:val="continue"/>
            <w:textDirection w:val="lrTb"/>
            <w:noWrap w:val="false"/>
          </w:tcPr>
          <w:p>
            <w:pPr>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105" w:hanging="1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numPr>
                <w:ilvl w:val="0"/>
                <w:numId w:val="7"/>
              </w:numPr>
              <w:jc w:val="left"/>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曾荣获测绘主管部门颁发的质量优秀单位称号的得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p>
          <w:p>
            <w:pPr>
              <w:pStyle w:val="810"/>
              <w:rPr>
                <w:color w:val="auto"/>
                <w:highlight w:val="none"/>
              </w:rPr>
            </w:pPr>
            <w:r>
              <w:rPr>
                <w:rFonts w:hint="eastAsia" w:ascii="宋体" w:hAnsi="宋体" w:eastAsia="宋体"/>
                <w:color w:val="auto"/>
                <w:sz w:val="21"/>
                <w:szCs w:val="21"/>
                <w:highlight w:val="none"/>
              </w:rPr>
              <w:t xml:space="preserve">注：需提供以上证明材料扫描件，否则不得分。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olor w:val="auto"/>
                <w:szCs w:val="21"/>
                <w:highlight w:val="none"/>
              </w:rPr>
              <w:t xml:space="preserve">分</w:t>
            </w:r>
            <w:r/>
          </w:p>
        </w:tc>
      </w:tr>
      <w:tr>
        <w:trPr>
          <w:jc w:val="center"/>
          <w:trHeight w:val="881" w:hRule="exact"/>
        </w:trPr>
        <w:tc>
          <w:tcPr>
            <w:tcBorders>
              <w:top w:val="single" w:color="000000" w:sz="4" w:space="0"/>
              <w:left w:val="single" w:color="000000" w:sz="4" w:space="0"/>
              <w:right w:val="single" w:color="000000" w:sz="4" w:space="0"/>
            </w:tcBorders>
            <w:tcW w:w="959" w:type="dxa"/>
            <w:vAlign w:val="center"/>
            <w:vMerge w:val="continue"/>
            <w:textDirection w:val="lrTb"/>
            <w:noWrap w:val="false"/>
          </w:tcPr>
          <w:p>
            <w:pPr>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105" w:hanging="100"/>
              <w:jc w:val="center"/>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numPr>
                <w:ilvl w:val="0"/>
                <w:numId w:val="7"/>
              </w:numPr>
              <w:jc w:val="left"/>
              <w:widowControl/>
              <w:rPr>
                <w:rFonts w:ascii="宋体" w:hAnsi="宋体"/>
                <w:color w:val="auto"/>
                <w:szCs w:val="21"/>
                <w:highlight w:val="none"/>
              </w:rPr>
            </w:pP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曾获得测绘主管部门颁发的测绘地理信息行业信用等级评价为 “AAA”的，得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分，没有不得分。</w:t>
            </w:r>
            <w:r/>
          </w:p>
          <w:p>
            <w:pPr>
              <w:pStyle w:val="810"/>
              <w:rPr>
                <w:color w:val="auto"/>
                <w:highlight w:val="none"/>
              </w:rPr>
            </w:pPr>
            <w:r>
              <w:rPr>
                <w:rFonts w:hint="eastAsia" w:ascii="宋体" w:hAnsi="宋体" w:eastAsia="宋体"/>
                <w:color w:val="auto"/>
                <w:sz w:val="21"/>
                <w:szCs w:val="21"/>
                <w:highlight w:val="none"/>
              </w:rPr>
              <w:t xml:space="preserve">注：需提供以上证明材料扫描件，否则不得分。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olor w:val="auto"/>
                <w:szCs w:val="21"/>
                <w:highlight w:val="none"/>
              </w:rPr>
              <w:t xml:space="preserve">分</w:t>
            </w:r>
            <w:r/>
          </w:p>
        </w:tc>
      </w:tr>
      <w:tr>
        <w:trPr>
          <w:jc w:val="center"/>
          <w:trHeight w:val="1624" w:hRule="exact"/>
        </w:trPr>
        <w:tc>
          <w:tcPr>
            <w:tcBorders>
              <w:left w:val="single" w:color="000000" w:sz="4" w:space="0"/>
              <w:right w:val="single" w:color="000000" w:sz="4" w:space="0"/>
            </w:tcBorders>
            <w:tcW w:w="959" w:type="dxa"/>
            <w:vAlign w:val="center"/>
            <w:vMerge w:val="continue"/>
            <w:textDirection w:val="lrTb"/>
            <w:noWrap w:val="false"/>
          </w:tcPr>
          <w:p>
            <w:pPr>
              <w:ind w:firstLine="400"/>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类似业绩</w:t>
            </w:r>
            <w:r/>
          </w:p>
          <w:p>
            <w:pPr>
              <w:jc w:val="center"/>
              <w:spacing w:line="360" w:lineRule="exact"/>
              <w:widowControl/>
              <w:rPr>
                <w:rFonts w:ascii="宋体" w:hAnsi="宋体"/>
                <w:color w:val="auto"/>
                <w:szCs w:val="21"/>
                <w:highlight w:val="none"/>
              </w:rPr>
            </w:pPr>
            <w:r>
              <w:rPr>
                <w:rFonts w:ascii="宋体" w:hAnsi="宋体"/>
                <w:color w:val="auto"/>
                <w:sz w:val="22"/>
                <w:highlight w:val="none"/>
              </w:rPr>
              <w:t xml:space="preserve">（</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近三年以来（以合同签订日期为准）</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承接过不动产</w:t>
            </w:r>
            <w:r>
              <w:rPr>
                <w:rFonts w:hint="eastAsia" w:ascii="宋体" w:hAnsi="宋体"/>
                <w:color w:val="auto"/>
                <w:szCs w:val="21"/>
                <w:highlight w:val="none"/>
                <w:lang w:eastAsia="zh-CN"/>
              </w:rPr>
              <w:t xml:space="preserve">地</w:t>
            </w:r>
            <w:r>
              <w:rPr>
                <w:rFonts w:hint="eastAsia" w:ascii="宋体" w:hAnsi="宋体"/>
                <w:color w:val="auto"/>
                <w:szCs w:val="21"/>
                <w:highlight w:val="none"/>
              </w:rPr>
              <w:t xml:space="preserve">籍调查</w:t>
            </w:r>
            <w:r>
              <w:rPr>
                <w:rFonts w:hint="eastAsia" w:ascii="宋体" w:hAnsi="宋体"/>
                <w:color w:val="auto"/>
                <w:szCs w:val="21"/>
                <w:highlight w:val="none"/>
                <w:lang w:val="en-US" w:eastAsia="zh-CN"/>
              </w:rPr>
              <w:t xml:space="preserve">或</w:t>
            </w:r>
            <w:r>
              <w:rPr>
                <w:rFonts w:hint="eastAsia" w:ascii="宋体" w:hAnsi="宋体"/>
                <w:color w:val="auto"/>
                <w:szCs w:val="21"/>
                <w:highlight w:val="none"/>
              </w:rPr>
              <w:t xml:space="preserve">不动产</w:t>
            </w:r>
            <w:r>
              <w:rPr>
                <w:rFonts w:hint="eastAsia" w:ascii="宋体" w:hAnsi="宋体"/>
                <w:color w:val="auto"/>
                <w:szCs w:val="21"/>
                <w:highlight w:val="none"/>
                <w:lang w:eastAsia="zh-CN"/>
              </w:rPr>
              <w:t xml:space="preserve">测绘</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eastAsia="zh-CN"/>
              </w:rPr>
              <w:t xml:space="preserve">不动产登记项目</w:t>
            </w:r>
            <w:r>
              <w:rPr>
                <w:rFonts w:hint="eastAsia" w:ascii="宋体" w:hAnsi="宋体"/>
                <w:color w:val="auto"/>
                <w:szCs w:val="21"/>
                <w:highlight w:val="none"/>
              </w:rPr>
              <w:t xml:space="preserve">的，每提供一个得2分，最高得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注：上述业绩</w:t>
            </w:r>
            <w:r>
              <w:rPr>
                <w:rFonts w:hint="eastAsia" w:ascii="宋体" w:hAnsi="宋体"/>
                <w:color w:val="auto"/>
                <w:szCs w:val="21"/>
                <w:highlight w:val="none"/>
                <w:lang w:val="en-US" w:eastAsia="zh-CN"/>
              </w:rPr>
              <w:t xml:space="preserve">均</w:t>
            </w:r>
            <w:r>
              <w:rPr>
                <w:rFonts w:hint="eastAsia" w:ascii="宋体" w:hAnsi="宋体"/>
                <w:color w:val="auto"/>
                <w:szCs w:val="21"/>
                <w:highlight w:val="none"/>
              </w:rPr>
              <w:t xml:space="preserve">须</w:t>
            </w:r>
            <w:r>
              <w:rPr>
                <w:rFonts w:hint="eastAsia" w:ascii="宋体" w:hAnsi="宋体"/>
                <w:color w:val="auto"/>
                <w:szCs w:val="21"/>
                <w:highlight w:val="none"/>
                <w:lang w:val="en-US" w:eastAsia="zh-CN"/>
              </w:rPr>
              <w:t xml:space="preserve">同时</w:t>
            </w:r>
            <w:r>
              <w:rPr>
                <w:rFonts w:hint="eastAsia" w:ascii="宋体" w:hAnsi="宋体"/>
                <w:color w:val="auto"/>
                <w:szCs w:val="21"/>
                <w:highlight w:val="none"/>
              </w:rPr>
              <w:t xml:space="preserve">提供项目的中标</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通知书</w:t>
            </w:r>
            <w:r>
              <w:rPr>
                <w:rFonts w:hint="eastAsia" w:ascii="宋体" w:hAnsi="宋体"/>
                <w:color w:val="auto"/>
                <w:szCs w:val="21"/>
                <w:highlight w:val="none"/>
                <w:lang w:val="en-US" w:eastAsia="zh-CN"/>
              </w:rPr>
              <w:t xml:space="preserve">和</w:t>
            </w:r>
            <w:r>
              <w:rPr>
                <w:rFonts w:hint="eastAsia" w:ascii="宋体" w:hAnsi="宋体"/>
                <w:color w:val="auto"/>
                <w:szCs w:val="21"/>
                <w:highlight w:val="none"/>
              </w:rPr>
              <w:t xml:space="preserve">合同扫描件，否则不得分。</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tc>
      </w:tr>
      <w:tr>
        <w:trPr>
          <w:jc w:val="center"/>
          <w:trHeight w:val="5410" w:hRule="exact"/>
        </w:trPr>
        <w:tc>
          <w:tcPr>
            <w:tcBorders>
              <w:left w:val="single" w:color="000000" w:sz="4" w:space="0"/>
              <w:bottom w:val="single" w:color="auto" w:sz="4" w:space="0"/>
              <w:right w:val="single" w:color="000000" w:sz="4" w:space="0"/>
            </w:tcBorders>
            <w:tcW w:w="959" w:type="dxa"/>
            <w:vAlign w:val="center"/>
            <w:vMerge w:val="continue"/>
            <w:textDirection w:val="lrTb"/>
            <w:noWrap w:val="false"/>
          </w:tcPr>
          <w:p>
            <w:pPr>
              <w:ind w:firstLine="400"/>
              <w:jc w:val="left"/>
              <w:spacing w:line="36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945"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拟投入项</w:t>
            </w:r>
            <w:r>
              <w:rPr>
                <w:rFonts w:ascii="宋体" w:hAnsi="宋体"/>
                <w:color w:val="auto"/>
                <w:szCs w:val="21"/>
                <w:highlight w:val="none"/>
              </w:rPr>
              <w:t xml:space="preserve"> </w:t>
            </w:r>
            <w:r>
              <w:rPr>
                <w:rFonts w:hint="eastAsia" w:ascii="宋体" w:hAnsi="宋体"/>
                <w:color w:val="auto"/>
                <w:szCs w:val="21"/>
                <w:highlight w:val="none"/>
              </w:rPr>
              <w:t xml:space="preserve">目技术力量</w:t>
            </w:r>
            <w:r/>
          </w:p>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（12分）</w:t>
            </w:r>
            <w:r/>
          </w:p>
        </w:tc>
        <w:tc>
          <w:tcPr>
            <w:tcBorders>
              <w:top w:val="single" w:color="000000" w:sz="4" w:space="0"/>
              <w:left w:val="single" w:color="000000" w:sz="4" w:space="0"/>
              <w:bottom w:val="single" w:color="auto" w:sz="4" w:space="0"/>
              <w:right w:val="single" w:color="000000" w:sz="4" w:space="0"/>
            </w:tcBorders>
            <w:tcW w:w="7012" w:type="dxa"/>
            <w:vAlign w:val="center"/>
            <w:textDirection w:val="lrTb"/>
            <w:noWrap w:val="false"/>
          </w:tcPr>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1、项目负责人：同时具有测绘正高级工程师职称证书，国家注册测绘师资格证书，</w:t>
            </w:r>
            <w:r>
              <w:rPr>
                <w:rFonts w:ascii="宋体" w:hAnsi="宋体"/>
                <w:color w:val="auto"/>
                <w:szCs w:val="21"/>
                <w:highlight w:val="none"/>
              </w:rPr>
              <w:t xml:space="preserve">涉密测绘成果管理人员岗位培训</w:t>
            </w:r>
            <w:r>
              <w:rPr>
                <w:rFonts w:hint="eastAsia" w:ascii="宋体" w:hAnsi="宋体"/>
                <w:color w:val="auto"/>
                <w:szCs w:val="21"/>
                <w:highlight w:val="none"/>
              </w:rPr>
              <w:t xml:space="preserve">合格</w:t>
            </w:r>
            <w:r>
              <w:rPr>
                <w:rFonts w:ascii="宋体" w:hAnsi="宋体"/>
                <w:color w:val="auto"/>
                <w:szCs w:val="21"/>
                <w:highlight w:val="none"/>
              </w:rPr>
              <w:t xml:space="preserve">证</w:t>
            </w:r>
            <w:r>
              <w:rPr>
                <w:rFonts w:hint="eastAsia" w:ascii="宋体" w:hAnsi="宋体"/>
                <w:color w:val="auto"/>
                <w:szCs w:val="21"/>
                <w:highlight w:val="none"/>
              </w:rPr>
              <w:t xml:space="preserve">书的得3分，本项最高得3分。缺项或没有不得分；</w:t>
            </w:r>
            <w:r/>
          </w:p>
          <w:p>
            <w:pPr>
              <w:jc w:val="left"/>
              <w:spacing w:line="360" w:lineRule="exact"/>
              <w:widowControl/>
              <w:rPr>
                <w:rFonts w:hint="eastAsia" w:ascii="宋体" w:hAnsi="宋体"/>
                <w:color w:val="auto"/>
                <w:szCs w:val="21"/>
                <w:highlight w:val="none"/>
              </w:rPr>
            </w:pPr>
            <w:r>
              <w:rPr>
                <w:rFonts w:hint="eastAsia" w:ascii="宋体" w:hAnsi="宋体"/>
                <w:color w:val="auto"/>
                <w:szCs w:val="21"/>
                <w:highlight w:val="none"/>
              </w:rPr>
              <w:t xml:space="preserve">2、数据建库负责人：同时具有测绘高级工程师职称证书、高级系统分析师和</w:t>
            </w:r>
            <w:r>
              <w:rPr>
                <w:rFonts w:ascii="宋体" w:hAnsi="宋体"/>
                <w:color w:val="auto"/>
                <w:szCs w:val="21"/>
                <w:highlight w:val="none"/>
              </w:rPr>
              <w:t xml:space="preserve">数据库系统工程师</w:t>
            </w:r>
            <w:r>
              <w:rPr>
                <w:rFonts w:hint="eastAsia" w:ascii="宋体" w:hAnsi="宋体"/>
                <w:color w:val="auto"/>
                <w:szCs w:val="21"/>
                <w:highlight w:val="none"/>
              </w:rPr>
              <w:t xml:space="preserve">证书的得3分，缺项或没有不得分；具有</w:t>
            </w:r>
            <w:r>
              <w:rPr>
                <w:rFonts w:ascii="宋体" w:hAnsi="宋体"/>
                <w:color w:val="auto"/>
                <w:szCs w:val="21"/>
                <w:highlight w:val="none"/>
              </w:rPr>
              <w:t xml:space="preserve">不动产测绘员</w:t>
            </w:r>
            <w:r>
              <w:rPr>
                <w:rFonts w:hint="eastAsia" w:ascii="宋体" w:hAnsi="宋体"/>
                <w:color w:val="auto"/>
                <w:szCs w:val="21"/>
                <w:highlight w:val="none"/>
              </w:rPr>
              <w:t xml:space="preserve">职业资格证书的再得1分，本项最高得4分。缺项或没有不得分；</w:t>
            </w:r>
            <w:r/>
          </w:p>
          <w:p>
            <w:pPr>
              <w:jc w:val="left"/>
              <w:spacing w:line="360" w:lineRule="exact"/>
              <w:widowControl/>
              <w:rPr>
                <w:rFonts w:hint="eastAsia" w:ascii="宋体" w:hAnsi="宋体"/>
                <w:color w:val="auto"/>
                <w:szCs w:val="21"/>
                <w:highlight w:val="none"/>
              </w:rPr>
            </w:pPr>
            <w:r>
              <w:rPr>
                <w:rFonts w:hint="eastAsia" w:ascii="宋体" w:hAnsi="宋体"/>
                <w:color w:val="auto"/>
                <w:szCs w:val="21"/>
                <w:highlight w:val="none"/>
              </w:rPr>
              <w:t xml:space="preserve">3、质量负责人：同时具有测绘高级工程师职称证书、国家注册测绘师资格证书、测绘地理信息质量检查培训合格证书的得3分，本项最高得3分。缺项或没有不得分；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4、拟投入的其他项目人员中同时具有工程师及以上职称和注册测绘师资格证书的，有4人得1分，最高得2分。没有不得分。</w:t>
            </w:r>
            <w:r/>
          </w:p>
          <w:p>
            <w:pPr>
              <w:jc w:val="left"/>
              <w:spacing w:line="360" w:lineRule="exact"/>
              <w:widowControl/>
              <w:rPr>
                <w:rFonts w:ascii="宋体" w:hAnsi="宋体"/>
                <w:color w:val="auto"/>
                <w:szCs w:val="21"/>
                <w:highlight w:val="none"/>
              </w:rPr>
            </w:pPr>
            <w:r>
              <w:rPr>
                <w:rFonts w:hint="eastAsia" w:ascii="宋体" w:hAnsi="宋体"/>
                <w:color w:val="auto"/>
                <w:szCs w:val="21"/>
                <w:highlight w:val="none"/>
              </w:rPr>
              <w:t xml:space="preserve">注：以上所有人员均不得重复计分；须提供以上所有人员证书扫描件及由社保部门出具的供应商为其缴纳的2026年</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月份至2026年</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月份中至少1个月的养老保险缴费记录证明材料扫描件，否则对应项不得分。</w:t>
            </w:r>
            <w:r/>
          </w:p>
        </w:tc>
        <w:tc>
          <w:tcPr>
            <w:tcBorders>
              <w:top w:val="single" w:color="000000" w:sz="4" w:space="0"/>
              <w:left w:val="single" w:color="000000" w:sz="4" w:space="0"/>
              <w:bottom w:val="single" w:color="auto" w:sz="4" w:space="0"/>
              <w:right w:val="single" w:color="000000" w:sz="4" w:space="0"/>
            </w:tcBorders>
            <w:tcW w:w="737" w:type="dxa"/>
            <w:vAlign w:val="center"/>
            <w:textDirection w:val="lrTb"/>
            <w:noWrap w:val="false"/>
          </w:tcPr>
          <w:p>
            <w:pPr>
              <w:jc w:val="center"/>
              <w:spacing w:line="360" w:lineRule="exact"/>
              <w:widowControl/>
              <w:rPr>
                <w:rFonts w:ascii="宋体" w:hAnsi="宋体"/>
                <w:color w:val="auto"/>
                <w:szCs w:val="21"/>
                <w:highlight w:val="none"/>
              </w:rPr>
            </w:pPr>
            <w:r>
              <w:rPr>
                <w:rFonts w:hint="eastAsia" w:ascii="宋体" w:hAnsi="宋体"/>
                <w:color w:val="auto"/>
                <w:szCs w:val="21"/>
                <w:highlight w:val="none"/>
              </w:rPr>
              <w:t xml:space="preserve">12分</w:t>
            </w:r>
            <w:r/>
          </w:p>
        </w:tc>
      </w:tr>
    </w:tbl>
    <w:p>
      <w:pPr>
        <w:pStyle w:val="836"/>
        <w:ind w:firstLine="0"/>
        <w:keepLines w:val="0"/>
        <w:keepNext w:val="0"/>
        <w:pageBreakBefore w:val="0"/>
        <w:spacing w:line="440" w:lineRule="exact"/>
        <w:widowControl w:val="off"/>
        <w:rPr>
          <w:rFonts w:cs="宋体"/>
          <w:b/>
          <w:color w:val="auto"/>
          <w:sz w:val="24"/>
          <w:szCs w:val="24"/>
          <w:highlight w:val="none"/>
        </w:rPr>
      </w:pPr>
      <w:r>
        <w:rPr>
          <w:b/>
          <w:bCs/>
          <w:color w:val="auto"/>
          <w:sz w:val="24"/>
          <w:szCs w:val="24"/>
          <w:highlight w:val="none"/>
        </w:rPr>
        <w:t xml:space="preserve">注：</w:t>
      </w:r>
      <w:r>
        <w:rPr>
          <w:rFonts w:hint="eastAsia"/>
          <w:b/>
          <w:bCs/>
          <w:color w:val="auto"/>
          <w:sz w:val="24"/>
          <w:szCs w:val="24"/>
          <w:highlight w:val="none"/>
        </w:rPr>
        <w:t xml:space="preserve">以上评审方法与评审标准中所体现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ind w:firstLine="281"/>
        <w:keepLines w:val="0"/>
        <w:keepNext w:val="0"/>
        <w:pageBreakBefore w:val="0"/>
        <w:spacing w:line="440" w:lineRule="exact"/>
        <w:widowControl w:val="off"/>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w:t>
      </w:r>
      <w:r>
        <w:rPr>
          <w:rFonts w:ascii="Times New Roman" w:hAnsi="Times New Roman"/>
          <w:b/>
          <w:color w:val="auto"/>
          <w:sz w:val="28"/>
          <w:szCs w:val="28"/>
          <w:highlight w:val="none"/>
        </w:rPr>
        <w:t xml:space="preserve">价格分：</w:t>
      </w:r>
      <w:r>
        <w:rPr>
          <w:rFonts w:hint="eastAsia" w:ascii="Times New Roman" w:hAnsi="Times New Roman"/>
          <w:b/>
          <w:color w:val="auto"/>
          <w:sz w:val="28"/>
          <w:szCs w:val="28"/>
          <w:highlight w:val="none"/>
        </w:rPr>
        <w:t xml:space="preserve">1</w:t>
      </w:r>
      <w:r>
        <w:rPr>
          <w:rFonts w:hint="eastAsia" w:ascii="Times New Roman" w:hAnsi="Times New Roman"/>
          <w:b/>
          <w:color w:val="auto"/>
          <w:sz w:val="28"/>
          <w:szCs w:val="28"/>
          <w:highlight w:val="none"/>
          <w:lang w:val="en-US" w:eastAsia="zh-CN"/>
        </w:rPr>
        <w:t xml:space="preserve">0</w:t>
      </w:r>
      <w:r>
        <w:rPr>
          <w:rFonts w:ascii="Times New Roman" w:hAnsi="Times New Roman"/>
          <w:b/>
          <w:color w:val="auto"/>
          <w:sz w:val="28"/>
          <w:szCs w:val="28"/>
          <w:highlight w:val="none"/>
        </w:rPr>
        <w:t xml:space="preserve">分</w:t>
      </w:r>
      <w:r/>
    </w:p>
    <w:p>
      <w:pPr>
        <w:ind w:firstLine="556"/>
        <w:keepLines w:val="0"/>
        <w:keepNext w:val="0"/>
        <w:pageBreakBefore w:val="0"/>
        <w:spacing w:line="44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6"/>
        <w:keepLines w:val="0"/>
        <w:keepNext w:val="0"/>
        <w:pageBreakBefore w:val="0"/>
        <w:spacing w:line="440" w:lineRule="exact"/>
        <w:widowControl w:val="off"/>
        <w:rPr>
          <w:rFonts w:hint="eastAsia" w:ascii="Times New Roman" w:hAnsi="Times New Roman" w:eastAsia="宋体" w:cs="Times New Roman"/>
          <w:b/>
          <w:color w:val="auto"/>
          <w:sz w:val="24"/>
          <w:szCs w:val="24"/>
          <w:highlight w:val="none"/>
          <w:lang w:eastAsia="zh-CN"/>
        </w:rPr>
      </w:pPr>
      <w:r>
        <w:rPr>
          <w:rFonts w:ascii="Times New Roman" w:hAnsi="Times New Roman" w:eastAsia="宋体" w:cs="Times New Roman"/>
          <w:b/>
          <w:color w:val="auto"/>
          <w:sz w:val="24"/>
          <w:szCs w:val="24"/>
          <w:highlight w:val="none"/>
        </w:rPr>
        <w:t xml:space="preserve">磋商报价得分=（磋商基准价/最后磋商报价）×</w:t>
      </w:r>
      <w:r>
        <w:rPr>
          <w:rFonts w:hint="eastAsia" w:ascii="Times New Roman" w:hAnsi="Times New Roman" w:eastAsia="宋体" w:cs="Times New Roman"/>
          <w:b/>
          <w:color w:val="auto"/>
          <w:sz w:val="24"/>
          <w:szCs w:val="24"/>
          <w:highlight w:val="none"/>
        </w:rPr>
        <w:t xml:space="preserve">1</w:t>
      </w:r>
      <w:r>
        <w:rPr>
          <w:rFonts w:hint="eastAsia" w:ascii="Times New Roman" w:hAnsi="Times New Roman" w:eastAsia="宋体" w:cs="Times New Roman"/>
          <w:b/>
          <w:color w:val="auto"/>
          <w:sz w:val="24"/>
          <w:szCs w:val="24"/>
          <w:highlight w:val="none"/>
          <w:lang w:val="en-US" w:eastAsia="zh-CN"/>
        </w:rPr>
        <w:t xml:space="preserve">0</w:t>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bookmarkEnd w:id="175"/>
      <w:bookmarkEnd w:id="176"/>
      <w:bookmarkEnd w:id="184"/>
      <w:r/>
    </w:p>
    <w:p>
      <w:pPr>
        <w:rPr>
          <w:rFonts w:ascii="Times New Roman" w:hAnsi="Times New Roman"/>
          <w:color w:val="auto"/>
          <w:highlight w:val="none"/>
        </w:rPr>
      </w:pPr>
      <w:r/>
      <w:bookmarkStart w:id="185" w:name="_Hlt26955039"/>
      <w:r/>
      <w:bookmarkEnd w:id="185"/>
      <w:r/>
      <w:bookmarkStart w:id="186" w:name="_Hlt26671244"/>
      <w:r/>
      <w:bookmarkEnd w:id="186"/>
      <w:r/>
      <w:bookmarkStart w:id="187" w:name="_Toc26554094"/>
      <w:r/>
      <w:bookmarkStart w:id="188" w:name="_Toc49090576"/>
      <w:r/>
      <w:bookmarkStart w:id="189" w:name="_Toc120614282"/>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hint="eastAsia" w:ascii="Times New Roman" w:hAnsi="Times New Roman"/>
          <w:b/>
          <w:bCs/>
          <w:color w:val="auto"/>
          <w:sz w:val="36"/>
          <w:szCs w:val="36"/>
          <w:highlight w:val="none"/>
          <w:lang w:val="en-US" w:eastAsia="zh-CN"/>
        </w:rPr>
        <w:outlineLvl w:val="0"/>
      </w:pPr>
      <w:r>
        <w:rPr>
          <w:rFonts w:hint="eastAsia" w:ascii="Times New Roman" w:hAnsi="Times New Roman"/>
          <w:b/>
          <w:bCs/>
          <w:color w:val="auto"/>
          <w:sz w:val="36"/>
          <w:szCs w:val="36"/>
          <w:highlight w:val="none"/>
          <w:lang w:val="en-US" w:eastAsia="zh-CN"/>
        </w:rPr>
      </w:r>
      <w:r/>
    </w:p>
    <w:p>
      <w:pPr>
        <w:jc w:val="center"/>
        <w:keepNext/>
        <w:spacing w:line="400" w:lineRule="exact"/>
        <w:rPr>
          <w:rFonts w:ascii="Times New Roman" w:hAnsi="Times New Roman"/>
          <w:b/>
          <w:bCs/>
          <w:color w:val="auto"/>
          <w:sz w:val="36"/>
          <w:szCs w:val="36"/>
          <w:highlight w:val="none"/>
        </w:rPr>
        <w:outlineLvl w:val="0"/>
      </w:pPr>
      <w:r>
        <w:rPr>
          <w:rFonts w:hint="eastAsia" w:ascii="Times New Roman" w:hAnsi="Times New Roman"/>
          <w:b/>
          <w:bCs/>
          <w:color w:val="auto"/>
          <w:sz w:val="36"/>
          <w:szCs w:val="36"/>
          <w:highlight w:val="none"/>
          <w:lang w:val="en-US" w:eastAsia="zh-CN"/>
        </w:rPr>
        <w:t xml:space="preserve"> </w:t>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jc w:val="center"/>
        <w:keepNext/>
        <w:spacing w:line="400" w:lineRule="exact"/>
        <w:rPr>
          <w:rFonts w:ascii="Times New Roman" w:hAnsi="Times New Roman"/>
          <w:b/>
          <w:bCs/>
          <w:color w:val="auto"/>
          <w:sz w:val="36"/>
          <w:szCs w:val="36"/>
          <w:highlight w:val="none"/>
        </w:rPr>
        <w:outlineLvl w:val="0"/>
      </w:pPr>
      <w:r/>
      <w:bookmarkStart w:id="194" w:name="_GoBack"/>
      <w:r/>
      <w:bookmarkEnd w:id="194"/>
      <w:r>
        <w:rPr>
          <w:rFonts w:ascii="Times New Roman" w:hAnsi="Times New Roman"/>
          <w:b/>
          <w:bCs/>
          <w:color w:val="auto"/>
          <w:sz w:val="36"/>
          <w:szCs w:val="36"/>
          <w:highlight w:val="none"/>
        </w:rPr>
        <w:t xml:space="preserve">第六章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响应文件格式</w:t>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jc w:val="both"/>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36"/>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36"/>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8"/>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hint="default" w:ascii="Times New Roman" w:hAnsi="Times New Roman" w:eastAsia="宋体"/>
          <w:b/>
          <w:color w:val="auto"/>
          <w:sz w:val="24"/>
          <w:szCs w:val="21"/>
          <w:highlight w:val="none"/>
          <w:lang w:val="en-US" w:eastAsia="zh-CN"/>
        </w:rPr>
      </w:pPr>
      <w:r>
        <w:rPr>
          <w:rFonts w:hint="eastAsia" w:ascii="Times New Roman" w:hAnsi="Times New Roman"/>
          <w:b/>
          <w:color w:val="auto"/>
          <w:sz w:val="24"/>
          <w:szCs w:val="21"/>
          <w:highlight w:val="none"/>
          <w:lang w:val="en-US" w:eastAsia="zh-CN"/>
        </w:rPr>
        <w:t xml:space="preserve">2.分项报价表（</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rPr>
        <w:t xml:space="preserve">1</w:t>
      </w:r>
      <w:r>
        <w:rPr>
          <w:rFonts w:hint="eastAsia" w:ascii="Times New Roman" w:hAnsi="Times New Roman"/>
          <w:b/>
          <w:color w:val="auto"/>
          <w:sz w:val="24"/>
          <w:szCs w:val="21"/>
          <w:highlight w:val="none"/>
          <w:lang w:val="en-US" w:eastAsia="zh-CN"/>
        </w:rPr>
        <w:t xml:space="preserve">）</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keepLines w:val="0"/>
        <w:keepNext w:val="0"/>
        <w:pageBreakBefore w:val="0"/>
        <w:spacing w:line="440" w:lineRule="exact"/>
        <w:widowControl w:val="off"/>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lang w:val="en-US" w:eastAsia="zh-CN"/>
        </w:rPr>
        <w:t xml:space="preserve">供应商</w:t>
      </w:r>
      <w:r>
        <w:rPr>
          <w:rFonts w:ascii="Times New Roman" w:hAnsi="Times New Roman"/>
          <w:color w:val="auto"/>
          <w:sz w:val="24"/>
          <w:szCs w:val="21"/>
          <w:highlight w:val="none"/>
        </w:rPr>
        <w:t xml:space="preserve">符合《政府采购法》第二十二条规定条件的声明函（</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w:t>
      </w:r>
      <w:r>
        <w:rPr>
          <w:rFonts w:hint="eastAsia" w:ascii="Times New Roman" w:hAnsi="Times New Roman"/>
          <w:color w:val="auto"/>
          <w:sz w:val="24"/>
          <w:szCs w:val="21"/>
          <w:highlight w:val="none"/>
          <w:lang w:val="en-US" w:eastAsia="zh-CN"/>
        </w:rPr>
        <w:t xml:space="preserve">3</w:t>
      </w:r>
      <w:r>
        <w:rPr>
          <w:rFonts w:ascii="Times New Roman" w:hAnsi="Times New Roman"/>
          <w:color w:val="auto"/>
          <w:sz w:val="24"/>
          <w:szCs w:val="21"/>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w:t>
      </w:r>
      <w:r>
        <w:rPr>
          <w:rFonts w:hint="eastAsia" w:ascii="Times New Roman" w:hAnsi="Times New Roman"/>
          <w:color w:val="auto"/>
          <w:sz w:val="24"/>
          <w:szCs w:val="21"/>
          <w:highlight w:val="none"/>
          <w:lang w:val="en-US" w:eastAsia="zh-CN"/>
        </w:rPr>
        <w:t xml:space="preserve">4</w:t>
      </w:r>
      <w:r>
        <w:rPr>
          <w:rFonts w:ascii="Times New Roman" w:hAnsi="Times New Roman"/>
          <w:color w:val="auto"/>
          <w:sz w:val="24"/>
          <w:szCs w:val="21"/>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.磋商响应函（格式见附件</w:t>
      </w:r>
      <w:r>
        <w:rPr>
          <w:rFonts w:hint="eastAsia" w:ascii="Times New Roman" w:hAnsi="Times New Roman"/>
          <w:color w:val="auto"/>
          <w:sz w:val="24"/>
          <w:szCs w:val="21"/>
          <w:highlight w:val="none"/>
          <w:lang w:val="en-US" w:eastAsia="zh-CN"/>
        </w:rPr>
        <w:t xml:space="preserve">5</w:t>
      </w:r>
      <w:r>
        <w:rPr>
          <w:rFonts w:ascii="Times New Roman" w:hAnsi="Times New Roman"/>
          <w:color w:val="auto"/>
          <w:sz w:val="24"/>
          <w:szCs w:val="21"/>
          <w:highlight w:val="none"/>
        </w:rPr>
        <w:t xml:space="preserve">）</w:t>
      </w:r>
      <w:r/>
    </w:p>
    <w:p>
      <w:pPr>
        <w:ind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b/>
          <w:bCs/>
          <w:color w:val="auto"/>
          <w:sz w:val="24"/>
          <w:szCs w:val="21"/>
          <w:highlight w:val="none"/>
        </w:rPr>
        <w:t xml:space="preserve">5.提供本项目特定资格要求的所有证明文件</w:t>
      </w:r>
      <w:r>
        <w:rPr>
          <w:rFonts w:hint="eastAsia" w:ascii="宋体" w:hAnsi="宋体" w:cs="Arial"/>
          <w:b/>
          <w:bCs/>
          <w:color w:val="auto"/>
          <w:sz w:val="24"/>
          <w:highlight w:val="none"/>
        </w:rPr>
        <w:t xml:space="preserve">；</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6.中小企业声明函（如果本项目专门面向中小微型企业采购，则必须提供。格式见附件8）</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8.监狱和戒毒企业证明材料（如果本项目专门面向中小微型企业采购，供应商为监狱和戒毒企业的，则必须提供。格式见附件10）</w:t>
      </w:r>
      <w:r/>
    </w:p>
    <w:p>
      <w:pPr>
        <w:ind w:firstLine="480"/>
        <w:keepLines w:val="0"/>
        <w:keepNext w:val="0"/>
        <w:pageBreakBefore w:val="0"/>
        <w:spacing w:line="440" w:lineRule="exact"/>
        <w:widowControl w:val="off"/>
        <w:rPr>
          <w:rFonts w:ascii="宋体" w:hAnsi="宋体"/>
          <w:color w:val="auto"/>
          <w:sz w:val="24"/>
          <w:szCs w:val="21"/>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.其它需要提交的资格审查证明材料。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1.商务要求响应及偏离表（格式见附件</w:t>
      </w:r>
      <w:r>
        <w:rPr>
          <w:rFonts w:hint="eastAsia" w:ascii="Times New Roman" w:hAnsi="Times New Roman"/>
          <w:color w:val="auto"/>
          <w:sz w:val="24"/>
          <w:szCs w:val="21"/>
          <w:highlight w:val="none"/>
          <w:lang w:val="en-US" w:eastAsia="zh-CN"/>
        </w:rPr>
        <w:t xml:space="preserve">6</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2.技术要求响应及偏离表（格式见附件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b/>
          <w:bCs/>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lang w:val="zh-CN"/>
        </w:rPr>
        <w:t xml:space="preserve">）</w:t>
      </w:r>
      <w:r/>
    </w:p>
    <w:p>
      <w:pPr>
        <w:ind w:firstLine="480"/>
        <w:spacing w:line="400" w:lineRule="exact"/>
        <w:rPr>
          <w:rFonts w:ascii="Times New Roman" w:hAnsi="Times New Roman"/>
          <w:i/>
          <w:color w:val="auto"/>
          <w:sz w:val="24"/>
          <w:szCs w:val="21"/>
          <w:highlight w:val="none"/>
          <w:u w:val="single"/>
        </w:rPr>
      </w:pPr>
      <w:r>
        <w:rPr>
          <w:rFonts w:ascii="Times New Roman" w:hAnsi="Times New Roman"/>
          <w:i/>
          <w:color w:val="auto"/>
          <w:sz w:val="24"/>
          <w:szCs w:val="21"/>
          <w:highlight w:val="none"/>
          <w:u w:val="singl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spacing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400" w:lineRule="exact"/>
        <w:rPr>
          <w:rFonts w:ascii="Times New Roman" w:hAnsi="Times New Roman"/>
          <w:color w:val="auto"/>
          <w:sz w:val="24"/>
          <w:szCs w:val="21"/>
          <w:highlight w:val="none"/>
        </w:rPr>
      </w:pPr>
      <w:r>
        <w:rPr>
          <w:rFonts w:hint="eastAsia" w:ascii="宋体" w:hAnsi="宋体" w:eastAsia="宋体"/>
          <w:b/>
          <w:color w:val="auto"/>
          <w:sz w:val="24"/>
          <w:szCs w:val="24"/>
          <w:highlight w:val="none"/>
        </w:rPr>
        <w:t xml:space="preserve">附件1</w:t>
      </w:r>
      <w:r/>
    </w:p>
    <w:p>
      <w:pPr>
        <w:jc w:val="center"/>
        <w:spacing w:line="360" w:lineRule="auto"/>
        <w:rPr>
          <w:rFonts w:ascii="宋体" w:hAnsi="宋体"/>
          <w:b/>
          <w:bCs/>
          <w:color w:val="auto"/>
          <w:sz w:val="24"/>
          <w:szCs w:val="24"/>
          <w:highlight w:val="none"/>
        </w:rPr>
      </w:pPr>
      <w:r>
        <w:rPr>
          <w:rFonts w:hint="eastAsia" w:ascii="宋体" w:hAnsi="宋体"/>
          <w:b/>
          <w:color w:val="auto"/>
          <w:sz w:val="32"/>
          <w:szCs w:val="32"/>
          <w:highlight w:val="none"/>
        </w:rPr>
        <w:t xml:space="preserve">分项报价表 </w:t>
      </w:r>
      <w:r>
        <w:rPr>
          <w:rFonts w:hint="eastAsia" w:ascii="宋体" w:hAnsi="宋体"/>
          <w:b/>
          <w:bCs/>
          <w:color w:val="auto"/>
          <w:sz w:val="24"/>
          <w:szCs w:val="24"/>
          <w:highlight w:val="none"/>
        </w:rPr>
        <w:t xml:space="preserve">  </w:t>
      </w:r>
      <w:r/>
    </w:p>
    <w:p>
      <w:pPr>
        <w:jc w:val="left"/>
        <w:rPr>
          <w:rFonts w:hint="eastAsia" w:ascii="宋体" w:hAnsi="宋体"/>
          <w:b/>
          <w:bCs/>
          <w:color w:val="auto"/>
          <w:sz w:val="24"/>
          <w:szCs w:val="24"/>
          <w:highlight w:val="none"/>
        </w:rPr>
      </w:pPr>
      <w:r>
        <w:rPr>
          <w:rFonts w:hint="eastAsia" w:ascii="宋体" w:hAnsi="宋体"/>
          <w:b w:val="0"/>
          <w:bCs w:val="0"/>
          <w:color w:val="auto"/>
          <w:sz w:val="24"/>
          <w:szCs w:val="24"/>
          <w:highlight w:val="none"/>
        </w:rPr>
        <w:t xml:space="preserve">项目名称：</w:t>
      </w:r>
      <w:r>
        <w:rPr>
          <w:rFonts w:hint="eastAsia" w:ascii="Times New Roman" w:hAnsi="Times New Roman"/>
          <w:b w:val="0"/>
          <w:bCs w:val="0"/>
          <w:color w:val="auto"/>
          <w:sz w:val="24"/>
          <w:szCs w:val="24"/>
          <w:highlight w:val="none"/>
        </w:rPr>
        <w:t xml:space="preserve">如东县农村不动产确权登记成果和农村建设用地调查成果更新调查及补充测绘调查项目</w:t>
      </w:r>
      <w:r>
        <w:rPr>
          <w:rFonts w:hint="eastAsia" w:ascii="宋体" w:hAnsi="宋体"/>
          <w:b w:val="0"/>
          <w:bCs w:val="0"/>
          <w:color w:val="auto"/>
          <w:sz w:val="24"/>
          <w:szCs w:val="24"/>
          <w:highlight w:val="none"/>
        </w:rPr>
        <w:t xml:space="preserve">   </w:t>
      </w:r>
      <w:r>
        <w:rPr>
          <w:rFonts w:hint="eastAsia" w:ascii="宋体" w:hAnsi="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   </w:t>
      </w:r>
      <w:r/>
    </w:p>
    <w:p>
      <w:pPr>
        <w:ind w:firstLine="7228"/>
        <w:jc w:val="left"/>
        <w:rPr>
          <w:rFonts w:ascii="宋体" w:hAnsi="宋体"/>
          <w:b/>
          <w:bCs/>
          <w:color w:val="auto"/>
          <w:sz w:val="24"/>
          <w:szCs w:val="24"/>
          <w:highlight w:val="none"/>
        </w:rPr>
      </w:pPr>
      <w:r>
        <w:rPr>
          <w:rFonts w:hint="eastAsia" w:ascii="宋体" w:hAnsi="宋体"/>
          <w:b/>
          <w:bCs/>
          <w:color w:val="auto"/>
          <w:sz w:val="24"/>
          <w:szCs w:val="24"/>
          <w:highlight w:val="none"/>
        </w:rPr>
        <w:t xml:space="preserve">   单位：  元/宗</w:t>
      </w:r>
      <w:r/>
    </w:p>
    <w:tbl>
      <w:tblPr>
        <w:tblStyle w:val="8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4952"/>
        <w:gridCol w:w="871"/>
        <w:gridCol w:w="1490"/>
        <w:gridCol w:w="1444"/>
      </w:tblGrid>
      <w:tr>
        <w:trPr>
          <w:jc w:val="center"/>
          <w:trHeight w:val="399"/>
        </w:trPr>
        <w:tc>
          <w:tcPr>
            <w:tcW w:w="794" w:type="dxa"/>
            <w:vAlign w:val="center"/>
            <w:textDirection w:val="lrTb"/>
            <w:noWrap w:val="false"/>
          </w:tcPr>
          <w:p>
            <w:pPr>
              <w:jc w:val="center"/>
              <w:spacing w:line="360" w:lineRule="exact"/>
              <w:widowControl/>
              <w:rPr>
                <w:b/>
                <w:color w:val="auto"/>
                <w:sz w:val="24"/>
                <w:highlight w:val="none"/>
              </w:rPr>
            </w:pPr>
            <w:r>
              <w:rPr>
                <w:b/>
                <w:color w:val="auto"/>
                <w:sz w:val="24"/>
                <w:highlight w:val="none"/>
              </w:rPr>
              <w:t xml:space="preserve">序号</w:t>
            </w:r>
            <w:r/>
          </w:p>
        </w:tc>
        <w:tc>
          <w:tcPr>
            <w:tcW w:w="4952" w:type="dxa"/>
            <w:vAlign w:val="center"/>
            <w:textDirection w:val="lrTb"/>
            <w:noWrap w:val="false"/>
          </w:tcPr>
          <w:p>
            <w:pPr>
              <w:jc w:val="center"/>
              <w:spacing w:line="360" w:lineRule="exact"/>
              <w:widowControl/>
              <w:rPr>
                <w:b/>
                <w:color w:val="auto"/>
                <w:sz w:val="24"/>
                <w:highlight w:val="none"/>
              </w:rPr>
            </w:pPr>
            <w:r>
              <w:rPr>
                <w:rFonts w:hint="eastAsia"/>
                <w:b/>
                <w:color w:val="auto"/>
                <w:sz w:val="24"/>
                <w:highlight w:val="none"/>
              </w:rPr>
              <w:t xml:space="preserve">项目</w:t>
            </w:r>
            <w:r>
              <w:rPr>
                <w:b/>
                <w:color w:val="auto"/>
                <w:sz w:val="24"/>
                <w:highlight w:val="none"/>
              </w:rPr>
              <w:t xml:space="preserve">名称</w:t>
            </w:r>
            <w:r/>
          </w:p>
        </w:tc>
        <w:tc>
          <w:tcPr>
            <w:tcW w:w="871" w:type="dxa"/>
            <w:vAlign w:val="center"/>
            <w:textDirection w:val="lrTb"/>
            <w:noWrap w:val="false"/>
          </w:tcPr>
          <w:p>
            <w:pPr>
              <w:jc w:val="center"/>
              <w:spacing w:line="360" w:lineRule="exact"/>
              <w:widowControl/>
              <w:rPr>
                <w:b/>
                <w:color w:val="auto"/>
                <w:sz w:val="24"/>
                <w:highlight w:val="none"/>
              </w:rPr>
            </w:pPr>
            <w:r>
              <w:rPr>
                <w:rFonts w:hint="eastAsia"/>
                <w:b/>
                <w:color w:val="auto"/>
                <w:sz w:val="24"/>
                <w:highlight w:val="none"/>
              </w:rPr>
              <w:t xml:space="preserve">单位 </w:t>
            </w:r>
            <w:r/>
          </w:p>
        </w:tc>
        <w:tc>
          <w:tcPr>
            <w:tcW w:w="1490" w:type="dxa"/>
            <w:vAlign w:val="center"/>
            <w:textDirection w:val="lrTb"/>
            <w:noWrap w:val="false"/>
          </w:tcPr>
          <w:p>
            <w:pPr>
              <w:jc w:val="center"/>
              <w:spacing w:line="360" w:lineRule="exact"/>
              <w:widowControl/>
              <w:rPr>
                <w:rFonts w:hint="eastAsia"/>
                <w:b/>
                <w:color w:val="auto"/>
                <w:sz w:val="24"/>
                <w:highlight w:val="none"/>
              </w:rPr>
            </w:pPr>
            <w:r>
              <w:rPr>
                <w:b/>
                <w:color w:val="auto"/>
                <w:sz w:val="24"/>
                <w:highlight w:val="none"/>
              </w:rPr>
              <w:t xml:space="preserve">单价</w:t>
            </w:r>
            <w:r>
              <w:rPr>
                <w:rFonts w:hint="eastAsia"/>
                <w:b/>
                <w:color w:val="auto"/>
                <w:sz w:val="24"/>
                <w:highlight w:val="none"/>
              </w:rPr>
              <w:t xml:space="preserve">小写</w:t>
            </w:r>
            <w:r/>
          </w:p>
          <w:p>
            <w:pPr>
              <w:jc w:val="center"/>
              <w:spacing w:line="360" w:lineRule="exact"/>
              <w:widowControl/>
              <w:rPr>
                <w:b/>
                <w:color w:val="auto"/>
                <w:sz w:val="24"/>
                <w:highlight w:val="none"/>
              </w:rPr>
            </w:pPr>
            <w:r>
              <w:rPr>
                <w:b/>
                <w:color w:val="auto"/>
                <w:sz w:val="24"/>
                <w:highlight w:val="none"/>
              </w:rPr>
              <w:t xml:space="preserve">（元</w:t>
            </w:r>
            <w:r>
              <w:rPr>
                <w:rFonts w:hint="eastAsia"/>
                <w:b/>
                <w:color w:val="auto"/>
                <w:sz w:val="24"/>
                <w:highlight w:val="none"/>
              </w:rPr>
              <w:t xml:space="preserve">/宗</w:t>
            </w:r>
            <w:r>
              <w:rPr>
                <w:b/>
                <w:color w:val="auto"/>
                <w:sz w:val="24"/>
                <w:highlight w:val="none"/>
              </w:rPr>
              <w:t xml:space="preserve">）</w:t>
            </w:r>
            <w:r/>
          </w:p>
        </w:tc>
        <w:tc>
          <w:tcPr>
            <w:tcW w:w="1444" w:type="dxa"/>
            <w:vAlign w:val="center"/>
            <w:textDirection w:val="lrTb"/>
            <w:noWrap w:val="false"/>
          </w:tcPr>
          <w:p>
            <w:pPr>
              <w:jc w:val="center"/>
              <w:spacing w:line="360" w:lineRule="exact"/>
              <w:widowControl/>
              <w:rPr>
                <w:rFonts w:hint="eastAsia"/>
                <w:b/>
                <w:color w:val="auto"/>
                <w:sz w:val="24"/>
                <w:highlight w:val="none"/>
              </w:rPr>
            </w:pPr>
            <w:r>
              <w:rPr>
                <w:rFonts w:hint="eastAsia"/>
                <w:b/>
                <w:color w:val="auto"/>
                <w:sz w:val="24"/>
                <w:highlight w:val="none"/>
              </w:rPr>
              <w:t xml:space="preserve">单价大写</w:t>
            </w:r>
            <w:r/>
          </w:p>
          <w:p>
            <w:pPr>
              <w:jc w:val="center"/>
              <w:spacing w:line="360" w:lineRule="exact"/>
              <w:widowControl/>
              <w:rPr>
                <w:rFonts w:hint="eastAsia"/>
                <w:b/>
                <w:color w:val="auto"/>
                <w:sz w:val="24"/>
                <w:highlight w:val="none"/>
              </w:rPr>
            </w:pPr>
            <w:r>
              <w:rPr>
                <w:b/>
                <w:color w:val="auto"/>
                <w:sz w:val="24"/>
                <w:highlight w:val="none"/>
              </w:rPr>
              <w:t xml:space="preserve">（元</w:t>
            </w:r>
            <w:r>
              <w:rPr>
                <w:rFonts w:hint="eastAsia"/>
                <w:b/>
                <w:color w:val="auto"/>
                <w:sz w:val="24"/>
                <w:highlight w:val="none"/>
              </w:rPr>
              <w:t xml:space="preserve">/宗</w:t>
            </w:r>
            <w:r>
              <w:rPr>
                <w:b/>
                <w:color w:val="auto"/>
                <w:sz w:val="24"/>
                <w:highlight w:val="none"/>
              </w:rPr>
              <w:t xml:space="preserve">）</w:t>
            </w:r>
            <w:r/>
          </w:p>
        </w:tc>
      </w:tr>
      <w:tr>
        <w:trPr>
          <w:jc w:val="center"/>
          <w:trHeight w:val="876"/>
        </w:trPr>
        <w:tc>
          <w:tcPr>
            <w:tcW w:w="794" w:type="dxa"/>
            <w:vAlign w:val="center"/>
            <w:textDirection w:val="lrTb"/>
            <w:noWrap w:val="false"/>
          </w:tcPr>
          <w:p>
            <w:pPr>
              <w:jc w:val="center"/>
              <w:widowControl/>
              <w:rPr>
                <w:rFonts w:ascii="宋体" w:hAnsi="宋体"/>
                <w:b w:val="0"/>
                <w:bCs/>
                <w:color w:val="auto"/>
                <w:sz w:val="24"/>
                <w:highlight w:val="none"/>
              </w:rPr>
            </w:pPr>
            <w:r>
              <w:rPr>
                <w:rFonts w:hint="eastAsia" w:ascii="宋体" w:hAnsi="宋体"/>
                <w:b w:val="0"/>
                <w:bCs/>
                <w:color w:val="auto"/>
                <w:sz w:val="24"/>
                <w:highlight w:val="none"/>
              </w:rPr>
              <w:t xml:space="preserve">1</w:t>
            </w:r>
            <w:r/>
          </w:p>
        </w:tc>
        <w:tc>
          <w:tcPr>
            <w:tcW w:w="4952" w:type="dxa"/>
            <w:vAlign w:val="center"/>
            <w:textDirection w:val="lrTb"/>
            <w:noWrap w:val="false"/>
          </w:tcPr>
          <w:p>
            <w:pPr>
              <w:jc w:val="center"/>
              <w:rPr>
                <w:rFonts w:ascii="宋体" w:hAnsi="宋体"/>
                <w:b w:val="0"/>
                <w:bCs/>
                <w:color w:val="auto"/>
                <w:sz w:val="24"/>
                <w:highlight w:val="none"/>
              </w:rPr>
            </w:pPr>
            <w:r>
              <w:rPr>
                <w:rFonts w:hint="eastAsia" w:ascii="Times New Roman" w:hAnsi="Times New Roman"/>
                <w:b w:val="0"/>
                <w:bCs/>
                <w:color w:val="auto"/>
                <w:sz w:val="24"/>
                <w:szCs w:val="24"/>
                <w:highlight w:val="none"/>
              </w:rPr>
              <w:t xml:space="preserve">如东县农村不动产确权登记成果和农村建设用地调查成果</w:t>
            </w:r>
            <w:r>
              <w:rPr>
                <w:rFonts w:hint="eastAsia" w:ascii="Times New Roman" w:hAnsi="Times New Roman"/>
                <w:b w:val="0"/>
                <w:bCs/>
                <w:color w:val="auto"/>
                <w:sz w:val="24"/>
                <w:szCs w:val="24"/>
                <w:highlight w:val="none"/>
                <w:lang w:val="en-US" w:eastAsia="zh-CN"/>
              </w:rPr>
              <w:t xml:space="preserve"> </w:t>
            </w:r>
            <w:r>
              <w:rPr>
                <w:rFonts w:hint="eastAsia" w:ascii="Times New Roman" w:hAnsi="Times New Roman"/>
                <w:b w:val="0"/>
                <w:bCs/>
                <w:color w:val="auto"/>
                <w:sz w:val="24"/>
                <w:szCs w:val="24"/>
                <w:highlight w:val="none"/>
              </w:rPr>
              <w:t xml:space="preserve">更新调查</w:t>
            </w:r>
            <w:r>
              <w:rPr>
                <w:rFonts w:hint="eastAsia" w:ascii="宋体" w:hAnsi="宋体"/>
                <w:b w:val="0"/>
                <w:bCs/>
                <w:color w:val="auto"/>
                <w:sz w:val="24"/>
                <w:highlight w:val="none"/>
              </w:rPr>
              <w:t xml:space="preserve">  </w:t>
            </w:r>
            <w:r/>
          </w:p>
        </w:tc>
        <w:tc>
          <w:tcPr>
            <w:tcW w:w="871" w:type="dxa"/>
            <w:vAlign w:val="center"/>
            <w:textDirection w:val="lrTb"/>
            <w:noWrap w:val="false"/>
          </w:tcPr>
          <w:p>
            <w:pPr>
              <w:jc w:val="center"/>
              <w:widowControl/>
              <w:rPr>
                <w:rFonts w:hint="eastAsia" w:ascii="宋体" w:hAnsi="宋体"/>
                <w:b w:val="0"/>
                <w:bCs/>
                <w:color w:val="auto"/>
                <w:sz w:val="24"/>
                <w:highlight w:val="none"/>
              </w:rPr>
            </w:pPr>
            <w:r>
              <w:rPr>
                <w:rFonts w:hint="eastAsia" w:ascii="宋体" w:hAnsi="宋体"/>
                <w:b w:val="0"/>
                <w:bCs/>
                <w:color w:val="auto"/>
                <w:sz w:val="24"/>
                <w:highlight w:val="none"/>
              </w:rPr>
              <w:t xml:space="preserve">宗</w:t>
            </w:r>
            <w:r/>
          </w:p>
        </w:tc>
        <w:tc>
          <w:tcPr>
            <w:tcW w:w="1490"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44"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jc w:val="center"/>
          <w:trHeight w:val="900"/>
        </w:trPr>
        <w:tc>
          <w:tcPr>
            <w:tcW w:w="794" w:type="dxa"/>
            <w:vAlign w:val="center"/>
            <w:textDirection w:val="lrTb"/>
            <w:noWrap w:val="false"/>
          </w:tcPr>
          <w:p>
            <w:pPr>
              <w:jc w:val="center"/>
              <w:widowControl/>
              <w:rPr>
                <w:rFonts w:hint="eastAsia" w:ascii="宋体" w:hAnsi="宋体"/>
                <w:b w:val="0"/>
                <w:bCs/>
                <w:color w:val="auto"/>
                <w:sz w:val="24"/>
                <w:highlight w:val="none"/>
              </w:rPr>
            </w:pPr>
            <w:r>
              <w:rPr>
                <w:rFonts w:hint="eastAsia" w:ascii="宋体" w:hAnsi="宋体"/>
                <w:b w:val="0"/>
                <w:bCs/>
                <w:color w:val="auto"/>
                <w:sz w:val="24"/>
                <w:highlight w:val="none"/>
              </w:rPr>
              <w:t xml:space="preserve">2</w:t>
            </w:r>
            <w:r/>
          </w:p>
        </w:tc>
        <w:tc>
          <w:tcPr>
            <w:tcW w:w="4952" w:type="dxa"/>
            <w:vAlign w:val="center"/>
            <w:textDirection w:val="lrTb"/>
            <w:noWrap w:val="false"/>
          </w:tcPr>
          <w:p>
            <w:pPr>
              <w:jc w:val="center"/>
              <w:rPr>
                <w:rFonts w:hint="eastAsia" w:ascii="宋体" w:hAnsi="宋体"/>
                <w:b w:val="0"/>
                <w:bCs/>
                <w:color w:val="auto"/>
                <w:sz w:val="24"/>
                <w:highlight w:val="none"/>
              </w:rPr>
            </w:pPr>
            <w:r>
              <w:rPr>
                <w:rFonts w:hint="eastAsia" w:ascii="Times New Roman" w:hAnsi="Times New Roman"/>
                <w:b w:val="0"/>
                <w:bCs/>
                <w:color w:val="auto"/>
                <w:sz w:val="24"/>
                <w:szCs w:val="24"/>
                <w:highlight w:val="none"/>
              </w:rPr>
              <w:t xml:space="preserve">如东县农村不动产确权登记成果和农村建设用地调查成果</w:t>
            </w:r>
            <w:r>
              <w:rPr>
                <w:rFonts w:hint="eastAsia" w:ascii="Times New Roman" w:hAnsi="Times New Roman"/>
                <w:b w:val="0"/>
                <w:bCs/>
                <w:color w:val="auto"/>
                <w:sz w:val="24"/>
                <w:szCs w:val="24"/>
                <w:highlight w:val="none"/>
                <w:lang w:val="en-US" w:eastAsia="zh-CN"/>
              </w:rPr>
              <w:t xml:space="preserve"> </w:t>
            </w:r>
            <w:r>
              <w:rPr>
                <w:rFonts w:hint="eastAsia" w:ascii="宋体" w:hAnsi="宋体"/>
                <w:b w:val="0"/>
                <w:bCs/>
                <w:color w:val="auto"/>
                <w:sz w:val="24"/>
                <w:szCs w:val="24"/>
                <w:highlight w:val="none"/>
                <w:lang w:eastAsia="zh-CN"/>
              </w:rPr>
              <w:t xml:space="preserve">补充测绘调查</w:t>
            </w:r>
            <w:r/>
          </w:p>
        </w:tc>
        <w:tc>
          <w:tcPr>
            <w:tcW w:w="871" w:type="dxa"/>
            <w:vAlign w:val="center"/>
            <w:textDirection w:val="lrTb"/>
            <w:noWrap w:val="false"/>
          </w:tcPr>
          <w:p>
            <w:pPr>
              <w:jc w:val="center"/>
              <w:widowControl/>
              <w:rPr>
                <w:rFonts w:hint="eastAsia" w:ascii="宋体" w:hAnsi="宋体"/>
                <w:b w:val="0"/>
                <w:bCs/>
                <w:color w:val="auto"/>
                <w:sz w:val="24"/>
                <w:highlight w:val="none"/>
              </w:rPr>
            </w:pPr>
            <w:r>
              <w:rPr>
                <w:rFonts w:hint="eastAsia" w:ascii="宋体" w:hAnsi="宋体"/>
                <w:b w:val="0"/>
                <w:bCs/>
                <w:color w:val="auto"/>
                <w:sz w:val="24"/>
                <w:highlight w:val="none"/>
              </w:rPr>
              <w:t xml:space="preserve">宗</w:t>
            </w:r>
            <w:r/>
          </w:p>
        </w:tc>
        <w:tc>
          <w:tcPr>
            <w:tcW w:w="1490"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44"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jc w:val="center"/>
          <w:trHeight w:val="652"/>
        </w:trPr>
        <w:tc>
          <w:tcPr>
            <w:gridSpan w:val="3"/>
            <w:tcW w:w="6617" w:type="dxa"/>
            <w:vAlign w:val="center"/>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b/>
                <w:color w:val="auto"/>
                <w:sz w:val="28"/>
                <w:szCs w:val="28"/>
                <w:highlight w:val="none"/>
                <w:lang w:val="en-US" w:eastAsia="zh-CN"/>
              </w:rPr>
              <w:t xml:space="preserve">合 计</w:t>
            </w:r>
            <w:r/>
          </w:p>
        </w:tc>
        <w:tc>
          <w:tcPr>
            <w:tcW w:w="1490"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444"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both"/>
        <w:spacing w:line="36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注：</w:t>
      </w:r>
      <w:r/>
    </w:p>
    <w:p>
      <w:pPr>
        <w:jc w:val="both"/>
        <w:spacing w:line="360" w:lineRule="exact"/>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1、投标（响应）报价采用固定单价报价方式，响应单位的报价应包括完成本次采购范围内全部工作内容所需的所有费用。</w:t>
      </w:r>
      <w:r/>
    </w:p>
    <w:p>
      <w:pPr>
        <w:jc w:val="both"/>
        <w:spacing w:line="360" w:lineRule="exact"/>
        <w:rPr>
          <w:rFonts w:ascii="宋体" w:hAnsi="宋体"/>
          <w:color w:val="auto"/>
          <w:sz w:val="24"/>
          <w:szCs w:val="24"/>
          <w:highlight w:val="none"/>
        </w:rPr>
      </w:pPr>
      <w:r>
        <w:rPr>
          <w:rFonts w:hint="eastAsia" w:ascii="宋体" w:hAnsi="宋体"/>
          <w:b/>
          <w:bCs/>
          <w:color w:val="auto"/>
          <w:sz w:val="24"/>
          <w:szCs w:val="24"/>
          <w:highlight w:val="none"/>
          <w:lang w:val="en-US" w:eastAsia="zh-CN"/>
        </w:rPr>
        <w:t xml:space="preserve">2、</w:t>
      </w:r>
      <w:r>
        <w:rPr>
          <w:rFonts w:ascii="Times New Roman" w:hAnsi="Times New Roman"/>
          <w:color w:val="auto"/>
          <w:sz w:val="24"/>
          <w:szCs w:val="24"/>
          <w:highlight w:val="none"/>
        </w:rPr>
        <w:t xml:space="preserve">最高限价：</w:t>
      </w:r>
      <w:r>
        <w:rPr>
          <w:rFonts w:hint="eastAsia" w:ascii="Times New Roman" w:hAnsi="Times New Roman"/>
          <w:color w:val="auto"/>
          <w:sz w:val="24"/>
          <w:szCs w:val="24"/>
          <w:highlight w:val="none"/>
          <w:lang w:val="en-US" w:eastAsia="zh-CN"/>
        </w:rPr>
        <w:t xml:space="preserve">预估总价</w:t>
      </w:r>
      <w:r>
        <w:rPr>
          <w:rFonts w:hint="eastAsia" w:ascii="Times New Roman" w:hAnsi="Times New Roman"/>
          <w:color w:val="auto"/>
          <w:sz w:val="24"/>
          <w:szCs w:val="24"/>
          <w:highlight w:val="none"/>
        </w:rPr>
        <w:t xml:space="preserve">201</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zh-CN" w:eastAsia="zh-CN"/>
        </w:rPr>
        <w:t xml:space="preserve">三年</w:t>
      </w:r>
      <w:r>
        <w:rPr>
          <w:rFonts w:hint="eastAsia" w:ascii="Times New Roman" w:hAnsi="Times New Roman"/>
          <w:color w:val="auto"/>
          <w:sz w:val="24"/>
          <w:szCs w:val="24"/>
          <w:highlight w:val="none"/>
          <w:lang w:val="en-US" w:eastAsia="zh-CN"/>
        </w:rPr>
        <w:t xml:space="preserve">的</w:t>
      </w:r>
      <w:r>
        <w:rPr>
          <w:rFonts w:hint="eastAsia" w:ascii="Times New Roman" w:hAnsi="Times New Roman"/>
          <w:color w:val="auto"/>
          <w:sz w:val="24"/>
          <w:szCs w:val="24"/>
          <w:highlight w:val="none"/>
          <w:lang w:val="zh-CN" w:eastAsia="zh-CN"/>
        </w:rPr>
        <w:t xml:space="preserve">总费用</w:t>
      </w:r>
      <w:r>
        <w:rPr>
          <w:rFonts w:hint="eastAsia" w:ascii="Times New Roman" w:hAnsi="Times New Roman"/>
          <w:color w:val="auto"/>
          <w:sz w:val="24"/>
          <w:szCs w:val="24"/>
          <w:highlight w:val="none"/>
          <w:lang w:val="zh-CN"/>
        </w:rPr>
        <w:t xml:space="preserve">）</w:t>
      </w:r>
      <w:r>
        <w:rPr>
          <w:rFonts w:hint="eastAsia" w:ascii="宋体" w:hAnsi="宋体"/>
          <w:b/>
          <w:color w:val="auto"/>
          <w:sz w:val="24"/>
          <w:szCs w:val="24"/>
          <w:highlight w:val="none"/>
        </w:rPr>
        <w:t xml:space="preserve">（最终结算金额按实际完成的宗地数量×分项中标单价，其中分项预算单价为：</w:t>
      </w:r>
      <w:r>
        <w:rPr>
          <w:rFonts w:hint="eastAsia" w:ascii="宋体" w:hAnsi="宋体"/>
          <w:b/>
          <w:color w:val="auto"/>
          <w:sz w:val="24"/>
          <w:szCs w:val="24"/>
          <w:highlight w:val="none"/>
          <w:lang w:eastAsia="zh-CN"/>
        </w:rPr>
        <w:t xml:space="preserve">更新调查</w:t>
      </w:r>
      <w:r>
        <w:rPr>
          <w:rFonts w:hint="eastAsia" w:ascii="宋体" w:hAnsi="宋体"/>
          <w:b/>
          <w:color w:val="auto"/>
          <w:sz w:val="24"/>
          <w:szCs w:val="24"/>
          <w:highlight w:val="none"/>
          <w:lang w:val="en-US" w:eastAsia="zh-CN"/>
        </w:rPr>
        <w:t xml:space="preserve">120</w:t>
      </w:r>
      <w:r>
        <w:rPr>
          <w:rFonts w:hint="eastAsia" w:ascii="宋体" w:hAnsi="宋体"/>
          <w:b/>
          <w:color w:val="auto"/>
          <w:sz w:val="24"/>
          <w:szCs w:val="24"/>
          <w:highlight w:val="none"/>
        </w:rPr>
        <w:t xml:space="preserve">元/宗；</w:t>
      </w:r>
      <w:r>
        <w:rPr>
          <w:rFonts w:hint="eastAsia" w:ascii="宋体" w:hAnsi="宋体"/>
          <w:b/>
          <w:color w:val="auto"/>
          <w:sz w:val="24"/>
          <w:szCs w:val="24"/>
          <w:highlight w:val="none"/>
          <w:lang w:eastAsia="zh-CN"/>
        </w:rPr>
        <w:t xml:space="preserve">补充测绘调查</w:t>
      </w:r>
      <w:r>
        <w:rPr>
          <w:rFonts w:hint="eastAsia" w:ascii="宋体" w:hAnsi="宋体"/>
          <w:b/>
          <w:color w:val="auto"/>
          <w:sz w:val="24"/>
          <w:szCs w:val="24"/>
          <w:highlight w:val="none"/>
          <w:lang w:val="en-US" w:eastAsia="zh-CN"/>
        </w:rPr>
        <w:t xml:space="preserve">300元/宗）</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最终报价（</w:t>
      </w:r>
      <w:r>
        <w:rPr>
          <w:rFonts w:hint="eastAsia" w:ascii="宋体" w:hAnsi="宋体"/>
          <w:b/>
          <w:color w:val="auto"/>
          <w:sz w:val="24"/>
          <w:szCs w:val="24"/>
          <w:highlight w:val="none"/>
        </w:rPr>
        <w:t xml:space="preserve">分项单价报价</w:t>
      </w:r>
      <w:r>
        <w:rPr>
          <w:rFonts w:hint="eastAsia" w:ascii="宋体" w:hAnsi="宋体"/>
          <w:color w:val="auto"/>
          <w:sz w:val="24"/>
          <w:szCs w:val="24"/>
          <w:highlight w:val="none"/>
        </w:rPr>
        <w:t xml:space="preserve">）超过</w:t>
      </w:r>
      <w:r>
        <w:rPr>
          <w:rFonts w:ascii="Times New Roman" w:hAnsi="Times New Roman"/>
          <w:color w:val="auto"/>
          <w:sz w:val="24"/>
          <w:szCs w:val="24"/>
          <w:highlight w:val="none"/>
        </w:rPr>
        <w:t xml:space="preserve">最高限价</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分项预算单价</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为无效投标。</w:t>
      </w:r>
      <w:r/>
    </w:p>
    <w:p>
      <w:pPr>
        <w:jc w:val="both"/>
        <w:spacing w:line="360" w:lineRule="exact"/>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3、本报价非最后报价，磋商小组将在苏采云系统向实质性响应的供应商发布“最后报价要求函”及最后报价格式表，要求供应商在规定时间内提交最后报价。</w:t>
      </w:r>
      <w:r/>
    </w:p>
    <w:p>
      <w:pPr>
        <w:ind w:firstLine="480"/>
        <w:jc w:val="center"/>
        <w:spacing w:line="3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jc w:val="center"/>
        <w:spacing w:line="3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jc w:val="center"/>
        <w:spacing w:line="3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响应供应商全称（</w:t>
      </w:r>
      <w:r>
        <w:rPr>
          <w:rFonts w:hint="eastAsia" w:ascii="仿宋" w:hAnsi="仿宋" w:eastAsia="仿宋" w:cs="仿宋"/>
          <w:bCs/>
          <w:color w:val="auto"/>
          <w:sz w:val="24"/>
          <w:szCs w:val="24"/>
          <w:highlight w:val="none"/>
        </w:rPr>
        <w:t xml:space="preserve">加盖CA电子公章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jc w:val="center"/>
        <w:spacing w:line="360" w:lineRule="exact"/>
        <w:rPr>
          <w:rFonts w:hint="eastAsia" w:ascii="仿宋" w:hAnsi="仿宋" w:eastAsia="仿宋" w:cs="仿宋"/>
          <w:color w:val="auto"/>
          <w:sz w:val="24"/>
          <w:highlight w:val="none"/>
          <w:lang w:val="en-US" w:eastAsia="zh-CN"/>
        </w:rPr>
        <w:sectPr>
          <w:footerReference w:type="default" r:id="rId12"/>
          <w:footnotePr/>
          <w:endnotePr/>
          <w:type w:val="nextPage"/>
          <w:pgSz w:w="11907" w:h="16840"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日</w:t>
      </w:r>
      <w:bookmarkEnd w:id="173"/>
      <w:bookmarkEnd w:id="174"/>
      <w:bookmarkEnd w:id="187"/>
      <w:bookmarkEnd w:id="188"/>
      <w:bookmarkEnd w:id="189"/>
      <w:r/>
    </w:p>
    <w:p>
      <w:pPr>
        <w:pStyle w:val="810"/>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w:t>
      </w:r>
      <w:r/>
    </w:p>
    <w:p>
      <w:pPr>
        <w:ind w:firstLine="2168"/>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供应商</w:t>
      </w:r>
      <w:r>
        <w:rPr>
          <w:rFonts w:ascii="Times New Roman" w:hAnsi="Times New Roman"/>
          <w:b/>
          <w:color w:val="auto"/>
          <w:sz w:val="24"/>
          <w:szCs w:val="24"/>
          <w:highlight w:val="none"/>
        </w:rPr>
        <w:t xml:space="preserve">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w:t>
      </w:r>
      <w:r>
        <w:rPr>
          <w:rFonts w:hint="eastAsia" w:ascii="Times New Roman" w:hAnsi="Times New Roman"/>
          <w:bCs/>
          <w:color w:val="auto"/>
          <w:sz w:val="24"/>
          <w:szCs w:val="21"/>
          <w:highlight w:val="none"/>
          <w:lang w:val="en-US" w:eastAsia="zh-CN"/>
        </w:rPr>
        <w:t xml:space="preserve">的采购</w:t>
      </w:r>
      <w:r>
        <w:rPr>
          <w:rFonts w:ascii="Times New Roman" w:hAnsi="Times New Roman"/>
          <w:bCs/>
          <w:color w:val="auto"/>
          <w:sz w:val="24"/>
          <w:szCs w:val="21"/>
          <w:highlight w:val="none"/>
        </w:rPr>
        <w:t xml:space="preserve">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w:t>
      </w:r>
      <w:r>
        <w:rPr>
          <w:rFonts w:ascii="等线" w:hAnsi="等线" w:eastAsia="等线" w:cs="等线"/>
          <w:color w:val="auto"/>
          <w:spacing w:val="-2"/>
          <w:sz w:val="24"/>
          <w:szCs w:val="24"/>
          <w:highlight w:val="none"/>
        </w:rPr>
        <w:t xml:space="preserve">加盖CA电子公章</w:t>
      </w:r>
      <w:r>
        <w:rPr>
          <w:rFonts w:ascii="Times New Roman" w:hAnsi="Times New Roman"/>
          <w:bCs/>
          <w:color w:val="auto"/>
          <w:sz w:val="24"/>
          <w:szCs w:val="21"/>
          <w:highlight w:val="none"/>
        </w:rPr>
        <w:t xml:space="preserve">）：</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hint="eastAsia" w:ascii="Times New Roman" w:hAnsi="Times New Roman" w:eastAsia="宋体"/>
          <w:b/>
          <w:color w:val="auto"/>
          <w:sz w:val="24"/>
          <w:szCs w:val="24"/>
          <w:highlight w:val="none"/>
          <w:lang w:eastAsia="zh-CN"/>
        </w:rPr>
      </w:pPr>
      <w:r>
        <w:rPr>
          <w:rFonts w:ascii="Times New Roman" w:hAnsi="Times New Roman" w:eastAsia="黑体"/>
          <w:i/>
          <w:color w:val="auto"/>
          <w:sz w:val="32"/>
          <w:szCs w:val="32"/>
          <w:highlight w:val="none"/>
          <w:u w:val="single"/>
        </w:rPr>
        <w:br w:type="page" w:clear="all"/>
      </w:r>
      <w:bookmarkStart w:id="190" w:name="_Toc120614284"/>
      <w:r>
        <w:rPr>
          <w:rFonts w:ascii="Times New Roman" w:hAnsi="Times New Roman"/>
          <w:b/>
          <w:color w:val="auto"/>
          <w:sz w:val="24"/>
          <w:szCs w:val="24"/>
          <w:highlight w:val="none"/>
          <w:lang w:val="zh-CN"/>
        </w:rPr>
        <w:t xml:space="preserve">附件</w:t>
      </w:r>
      <w:r>
        <w:rPr>
          <w:rFonts w:hint="eastAsia" w:ascii="Times New Roman" w:hAnsi="Times New Roman"/>
          <w:b/>
          <w:color w:val="auto"/>
          <w:sz w:val="24"/>
          <w:szCs w:val="24"/>
          <w:highlight w:val="none"/>
          <w:lang w:val="en-US" w:eastAsia="zh-CN"/>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hint="eastAsia" w:ascii="Times New Roman" w:hAnsi="Times New Roman" w:eastAsia="宋体"/>
          <w:b/>
          <w:color w:val="auto"/>
          <w:sz w:val="24"/>
          <w:szCs w:val="21"/>
          <w:highlight w:val="none"/>
          <w:lang w:eastAsia="zh-CN"/>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u w:val="single"/>
        </w:rPr>
        <w:t xml:space="preserve">（项目编</w:t>
      </w:r>
      <w:r>
        <w:rPr>
          <w:rFonts w:ascii="等线" w:hAnsi="等线" w:eastAsia="等线" w:cs="等线"/>
          <w:color w:val="auto"/>
          <w:spacing w:val="-1"/>
          <w:sz w:val="24"/>
          <w:szCs w:val="24"/>
          <w:highlight w:val="none"/>
        </w:rPr>
        <w:t xml:space="preserve">号</w:t>
      </w:r>
      <w:r>
        <w:rPr>
          <w:rFonts w:ascii="等线" w:hAnsi="等线" w:eastAsia="等线" w:cs="等线"/>
          <w:color w:val="auto"/>
          <w:spacing w:val="-1"/>
          <w:sz w:val="24"/>
          <w:szCs w:val="24"/>
          <w:highlight w:val="none"/>
          <w:u w:val="single"/>
        </w:rPr>
        <w:t xml:space="preserve">）</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91" w:name="_Hlt26671380"/>
      <w:r/>
      <w:bookmarkEnd w:id="191"/>
      <w:r/>
      <w:bookmarkStart w:id="192" w:name="_Hlt26955070"/>
      <w:r/>
      <w:bookmarkEnd w:id="192"/>
      <w:r/>
      <w:bookmarkStart w:id="193" w:name="_格式3__银行出具的资信证明"/>
      <w:r/>
      <w:bookmarkEnd w:id="193"/>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b/>
          <w:color w:val="auto"/>
          <w:sz w:val="24"/>
          <w:szCs w:val="21"/>
          <w:highlight w:val="none"/>
        </w:rPr>
      </w:pPr>
      <w:r>
        <w:rPr>
          <w:rFonts w:ascii="Times New Roman" w:hAnsi="Times New Roman"/>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5</w:t>
      </w:r>
      <w:r>
        <w:rPr>
          <w:rFonts w:ascii="Times New Roman" w:hAnsi="Times New Roman"/>
          <w:b/>
          <w:color w:val="auto"/>
          <w:sz w:val="24"/>
          <w:szCs w:val="21"/>
          <w:highlight w:val="none"/>
        </w:rPr>
        <w:t xml:space="preserve"> </w:t>
      </w:r>
      <w:r/>
    </w:p>
    <w:p>
      <w:pPr>
        <w:jc w:val="center"/>
        <w:rPr>
          <w:rFonts w:ascii="Times New Roman" w:hAnsi="Times New Roman" w:eastAsia="黑体"/>
          <w:b/>
          <w:i/>
          <w:color w:val="auto"/>
          <w:sz w:val="32"/>
          <w:szCs w:val="32"/>
          <w:highlight w:val="none"/>
          <w:u w:val="single"/>
        </w:rPr>
      </w:pPr>
      <w:r>
        <w:rPr>
          <w:rFonts w:ascii="Times New Roman" w:hAnsi="Times New Roman"/>
          <w:b/>
          <w:color w:val="auto"/>
          <w:sz w:val="24"/>
          <w:szCs w:val="21"/>
          <w:highlight w:val="none"/>
        </w:rPr>
        <w:t xml:space="preserve">磋商响应函</w:t>
      </w:r>
      <w:r/>
    </w:p>
    <w:p>
      <w:pPr>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致：</w:t>
      </w:r>
      <w:r>
        <w:rPr>
          <w:rFonts w:hint="eastAsia" w:ascii="宋体" w:hAnsi="宋体"/>
          <w:color w:val="auto"/>
          <w:sz w:val="24"/>
          <w:szCs w:val="24"/>
          <w:highlight w:val="none"/>
          <w:u w:val="single"/>
        </w:rPr>
        <w:t xml:space="preserve">如东县自然资源和规划局</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根据贵方的</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rPr>
        <w:t xml:space="preserve">（项目编号</w:t>
      </w:r>
      <w:r>
        <w:rPr>
          <w:rFonts w:hint="eastAsia" w:ascii="等线" w:hAnsi="等线" w:eastAsia="等线" w:cs="等线"/>
          <w:color w:val="auto"/>
          <w:spacing w:val="-1"/>
          <w:sz w:val="24"/>
          <w:szCs w:val="24"/>
          <w:highlight w:val="none"/>
        </w:rPr>
        <w:t xml:space="preserve">）</w:t>
      </w:r>
      <w:r>
        <w:rPr>
          <w:rFonts w:ascii="Times New Roman" w:hAnsi="Times New Roman"/>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据此函，__________签字人兹宣布同意如下：</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2.我们完全理解贵方不一定将合同授予最低报价的供应商。</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7.我方与本磋商有关的正式通讯地址为：</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地址：</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邮编：</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电话：</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传真：</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供应商开户行：</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账号：</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日期：________年____月____日</w:t>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pStyle w:val="836"/>
        <w:rPr>
          <w:color w:val="auto"/>
          <w:highlight w:val="none"/>
        </w:rPr>
      </w:pPr>
      <w:r>
        <w:rPr>
          <w:color w:val="auto"/>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8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836"/>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8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ascii="宋体" w:hAnsi="宋体"/>
          <w:color w:val="auto"/>
          <w:sz w:val="24"/>
          <w:highlight w:val="none"/>
        </w:rPr>
      </w:pPr>
      <w:r>
        <w:rPr>
          <w:rFonts w:hint="eastAsia" w:ascii="宋体" w:hAnsi="宋体"/>
          <w:color w:val="auto"/>
          <w:sz w:val="24"/>
          <w:highlight w:val="none"/>
        </w:rPr>
        <w:t xml:space="preserve">1. 供应商提交的响应文件中与磋商文件第四章“采购需求”中的技术部分的要求如有偏离的，应逐条填列在偏离表中。如果磋商文件要求提供证明材料，供应商需将证明材料列于该表之下。</w:t>
      </w:r>
      <w:r/>
    </w:p>
    <w:p>
      <w:pPr>
        <w:contextualSpacing/>
        <w:spacing w:line="300" w:lineRule="auto"/>
        <w:rPr>
          <w:rFonts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color w:val="auto"/>
          <w:sz w:val="24"/>
          <w:szCs w:val="24"/>
          <w:highlight w:val="none"/>
        </w:rPr>
      </w:pPr>
      <w:r>
        <w:rPr>
          <w:rFonts w:ascii="宋体" w:hAnsi="宋体" w:cs="宋体"/>
          <w:color w:val="auto"/>
          <w:spacing w:val="-2"/>
          <w:sz w:val="24"/>
          <w:szCs w:val="24"/>
          <w:highlight w:val="none"/>
        </w:rPr>
        <w:t xml:space="preserve">3.供应商若提供其他增值服务，可以在表中自行据实填写。</w:t>
      </w:r>
      <w:r/>
    </w:p>
    <w:p>
      <w:pPr>
        <w:rPr>
          <w:rFonts w:ascii="宋体" w:hAnsi="宋体"/>
          <w:b/>
          <w:color w:val="auto"/>
          <w:sz w:val="24"/>
          <w:szCs w:val="21"/>
          <w:highlight w:val="none"/>
        </w:rPr>
      </w:pPr>
      <w:r>
        <w:rPr>
          <w:rFonts w:ascii="宋体" w:hAnsi="宋体"/>
          <w:b/>
          <w:color w:val="auto"/>
          <w:sz w:val="24"/>
          <w:szCs w:val="21"/>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contextualSpacing/>
        <w:spacing w:line="300" w:lineRule="auto"/>
        <w:rPr>
          <w:rFonts w:hint="eastAsia" w:ascii="Times New Roman" w:hAnsi="Times New Roman" w:eastAsia="宋体"/>
          <w:b/>
          <w:color w:val="auto"/>
          <w:sz w:val="32"/>
          <w:szCs w:val="32"/>
          <w:highlight w:val="none"/>
          <w:lang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eastAsia" w:ascii="Times New Roman" w:hAnsi="Times New Roman" w:eastAsia="宋体"/>
          <w:b/>
          <w:color w:val="auto"/>
          <w:sz w:val="32"/>
          <w:szCs w:val="32"/>
          <w:highlight w:val="none"/>
          <w:lang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9</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残疾人福利性单位声明函</w:t>
      </w:r>
      <w:r>
        <w:rPr>
          <w:rFonts w:hint="eastAsia" w:ascii="Times New Roman" w:hAnsi="Times New Roman"/>
          <w:b/>
          <w:color w:val="auto"/>
          <w:sz w:val="32"/>
          <w:szCs w:val="32"/>
          <w:highlight w:val="none"/>
        </w:rPr>
        <w:t xml:space="preserve">（服务）</w:t>
      </w:r>
      <w:r/>
    </w:p>
    <w:p>
      <w:pPr>
        <w:pStyle w:val="836"/>
        <w:rPr>
          <w:color w:val="auto"/>
          <w:highlight w:val="none"/>
        </w:rPr>
      </w:pPr>
      <w:r>
        <w:rPr>
          <w:color w:val="auto"/>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项目采购活动由本单位提供服务。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6"/>
        <w:ind w:firstLine="480"/>
        <w:rPr>
          <w:rFonts w:cs="宋体"/>
          <w:color w:val="auto"/>
          <w:sz w:val="24"/>
          <w:szCs w:val="24"/>
          <w:highlight w:val="none"/>
        </w:rPr>
      </w:pPr>
      <w:r>
        <w:rPr>
          <w:rFonts w:cs="宋体"/>
          <w:color w:val="auto"/>
          <w:sz w:val="24"/>
          <w:szCs w:val="24"/>
          <w:highlight w:val="none"/>
        </w:rPr>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 非专门面向中小微型企业采购的项目，供应商如不提供此声明函，价格将不做相应扣除。</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4、成交供应商为残疾人福利性单位的，此声明函将随成交结果同时公告，接受社会监督。</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default" w:ascii="Times New Roman" w:hAnsi="Times New Roman" w:eastAsia="宋体"/>
          <w:b/>
          <w:color w:val="auto"/>
          <w:sz w:val="24"/>
          <w:szCs w:val="24"/>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90"/>
      <w:r>
        <w:rPr>
          <w:rFonts w:hint="eastAsia" w:ascii="Times New Roman" w:hAnsi="Times New Roman"/>
          <w:b/>
          <w:color w:val="auto"/>
          <w:sz w:val="24"/>
          <w:szCs w:val="24"/>
          <w:highlight w:val="none"/>
          <w:lang w:val="en-US" w:eastAsia="zh-CN"/>
        </w:rPr>
        <w:t xml:space="preserve">11</w:t>
      </w:r>
      <w:r/>
    </w:p>
    <w:p>
      <w:pPr>
        <w:jc w:val="lef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rPr>
        <w:t xml:space="preserve">1</w:t>
      </w:r>
      <w:r>
        <w:rPr>
          <w:rFonts w:hint="eastAsia" w:ascii="Times New Roman" w:hAnsi="Times New Roman"/>
          <w:b/>
          <w:color w:val="auto"/>
          <w:sz w:val="24"/>
          <w:szCs w:val="24"/>
          <w:highlight w:val="none"/>
          <w:lang w:val="en-US" w:eastAsia="zh-CN"/>
        </w:rPr>
        <w:t xml:space="preserve">2</w:t>
      </w:r>
      <w:r/>
    </w:p>
    <w:p>
      <w:pPr>
        <w:jc w:val="center"/>
        <w:widowControl/>
        <w:rPr>
          <w:rFonts w:ascii="Times New Roman" w:hAnsi="Times New Roman" w:eastAsia="微软雅黑"/>
          <w:color w:val="auto"/>
          <w:sz w:val="28"/>
          <w:szCs w:val="28"/>
          <w:highlight w:val="none"/>
        </w:rPr>
      </w:pPr>
      <w:r>
        <w:rPr>
          <w:rFonts w:ascii="Times New Roman" w:hAnsi="Times New Roman" w:eastAsia="微软雅黑"/>
          <w:color w:val="auto"/>
          <w:sz w:val="28"/>
          <w:szCs w:val="28"/>
          <w:highlight w:val="none"/>
        </w:rPr>
        <w:t xml:space="preserve">南通市政府采购履约保证保险政策告知函</w:t>
      </w:r>
      <w:r/>
    </w:p>
    <w:p>
      <w:pPr>
        <w:jc w:val="left"/>
        <w:widowControl/>
        <w:rPr>
          <w:rFonts w:ascii="Times New Roman" w:hAnsi="Times New Roman" w:eastAsia="仿宋_GB2312"/>
          <w:color w:val="auto"/>
          <w:sz w:val="28"/>
          <w:szCs w:val="28"/>
          <w:highlight w:val="none"/>
          <w:lang w:val="zh-CN"/>
        </w:rPr>
      </w:pPr>
      <w:r>
        <w:rPr>
          <w:rFonts w:ascii="Times New Roman" w:hAnsi="Times New Roman" w:eastAsia="仿宋_GB2312"/>
          <w:color w:val="auto"/>
          <w:sz w:val="28"/>
          <w:szCs w:val="28"/>
          <w:highlight w:val="none"/>
          <w:lang w:val="zh-CN"/>
        </w:rPr>
      </w:r>
      <w:r/>
    </w:p>
    <w:p>
      <w:pPr>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各政府采购供应商：</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欢迎贵公司参与南通市政府采购活动！</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color w:val="auto"/>
          <w:spacing w:val="1"/>
          <w:sz w:val="28"/>
          <w:szCs w:val="28"/>
          <w:highlight w:val="none"/>
          <w:lang w:val="zh-CN"/>
        </w:rPr>
        <w:t xml:space="preserve">http：</w:t>
      </w:r>
      <w:r>
        <w:rPr>
          <w:rFonts w:hint="eastAsia" w:ascii="宋体" w:hAnsi="宋体" w:cs="宋体"/>
          <w:color w:val="auto"/>
          <w:spacing w:val="1"/>
          <w:sz w:val="28"/>
          <w:szCs w:val="28"/>
          <w:highlight w:val="none"/>
        </w:rPr>
        <w:t xml:space="preserve">//</w:t>
      </w:r>
      <w:r>
        <w:rPr>
          <w:rFonts w:hint="eastAsia" w:ascii="宋体" w:hAnsi="宋体" w:cs="宋体"/>
          <w:color w:val="auto"/>
          <w:spacing w:val="1"/>
          <w:sz w:val="28"/>
          <w:szCs w:val="28"/>
          <w:highlight w:val="none"/>
          <w:lang w:val="zh-CN"/>
        </w:rPr>
        <w:t xml:space="preserve">ggzyjy.nantong.gov.cn／NTdzbhweb／supermarket</w:t>
      </w:r>
      <w:r>
        <w:rPr>
          <w:rFonts w:hint="eastAsia" w:ascii="宋体" w:hAnsi="宋体" w:cs="宋体"/>
          <w:color w:val="auto"/>
          <w:spacing w:val="7"/>
          <w:sz w:val="28"/>
          <w:szCs w:val="28"/>
          <w:highlight w:val="none"/>
          <w:lang w:val="zh-CN"/>
        </w:rPr>
        <w:t xml:space="preserve">／</w:t>
      </w:r>
      <w:r>
        <w:rPr>
          <w:rFonts w:hint="eastAsia" w:ascii="宋体" w:hAnsi="宋体" w:cs="宋体"/>
          <w:color w:val="auto"/>
          <w:sz w:val="28"/>
          <w:szCs w:val="28"/>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36"/>
        <w:ind w:firstLine="560"/>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jc w:val="left"/>
        <w:spacing w:line="700" w:lineRule="exact"/>
        <w:widowControl/>
        <w:rPr>
          <w:rFonts w:hint="eastAsia" w:ascii="Times New Roman" w:hAnsi="Times New Roman" w:eastAsia="宋体"/>
          <w:color w:val="auto"/>
          <w:sz w:val="28"/>
          <w:szCs w:val="28"/>
          <w:highlight w:val="none"/>
          <w:lang w:eastAsia="zh-CN"/>
        </w:rPr>
      </w:pPr>
      <w:r>
        <w:rPr>
          <w:rFonts w:ascii="Times New Roman" w:hAnsi="Times New Roman" w:eastAsia="仿宋_GB2312"/>
          <w:b/>
          <w:bCs/>
          <w:color w:val="auto"/>
          <w:sz w:val="28"/>
          <w:szCs w:val="28"/>
          <w:highlight w:val="none"/>
          <w:lang w:val="zh-CN"/>
        </w:rPr>
        <w:br w:type="page" w:clear="all"/>
      </w:r>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lang w:val="en-US" w:eastAsia="zh-CN"/>
        </w:rPr>
        <w:t xml:space="preserve">3</w:t>
      </w:r>
      <w:r/>
    </w:p>
    <w:p>
      <w:pPr>
        <w:ind w:firstLine="2249"/>
        <w:jc w:val="left"/>
        <w:spacing w:line="700" w:lineRule="exact"/>
        <w:widowControl/>
        <w:rPr>
          <w:rFonts w:ascii="Times New Roman" w:hAnsi="Times New Roman" w:eastAsia="仿宋_GB2312"/>
          <w:color w:val="auto"/>
          <w:sz w:val="28"/>
          <w:szCs w:val="28"/>
          <w:highlight w:val="none"/>
        </w:rPr>
      </w:pPr>
      <w:r>
        <w:rPr>
          <w:rFonts w:ascii="Times New Roman" w:hAnsi="Times New Roman"/>
          <w:b/>
          <w:bCs/>
          <w:color w:val="auto"/>
          <w:sz w:val="28"/>
          <w:szCs w:val="28"/>
          <w:highlight w:val="none"/>
        </w:rPr>
        <w:t xml:space="preserve">南通市政府采购线上合同信用融资政策告知函</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各政府采购供应商：</w:t>
      </w:r>
      <w:r/>
    </w:p>
    <w:p>
      <w:pPr>
        <w:ind w:firstLine="560"/>
        <w:jc w:val="left"/>
        <w:spacing w:line="7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欢迎贵公</w:t>
      </w:r>
      <w:r>
        <w:rPr>
          <w:rFonts w:hint="eastAsia" w:ascii="宋体" w:hAnsi="宋体" w:cs="宋体"/>
          <w:color w:val="auto"/>
          <w:sz w:val="28"/>
          <w:szCs w:val="28"/>
          <w:highlight w:val="none"/>
        </w:rPr>
        <w:t xml:space="preserve">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36"/>
        <w:ind w:firstLine="560"/>
        <w:rPr>
          <w:rFonts w:cs="宋体"/>
          <w:color w:val="auto"/>
          <w:sz w:val="28"/>
          <w:szCs w:val="28"/>
          <w:highlight w:val="none"/>
          <w:lang w:val="zh-CN"/>
        </w:rPr>
      </w:pPr>
      <w:r>
        <w:rPr>
          <w:rFonts w:cs="宋体"/>
          <w:color w:val="auto"/>
          <w:sz w:val="28"/>
          <w:szCs w:val="28"/>
          <w:highlight w:val="none"/>
          <w:lang w:val="zh-CN"/>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Times New Roman" w:hAnsi="Times New Roman"/>
          <w:color w:val="auto"/>
          <w:sz w:val="28"/>
          <w:szCs w:val="28"/>
          <w:highlight w:val="none"/>
        </w:rPr>
        <w:outlineLvl w:val="0"/>
      </w:pPr>
      <w:r>
        <w:rPr>
          <w:rFonts w:ascii="Times New Roman" w:hAnsi="Times New Roman"/>
          <w:color w:val="auto"/>
          <w:sz w:val="28"/>
          <w:szCs w:val="28"/>
          <w:highlight w:val="none"/>
        </w:rPr>
      </w:r>
      <w:r/>
    </w:p>
    <w:p>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r>
      <w:r/>
    </w:p>
    <w:p>
      <w:pPr>
        <w:contextualSpacing/>
        <w:spacing w:line="500" w:lineRule="exact"/>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r>
      <w:r/>
    </w:p>
    <w:p>
      <w:pPr>
        <w:pStyle w:val="844"/>
        <w:ind w:left="0" w:firstLine="0"/>
        <w:rPr>
          <w:rFonts w:ascii="宋体" w:hAnsi="宋体"/>
          <w:color w:val="auto"/>
          <w:sz w:val="24"/>
          <w:szCs w:val="24"/>
          <w:highlight w:val="none"/>
        </w:rPr>
      </w:pPr>
      <w:r>
        <w:rPr>
          <w:rFonts w:ascii="宋体" w:hAnsi="宋体"/>
          <w:color w:val="auto"/>
          <w:sz w:val="24"/>
          <w:szCs w:val="24"/>
          <w:highlight w:val="none"/>
        </w:rPr>
      </w:r>
      <w:r/>
    </w:p>
    <w:p>
      <w:pPr>
        <w:spacing w:line="520" w:lineRule="exact"/>
        <w:rPr>
          <w:rFonts w:hint="eastAsia"/>
          <w:b/>
          <w:color w:val="auto"/>
          <w:sz w:val="28"/>
          <w:szCs w:val="28"/>
          <w:highlight w:val="none"/>
        </w:rPr>
      </w:pPr>
      <w:r>
        <w:rPr>
          <w:rFonts w:hint="eastAsia"/>
          <w:b/>
          <w:color w:val="auto"/>
          <w:sz w:val="28"/>
          <w:szCs w:val="28"/>
          <w:highlight w:val="none"/>
        </w:rPr>
      </w:r>
      <w:r/>
    </w:p>
    <w:p>
      <w:pPr>
        <w:pStyle w:val="844"/>
        <w:rPr>
          <w:color w:val="auto"/>
          <w:highlight w:val="none"/>
        </w:rPr>
      </w:pPr>
      <w:r>
        <w:rPr>
          <w:color w:val="auto"/>
          <w:highlight w:val="none"/>
        </w:rPr>
      </w:r>
      <w:r/>
    </w:p>
    <w:p>
      <w:pPr>
        <w:pStyle w:val="844"/>
        <w:rPr>
          <w:color w:val="auto"/>
          <w:highlight w:val="none"/>
        </w:rPr>
      </w:pPr>
      <w:r>
        <w:rPr>
          <w:color w:val="auto"/>
          <w:highlight w:val="none"/>
        </w:rPr>
      </w:r>
      <w:r/>
    </w:p>
    <w:p>
      <w:pPr>
        <w:pStyle w:val="844"/>
        <w:rPr>
          <w:color w:val="auto"/>
          <w:highlight w:val="none"/>
        </w:rPr>
      </w:pPr>
      <w:r>
        <w:rPr>
          <w:color w:val="auto"/>
          <w:highlight w:val="none"/>
        </w:rPr>
      </w:r>
      <w:r/>
    </w:p>
    <w:p>
      <w:pPr>
        <w:pStyle w:val="844"/>
        <w:rPr>
          <w:color w:val="auto"/>
          <w:highlight w:val="none"/>
        </w:rPr>
      </w:pPr>
      <w:r>
        <w:rPr>
          <w:color w:val="auto"/>
          <w:highlight w:val="none"/>
        </w:rPr>
      </w:r>
      <w:r/>
    </w:p>
    <w:p>
      <w:pPr>
        <w:pStyle w:val="844"/>
        <w:rPr>
          <w:color w:val="auto"/>
          <w:highlight w:val="none"/>
        </w:rPr>
      </w:pPr>
      <w:r>
        <w:rPr>
          <w:color w:val="auto"/>
          <w:highlight w:val="none"/>
        </w:rPr>
      </w:r>
      <w:r/>
    </w:p>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2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8"/>
      <w:isLgl w:val="false"/>
      <w:suff w:val="nothing"/>
      <w:lvlText w:val=""/>
      <w:lvlJc w:val="left"/>
      <w:pPr>
        <w:ind w:left="0" w:firstLine="0"/>
      </w:pPr>
      <w:rPr>
        <w:rFonts w:hint="eastAsia"/>
      </w:rPr>
    </w:lvl>
    <w:lvl w:ilvl="6">
      <w:start w:val="1"/>
      <w:numFmt w:val="none"/>
      <w:pStyle w:val="799"/>
      <w:isLgl w:val="false"/>
      <w:suff w:val="nothing"/>
      <w:lvlText w:val=""/>
      <w:lvlJc w:val="left"/>
      <w:pPr>
        <w:ind w:left="0" w:firstLine="0"/>
      </w:pPr>
      <w:rPr>
        <w:rFonts w:hint="eastAsia"/>
      </w:rPr>
    </w:lvl>
    <w:lvl w:ilvl="7">
      <w:start w:val="1"/>
      <w:numFmt w:val="none"/>
      <w:pStyle w:val="800"/>
      <w:isLgl w:val="false"/>
      <w:suff w:val="nothing"/>
      <w:lvlText w:val=""/>
      <w:lvlJc w:val="left"/>
      <w:pPr>
        <w:ind w:left="0" w:firstLine="0"/>
      </w:pPr>
      <w:rPr>
        <w:rFonts w:hint="eastAsia"/>
      </w:rPr>
    </w:lvl>
    <w:lvl w:ilvl="8">
      <w:start w:val="1"/>
      <w:numFmt w:val="none"/>
      <w:pStyle w:val="801"/>
      <w:isLgl w:val="false"/>
      <w:suff w:val="nothing"/>
      <w:lvlText w:val=""/>
      <w:lvlJc w:val="left"/>
      <w:pPr>
        <w:ind w:left="0" w:firstLine="0"/>
      </w:pPr>
      <w:rPr>
        <w:rFonts w:hint="eastAsia"/>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ind w:left="2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6"/>
  </w:num>
  <w:num w:numId="5">
    <w:abstractNumId w:val="7"/>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2"/>
    <w:link w:val="793"/>
    <w:uiPriority w:val="9"/>
    <w:rPr>
      <w:rFonts w:ascii="Arial" w:hAnsi="Arial" w:eastAsia="Arial" w:cs="Arial"/>
      <w:sz w:val="40"/>
      <w:szCs w:val="40"/>
    </w:rPr>
  </w:style>
  <w:style w:type="character" w:styleId="15">
    <w:name w:val="Heading 2 Char"/>
    <w:basedOn w:val="802"/>
    <w:link w:val="794"/>
    <w:uiPriority w:val="9"/>
    <w:rPr>
      <w:rFonts w:ascii="Arial" w:hAnsi="Arial" w:eastAsia="Arial" w:cs="Arial"/>
      <w:sz w:val="34"/>
    </w:rPr>
  </w:style>
  <w:style w:type="character" w:styleId="17">
    <w:name w:val="Heading 3 Char"/>
    <w:basedOn w:val="802"/>
    <w:link w:val="795"/>
    <w:uiPriority w:val="9"/>
    <w:rPr>
      <w:rFonts w:ascii="Arial" w:hAnsi="Arial" w:eastAsia="Arial" w:cs="Arial"/>
      <w:sz w:val="30"/>
      <w:szCs w:val="30"/>
    </w:rPr>
  </w:style>
  <w:style w:type="character" w:styleId="19">
    <w:name w:val="Heading 4 Char"/>
    <w:basedOn w:val="802"/>
    <w:link w:val="796"/>
    <w:uiPriority w:val="9"/>
    <w:rPr>
      <w:rFonts w:ascii="Arial" w:hAnsi="Arial" w:eastAsia="Arial" w:cs="Arial"/>
      <w:b/>
      <w:bCs/>
      <w:sz w:val="26"/>
      <w:szCs w:val="26"/>
    </w:rPr>
  </w:style>
  <w:style w:type="character" w:styleId="21">
    <w:name w:val="Heading 5 Char"/>
    <w:basedOn w:val="802"/>
    <w:link w:val="797"/>
    <w:uiPriority w:val="9"/>
    <w:rPr>
      <w:rFonts w:ascii="Arial" w:hAnsi="Arial" w:eastAsia="Arial" w:cs="Arial"/>
      <w:b/>
      <w:bCs/>
      <w:sz w:val="24"/>
      <w:szCs w:val="24"/>
    </w:rPr>
  </w:style>
  <w:style w:type="character" w:styleId="23">
    <w:name w:val="Heading 6 Char"/>
    <w:basedOn w:val="802"/>
    <w:link w:val="798"/>
    <w:uiPriority w:val="9"/>
    <w:rPr>
      <w:rFonts w:ascii="Arial" w:hAnsi="Arial" w:eastAsia="Arial" w:cs="Arial"/>
      <w:b/>
      <w:bCs/>
      <w:sz w:val="22"/>
      <w:szCs w:val="22"/>
    </w:rPr>
  </w:style>
  <w:style w:type="character" w:styleId="25">
    <w:name w:val="Heading 7 Char"/>
    <w:basedOn w:val="802"/>
    <w:link w:val="799"/>
    <w:uiPriority w:val="9"/>
    <w:rPr>
      <w:rFonts w:ascii="Arial" w:hAnsi="Arial" w:eastAsia="Arial" w:cs="Arial"/>
      <w:b/>
      <w:bCs/>
      <w:i/>
      <w:iCs/>
      <w:sz w:val="22"/>
      <w:szCs w:val="22"/>
    </w:rPr>
  </w:style>
  <w:style w:type="character" w:styleId="27">
    <w:name w:val="Heading 8 Char"/>
    <w:basedOn w:val="802"/>
    <w:link w:val="800"/>
    <w:uiPriority w:val="9"/>
    <w:rPr>
      <w:rFonts w:ascii="Arial" w:hAnsi="Arial" w:eastAsia="Arial" w:cs="Arial"/>
      <w:i/>
      <w:iCs/>
      <w:sz w:val="22"/>
      <w:szCs w:val="22"/>
    </w:rPr>
  </w:style>
  <w:style w:type="character" w:styleId="29">
    <w:name w:val="Heading 9 Char"/>
    <w:basedOn w:val="802"/>
    <w:link w:val="801"/>
    <w:uiPriority w:val="9"/>
    <w:rPr>
      <w:rFonts w:ascii="Arial" w:hAnsi="Arial" w:eastAsia="Arial" w:cs="Arial"/>
      <w:i/>
      <w:iCs/>
      <w:sz w:val="21"/>
      <w:szCs w:val="21"/>
    </w:rPr>
  </w:style>
  <w:style w:type="paragraph" w:styleId="33">
    <w:name w:val="Title"/>
    <w:basedOn w:val="792"/>
    <w:next w:val="792"/>
    <w:link w:val="34"/>
    <w:uiPriority w:val="10"/>
    <w:qFormat/>
    <w:pPr>
      <w:contextualSpacing/>
      <w:spacing w:before="300" w:after="200"/>
    </w:pPr>
    <w:rPr>
      <w:sz w:val="48"/>
      <w:szCs w:val="48"/>
    </w:rPr>
  </w:style>
  <w:style w:type="character" w:styleId="34">
    <w:name w:val="Title Char"/>
    <w:basedOn w:val="802"/>
    <w:link w:val="33"/>
    <w:uiPriority w:val="10"/>
    <w:rPr>
      <w:sz w:val="48"/>
      <w:szCs w:val="48"/>
    </w:rPr>
  </w:style>
  <w:style w:type="paragraph" w:styleId="35">
    <w:name w:val="Subtitle"/>
    <w:basedOn w:val="792"/>
    <w:next w:val="792"/>
    <w:link w:val="36"/>
    <w:uiPriority w:val="11"/>
    <w:qFormat/>
    <w:pPr>
      <w:spacing w:before="200" w:after="200"/>
    </w:pPr>
    <w:rPr>
      <w:sz w:val="24"/>
      <w:szCs w:val="24"/>
    </w:rPr>
  </w:style>
  <w:style w:type="character" w:styleId="36">
    <w:name w:val="Subtitle Char"/>
    <w:basedOn w:val="802"/>
    <w:link w:val="35"/>
    <w:uiPriority w:val="11"/>
    <w:rPr>
      <w:sz w:val="24"/>
      <w:szCs w:val="24"/>
    </w:rPr>
  </w:style>
  <w:style w:type="paragraph" w:styleId="37">
    <w:name w:val="Quote"/>
    <w:basedOn w:val="792"/>
    <w:next w:val="792"/>
    <w:link w:val="38"/>
    <w:uiPriority w:val="29"/>
    <w:qFormat/>
    <w:pPr>
      <w:ind w:left="720" w:right="720"/>
    </w:pPr>
    <w:rPr>
      <w:i/>
    </w:rPr>
  </w:style>
  <w:style w:type="character" w:styleId="38">
    <w:name w:val="Quote Char"/>
    <w:link w:val="37"/>
    <w:uiPriority w:val="29"/>
    <w:rPr>
      <w:i/>
    </w:rPr>
  </w:style>
  <w:style w:type="paragraph" w:styleId="39">
    <w:name w:val="Intense Quote"/>
    <w:basedOn w:val="792"/>
    <w:next w:val="7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2"/>
    <w:link w:val="822"/>
    <w:uiPriority w:val="99"/>
  </w:style>
  <w:style w:type="character" w:styleId="44">
    <w:name w:val="Footer Char"/>
    <w:basedOn w:val="802"/>
    <w:link w:val="821"/>
    <w:uiPriority w:val="99"/>
  </w:style>
  <w:style w:type="paragraph" w:styleId="45">
    <w:name w:val="Caption"/>
    <w:basedOn w:val="792"/>
    <w:next w:val="792"/>
    <w:uiPriority w:val="35"/>
    <w:semiHidden/>
    <w:unhideWhenUsed/>
    <w:qFormat/>
    <w:pPr>
      <w:spacing w:line="276" w:lineRule="auto"/>
    </w:pPr>
    <w:rPr>
      <w:b/>
      <w:bCs/>
      <w:color w:val="4f81bd" w:themeColor="accent1"/>
      <w:sz w:val="18"/>
      <w:szCs w:val="18"/>
    </w:rPr>
  </w:style>
  <w:style w:type="character" w:styleId="46">
    <w:name w:val="Caption Char"/>
    <w:basedOn w:val="45"/>
    <w:link w:val="821"/>
    <w:uiPriority w:val="99"/>
  </w:style>
  <w:style w:type="table" w:styleId="48">
    <w:name w:val="Table Grid Light"/>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2"/>
    <w:uiPriority w:val="99"/>
    <w:unhideWhenUsed/>
    <w:rPr>
      <w:vertAlign w:val="superscript"/>
    </w:rPr>
  </w:style>
  <w:style w:type="paragraph" w:styleId="177">
    <w:name w:val="endnote text"/>
    <w:basedOn w:val="7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2"/>
    <w:uiPriority w:val="99"/>
    <w:semiHidden/>
    <w:unhideWhenUsed/>
    <w:rPr>
      <w:vertAlign w:val="superscript"/>
    </w:rPr>
  </w:style>
  <w:style w:type="paragraph" w:styleId="189">
    <w:name w:val="TOC Heading"/>
    <w:uiPriority w:val="39"/>
    <w:unhideWhenUsed/>
  </w:style>
  <w:style w:type="paragraph" w:styleId="7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3">
    <w:name w:val="Heading 1"/>
    <w:basedOn w:val="792"/>
    <w:next w:val="792"/>
    <w:link w:val="847"/>
    <w:uiPriority w:val="0"/>
    <w:qFormat/>
    <w:pPr>
      <w:jc w:val="center"/>
      <w:keepNext/>
      <w:outlineLvl w:val="0"/>
    </w:pPr>
    <w:rPr>
      <w:rFonts w:ascii="楷体_GB2312" w:hAnsi="Times New Roman" w:eastAsia="楷体_GB2312"/>
      <w:sz w:val="28"/>
      <w:szCs w:val="28"/>
    </w:rPr>
  </w:style>
  <w:style w:type="paragraph" w:styleId="794">
    <w:name w:val="Heading 2"/>
    <w:basedOn w:val="792"/>
    <w:next w:val="804"/>
    <w:link w:val="8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5">
    <w:name w:val="Heading 3"/>
    <w:basedOn w:val="792"/>
    <w:next w:val="804"/>
    <w:link w:val="850"/>
    <w:uiPriority w:val="0"/>
    <w:qFormat/>
    <w:pPr>
      <w:keepLines/>
      <w:keepNext/>
      <w:spacing w:before="260" w:after="260" w:line="416" w:lineRule="auto"/>
      <w:outlineLvl w:val="2"/>
    </w:pPr>
    <w:rPr>
      <w:rFonts w:ascii="Times New Roman" w:hAnsi="Times New Roman"/>
      <w:b/>
      <w:bCs/>
      <w:sz w:val="32"/>
      <w:szCs w:val="32"/>
    </w:rPr>
  </w:style>
  <w:style w:type="paragraph" w:styleId="796">
    <w:name w:val="Heading 4"/>
    <w:basedOn w:val="792"/>
    <w:next w:val="792"/>
    <w:link w:val="851"/>
    <w:uiPriority w:val="0"/>
    <w:qFormat/>
    <w:pPr>
      <w:keepLines/>
      <w:keepNext/>
      <w:spacing w:before="280" w:after="290" w:line="376" w:lineRule="auto"/>
      <w:outlineLvl w:val="3"/>
    </w:pPr>
    <w:rPr>
      <w:rFonts w:ascii="Arial" w:hAnsi="Arial" w:eastAsia="黑体" w:cs="Arial"/>
      <w:b/>
      <w:bCs/>
      <w:sz w:val="28"/>
      <w:szCs w:val="28"/>
    </w:rPr>
  </w:style>
  <w:style w:type="paragraph" w:styleId="797">
    <w:name w:val="Heading 5"/>
    <w:basedOn w:val="792"/>
    <w:next w:val="804"/>
    <w:link w:val="852"/>
    <w:uiPriority w:val="0"/>
    <w:qFormat/>
    <w:pPr>
      <w:keepNext/>
      <w:outlineLvl w:val="4"/>
    </w:pPr>
    <w:rPr>
      <w:rFonts w:ascii="宋体" w:hAnsi="Times New Roman"/>
      <w:color w:val="000000"/>
      <w:sz w:val="28"/>
      <w:szCs w:val="28"/>
    </w:rPr>
  </w:style>
  <w:style w:type="paragraph" w:styleId="798">
    <w:name w:val="Heading 6"/>
    <w:basedOn w:val="792"/>
    <w:next w:val="792"/>
    <w:link w:val="8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9">
    <w:name w:val="Heading 7"/>
    <w:basedOn w:val="792"/>
    <w:next w:val="792"/>
    <w:link w:val="85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00">
    <w:name w:val="Heading 8"/>
    <w:basedOn w:val="792"/>
    <w:next w:val="792"/>
    <w:link w:val="8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1">
    <w:name w:val="Heading 9"/>
    <w:basedOn w:val="792"/>
    <w:next w:val="792"/>
    <w:link w:val="856"/>
    <w:uiPriority w:val="0"/>
    <w:qFormat/>
    <w:pPr>
      <w:numPr>
        <w:ilvl w:val="8"/>
        <w:numId w:val="1"/>
      </w:numPr>
      <w:keepLines/>
      <w:keepNext/>
      <w:spacing w:before="240" w:after="64" w:line="320" w:lineRule="auto"/>
      <w:outlineLvl w:val="8"/>
    </w:pPr>
    <w:rPr>
      <w:rFonts w:ascii="Arial" w:hAnsi="Arial" w:eastAsia="黑体"/>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link w:val="849"/>
    <w:uiPriority w:val="0"/>
    <w:qFormat/>
    <w:pPr>
      <w:ind w:firstLine="420"/>
    </w:pPr>
    <w:rPr>
      <w:szCs w:val="21"/>
    </w:rPr>
  </w:style>
  <w:style w:type="paragraph" w:styleId="805">
    <w:name w:val="List 3"/>
    <w:basedOn w:val="792"/>
    <w:uiPriority w:val="0"/>
    <w:qFormat/>
    <w:pPr>
      <w:ind w:left="100" w:hanging="200"/>
    </w:pPr>
    <w:rPr>
      <w:rFonts w:ascii="Times New Roman" w:hAnsi="Times New Roman"/>
      <w:szCs w:val="21"/>
    </w:rPr>
  </w:style>
  <w:style w:type="paragraph" w:styleId="806">
    <w:name w:val="toc 7"/>
    <w:basedOn w:val="792"/>
    <w:next w:val="792"/>
    <w:uiPriority w:val="0"/>
    <w:semiHidden/>
    <w:qFormat/>
    <w:pPr>
      <w:ind w:left="1260"/>
      <w:jc w:val="left"/>
    </w:pPr>
    <w:rPr>
      <w:rFonts w:ascii="Times New Roman" w:hAnsi="Times New Roman"/>
      <w:szCs w:val="21"/>
    </w:rPr>
  </w:style>
  <w:style w:type="paragraph" w:styleId="807">
    <w:name w:val="Document Map"/>
    <w:basedOn w:val="792"/>
    <w:link w:val="857"/>
    <w:uiPriority w:val="0"/>
    <w:semiHidden/>
    <w:qFormat/>
    <w:pPr>
      <w:shd w:val="clear" w:color="auto" w:fill="000080"/>
    </w:pPr>
    <w:rPr>
      <w:rFonts w:ascii="Times New Roman" w:hAnsi="Times New Roman"/>
      <w:szCs w:val="21"/>
    </w:rPr>
  </w:style>
  <w:style w:type="paragraph" w:styleId="808">
    <w:name w:val="annotation text"/>
    <w:basedOn w:val="792"/>
    <w:link w:val="858"/>
    <w:uiPriority w:val="0"/>
    <w:unhideWhenUsed/>
    <w:qFormat/>
    <w:pPr>
      <w:jc w:val="left"/>
    </w:pPr>
  </w:style>
  <w:style w:type="paragraph" w:styleId="809">
    <w:name w:val="Body Text 3"/>
    <w:basedOn w:val="792"/>
    <w:link w:val="859"/>
    <w:uiPriority w:val="0"/>
    <w:qFormat/>
    <w:rPr>
      <w:rFonts w:ascii="仿宋_GB2312" w:hAnsi="Arial" w:eastAsia="仿宋_GB2312"/>
      <w:sz w:val="32"/>
      <w:szCs w:val="32"/>
    </w:rPr>
  </w:style>
  <w:style w:type="paragraph" w:styleId="810">
    <w:name w:val="Body Text"/>
    <w:basedOn w:val="792"/>
    <w:next w:val="792"/>
    <w:link w:val="860"/>
    <w:uiPriority w:val="0"/>
    <w:qFormat/>
    <w:rPr>
      <w:rFonts w:ascii="楷体_GB2312" w:hAnsi="Arial" w:eastAsia="楷体_GB2312"/>
      <w:sz w:val="28"/>
      <w:szCs w:val="28"/>
    </w:rPr>
  </w:style>
  <w:style w:type="paragraph" w:styleId="811">
    <w:name w:val="Body Text Indent"/>
    <w:basedOn w:val="792"/>
    <w:next w:val="812"/>
    <w:link w:val="845"/>
    <w:uiPriority w:val="0"/>
    <w:unhideWhenUsed/>
    <w:qFormat/>
    <w:pPr>
      <w:ind w:left="420"/>
      <w:spacing w:after="120"/>
    </w:pPr>
  </w:style>
  <w:style w:type="paragraph" w:styleId="812">
    <w:name w:val="envelope return"/>
    <w:basedOn w:val="792"/>
    <w:uiPriority w:val="99"/>
    <w:unhideWhenUsed/>
    <w:qFormat/>
    <w:rPr>
      <w:rFonts w:ascii="Arial" w:hAnsi="Arial" w:eastAsia="楷体_GB2312"/>
      <w:sz w:val="26"/>
      <w:szCs w:val="20"/>
    </w:rPr>
  </w:style>
  <w:style w:type="paragraph" w:styleId="813">
    <w:name w:val="List 2"/>
    <w:basedOn w:val="792"/>
    <w:uiPriority w:val="0"/>
    <w:qFormat/>
    <w:pPr>
      <w:ind w:left="100" w:hanging="200"/>
    </w:pPr>
    <w:rPr>
      <w:rFonts w:ascii="Times New Roman" w:hAnsi="Times New Roman"/>
      <w:szCs w:val="21"/>
    </w:rPr>
  </w:style>
  <w:style w:type="paragraph" w:styleId="814">
    <w:name w:val="toc 5"/>
    <w:basedOn w:val="792"/>
    <w:next w:val="792"/>
    <w:uiPriority w:val="0"/>
    <w:semiHidden/>
    <w:qFormat/>
    <w:pPr>
      <w:ind w:left="840"/>
      <w:jc w:val="left"/>
    </w:pPr>
    <w:rPr>
      <w:rFonts w:ascii="Times New Roman" w:hAnsi="Times New Roman"/>
      <w:szCs w:val="21"/>
    </w:rPr>
  </w:style>
  <w:style w:type="paragraph" w:styleId="815">
    <w:name w:val="toc 3"/>
    <w:basedOn w:val="792"/>
    <w:next w:val="792"/>
    <w:uiPriority w:val="0"/>
    <w:semiHidden/>
    <w:qFormat/>
    <w:pPr>
      <w:ind w:left="420"/>
      <w:jc w:val="left"/>
    </w:pPr>
    <w:rPr>
      <w:rFonts w:ascii="Times New Roman" w:hAnsi="Times New Roman"/>
      <w:i/>
      <w:iCs/>
      <w:szCs w:val="24"/>
    </w:rPr>
  </w:style>
  <w:style w:type="paragraph" w:styleId="816">
    <w:name w:val="Plain Text"/>
    <w:basedOn w:val="792"/>
    <w:link w:val="861"/>
    <w:uiPriority w:val="0"/>
    <w:qFormat/>
    <w:rPr>
      <w:rFonts w:ascii="宋体" w:hAnsi="Courier New" w:cs="Courier New"/>
      <w:szCs w:val="21"/>
    </w:rPr>
  </w:style>
  <w:style w:type="paragraph" w:styleId="817">
    <w:name w:val="toc 8"/>
    <w:basedOn w:val="792"/>
    <w:next w:val="792"/>
    <w:uiPriority w:val="0"/>
    <w:semiHidden/>
    <w:qFormat/>
    <w:pPr>
      <w:ind w:left="1470"/>
      <w:jc w:val="left"/>
    </w:pPr>
    <w:rPr>
      <w:rFonts w:ascii="Times New Roman" w:hAnsi="Times New Roman"/>
      <w:szCs w:val="21"/>
    </w:rPr>
  </w:style>
  <w:style w:type="paragraph" w:styleId="818">
    <w:name w:val="Date"/>
    <w:basedOn w:val="792"/>
    <w:next w:val="792"/>
    <w:link w:val="862"/>
    <w:uiPriority w:val="0"/>
    <w:qFormat/>
    <w:rPr>
      <w:rFonts w:ascii="Times New Roman" w:hAnsi="Times New Roman"/>
      <w:sz w:val="24"/>
      <w:szCs w:val="24"/>
    </w:rPr>
  </w:style>
  <w:style w:type="paragraph" w:styleId="819">
    <w:name w:val="Body Text Indent 2"/>
    <w:basedOn w:val="792"/>
    <w:link w:val="863"/>
    <w:uiPriority w:val="0"/>
    <w:qFormat/>
    <w:pPr>
      <w:ind w:left="630" w:firstLine="645"/>
    </w:pPr>
    <w:rPr>
      <w:rFonts w:ascii="Arial" w:hAnsi="Arial" w:eastAsia="仿宋_GB2312" w:cs="Arial"/>
      <w:sz w:val="32"/>
      <w:szCs w:val="32"/>
    </w:rPr>
  </w:style>
  <w:style w:type="paragraph" w:styleId="820">
    <w:name w:val="Balloon Text"/>
    <w:basedOn w:val="792"/>
    <w:link w:val="864"/>
    <w:uiPriority w:val="0"/>
    <w:semiHidden/>
    <w:qFormat/>
    <w:rPr>
      <w:rFonts w:ascii="Times New Roman" w:hAnsi="Times New Roman"/>
      <w:sz w:val="18"/>
      <w:szCs w:val="18"/>
    </w:rPr>
  </w:style>
  <w:style w:type="paragraph" w:styleId="821">
    <w:name w:val="Footer"/>
    <w:basedOn w:val="792"/>
    <w:link w:val="865"/>
    <w:uiPriority w:val="0"/>
    <w:qFormat/>
    <w:pPr>
      <w:jc w:val="left"/>
      <w:tabs>
        <w:tab w:val="center" w:pos="4153" w:leader="none"/>
        <w:tab w:val="right" w:pos="8306" w:leader="none"/>
      </w:tabs>
    </w:pPr>
    <w:rPr>
      <w:rFonts w:ascii="Times New Roman" w:hAnsi="Times New Roman"/>
      <w:sz w:val="18"/>
      <w:szCs w:val="18"/>
    </w:rPr>
  </w:style>
  <w:style w:type="paragraph" w:styleId="822">
    <w:name w:val="Header"/>
    <w:basedOn w:val="792"/>
    <w:link w:val="86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23">
    <w:name w:val="toc 1"/>
    <w:basedOn w:val="792"/>
    <w:next w:val="792"/>
    <w:uiPriority w:val="0"/>
    <w:semiHidden/>
    <w:qFormat/>
    <w:pPr>
      <w:jc w:val="left"/>
      <w:spacing w:before="120" w:after="120" w:line="400" w:lineRule="exact"/>
      <w:tabs>
        <w:tab w:val="right" w:pos="8720" w:leader="dot"/>
      </w:tabs>
    </w:pPr>
    <w:rPr>
      <w:rFonts w:ascii="宋体" w:hAnsi="宋体"/>
      <w:caps/>
      <w:sz w:val="24"/>
      <w:szCs w:val="24"/>
    </w:rPr>
  </w:style>
  <w:style w:type="paragraph" w:styleId="824">
    <w:name w:val="toc 4"/>
    <w:basedOn w:val="792"/>
    <w:next w:val="792"/>
    <w:uiPriority w:val="0"/>
    <w:semiHidden/>
    <w:qFormat/>
    <w:pPr>
      <w:ind w:left="630"/>
      <w:jc w:val="left"/>
    </w:pPr>
    <w:rPr>
      <w:rFonts w:ascii="Times New Roman" w:hAnsi="Times New Roman"/>
      <w:szCs w:val="21"/>
    </w:rPr>
  </w:style>
  <w:style w:type="paragraph" w:styleId="825">
    <w:name w:val="List"/>
    <w:basedOn w:val="792"/>
    <w:uiPriority w:val="0"/>
    <w:qFormat/>
    <w:pPr>
      <w:ind w:left="200" w:hanging="200"/>
    </w:pPr>
    <w:rPr>
      <w:rFonts w:ascii="Times New Roman" w:hAnsi="Times New Roman"/>
      <w:szCs w:val="21"/>
    </w:rPr>
  </w:style>
  <w:style w:type="paragraph" w:styleId="826">
    <w:name w:val="toc 6"/>
    <w:basedOn w:val="792"/>
    <w:next w:val="792"/>
    <w:uiPriority w:val="0"/>
    <w:semiHidden/>
    <w:qFormat/>
    <w:pPr>
      <w:ind w:left="1050"/>
      <w:jc w:val="left"/>
    </w:pPr>
    <w:rPr>
      <w:rFonts w:ascii="Times New Roman" w:hAnsi="Times New Roman"/>
      <w:szCs w:val="21"/>
    </w:rPr>
  </w:style>
  <w:style w:type="paragraph" w:styleId="827">
    <w:name w:val="Body Text Indent 3"/>
    <w:basedOn w:val="792"/>
    <w:link w:val="867"/>
    <w:uiPriority w:val="0"/>
    <w:qFormat/>
    <w:pPr>
      <w:ind w:left="645" w:firstLine="645"/>
    </w:pPr>
    <w:rPr>
      <w:rFonts w:ascii="Arial" w:hAnsi="Arial" w:eastAsia="仿宋_GB2312" w:cs="Arial"/>
      <w:color w:val="ffff00"/>
      <w:sz w:val="32"/>
      <w:szCs w:val="32"/>
    </w:rPr>
  </w:style>
  <w:style w:type="paragraph" w:styleId="828">
    <w:name w:val="table of figures"/>
    <w:basedOn w:val="792"/>
    <w:next w:val="792"/>
    <w:uiPriority w:val="0"/>
    <w:semiHidden/>
    <w:qFormat/>
    <w:pPr>
      <w:ind w:left="840" w:hanging="420"/>
    </w:pPr>
    <w:rPr>
      <w:rFonts w:ascii="Times New Roman" w:hAnsi="Times New Roman"/>
      <w:szCs w:val="21"/>
    </w:rPr>
  </w:style>
  <w:style w:type="paragraph" w:styleId="829">
    <w:name w:val="toc 2"/>
    <w:basedOn w:val="792"/>
    <w:next w:val="792"/>
    <w:uiPriority w:val="0"/>
    <w:semiHidden/>
    <w:qFormat/>
    <w:pPr>
      <w:ind w:left="210"/>
      <w:jc w:val="left"/>
    </w:pPr>
    <w:rPr>
      <w:rFonts w:ascii="Times New Roman" w:hAnsi="Times New Roman"/>
      <w:smallCaps/>
      <w:szCs w:val="24"/>
    </w:rPr>
  </w:style>
  <w:style w:type="paragraph" w:styleId="830">
    <w:name w:val="toc 9"/>
    <w:basedOn w:val="792"/>
    <w:next w:val="792"/>
    <w:uiPriority w:val="0"/>
    <w:semiHidden/>
    <w:qFormat/>
    <w:pPr>
      <w:ind w:left="1680"/>
      <w:jc w:val="left"/>
    </w:pPr>
    <w:rPr>
      <w:rFonts w:ascii="Times New Roman" w:hAnsi="Times New Roman"/>
      <w:szCs w:val="21"/>
    </w:rPr>
  </w:style>
  <w:style w:type="paragraph" w:styleId="831">
    <w:name w:val="Body Text 2"/>
    <w:basedOn w:val="792"/>
    <w:link w:val="868"/>
    <w:uiPriority w:val="0"/>
    <w:qFormat/>
    <w:pPr>
      <w:jc w:val="center"/>
      <w:widowControl/>
    </w:pPr>
    <w:rPr>
      <w:rFonts w:ascii="楷体_GB2312" w:hAnsi="Times New Roman" w:eastAsia="楷体_GB2312"/>
      <w:sz w:val="28"/>
      <w:szCs w:val="28"/>
    </w:rPr>
  </w:style>
  <w:style w:type="paragraph" w:styleId="832">
    <w:name w:val="Normal (Web)"/>
    <w:basedOn w:val="792"/>
    <w:uiPriority w:val="99"/>
    <w:qFormat/>
    <w:pPr>
      <w:jc w:val="left"/>
      <w:spacing w:before="100" w:beforeAutospacing="1" w:after="100" w:afterAutospacing="1"/>
      <w:widowControl/>
    </w:pPr>
    <w:rPr>
      <w:rFonts w:ascii="宋体" w:hAnsi="宋体" w:cs="宋体"/>
      <w:sz w:val="24"/>
      <w:szCs w:val="24"/>
    </w:rPr>
  </w:style>
  <w:style w:type="paragraph" w:styleId="833">
    <w:name w:val="index 1"/>
    <w:basedOn w:val="792"/>
    <w:next w:val="792"/>
    <w:uiPriority w:val="0"/>
    <w:semiHidden/>
    <w:qFormat/>
    <w:pPr>
      <w:spacing w:line="240" w:lineRule="atLeast"/>
    </w:pPr>
    <w:rPr>
      <w:rFonts w:ascii="Times New Roman" w:hAnsi="Times New Roman"/>
      <w:b/>
      <w:bCs/>
      <w:szCs w:val="21"/>
    </w:rPr>
  </w:style>
  <w:style w:type="paragraph" w:styleId="834">
    <w:name w:val="annotation subject"/>
    <w:basedOn w:val="808"/>
    <w:next w:val="808"/>
    <w:link w:val="869"/>
    <w:uiPriority w:val="0"/>
    <w:semiHidden/>
    <w:qFormat/>
    <w:rPr>
      <w:rFonts w:ascii="Times New Roman" w:hAnsi="Times New Roman"/>
      <w:b/>
      <w:bCs/>
      <w:szCs w:val="21"/>
    </w:rPr>
  </w:style>
  <w:style w:type="paragraph" w:styleId="835">
    <w:name w:val="Body Text First Indent"/>
    <w:basedOn w:val="810"/>
    <w:link w:val="870"/>
    <w:uiPriority w:val="0"/>
    <w:qFormat/>
    <w:pPr>
      <w:ind w:firstLine="200"/>
      <w:spacing w:line="360" w:lineRule="auto"/>
    </w:pPr>
    <w:rPr>
      <w:rFonts w:ascii="仿宋_GB2312" w:hAnsi="Times New Roman" w:eastAsia="仿宋_GB2312"/>
      <w:sz w:val="30"/>
      <w:szCs w:val="30"/>
    </w:rPr>
  </w:style>
  <w:style w:type="paragraph" w:styleId="836">
    <w:name w:val="Body Text First Indent 2"/>
    <w:basedOn w:val="811"/>
    <w:next w:val="792"/>
    <w:link w:val="846"/>
    <w:uiPriority w:val="0"/>
    <w:qFormat/>
    <w:pPr>
      <w:ind w:left="0" w:firstLine="420"/>
      <w:spacing w:after="0" w:line="360" w:lineRule="auto"/>
    </w:pPr>
    <w:rPr>
      <w:rFonts w:ascii="宋体" w:hAnsi="宋体"/>
      <w:szCs w:val="20"/>
    </w:rPr>
  </w:style>
  <w:style w:type="table" w:styleId="837">
    <w:name w:val="Table Grid"/>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uiPriority w:val="0"/>
    <w:qFormat/>
    <w:rPr>
      <w:b/>
      <w:bCs/>
    </w:rPr>
  </w:style>
  <w:style w:type="character" w:styleId="839">
    <w:name w:val="page number"/>
    <w:uiPriority w:val="0"/>
    <w:qFormat/>
  </w:style>
  <w:style w:type="character" w:styleId="840">
    <w:name w:val="FollowedHyperlink"/>
    <w:uiPriority w:val="0"/>
    <w:qFormat/>
    <w:rPr>
      <w:color w:val="800080"/>
      <w:u w:val="single"/>
    </w:rPr>
  </w:style>
  <w:style w:type="character" w:styleId="841">
    <w:name w:val="Emphasis"/>
    <w:basedOn w:val="802"/>
    <w:uiPriority w:val="20"/>
    <w:qFormat/>
    <w:rPr>
      <w:i/>
      <w:iCs/>
    </w:rPr>
  </w:style>
  <w:style w:type="character" w:styleId="842">
    <w:name w:val="Hyperlink"/>
    <w:uiPriority w:val="0"/>
    <w:qFormat/>
    <w:rPr>
      <w:color w:val="0000ff"/>
      <w:u w:val="single"/>
    </w:rPr>
  </w:style>
  <w:style w:type="character" w:styleId="843">
    <w:name w:val="annotation reference"/>
    <w:uiPriority w:val="0"/>
    <w:semiHidden/>
    <w:qFormat/>
    <w:rPr>
      <w:sz w:val="21"/>
      <w:szCs w:val="21"/>
    </w:rPr>
  </w:style>
  <w:style w:type="paragraph" w:styleId="844" w:customStyle="1">
    <w:name w:val="正文（缩进）"/>
    <w:basedOn w:val="792"/>
    <w:uiPriority w:val="0"/>
    <w:qFormat/>
    <w:pPr>
      <w:ind w:firstLine="480"/>
      <w:spacing w:before="156" w:after="156"/>
    </w:pPr>
  </w:style>
  <w:style w:type="character" w:styleId="845" w:customStyle="1">
    <w:name w:val="正文文本缩进 Char"/>
    <w:basedOn w:val="802"/>
    <w:link w:val="811"/>
    <w:uiPriority w:val="99"/>
    <w:semiHidden/>
    <w:qFormat/>
  </w:style>
  <w:style w:type="character" w:styleId="846" w:customStyle="1">
    <w:name w:val="正文首行缩进 2 Char"/>
    <w:link w:val="836"/>
    <w:uiPriority w:val="0"/>
    <w:qFormat/>
    <w:rPr>
      <w:rFonts w:ascii="宋体" w:hAnsi="宋体" w:eastAsia="宋体" w:cs="Times New Roman"/>
      <w:szCs w:val="20"/>
    </w:rPr>
  </w:style>
  <w:style w:type="character" w:styleId="847" w:customStyle="1">
    <w:name w:val="标题 1 Char"/>
    <w:link w:val="793"/>
    <w:uiPriority w:val="0"/>
    <w:qFormat/>
    <w:rPr>
      <w:rFonts w:ascii="楷体_GB2312" w:hAnsi="Times New Roman" w:eastAsia="楷体_GB2312" w:cs="Times New Roman"/>
      <w:sz w:val="28"/>
      <w:szCs w:val="28"/>
    </w:rPr>
  </w:style>
  <w:style w:type="character" w:styleId="848" w:customStyle="1">
    <w:name w:val="标题 2 Char"/>
    <w:link w:val="794"/>
    <w:uiPriority w:val="0"/>
    <w:qFormat/>
    <w:rPr>
      <w:rFonts w:ascii="Arial" w:hAnsi="Arial" w:eastAsia="幼圆" w:cs="Arial"/>
      <w:b/>
      <w:bCs/>
      <w:sz w:val="44"/>
      <w:szCs w:val="44"/>
    </w:rPr>
  </w:style>
  <w:style w:type="character" w:styleId="849" w:customStyle="1">
    <w:name w:val="正文缩进 Char"/>
    <w:link w:val="804"/>
    <w:uiPriority w:val="0"/>
    <w:qFormat/>
    <w:rPr>
      <w:szCs w:val="21"/>
    </w:rPr>
  </w:style>
  <w:style w:type="character" w:styleId="850" w:customStyle="1">
    <w:name w:val="标题 3 Char"/>
    <w:link w:val="795"/>
    <w:uiPriority w:val="0"/>
    <w:qFormat/>
    <w:rPr>
      <w:rFonts w:ascii="Times New Roman" w:hAnsi="Times New Roman" w:eastAsia="宋体" w:cs="Times New Roman"/>
      <w:b/>
      <w:bCs/>
      <w:sz w:val="32"/>
      <w:szCs w:val="32"/>
    </w:rPr>
  </w:style>
  <w:style w:type="character" w:styleId="851" w:customStyle="1">
    <w:name w:val="标题 4 Char"/>
    <w:link w:val="796"/>
    <w:uiPriority w:val="0"/>
    <w:qFormat/>
    <w:rPr>
      <w:rFonts w:ascii="Arial" w:hAnsi="Arial" w:eastAsia="黑体" w:cs="Arial"/>
      <w:b/>
      <w:bCs/>
      <w:sz w:val="28"/>
      <w:szCs w:val="28"/>
    </w:rPr>
  </w:style>
  <w:style w:type="character" w:styleId="852" w:customStyle="1">
    <w:name w:val="标题 5 Char"/>
    <w:link w:val="797"/>
    <w:uiPriority w:val="0"/>
    <w:qFormat/>
    <w:rPr>
      <w:rFonts w:ascii="宋体" w:hAnsi="Times New Roman" w:eastAsia="宋体" w:cs="Times New Roman"/>
      <w:color w:val="000000"/>
      <w:sz w:val="28"/>
      <w:szCs w:val="28"/>
    </w:rPr>
  </w:style>
  <w:style w:type="character" w:styleId="853" w:customStyle="1">
    <w:name w:val="标题 6 Char"/>
    <w:link w:val="798"/>
    <w:uiPriority w:val="0"/>
    <w:qFormat/>
    <w:rPr>
      <w:rFonts w:ascii="Arial" w:hAnsi="Arial" w:eastAsia="黑体" w:cs="Times New Roman"/>
      <w:b/>
      <w:bCs/>
      <w:sz w:val="24"/>
      <w:szCs w:val="24"/>
    </w:rPr>
  </w:style>
  <w:style w:type="character" w:styleId="854" w:customStyle="1">
    <w:name w:val="标题 7 Char"/>
    <w:link w:val="799"/>
    <w:uiPriority w:val="0"/>
    <w:qFormat/>
    <w:rPr>
      <w:rFonts w:ascii="Times New Roman" w:hAnsi="Times New Roman" w:eastAsia="宋体" w:cs="Times New Roman"/>
      <w:b/>
      <w:bCs/>
      <w:sz w:val="24"/>
      <w:szCs w:val="24"/>
    </w:rPr>
  </w:style>
  <w:style w:type="character" w:styleId="855" w:customStyle="1">
    <w:name w:val="标题 8 Char"/>
    <w:link w:val="800"/>
    <w:uiPriority w:val="0"/>
    <w:qFormat/>
    <w:rPr>
      <w:rFonts w:ascii="Arial" w:hAnsi="Arial" w:eastAsia="黑体" w:cs="Times New Roman"/>
      <w:sz w:val="24"/>
      <w:szCs w:val="24"/>
    </w:rPr>
  </w:style>
  <w:style w:type="character" w:styleId="856" w:customStyle="1">
    <w:name w:val="标题 9 Char"/>
    <w:link w:val="801"/>
    <w:uiPriority w:val="0"/>
    <w:qFormat/>
    <w:rPr>
      <w:rFonts w:ascii="Arial" w:hAnsi="Arial" w:eastAsia="黑体" w:cs="Times New Roman"/>
      <w:szCs w:val="21"/>
    </w:rPr>
  </w:style>
  <w:style w:type="character" w:styleId="857" w:customStyle="1">
    <w:name w:val="文档结构图 Char"/>
    <w:link w:val="807"/>
    <w:uiPriority w:val="0"/>
    <w:semiHidden/>
    <w:qFormat/>
    <w:rPr>
      <w:rFonts w:ascii="Times New Roman" w:hAnsi="Times New Roman" w:eastAsia="宋体" w:cs="Times New Roman"/>
      <w:szCs w:val="21"/>
      <w:shd w:val="clear" w:color="auto" w:fill="000080"/>
    </w:rPr>
  </w:style>
  <w:style w:type="character" w:styleId="858" w:customStyle="1">
    <w:name w:val="批注文字 Char"/>
    <w:basedOn w:val="802"/>
    <w:link w:val="808"/>
    <w:uiPriority w:val="99"/>
    <w:semiHidden/>
    <w:qFormat/>
  </w:style>
  <w:style w:type="character" w:styleId="859" w:customStyle="1">
    <w:name w:val="正文文本 3 Char"/>
    <w:link w:val="809"/>
    <w:uiPriority w:val="0"/>
    <w:qFormat/>
    <w:rPr>
      <w:rFonts w:ascii="仿宋_GB2312" w:hAnsi="Arial" w:eastAsia="仿宋_GB2312" w:cs="Times New Roman"/>
      <w:sz w:val="32"/>
      <w:szCs w:val="32"/>
    </w:rPr>
  </w:style>
  <w:style w:type="character" w:styleId="860" w:customStyle="1">
    <w:name w:val="正文文本 Char"/>
    <w:link w:val="810"/>
    <w:uiPriority w:val="0"/>
    <w:qFormat/>
    <w:rPr>
      <w:rFonts w:ascii="楷体_GB2312" w:hAnsi="Arial" w:eastAsia="楷体_GB2312" w:cs="Times New Roman"/>
      <w:sz w:val="28"/>
      <w:szCs w:val="28"/>
    </w:rPr>
  </w:style>
  <w:style w:type="character" w:styleId="861" w:customStyle="1">
    <w:name w:val="纯文本 Char"/>
    <w:link w:val="816"/>
    <w:uiPriority w:val="0"/>
    <w:qFormat/>
    <w:rPr>
      <w:rFonts w:ascii="宋体" w:hAnsi="Courier New" w:eastAsia="宋体" w:cs="Courier New"/>
      <w:szCs w:val="21"/>
    </w:rPr>
  </w:style>
  <w:style w:type="character" w:styleId="862" w:customStyle="1">
    <w:name w:val="日期 Char"/>
    <w:link w:val="818"/>
    <w:uiPriority w:val="0"/>
    <w:qFormat/>
    <w:rPr>
      <w:rFonts w:ascii="Times New Roman" w:hAnsi="Times New Roman" w:eastAsia="宋体" w:cs="Times New Roman"/>
      <w:sz w:val="24"/>
      <w:szCs w:val="24"/>
    </w:rPr>
  </w:style>
  <w:style w:type="character" w:styleId="863" w:customStyle="1">
    <w:name w:val="正文文本缩进 2 Char"/>
    <w:link w:val="819"/>
    <w:uiPriority w:val="0"/>
    <w:qFormat/>
    <w:rPr>
      <w:rFonts w:ascii="Arial" w:hAnsi="Arial" w:eastAsia="仿宋_GB2312" w:cs="Arial"/>
      <w:sz w:val="32"/>
      <w:szCs w:val="32"/>
    </w:rPr>
  </w:style>
  <w:style w:type="character" w:styleId="864" w:customStyle="1">
    <w:name w:val="批注框文本 Char"/>
    <w:link w:val="820"/>
    <w:uiPriority w:val="0"/>
    <w:semiHidden/>
    <w:qFormat/>
    <w:rPr>
      <w:rFonts w:ascii="Times New Roman" w:hAnsi="Times New Roman" w:eastAsia="宋体" w:cs="Times New Roman"/>
      <w:sz w:val="18"/>
      <w:szCs w:val="18"/>
    </w:rPr>
  </w:style>
  <w:style w:type="character" w:styleId="865" w:customStyle="1">
    <w:name w:val="页脚 Char"/>
    <w:link w:val="821"/>
    <w:uiPriority w:val="0"/>
    <w:qFormat/>
    <w:rPr>
      <w:rFonts w:ascii="Times New Roman" w:hAnsi="Times New Roman" w:eastAsia="宋体" w:cs="Times New Roman"/>
      <w:sz w:val="18"/>
      <w:szCs w:val="18"/>
    </w:rPr>
  </w:style>
  <w:style w:type="character" w:styleId="866" w:customStyle="1">
    <w:name w:val="页眉 Char"/>
    <w:link w:val="822"/>
    <w:uiPriority w:val="0"/>
    <w:qFormat/>
    <w:rPr>
      <w:rFonts w:ascii="Times New Roman" w:hAnsi="Times New Roman" w:eastAsia="宋体" w:cs="Times New Roman"/>
      <w:sz w:val="18"/>
      <w:szCs w:val="18"/>
    </w:rPr>
  </w:style>
  <w:style w:type="character" w:styleId="867" w:customStyle="1">
    <w:name w:val="正文文本缩进 3 Char"/>
    <w:link w:val="827"/>
    <w:uiPriority w:val="0"/>
    <w:qFormat/>
    <w:rPr>
      <w:rFonts w:ascii="Arial" w:hAnsi="Arial" w:eastAsia="仿宋_GB2312" w:cs="Arial"/>
      <w:color w:val="ffff00"/>
      <w:sz w:val="32"/>
      <w:szCs w:val="32"/>
    </w:rPr>
  </w:style>
  <w:style w:type="character" w:styleId="868" w:customStyle="1">
    <w:name w:val="正文文本 2 Char"/>
    <w:link w:val="831"/>
    <w:uiPriority w:val="0"/>
    <w:qFormat/>
    <w:rPr>
      <w:rFonts w:ascii="楷体_GB2312" w:hAnsi="Times New Roman" w:eastAsia="楷体_GB2312" w:cs="Times New Roman"/>
      <w:sz w:val="28"/>
      <w:szCs w:val="28"/>
    </w:rPr>
  </w:style>
  <w:style w:type="character" w:styleId="869" w:customStyle="1">
    <w:name w:val="批注主题 Char"/>
    <w:link w:val="834"/>
    <w:uiPriority w:val="0"/>
    <w:semiHidden/>
    <w:qFormat/>
    <w:rPr>
      <w:rFonts w:ascii="Times New Roman" w:hAnsi="Times New Roman" w:eastAsia="宋体" w:cs="Times New Roman"/>
      <w:b/>
      <w:bCs/>
      <w:szCs w:val="21"/>
    </w:rPr>
  </w:style>
  <w:style w:type="character" w:styleId="870" w:customStyle="1">
    <w:name w:val="正文首行缩进 Char"/>
    <w:link w:val="835"/>
    <w:uiPriority w:val="0"/>
    <w:qFormat/>
    <w:rPr>
      <w:rFonts w:ascii="仿宋_GB2312" w:hAnsi="Times New Roman" w:eastAsia="仿宋_GB2312" w:cs="Times New Roman"/>
      <w:sz w:val="30"/>
      <w:szCs w:val="30"/>
    </w:rPr>
  </w:style>
  <w:style w:type="character" w:styleId="871" w:customStyle="1">
    <w:name w:val="font5 Char"/>
    <w:uiPriority w:val="0"/>
    <w:qFormat/>
    <w:rPr>
      <w:rFonts w:ascii="宋体" w:hAnsi="宋体" w:eastAsia="宋体"/>
      <w:sz w:val="28"/>
      <w:szCs w:val="28"/>
      <w:lang w:val="en-US" w:eastAsia="zh-CN" w:bidi="ar-SA"/>
    </w:rPr>
  </w:style>
  <w:style w:type="character" w:styleId="872" w:customStyle="1">
    <w:name w:val="二级目录 Char"/>
    <w:link w:val="873"/>
    <w:uiPriority w:val="0"/>
    <w:qFormat/>
    <w:rPr>
      <w:rFonts w:ascii="Calibri" w:hAnsi="Calibri"/>
      <w:b/>
      <w:sz w:val="30"/>
      <w:szCs w:val="28"/>
    </w:rPr>
  </w:style>
  <w:style w:type="paragraph" w:styleId="873" w:customStyle="1">
    <w:name w:val="二级目录"/>
    <w:next w:val="792"/>
    <w:link w:val="87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74" w:customStyle="1">
    <w:name w:val="列出段落 Char"/>
    <w:link w:val="875"/>
    <w:uiPriority w:val="0"/>
    <w:qFormat/>
    <w:rPr>
      <w:rFonts w:ascii="Calibri" w:hAnsi="Calibri"/>
      <w:sz w:val="24"/>
      <w:szCs w:val="24"/>
      <w:lang w:eastAsia="en-US" w:bidi="en-US"/>
    </w:rPr>
  </w:style>
  <w:style w:type="paragraph" w:styleId="875" w:customStyle="1">
    <w:name w:val="列出段落1"/>
    <w:basedOn w:val="792"/>
    <w:link w:val="874"/>
    <w:uiPriority w:val="0"/>
    <w:qFormat/>
    <w:pPr>
      <w:contextualSpacing/>
      <w:ind w:left="720"/>
      <w:jc w:val="left"/>
      <w:widowControl/>
    </w:pPr>
    <w:rPr>
      <w:sz w:val="24"/>
      <w:szCs w:val="24"/>
      <w:lang w:eastAsia="en-US" w:bidi="en-US"/>
    </w:rPr>
  </w:style>
  <w:style w:type="paragraph" w:styleId="876" w:customStyle="1">
    <w:name w:val="Body Text(ch)"/>
    <w:basedOn w:val="792"/>
    <w:next w:val="810"/>
    <w:uiPriority w:val="0"/>
    <w:qFormat/>
    <w:pPr>
      <w:spacing w:after="120"/>
    </w:pPr>
    <w:rPr>
      <w:rFonts w:ascii="宋体" w:hAnsi="Arial"/>
      <w:bCs/>
      <w:iCs/>
      <w:szCs w:val="24"/>
    </w:rPr>
  </w:style>
  <w:style w:type="paragraph" w:styleId="877" w:customStyle="1">
    <w:name w:val="xl2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78" w:customStyle="1">
    <w:name w:val="xl2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79" w:customStyle="1">
    <w:name w:val="Char"/>
    <w:basedOn w:val="792"/>
    <w:uiPriority w:val="0"/>
    <w:qFormat/>
    <w:pPr>
      <w:ind w:firstLine="200"/>
      <w:tabs>
        <w:tab w:val="left" w:pos="360" w:leader="none"/>
      </w:tabs>
    </w:pPr>
    <w:rPr>
      <w:rFonts w:ascii="Times New Roman" w:hAnsi="Times New Roman"/>
      <w:sz w:val="28"/>
      <w:szCs w:val="30"/>
    </w:rPr>
  </w:style>
  <w:style w:type="paragraph" w:styleId="880" w:customStyle="1">
    <w:name w:val="Char1"/>
    <w:basedOn w:val="807"/>
    <w:uiPriority w:val="0"/>
    <w:qFormat/>
    <w:rPr>
      <w:rFonts w:ascii="Tahoma" w:hAnsi="Tahoma"/>
      <w:sz w:val="24"/>
      <w:szCs w:val="24"/>
    </w:rPr>
  </w:style>
  <w:style w:type="paragraph" w:styleId="881"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882" w:customStyle="1">
    <w:name w:val="table_lines"/>
    <w:basedOn w:val="792"/>
    <w:uiPriority w:val="0"/>
    <w:qFormat/>
    <w:pPr>
      <w:jc w:val="left"/>
      <w:widowControl/>
    </w:pPr>
    <w:rPr>
      <w:rFonts w:ascii="Times New Roman" w:hAnsi="Times New Roman"/>
      <w:sz w:val="20"/>
      <w:szCs w:val="20"/>
      <w:lang w:val="de-DE" w:eastAsia="de-DE"/>
    </w:rPr>
  </w:style>
  <w:style w:type="paragraph" w:styleId="88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84"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885" w:customStyle="1">
    <w:name w:val="Char Char Char Char"/>
    <w:basedOn w:val="807"/>
    <w:uiPriority w:val="0"/>
    <w:qFormat/>
    <w:pPr>
      <w:spacing w:line="360" w:lineRule="auto"/>
    </w:pPr>
    <w:rPr>
      <w:rFonts w:ascii="Tahoma" w:hAnsi="Tahoma"/>
      <w:sz w:val="24"/>
      <w:szCs w:val="24"/>
    </w:rPr>
  </w:style>
  <w:style w:type="paragraph" w:styleId="886">
    <w:name w:val="List Paragraph"/>
    <w:basedOn w:val="792"/>
    <w:uiPriority w:val="34"/>
    <w:qFormat/>
    <w:pPr>
      <w:contextualSpacing/>
      <w:ind w:left="720"/>
      <w:jc w:val="left"/>
      <w:widowControl/>
    </w:pPr>
    <w:rPr>
      <w:sz w:val="24"/>
      <w:szCs w:val="24"/>
      <w:lang w:eastAsia="en-US" w:bidi="en-US"/>
    </w:rPr>
  </w:style>
  <w:style w:type="paragraph" w:styleId="887" w:customStyle="1">
    <w:name w:val="4"/>
    <w:basedOn w:val="792"/>
    <w:next w:val="827"/>
    <w:uiPriority w:val="0"/>
    <w:qFormat/>
    <w:pPr>
      <w:ind w:firstLine="420"/>
      <w:spacing w:line="360" w:lineRule="auto"/>
    </w:pPr>
    <w:rPr>
      <w:rFonts w:ascii="Times New Roman" w:hAnsi="Times New Roman"/>
      <w:color w:val="ff0000"/>
      <w:sz w:val="24"/>
      <w:szCs w:val="24"/>
    </w:rPr>
  </w:style>
  <w:style w:type="paragraph" w:styleId="888"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889" w:customStyle="1">
    <w:name w:val="Char Char Char Char Char Char Char Char Char Char"/>
    <w:basedOn w:val="792"/>
    <w:uiPriority w:val="0"/>
    <w:qFormat/>
    <w:pPr>
      <w:spacing w:line="360" w:lineRule="auto"/>
    </w:pPr>
    <w:rPr>
      <w:rFonts w:ascii="Times New Roman" w:hAnsi="Times New Roman"/>
      <w:sz w:val="24"/>
      <w:szCs w:val="20"/>
    </w:rPr>
  </w:style>
  <w:style w:type="paragraph" w:styleId="890" w:customStyle="1">
    <w:name w:val="样式1"/>
    <w:basedOn w:val="792"/>
    <w:uiPriority w:val="0"/>
    <w:qFormat/>
    <w:pPr>
      <w:numPr>
        <w:ilvl w:val="0"/>
        <w:numId w:val="3"/>
      </w:numPr>
    </w:pPr>
    <w:rPr>
      <w:rFonts w:ascii="宋体" w:hAnsi="宋体"/>
      <w:szCs w:val="21"/>
    </w:rPr>
  </w:style>
  <w:style w:type="paragraph" w:styleId="891"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892"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94"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895" w:customStyle="1">
    <w:name w:val="xl24"/>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6" w:customStyle="1">
    <w:name w:val="xl29"/>
    <w:basedOn w:val="79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97"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898" w:customStyle="1">
    <w:name w:val="xl28"/>
    <w:basedOn w:val="7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99"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900"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901" w:customStyle="1">
    <w:name w:val="Char Char Char Char1"/>
    <w:basedOn w:val="807"/>
    <w:uiPriority w:val="0"/>
    <w:qFormat/>
    <w:pPr>
      <w:spacing w:line="360" w:lineRule="auto"/>
    </w:pPr>
    <w:rPr>
      <w:rFonts w:ascii="Tahoma" w:hAnsi="Tahoma"/>
      <w:sz w:val="24"/>
      <w:szCs w:val="24"/>
    </w:rPr>
  </w:style>
  <w:style w:type="paragraph" w:styleId="902" w:customStyle="1">
    <w:name w:val="table_1stline"/>
    <w:basedOn w:val="792"/>
    <w:uiPriority w:val="0"/>
    <w:qFormat/>
    <w:pPr>
      <w:jc w:val="left"/>
      <w:spacing w:before="120"/>
      <w:widowControl/>
    </w:pPr>
    <w:rPr>
      <w:rFonts w:ascii="Times New Roman" w:hAnsi="Times New Roman"/>
      <w:bCs/>
      <w:sz w:val="20"/>
      <w:szCs w:val="20"/>
      <w:lang w:val="de-DE" w:eastAsia="de-DE"/>
    </w:rPr>
  </w:style>
  <w:style w:type="paragraph" w:styleId="903"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904"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05" w:customStyle="1">
    <w:name w:val="_Style 111"/>
    <w:uiPriority w:val="99"/>
    <w:semiHidden/>
    <w:qFormat/>
    <w:rPr>
      <w:rFonts w:ascii="Times New Roman" w:hAnsi="Times New Roman" w:eastAsia="宋体" w:cs="Times New Roman"/>
      <w:sz w:val="21"/>
      <w:szCs w:val="21"/>
      <w:lang w:val="en-US" w:eastAsia="zh-CN" w:bidi="ar-SA"/>
    </w:rPr>
  </w:style>
  <w:style w:type="paragraph" w:styleId="90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7" w:customStyle="1">
    <w:name w:val="目录 82"/>
    <w:next w:val="792"/>
    <w:uiPriority w:val="0"/>
    <w:qFormat/>
    <w:pPr>
      <w:ind w:left="2550"/>
      <w:jc w:val="both"/>
    </w:pPr>
    <w:rPr>
      <w:rFonts w:ascii="Calibri" w:hAnsi="Calibri" w:eastAsia="宋体" w:cs="Times New Roman"/>
      <w:sz w:val="21"/>
      <w:lang w:val="en-US" w:eastAsia="zh-CN" w:bidi="ar-SA"/>
    </w:rPr>
  </w:style>
  <w:style w:type="paragraph" w:styleId="908" w:customStyle="1">
    <w:name w:val="段"/>
    <w:next w:val="79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09" w:customStyle="1">
    <w:name w:val="修订1"/>
    <w:hidden/>
    <w:uiPriority w:val="99"/>
    <w:unhideWhenUsed/>
    <w:qFormat/>
    <w:rPr>
      <w:rFonts w:ascii="Calibri" w:hAnsi="Calibri" w:eastAsia="宋体" w:cs="Times New Roman"/>
      <w:sz w:val="21"/>
      <w:szCs w:val="22"/>
      <w:lang w:val="en-US" w:eastAsia="zh-CN" w:bidi="ar-SA"/>
    </w:rPr>
  </w:style>
  <w:style w:type="paragraph" w:styleId="910" w:customStyle="1">
    <w:name w:val="DAS正文"/>
    <w:basedOn w:val="792"/>
    <w:uiPriority w:val="0"/>
    <w:qFormat/>
    <w:pPr>
      <w:ind w:right="181" w:firstLine="480"/>
      <w:spacing w:line="360" w:lineRule="auto"/>
    </w:pPr>
    <w:rPr>
      <w:rFonts w:ascii="Verdana" w:hAnsi="Verdana"/>
      <w:szCs w:val="24"/>
    </w:rPr>
  </w:style>
  <w:style w:type="table" w:styleId="911" w:customStyle="1">
    <w:name w:val="Table Normal"/>
    <w:uiPriority w:val="0"/>
    <w:semiHidden/>
    <w:unhideWhenUsed/>
    <w:qFormat/>
    <w:tblPr>
      <w:tblCellMar>
        <w:left w:w="0" w:type="dxa"/>
        <w:top w:w="0" w:type="dxa"/>
        <w:right w:w="0" w:type="dxa"/>
        <w:bottom w:w="0" w:type="dxa"/>
      </w:tblCellMar>
    </w:tblPr>
  </w:style>
  <w:style w:type="paragraph" w:styleId="912" w:customStyle="1">
    <w:name w:val="修订2"/>
    <w:hidden/>
    <w:uiPriority w:val="99"/>
    <w:unhideWhenUsed/>
    <w:qFormat/>
    <w:rPr>
      <w:rFonts w:ascii="Calibri" w:hAnsi="Calibri" w:eastAsia="宋体" w:cs="Times New Roman"/>
      <w:sz w:val="21"/>
      <w:szCs w:val="22"/>
      <w:lang w:val="en-US" w:eastAsia="zh-CN" w:bidi="ar-SA"/>
    </w:rPr>
  </w:style>
  <w:style w:type="paragraph" w:styleId="913" w:customStyle="1">
    <w:name w:val="修订3"/>
    <w:hidden/>
    <w:uiPriority w:val="99"/>
    <w:unhideWhenUsed/>
    <w:qFormat/>
    <w:rPr>
      <w:rFonts w:ascii="Calibri" w:hAnsi="Calibri" w:eastAsia="宋体" w:cs="Times New Roman"/>
      <w:sz w:val="21"/>
      <w:szCs w:val="22"/>
      <w:lang w:val="en-US" w:eastAsia="zh-CN" w:bidi="ar-SA"/>
    </w:rPr>
  </w:style>
  <w:style w:type="paragraph" w:styleId="914" w:customStyle="1">
    <w:name w:val="纯文本11"/>
    <w:basedOn w:val="792"/>
    <w:uiPriority w:val="0"/>
    <w:qFormat/>
    <w:rPr>
      <w:rFonts w:ascii="宋体" w:hAnsi="Courier New" w:eastAsia="楷体_GB2312"/>
      <w:sz w:val="26"/>
      <w:szCs w:val="24"/>
    </w:rPr>
  </w:style>
  <w:style w:type="character" w:styleId="915" w:customStyle="1">
    <w:name w:val="NormalCharacter"/>
    <w:uiPriority w:val="0"/>
    <w:qFormat/>
  </w:style>
  <w:style w:type="numbering" w:styleId="9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周春柳</cp:lastModifiedBy>
  <cp:revision>79</cp:revision>
  <dcterms:created xsi:type="dcterms:W3CDTF">2024-10-10T07:27:00Z</dcterms:created>
  <dcterms:modified xsi:type="dcterms:W3CDTF">2026-07-13T09:07:59Z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FF549A70C12D423F96BDC7A6AE589379_13</vt:lpwstr>
  </property>
  <property fmtid="{D5CDD505-2E9C-101B-9397-08002B2CF9AE}" pid="4" name="KSOTemplateDocerSaveRecord">
    <vt:lpwstr>eyJoZGlkIjoiNTM2NWY3NTI2NWEwZGFhYmVjNDM4YWU5MjJiOGY2YjYiLCJ1c2VySWQiOiIzNTg2MTcxNDAifQ==</vt:lpwstr>
  </property>
  <property fmtid="{D5CDD505-2E9C-101B-9397-08002B2CF9AE}" pid="5" name="KSOSaveFontToCloudKey">
    <vt:lpwstr>398582842_cloud</vt:lpwstr>
  </property>
</Properties>
</file>