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3EE9E1">
      <w:pPr>
        <w:spacing w:before="120" w:after="120" w:line="360" w:lineRule="auto"/>
        <w:ind w:firstLine="1687"/>
        <w:jc w:val="left"/>
        <w:rPr>
          <w:rFonts w:hint="eastAsia" w:ascii="宋体" w:hAnsi="宋体" w:eastAsia="宋体" w:cs="宋体"/>
          <w:b/>
          <w:bCs/>
          <w:sz w:val="84"/>
          <w:szCs w:val="24"/>
          <w:highlight w:val="none"/>
        </w:rPr>
      </w:pPr>
    </w:p>
    <w:p w14:paraId="4BF6EB2C">
      <w:pPr>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招 标 文 件</w:t>
      </w:r>
    </w:p>
    <w:p w14:paraId="4950D07C">
      <w:pPr>
        <w:spacing w:before="120" w:after="120" w:line="360" w:lineRule="auto"/>
        <w:ind w:firstLine="643"/>
        <w:jc w:val="left"/>
        <w:rPr>
          <w:rFonts w:hint="eastAsia" w:ascii="宋体" w:hAnsi="宋体" w:eastAsia="宋体" w:cs="宋体"/>
          <w:b/>
          <w:bCs/>
          <w:color w:val="auto"/>
          <w:sz w:val="32"/>
          <w:szCs w:val="24"/>
          <w:highlight w:val="none"/>
        </w:rPr>
      </w:pPr>
    </w:p>
    <w:p w14:paraId="252BE927">
      <w:pPr>
        <w:spacing w:before="120" w:after="120" w:line="360" w:lineRule="auto"/>
        <w:ind w:firstLine="643"/>
        <w:jc w:val="left"/>
        <w:rPr>
          <w:rFonts w:hint="eastAsia" w:ascii="宋体" w:hAnsi="宋体" w:eastAsia="宋体" w:cs="宋体"/>
          <w:b/>
          <w:bCs/>
          <w:color w:val="auto"/>
          <w:sz w:val="32"/>
          <w:szCs w:val="24"/>
          <w:highlight w:val="none"/>
        </w:rPr>
      </w:pPr>
    </w:p>
    <w:p w14:paraId="3D1A5BD9">
      <w:pPr>
        <w:spacing w:line="600" w:lineRule="exact"/>
        <w:ind w:left="0" w:leftChars="0" w:firstLine="420" w:firstLineChars="0"/>
        <w:jc w:val="left"/>
        <w:rPr>
          <w:rFonts w:hint="default" w:ascii="宋体" w:hAnsi="宋体" w:eastAsia="宋体" w:cs="宋体"/>
          <w:b/>
          <w:bCs/>
          <w:color w:val="auto"/>
          <w:sz w:val="36"/>
          <w:szCs w:val="24"/>
          <w:highlight w:val="none"/>
          <w:lang w:val="en-US" w:eastAsia="zh-CN"/>
        </w:rPr>
      </w:pPr>
      <w:r>
        <w:rPr>
          <w:rFonts w:hint="eastAsia" w:ascii="宋体" w:hAnsi="宋体" w:eastAsia="宋体" w:cs="宋体"/>
          <w:b/>
          <w:bCs/>
          <w:color w:val="auto"/>
          <w:sz w:val="36"/>
          <w:szCs w:val="24"/>
          <w:highlight w:val="none"/>
        </w:rPr>
        <w:t>项目编号：</w:t>
      </w:r>
      <w:r>
        <w:rPr>
          <w:rFonts w:hint="eastAsia" w:ascii="宋体" w:hAnsi="宋体" w:eastAsia="宋体" w:cs="宋体"/>
          <w:b/>
          <w:bCs/>
          <w:color w:val="auto"/>
          <w:sz w:val="36"/>
          <w:szCs w:val="24"/>
          <w:highlight w:val="none"/>
          <w:lang w:eastAsia="zh-CN"/>
        </w:rPr>
        <w:t>JSZC-320581-SZDS-G2026-000</w:t>
      </w:r>
      <w:r>
        <w:rPr>
          <w:rFonts w:hint="eastAsia" w:ascii="宋体" w:hAnsi="宋体" w:cs="宋体"/>
          <w:b/>
          <w:bCs/>
          <w:color w:val="auto"/>
          <w:sz w:val="36"/>
          <w:szCs w:val="24"/>
          <w:highlight w:val="none"/>
          <w:lang w:val="en-US" w:eastAsia="zh-CN"/>
        </w:rPr>
        <w:t>7</w:t>
      </w:r>
    </w:p>
    <w:p w14:paraId="72EE3856">
      <w:pPr>
        <w:spacing w:line="600" w:lineRule="exact"/>
        <w:ind w:left="0" w:leftChars="0" w:firstLine="420" w:firstLineChars="0"/>
        <w:rPr>
          <w:rFonts w:hint="eastAsia" w:ascii="宋体" w:hAnsi="宋体" w:eastAsia="宋体" w:cs="宋体"/>
          <w:b/>
          <w:bCs/>
          <w:color w:val="auto"/>
          <w:sz w:val="36"/>
          <w:szCs w:val="24"/>
          <w:highlight w:val="none"/>
          <w:lang w:eastAsia="zh-CN"/>
        </w:rPr>
      </w:pPr>
      <w:r>
        <w:rPr>
          <w:rFonts w:hint="eastAsia" w:ascii="宋体" w:hAnsi="宋体" w:eastAsia="宋体" w:cs="宋体"/>
          <w:b/>
          <w:bCs/>
          <w:color w:val="auto"/>
          <w:sz w:val="36"/>
          <w:szCs w:val="24"/>
          <w:highlight w:val="none"/>
        </w:rPr>
        <w:t>项目名称：</w:t>
      </w:r>
      <w:r>
        <w:rPr>
          <w:rFonts w:hint="eastAsia" w:ascii="宋体" w:hAnsi="宋体" w:eastAsia="宋体" w:cs="宋体"/>
          <w:b/>
          <w:bCs/>
          <w:color w:val="auto"/>
          <w:sz w:val="36"/>
          <w:szCs w:val="24"/>
          <w:highlight w:val="none"/>
          <w:lang w:eastAsia="zh-CN"/>
        </w:rPr>
        <w:t>2026年常熟市农作物重大病虫害防控物化补助项目</w:t>
      </w:r>
    </w:p>
    <w:p w14:paraId="7803C4D3">
      <w:pPr>
        <w:spacing w:line="600" w:lineRule="exact"/>
        <w:ind w:left="0" w:leftChars="0" w:firstLine="420" w:firstLineChars="0"/>
        <w:jc w:val="left"/>
        <w:rPr>
          <w:rFonts w:hint="eastAsia" w:ascii="宋体" w:hAnsi="宋体" w:eastAsia="宋体" w:cs="宋体"/>
          <w:b/>
          <w:bCs/>
          <w:color w:val="auto"/>
          <w:sz w:val="36"/>
          <w:szCs w:val="24"/>
          <w:highlight w:val="none"/>
        </w:rPr>
      </w:pPr>
      <w:r>
        <w:rPr>
          <w:rFonts w:hint="eastAsia" w:ascii="宋体" w:hAnsi="宋体" w:eastAsia="宋体" w:cs="宋体"/>
          <w:b/>
          <w:bCs/>
          <w:color w:val="auto"/>
          <w:sz w:val="36"/>
          <w:szCs w:val="24"/>
          <w:highlight w:val="none"/>
        </w:rPr>
        <w:t>项目属性：货物类项目</w:t>
      </w:r>
    </w:p>
    <w:p w14:paraId="18C39685">
      <w:pPr>
        <w:spacing w:line="600" w:lineRule="exact"/>
        <w:ind w:left="0" w:leftChars="0" w:firstLine="420" w:firstLineChars="0"/>
        <w:jc w:val="left"/>
        <w:rPr>
          <w:rFonts w:hint="eastAsia" w:ascii="宋体" w:hAnsi="宋体" w:eastAsia="宋体" w:cs="宋体"/>
          <w:b/>
          <w:bCs/>
          <w:color w:val="auto"/>
          <w:sz w:val="36"/>
          <w:szCs w:val="24"/>
          <w:highlight w:val="none"/>
        </w:rPr>
      </w:pPr>
      <w:r>
        <w:rPr>
          <w:rFonts w:hint="eastAsia" w:ascii="宋体" w:hAnsi="宋体" w:eastAsia="宋体" w:cs="宋体"/>
          <w:b/>
          <w:bCs/>
          <w:color w:val="auto"/>
          <w:sz w:val="36"/>
          <w:szCs w:val="24"/>
          <w:highlight w:val="none"/>
        </w:rPr>
        <w:t>标的所属行业：工业</w:t>
      </w:r>
    </w:p>
    <w:p w14:paraId="5BEFE381">
      <w:pPr>
        <w:ind w:left="2100" w:firstLine="48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p>
    <w:p w14:paraId="0AC781EA">
      <w:pPr>
        <w:spacing w:line="360" w:lineRule="auto"/>
        <w:jc w:val="left"/>
        <w:rPr>
          <w:rFonts w:hint="eastAsia" w:ascii="宋体" w:hAnsi="宋体" w:eastAsia="宋体" w:cs="宋体"/>
          <w:color w:val="auto"/>
          <w:sz w:val="24"/>
          <w:szCs w:val="24"/>
          <w:highlight w:val="none"/>
        </w:rPr>
      </w:pPr>
    </w:p>
    <w:p w14:paraId="1E871914">
      <w:pPr>
        <w:spacing w:line="360" w:lineRule="auto"/>
        <w:jc w:val="left"/>
        <w:rPr>
          <w:rFonts w:hint="eastAsia" w:ascii="宋体" w:hAnsi="宋体" w:eastAsia="宋体" w:cs="宋体"/>
          <w:color w:val="auto"/>
          <w:sz w:val="24"/>
          <w:szCs w:val="24"/>
          <w:highlight w:val="none"/>
        </w:rPr>
      </w:pPr>
    </w:p>
    <w:p w14:paraId="64AB7C3C">
      <w:pPr>
        <w:spacing w:line="360" w:lineRule="auto"/>
        <w:jc w:val="left"/>
        <w:rPr>
          <w:rFonts w:hint="eastAsia" w:ascii="宋体" w:hAnsi="宋体" w:eastAsia="宋体" w:cs="宋体"/>
          <w:color w:val="auto"/>
          <w:sz w:val="24"/>
          <w:szCs w:val="24"/>
          <w:highlight w:val="none"/>
        </w:rPr>
      </w:pPr>
    </w:p>
    <w:p w14:paraId="0C38CCC6">
      <w:pPr>
        <w:spacing w:line="360" w:lineRule="auto"/>
        <w:jc w:val="left"/>
        <w:rPr>
          <w:rFonts w:hint="eastAsia" w:ascii="宋体" w:hAnsi="宋体" w:eastAsia="宋体" w:cs="宋体"/>
          <w:color w:val="auto"/>
          <w:sz w:val="24"/>
          <w:szCs w:val="24"/>
          <w:highlight w:val="none"/>
        </w:rPr>
      </w:pPr>
    </w:p>
    <w:p w14:paraId="1C416D42">
      <w:pPr>
        <w:spacing w:line="360" w:lineRule="auto"/>
        <w:jc w:val="left"/>
        <w:rPr>
          <w:rFonts w:hint="eastAsia" w:ascii="宋体" w:hAnsi="宋体" w:eastAsia="宋体" w:cs="宋体"/>
          <w:color w:val="auto"/>
          <w:sz w:val="24"/>
          <w:szCs w:val="24"/>
          <w:highlight w:val="none"/>
        </w:rPr>
      </w:pPr>
    </w:p>
    <w:p w14:paraId="08D36E21">
      <w:pPr>
        <w:spacing w:line="360" w:lineRule="auto"/>
        <w:jc w:val="left"/>
        <w:rPr>
          <w:rFonts w:hint="eastAsia" w:ascii="宋体" w:hAnsi="宋体" w:eastAsia="宋体" w:cs="宋体"/>
          <w:color w:val="auto"/>
          <w:sz w:val="24"/>
          <w:szCs w:val="24"/>
          <w:highlight w:val="none"/>
        </w:rPr>
      </w:pPr>
    </w:p>
    <w:p w14:paraId="48CAAC53">
      <w:pPr>
        <w:pStyle w:val="14"/>
        <w:rPr>
          <w:rFonts w:hint="eastAsia" w:ascii="宋体" w:hAnsi="宋体" w:eastAsia="宋体" w:cs="宋体"/>
          <w:color w:val="auto"/>
          <w:sz w:val="24"/>
          <w:szCs w:val="24"/>
          <w:highlight w:val="none"/>
        </w:rPr>
      </w:pPr>
    </w:p>
    <w:p w14:paraId="700749B7">
      <w:pPr>
        <w:rPr>
          <w:rFonts w:hint="eastAsia" w:ascii="宋体" w:hAnsi="宋体" w:eastAsia="宋体" w:cs="宋体"/>
          <w:color w:val="auto"/>
          <w:highlight w:val="none"/>
        </w:rPr>
      </w:pPr>
    </w:p>
    <w:p w14:paraId="61948369">
      <w:pPr>
        <w:pStyle w:val="14"/>
        <w:rPr>
          <w:rFonts w:hint="eastAsia" w:ascii="宋体" w:hAnsi="宋体" w:eastAsia="宋体" w:cs="宋体"/>
          <w:color w:val="auto"/>
          <w:highlight w:val="none"/>
        </w:rPr>
      </w:pPr>
    </w:p>
    <w:p w14:paraId="69845FB7">
      <w:pPr>
        <w:spacing w:before="120" w:after="120" w:line="360" w:lineRule="auto"/>
        <w:ind w:firstLine="723"/>
        <w:jc w:val="center"/>
        <w:rPr>
          <w:rFonts w:hint="eastAsia" w:ascii="宋体" w:hAnsi="宋体" w:eastAsia="宋体" w:cs="宋体"/>
          <w:b/>
          <w:bCs/>
          <w:color w:val="auto"/>
          <w:sz w:val="40"/>
          <w:szCs w:val="28"/>
          <w:highlight w:val="none"/>
          <w:lang w:eastAsia="zh-CN"/>
        </w:rPr>
      </w:pPr>
      <w:r>
        <w:rPr>
          <w:rFonts w:hint="eastAsia" w:ascii="宋体" w:hAnsi="宋体" w:eastAsia="宋体" w:cs="宋体"/>
          <w:b/>
          <w:bCs/>
          <w:color w:val="auto"/>
          <w:sz w:val="40"/>
          <w:szCs w:val="28"/>
          <w:highlight w:val="none"/>
          <w:lang w:eastAsia="zh-CN"/>
        </w:rPr>
        <w:t>苏州信达顺工程建设咨询有限公司</w:t>
      </w:r>
    </w:p>
    <w:p w14:paraId="5829DF9E">
      <w:pPr>
        <w:spacing w:before="120" w:after="120" w:line="360" w:lineRule="auto"/>
        <w:ind w:firstLine="723"/>
        <w:jc w:val="center"/>
        <w:rPr>
          <w:rFonts w:hint="eastAsia" w:ascii="宋体" w:hAnsi="宋体" w:eastAsia="宋体" w:cs="宋体"/>
          <w:color w:val="auto"/>
          <w:sz w:val="32"/>
          <w:szCs w:val="28"/>
          <w:highlight w:val="none"/>
        </w:rPr>
      </w:pPr>
      <w:r>
        <w:rPr>
          <w:rFonts w:hint="eastAsia" w:ascii="宋体" w:hAnsi="宋体" w:eastAsia="宋体" w:cs="宋体"/>
          <w:b/>
          <w:bCs/>
          <w:color w:val="auto"/>
          <w:sz w:val="40"/>
          <w:szCs w:val="28"/>
          <w:highlight w:val="none"/>
          <w:lang w:eastAsia="zh-CN"/>
        </w:rPr>
        <w:t>2026</w:t>
      </w:r>
      <w:r>
        <w:rPr>
          <w:rFonts w:hint="eastAsia" w:ascii="宋体" w:hAnsi="宋体" w:eastAsia="宋体" w:cs="宋体"/>
          <w:b/>
          <w:bCs/>
          <w:color w:val="auto"/>
          <w:sz w:val="40"/>
          <w:szCs w:val="28"/>
          <w:highlight w:val="none"/>
        </w:rPr>
        <w:t>年</w:t>
      </w:r>
      <w:r>
        <w:rPr>
          <w:rFonts w:hint="eastAsia" w:ascii="宋体" w:hAnsi="宋体" w:eastAsia="宋体" w:cs="宋体"/>
          <w:b/>
          <w:bCs/>
          <w:color w:val="auto"/>
          <w:sz w:val="40"/>
          <w:szCs w:val="28"/>
          <w:highlight w:val="none"/>
          <w:lang w:val="en-US" w:eastAsia="zh-CN"/>
        </w:rPr>
        <w:t>06</w:t>
      </w:r>
      <w:r>
        <w:rPr>
          <w:rFonts w:hint="eastAsia" w:ascii="宋体" w:hAnsi="宋体" w:eastAsia="宋体" w:cs="宋体"/>
          <w:b/>
          <w:bCs/>
          <w:color w:val="auto"/>
          <w:sz w:val="40"/>
          <w:szCs w:val="28"/>
          <w:highlight w:val="none"/>
        </w:rPr>
        <w:t>月</w:t>
      </w:r>
      <w:r>
        <w:rPr>
          <w:rFonts w:hint="eastAsia" w:ascii="宋体" w:hAnsi="宋体" w:cs="宋体"/>
          <w:b/>
          <w:bCs/>
          <w:color w:val="auto"/>
          <w:sz w:val="40"/>
          <w:szCs w:val="28"/>
          <w:highlight w:val="none"/>
          <w:lang w:val="en-US" w:eastAsia="zh-CN"/>
        </w:rPr>
        <w:t>26</w:t>
      </w:r>
      <w:bookmarkStart w:id="394" w:name="_GoBack"/>
      <w:bookmarkEnd w:id="394"/>
      <w:r>
        <w:rPr>
          <w:rFonts w:hint="eastAsia" w:ascii="宋体" w:hAnsi="宋体" w:eastAsia="宋体" w:cs="宋体"/>
          <w:b/>
          <w:bCs/>
          <w:color w:val="auto"/>
          <w:sz w:val="40"/>
          <w:szCs w:val="28"/>
          <w:highlight w:val="none"/>
        </w:rPr>
        <w:t>日</w:t>
      </w:r>
    </w:p>
    <w:p w14:paraId="78B71637">
      <w:pPr>
        <w:pStyle w:val="361"/>
        <w:ind w:firstLine="640"/>
        <w:jc w:val="center"/>
        <w:rPr>
          <w:rFonts w:hint="eastAsia" w:ascii="宋体" w:hAnsi="宋体" w:eastAsia="宋体" w:cs="宋体"/>
          <w:b/>
          <w:bCs/>
          <w:color w:val="auto"/>
          <w:sz w:val="24"/>
          <w:szCs w:val="24"/>
          <w:highlight w:val="none"/>
        </w:rPr>
      </w:pPr>
      <w:r>
        <w:rPr>
          <w:rFonts w:hint="eastAsia" w:ascii="宋体" w:hAnsi="宋体" w:eastAsia="宋体" w:cs="宋体"/>
          <w:color w:val="auto"/>
          <w:szCs w:val="21"/>
          <w:highlight w:val="none"/>
        </w:rPr>
        <w:br w:type="page" w:clear="all"/>
      </w:r>
      <w:bookmarkStart w:id="0" w:name="_Toc120614210"/>
      <w:bookmarkStart w:id="1" w:name="_Toc513029200"/>
      <w:bookmarkStart w:id="2" w:name="_Toc16938516"/>
      <w:bookmarkStart w:id="3" w:name="_Toc20823272"/>
      <w:bookmarkStart w:id="4" w:name="_Toc523127445"/>
      <w:bookmarkStart w:id="5" w:name="_Toc479757206"/>
      <w:r>
        <w:rPr>
          <w:rFonts w:hint="eastAsia" w:ascii="宋体" w:hAnsi="宋体" w:eastAsia="宋体" w:cs="宋体"/>
          <w:b/>
          <w:bCs/>
          <w:color w:val="auto"/>
          <w:sz w:val="24"/>
          <w:szCs w:val="24"/>
          <w:highlight w:val="none"/>
          <w:lang w:val="zh-CN"/>
        </w:rPr>
        <w:t>目录</w:t>
      </w:r>
    </w:p>
    <w:p w14:paraId="65DA3624">
      <w:pPr>
        <w:pStyle w:val="27"/>
        <w:tabs>
          <w:tab w:val="right" w:leader="dot" w:pos="10466"/>
        </w:tabs>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_Toc4533 </w:instrText>
      </w:r>
      <w:r>
        <w:rPr>
          <w:rFonts w:hint="eastAsia" w:ascii="宋体" w:hAnsi="宋体" w:eastAsia="宋体" w:cs="宋体"/>
          <w:szCs w:val="24"/>
          <w:highlight w:val="none"/>
        </w:rPr>
        <w:fldChar w:fldCharType="separate"/>
      </w:r>
      <w:r>
        <w:rPr>
          <w:rFonts w:hint="eastAsia" w:ascii="宋体" w:hAnsi="宋体" w:eastAsia="宋体" w:cs="宋体"/>
          <w:bCs/>
          <w:szCs w:val="40"/>
          <w:highlight w:val="none"/>
        </w:rPr>
        <w:t>第一章  投标邀请</w:t>
      </w:r>
      <w:r>
        <w:tab/>
      </w:r>
      <w:r>
        <w:fldChar w:fldCharType="begin"/>
      </w:r>
      <w:r>
        <w:instrText xml:space="preserve"> PAGEREF _Toc4533 \h </w:instrText>
      </w:r>
      <w:r>
        <w:fldChar w:fldCharType="separate"/>
      </w:r>
      <w:r>
        <w:t>1</w:t>
      </w:r>
      <w:r>
        <w:fldChar w:fldCharType="end"/>
      </w:r>
      <w:r>
        <w:rPr>
          <w:rFonts w:hint="eastAsia" w:ascii="宋体" w:hAnsi="宋体" w:eastAsia="宋体" w:cs="宋体"/>
          <w:color w:val="auto"/>
          <w:szCs w:val="24"/>
          <w:highlight w:val="none"/>
        </w:rPr>
        <w:fldChar w:fldCharType="end"/>
      </w:r>
    </w:p>
    <w:p w14:paraId="02CD68F5">
      <w:pPr>
        <w:pStyle w:val="27"/>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_Toc708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第二章  投标人须知</w:t>
      </w:r>
      <w:r>
        <w:tab/>
      </w:r>
      <w:r>
        <w:fldChar w:fldCharType="begin"/>
      </w:r>
      <w:r>
        <w:instrText xml:space="preserve"> PAGEREF _Toc708 \h </w:instrText>
      </w:r>
      <w:r>
        <w:fldChar w:fldCharType="separate"/>
      </w:r>
      <w:r>
        <w:t>4</w:t>
      </w:r>
      <w:r>
        <w:fldChar w:fldCharType="end"/>
      </w:r>
      <w:r>
        <w:rPr>
          <w:rFonts w:hint="eastAsia" w:ascii="宋体" w:hAnsi="宋体" w:eastAsia="宋体" w:cs="宋体"/>
          <w:caps/>
          <w:color w:val="auto"/>
          <w:szCs w:val="24"/>
          <w:highlight w:val="none"/>
        </w:rPr>
        <w:fldChar w:fldCharType="end"/>
      </w:r>
    </w:p>
    <w:p w14:paraId="17A16B3F">
      <w:pPr>
        <w:pStyle w:val="27"/>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_Toc31060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第三章  合同文本</w:t>
      </w:r>
      <w:r>
        <w:tab/>
      </w:r>
      <w:r>
        <w:fldChar w:fldCharType="begin"/>
      </w:r>
      <w:r>
        <w:instrText xml:space="preserve"> PAGEREF _Toc31060 \h </w:instrText>
      </w:r>
      <w:r>
        <w:fldChar w:fldCharType="separate"/>
      </w:r>
      <w:r>
        <w:t>13</w:t>
      </w:r>
      <w:r>
        <w:fldChar w:fldCharType="end"/>
      </w:r>
      <w:r>
        <w:rPr>
          <w:rFonts w:hint="eastAsia" w:ascii="宋体" w:hAnsi="宋体" w:eastAsia="宋体" w:cs="宋体"/>
          <w:caps/>
          <w:color w:val="auto"/>
          <w:szCs w:val="24"/>
          <w:highlight w:val="none"/>
        </w:rPr>
        <w:fldChar w:fldCharType="end"/>
      </w:r>
    </w:p>
    <w:p w14:paraId="3591B62F">
      <w:pPr>
        <w:pStyle w:val="27"/>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_Toc31128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第四章  采购需求</w:t>
      </w:r>
      <w:r>
        <w:tab/>
      </w:r>
      <w:r>
        <w:fldChar w:fldCharType="begin"/>
      </w:r>
      <w:r>
        <w:instrText xml:space="preserve"> PAGEREF _Toc31128 \h </w:instrText>
      </w:r>
      <w:r>
        <w:fldChar w:fldCharType="separate"/>
      </w:r>
      <w:r>
        <w:t>21</w:t>
      </w:r>
      <w:r>
        <w:fldChar w:fldCharType="end"/>
      </w:r>
      <w:r>
        <w:rPr>
          <w:rFonts w:hint="eastAsia" w:ascii="宋体" w:hAnsi="宋体" w:eastAsia="宋体" w:cs="宋体"/>
          <w:caps/>
          <w:color w:val="auto"/>
          <w:szCs w:val="24"/>
          <w:highlight w:val="none"/>
        </w:rPr>
        <w:fldChar w:fldCharType="end"/>
      </w:r>
    </w:p>
    <w:p w14:paraId="266E20BD">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_Toc18785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rPr>
        <w:t>一、项目说明：</w:t>
      </w:r>
      <w:r>
        <w:tab/>
      </w:r>
      <w:r>
        <w:fldChar w:fldCharType="begin"/>
      </w:r>
      <w:r>
        <w:instrText xml:space="preserve"> PAGEREF _Toc18785 \h </w:instrText>
      </w:r>
      <w:r>
        <w:fldChar w:fldCharType="separate"/>
      </w:r>
      <w:r>
        <w:t>21</w:t>
      </w:r>
      <w:r>
        <w:fldChar w:fldCharType="end"/>
      </w:r>
      <w:r>
        <w:rPr>
          <w:rFonts w:hint="eastAsia" w:ascii="宋体" w:hAnsi="宋体" w:eastAsia="宋体" w:cs="宋体"/>
          <w:caps/>
          <w:color w:val="auto"/>
          <w:szCs w:val="24"/>
          <w:highlight w:val="none"/>
        </w:rPr>
        <w:fldChar w:fldCharType="end"/>
      </w:r>
    </w:p>
    <w:p w14:paraId="00059271">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_Toc13053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lang w:val="zh-CN"/>
        </w:rPr>
        <w:t>二、货物清单及技术规格要求：</w:t>
      </w:r>
      <w:r>
        <w:tab/>
      </w:r>
      <w:r>
        <w:fldChar w:fldCharType="begin"/>
      </w:r>
      <w:r>
        <w:instrText xml:space="preserve"> PAGEREF _Toc13053 \h </w:instrText>
      </w:r>
      <w:r>
        <w:fldChar w:fldCharType="separate"/>
      </w:r>
      <w:r>
        <w:t>21</w:t>
      </w:r>
      <w:r>
        <w:fldChar w:fldCharType="end"/>
      </w:r>
      <w:r>
        <w:rPr>
          <w:rFonts w:hint="eastAsia" w:ascii="宋体" w:hAnsi="宋体" w:eastAsia="宋体" w:cs="宋体"/>
          <w:caps/>
          <w:color w:val="auto"/>
          <w:szCs w:val="24"/>
          <w:highlight w:val="none"/>
        </w:rPr>
        <w:fldChar w:fldCharType="end"/>
      </w:r>
    </w:p>
    <w:p w14:paraId="1B72280E">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_Toc19250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lang w:val="zh-CN"/>
        </w:rPr>
        <w:t>三、质量保证和售后服务要求：</w:t>
      </w:r>
      <w:r>
        <w:tab/>
      </w:r>
      <w:r>
        <w:fldChar w:fldCharType="begin"/>
      </w:r>
      <w:r>
        <w:instrText xml:space="preserve"> PAGEREF _Toc19250 \h </w:instrText>
      </w:r>
      <w:r>
        <w:fldChar w:fldCharType="separate"/>
      </w:r>
      <w:r>
        <w:t>22</w:t>
      </w:r>
      <w:r>
        <w:fldChar w:fldCharType="end"/>
      </w:r>
      <w:r>
        <w:rPr>
          <w:rFonts w:hint="eastAsia" w:ascii="宋体" w:hAnsi="宋体" w:eastAsia="宋体" w:cs="宋体"/>
          <w:caps/>
          <w:color w:val="auto"/>
          <w:szCs w:val="24"/>
          <w:highlight w:val="none"/>
        </w:rPr>
        <w:fldChar w:fldCharType="end"/>
      </w:r>
    </w:p>
    <w:p w14:paraId="3536B91C">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_Toc9123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rPr>
        <w:t>四、投标报价要求：</w:t>
      </w:r>
      <w:r>
        <w:tab/>
      </w:r>
      <w:r>
        <w:fldChar w:fldCharType="begin"/>
      </w:r>
      <w:r>
        <w:instrText xml:space="preserve"> PAGEREF _Toc9123 \h </w:instrText>
      </w:r>
      <w:r>
        <w:fldChar w:fldCharType="separate"/>
      </w:r>
      <w:r>
        <w:t>22</w:t>
      </w:r>
      <w:r>
        <w:fldChar w:fldCharType="end"/>
      </w:r>
      <w:r>
        <w:rPr>
          <w:rFonts w:hint="eastAsia" w:ascii="宋体" w:hAnsi="宋体" w:eastAsia="宋体" w:cs="宋体"/>
          <w:caps/>
          <w:color w:val="auto"/>
          <w:szCs w:val="24"/>
          <w:highlight w:val="none"/>
        </w:rPr>
        <w:fldChar w:fldCharType="end"/>
      </w:r>
    </w:p>
    <w:p w14:paraId="699D1105">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_Toc5774 </w:instrText>
      </w:r>
      <w:r>
        <w:rPr>
          <w:rFonts w:hint="eastAsia" w:ascii="宋体" w:hAnsi="宋体" w:eastAsia="宋体" w:cs="宋体"/>
          <w:caps/>
          <w:szCs w:val="24"/>
          <w:highlight w:val="none"/>
        </w:rPr>
        <w:fldChar w:fldCharType="separate"/>
      </w:r>
      <w:r>
        <w:rPr>
          <w:rFonts w:hint="eastAsia" w:ascii="宋体" w:hAnsi="宋体" w:eastAsia="宋体" w:cs="宋体"/>
          <w:bCs/>
          <w:highlight w:val="none"/>
          <w:lang w:val="en-US" w:eastAsia="zh-CN"/>
        </w:rPr>
        <w:t>五</w:t>
      </w:r>
      <w:r>
        <w:rPr>
          <w:rFonts w:hint="eastAsia" w:ascii="宋体" w:hAnsi="宋体" w:eastAsia="宋体" w:cs="宋体"/>
          <w:bCs/>
          <w:highlight w:val="none"/>
        </w:rPr>
        <w:t>、</w:t>
      </w:r>
      <w:r>
        <w:rPr>
          <w:rFonts w:hint="eastAsia" w:ascii="宋体" w:hAnsi="宋体" w:eastAsia="宋体" w:cs="宋体"/>
          <w:bCs/>
          <w:highlight w:val="none"/>
          <w:lang w:val="en-US" w:eastAsia="zh-CN"/>
        </w:rPr>
        <w:t>验收</w:t>
      </w:r>
      <w:r>
        <w:rPr>
          <w:rFonts w:hint="eastAsia" w:ascii="宋体" w:hAnsi="宋体" w:eastAsia="宋体" w:cs="宋体"/>
          <w:bCs/>
          <w:highlight w:val="none"/>
        </w:rPr>
        <w:t>要求：</w:t>
      </w:r>
      <w:r>
        <w:tab/>
      </w:r>
      <w:r>
        <w:fldChar w:fldCharType="begin"/>
      </w:r>
      <w:r>
        <w:instrText xml:space="preserve"> PAGEREF _Toc5774 \h </w:instrText>
      </w:r>
      <w:r>
        <w:fldChar w:fldCharType="separate"/>
      </w:r>
      <w:r>
        <w:t>22</w:t>
      </w:r>
      <w:r>
        <w:fldChar w:fldCharType="end"/>
      </w:r>
      <w:r>
        <w:rPr>
          <w:rFonts w:hint="eastAsia" w:ascii="宋体" w:hAnsi="宋体" w:eastAsia="宋体" w:cs="宋体"/>
          <w:caps/>
          <w:color w:val="auto"/>
          <w:szCs w:val="24"/>
          <w:highlight w:val="none"/>
        </w:rPr>
        <w:fldChar w:fldCharType="end"/>
      </w:r>
    </w:p>
    <w:p w14:paraId="48E58230">
      <w:pPr>
        <w:pStyle w:val="27"/>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_Toc27336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第五章  评标方法与评标标准</w:t>
      </w:r>
      <w:r>
        <w:tab/>
      </w:r>
      <w:r>
        <w:fldChar w:fldCharType="begin"/>
      </w:r>
      <w:r>
        <w:instrText xml:space="preserve"> PAGEREF _Toc27336 \h </w:instrText>
      </w:r>
      <w:r>
        <w:fldChar w:fldCharType="separate"/>
      </w:r>
      <w:r>
        <w:t>23</w:t>
      </w:r>
      <w:r>
        <w:fldChar w:fldCharType="end"/>
      </w:r>
      <w:r>
        <w:rPr>
          <w:rFonts w:hint="eastAsia" w:ascii="宋体" w:hAnsi="宋体" w:eastAsia="宋体" w:cs="宋体"/>
          <w:caps/>
          <w:color w:val="auto"/>
          <w:szCs w:val="24"/>
          <w:highlight w:val="none"/>
        </w:rPr>
        <w:fldChar w:fldCharType="end"/>
      </w:r>
    </w:p>
    <w:p w14:paraId="5E1A9000">
      <w:pPr>
        <w:pStyle w:val="27"/>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_Toc16924 </w:instrText>
      </w:r>
      <w:r>
        <w:rPr>
          <w:rFonts w:hint="eastAsia" w:ascii="宋体" w:hAnsi="宋体" w:eastAsia="宋体" w:cs="宋体"/>
          <w:caps/>
          <w:szCs w:val="24"/>
          <w:highlight w:val="none"/>
        </w:rPr>
        <w:fldChar w:fldCharType="separate"/>
      </w:r>
      <w:r>
        <w:rPr>
          <w:rFonts w:hint="eastAsia" w:ascii="宋体" w:hAnsi="宋体" w:eastAsia="宋体" w:cs="宋体"/>
          <w:bCs/>
          <w:szCs w:val="40"/>
          <w:highlight w:val="none"/>
        </w:rPr>
        <w:t>第六章  投标文件格式</w:t>
      </w:r>
      <w:r>
        <w:tab/>
      </w:r>
      <w:r>
        <w:fldChar w:fldCharType="begin"/>
      </w:r>
      <w:r>
        <w:instrText xml:space="preserve"> PAGEREF _Toc16924 \h </w:instrText>
      </w:r>
      <w:r>
        <w:fldChar w:fldCharType="separate"/>
      </w:r>
      <w:r>
        <w:t>27</w:t>
      </w:r>
      <w:r>
        <w:fldChar w:fldCharType="end"/>
      </w:r>
      <w:r>
        <w:rPr>
          <w:rFonts w:hint="eastAsia" w:ascii="宋体" w:hAnsi="宋体" w:eastAsia="宋体" w:cs="宋体"/>
          <w:caps/>
          <w:color w:val="auto"/>
          <w:szCs w:val="24"/>
          <w:highlight w:val="none"/>
        </w:rPr>
        <w:fldChar w:fldCharType="end"/>
      </w:r>
    </w:p>
    <w:p w14:paraId="03BF3381">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_Toc28490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附件1 开标一览表</w:t>
      </w:r>
      <w:r>
        <w:tab/>
      </w:r>
      <w:r>
        <w:fldChar w:fldCharType="begin"/>
      </w:r>
      <w:r>
        <w:instrText xml:space="preserve"> PAGEREF _Toc28490 \h </w:instrText>
      </w:r>
      <w:r>
        <w:fldChar w:fldCharType="separate"/>
      </w:r>
      <w:r>
        <w:t>29</w:t>
      </w:r>
      <w:r>
        <w:fldChar w:fldCharType="end"/>
      </w:r>
      <w:r>
        <w:rPr>
          <w:rFonts w:hint="eastAsia" w:ascii="宋体" w:hAnsi="宋体" w:eastAsia="宋体" w:cs="宋体"/>
          <w:caps/>
          <w:color w:val="auto"/>
          <w:szCs w:val="24"/>
          <w:highlight w:val="none"/>
        </w:rPr>
        <w:fldChar w:fldCharType="end"/>
      </w:r>
    </w:p>
    <w:p w14:paraId="2FD842A5">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_Toc176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附件2 报价明细表</w:t>
      </w:r>
      <w:r>
        <w:tab/>
      </w:r>
      <w:r>
        <w:fldChar w:fldCharType="begin"/>
      </w:r>
      <w:r>
        <w:instrText xml:space="preserve"> PAGEREF _Toc176 \h </w:instrText>
      </w:r>
      <w:r>
        <w:fldChar w:fldCharType="separate"/>
      </w:r>
      <w:r>
        <w:t>30</w:t>
      </w:r>
      <w:r>
        <w:fldChar w:fldCharType="end"/>
      </w:r>
      <w:r>
        <w:rPr>
          <w:rFonts w:hint="eastAsia" w:ascii="宋体" w:hAnsi="宋体" w:eastAsia="宋体" w:cs="宋体"/>
          <w:caps/>
          <w:color w:val="auto"/>
          <w:szCs w:val="24"/>
          <w:highlight w:val="none"/>
        </w:rPr>
        <w:fldChar w:fldCharType="end"/>
      </w:r>
    </w:p>
    <w:p w14:paraId="474C688E">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_Toc10840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附件3 技术参数响应及偏离表</w:t>
      </w:r>
      <w:r>
        <w:tab/>
      </w:r>
      <w:r>
        <w:fldChar w:fldCharType="begin"/>
      </w:r>
      <w:r>
        <w:instrText xml:space="preserve"> PAGEREF _Toc10840 \h </w:instrText>
      </w:r>
      <w:r>
        <w:fldChar w:fldCharType="separate"/>
      </w:r>
      <w:r>
        <w:t>31</w:t>
      </w:r>
      <w:r>
        <w:fldChar w:fldCharType="end"/>
      </w:r>
      <w:r>
        <w:rPr>
          <w:rFonts w:hint="eastAsia" w:ascii="宋体" w:hAnsi="宋体" w:eastAsia="宋体" w:cs="宋体"/>
          <w:caps/>
          <w:color w:val="auto"/>
          <w:szCs w:val="24"/>
          <w:highlight w:val="none"/>
        </w:rPr>
        <w:fldChar w:fldCharType="end"/>
      </w:r>
    </w:p>
    <w:p w14:paraId="5E0F5B54">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_Toc22983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附件4 项目实施方案</w:t>
      </w:r>
      <w:r>
        <w:tab/>
      </w:r>
      <w:r>
        <w:fldChar w:fldCharType="begin"/>
      </w:r>
      <w:r>
        <w:instrText xml:space="preserve"> PAGEREF _Toc22983 \h </w:instrText>
      </w:r>
      <w:r>
        <w:fldChar w:fldCharType="separate"/>
      </w:r>
      <w:r>
        <w:t>32</w:t>
      </w:r>
      <w:r>
        <w:fldChar w:fldCharType="end"/>
      </w:r>
      <w:r>
        <w:rPr>
          <w:rFonts w:hint="eastAsia" w:ascii="宋体" w:hAnsi="宋体" w:eastAsia="宋体" w:cs="宋体"/>
          <w:caps/>
          <w:color w:val="auto"/>
          <w:szCs w:val="24"/>
          <w:highlight w:val="none"/>
        </w:rPr>
        <w:fldChar w:fldCharType="end"/>
      </w:r>
    </w:p>
    <w:p w14:paraId="6C4E870C">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_Toc13431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附件5 商务要求响应及偏离表</w:t>
      </w:r>
      <w:r>
        <w:tab/>
      </w:r>
      <w:r>
        <w:fldChar w:fldCharType="begin"/>
      </w:r>
      <w:r>
        <w:instrText xml:space="preserve"> PAGEREF _Toc13431 \h </w:instrText>
      </w:r>
      <w:r>
        <w:fldChar w:fldCharType="separate"/>
      </w:r>
      <w:r>
        <w:t>33</w:t>
      </w:r>
      <w:r>
        <w:fldChar w:fldCharType="end"/>
      </w:r>
      <w:r>
        <w:rPr>
          <w:rFonts w:hint="eastAsia" w:ascii="宋体" w:hAnsi="宋体" w:eastAsia="宋体" w:cs="宋体"/>
          <w:caps/>
          <w:color w:val="auto"/>
          <w:szCs w:val="24"/>
          <w:highlight w:val="none"/>
        </w:rPr>
        <w:fldChar w:fldCharType="end"/>
      </w:r>
    </w:p>
    <w:p w14:paraId="276533BE">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_Toc24284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附件6 具备履行合同所必需的设备和专业技术能力的书面声明</w:t>
      </w:r>
      <w:r>
        <w:tab/>
      </w:r>
      <w:r>
        <w:fldChar w:fldCharType="begin"/>
      </w:r>
      <w:r>
        <w:instrText xml:space="preserve"> PAGEREF _Toc24284 \h </w:instrText>
      </w:r>
      <w:r>
        <w:fldChar w:fldCharType="separate"/>
      </w:r>
      <w:r>
        <w:t>34</w:t>
      </w:r>
      <w:r>
        <w:fldChar w:fldCharType="end"/>
      </w:r>
      <w:r>
        <w:rPr>
          <w:rFonts w:hint="eastAsia" w:ascii="宋体" w:hAnsi="宋体" w:eastAsia="宋体" w:cs="宋体"/>
          <w:caps/>
          <w:color w:val="auto"/>
          <w:szCs w:val="24"/>
          <w:highlight w:val="none"/>
        </w:rPr>
        <w:fldChar w:fldCharType="end"/>
      </w:r>
    </w:p>
    <w:p w14:paraId="08449EAF">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_Toc4097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附件7 参加政府采购活动前 3 年内在经营活动中没有重大违法记录的书面声明</w:t>
      </w:r>
      <w:r>
        <w:tab/>
      </w:r>
      <w:r>
        <w:fldChar w:fldCharType="begin"/>
      </w:r>
      <w:r>
        <w:instrText xml:space="preserve"> PAGEREF _Toc4097 \h </w:instrText>
      </w:r>
      <w:r>
        <w:fldChar w:fldCharType="separate"/>
      </w:r>
      <w:r>
        <w:t>35</w:t>
      </w:r>
      <w:r>
        <w:fldChar w:fldCharType="end"/>
      </w:r>
      <w:r>
        <w:rPr>
          <w:rFonts w:hint="eastAsia" w:ascii="宋体" w:hAnsi="宋体" w:eastAsia="宋体" w:cs="宋体"/>
          <w:caps/>
          <w:color w:val="auto"/>
          <w:szCs w:val="24"/>
          <w:highlight w:val="none"/>
        </w:rPr>
        <w:fldChar w:fldCharType="end"/>
      </w:r>
    </w:p>
    <w:p w14:paraId="40D132D8">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_Toc3206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附件8 法人授权书</w:t>
      </w:r>
      <w:r>
        <w:tab/>
      </w:r>
      <w:r>
        <w:fldChar w:fldCharType="begin"/>
      </w:r>
      <w:r>
        <w:instrText xml:space="preserve"> PAGEREF _Toc3206 \h </w:instrText>
      </w:r>
      <w:r>
        <w:fldChar w:fldCharType="separate"/>
      </w:r>
      <w:r>
        <w:t>36</w:t>
      </w:r>
      <w:r>
        <w:fldChar w:fldCharType="end"/>
      </w:r>
      <w:r>
        <w:rPr>
          <w:rFonts w:hint="eastAsia" w:ascii="宋体" w:hAnsi="宋体" w:eastAsia="宋体" w:cs="宋体"/>
          <w:caps/>
          <w:color w:val="auto"/>
          <w:szCs w:val="24"/>
          <w:highlight w:val="none"/>
        </w:rPr>
        <w:fldChar w:fldCharType="end"/>
      </w:r>
    </w:p>
    <w:p w14:paraId="18D5BCB4">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_Toc17479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附件9 中小企业声明函</w:t>
      </w:r>
      <w:r>
        <w:tab/>
      </w:r>
      <w:r>
        <w:fldChar w:fldCharType="begin"/>
      </w:r>
      <w:r>
        <w:instrText xml:space="preserve"> PAGEREF _Toc17479 \h </w:instrText>
      </w:r>
      <w:r>
        <w:fldChar w:fldCharType="separate"/>
      </w:r>
      <w:r>
        <w:t>37</w:t>
      </w:r>
      <w:r>
        <w:fldChar w:fldCharType="end"/>
      </w:r>
      <w:r>
        <w:rPr>
          <w:rFonts w:hint="eastAsia" w:ascii="宋体" w:hAnsi="宋体" w:eastAsia="宋体" w:cs="宋体"/>
          <w:caps/>
          <w:color w:val="auto"/>
          <w:szCs w:val="24"/>
          <w:highlight w:val="none"/>
        </w:rPr>
        <w:fldChar w:fldCharType="end"/>
      </w:r>
    </w:p>
    <w:p w14:paraId="764EA31E">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_Toc15751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附件10 残疾人福利性单位声明函</w:t>
      </w:r>
      <w:r>
        <w:tab/>
      </w:r>
      <w:r>
        <w:fldChar w:fldCharType="begin"/>
      </w:r>
      <w:r>
        <w:instrText xml:space="preserve"> PAGEREF _Toc15751 \h </w:instrText>
      </w:r>
      <w:r>
        <w:fldChar w:fldCharType="separate"/>
      </w:r>
      <w:r>
        <w:t>38</w:t>
      </w:r>
      <w:r>
        <w:fldChar w:fldCharType="end"/>
      </w:r>
      <w:r>
        <w:rPr>
          <w:rFonts w:hint="eastAsia" w:ascii="宋体" w:hAnsi="宋体" w:eastAsia="宋体" w:cs="宋体"/>
          <w:caps/>
          <w:color w:val="auto"/>
          <w:szCs w:val="24"/>
          <w:highlight w:val="none"/>
        </w:rPr>
        <w:fldChar w:fldCharType="end"/>
      </w:r>
    </w:p>
    <w:p w14:paraId="35115A1D">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_Toc14064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附件11 投标函</w:t>
      </w:r>
      <w:r>
        <w:tab/>
      </w:r>
      <w:r>
        <w:fldChar w:fldCharType="begin"/>
      </w:r>
      <w:r>
        <w:instrText xml:space="preserve"> PAGEREF _Toc14064 \h </w:instrText>
      </w:r>
      <w:r>
        <w:fldChar w:fldCharType="separate"/>
      </w:r>
      <w:r>
        <w:t>39</w:t>
      </w:r>
      <w:r>
        <w:fldChar w:fldCharType="end"/>
      </w:r>
      <w:r>
        <w:rPr>
          <w:rFonts w:hint="eastAsia" w:ascii="宋体" w:hAnsi="宋体" w:eastAsia="宋体" w:cs="宋体"/>
          <w:caps/>
          <w:color w:val="auto"/>
          <w:szCs w:val="24"/>
          <w:highlight w:val="none"/>
        </w:rPr>
        <w:fldChar w:fldCharType="end"/>
      </w:r>
    </w:p>
    <w:p w14:paraId="070AF934">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_Toc1831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 xml:space="preserve">附件12 </w:t>
      </w:r>
      <w:r>
        <w:rPr>
          <w:rFonts w:hint="eastAsia" w:ascii="宋体" w:hAnsi="宋体" w:eastAsia="宋体" w:cs="宋体"/>
          <w:bCs/>
          <w:szCs w:val="28"/>
          <w:highlight w:val="none"/>
          <w:lang w:val="en-US" w:eastAsia="zh-CN"/>
        </w:rPr>
        <w:t>供应商与其他单位存在直接控股、管理关系情况表</w:t>
      </w:r>
      <w:r>
        <w:tab/>
      </w:r>
      <w:r>
        <w:fldChar w:fldCharType="begin"/>
      </w:r>
      <w:r>
        <w:instrText xml:space="preserve"> PAGEREF _Toc1831 \h </w:instrText>
      </w:r>
      <w:r>
        <w:fldChar w:fldCharType="separate"/>
      </w:r>
      <w:r>
        <w:t>40</w:t>
      </w:r>
      <w:r>
        <w:fldChar w:fldCharType="end"/>
      </w:r>
      <w:r>
        <w:rPr>
          <w:rFonts w:hint="eastAsia" w:ascii="宋体" w:hAnsi="宋体" w:eastAsia="宋体" w:cs="宋体"/>
          <w:caps/>
          <w:color w:val="auto"/>
          <w:szCs w:val="24"/>
          <w:highlight w:val="none"/>
        </w:rPr>
        <w:fldChar w:fldCharType="end"/>
      </w:r>
    </w:p>
    <w:p w14:paraId="7DFCAF91">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_Toc23903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rPr>
        <w:t>附件1</w:t>
      </w:r>
      <w:r>
        <w:rPr>
          <w:rFonts w:hint="eastAsia" w:ascii="宋体" w:hAnsi="宋体" w:eastAsia="宋体" w:cs="宋体"/>
          <w:bCs/>
          <w:szCs w:val="28"/>
          <w:highlight w:val="none"/>
          <w:lang w:val="en-US" w:eastAsia="zh-CN"/>
        </w:rPr>
        <w:t xml:space="preserve">3 </w:t>
      </w:r>
      <w:r>
        <w:rPr>
          <w:rFonts w:hint="eastAsia" w:ascii="宋体" w:hAnsi="宋体" w:eastAsia="宋体" w:cs="宋体"/>
          <w:bCs/>
          <w:szCs w:val="28"/>
          <w:highlight w:val="none"/>
        </w:rPr>
        <w:t>关于符合本国产品标准的声明函</w:t>
      </w:r>
      <w:r>
        <w:tab/>
      </w:r>
      <w:r>
        <w:fldChar w:fldCharType="begin"/>
      </w:r>
      <w:r>
        <w:instrText xml:space="preserve"> PAGEREF _Toc23903 \h </w:instrText>
      </w:r>
      <w:r>
        <w:fldChar w:fldCharType="separate"/>
      </w:r>
      <w:r>
        <w:t>41</w:t>
      </w:r>
      <w:r>
        <w:fldChar w:fldCharType="end"/>
      </w:r>
      <w:r>
        <w:rPr>
          <w:rFonts w:hint="eastAsia" w:ascii="宋体" w:hAnsi="宋体" w:eastAsia="宋体" w:cs="宋体"/>
          <w:caps/>
          <w:color w:val="auto"/>
          <w:szCs w:val="24"/>
          <w:highlight w:val="none"/>
        </w:rPr>
        <w:fldChar w:fldCharType="end"/>
      </w:r>
    </w:p>
    <w:p w14:paraId="7B22478D">
      <w:pPr>
        <w:pStyle w:val="33"/>
        <w:tabs>
          <w:tab w:val="right" w:leader="dot" w:pos="10466"/>
        </w:tabs>
      </w:pPr>
      <w:r>
        <w:rPr>
          <w:rFonts w:hint="eastAsia" w:ascii="宋体" w:hAnsi="宋体" w:eastAsia="宋体" w:cs="宋体"/>
          <w:caps/>
          <w:color w:val="auto"/>
          <w:szCs w:val="24"/>
          <w:highlight w:val="none"/>
        </w:rPr>
        <w:fldChar w:fldCharType="begin"/>
      </w:r>
      <w:r>
        <w:rPr>
          <w:rFonts w:hint="eastAsia" w:ascii="宋体" w:hAnsi="宋体" w:eastAsia="宋体" w:cs="宋体"/>
          <w:caps/>
          <w:szCs w:val="24"/>
          <w:highlight w:val="none"/>
        </w:rPr>
        <w:instrText xml:space="preserve"> HYPERLINK \l _Toc20881 </w:instrText>
      </w:r>
      <w:r>
        <w:rPr>
          <w:rFonts w:hint="eastAsia" w:ascii="宋体" w:hAnsi="宋体" w:eastAsia="宋体" w:cs="宋体"/>
          <w:caps/>
          <w:szCs w:val="24"/>
          <w:highlight w:val="none"/>
        </w:rPr>
        <w:fldChar w:fldCharType="separate"/>
      </w:r>
      <w:r>
        <w:rPr>
          <w:rFonts w:hint="eastAsia" w:ascii="宋体" w:hAnsi="宋体" w:eastAsia="宋体" w:cs="宋体"/>
          <w:bCs/>
          <w:szCs w:val="28"/>
          <w:highlight w:val="none"/>
          <w:lang w:val="en-US" w:eastAsia="zh-CN"/>
        </w:rPr>
        <w:t>附件14 质疑函范本</w:t>
      </w:r>
      <w:r>
        <w:tab/>
      </w:r>
      <w:r>
        <w:fldChar w:fldCharType="begin"/>
      </w:r>
      <w:r>
        <w:instrText xml:space="preserve"> PAGEREF _Toc20881 \h </w:instrText>
      </w:r>
      <w:r>
        <w:fldChar w:fldCharType="separate"/>
      </w:r>
      <w:r>
        <w:t>42</w:t>
      </w:r>
      <w:r>
        <w:fldChar w:fldCharType="end"/>
      </w:r>
      <w:r>
        <w:rPr>
          <w:rFonts w:hint="eastAsia" w:ascii="宋体" w:hAnsi="宋体" w:eastAsia="宋体" w:cs="宋体"/>
          <w:caps/>
          <w:color w:val="auto"/>
          <w:szCs w:val="24"/>
          <w:highlight w:val="none"/>
        </w:rPr>
        <w:fldChar w:fldCharType="end"/>
      </w:r>
    </w:p>
    <w:p w14:paraId="745E35F4">
      <w:pPr>
        <w:spacing w:line="440" w:lineRule="exact"/>
        <w:jc w:val="left"/>
        <w:rPr>
          <w:rFonts w:hint="eastAsia" w:ascii="宋体" w:hAnsi="宋体" w:eastAsia="宋体" w:cs="宋体"/>
          <w:caps/>
          <w:color w:val="auto"/>
          <w:sz w:val="24"/>
          <w:szCs w:val="24"/>
          <w:highlight w:val="none"/>
        </w:rPr>
      </w:pPr>
      <w:r>
        <w:rPr>
          <w:rFonts w:hint="eastAsia" w:ascii="宋体" w:hAnsi="宋体" w:eastAsia="宋体" w:cs="宋体"/>
          <w:caps/>
          <w:color w:val="auto"/>
          <w:szCs w:val="24"/>
          <w:highlight w:val="none"/>
        </w:rPr>
        <w:fldChar w:fldCharType="end"/>
      </w:r>
    </w:p>
    <w:p w14:paraId="24BE9C6D">
      <w:pPr>
        <w:keepNext/>
        <w:ind w:firstLine="880"/>
        <w:jc w:val="center"/>
        <w:outlineLvl w:val="0"/>
        <w:rPr>
          <w:rFonts w:hint="eastAsia" w:ascii="宋体" w:hAnsi="宋体" w:eastAsia="宋体" w:cs="宋体"/>
          <w:b/>
          <w:bCs/>
          <w:color w:val="auto"/>
          <w:sz w:val="40"/>
          <w:szCs w:val="40"/>
          <w:highlight w:val="none"/>
        </w:rPr>
        <w:sectPr>
          <w:headerReference r:id="rId4" w:type="first"/>
          <w:headerReference r:id="rId3" w:type="default"/>
          <w:footerReference r:id="rId5" w:type="default"/>
          <w:footerReference r:id="rId6" w:type="even"/>
          <w:pgSz w:w="11906" w:h="16838"/>
          <w:pgMar w:top="771" w:right="720" w:bottom="527" w:left="720" w:header="231" w:footer="200" w:gutter="0"/>
          <w:cols w:space="720" w:num="1"/>
          <w:titlePg/>
          <w:docGrid w:linePitch="360" w:charSpace="0"/>
        </w:sectPr>
      </w:pPr>
    </w:p>
    <w:p w14:paraId="2F0D0968">
      <w:pPr>
        <w:keepNext/>
        <w:ind w:firstLine="880"/>
        <w:jc w:val="center"/>
        <w:outlineLvl w:val="0"/>
        <w:rPr>
          <w:rFonts w:hint="eastAsia" w:ascii="宋体" w:hAnsi="宋体" w:eastAsia="宋体" w:cs="宋体"/>
          <w:b/>
          <w:bCs/>
          <w:color w:val="auto"/>
          <w:sz w:val="40"/>
          <w:szCs w:val="40"/>
          <w:highlight w:val="none"/>
        </w:rPr>
      </w:pPr>
      <w:bookmarkStart w:id="6" w:name="_Toc4533"/>
      <w:r>
        <w:rPr>
          <w:rFonts w:hint="eastAsia" w:ascii="宋体" w:hAnsi="宋体" w:eastAsia="宋体" w:cs="宋体"/>
          <w:b/>
          <w:bCs/>
          <w:color w:val="auto"/>
          <w:sz w:val="40"/>
          <w:szCs w:val="40"/>
          <w:highlight w:val="none"/>
        </w:rPr>
        <w:t xml:space="preserve">第一章  </w:t>
      </w:r>
      <w:bookmarkEnd w:id="0"/>
      <w:r>
        <w:rPr>
          <w:rFonts w:hint="eastAsia" w:ascii="宋体" w:hAnsi="宋体" w:eastAsia="宋体" w:cs="宋体"/>
          <w:b/>
          <w:bCs/>
          <w:color w:val="auto"/>
          <w:sz w:val="40"/>
          <w:szCs w:val="40"/>
          <w:highlight w:val="none"/>
        </w:rPr>
        <w:t>投标邀请</w:t>
      </w:r>
      <w:bookmarkEnd w:id="6"/>
    </w:p>
    <w:p w14:paraId="1B5194ED">
      <w:pPr>
        <w:pBdr>
          <w:top w:val="single" w:color="000000" w:sz="4" w:space="1"/>
          <w:left w:val="single" w:color="000000" w:sz="4" w:space="4"/>
          <w:bottom w:val="single" w:color="000000" w:sz="4" w:space="1"/>
          <w:right w:val="single" w:color="000000" w:sz="4" w:space="4"/>
        </w:pBd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04CD1D34">
      <w:pPr>
        <w:pBdr>
          <w:top w:val="single" w:color="000000" w:sz="4" w:space="1"/>
          <w:left w:val="single" w:color="000000" w:sz="4" w:space="4"/>
          <w:bottom w:val="single" w:color="000000" w:sz="4" w:space="1"/>
          <w:right w:val="single" w:color="000000" w:sz="4" w:space="4"/>
        </w:pBd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2026年常熟市农作物重大病虫害防控物化补助项目</w:t>
      </w:r>
      <w:r>
        <w:rPr>
          <w:rFonts w:hint="eastAsia" w:ascii="宋体" w:hAnsi="宋体" w:eastAsia="宋体" w:cs="宋体"/>
          <w:color w:val="auto"/>
          <w:sz w:val="24"/>
          <w:szCs w:val="24"/>
          <w:highlight w:val="none"/>
        </w:rPr>
        <w:t>招标项目的潜在投标人应在“苏采云政府采购一体化平台”中参与项目获取招标文件，并于</w:t>
      </w:r>
      <w:r>
        <w:rPr>
          <w:rFonts w:hint="eastAsia" w:ascii="宋体" w:hAnsi="宋体" w:eastAsia="宋体" w:cs="宋体"/>
          <w:color w:val="auto"/>
          <w:sz w:val="24"/>
          <w:szCs w:val="21"/>
          <w:highlight w:val="none"/>
          <w:u w:val="single"/>
          <w:lang w:eastAsia="zh-CN"/>
        </w:rPr>
        <w:t>2026</w:t>
      </w:r>
      <w:r>
        <w:rPr>
          <w:rFonts w:hint="eastAsia" w:ascii="宋体" w:hAnsi="宋体" w:eastAsia="宋体" w:cs="宋体"/>
          <w:color w:val="auto"/>
          <w:sz w:val="24"/>
          <w:szCs w:val="21"/>
          <w:highlight w:val="none"/>
          <w:u w:val="single"/>
        </w:rPr>
        <w:t>年</w:t>
      </w:r>
      <w:r>
        <w:rPr>
          <w:rFonts w:hint="eastAsia" w:ascii="宋体" w:hAnsi="宋体" w:cs="宋体"/>
          <w:color w:val="auto"/>
          <w:sz w:val="24"/>
          <w:szCs w:val="21"/>
          <w:highlight w:val="none"/>
          <w:u w:val="single"/>
          <w:lang w:val="en-US" w:eastAsia="zh-CN"/>
        </w:rPr>
        <w:t>07</w:t>
      </w:r>
      <w:r>
        <w:rPr>
          <w:rFonts w:hint="eastAsia" w:ascii="宋体" w:hAnsi="宋体" w:eastAsia="宋体" w:cs="宋体"/>
          <w:color w:val="auto"/>
          <w:sz w:val="24"/>
          <w:szCs w:val="21"/>
          <w:highlight w:val="none"/>
          <w:u w:val="single"/>
        </w:rPr>
        <w:t>月</w:t>
      </w:r>
      <w:r>
        <w:rPr>
          <w:rFonts w:hint="eastAsia" w:ascii="宋体" w:hAnsi="宋体" w:cs="宋体"/>
          <w:color w:val="auto"/>
          <w:sz w:val="24"/>
          <w:szCs w:val="21"/>
          <w:highlight w:val="none"/>
          <w:u w:val="single"/>
          <w:lang w:val="en-US" w:eastAsia="zh-CN"/>
        </w:rPr>
        <w:t>17</w:t>
      </w:r>
      <w:r>
        <w:rPr>
          <w:rFonts w:hint="eastAsia" w:ascii="宋体" w:hAnsi="宋体" w:eastAsia="宋体" w:cs="宋体"/>
          <w:color w:val="auto"/>
          <w:sz w:val="24"/>
          <w:szCs w:val="21"/>
          <w:highlight w:val="none"/>
          <w:u w:val="single"/>
        </w:rPr>
        <w:t>日</w:t>
      </w:r>
      <w:r>
        <w:rPr>
          <w:rFonts w:hint="eastAsia" w:ascii="宋体" w:hAnsi="宋体" w:cs="宋体"/>
          <w:color w:val="auto"/>
          <w:sz w:val="24"/>
          <w:szCs w:val="21"/>
          <w:highlight w:val="none"/>
          <w:u w:val="single"/>
          <w:lang w:val="en-US" w:eastAsia="zh-CN"/>
        </w:rPr>
        <w:t>09</w:t>
      </w:r>
      <w:r>
        <w:rPr>
          <w:rFonts w:hint="eastAsia" w:ascii="宋体" w:hAnsi="宋体" w:eastAsia="宋体" w:cs="宋体"/>
          <w:color w:val="auto"/>
          <w:sz w:val="24"/>
          <w:szCs w:val="21"/>
          <w:highlight w:val="none"/>
          <w:u w:val="single"/>
        </w:rPr>
        <w:t>点00分（北京时间）</w:t>
      </w:r>
      <w:r>
        <w:rPr>
          <w:rFonts w:hint="eastAsia" w:ascii="宋体" w:hAnsi="宋体" w:eastAsia="宋体" w:cs="宋体"/>
          <w:color w:val="auto"/>
          <w:sz w:val="24"/>
          <w:szCs w:val="21"/>
          <w:highlight w:val="none"/>
        </w:rPr>
        <w:t>前按规定提交投标文件。</w:t>
      </w:r>
    </w:p>
    <w:p w14:paraId="2FAF82E0">
      <w:pPr>
        <w:keepNext/>
        <w:keepLines/>
        <w:spacing w:line="440" w:lineRule="exact"/>
        <w:ind w:firstLine="482"/>
        <w:rPr>
          <w:rFonts w:hint="eastAsia" w:ascii="宋体" w:hAnsi="宋体" w:eastAsia="宋体" w:cs="宋体"/>
          <w:b/>
          <w:bCs/>
          <w:color w:val="auto"/>
          <w:sz w:val="24"/>
          <w:szCs w:val="24"/>
          <w:highlight w:val="none"/>
        </w:rPr>
      </w:pPr>
      <w:bookmarkStart w:id="7" w:name="_Toc35393790"/>
      <w:bookmarkStart w:id="8" w:name="_Toc28359079"/>
      <w:bookmarkStart w:id="9" w:name="_Toc38985263"/>
      <w:bookmarkStart w:id="10" w:name="_Toc28359002"/>
      <w:bookmarkStart w:id="11" w:name="_Toc35393621"/>
      <w:bookmarkStart w:id="12" w:name="_Hlk24379207"/>
      <w:r>
        <w:rPr>
          <w:rFonts w:hint="eastAsia" w:ascii="宋体" w:hAnsi="宋体" w:eastAsia="宋体" w:cs="宋体"/>
          <w:b/>
          <w:bCs/>
          <w:color w:val="auto"/>
          <w:sz w:val="24"/>
          <w:szCs w:val="24"/>
          <w:highlight w:val="none"/>
        </w:rPr>
        <w:t>一、项目基本情况</w:t>
      </w:r>
      <w:bookmarkEnd w:id="7"/>
      <w:bookmarkEnd w:id="8"/>
      <w:bookmarkEnd w:id="9"/>
      <w:bookmarkEnd w:id="10"/>
      <w:bookmarkEnd w:id="11"/>
    </w:p>
    <w:p w14:paraId="57A0222D">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JSZC-320581-SZDS-G2026-0007</w:t>
      </w:r>
    </w:p>
    <w:p w14:paraId="6B151EB2">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2026年常熟市农作物重大病虫害防控物化补助项目</w:t>
      </w:r>
    </w:p>
    <w:p w14:paraId="4B9180D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w:t>
      </w:r>
      <w:r>
        <w:rPr>
          <w:rFonts w:hint="eastAsia" w:ascii="宋体" w:hAnsi="宋体" w:cs="宋体"/>
          <w:color w:val="auto"/>
          <w:sz w:val="24"/>
          <w:szCs w:val="24"/>
          <w:highlight w:val="none"/>
          <w:lang w:val="en-US" w:eastAsia="zh-CN"/>
        </w:rPr>
        <w:t>方</w:t>
      </w:r>
      <w:r>
        <w:rPr>
          <w:rFonts w:hint="eastAsia" w:ascii="宋体" w:hAnsi="宋体" w:eastAsia="宋体" w:cs="宋体"/>
          <w:color w:val="auto"/>
          <w:sz w:val="24"/>
          <w:szCs w:val="24"/>
          <w:highlight w:val="none"/>
        </w:rPr>
        <w:t>式：公开招标</w:t>
      </w:r>
      <w:bookmarkEnd w:id="12"/>
    </w:p>
    <w:p w14:paraId="067C376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预算金额：人民币</w:t>
      </w:r>
      <w:r>
        <w:rPr>
          <w:rFonts w:hint="eastAsia" w:ascii="宋体" w:hAnsi="宋体" w:eastAsia="宋体" w:cs="宋体"/>
          <w:color w:val="auto"/>
          <w:sz w:val="24"/>
          <w:szCs w:val="24"/>
          <w:highlight w:val="none"/>
          <w:lang w:val="en-US" w:eastAsia="zh-CN"/>
        </w:rPr>
        <w:t>130.0000万</w:t>
      </w:r>
      <w:r>
        <w:rPr>
          <w:rFonts w:hint="eastAsia" w:ascii="宋体" w:hAnsi="宋体" w:eastAsia="宋体" w:cs="宋体"/>
          <w:color w:val="auto"/>
          <w:sz w:val="24"/>
          <w:szCs w:val="24"/>
          <w:highlight w:val="none"/>
        </w:rPr>
        <w:t>元</w:t>
      </w:r>
    </w:p>
    <w:p w14:paraId="56256178">
      <w:pPr>
        <w:spacing w:line="460" w:lineRule="exact"/>
        <w:ind w:firstLine="480"/>
        <w:rPr>
          <w:rFonts w:hint="eastAsia" w:ascii="宋体" w:hAnsi="宋体" w:eastAsia="宋体" w:cs="宋体"/>
          <w:color w:val="auto"/>
          <w:sz w:val="24"/>
          <w:szCs w:val="24"/>
          <w:highlight w:val="none"/>
        </w:rPr>
      </w:pPr>
      <w:bookmarkStart w:id="13" w:name="_Toc35393791"/>
      <w:bookmarkStart w:id="14" w:name="_Toc28359003"/>
      <w:bookmarkStart w:id="15" w:name="_Toc28359080"/>
      <w:bookmarkStart w:id="16" w:name="_Toc38985264"/>
      <w:bookmarkStart w:id="17" w:name="_Toc35393622"/>
      <w:r>
        <w:rPr>
          <w:rFonts w:hint="eastAsia" w:ascii="宋体" w:hAnsi="宋体" w:eastAsia="宋体" w:cs="宋体"/>
          <w:color w:val="auto"/>
          <w:sz w:val="24"/>
          <w:szCs w:val="24"/>
          <w:highlight w:val="none"/>
        </w:rPr>
        <w:t>采购需求概况：常熟市农业技术推广中心所需的</w:t>
      </w:r>
      <w:r>
        <w:rPr>
          <w:rFonts w:hint="eastAsia" w:ascii="宋体" w:hAnsi="宋体" w:eastAsia="宋体" w:cs="宋体"/>
          <w:color w:val="auto"/>
          <w:sz w:val="24"/>
          <w:szCs w:val="24"/>
          <w:highlight w:val="none"/>
          <w:lang w:eastAsia="zh-CN"/>
        </w:rPr>
        <w:t>2026年常熟市农作物重大病虫害防控物化补助项目</w:t>
      </w:r>
      <w:r>
        <w:rPr>
          <w:rFonts w:hint="eastAsia" w:ascii="宋体" w:hAnsi="宋体" w:eastAsia="宋体" w:cs="宋体"/>
          <w:color w:val="auto"/>
          <w:sz w:val="24"/>
          <w:szCs w:val="24"/>
          <w:highlight w:val="none"/>
        </w:rPr>
        <w:t>。</w:t>
      </w:r>
    </w:p>
    <w:p w14:paraId="3D68FCE6">
      <w:pP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合同履行期限：接到采购人通知后30日历天内将货物配送至指定地点。</w:t>
      </w:r>
    </w:p>
    <w:p w14:paraId="43B9277C">
      <w:pPr>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w:t>
      </w:r>
    </w:p>
    <w:p w14:paraId="479DB5DF">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bookmarkEnd w:id="13"/>
      <w:bookmarkEnd w:id="14"/>
      <w:bookmarkEnd w:id="15"/>
      <w:bookmarkEnd w:id="16"/>
      <w:bookmarkEnd w:id="17"/>
      <w:bookmarkStart w:id="18" w:name="_Toc28359004"/>
      <w:bookmarkStart w:id="19" w:name="_Toc35393792"/>
      <w:bookmarkStart w:id="20" w:name="_Toc38985265"/>
      <w:bookmarkStart w:id="21" w:name="_Toc28359081"/>
      <w:bookmarkStart w:id="22" w:name="_Toc35393623"/>
    </w:p>
    <w:p w14:paraId="43A85777">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满足《中华人民共和国政府采购法》第二十二条规定</w:t>
      </w:r>
      <w:r>
        <w:rPr>
          <w:rFonts w:hint="eastAsia" w:ascii="宋体" w:hAnsi="宋体" w:eastAsia="宋体" w:cs="宋体"/>
          <w:color w:val="auto"/>
          <w:sz w:val="24"/>
          <w:szCs w:val="24"/>
          <w:highlight w:val="none"/>
          <w:lang w:eastAsia="zh-CN"/>
        </w:rPr>
        <w:t>：</w:t>
      </w:r>
    </w:p>
    <w:p w14:paraId="2908A608">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p>
    <w:p w14:paraId="7AED5D9E">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p>
    <w:p w14:paraId="46DC165C">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p>
    <w:p w14:paraId="597BC610">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p>
    <w:p w14:paraId="4BDF05A2">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参加采购活动前三年内，在经营活动中没有重大违法记录。</w:t>
      </w:r>
    </w:p>
    <w:p w14:paraId="3D6D59FB">
      <w:pPr>
        <w:spacing w:line="440" w:lineRule="exact"/>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法律、行政法规规定的其他条件。</w:t>
      </w:r>
    </w:p>
    <w:p w14:paraId="02446E0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落实政府采购政策需满足的资格要求：</w:t>
      </w:r>
    </w:p>
    <w:p w14:paraId="433A4F30">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本项目专门面向中小企业采购，所属行业为工业，投标时须提供《中小企业声明函》。</w:t>
      </w:r>
    </w:p>
    <w:p w14:paraId="0B344212">
      <w:pPr>
        <w:spacing w:line="44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注：对残疾人福利性单位、监狱企业视同小型、微型企业，但须按要求提供有关声明函或证明文件。</w:t>
      </w:r>
    </w:p>
    <w:p w14:paraId="00D431D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本项目的特定资格要求：具有有效期内的《农药经营许可证》。</w:t>
      </w:r>
    </w:p>
    <w:p w14:paraId="546871B6">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三、获取招标文件</w:t>
      </w:r>
      <w:bookmarkEnd w:id="18"/>
      <w:bookmarkEnd w:id="19"/>
      <w:bookmarkEnd w:id="20"/>
      <w:bookmarkEnd w:id="21"/>
      <w:bookmarkEnd w:id="22"/>
      <w:bookmarkStart w:id="23" w:name="_Toc28359082"/>
      <w:bookmarkStart w:id="24" w:name="_Toc28359005"/>
      <w:bookmarkStart w:id="25" w:name="_Toc35393624"/>
      <w:bookmarkStart w:id="26" w:name="_Toc35393793"/>
      <w:bookmarkStart w:id="27" w:name="_Toc38985266"/>
    </w:p>
    <w:p w14:paraId="255AC7EF">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时间：自招标文件公告发布之日起5个工作日。</w:t>
      </w:r>
    </w:p>
    <w:p w14:paraId="47C4C82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地点：苏采云政府采购一体化平台</w:t>
      </w:r>
    </w:p>
    <w:p w14:paraId="531605F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方式：在“苏采云政府采购一体化平台”自行免费下载招标文件</w:t>
      </w:r>
    </w:p>
    <w:p w14:paraId="2A19024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6A69196C">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w:t>
      </w:r>
      <w:bookmarkEnd w:id="23"/>
      <w:bookmarkEnd w:id="24"/>
      <w:bookmarkEnd w:id="25"/>
      <w:bookmarkEnd w:id="26"/>
      <w:bookmarkEnd w:id="27"/>
      <w:r>
        <w:rPr>
          <w:rFonts w:hint="eastAsia" w:ascii="宋体" w:hAnsi="宋体" w:eastAsia="宋体" w:cs="宋体"/>
          <w:b/>
          <w:bCs/>
          <w:color w:val="auto"/>
          <w:sz w:val="24"/>
          <w:szCs w:val="24"/>
          <w:highlight w:val="none"/>
        </w:rPr>
        <w:t>提交投标文件截止时间、开标时间和地点</w:t>
      </w:r>
    </w:p>
    <w:p w14:paraId="4648A7F3">
      <w:pPr>
        <w:spacing w:line="440" w:lineRule="exact"/>
        <w:ind w:firstLine="480" w:firstLineChars="200"/>
        <w:rPr>
          <w:rFonts w:hint="eastAsia" w:ascii="宋体" w:hAnsi="宋体" w:eastAsia="宋体" w:cs="宋体"/>
          <w:color w:val="auto"/>
          <w:sz w:val="24"/>
          <w:szCs w:val="24"/>
          <w:highlight w:val="none"/>
        </w:rPr>
      </w:pPr>
      <w:bookmarkStart w:id="28" w:name="_Toc35393625"/>
      <w:bookmarkStart w:id="29" w:name="_Toc28359007"/>
      <w:bookmarkStart w:id="30" w:name="_Toc28359084"/>
      <w:bookmarkStart w:id="31" w:name="_Toc35393794"/>
      <w:bookmarkStart w:id="32" w:name="_Toc38985267"/>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:00（北京时间）</w:t>
      </w:r>
    </w:p>
    <w:p w14:paraId="015E1D2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地点：苏采云政府采购一体化平台开标大厅</w:t>
      </w:r>
    </w:p>
    <w:p w14:paraId="4073C73D">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bookmarkEnd w:id="28"/>
      <w:bookmarkEnd w:id="29"/>
      <w:bookmarkEnd w:id="30"/>
      <w:bookmarkEnd w:id="31"/>
      <w:bookmarkEnd w:id="32"/>
      <w:r>
        <w:rPr>
          <w:rFonts w:hint="eastAsia" w:ascii="宋体" w:hAnsi="宋体" w:eastAsia="宋体" w:cs="宋体"/>
          <w:b/>
          <w:bCs/>
          <w:color w:val="auto"/>
          <w:sz w:val="24"/>
          <w:szCs w:val="24"/>
          <w:highlight w:val="none"/>
        </w:rPr>
        <w:t>公告期限</w:t>
      </w:r>
    </w:p>
    <w:p w14:paraId="2DA488DF">
      <w:pPr>
        <w:spacing w:line="440" w:lineRule="exact"/>
        <w:ind w:firstLine="480" w:firstLineChars="200"/>
        <w:rPr>
          <w:rFonts w:hint="eastAsia" w:ascii="宋体" w:hAnsi="宋体" w:eastAsia="宋体" w:cs="宋体"/>
          <w:color w:val="auto"/>
          <w:sz w:val="24"/>
          <w:szCs w:val="24"/>
          <w:highlight w:val="none"/>
        </w:rPr>
      </w:pPr>
      <w:bookmarkStart w:id="33" w:name="_Toc38985268"/>
      <w:bookmarkStart w:id="34" w:name="_Toc35393795"/>
      <w:bookmarkStart w:id="35" w:name="_Toc35393626"/>
      <w:r>
        <w:rPr>
          <w:rFonts w:hint="eastAsia" w:ascii="宋体" w:hAnsi="宋体" w:eastAsia="宋体" w:cs="宋体"/>
          <w:color w:val="auto"/>
          <w:sz w:val="24"/>
          <w:szCs w:val="24"/>
          <w:highlight w:val="none"/>
        </w:rPr>
        <w:t>公告期限：自本公告发布之日起5个工作日。</w:t>
      </w:r>
    </w:p>
    <w:p w14:paraId="65B0D577">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bookmarkEnd w:id="33"/>
      <w:bookmarkEnd w:id="34"/>
      <w:bookmarkEnd w:id="35"/>
    </w:p>
    <w:p w14:paraId="5C4A50AA">
      <w:pPr>
        <w:spacing w:line="440" w:lineRule="exact"/>
        <w:ind w:firstLine="480" w:firstLineChars="200"/>
        <w:rPr>
          <w:rFonts w:hint="eastAsia" w:ascii="宋体" w:hAnsi="宋体" w:eastAsia="宋体" w:cs="宋体"/>
          <w:color w:val="auto"/>
          <w:sz w:val="24"/>
          <w:szCs w:val="32"/>
          <w:highlight w:val="none"/>
        </w:rPr>
      </w:pPr>
      <w:bookmarkStart w:id="36" w:name="_Toc28359085"/>
      <w:bookmarkStart w:id="37" w:name="_Toc28359008"/>
      <w:bookmarkStart w:id="38" w:name="_Toc35393796"/>
      <w:bookmarkStart w:id="39" w:name="_Toc35393627"/>
      <w:bookmarkStart w:id="40" w:name="_Toc38985269"/>
      <w:r>
        <w:rPr>
          <w:rFonts w:hint="eastAsia" w:ascii="宋体" w:hAnsi="宋体" w:eastAsia="宋体" w:cs="宋体"/>
          <w:color w:val="auto"/>
          <w:sz w:val="24"/>
          <w:szCs w:val="32"/>
          <w:highlight w:val="none"/>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518EDD88">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2、供应商在“苏采云”系统操作过程中如有疑问，请按以下方式联系：</w:t>
      </w:r>
    </w:p>
    <w:p w14:paraId="45DB28B6">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CA技术咨询电话：400-608-6099；电子签章技术咨询电话:15380932027、13675197356、025-83633811、025-83633812；系统使用指导与咨询电话：18261002950、13914088964、0519-86722802；智能客服：登录苏采云系统后，联系系统右下方智能客服图标进行咨询。。</w:t>
      </w:r>
    </w:p>
    <w:p w14:paraId="2E14847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3、有关本次采购的事项若存在变动或修改，敬请及时关注“苏州市政府采购网”发布的更正公告</w:t>
      </w:r>
      <w:bookmarkStart w:id="41" w:name="_Hlk87882297"/>
      <w:r>
        <w:rPr>
          <w:rFonts w:hint="eastAsia" w:ascii="宋体" w:hAnsi="宋体" w:eastAsia="宋体" w:cs="宋体"/>
          <w:color w:val="auto"/>
          <w:sz w:val="24"/>
          <w:szCs w:val="32"/>
          <w:highlight w:val="none"/>
        </w:rPr>
        <w:t>，并按规定获取相关信息内容。</w:t>
      </w:r>
      <w:bookmarkEnd w:id="41"/>
    </w:p>
    <w:p w14:paraId="76A64DAC">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4、本次采购项目有关时间要求均以北京时间为标准，使用24小时制。</w:t>
      </w:r>
    </w:p>
    <w:p w14:paraId="354E82DF">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5、公告媒体：</w:t>
      </w:r>
      <w:r>
        <w:rPr>
          <w:rFonts w:hint="eastAsia" w:ascii="宋体" w:hAnsi="宋体" w:eastAsia="宋体" w:cs="宋体"/>
          <w:color w:val="auto"/>
          <w:sz w:val="24"/>
          <w:highlight w:val="none"/>
        </w:rPr>
        <w:t>苏州市政府采购网、江苏政府采购网</w:t>
      </w:r>
      <w:r>
        <w:rPr>
          <w:rFonts w:hint="eastAsia" w:ascii="宋体" w:hAnsi="宋体" w:eastAsia="宋体" w:cs="宋体"/>
          <w:color w:val="auto"/>
          <w:sz w:val="24"/>
          <w:szCs w:val="32"/>
          <w:highlight w:val="none"/>
        </w:rPr>
        <w:t>。</w:t>
      </w:r>
    </w:p>
    <w:p w14:paraId="67C573D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6、</w:t>
      </w:r>
      <w:r>
        <w:rPr>
          <w:rFonts w:hint="eastAsia" w:ascii="宋体" w:hAnsi="宋体" w:eastAsia="宋体" w:cs="宋体"/>
          <w:color w:val="auto"/>
          <w:sz w:val="24"/>
          <w:szCs w:val="24"/>
          <w:highlight w:val="none"/>
        </w:rPr>
        <w:t>其他要求：</w:t>
      </w:r>
    </w:p>
    <w:p w14:paraId="33052A4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75495398">
      <w:pPr>
        <w:keepNext/>
        <w:keepLines/>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（2）单位负责人为同一人或者存在直接控股、管理关系的不同投标人，不得参加同一合同项下的政府采购活动。</w:t>
      </w:r>
    </w:p>
    <w:p w14:paraId="2BC69F05">
      <w:pPr>
        <w:keepNext/>
        <w:keepLines/>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七、本次招标联系</w:t>
      </w:r>
      <w:bookmarkEnd w:id="36"/>
      <w:bookmarkEnd w:id="37"/>
      <w:bookmarkEnd w:id="38"/>
      <w:bookmarkEnd w:id="39"/>
      <w:bookmarkEnd w:id="40"/>
      <w:r>
        <w:rPr>
          <w:rFonts w:hint="eastAsia" w:ascii="宋体" w:hAnsi="宋体" w:eastAsia="宋体" w:cs="宋体"/>
          <w:b/>
          <w:bCs/>
          <w:color w:val="auto"/>
          <w:sz w:val="24"/>
          <w:szCs w:val="24"/>
          <w:highlight w:val="none"/>
        </w:rPr>
        <w:t>方式</w:t>
      </w:r>
    </w:p>
    <w:p w14:paraId="5D945BD7">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0AC30B8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单位名称：常熟市农业技术推广中心</w:t>
      </w:r>
    </w:p>
    <w:p w14:paraId="39C7B2C1">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单位地址：常熟市珠江路384号</w:t>
      </w:r>
    </w:p>
    <w:p w14:paraId="2A76679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联系人：须兆龙</w:t>
      </w:r>
    </w:p>
    <w:p w14:paraId="4BF39261">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bookmarkStart w:id="42" w:name="_Toc28359086"/>
      <w:bookmarkStart w:id="43" w:name="_Toc28359009"/>
      <w:r>
        <w:rPr>
          <w:rFonts w:hint="eastAsia" w:ascii="宋体" w:hAnsi="宋体" w:eastAsia="宋体" w:cs="宋体"/>
          <w:color w:val="auto"/>
          <w:sz w:val="24"/>
          <w:szCs w:val="24"/>
          <w:highlight w:val="none"/>
        </w:rPr>
        <w:t>0512-52883448</w:t>
      </w:r>
    </w:p>
    <w:bookmarkEnd w:id="42"/>
    <w:bookmarkEnd w:id="43"/>
    <w:p w14:paraId="6422775F">
      <w:pPr>
        <w:spacing w:line="440" w:lineRule="exact"/>
        <w:ind w:firstLine="480"/>
        <w:rPr>
          <w:rFonts w:hint="eastAsia" w:ascii="宋体" w:hAnsi="宋体" w:eastAsia="宋体" w:cs="宋体"/>
          <w:color w:val="auto"/>
          <w:sz w:val="24"/>
          <w:szCs w:val="24"/>
          <w:highlight w:val="none"/>
        </w:rPr>
      </w:pPr>
      <w:bookmarkStart w:id="44" w:name="_Toc28359087"/>
      <w:bookmarkStart w:id="45" w:name="_Toc28359010"/>
      <w:r>
        <w:rPr>
          <w:rFonts w:hint="eastAsia" w:ascii="宋体" w:hAnsi="宋体" w:eastAsia="宋体" w:cs="宋体"/>
          <w:color w:val="auto"/>
          <w:sz w:val="24"/>
          <w:szCs w:val="24"/>
          <w:highlight w:val="none"/>
        </w:rPr>
        <w:t>2、采购代理机构信息</w:t>
      </w:r>
    </w:p>
    <w:p w14:paraId="194A674F">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单位名称：苏州信达顺工程建设咨询有限公司</w:t>
      </w:r>
    </w:p>
    <w:p w14:paraId="5669F579">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单位地址：常熟市海虞镇河滨路100-5号</w:t>
      </w:r>
    </w:p>
    <w:p w14:paraId="39FB1081">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王丹婷、王春佳</w:t>
      </w:r>
    </w:p>
    <w:p w14:paraId="6FB4EDC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联系方式：0512-52156272</w:t>
      </w:r>
    </w:p>
    <w:p w14:paraId="0B126E4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5D1DF0E9">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项目联系人：王丹婷、王</w:t>
      </w:r>
      <w:r>
        <w:rPr>
          <w:rFonts w:hint="eastAsia" w:ascii="宋体" w:hAnsi="宋体" w:eastAsia="宋体" w:cs="宋体"/>
          <w:color w:val="auto"/>
          <w:sz w:val="24"/>
          <w:szCs w:val="24"/>
          <w:highlight w:val="none"/>
          <w:lang w:val="en-US" w:eastAsia="zh-CN"/>
        </w:rPr>
        <w:t>春佳</w:t>
      </w:r>
    </w:p>
    <w:p w14:paraId="60B0074A">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电话：0512-52156272</w:t>
      </w:r>
    </w:p>
    <w:p w14:paraId="61DC1C62">
      <w:pPr>
        <w:spacing w:line="440" w:lineRule="exact"/>
        <w:ind w:firstLine="480"/>
        <w:rPr>
          <w:rFonts w:hint="eastAsia" w:ascii="宋体" w:hAnsi="宋体" w:eastAsia="宋体" w:cs="宋体"/>
          <w:color w:val="auto"/>
          <w:sz w:val="24"/>
          <w:szCs w:val="24"/>
          <w:highlight w:val="none"/>
        </w:rPr>
      </w:pPr>
    </w:p>
    <w:bookmarkEnd w:id="44"/>
    <w:bookmarkEnd w:id="45"/>
    <w:p w14:paraId="7080B9C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5555DD30">
      <w:pPr>
        <w:keepNext/>
        <w:ind w:firstLine="880"/>
        <w:jc w:val="center"/>
        <w:outlineLvl w:val="0"/>
        <w:rPr>
          <w:rFonts w:hint="eastAsia" w:ascii="宋体" w:hAnsi="宋体" w:eastAsia="宋体" w:cs="宋体"/>
          <w:b/>
          <w:bCs/>
          <w:color w:val="auto"/>
          <w:sz w:val="40"/>
          <w:szCs w:val="40"/>
          <w:highlight w:val="none"/>
        </w:rPr>
      </w:pPr>
      <w:bookmarkStart w:id="46" w:name="_Toc120614211"/>
      <w:bookmarkStart w:id="47" w:name="_Toc708"/>
      <w:r>
        <w:rPr>
          <w:rFonts w:hint="eastAsia" w:ascii="宋体" w:hAnsi="宋体" w:eastAsia="宋体" w:cs="宋体"/>
          <w:b/>
          <w:bCs/>
          <w:color w:val="auto"/>
          <w:sz w:val="40"/>
          <w:szCs w:val="40"/>
          <w:highlight w:val="none"/>
        </w:rPr>
        <w:t xml:space="preserve">第二章  </w:t>
      </w:r>
      <w:bookmarkEnd w:id="1"/>
      <w:bookmarkEnd w:id="2"/>
      <w:bookmarkEnd w:id="3"/>
      <w:bookmarkEnd w:id="4"/>
      <w:bookmarkEnd w:id="5"/>
      <w:bookmarkEnd w:id="46"/>
      <w:bookmarkStart w:id="48" w:name="_Toc20823274"/>
      <w:bookmarkStart w:id="49" w:name="_Toc513029202"/>
      <w:bookmarkStart w:id="50" w:name="_Toc16938518"/>
      <w:bookmarkStart w:id="51" w:name="_Toc120614213"/>
      <w:r>
        <w:rPr>
          <w:rFonts w:hint="eastAsia" w:ascii="宋体" w:hAnsi="宋体" w:eastAsia="宋体" w:cs="宋体"/>
          <w:b/>
          <w:bCs/>
          <w:color w:val="auto"/>
          <w:sz w:val="40"/>
          <w:szCs w:val="40"/>
          <w:highlight w:val="none"/>
        </w:rPr>
        <w:t>投标人须知</w:t>
      </w:r>
      <w:bookmarkEnd w:id="47"/>
      <w:bookmarkEnd w:id="48"/>
      <w:bookmarkEnd w:id="49"/>
      <w:bookmarkEnd w:id="50"/>
      <w:bookmarkEnd w:id="51"/>
    </w:p>
    <w:p w14:paraId="02DA7CDC">
      <w:pPr>
        <w:keepNext/>
        <w:keepLines/>
        <w:pageBreakBefore w:val="0"/>
        <w:widowControl w:val="0"/>
        <w:kinsoku/>
        <w:wordWrap/>
        <w:overflowPunct/>
        <w:topLinePunct w:val="0"/>
        <w:autoSpaceDE/>
        <w:autoSpaceDN/>
        <w:bidi w:val="0"/>
        <w:adjustRightInd/>
        <w:snapToGrid/>
        <w:spacing w:line="430" w:lineRule="exact"/>
        <w:ind w:firstLine="562"/>
        <w:textAlignment w:val="auto"/>
        <w:rPr>
          <w:rFonts w:hint="eastAsia" w:ascii="宋体" w:hAnsi="宋体" w:eastAsia="宋体" w:cs="宋体"/>
          <w:b/>
          <w:bCs/>
          <w:color w:val="auto"/>
          <w:sz w:val="28"/>
          <w:szCs w:val="28"/>
          <w:highlight w:val="none"/>
        </w:rPr>
      </w:pPr>
      <w:bookmarkStart w:id="52" w:name="_Toc120614214"/>
      <w:bookmarkStart w:id="53" w:name="_Toc513029203"/>
      <w:bookmarkStart w:id="54" w:name="_Toc20823275"/>
      <w:bookmarkStart w:id="55" w:name="_Toc16938519"/>
      <w:r>
        <w:rPr>
          <w:rFonts w:hint="eastAsia" w:ascii="宋体" w:hAnsi="宋体" w:eastAsia="宋体" w:cs="宋体"/>
          <w:b/>
          <w:bCs/>
          <w:color w:val="auto"/>
          <w:sz w:val="28"/>
          <w:szCs w:val="28"/>
          <w:highlight w:val="none"/>
        </w:rPr>
        <w:t>一、总则</w:t>
      </w:r>
      <w:bookmarkEnd w:id="52"/>
      <w:bookmarkEnd w:id="53"/>
      <w:bookmarkEnd w:id="54"/>
      <w:bookmarkEnd w:id="55"/>
    </w:p>
    <w:p w14:paraId="2A1B9192">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56" w:name="_Hlt16619475"/>
      <w:bookmarkEnd w:id="56"/>
      <w:bookmarkStart w:id="57" w:name="_Toc458694821"/>
      <w:bookmarkStart w:id="58" w:name="_Toc513029204"/>
      <w:bookmarkStart w:id="59" w:name="_Toc20823276"/>
      <w:bookmarkStart w:id="60" w:name="_Toc16938520"/>
      <w:r>
        <w:rPr>
          <w:rFonts w:hint="eastAsia" w:ascii="宋体" w:hAnsi="宋体" w:eastAsia="宋体" w:cs="宋体"/>
          <w:color w:val="auto"/>
          <w:sz w:val="24"/>
          <w:szCs w:val="24"/>
          <w:highlight w:val="none"/>
        </w:rPr>
        <w:t>1</w:t>
      </w:r>
      <w:bookmarkEnd w:id="57"/>
      <w:r>
        <w:rPr>
          <w:rFonts w:hint="eastAsia" w:ascii="宋体" w:hAnsi="宋体" w:eastAsia="宋体" w:cs="宋体"/>
          <w:color w:val="auto"/>
          <w:sz w:val="24"/>
          <w:szCs w:val="24"/>
          <w:highlight w:val="none"/>
        </w:rPr>
        <w:t>、采购</w:t>
      </w:r>
      <w:r>
        <w:rPr>
          <w:rFonts w:hint="eastAsia" w:ascii="宋体" w:hAnsi="宋体" w:cs="宋体"/>
          <w:color w:val="auto"/>
          <w:sz w:val="24"/>
          <w:szCs w:val="24"/>
          <w:highlight w:val="none"/>
          <w:lang w:val="en-US" w:eastAsia="zh-CN"/>
        </w:rPr>
        <w:t>方</w:t>
      </w:r>
      <w:r>
        <w:rPr>
          <w:rFonts w:hint="eastAsia" w:ascii="宋体" w:hAnsi="宋体" w:eastAsia="宋体" w:cs="宋体"/>
          <w:color w:val="auto"/>
          <w:sz w:val="24"/>
          <w:szCs w:val="24"/>
          <w:highlight w:val="none"/>
        </w:rPr>
        <w:t>式</w:t>
      </w:r>
      <w:bookmarkEnd w:id="58"/>
      <w:bookmarkEnd w:id="59"/>
      <w:bookmarkEnd w:id="60"/>
      <w:r>
        <w:rPr>
          <w:rFonts w:hint="eastAsia" w:ascii="宋体" w:hAnsi="宋体" w:eastAsia="宋体" w:cs="宋体"/>
          <w:color w:val="auto"/>
          <w:sz w:val="24"/>
          <w:szCs w:val="24"/>
          <w:highlight w:val="none"/>
        </w:rPr>
        <w:t>及适用法律</w:t>
      </w:r>
    </w:p>
    <w:p w14:paraId="1B42D799">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7F7D225B">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本次招标及由此产生的合同受中华人民共和国有关的法律法规制约和保护。</w:t>
      </w:r>
    </w:p>
    <w:p w14:paraId="604A5B18">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2、定义</w:t>
      </w:r>
    </w:p>
    <w:p w14:paraId="16128003">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“采购人”系指购买本项目货物并接受相关服务的国家机关、事业单位、团体组织。</w:t>
      </w:r>
    </w:p>
    <w:p w14:paraId="7DF88DE8">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“采购代理机构”系指依法接受采购人委托，从事货物和服务等政府采购业务的采购代理机构（以下简称“代理机构”）。本项目采购代理机构为</w:t>
      </w:r>
      <w:r>
        <w:rPr>
          <w:rFonts w:hint="eastAsia" w:ascii="宋体" w:hAnsi="宋体" w:eastAsia="宋体" w:cs="宋体"/>
          <w:color w:val="auto"/>
          <w:sz w:val="24"/>
          <w:szCs w:val="24"/>
          <w:highlight w:val="none"/>
          <w:lang w:eastAsia="zh-CN"/>
        </w:rPr>
        <w:t>苏州信达顺工程建设咨询有限公司</w:t>
      </w:r>
      <w:r>
        <w:rPr>
          <w:rFonts w:hint="eastAsia" w:ascii="宋体" w:hAnsi="宋体" w:eastAsia="宋体" w:cs="宋体"/>
          <w:color w:val="auto"/>
          <w:sz w:val="24"/>
          <w:szCs w:val="24"/>
          <w:highlight w:val="none"/>
        </w:rPr>
        <w:t>。</w:t>
      </w:r>
    </w:p>
    <w:p w14:paraId="56B08442">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“投标人”系指响应招标、参加投标竞争的供应商。</w:t>
      </w:r>
    </w:p>
    <w:p w14:paraId="1E49A514">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61" w:name="_Toc20823277"/>
      <w:bookmarkStart w:id="62" w:name="_Toc16938521"/>
      <w:bookmarkStart w:id="63" w:name="_Toc513029205"/>
      <w:r>
        <w:rPr>
          <w:rFonts w:hint="eastAsia" w:ascii="宋体" w:hAnsi="宋体" w:eastAsia="宋体" w:cs="宋体"/>
          <w:color w:val="auto"/>
          <w:sz w:val="24"/>
          <w:szCs w:val="24"/>
          <w:highlight w:val="none"/>
        </w:rPr>
        <w:t>3、合格的投标人</w:t>
      </w:r>
      <w:bookmarkEnd w:id="61"/>
      <w:bookmarkEnd w:id="62"/>
      <w:bookmarkEnd w:id="63"/>
    </w:p>
    <w:p w14:paraId="5F1EB3E0">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满足招标公告中供应商的资格要求的规定，详见《第一章 投标邀请》中投标人资格要求。</w:t>
      </w:r>
    </w:p>
    <w:p w14:paraId="12D48268">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满足本文件实质性要求和条件的规定。</w:t>
      </w:r>
    </w:p>
    <w:p w14:paraId="1CD09A0A">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64" w:name="_Toc20823279"/>
      <w:bookmarkStart w:id="65" w:name="_Toc513029207"/>
      <w:bookmarkStart w:id="66" w:name="_Toc462564067"/>
      <w:bookmarkStart w:id="67" w:name="_Toc16938523"/>
      <w:r>
        <w:rPr>
          <w:rFonts w:hint="eastAsia" w:ascii="宋体" w:hAnsi="宋体" w:eastAsia="宋体" w:cs="宋体"/>
          <w:color w:val="auto"/>
          <w:sz w:val="24"/>
          <w:szCs w:val="24"/>
          <w:highlight w:val="none"/>
        </w:rPr>
        <w:t>4、投标费用</w:t>
      </w:r>
      <w:bookmarkEnd w:id="64"/>
      <w:bookmarkEnd w:id="65"/>
      <w:bookmarkEnd w:id="66"/>
      <w:bookmarkEnd w:id="67"/>
    </w:p>
    <w:p w14:paraId="60312013">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4.1无论投标过程中的做法和结果如何，投标人应自行承担所有与准备和参加投标有关的全部费用。</w:t>
      </w:r>
    </w:p>
    <w:p w14:paraId="40E70FBB">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4.2本次招标采购代理机构和采购人不收取标书工本费。</w:t>
      </w:r>
    </w:p>
    <w:p w14:paraId="59793606">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因本项目采购资金为中央农业防灾减灾和水利救灾资金，由省财政直接拨款，专项用于防灾减灾物资采购，项目立项预算为货物采购款且为全额采购，无额外财政资金拨付代理机构服务费。故本项目代理费用由中标人支付，在领取中标通知书时中标人向采购代理机构支付代理费用，代理费用含在投标报价中。</w:t>
      </w:r>
    </w:p>
    <w:p w14:paraId="5DD43F06">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代理费用收取方式及标准如下:按照1980号文收费标准*70.00%取整计取。</w:t>
      </w:r>
    </w:p>
    <w:p w14:paraId="7577E9F6">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预算金额100万元以下部分按该部分预算金额的1.05%计算;预算金额100(含)~500万元部分按该部分预算金额的0.77%计算。收费按差额定率累进法计算。</w:t>
      </w:r>
    </w:p>
    <w:p w14:paraId="4F92E73E">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若本项目重新招标增收代理服务费人民币壹仟元整(¥1000.00)。</w:t>
      </w:r>
    </w:p>
    <w:p w14:paraId="7372E2FD">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本项目中标服务费共计:人民币壹万贰仟捌佰壹拾元整(¥12810.00)</w:t>
      </w:r>
    </w:p>
    <w:p w14:paraId="54C2E457">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5、招标文件的约束力</w:t>
      </w:r>
    </w:p>
    <w:p w14:paraId="2C943C01">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3D740259">
      <w:pPr>
        <w:keepNext/>
        <w:keepLines/>
        <w:pageBreakBefore w:val="0"/>
        <w:widowControl w:val="0"/>
        <w:kinsoku/>
        <w:wordWrap/>
        <w:overflowPunct/>
        <w:topLinePunct w:val="0"/>
        <w:autoSpaceDE/>
        <w:autoSpaceDN/>
        <w:bidi w:val="0"/>
        <w:adjustRightInd/>
        <w:snapToGrid/>
        <w:spacing w:line="430" w:lineRule="exact"/>
        <w:ind w:firstLine="562"/>
        <w:textAlignment w:val="auto"/>
        <w:rPr>
          <w:rFonts w:hint="eastAsia" w:ascii="宋体" w:hAnsi="宋体" w:eastAsia="宋体" w:cs="宋体"/>
          <w:b/>
          <w:bCs/>
          <w:color w:val="auto"/>
          <w:sz w:val="28"/>
          <w:szCs w:val="28"/>
          <w:highlight w:val="none"/>
        </w:rPr>
      </w:pPr>
      <w:bookmarkStart w:id="68" w:name="_Toc20823281"/>
      <w:bookmarkStart w:id="69" w:name="_Toc513029209"/>
      <w:bookmarkStart w:id="70" w:name="_Toc16938525"/>
      <w:bookmarkStart w:id="71" w:name="_Toc120614215"/>
      <w:r>
        <w:rPr>
          <w:rFonts w:hint="eastAsia" w:ascii="宋体" w:hAnsi="宋体" w:eastAsia="宋体" w:cs="宋体"/>
          <w:b/>
          <w:bCs/>
          <w:color w:val="auto"/>
          <w:sz w:val="28"/>
          <w:szCs w:val="28"/>
          <w:highlight w:val="none"/>
        </w:rPr>
        <w:t>二、招标文件</w:t>
      </w:r>
      <w:bookmarkEnd w:id="68"/>
      <w:bookmarkEnd w:id="69"/>
      <w:bookmarkEnd w:id="70"/>
      <w:bookmarkEnd w:id="71"/>
    </w:p>
    <w:p w14:paraId="196902E3">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72" w:name="_Toc20823282"/>
      <w:bookmarkStart w:id="73" w:name="_Toc513029210"/>
      <w:bookmarkStart w:id="74" w:name="_Toc16938526"/>
      <w:r>
        <w:rPr>
          <w:rFonts w:hint="eastAsia" w:ascii="宋体" w:hAnsi="宋体" w:eastAsia="宋体" w:cs="宋体"/>
          <w:color w:val="auto"/>
          <w:sz w:val="24"/>
          <w:szCs w:val="24"/>
          <w:highlight w:val="none"/>
        </w:rPr>
        <w:t>1、招标文件构成</w:t>
      </w:r>
      <w:bookmarkEnd w:id="72"/>
      <w:bookmarkEnd w:id="73"/>
      <w:bookmarkEnd w:id="74"/>
    </w:p>
    <w:p w14:paraId="2607B607">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1.1</w:t>
      </w:r>
      <w:r>
        <w:rPr>
          <w:rFonts w:hint="eastAsia" w:ascii="宋体" w:hAnsi="宋体" w:eastAsia="宋体" w:cs="宋体"/>
          <w:color w:val="auto"/>
          <w:sz w:val="24"/>
          <w:szCs w:val="24"/>
          <w:highlight w:val="none"/>
        </w:rPr>
        <w:t xml:space="preserve"> 招标文件由以下部分组成：</w:t>
      </w:r>
    </w:p>
    <w:p w14:paraId="1BABE144">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65F88237">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602594A4">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38A7EDD9">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4E7917E8">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29AAFE36">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57FFE6D6">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请仔细检查招标文件是否齐全，如有缺漏请立即与代理机构联系解决。</w:t>
      </w:r>
    </w:p>
    <w:p w14:paraId="2E326A3E">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61713E">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招标文件及其更正事项如不是直接从指定媒体地址下载获得的，采购人或代理机构对招标文件及其补遗的真实性、完整性不承担任何责任。</w:t>
      </w:r>
    </w:p>
    <w:p w14:paraId="5B9A7018">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75" w:name="_Toc20823283"/>
      <w:bookmarkStart w:id="76" w:name="_Toc462564070"/>
      <w:bookmarkStart w:id="77" w:name="_Toc513029211"/>
      <w:bookmarkStart w:id="78" w:name="_Toc16938527"/>
      <w:r>
        <w:rPr>
          <w:rFonts w:hint="eastAsia" w:ascii="宋体" w:hAnsi="宋体" w:eastAsia="宋体" w:cs="宋体"/>
          <w:color w:val="auto"/>
          <w:sz w:val="24"/>
          <w:szCs w:val="24"/>
          <w:highlight w:val="none"/>
        </w:rPr>
        <w:t>2、招标文件的澄清、修改</w:t>
      </w:r>
    </w:p>
    <w:p w14:paraId="4544CD59">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2.1 出于实际需要或澄清投标人问题的情况下，代理机构可对已发出的招标文件进行必要的澄清或者修改，并将在指定媒体上发布。</w:t>
      </w:r>
      <w:r>
        <w:rPr>
          <w:rFonts w:hint="eastAsia" w:ascii="宋体" w:hAnsi="宋体" w:eastAsia="宋体" w:cs="宋体"/>
          <w:b/>
          <w:bCs/>
          <w:color w:val="auto"/>
          <w:sz w:val="24"/>
          <w:szCs w:val="24"/>
          <w:highlight w:val="none"/>
        </w:rPr>
        <w:t>各投标人应在投标截止时间前关注政府采购信息发布媒体上“补充通知”栏，按规定获取相关信息内容，否则其投标风险由投标人承担。</w:t>
      </w:r>
    </w:p>
    <w:p w14:paraId="2306930F">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代理机构有权按照法定的要求顺延投标截止时间和开标时间。</w:t>
      </w:r>
    </w:p>
    <w:p w14:paraId="11450576">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有关澄清或者修改的内容将作为招标文件的组成部分，对所有投标人具有约束力。</w:t>
      </w:r>
    </w:p>
    <w:bookmarkEnd w:id="75"/>
    <w:bookmarkEnd w:id="76"/>
    <w:bookmarkEnd w:id="77"/>
    <w:bookmarkEnd w:id="78"/>
    <w:p w14:paraId="3A213030">
      <w:pPr>
        <w:keepNext/>
        <w:keepLines/>
        <w:pageBreakBefore w:val="0"/>
        <w:widowControl w:val="0"/>
        <w:kinsoku/>
        <w:wordWrap/>
        <w:overflowPunct/>
        <w:topLinePunct w:val="0"/>
        <w:autoSpaceDE/>
        <w:autoSpaceDN/>
        <w:bidi w:val="0"/>
        <w:adjustRightInd/>
        <w:snapToGrid/>
        <w:spacing w:line="430" w:lineRule="exact"/>
        <w:ind w:firstLine="562"/>
        <w:textAlignment w:val="auto"/>
        <w:rPr>
          <w:rFonts w:hint="eastAsia" w:ascii="宋体" w:hAnsi="宋体" w:eastAsia="宋体" w:cs="宋体"/>
          <w:b/>
          <w:bCs/>
          <w:color w:val="auto"/>
          <w:sz w:val="28"/>
          <w:szCs w:val="28"/>
          <w:highlight w:val="none"/>
        </w:rPr>
      </w:pPr>
      <w:bookmarkStart w:id="79" w:name="_Toc20823285"/>
      <w:bookmarkStart w:id="80" w:name="_Toc16938529"/>
      <w:bookmarkStart w:id="81" w:name="_Toc120614216"/>
      <w:bookmarkStart w:id="82" w:name="_Toc462564072"/>
      <w:bookmarkStart w:id="83" w:name="_Toc513029213"/>
      <w:r>
        <w:rPr>
          <w:rFonts w:hint="eastAsia" w:ascii="宋体" w:hAnsi="宋体" w:eastAsia="宋体" w:cs="宋体"/>
          <w:b/>
          <w:bCs/>
          <w:color w:val="auto"/>
          <w:sz w:val="28"/>
          <w:szCs w:val="28"/>
          <w:highlight w:val="none"/>
        </w:rPr>
        <w:t>三、投标文件的编制</w:t>
      </w:r>
      <w:bookmarkEnd w:id="79"/>
      <w:bookmarkEnd w:id="80"/>
      <w:bookmarkEnd w:id="81"/>
      <w:bookmarkEnd w:id="82"/>
      <w:bookmarkEnd w:id="83"/>
    </w:p>
    <w:p w14:paraId="67B32117">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b/>
          <w:color w:val="auto"/>
          <w:sz w:val="24"/>
          <w:szCs w:val="24"/>
          <w:highlight w:val="none"/>
        </w:rPr>
      </w:pPr>
      <w:bookmarkStart w:id="84" w:name="_Toc16938530"/>
      <w:bookmarkStart w:id="85" w:name="_Toc513029214"/>
      <w:bookmarkStart w:id="86" w:name="_Toc462564073"/>
      <w:bookmarkStart w:id="87" w:name="_Toc20823286"/>
      <w:r>
        <w:rPr>
          <w:rFonts w:hint="eastAsia" w:ascii="宋体" w:hAnsi="宋体" w:eastAsia="宋体" w:cs="宋体"/>
          <w:color w:val="auto"/>
          <w:sz w:val="24"/>
          <w:szCs w:val="24"/>
          <w:highlight w:val="none"/>
        </w:rPr>
        <w:t>1、投标文件的语言及度量衡单位</w:t>
      </w:r>
      <w:bookmarkEnd w:id="84"/>
      <w:bookmarkEnd w:id="85"/>
      <w:bookmarkEnd w:id="86"/>
      <w:bookmarkEnd w:id="87"/>
    </w:p>
    <w:p w14:paraId="1434FEC2">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投标人提交的投标文件以及投标人与代理机构就有关投标的所有来往通知、函件和文件均应使用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0F99870C">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1.2 除技术性能另有规定外，投标文件所使用的度量衡单位，均须采用国家法定计量单位。</w:t>
      </w:r>
    </w:p>
    <w:p w14:paraId="6636AA6F">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88" w:name="_Toc20823287"/>
      <w:bookmarkStart w:id="89" w:name="_Toc462564074"/>
      <w:bookmarkStart w:id="90" w:name="_Toc16938531"/>
      <w:bookmarkStart w:id="91" w:name="_Toc513029215"/>
      <w:r>
        <w:rPr>
          <w:rFonts w:hint="eastAsia" w:ascii="宋体" w:hAnsi="宋体" w:eastAsia="宋体" w:cs="宋体"/>
          <w:color w:val="auto"/>
          <w:sz w:val="24"/>
          <w:szCs w:val="24"/>
          <w:highlight w:val="none"/>
        </w:rPr>
        <w:t>2、投标文件构成</w:t>
      </w:r>
      <w:bookmarkEnd w:id="88"/>
      <w:bookmarkEnd w:id="89"/>
      <w:bookmarkEnd w:id="90"/>
      <w:bookmarkEnd w:id="91"/>
    </w:p>
    <w:p w14:paraId="5959AEE9">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投标人编写的投标文件应包括资格证明文件、开标一览表、报价明细表、投标函、服务（或商务）要求响应及偏离表、项目实施方案、其他证明文件等部分。</w:t>
      </w:r>
    </w:p>
    <w:p w14:paraId="109390FB">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如标书制作工具中格式和内容与指定媒体发布的招标文件不一致，请以指定媒体发布的招标文件为准。</w:t>
      </w:r>
    </w:p>
    <w:p w14:paraId="7EFE92F1">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92" w:name="_Hlt26668975"/>
      <w:bookmarkEnd w:id="92"/>
      <w:bookmarkStart w:id="93" w:name="_Hlt26670360"/>
      <w:bookmarkEnd w:id="93"/>
      <w:bookmarkStart w:id="94" w:name="_Hlt26954838"/>
      <w:bookmarkEnd w:id="94"/>
      <w:bookmarkStart w:id="95" w:name="_Toc14577357"/>
      <w:bookmarkStart w:id="96" w:name="_Toc513029219"/>
      <w:bookmarkStart w:id="97" w:name="_Toc49090509"/>
      <w:bookmarkStart w:id="98" w:name="_Toc513029216"/>
      <w:bookmarkStart w:id="99" w:name="_Toc49090507"/>
      <w:bookmarkStart w:id="100" w:name="_Toc14577354"/>
      <w:bookmarkStart w:id="101" w:name="_Toc14577355"/>
      <w:bookmarkStart w:id="102" w:name="_Toc49090508"/>
      <w:r>
        <w:rPr>
          <w:rFonts w:hint="eastAsia" w:ascii="宋体" w:hAnsi="宋体" w:eastAsia="宋体" w:cs="宋体"/>
          <w:color w:val="auto"/>
          <w:sz w:val="24"/>
          <w:szCs w:val="24"/>
          <w:highlight w:val="none"/>
        </w:rPr>
        <w:t>3、证明投标人及投标标的符合招标文件规定的文件</w:t>
      </w:r>
      <w:bookmarkEnd w:id="95"/>
      <w:bookmarkEnd w:id="96"/>
      <w:bookmarkEnd w:id="97"/>
    </w:p>
    <w:bookmarkEnd w:id="98"/>
    <w:bookmarkEnd w:id="99"/>
    <w:bookmarkEnd w:id="100"/>
    <w:p w14:paraId="3F446016">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投标人应按照招标文件要求提交证明文件，证明其及投标标的符合招标文件规定。</w:t>
      </w:r>
    </w:p>
    <w:p w14:paraId="0F5F246B">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3.2招标文件对证明文件无明确形式要求的，证明文件可以以文字资料、图纸和数据等形式提交。</w:t>
      </w:r>
    </w:p>
    <w:bookmarkEnd w:id="101"/>
    <w:bookmarkEnd w:id="102"/>
    <w:p w14:paraId="5BA88BBC">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4、投标函和开标一览表</w:t>
      </w:r>
    </w:p>
    <w:p w14:paraId="3CA501DE">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投标人应按照招标文件中提供的格式完整、正确填写投标函、开标一览表。</w:t>
      </w:r>
    </w:p>
    <w:p w14:paraId="110A8EBC">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对于采用货币报价的项目，开标一览表中的投标总报价应与报价明细表中的投标总报价一致，如不一致不作为无效投标处理，但评标时按开标一览表中价格为准。</w:t>
      </w:r>
    </w:p>
    <w:p w14:paraId="10E109BB">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5、报价明细表</w:t>
      </w:r>
    </w:p>
    <w:p w14:paraId="0D1E8137">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投标人应按照招标文件规定格式填报报价明细表。</w:t>
      </w:r>
    </w:p>
    <w:p w14:paraId="730C7354">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投标货币。投标文件中的单价和总价无特殊规定的采用人民币报价，以元为单位标注。招标文件中另有规定的按规定执行。</w:t>
      </w:r>
    </w:p>
    <w:p w14:paraId="74F76F90">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103" w:name="_Hlt26954846"/>
      <w:bookmarkEnd w:id="103"/>
      <w:bookmarkStart w:id="104" w:name="_Hlt26954731"/>
      <w:bookmarkEnd w:id="104"/>
      <w:bookmarkStart w:id="105" w:name="_Hlt26670482"/>
      <w:bookmarkEnd w:id="105"/>
      <w:bookmarkStart w:id="106" w:name="_Hlt26670486"/>
      <w:bookmarkEnd w:id="106"/>
      <w:bookmarkStart w:id="107" w:name="_Hlt26954848"/>
      <w:bookmarkEnd w:id="107"/>
      <w:bookmarkStart w:id="108" w:name="_Hlk155763835"/>
      <w:r>
        <w:rPr>
          <w:rFonts w:hint="eastAsia" w:ascii="宋体" w:hAnsi="宋体" w:eastAsia="宋体" w:cs="宋体"/>
          <w:color w:val="auto"/>
          <w:sz w:val="24"/>
          <w:szCs w:val="24"/>
          <w:highlight w:val="none"/>
        </w:rPr>
        <w:t>6、技术参数、商务要求响应及偏离表</w:t>
      </w:r>
    </w:p>
    <w:p w14:paraId="0F83946E">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zh-CN"/>
        </w:rPr>
        <w:t xml:space="preserve"> 投标人需对招标文件中的技术参数与商务要求逐项作出响应或偏离，并说明原因。</w:t>
      </w:r>
    </w:p>
    <w:p w14:paraId="2CA517D3">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6.2</w:t>
      </w:r>
      <w:r>
        <w:rPr>
          <w:rFonts w:hint="eastAsia" w:ascii="宋体" w:hAnsi="宋体" w:eastAsia="宋体" w:cs="宋体"/>
          <w:color w:val="auto"/>
          <w:sz w:val="24"/>
          <w:szCs w:val="24"/>
          <w:highlight w:val="none"/>
          <w:lang w:val="zh-CN"/>
        </w:rPr>
        <w:t xml:space="preserve"> 投标人需按照招标文件要求，在投标文件中提供与服务要求和商务要求相关的证明材料。</w:t>
      </w:r>
      <w:bookmarkEnd w:id="108"/>
      <w:r>
        <w:rPr>
          <w:rFonts w:hint="eastAsia" w:ascii="宋体" w:hAnsi="宋体" w:eastAsia="宋体" w:cs="宋体"/>
          <w:color w:val="auto"/>
          <w:sz w:val="24"/>
          <w:szCs w:val="24"/>
          <w:highlight w:val="none"/>
          <w:lang w:val="zh-CN"/>
        </w:rPr>
        <w:t>（如有）</w:t>
      </w:r>
    </w:p>
    <w:p w14:paraId="04678CA8">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7、项目实施方案、质量保证及售后服务承诺、业绩情况</w:t>
      </w:r>
    </w:p>
    <w:p w14:paraId="4B1AB031">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投标人需根据招标文件要求提供有关投标货物项目实施方案、质量保证及售后服务承诺等。</w:t>
      </w:r>
    </w:p>
    <w:p w14:paraId="630FAA9D">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投标人需根据招标文件要求提供实施的类似项目业绩情况。</w:t>
      </w:r>
      <w:bookmarkStart w:id="109" w:name="_Toc14577359"/>
      <w:bookmarkStart w:id="110" w:name="_Toc49090510"/>
    </w:p>
    <w:p w14:paraId="4334F437">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w:t>
      </w:r>
    </w:p>
    <w:p w14:paraId="27EFD363">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投标人需根据招标文件要求提供的其他证明材料。</w:t>
      </w:r>
    </w:p>
    <w:bookmarkEnd w:id="109"/>
    <w:bookmarkEnd w:id="110"/>
    <w:p w14:paraId="509C1BEA">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111" w:name="_Toc49090511"/>
      <w:bookmarkStart w:id="112" w:name="_Toc14577360"/>
      <w:r>
        <w:rPr>
          <w:rFonts w:hint="eastAsia" w:ascii="宋体" w:hAnsi="宋体" w:eastAsia="宋体" w:cs="宋体"/>
          <w:color w:val="auto"/>
          <w:sz w:val="24"/>
          <w:szCs w:val="24"/>
          <w:highlight w:val="none"/>
        </w:rPr>
        <w:t>9、投标有效期</w:t>
      </w:r>
      <w:bookmarkEnd w:id="111"/>
      <w:bookmarkEnd w:id="112"/>
    </w:p>
    <w:p w14:paraId="241E94C7">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9.1投标有效期为代理机构</w:t>
      </w:r>
      <w:r>
        <w:rPr>
          <w:rFonts w:hint="eastAsia" w:ascii="宋体" w:hAnsi="宋体" w:eastAsia="宋体" w:cs="宋体"/>
          <w:bCs/>
          <w:color w:val="auto"/>
          <w:sz w:val="24"/>
          <w:szCs w:val="24"/>
          <w:highlight w:val="none"/>
        </w:rPr>
        <w:t>规定的开标之日后</w:t>
      </w:r>
      <w:r>
        <w:rPr>
          <w:rFonts w:hint="eastAsia" w:ascii="宋体" w:hAnsi="宋体" w:eastAsia="宋体" w:cs="宋体"/>
          <w:b/>
          <w:color w:val="auto"/>
          <w:sz w:val="24"/>
          <w:szCs w:val="24"/>
          <w:highlight w:val="none"/>
          <w:u w:val="single"/>
        </w:rPr>
        <w:t>六十（60）天</w:t>
      </w:r>
      <w:r>
        <w:rPr>
          <w:rFonts w:hint="eastAsia" w:ascii="宋体" w:hAnsi="宋体" w:eastAsia="宋体" w:cs="宋体"/>
          <w:bCs/>
          <w:color w:val="auto"/>
          <w:sz w:val="24"/>
          <w:szCs w:val="24"/>
          <w:highlight w:val="none"/>
        </w:rPr>
        <w:t>。投标有效期比规定短的将被视为未实质性响应招标文件而予以拒绝。</w:t>
      </w:r>
    </w:p>
    <w:p w14:paraId="35D380B4">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10、投标有效期的延长</w:t>
      </w:r>
    </w:p>
    <w:p w14:paraId="01F45BF4">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573F7793">
      <w:pPr>
        <w:keepNext/>
        <w:keepLines/>
        <w:pageBreakBefore w:val="0"/>
        <w:widowControl w:val="0"/>
        <w:kinsoku/>
        <w:wordWrap/>
        <w:overflowPunct/>
        <w:topLinePunct w:val="0"/>
        <w:autoSpaceDE/>
        <w:autoSpaceDN/>
        <w:bidi w:val="0"/>
        <w:adjustRightInd/>
        <w:snapToGrid/>
        <w:spacing w:line="430" w:lineRule="exact"/>
        <w:ind w:firstLine="562"/>
        <w:textAlignment w:val="auto"/>
        <w:rPr>
          <w:rFonts w:hint="eastAsia" w:ascii="宋体" w:hAnsi="宋体" w:eastAsia="宋体" w:cs="宋体"/>
          <w:b/>
          <w:bCs/>
          <w:color w:val="auto"/>
          <w:sz w:val="28"/>
          <w:szCs w:val="28"/>
          <w:highlight w:val="none"/>
        </w:rPr>
      </w:pPr>
      <w:bookmarkStart w:id="113" w:name="_Hlt26954739"/>
      <w:bookmarkEnd w:id="113"/>
      <w:bookmarkStart w:id="114" w:name="_Hlt26954852"/>
      <w:bookmarkEnd w:id="114"/>
      <w:bookmarkStart w:id="115" w:name="_Toc16938540"/>
      <w:bookmarkStart w:id="116" w:name="_Toc513029224"/>
      <w:bookmarkStart w:id="117" w:name="_Toc20823296"/>
      <w:bookmarkStart w:id="118" w:name="_Toc120614217"/>
      <w:r>
        <w:rPr>
          <w:rFonts w:hint="eastAsia" w:ascii="宋体" w:hAnsi="宋体" w:eastAsia="宋体" w:cs="宋体"/>
          <w:b/>
          <w:bCs/>
          <w:color w:val="auto"/>
          <w:sz w:val="28"/>
          <w:szCs w:val="28"/>
          <w:highlight w:val="none"/>
        </w:rPr>
        <w:t>四、投标文件的递交</w:t>
      </w:r>
      <w:bookmarkEnd w:id="115"/>
      <w:bookmarkEnd w:id="116"/>
      <w:bookmarkEnd w:id="117"/>
      <w:bookmarkEnd w:id="118"/>
    </w:p>
    <w:p w14:paraId="32DC2D9E">
      <w:pPr>
        <w:keepNext/>
        <w:keepLines/>
        <w:pageBreakBefore w:val="0"/>
        <w:widowControl w:val="0"/>
        <w:kinsoku/>
        <w:wordWrap/>
        <w:overflowPunct/>
        <w:topLinePunct w:val="0"/>
        <w:autoSpaceDE/>
        <w:autoSpaceDN/>
        <w:bidi w:val="0"/>
        <w:adjustRightInd/>
        <w:snapToGrid/>
        <w:spacing w:line="430" w:lineRule="exact"/>
        <w:ind w:firstLine="480" w:firstLineChars="200"/>
        <w:textAlignment w:val="auto"/>
        <w:rPr>
          <w:rFonts w:hint="eastAsia" w:ascii="宋体" w:hAnsi="宋体" w:eastAsia="宋体" w:cs="宋体"/>
          <w:color w:val="auto"/>
          <w:sz w:val="24"/>
          <w:szCs w:val="24"/>
          <w:highlight w:val="none"/>
        </w:rPr>
      </w:pPr>
      <w:bookmarkStart w:id="119" w:name="_Toc462564084"/>
      <w:bookmarkStart w:id="120" w:name="_Toc513029225"/>
      <w:bookmarkStart w:id="121" w:name="_Toc20823297"/>
      <w:bookmarkStart w:id="122" w:name="_Toc16938541"/>
      <w:r>
        <w:rPr>
          <w:rFonts w:hint="eastAsia" w:ascii="宋体" w:hAnsi="宋体" w:eastAsia="宋体" w:cs="宋体"/>
          <w:color w:val="auto"/>
          <w:sz w:val="24"/>
          <w:szCs w:val="24"/>
          <w:highlight w:val="none"/>
        </w:rPr>
        <w:t>1、电子投标文件</w:t>
      </w:r>
      <w:bookmarkEnd w:id="119"/>
      <w:bookmarkEnd w:id="120"/>
      <w:bookmarkEnd w:id="121"/>
      <w:bookmarkEnd w:id="122"/>
      <w:r>
        <w:rPr>
          <w:rFonts w:hint="eastAsia" w:ascii="宋体" w:hAnsi="宋体" w:eastAsia="宋体" w:cs="宋体"/>
          <w:color w:val="auto"/>
          <w:sz w:val="24"/>
          <w:szCs w:val="24"/>
          <w:highlight w:val="none"/>
        </w:rPr>
        <w:t>的递交</w:t>
      </w:r>
    </w:p>
    <w:p w14:paraId="1B22FD76">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1.1投标人应当按照《苏采云系统供应商操作手册》规定，在投标截止时间前制作并上传电子投标文件。</w:t>
      </w:r>
      <w:bookmarkStart w:id="123" w:name="_Toc20823298"/>
      <w:bookmarkStart w:id="124" w:name="_Toc513029226"/>
      <w:bookmarkStart w:id="125" w:name="_Toc16938542"/>
    </w:p>
    <w:p w14:paraId="24D73B87">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2、投标截止日期</w:t>
      </w:r>
      <w:bookmarkEnd w:id="123"/>
      <w:bookmarkEnd w:id="124"/>
      <w:bookmarkEnd w:id="125"/>
    </w:p>
    <w:p w14:paraId="7A52409C">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iCs/>
          <w:color w:val="auto"/>
          <w:sz w:val="24"/>
          <w:szCs w:val="24"/>
          <w:highlight w:val="none"/>
        </w:rPr>
      </w:pPr>
      <w:r>
        <w:rPr>
          <w:rFonts w:hint="eastAsia" w:ascii="宋体" w:hAnsi="宋体" w:eastAsia="宋体" w:cs="宋体"/>
          <w:iCs/>
          <w:color w:val="auto"/>
          <w:sz w:val="24"/>
          <w:szCs w:val="24"/>
          <w:highlight w:val="none"/>
        </w:rPr>
        <w:t>2.1</w:t>
      </w:r>
      <w:r>
        <w:rPr>
          <w:rFonts w:hint="eastAsia" w:ascii="宋体" w:hAnsi="宋体" w:eastAsia="宋体" w:cs="宋体"/>
          <w:bCs/>
          <w:iCs/>
          <w:color w:val="auto"/>
          <w:sz w:val="24"/>
          <w:szCs w:val="24"/>
          <w:highlight w:val="none"/>
        </w:rPr>
        <w:t xml:space="preserve"> 投标人上传电子投标文件的时间不得迟于招标公告中规定的投标截止时间。</w:t>
      </w:r>
    </w:p>
    <w:p w14:paraId="12488F12">
      <w:pPr>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69C0EE2E">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bCs/>
          <w:color w:val="auto"/>
          <w:sz w:val="24"/>
          <w:szCs w:val="24"/>
          <w:highlight w:val="none"/>
        </w:rPr>
        <w:t xml:space="preserve"> 代理机构可以按照规定，通过修改招标文件酌情延长投标截止日期，在此情况下，投标人的所有权利和义务以及投标人受制的截止日期均应以延长后新的截止日期为准。</w:t>
      </w:r>
    </w:p>
    <w:p w14:paraId="46ED328D">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126" w:name="_Toc513029227"/>
      <w:bookmarkStart w:id="127" w:name="_Toc16938543"/>
      <w:bookmarkStart w:id="128" w:name="_Toc20823299"/>
      <w:r>
        <w:rPr>
          <w:rFonts w:hint="eastAsia" w:ascii="宋体" w:hAnsi="宋体" w:eastAsia="宋体" w:cs="宋体"/>
          <w:color w:val="auto"/>
          <w:sz w:val="24"/>
          <w:szCs w:val="24"/>
          <w:highlight w:val="none"/>
        </w:rPr>
        <w:t>3、投标文件</w:t>
      </w:r>
      <w:bookmarkEnd w:id="126"/>
      <w:bookmarkEnd w:id="127"/>
      <w:bookmarkEnd w:id="128"/>
      <w:r>
        <w:rPr>
          <w:rFonts w:hint="eastAsia" w:ascii="宋体" w:hAnsi="宋体" w:eastAsia="宋体" w:cs="宋体"/>
          <w:color w:val="auto"/>
          <w:sz w:val="24"/>
          <w:szCs w:val="24"/>
          <w:highlight w:val="none"/>
        </w:rPr>
        <w:t>的拒收</w:t>
      </w:r>
    </w:p>
    <w:p w14:paraId="43F591C8">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 代理机构拒绝接收在其规定的投标截止时间后上传的任何投标文件。</w:t>
      </w:r>
    </w:p>
    <w:p w14:paraId="74F4A6EC">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129" w:name="_Toc513029228"/>
      <w:bookmarkStart w:id="130" w:name="_Toc16938544"/>
      <w:bookmarkStart w:id="131" w:name="_Toc20823300"/>
      <w:r>
        <w:rPr>
          <w:rFonts w:hint="eastAsia" w:ascii="宋体" w:hAnsi="宋体" w:eastAsia="宋体" w:cs="宋体"/>
          <w:color w:val="auto"/>
          <w:sz w:val="24"/>
          <w:szCs w:val="24"/>
          <w:highlight w:val="none"/>
        </w:rPr>
        <w:t>4、投标文件的撤回和修改</w:t>
      </w:r>
      <w:bookmarkEnd w:id="129"/>
      <w:bookmarkEnd w:id="130"/>
      <w:bookmarkEnd w:id="131"/>
    </w:p>
    <w:p w14:paraId="5DADA1C7">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投标文件的撤回</w:t>
      </w:r>
    </w:p>
    <w:p w14:paraId="1C3CC9AD">
      <w:pPr>
        <w:pageBreakBefore w:val="0"/>
        <w:widowControl w:val="0"/>
        <w:kinsoku/>
        <w:wordWrap/>
        <w:overflowPunct/>
        <w:topLinePunct w:val="0"/>
        <w:autoSpaceDE/>
        <w:autoSpaceDN/>
        <w:bidi w:val="0"/>
        <w:adjustRightInd/>
        <w:snapToGrid/>
        <w:spacing w:line="43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 电子投标文件的撤回</w:t>
      </w:r>
    </w:p>
    <w:p w14:paraId="00C7A0E7">
      <w:pPr>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投标人可在投标截止时间前，撤回其电子投标文件，具体操作方法见《苏采云系统供应商操作手册》。</w:t>
      </w:r>
    </w:p>
    <w:p w14:paraId="4C327CC0">
      <w:pPr>
        <w:pageBreakBefore w:val="0"/>
        <w:widowControl w:val="0"/>
        <w:kinsoku/>
        <w:wordWrap/>
        <w:overflowPunct/>
        <w:topLinePunct w:val="0"/>
        <w:autoSpaceDE/>
        <w:autoSpaceDN/>
        <w:bidi w:val="0"/>
        <w:adjustRightInd/>
        <w:snapToGrid/>
        <w:spacing w:line="43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 投标人撤回电子投标文件，则认为其不再参与本项目投标活动。</w:t>
      </w:r>
    </w:p>
    <w:p w14:paraId="7E3C5AEA">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投标文件的修改</w:t>
      </w:r>
    </w:p>
    <w:p w14:paraId="5D374B49">
      <w:pPr>
        <w:pageBreakBefore w:val="0"/>
        <w:widowControl w:val="0"/>
        <w:kinsoku/>
        <w:wordWrap/>
        <w:overflowPunct/>
        <w:topLinePunct w:val="0"/>
        <w:autoSpaceDE/>
        <w:autoSpaceDN/>
        <w:bidi w:val="0"/>
        <w:adjustRightInd/>
        <w:snapToGrid/>
        <w:spacing w:line="43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4.2.1投标人可在投标截止时间前，对其电子投标文件进行修改，具体操作方法见《苏采云系统供应商操作手册》。</w:t>
      </w:r>
    </w:p>
    <w:p w14:paraId="1F5CDADA">
      <w:pPr>
        <w:pageBreakBefore w:val="0"/>
        <w:widowControl w:val="0"/>
        <w:kinsoku/>
        <w:wordWrap/>
        <w:overflowPunct/>
        <w:topLinePunct w:val="0"/>
        <w:autoSpaceDE/>
        <w:autoSpaceDN/>
        <w:bidi w:val="0"/>
        <w:adjustRightInd/>
        <w:snapToGrid/>
        <w:spacing w:line="43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 在投标截止时间之后，投标人不得对其电子投标文件作任何修改。</w:t>
      </w:r>
    </w:p>
    <w:p w14:paraId="5C2A02FF">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在投标截止时间至招标文件中规定的投标有效期满之间的这段时间内，投标人不得撤回其投标。</w:t>
      </w:r>
    </w:p>
    <w:p w14:paraId="54DACE47">
      <w:pPr>
        <w:keepNext/>
        <w:keepLines/>
        <w:pageBreakBefore w:val="0"/>
        <w:widowControl w:val="0"/>
        <w:kinsoku/>
        <w:wordWrap/>
        <w:overflowPunct/>
        <w:topLinePunct w:val="0"/>
        <w:autoSpaceDE/>
        <w:autoSpaceDN/>
        <w:bidi w:val="0"/>
        <w:adjustRightInd/>
        <w:snapToGrid/>
        <w:spacing w:line="430" w:lineRule="exact"/>
        <w:ind w:firstLine="562"/>
        <w:textAlignment w:val="auto"/>
        <w:rPr>
          <w:rFonts w:hint="eastAsia" w:ascii="宋体" w:hAnsi="宋体" w:eastAsia="宋体" w:cs="宋体"/>
          <w:b/>
          <w:bCs/>
          <w:color w:val="auto"/>
          <w:sz w:val="28"/>
          <w:szCs w:val="28"/>
          <w:highlight w:val="none"/>
        </w:rPr>
      </w:pPr>
      <w:bookmarkStart w:id="132" w:name="_Toc16938545"/>
      <w:bookmarkStart w:id="133" w:name="_Toc513029229"/>
      <w:bookmarkStart w:id="134" w:name="_Toc20823301"/>
      <w:bookmarkStart w:id="135" w:name="_Toc120614218"/>
      <w:r>
        <w:rPr>
          <w:rFonts w:hint="eastAsia" w:ascii="宋体" w:hAnsi="宋体" w:eastAsia="宋体" w:cs="宋体"/>
          <w:b/>
          <w:bCs/>
          <w:color w:val="auto"/>
          <w:sz w:val="28"/>
          <w:szCs w:val="28"/>
          <w:highlight w:val="none"/>
        </w:rPr>
        <w:t>五、开标与评标</w:t>
      </w:r>
      <w:bookmarkEnd w:id="132"/>
      <w:bookmarkEnd w:id="133"/>
      <w:bookmarkEnd w:id="134"/>
      <w:bookmarkEnd w:id="135"/>
    </w:p>
    <w:p w14:paraId="2138C8AD">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136" w:name="_Toc513029230"/>
      <w:bookmarkStart w:id="137" w:name="_Toc20823302"/>
      <w:bookmarkStart w:id="138" w:name="_Toc16938546"/>
      <w:r>
        <w:rPr>
          <w:rFonts w:hint="eastAsia" w:ascii="宋体" w:hAnsi="宋体" w:eastAsia="宋体" w:cs="宋体"/>
          <w:color w:val="auto"/>
          <w:sz w:val="24"/>
          <w:szCs w:val="24"/>
          <w:highlight w:val="none"/>
        </w:rPr>
        <w:t>1、开标</w:t>
      </w:r>
      <w:bookmarkEnd w:id="136"/>
      <w:bookmarkEnd w:id="137"/>
      <w:bookmarkEnd w:id="138"/>
    </w:p>
    <w:p w14:paraId="3102F2D0">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代理机构将在招标公告中规定的时间和地点组织公开开标。投标人应当按照《苏采云系统供应商操作手册》规定，参加开标活动和在苏采云系统规定的时间内对投标文件进行解密。</w:t>
      </w:r>
    </w:p>
    <w:p w14:paraId="752A486B">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1.2开标仪式由代理机构组织。苏采云系统将自动对项目进行开标，并宣布各投标人名称和投标价格。</w:t>
      </w:r>
    </w:p>
    <w:p w14:paraId="54898E94">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1.3投标人在开标过程中涉及到的投标文件解密、开标结果确认等工作，应按照《苏采云系统供应商操作手册》规定执行。</w:t>
      </w:r>
    </w:p>
    <w:p w14:paraId="4D2A03AB">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1.4投标人如果对开标过程和开标记录有疑义，应当根据《操作手册》规定提出，如苏采云系统中《开标记录表》宣布后5分钟内未提出的，视同认可开标结果。</w:t>
      </w:r>
    </w:p>
    <w:p w14:paraId="6351F15B">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139" w:name="_Toc20823303"/>
      <w:bookmarkStart w:id="140" w:name="_Toc513029231"/>
      <w:bookmarkStart w:id="141" w:name="_Toc16938547"/>
      <w:r>
        <w:rPr>
          <w:rFonts w:hint="eastAsia" w:ascii="宋体" w:hAnsi="宋体" w:eastAsia="宋体" w:cs="宋体"/>
          <w:color w:val="auto"/>
          <w:sz w:val="24"/>
          <w:szCs w:val="24"/>
          <w:highlight w:val="none"/>
        </w:rPr>
        <w:t>2、评标委员会</w:t>
      </w:r>
    </w:p>
    <w:p w14:paraId="647BFD85">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开标后，代理机构将立即组织评标委员会（以下简称评委会）进行评标。</w:t>
      </w:r>
    </w:p>
    <w:p w14:paraId="1F82383A">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评委会由采购人代表和有关技术、经济等方面的专家组成，且人员构成符合政府采购有关规定。</w:t>
      </w:r>
    </w:p>
    <w:p w14:paraId="49417E3F">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2.3评委会独立工作，负责评审所有投标文件并确定中标侯选人。</w:t>
      </w:r>
    </w:p>
    <w:p w14:paraId="22479B30">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3．评标过程的保密与公正</w:t>
      </w:r>
    </w:p>
    <w:bookmarkEnd w:id="139"/>
    <w:bookmarkEnd w:id="140"/>
    <w:bookmarkEnd w:id="141"/>
    <w:p w14:paraId="24524AF7">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bCs/>
          <w:color w:val="auto"/>
          <w:sz w:val="24"/>
          <w:szCs w:val="24"/>
          <w:highlight w:val="none"/>
        </w:rPr>
        <w:t>凡是与审查、澄清、评价和比较投标的有关资料以及授标建议等，采购人、评委、代理机构均不得向投标人或与评标无关的其他人员透露。</w:t>
      </w:r>
    </w:p>
    <w:p w14:paraId="65DF6C4D">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3.2在评标过程中，投标人不得以任何行为影响评标过程，否则其投标文件将被作为无效投标文件。</w:t>
      </w:r>
    </w:p>
    <w:p w14:paraId="2D59649D">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代理机构和评委会不向未中标的投标人解释未中标原因，也不公布评标过程中的相关细节。</w:t>
      </w:r>
    </w:p>
    <w:p w14:paraId="150019ED">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采用综合评分法的项目，未中标的投标人可于中标结果公告期限届满之日起通过苏采云系统查看自己的评审得分及排序情况。</w:t>
      </w:r>
    </w:p>
    <w:p w14:paraId="2250F5E8">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bookmarkStart w:id="142" w:name="_Toc20823304"/>
      <w:bookmarkStart w:id="143" w:name="_Toc513029232"/>
      <w:bookmarkStart w:id="144" w:name="_Toc16938548"/>
      <w:r>
        <w:rPr>
          <w:rFonts w:hint="eastAsia" w:ascii="宋体" w:hAnsi="宋体" w:eastAsia="宋体" w:cs="宋体"/>
          <w:color w:val="auto"/>
          <w:sz w:val="24"/>
          <w:szCs w:val="24"/>
          <w:highlight w:val="none"/>
        </w:rPr>
        <w:t>4. 投标文件的澄清</w:t>
      </w:r>
      <w:bookmarkEnd w:id="142"/>
      <w:bookmarkEnd w:id="143"/>
      <w:bookmarkEnd w:id="144"/>
    </w:p>
    <w:p w14:paraId="31BF7A96">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bookmarkStart w:id="145" w:name="_Toc513029233"/>
      <w:bookmarkStart w:id="146" w:name="_Toc20823305"/>
      <w:bookmarkStart w:id="147" w:name="_Toc16938549"/>
      <w:r>
        <w:rPr>
          <w:rFonts w:hint="eastAsia" w:ascii="宋体" w:hAnsi="宋体" w:eastAsia="宋体" w:cs="宋体"/>
          <w:color w:val="auto"/>
          <w:sz w:val="24"/>
          <w:szCs w:val="24"/>
          <w:highlight w:val="none"/>
        </w:rPr>
        <w:t>4.1评标期间，评委会对投标文件中含义不明确、同类问题表述不一致或者有明显文字和计算错误的内容 ，有权要求投标人作出必要的澄清、说明或者补正。</w:t>
      </w:r>
    </w:p>
    <w:p w14:paraId="2AA3A3E3">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6FDFAFE4">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6B67CB37">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p>
    <w:p w14:paraId="239A498E">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接到评委会澄清、说明和补正要求的投标人如未按规定做出澄清、说明和补正，其风险由投标人自行承担。</w:t>
      </w:r>
    </w:p>
    <w:p w14:paraId="0C37112B">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对投标文件的初审</w:t>
      </w:r>
      <w:bookmarkEnd w:id="145"/>
      <w:bookmarkEnd w:id="146"/>
      <w:bookmarkEnd w:id="147"/>
    </w:p>
    <w:p w14:paraId="7CBB55BC">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5.1</w:t>
      </w:r>
      <w:r>
        <w:rPr>
          <w:rFonts w:hint="eastAsia" w:ascii="宋体" w:hAnsi="宋体" w:eastAsia="宋体" w:cs="宋体"/>
          <w:bCs/>
          <w:color w:val="auto"/>
          <w:sz w:val="24"/>
          <w:szCs w:val="24"/>
          <w:highlight w:val="none"/>
        </w:rPr>
        <w:t>投标文件初审分为资格审查和符合性审查。</w:t>
      </w:r>
    </w:p>
    <w:p w14:paraId="0A2B035C">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5.1.1 资格审查：依据法律法规和招标文件的规定，由采购人对投标文件中的资格证明文件进行审查。资格审查的结论，采购人以书面形式向评委会进行反馈。</w:t>
      </w:r>
    </w:p>
    <w:p w14:paraId="56BE220C">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采购人在进行资格性审查的同时，将在信用中国 （ https://www.creditchina.gov.cn/ ）查询投标人的信用记录，以确定投标人是否具备投标资格,查询结果留存并归档。</w:t>
      </w:r>
    </w:p>
    <w:p w14:paraId="175A4FEB">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color w:val="auto"/>
          <w:sz w:val="24"/>
          <w:szCs w:val="24"/>
          <w:highlight w:val="none"/>
          <w:lang w:val="en-US" w:eastAsia="zh-CN"/>
        </w:rPr>
        <w:t>信</w:t>
      </w:r>
      <w:r>
        <w:rPr>
          <w:rFonts w:hint="eastAsia" w:ascii="宋体" w:hAnsi="宋体" w:eastAsia="宋体" w:cs="宋体"/>
          <w:bCs/>
          <w:color w:val="auto"/>
          <w:sz w:val="24"/>
          <w:szCs w:val="24"/>
          <w:highlight w:val="none"/>
        </w:rPr>
        <w:t>用记录。</w:t>
      </w:r>
    </w:p>
    <w:p w14:paraId="2416AB70">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5.1.2 符合性审查：依据招标文件的规定，由评委会从投标文件的有效性、完整性和对招标文件的响应程度进行审查，以确定是否对招标文件的实质性要求作出响应。</w:t>
      </w:r>
    </w:p>
    <w:p w14:paraId="47A67105">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5.1.3 未通过资格审查或符合性审查的投标人，代理机构将在苏采云系统中告知未通过资格审查或符合性审查的原因，评审结束后，代理机构将不再告知未通过资格审查或符合性审查的原因。</w:t>
      </w:r>
    </w:p>
    <w:p w14:paraId="1A7581B6">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0F52A1DE">
      <w:pPr>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4"/>
          <w:highlight w:val="none"/>
        </w:rPr>
        <w:t>评委决定投标文件的响应性只根据投标文件本身的内容，而不寻求外部的证据。</w:t>
      </w:r>
    </w:p>
    <w:p w14:paraId="1BCE94A8">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5.3</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5AAF2AAD">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5.4</w:t>
      </w:r>
      <w:r>
        <w:rPr>
          <w:rFonts w:hint="eastAsia" w:ascii="宋体" w:hAnsi="宋体" w:eastAsia="宋体" w:cs="宋体"/>
          <w:bCs/>
          <w:color w:val="auto"/>
          <w:sz w:val="24"/>
          <w:szCs w:val="24"/>
          <w:highlight w:val="none"/>
        </w:rPr>
        <w:t>评委会将对确定为实质性响应的投标进行进一步审核，看其是否有计算上或累加上的算术错误，修正错误的原则如下：</w:t>
      </w:r>
    </w:p>
    <w:p w14:paraId="2FE24EF1">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（1）投标文件中开标一览表内容与投标文件中相应内容不一致的，以开标一览表为准。</w:t>
      </w:r>
    </w:p>
    <w:p w14:paraId="7BAA61AB">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（2）大写金额和小写金额不一致的，以大写金额为准。</w:t>
      </w:r>
    </w:p>
    <w:p w14:paraId="3BE3F008">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（3）单价金额小数点或者百分比有明显错位的，以开标一览表的总价为准，并修改单价。</w:t>
      </w:r>
    </w:p>
    <w:p w14:paraId="62A4302B">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（4）总价金额与按单价汇总金额不一致的，以单价金额计算结果为准。</w:t>
      </w:r>
    </w:p>
    <w:p w14:paraId="432CA855">
      <w:pPr>
        <w:pageBreakBefore w:val="0"/>
        <w:widowControl w:val="0"/>
        <w:kinsoku/>
        <w:wordWrap/>
        <w:overflowPunct/>
        <w:topLinePunct w:val="0"/>
        <w:autoSpaceDE/>
        <w:autoSpaceDN/>
        <w:bidi w:val="0"/>
        <w:adjustRightInd/>
        <w:snapToGrid/>
        <w:spacing w:line="43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同时出现两种以上错误的，按照前款规定的顺序修正。</w:t>
      </w:r>
    </w:p>
    <w:p w14:paraId="69E87E9B">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5.5</w:t>
      </w:r>
      <w:r>
        <w:rPr>
          <w:rFonts w:hint="eastAsia" w:ascii="宋体" w:hAnsi="宋体" w:eastAsia="宋体" w:cs="宋体"/>
          <w:bCs/>
          <w:color w:val="auto"/>
          <w:sz w:val="24"/>
          <w:szCs w:val="24"/>
          <w:highlight w:val="none"/>
        </w:rPr>
        <w:t>评委会将按上述修正错误的方法调整投标文件中的投标报价，并通过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告知投标人，调整后的价格应对投标人具有约束力。如果投标人不接受修正后的价格，则其投标将被拒绝。</w:t>
      </w:r>
    </w:p>
    <w:p w14:paraId="6F2C4021">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bookmarkStart w:id="148" w:name="_Toc20823306"/>
      <w:bookmarkStart w:id="149" w:name="_Toc16938550"/>
      <w:bookmarkStart w:id="150" w:name="_Toc513029234"/>
      <w:r>
        <w:rPr>
          <w:rFonts w:hint="eastAsia" w:ascii="宋体" w:hAnsi="宋体" w:eastAsia="宋体" w:cs="宋体"/>
          <w:color w:val="auto"/>
          <w:sz w:val="24"/>
          <w:szCs w:val="24"/>
          <w:highlight w:val="none"/>
        </w:rPr>
        <w:t>5.6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137A220">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0ED5FC32">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5.7投标人在开、评标全过程中应保持通讯畅通，及时登录苏采云系统查阅、答复相关信息，并安排专人与代理机构及</w:t>
      </w:r>
      <w:r>
        <w:rPr>
          <w:rFonts w:hint="eastAsia" w:ascii="宋体" w:hAnsi="宋体" w:eastAsia="宋体" w:cs="宋体"/>
          <w:bCs/>
          <w:color w:val="auto"/>
          <w:sz w:val="24"/>
          <w:szCs w:val="24"/>
          <w:highlight w:val="none"/>
        </w:rPr>
        <w:t>评委会</w:t>
      </w:r>
      <w:r>
        <w:rPr>
          <w:rFonts w:hint="eastAsia" w:ascii="宋体" w:hAnsi="宋体" w:eastAsia="宋体" w:cs="宋体"/>
          <w:color w:val="auto"/>
          <w:sz w:val="24"/>
          <w:szCs w:val="24"/>
          <w:highlight w:val="none"/>
        </w:rPr>
        <w:t>联系。</w:t>
      </w:r>
    </w:p>
    <w:p w14:paraId="7F065194">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bookmarkEnd w:id="148"/>
      <w:bookmarkEnd w:id="149"/>
      <w:bookmarkEnd w:id="150"/>
      <w:r>
        <w:rPr>
          <w:rFonts w:hint="eastAsia" w:ascii="宋体" w:hAnsi="宋体" w:eastAsia="宋体" w:cs="宋体"/>
          <w:color w:val="auto"/>
          <w:sz w:val="24"/>
          <w:szCs w:val="24"/>
          <w:highlight w:val="none"/>
        </w:rPr>
        <w:t>.无效投标条款和废标条款</w:t>
      </w:r>
    </w:p>
    <w:p w14:paraId="30A1D188">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bookmarkStart w:id="151" w:name="_Toc513029235"/>
      <w:bookmarkStart w:id="152" w:name="_Toc16938551"/>
      <w:bookmarkStart w:id="153" w:name="_Toc20823307"/>
      <w:r>
        <w:rPr>
          <w:rFonts w:hint="eastAsia" w:ascii="宋体" w:hAnsi="宋体" w:eastAsia="宋体" w:cs="宋体"/>
          <w:color w:val="auto"/>
          <w:sz w:val="24"/>
          <w:szCs w:val="24"/>
          <w:highlight w:val="none"/>
        </w:rPr>
        <w:t>6.1无效投标条款</w:t>
      </w:r>
    </w:p>
    <w:p w14:paraId="02781425">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 投标人在苏采云系统规定的时间内未成功解密电子投标文件的。</w:t>
      </w:r>
    </w:p>
    <w:p w14:paraId="20724374">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6.1.2 投标人未按照招标文件要求上传电子投标文件的。</w:t>
      </w:r>
    </w:p>
    <w:p w14:paraId="6FCD49D9">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6.1.3同一投标人提交两个（含两个）以上不同的投标报价的。</w:t>
      </w:r>
    </w:p>
    <w:p w14:paraId="3AEC41BB">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6.1.4投标人不具备招标文件中规定资格要求的。</w:t>
      </w:r>
    </w:p>
    <w:p w14:paraId="38DDF6E7">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6.1.5投标人的报价超过了采购预算或最高限价的。</w:t>
      </w:r>
    </w:p>
    <w:p w14:paraId="40BC9774">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6.1.6未通过符合性审查的。</w:t>
      </w:r>
    </w:p>
    <w:p w14:paraId="661F5274">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iCs/>
          <w:color w:val="auto"/>
          <w:sz w:val="24"/>
          <w:szCs w:val="24"/>
          <w:highlight w:val="none"/>
        </w:rPr>
      </w:pPr>
      <w:r>
        <w:rPr>
          <w:rFonts w:hint="eastAsia" w:ascii="宋体" w:hAnsi="宋体" w:eastAsia="宋体" w:cs="宋体"/>
          <w:bCs/>
          <w:color w:val="auto"/>
          <w:sz w:val="24"/>
          <w:szCs w:val="24"/>
          <w:highlight w:val="none"/>
        </w:rPr>
        <w:t>6.1.7不符合招标文件中规定的实质性要求和条件的</w:t>
      </w:r>
      <w:r>
        <w:rPr>
          <w:rFonts w:hint="eastAsia" w:ascii="宋体" w:hAnsi="宋体" w:eastAsia="宋体" w:cs="宋体"/>
          <w:iCs/>
          <w:color w:val="auto"/>
          <w:sz w:val="24"/>
          <w:szCs w:val="24"/>
          <w:highlight w:val="none"/>
        </w:rPr>
        <w:t>。</w:t>
      </w:r>
    </w:p>
    <w:p w14:paraId="377B2F54">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6.1.8 投标人在信用中国 （ https://www.creditchina.gov.cn/ ）等网站存在下列依法拒绝投标人参加政府采购的失信信息的。</w:t>
      </w:r>
    </w:p>
    <w:p w14:paraId="0AB1A088">
      <w:pPr>
        <w:pageBreakBefore w:val="0"/>
        <w:widowControl w:val="0"/>
        <w:kinsoku/>
        <w:wordWrap/>
        <w:overflowPunct/>
        <w:topLinePunct w:val="0"/>
        <w:autoSpaceDE/>
        <w:autoSpaceDN/>
        <w:bidi w:val="0"/>
        <w:adjustRightInd/>
        <w:snapToGrid/>
        <w:spacing w:line="43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（1）政府采购严重违法记录，即投标人被全国各级财政部门列入“政府采购严重违法失信行为记录名单”，且在处罚有效期内的。</w:t>
      </w:r>
    </w:p>
    <w:p w14:paraId="3AA86AD8">
      <w:pPr>
        <w:pageBreakBefore w:val="0"/>
        <w:widowControl w:val="0"/>
        <w:kinsoku/>
        <w:wordWrap/>
        <w:overflowPunct/>
        <w:topLinePunct w:val="0"/>
        <w:autoSpaceDE/>
        <w:autoSpaceDN/>
        <w:bidi w:val="0"/>
        <w:adjustRightInd/>
        <w:snapToGrid/>
        <w:spacing w:line="43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（2）财政部门与法院、</w:t>
      </w:r>
      <w:r>
        <w:rPr>
          <w:rFonts w:hint="eastAsia" w:ascii="宋体" w:hAnsi="宋体" w:cs="宋体"/>
          <w:color w:val="auto"/>
          <w:sz w:val="24"/>
          <w:szCs w:val="24"/>
          <w:highlight w:val="none"/>
          <w:lang w:val="en-US" w:eastAsia="zh-CN"/>
        </w:rPr>
        <w:t>市场监管</w:t>
      </w:r>
      <w:r>
        <w:rPr>
          <w:rFonts w:hint="eastAsia" w:ascii="宋体" w:hAnsi="宋体" w:eastAsia="宋体" w:cs="宋体"/>
          <w:color w:val="auto"/>
          <w:sz w:val="24"/>
          <w:szCs w:val="24"/>
          <w:highlight w:val="none"/>
        </w:rPr>
        <w:t>、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189BDEA9">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6.1.9  投标文件含有采购人不能接受的附加条件的。</w:t>
      </w:r>
    </w:p>
    <w:p w14:paraId="66895AD7">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1AEC1CA1">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29EC86B">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6.1.12 投标文件未按照招标文件要求加盖CA电子公章的。</w:t>
      </w:r>
    </w:p>
    <w:p w14:paraId="27C05C74">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6.1.13其他法律、法规及本招标文件规定的属无效投标的情形。</w:t>
      </w:r>
    </w:p>
    <w:p w14:paraId="36A13AEB">
      <w:pPr>
        <w:pageBreakBefore w:val="0"/>
        <w:widowControl w:val="0"/>
        <w:kinsoku/>
        <w:wordWrap/>
        <w:overflowPunct/>
        <w:topLinePunct w:val="0"/>
        <w:autoSpaceDE/>
        <w:autoSpaceDN/>
        <w:bidi w:val="0"/>
        <w:adjustRightInd/>
        <w:snapToGrid/>
        <w:spacing w:line="430" w:lineRule="exact"/>
        <w:ind w:left="479"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6.2废标条款</w:t>
      </w:r>
    </w:p>
    <w:p w14:paraId="7571F812">
      <w:pPr>
        <w:pageBreakBefore w:val="0"/>
        <w:widowControl w:val="0"/>
        <w:kinsoku/>
        <w:wordWrap/>
        <w:overflowPunct/>
        <w:topLinePunct w:val="0"/>
        <w:autoSpaceDE/>
        <w:autoSpaceDN/>
        <w:bidi w:val="0"/>
        <w:adjustRightInd/>
        <w:snapToGrid/>
        <w:spacing w:line="430" w:lineRule="exact"/>
        <w:ind w:left="479"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6.2.1符合专业条件的供应商或者对招标文件作实质响应的供应商不足三家的。</w:t>
      </w:r>
    </w:p>
    <w:p w14:paraId="58B26FE5">
      <w:pPr>
        <w:pageBreakBefore w:val="0"/>
        <w:widowControl w:val="0"/>
        <w:kinsoku/>
        <w:wordWrap/>
        <w:overflowPunct/>
        <w:topLinePunct w:val="0"/>
        <w:autoSpaceDE/>
        <w:autoSpaceDN/>
        <w:bidi w:val="0"/>
        <w:adjustRightInd/>
        <w:snapToGrid/>
        <w:spacing w:line="430" w:lineRule="exact"/>
        <w:ind w:left="479"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6.2.2出现影响采购公正的违法、违规行为的。</w:t>
      </w:r>
    </w:p>
    <w:p w14:paraId="5F4EF89A">
      <w:pPr>
        <w:pageBreakBefore w:val="0"/>
        <w:widowControl w:val="0"/>
        <w:kinsoku/>
        <w:wordWrap/>
        <w:overflowPunct/>
        <w:topLinePunct w:val="0"/>
        <w:autoSpaceDE/>
        <w:autoSpaceDN/>
        <w:bidi w:val="0"/>
        <w:adjustRightInd/>
        <w:snapToGrid/>
        <w:spacing w:line="430" w:lineRule="exact"/>
        <w:ind w:left="479"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6.2.3因重大变故，采购任务取消的。</w:t>
      </w:r>
    </w:p>
    <w:p w14:paraId="6F8010E9">
      <w:pPr>
        <w:pageBreakBefore w:val="0"/>
        <w:widowControl w:val="0"/>
        <w:kinsoku/>
        <w:wordWrap/>
        <w:overflowPunct/>
        <w:topLinePunct w:val="0"/>
        <w:autoSpaceDE/>
        <w:autoSpaceDN/>
        <w:bidi w:val="0"/>
        <w:adjustRightInd/>
        <w:snapToGrid/>
        <w:spacing w:line="430" w:lineRule="exact"/>
        <w:ind w:left="479"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6.2.4评标委员会认定招标文件存在歧义、重大缺陷导致评审工作无法进行。</w:t>
      </w:r>
    </w:p>
    <w:p w14:paraId="49590B1A">
      <w:pPr>
        <w:pageBreakBefore w:val="0"/>
        <w:widowControl w:val="0"/>
        <w:kinsoku/>
        <w:wordWrap/>
        <w:overflowPunct/>
        <w:topLinePunct w:val="0"/>
        <w:autoSpaceDE/>
        <w:autoSpaceDN/>
        <w:bidi w:val="0"/>
        <w:adjustRightInd/>
        <w:snapToGrid/>
        <w:spacing w:line="430" w:lineRule="exact"/>
        <w:ind w:left="479"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6.2.5 因</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系统故障原因造成开标不成功的。</w:t>
      </w:r>
    </w:p>
    <w:p w14:paraId="29E708F0">
      <w:pPr>
        <w:pageBreakBefore w:val="0"/>
        <w:widowControl w:val="0"/>
        <w:kinsoku/>
        <w:wordWrap/>
        <w:overflowPunct/>
        <w:topLinePunct w:val="0"/>
        <w:autoSpaceDE/>
        <w:autoSpaceDN/>
        <w:bidi w:val="0"/>
        <w:adjustRightInd/>
        <w:snapToGrid/>
        <w:spacing w:line="430" w:lineRule="exact"/>
        <w:ind w:left="479"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6.3 投标截止时间结束后参加投标的供应商不足三家的处理：</w:t>
      </w:r>
    </w:p>
    <w:p w14:paraId="7E813C6A">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6.3.1如出现投标截止时间结束后参加投标的供应商或者在评标期间对招标文件做出实质响应的供应商不足三家情况，按政府采购相关规定执行。</w:t>
      </w:r>
    </w:p>
    <w:p w14:paraId="40B4FED3">
      <w:pPr>
        <w:keepNext/>
        <w:keepLines/>
        <w:pageBreakBefore w:val="0"/>
        <w:widowControl w:val="0"/>
        <w:kinsoku/>
        <w:wordWrap/>
        <w:overflowPunct/>
        <w:topLinePunct w:val="0"/>
        <w:autoSpaceDE/>
        <w:autoSpaceDN/>
        <w:bidi w:val="0"/>
        <w:adjustRightInd/>
        <w:snapToGrid/>
        <w:spacing w:line="430" w:lineRule="exact"/>
        <w:ind w:firstLine="562"/>
        <w:textAlignment w:val="auto"/>
        <w:rPr>
          <w:rFonts w:hint="eastAsia" w:ascii="宋体" w:hAnsi="宋体" w:eastAsia="宋体" w:cs="宋体"/>
          <w:b/>
          <w:bCs/>
          <w:color w:val="auto"/>
          <w:sz w:val="28"/>
          <w:szCs w:val="28"/>
          <w:highlight w:val="none"/>
        </w:rPr>
      </w:pPr>
      <w:bookmarkStart w:id="154" w:name="_Toc120614219"/>
      <w:r>
        <w:rPr>
          <w:rFonts w:hint="eastAsia" w:ascii="宋体" w:hAnsi="宋体" w:eastAsia="宋体" w:cs="宋体"/>
          <w:b/>
          <w:bCs/>
          <w:color w:val="auto"/>
          <w:sz w:val="28"/>
          <w:szCs w:val="28"/>
          <w:highlight w:val="none"/>
        </w:rPr>
        <w:t>六、</w:t>
      </w:r>
      <w:bookmarkEnd w:id="151"/>
      <w:bookmarkEnd w:id="152"/>
      <w:bookmarkEnd w:id="153"/>
      <w:r>
        <w:rPr>
          <w:rFonts w:hint="eastAsia" w:ascii="宋体" w:hAnsi="宋体" w:eastAsia="宋体" w:cs="宋体"/>
          <w:b/>
          <w:bCs/>
          <w:color w:val="auto"/>
          <w:sz w:val="28"/>
          <w:szCs w:val="28"/>
          <w:highlight w:val="none"/>
        </w:rPr>
        <w:t>定标</w:t>
      </w:r>
      <w:bookmarkEnd w:id="154"/>
    </w:p>
    <w:p w14:paraId="0EA497C9">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bCs/>
          <w:color w:val="auto"/>
          <w:sz w:val="24"/>
          <w:szCs w:val="24"/>
          <w:highlight w:val="none"/>
        </w:rPr>
      </w:pPr>
      <w:bookmarkStart w:id="155" w:name="_Toc513029238"/>
      <w:bookmarkStart w:id="156" w:name="_Toc16938554"/>
      <w:bookmarkStart w:id="157" w:name="_Toc20823310"/>
      <w:r>
        <w:rPr>
          <w:rFonts w:hint="eastAsia" w:ascii="宋体" w:hAnsi="宋体" w:eastAsia="宋体" w:cs="宋体"/>
          <w:bCs/>
          <w:color w:val="auto"/>
          <w:sz w:val="24"/>
          <w:szCs w:val="24"/>
          <w:highlight w:val="none"/>
        </w:rPr>
        <w:t>1、</w:t>
      </w:r>
      <w:bookmarkEnd w:id="155"/>
      <w:r>
        <w:rPr>
          <w:rFonts w:hint="eastAsia" w:ascii="宋体" w:hAnsi="宋体" w:eastAsia="宋体" w:cs="宋体"/>
          <w:bCs/>
          <w:color w:val="auto"/>
          <w:sz w:val="24"/>
          <w:szCs w:val="24"/>
          <w:highlight w:val="none"/>
        </w:rPr>
        <w:t>确定</w:t>
      </w:r>
      <w:bookmarkEnd w:id="156"/>
      <w:bookmarkEnd w:id="157"/>
      <w:r>
        <w:rPr>
          <w:rFonts w:hint="eastAsia" w:ascii="宋体" w:hAnsi="宋体" w:eastAsia="宋体" w:cs="宋体"/>
          <w:bCs/>
          <w:color w:val="auto"/>
          <w:sz w:val="24"/>
          <w:szCs w:val="24"/>
          <w:highlight w:val="none"/>
        </w:rPr>
        <w:t>中标单位</w:t>
      </w:r>
    </w:p>
    <w:p w14:paraId="48766490">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1.1中标候选人的选取原则和数量见招标文件第五章规定。 </w:t>
      </w:r>
    </w:p>
    <w:p w14:paraId="4B6C43CD">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 采购人应根据评委会推荐的中标候选人确定中标人。</w:t>
      </w:r>
    </w:p>
    <w:p w14:paraId="50DD9887">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 </w:t>
      </w:r>
      <w:r>
        <w:rPr>
          <w:rFonts w:hint="eastAsia" w:ascii="宋体" w:hAnsi="宋体" w:eastAsia="宋体" w:cs="宋体"/>
          <w:color w:val="auto"/>
          <w:sz w:val="24"/>
          <w:szCs w:val="24"/>
          <w:highlight w:val="none"/>
        </w:rPr>
        <w:t>代理机构将在指定媒体上发布中标公告，公告期限为1个工作日。</w:t>
      </w:r>
    </w:p>
    <w:p w14:paraId="253F7D68">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若有充分证据证明，中标人出现下列情况之一的，一经查实，将被取消中标资格：</w:t>
      </w:r>
    </w:p>
    <w:p w14:paraId="6C3DB6A0">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1.4.1提供虚假材料谋取中标的。</w:t>
      </w:r>
    </w:p>
    <w:p w14:paraId="3954C644">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1.4.2向采购人、代理机构行贿或者提供其他不正当利益的。</w:t>
      </w:r>
    </w:p>
    <w:p w14:paraId="15A3984F">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1.4.3属于本文件规定的无效条件，但在评标过程中又未被评委会发现的。</w:t>
      </w:r>
    </w:p>
    <w:p w14:paraId="07C758EA">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1.4.4与采购人或者其他供应商恶意串通的。</w:t>
      </w:r>
    </w:p>
    <w:p w14:paraId="45178EF6">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1.4.5采取不正当手段诋毁、排挤其他供应商的。</w:t>
      </w:r>
    </w:p>
    <w:p w14:paraId="13E9860D">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bookmarkStart w:id="158" w:name="_Toc200451960"/>
      <w:r>
        <w:rPr>
          <w:rFonts w:hint="eastAsia" w:ascii="宋体" w:hAnsi="宋体" w:eastAsia="宋体" w:cs="宋体"/>
          <w:color w:val="auto"/>
          <w:sz w:val="24"/>
          <w:szCs w:val="24"/>
          <w:highlight w:val="none"/>
        </w:rPr>
        <w:t>1.5. 有下列情形之一的，视为投标人串通投标，</w:t>
      </w:r>
      <w:r>
        <w:rPr>
          <w:rFonts w:hint="eastAsia" w:ascii="宋体" w:hAnsi="宋体" w:cs="宋体"/>
          <w:color w:val="auto"/>
          <w:sz w:val="24"/>
          <w:szCs w:val="24"/>
          <w:highlight w:val="none"/>
          <w:lang w:val="en-US" w:eastAsia="zh-CN"/>
        </w:rPr>
        <w:t>属于本文件规定的无效投标情形</w:t>
      </w:r>
      <w:r>
        <w:rPr>
          <w:rFonts w:hint="eastAsia" w:ascii="宋体" w:hAnsi="宋体" w:eastAsia="宋体" w:cs="宋体"/>
          <w:color w:val="auto"/>
          <w:sz w:val="24"/>
          <w:szCs w:val="24"/>
          <w:highlight w:val="none"/>
        </w:rPr>
        <w:t>：</w:t>
      </w:r>
    </w:p>
    <w:p w14:paraId="349AF792">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1.5.1不同投标人的投标文件由同一单位或者个人编制；</w:t>
      </w:r>
    </w:p>
    <w:p w14:paraId="2A3265AA">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1.5.2不同投标人委托同一单位或者个人办理投标事宜；</w:t>
      </w:r>
    </w:p>
    <w:p w14:paraId="71B83996">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不同投标人的投标文件载明的项目管理成员或者联系人员为同一人；</w:t>
      </w:r>
    </w:p>
    <w:p w14:paraId="3C41353E">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1.5.4不同投标人的投标文件异常一致或者投标报价呈规律性差异；</w:t>
      </w:r>
    </w:p>
    <w:p w14:paraId="3719C641">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2、质疑处理</w:t>
      </w:r>
      <w:bookmarkEnd w:id="158"/>
    </w:p>
    <w:p w14:paraId="23E76609">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提出质疑的供应商应当是参与所质疑项目采购活动的供应商。潜在供应商依法获取其可质疑的采购文件的，可以对采购文件提出质疑。请将</w:t>
      </w:r>
      <w:bookmarkStart w:id="159" w:name="_Hlk98510751"/>
      <w:r>
        <w:rPr>
          <w:rFonts w:hint="eastAsia" w:ascii="宋体" w:hAnsi="宋体" w:eastAsia="宋体" w:cs="宋体"/>
          <w:color w:val="auto"/>
          <w:sz w:val="24"/>
          <w:szCs w:val="24"/>
          <w:highlight w:val="none"/>
        </w:rPr>
        <w:t>获取采购文件后打印留存的《投标供应商确认函》等</w:t>
      </w:r>
      <w:bookmarkEnd w:id="159"/>
      <w:r>
        <w:rPr>
          <w:rFonts w:hint="eastAsia" w:ascii="宋体" w:hAnsi="宋体" w:eastAsia="宋体" w:cs="宋体"/>
          <w:color w:val="auto"/>
          <w:sz w:val="24"/>
          <w:szCs w:val="24"/>
          <w:highlight w:val="none"/>
        </w:rPr>
        <w:t>必要的证明材料与质疑函一起递交，否则不予受理。</w:t>
      </w:r>
    </w:p>
    <w:p w14:paraId="7797AB65">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2.2供应商认为采购文件、采购过程和采购结果使自己的权益受到损害的，可以在知道或应知其权益受到损害之日起七个工作日内，以书面形式提出质疑。上述应知其权益受到损害之日，是指：</w:t>
      </w:r>
    </w:p>
    <w:p w14:paraId="76B7958C">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2.2.1对可以质疑的采购文件提出质疑的，为收到采购文件之日或者采购文件公告期限届满之日；</w:t>
      </w:r>
    </w:p>
    <w:p w14:paraId="5F00286B">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2.2.2对采购过程提出质疑的，为各采购程序环节结束之日；</w:t>
      </w:r>
    </w:p>
    <w:p w14:paraId="592F75CB">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2.2.3对中标或者成交结果提出质疑的，为中标或者成交结果公告期限届满之日。</w:t>
      </w:r>
    </w:p>
    <w:p w14:paraId="77200C79">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1961803E">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14C104A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30" w:lineRule="exact"/>
        <w:ind w:firstLine="787" w:firstLineChars="3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2.4代理机构只接收以纸质原件形式送达的质疑</w:t>
      </w:r>
      <w:r>
        <w:rPr>
          <w:rFonts w:hint="eastAsia" w:ascii="宋体" w:hAnsi="宋体" w:eastAsia="宋体" w:cs="宋体"/>
          <w:b/>
          <w:bCs/>
          <w:color w:val="auto"/>
          <w:sz w:val="24"/>
          <w:szCs w:val="24"/>
          <w:highlight w:val="none"/>
        </w:rPr>
        <w:t>（采购人和代理机构不接受未填写快递运单的快件），</w:t>
      </w:r>
      <w:r>
        <w:rPr>
          <w:rFonts w:hint="eastAsia" w:ascii="宋体" w:hAnsi="宋体" w:eastAsia="宋体" w:cs="宋体"/>
          <w:color w:val="auto"/>
          <w:sz w:val="24"/>
          <w:highlight w:val="none"/>
        </w:rPr>
        <w:t>质疑接收单位为</w:t>
      </w:r>
      <w:r>
        <w:rPr>
          <w:rFonts w:hint="eastAsia" w:ascii="宋体" w:hAnsi="宋体" w:eastAsia="宋体" w:cs="宋体"/>
          <w:color w:val="auto"/>
          <w:sz w:val="24"/>
          <w:highlight w:val="none"/>
          <w:lang w:eastAsia="zh-CN"/>
        </w:rPr>
        <w:t>苏州信达顺工程建设咨询有限公司</w:t>
      </w:r>
      <w:r>
        <w:rPr>
          <w:rFonts w:hint="eastAsia" w:ascii="宋体" w:hAnsi="宋体" w:eastAsia="宋体" w:cs="宋体"/>
          <w:color w:val="auto"/>
          <w:sz w:val="24"/>
          <w:highlight w:val="none"/>
        </w:rPr>
        <w:t>，联系地址</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质疑接收人及联系方式见招标文件“第一章 投标邀请”。潜在投标人提出书面质疑必须有理、有据，不得捏造事实、提供虚假材料进行恶意质疑。否则，一经查实，将报请监管部门对该供应商进行相应的处罚。</w:t>
      </w:r>
    </w:p>
    <w:p w14:paraId="0B0462AB">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以下情形的质疑不予受理</w:t>
      </w:r>
    </w:p>
    <w:p w14:paraId="4B2329F3">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 内容不符合《政府采购质疑和投诉办法》第十二条规定的质疑。</w:t>
      </w:r>
    </w:p>
    <w:p w14:paraId="0732F964">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超出政府采购法定期限的质疑。</w:t>
      </w:r>
    </w:p>
    <w:p w14:paraId="0641E84D">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以传真、电子邮件等方式递交的非原件形式的质疑。</w:t>
      </w:r>
    </w:p>
    <w:p w14:paraId="4252A99B">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 未参加投标活动的供应商或在投标活动中自身权益未受到损害的供应商所提出的质疑。</w:t>
      </w:r>
    </w:p>
    <w:p w14:paraId="7598D859">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2.5.5供应商组成联合体参加投标，联合体中任何一方或多方未按要求签字、盖章、加盖公章的质疑。</w:t>
      </w:r>
    </w:p>
    <w:p w14:paraId="44F80F60">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14773E02">
      <w:pPr>
        <w:keepNext/>
        <w:keepLines/>
        <w:pageBreakBefore w:val="0"/>
        <w:widowControl w:val="0"/>
        <w:kinsoku/>
        <w:wordWrap/>
        <w:overflowPunct/>
        <w:topLinePunct w:val="0"/>
        <w:autoSpaceDE/>
        <w:autoSpaceDN/>
        <w:bidi w:val="0"/>
        <w:adjustRightInd/>
        <w:snapToGrid/>
        <w:spacing w:line="43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3、中标通知书</w:t>
      </w:r>
    </w:p>
    <w:p w14:paraId="23B3795F">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2464E72">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3.2中标通知书将是合同的一个组成部分。对采购人和中标供应商均具有法律效力。中标通知书发出后，采购人改变中标结果的，或者中标供应商放弃中标项目的，应当依法承担法律责任。</w:t>
      </w:r>
    </w:p>
    <w:p w14:paraId="29EDA504">
      <w:pPr>
        <w:keepNext/>
        <w:keepLines/>
        <w:pageBreakBefore w:val="0"/>
        <w:widowControl w:val="0"/>
        <w:kinsoku/>
        <w:wordWrap/>
        <w:overflowPunct/>
        <w:topLinePunct w:val="0"/>
        <w:autoSpaceDE/>
        <w:autoSpaceDN/>
        <w:bidi w:val="0"/>
        <w:adjustRightInd/>
        <w:snapToGrid/>
        <w:spacing w:line="430" w:lineRule="exact"/>
        <w:ind w:firstLine="562"/>
        <w:textAlignment w:val="auto"/>
        <w:rPr>
          <w:rFonts w:hint="eastAsia" w:ascii="宋体" w:hAnsi="宋体" w:eastAsia="宋体" w:cs="宋体"/>
          <w:b/>
          <w:bCs/>
          <w:color w:val="auto"/>
          <w:sz w:val="28"/>
          <w:szCs w:val="28"/>
          <w:highlight w:val="none"/>
        </w:rPr>
      </w:pPr>
      <w:bookmarkStart w:id="160" w:name="_Toc120614220"/>
      <w:bookmarkStart w:id="161" w:name="_Toc20823308"/>
      <w:bookmarkStart w:id="162" w:name="_Toc16938552"/>
      <w:bookmarkStart w:id="163" w:name="_Toc513029236"/>
      <w:r>
        <w:rPr>
          <w:rFonts w:hint="eastAsia" w:ascii="宋体" w:hAnsi="宋体" w:eastAsia="宋体" w:cs="宋体"/>
          <w:b/>
          <w:bCs/>
          <w:color w:val="auto"/>
          <w:sz w:val="28"/>
          <w:szCs w:val="28"/>
          <w:highlight w:val="none"/>
        </w:rPr>
        <w:t>七、授予合同</w:t>
      </w:r>
      <w:bookmarkEnd w:id="160"/>
    </w:p>
    <w:bookmarkEnd w:id="161"/>
    <w:bookmarkEnd w:id="162"/>
    <w:bookmarkEnd w:id="163"/>
    <w:p w14:paraId="50F5A392">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bCs/>
          <w:color w:val="auto"/>
          <w:sz w:val="24"/>
          <w:szCs w:val="24"/>
          <w:highlight w:val="none"/>
        </w:rPr>
      </w:pPr>
      <w:bookmarkStart w:id="164" w:name="_Toc16938553"/>
      <w:bookmarkStart w:id="165" w:name="_Toc20823309"/>
      <w:bookmarkStart w:id="166" w:name="_Toc513029237"/>
      <w:r>
        <w:rPr>
          <w:rFonts w:hint="eastAsia" w:ascii="宋体" w:hAnsi="宋体" w:eastAsia="宋体" w:cs="宋体"/>
          <w:bCs/>
          <w:color w:val="auto"/>
          <w:sz w:val="24"/>
          <w:szCs w:val="24"/>
          <w:highlight w:val="none"/>
        </w:rPr>
        <w:t>1、签订合同</w:t>
      </w:r>
    </w:p>
    <w:p w14:paraId="35F0BFFD">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1.l中标人应当在中标通知书发出之日起三十日内，按照招标文件确定的事项与采购人签订政府采购合同。</w:t>
      </w:r>
    </w:p>
    <w:p w14:paraId="6C1BE389">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招标文件、中标人的投标文件及招标过程中有关澄清、承诺文件均应作为合同附件。</w:t>
      </w:r>
    </w:p>
    <w:p w14:paraId="11ECF84E">
      <w:pPr>
        <w:pageBreakBefore w:val="0"/>
        <w:widowControl w:val="0"/>
        <w:kinsoku/>
        <w:wordWrap/>
        <w:overflowPunct/>
        <w:topLinePunct w:val="0"/>
        <w:autoSpaceDE/>
        <w:autoSpaceDN/>
        <w:bidi w:val="0"/>
        <w:adjustRightInd/>
        <w:snapToGrid/>
        <w:spacing w:line="430" w:lineRule="exact"/>
        <w:ind w:firstLine="789" w:firstLineChars="32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签订合同后，</w:t>
      </w:r>
      <w:r>
        <w:rPr>
          <w:rFonts w:hint="eastAsia" w:ascii="宋体" w:hAnsi="宋体" w:eastAsia="宋体" w:cs="宋体"/>
          <w:iCs/>
          <w:color w:val="auto"/>
          <w:sz w:val="24"/>
          <w:szCs w:val="24"/>
          <w:highlight w:val="non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5EE12E66">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2、服务（包含与项目有关的服务）的追加</w:t>
      </w:r>
    </w:p>
    <w:p w14:paraId="3A2E3115">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2.1政府采购合同履行中，采购人需追加与合同标的相同的服务（包含与项目有关的服务）的，在不改变合同其他条款的前提下，可以与中标人协商签订补充合同，但所有补充合同的采购金额不超过原合同金额10%。</w:t>
      </w:r>
    </w:p>
    <w:bookmarkEnd w:id="164"/>
    <w:bookmarkEnd w:id="165"/>
    <w:bookmarkEnd w:id="166"/>
    <w:p w14:paraId="23ED4898">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bCs/>
          <w:color w:val="auto"/>
          <w:sz w:val="24"/>
          <w:szCs w:val="24"/>
          <w:highlight w:val="none"/>
        </w:rPr>
      </w:pPr>
      <w:bookmarkStart w:id="167" w:name="_Toc16938558"/>
      <w:bookmarkStart w:id="168" w:name="_Toc479757207"/>
      <w:bookmarkStart w:id="169" w:name="_Toc120614221"/>
      <w:bookmarkStart w:id="170" w:name="_Toc20823314"/>
      <w:bookmarkStart w:id="171" w:name="_Toc513029242"/>
      <w:r>
        <w:rPr>
          <w:rFonts w:hint="eastAsia" w:ascii="宋体" w:hAnsi="宋体" w:eastAsia="宋体" w:cs="宋体"/>
          <w:bCs/>
          <w:color w:val="auto"/>
          <w:sz w:val="24"/>
          <w:szCs w:val="24"/>
          <w:highlight w:val="none"/>
        </w:rPr>
        <w:t>3、政府采购信用融资政策</w:t>
      </w:r>
    </w:p>
    <w:p w14:paraId="08580EB8">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中标供应商可凭政府采购合同办理融资贷款，详情请见苏州市政府采购网“政府采购合同信用融资”专栏。</w:t>
      </w:r>
    </w:p>
    <w:p w14:paraId="1A756D42">
      <w:pPr>
        <w:keepNext/>
        <w:keepLines/>
        <w:pageBreakBefore w:val="0"/>
        <w:widowControl w:val="0"/>
        <w:kinsoku/>
        <w:wordWrap/>
        <w:overflowPunct/>
        <w:topLinePunct w:val="0"/>
        <w:autoSpaceDE/>
        <w:autoSpaceDN/>
        <w:bidi w:val="0"/>
        <w:adjustRightInd/>
        <w:snapToGrid/>
        <w:spacing w:line="43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4、合同公示</w:t>
      </w:r>
    </w:p>
    <w:p w14:paraId="67BF8B91">
      <w:pPr>
        <w:pageBreakBefore w:val="0"/>
        <w:widowControl w:val="0"/>
        <w:kinsoku/>
        <w:wordWrap/>
        <w:overflowPunct/>
        <w:topLinePunct w:val="0"/>
        <w:autoSpaceDE/>
        <w:autoSpaceDN/>
        <w:bidi w:val="0"/>
        <w:adjustRightInd/>
        <w:snapToGrid/>
        <w:spacing w:line="430" w:lineRule="exact"/>
        <w:ind w:firstLine="1027" w:firstLineChars="4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4.1采购合同将在签订之日起2个工作日内在指定媒体公示，涉及国家秘密、商业秘密的内容除外。</w:t>
      </w:r>
    </w:p>
    <w:p w14:paraId="6C29983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F8FE45B">
      <w:pPr>
        <w:keepNext/>
        <w:ind w:firstLine="880"/>
        <w:jc w:val="center"/>
        <w:outlineLvl w:val="0"/>
        <w:rPr>
          <w:rFonts w:hint="eastAsia" w:ascii="宋体" w:hAnsi="宋体" w:eastAsia="宋体" w:cs="宋体"/>
          <w:b/>
          <w:bCs/>
          <w:color w:val="auto"/>
          <w:sz w:val="40"/>
          <w:szCs w:val="40"/>
          <w:highlight w:val="none"/>
        </w:rPr>
      </w:pPr>
      <w:bookmarkStart w:id="172" w:name="_Toc31060"/>
      <w:r>
        <w:rPr>
          <w:rFonts w:hint="eastAsia" w:ascii="宋体" w:hAnsi="宋体" w:eastAsia="宋体" w:cs="宋体"/>
          <w:b/>
          <w:bCs/>
          <w:color w:val="auto"/>
          <w:sz w:val="40"/>
          <w:szCs w:val="40"/>
          <w:highlight w:val="none"/>
        </w:rPr>
        <w:t>第三章  合同</w:t>
      </w:r>
      <w:bookmarkEnd w:id="167"/>
      <w:bookmarkEnd w:id="168"/>
      <w:bookmarkEnd w:id="169"/>
      <w:bookmarkEnd w:id="170"/>
      <w:bookmarkEnd w:id="171"/>
      <w:r>
        <w:rPr>
          <w:rFonts w:hint="eastAsia" w:ascii="宋体" w:hAnsi="宋体" w:eastAsia="宋体" w:cs="宋体"/>
          <w:b/>
          <w:bCs/>
          <w:color w:val="auto"/>
          <w:sz w:val="40"/>
          <w:szCs w:val="40"/>
          <w:highlight w:val="none"/>
        </w:rPr>
        <w:t>文本</w:t>
      </w:r>
      <w:bookmarkEnd w:id="172"/>
    </w:p>
    <w:p w14:paraId="2CF5976F">
      <w:pPr>
        <w:spacing w:beforeLines="100"/>
        <w:ind w:right="105" w:rightChars="50" w:firstLine="6720" w:firstLineChars="2800"/>
        <w:jc w:val="center"/>
        <w:rPr>
          <w:rFonts w:hint="eastAsia" w:ascii="宋体" w:hAnsi="宋体" w:eastAsia="宋体" w:cs="宋体"/>
          <w:b/>
          <w:bCs/>
          <w:color w:val="auto"/>
          <w:sz w:val="72"/>
          <w:szCs w:val="72"/>
          <w:highlight w:val="none"/>
        </w:rPr>
      </w:pPr>
      <w:bookmarkStart w:id="173" w:name="_Hlt16619369"/>
      <w:bookmarkEnd w:id="173"/>
      <w:bookmarkStart w:id="174" w:name="_Hlt16619350"/>
      <w:bookmarkStart w:id="175" w:name="_Toc120614244"/>
      <w:bookmarkStart w:id="176" w:name="_Toc16938590"/>
      <w:bookmarkStart w:id="177" w:name="_Toc20823346"/>
      <w:bookmarkStart w:id="178" w:name="_Toc462564139"/>
      <w:bookmarkStart w:id="179" w:name="_Toc479757211"/>
      <w:r>
        <w:rPr>
          <w:rFonts w:hint="eastAsia" w:ascii="宋体" w:hAnsi="宋体" w:eastAsia="宋体" w:cs="宋体"/>
          <w:color w:val="auto"/>
          <w:sz w:val="24"/>
          <w:szCs w:val="24"/>
          <w:highlight w:val="none"/>
        </w:rPr>
        <w:t>合同编号：</w:t>
      </w:r>
    </w:p>
    <w:p w14:paraId="38D0E4E3">
      <w:pPr>
        <w:spacing w:beforeLines="100"/>
        <w:ind w:right="105" w:rightChars="50" w:firstLine="2530" w:firstLineChars="350"/>
        <w:rPr>
          <w:rFonts w:hint="eastAsia" w:ascii="宋体" w:hAnsi="宋体" w:eastAsia="宋体" w:cs="宋体"/>
          <w:b/>
          <w:bCs/>
          <w:color w:val="auto"/>
          <w:sz w:val="72"/>
          <w:szCs w:val="72"/>
          <w:highlight w:val="none"/>
        </w:rPr>
      </w:pPr>
    </w:p>
    <w:p w14:paraId="4EDA728D">
      <w:pPr>
        <w:spacing w:beforeLines="100"/>
        <w:ind w:right="105" w:rightChars="5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政府采购合同</w:t>
      </w:r>
    </w:p>
    <w:p w14:paraId="59A49274">
      <w:pPr>
        <w:spacing w:line="420" w:lineRule="exact"/>
        <w:ind w:firstLine="1807" w:firstLineChars="250"/>
        <w:rPr>
          <w:rFonts w:hint="eastAsia" w:ascii="宋体" w:hAnsi="宋体" w:eastAsia="宋体" w:cs="宋体"/>
          <w:b/>
          <w:bCs/>
          <w:color w:val="auto"/>
          <w:sz w:val="72"/>
          <w:szCs w:val="72"/>
          <w:highlight w:val="none"/>
        </w:rPr>
      </w:pPr>
    </w:p>
    <w:p w14:paraId="4EB73743">
      <w:pPr>
        <w:spacing w:line="420" w:lineRule="exact"/>
        <w:ind w:firstLine="1807" w:firstLineChars="250"/>
        <w:rPr>
          <w:rFonts w:hint="eastAsia" w:ascii="宋体" w:hAnsi="宋体" w:eastAsia="宋体" w:cs="宋体"/>
          <w:b/>
          <w:bCs/>
          <w:color w:val="auto"/>
          <w:sz w:val="72"/>
          <w:szCs w:val="72"/>
          <w:highlight w:val="none"/>
        </w:rPr>
      </w:pPr>
    </w:p>
    <w:p w14:paraId="0A4B74A3">
      <w:pPr>
        <w:autoSpaceDE w:val="0"/>
        <w:autoSpaceDN w:val="0"/>
        <w:adjustRightInd w:val="0"/>
        <w:spacing w:line="480" w:lineRule="exact"/>
        <w:ind w:firstLine="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第一部分 合同书</w:t>
      </w:r>
    </w:p>
    <w:p w14:paraId="19E987BC">
      <w:pPr>
        <w:widowControl/>
        <w:spacing w:before="120" w:after="160" w:line="22" w:lineRule="atLeast"/>
        <w:rPr>
          <w:rFonts w:hint="eastAsia" w:ascii="宋体" w:hAnsi="宋体" w:eastAsia="宋体" w:cs="宋体"/>
          <w:bCs/>
          <w:color w:val="auto"/>
          <w:sz w:val="24"/>
          <w:szCs w:val="24"/>
          <w:highlight w:val="none"/>
        </w:rPr>
      </w:pPr>
    </w:p>
    <w:p w14:paraId="2AA8772B">
      <w:pPr>
        <w:widowControl/>
        <w:spacing w:before="120" w:after="160" w:line="22" w:lineRule="atLeast"/>
        <w:jc w:val="center"/>
        <w:rPr>
          <w:rFonts w:hint="eastAsia" w:ascii="宋体" w:hAnsi="宋体" w:eastAsia="宋体" w:cs="宋体"/>
          <w:b/>
          <w:bCs/>
          <w:color w:val="auto"/>
          <w:sz w:val="36"/>
          <w:szCs w:val="36"/>
          <w:highlight w:val="none"/>
          <w:u w:val="single"/>
          <w:lang w:eastAsia="zh-CN"/>
        </w:rPr>
      </w:pPr>
      <w:r>
        <w:rPr>
          <w:rFonts w:hint="eastAsia" w:ascii="宋体" w:hAnsi="宋体" w:eastAsia="宋体" w:cs="宋体"/>
          <w:b/>
          <w:bCs/>
          <w:color w:val="auto"/>
          <w:sz w:val="36"/>
          <w:szCs w:val="36"/>
          <w:highlight w:val="none"/>
        </w:rPr>
        <w:t>项目名称：</w:t>
      </w:r>
      <w:r>
        <w:rPr>
          <w:rFonts w:hint="eastAsia" w:ascii="宋体" w:hAnsi="宋体" w:eastAsia="宋体" w:cs="宋体"/>
          <w:color w:val="auto"/>
          <w:sz w:val="36"/>
          <w:szCs w:val="36"/>
          <w:highlight w:val="none"/>
          <w:u w:val="single"/>
          <w:lang w:eastAsia="zh-CN"/>
        </w:rPr>
        <w:t>2026年常熟市农作物重大病虫害防控物化补助项目</w:t>
      </w:r>
    </w:p>
    <w:p w14:paraId="37CD3D71">
      <w:pPr>
        <w:widowControl/>
        <w:spacing w:before="120" w:after="160" w:line="22" w:lineRule="atLeast"/>
        <w:ind w:firstLine="1807" w:firstLineChars="500"/>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项目编号：</w:t>
      </w:r>
      <w:r>
        <w:rPr>
          <w:rFonts w:hint="eastAsia" w:ascii="宋体" w:hAnsi="宋体" w:cs="宋体"/>
          <w:color w:val="auto"/>
          <w:sz w:val="36"/>
          <w:szCs w:val="36"/>
          <w:highlight w:val="none"/>
          <w:u w:val="single"/>
          <w:lang w:eastAsia="zh-CN"/>
        </w:rPr>
        <w:t>JSZC-320581-SZDS-G2026-0007</w:t>
      </w:r>
    </w:p>
    <w:p w14:paraId="03294C6D">
      <w:pPr>
        <w:spacing w:line="420" w:lineRule="exact"/>
        <w:ind w:firstLine="1807" w:firstLineChars="250"/>
        <w:rPr>
          <w:rFonts w:hint="eastAsia" w:ascii="宋体" w:hAnsi="宋体" w:eastAsia="宋体" w:cs="宋体"/>
          <w:b/>
          <w:bCs/>
          <w:color w:val="auto"/>
          <w:sz w:val="72"/>
          <w:szCs w:val="72"/>
          <w:highlight w:val="none"/>
        </w:rPr>
      </w:pPr>
    </w:p>
    <w:p w14:paraId="36CA62A1">
      <w:pPr>
        <w:spacing w:before="120" w:line="480" w:lineRule="auto"/>
        <w:ind w:left="960" w:firstLine="840" w:firstLineChars="350"/>
        <w:rPr>
          <w:rFonts w:hint="eastAsia" w:ascii="宋体" w:hAnsi="宋体" w:eastAsia="宋体" w:cs="宋体"/>
          <w:bCs/>
          <w:color w:val="auto"/>
          <w:sz w:val="24"/>
          <w:szCs w:val="24"/>
          <w:highlight w:val="none"/>
        </w:rPr>
      </w:pPr>
    </w:p>
    <w:p w14:paraId="14D9F826">
      <w:pPr>
        <w:spacing w:before="120" w:line="480" w:lineRule="auto"/>
        <w:ind w:left="960" w:firstLine="840" w:firstLineChars="350"/>
        <w:rPr>
          <w:rFonts w:hint="eastAsia" w:ascii="宋体" w:hAnsi="宋体" w:eastAsia="宋体" w:cs="宋体"/>
          <w:bCs/>
          <w:color w:val="auto"/>
          <w:sz w:val="24"/>
          <w:szCs w:val="24"/>
          <w:highlight w:val="none"/>
        </w:rPr>
      </w:pPr>
    </w:p>
    <w:p w14:paraId="59C456BF">
      <w:pPr>
        <w:spacing w:before="120" w:line="480" w:lineRule="auto"/>
        <w:ind w:left="960" w:firstLine="840" w:firstLineChars="350"/>
        <w:rPr>
          <w:rFonts w:hint="eastAsia" w:ascii="宋体" w:hAnsi="宋体" w:eastAsia="宋体" w:cs="宋体"/>
          <w:bCs/>
          <w:color w:val="auto"/>
          <w:sz w:val="24"/>
          <w:szCs w:val="24"/>
          <w:highlight w:val="none"/>
        </w:rPr>
      </w:pPr>
    </w:p>
    <w:p w14:paraId="7B642A09">
      <w:pPr>
        <w:spacing w:before="120" w:line="480" w:lineRule="auto"/>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  购  人）：</w:t>
      </w:r>
      <w:r>
        <w:rPr>
          <w:rFonts w:hint="eastAsia" w:ascii="宋体" w:hAnsi="宋体" w:eastAsia="宋体" w:cs="宋体"/>
          <w:bCs/>
          <w:color w:val="auto"/>
          <w:sz w:val="24"/>
          <w:szCs w:val="24"/>
          <w:highlight w:val="none"/>
          <w:u w:val="single"/>
        </w:rPr>
        <w:t xml:space="preserve">                                   </w:t>
      </w:r>
    </w:p>
    <w:p w14:paraId="15DDDA26">
      <w:pPr>
        <w:spacing w:before="120" w:line="480" w:lineRule="auto"/>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乙方（中  标  人）：</w:t>
      </w:r>
      <w:r>
        <w:rPr>
          <w:rFonts w:hint="eastAsia" w:ascii="宋体" w:hAnsi="宋体" w:eastAsia="宋体" w:cs="宋体"/>
          <w:bCs/>
          <w:color w:val="auto"/>
          <w:sz w:val="24"/>
          <w:szCs w:val="24"/>
          <w:highlight w:val="none"/>
          <w:u w:val="single"/>
        </w:rPr>
        <w:t xml:space="preserve">                                   </w:t>
      </w:r>
    </w:p>
    <w:p w14:paraId="561350AB">
      <w:pPr>
        <w:spacing w:before="120" w:line="480" w:lineRule="auto"/>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信用融资回款账户：</w:t>
      </w:r>
      <w:r>
        <w:rPr>
          <w:rFonts w:hint="eastAsia" w:ascii="宋体" w:hAnsi="宋体" w:eastAsia="宋体" w:cs="宋体"/>
          <w:bCs/>
          <w:color w:val="auto"/>
          <w:sz w:val="24"/>
          <w:szCs w:val="24"/>
          <w:highlight w:val="none"/>
          <w:u w:val="single"/>
        </w:rPr>
        <w:t xml:space="preserve">                                   </w:t>
      </w:r>
    </w:p>
    <w:p w14:paraId="2F29CAE5">
      <w:pPr>
        <w:spacing w:before="120" w:line="480" w:lineRule="auto"/>
        <w:ind w:left="960" w:firstLine="840" w:firstLineChars="3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w:t>
      </w:r>
      <w:r>
        <w:rPr>
          <w:rFonts w:hint="eastAsia" w:ascii="宋体" w:hAnsi="宋体" w:eastAsia="宋体" w:cs="宋体"/>
          <w:bCs/>
          <w:color w:val="auto"/>
          <w:sz w:val="24"/>
          <w:szCs w:val="24"/>
          <w:highlight w:val="none"/>
          <w:u w:val="single"/>
        </w:rPr>
        <w:t xml:space="preserve">                                   </w:t>
      </w:r>
    </w:p>
    <w:p w14:paraId="62DAE78F">
      <w:pPr>
        <w:spacing w:before="120" w:line="480" w:lineRule="auto"/>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签 订 地：</w:t>
      </w:r>
      <w:r>
        <w:rPr>
          <w:rFonts w:hint="eastAsia" w:ascii="宋体" w:hAnsi="宋体" w:eastAsia="宋体" w:cs="宋体"/>
          <w:bCs/>
          <w:color w:val="auto"/>
          <w:sz w:val="24"/>
          <w:szCs w:val="24"/>
          <w:highlight w:val="none"/>
          <w:u w:val="single"/>
        </w:rPr>
        <w:t xml:space="preserve">            常熟市                </w:t>
      </w:r>
    </w:p>
    <w:p w14:paraId="1D2A3EC1">
      <w:pPr>
        <w:spacing w:before="120" w:line="480" w:lineRule="auto"/>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50B4AC8">
      <w:pPr>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zh-CN"/>
        </w:rPr>
        <w:br w:type="page"/>
      </w:r>
    </w:p>
    <w:p w14:paraId="0D6DDE2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日</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公开招标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u w:val="single"/>
        </w:rPr>
        <w:t xml:space="preserve">   （同前页项目名称）   </w:t>
      </w:r>
      <w:r>
        <w:rPr>
          <w:rFonts w:hint="eastAsia" w:ascii="宋体" w:hAnsi="宋体" w:eastAsia="宋体" w:cs="宋体"/>
          <w:color w:val="auto"/>
          <w:sz w:val="24"/>
          <w:szCs w:val="24"/>
          <w:highlight w:val="none"/>
        </w:rPr>
        <w:t>项目进行了采购。经</w:t>
      </w:r>
      <w:r>
        <w:rPr>
          <w:rFonts w:hint="eastAsia" w:ascii="宋体" w:hAnsi="宋体" w:eastAsia="宋体" w:cs="宋体"/>
          <w:color w:val="auto"/>
          <w:sz w:val="24"/>
          <w:szCs w:val="24"/>
          <w:highlight w:val="none"/>
          <w:u w:val="single"/>
        </w:rPr>
        <w:t>评标委员会</w:t>
      </w:r>
      <w:r>
        <w:rPr>
          <w:rFonts w:hint="eastAsia" w:ascii="宋体" w:hAnsi="宋体" w:eastAsia="宋体" w:cs="宋体"/>
          <w:color w:val="auto"/>
          <w:sz w:val="24"/>
          <w:szCs w:val="24"/>
          <w:highlight w:val="none"/>
        </w:rPr>
        <w:t>评定，</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rPr>
        <w:t>为该项目中标人。现于中标通知书发出之日起三十日内，按照采购文件确定的事项签订本合同。</w:t>
      </w:r>
    </w:p>
    <w:p w14:paraId="7E942811">
      <w:pPr>
        <w:spacing w:line="440" w:lineRule="exact"/>
        <w:ind w:firstLine="480" w:firstLineChars="200"/>
        <w:rPr>
          <w:rFonts w:hint="eastAsia" w:ascii="宋体" w:hAnsi="宋体" w:eastAsia="宋体" w:cs="宋体"/>
          <w:color w:val="auto"/>
          <w:sz w:val="24"/>
          <w:szCs w:val="24"/>
          <w:highlight w:val="none"/>
        </w:rPr>
      </w:pPr>
      <w:bookmarkStart w:id="180" w:name="_Hlk63008672"/>
      <w:bookmarkStart w:id="181" w:name="_Hlk63008690"/>
      <w:r>
        <w:rPr>
          <w:rFonts w:hint="eastAsia" w:ascii="宋体" w:hAnsi="宋体" w:eastAsia="宋体" w:cs="宋体"/>
          <w:color w:val="auto"/>
          <w:sz w:val="24"/>
          <w:szCs w:val="24"/>
          <w:highlight w:val="none"/>
        </w:rPr>
        <w:t>根据《中华人民共和国政府采购法》及其实施条例、《中华人民共和国民法典》</w:t>
      </w:r>
      <w:bookmarkEnd w:id="180"/>
      <w:r>
        <w:rPr>
          <w:rFonts w:hint="eastAsia" w:ascii="宋体" w:hAnsi="宋体" w:eastAsia="宋体" w:cs="宋体"/>
          <w:color w:val="auto"/>
          <w:sz w:val="24"/>
          <w:szCs w:val="24"/>
          <w:highlight w:val="none"/>
        </w:rPr>
        <w:t>等法律法规的规定</w:t>
      </w:r>
      <w:bookmarkEnd w:id="181"/>
      <w:r>
        <w:rPr>
          <w:rFonts w:hint="eastAsia" w:ascii="宋体" w:hAnsi="宋体" w:eastAsia="宋体" w:cs="宋体"/>
          <w:color w:val="auto"/>
          <w:sz w:val="24"/>
          <w:szCs w:val="24"/>
          <w:highlight w:val="none"/>
          <w:lang w:val="zh-CN"/>
        </w:rPr>
        <w:t>，按照平等、自愿、公平和诚实信用的原则，经</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常熟市农业技术推广中心  </w:t>
      </w:r>
      <w:r>
        <w:rPr>
          <w:rFonts w:hint="eastAsia" w:ascii="宋体" w:hAnsi="宋体" w:eastAsia="宋体" w:cs="宋体"/>
          <w:color w:val="auto"/>
          <w:sz w:val="24"/>
          <w:szCs w:val="24"/>
          <w:highlight w:val="none"/>
          <w:lang w:val="zh-CN"/>
        </w:rPr>
        <w:t>（以下简称：甲方）和</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lang w:val="zh-CN"/>
        </w:rPr>
        <w:t>（以下简称：乙方）协商一致，约定以下合同</w:t>
      </w:r>
      <w:r>
        <w:rPr>
          <w:rFonts w:hint="eastAsia" w:ascii="宋体" w:hAnsi="宋体" w:eastAsia="宋体" w:cs="宋体"/>
          <w:color w:val="auto"/>
          <w:sz w:val="24"/>
          <w:szCs w:val="24"/>
          <w:highlight w:val="none"/>
        </w:rPr>
        <w:t>条款，以兹共同遵守、全面履行。</w:t>
      </w:r>
    </w:p>
    <w:p w14:paraId="09FCD075">
      <w:pPr>
        <w:spacing w:line="440" w:lineRule="exact"/>
        <w:rPr>
          <w:rFonts w:hint="eastAsia" w:ascii="宋体" w:hAnsi="宋体" w:eastAsia="宋体" w:cs="宋体"/>
          <w:color w:val="auto"/>
          <w:sz w:val="24"/>
          <w:szCs w:val="24"/>
          <w:highlight w:val="none"/>
        </w:rPr>
      </w:pPr>
      <w:bookmarkStart w:id="182" w:name="_Toc28855"/>
      <w:bookmarkStart w:id="183" w:name="_Toc22967"/>
      <w:bookmarkStart w:id="184" w:name="_Toc19273"/>
      <w:bookmarkStart w:id="185" w:name="_Toc20421"/>
      <w:bookmarkStart w:id="186" w:name="_Toc15367"/>
      <w:r>
        <w:rPr>
          <w:rFonts w:hint="eastAsia" w:ascii="宋体" w:hAnsi="宋体" w:eastAsia="宋体" w:cs="宋体"/>
          <w:b/>
          <w:color w:val="auto"/>
          <w:sz w:val="24"/>
          <w:szCs w:val="24"/>
          <w:highlight w:val="none"/>
        </w:rPr>
        <w:t>1.1 合同组成部分</w:t>
      </w:r>
      <w:bookmarkEnd w:id="182"/>
      <w:bookmarkEnd w:id="183"/>
      <w:bookmarkEnd w:id="184"/>
      <w:bookmarkEnd w:id="185"/>
      <w:bookmarkEnd w:id="186"/>
    </w:p>
    <w:p w14:paraId="0E5F7F3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38FE21B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本合同及其补充合同、变更协议。</w:t>
      </w:r>
    </w:p>
    <w:p w14:paraId="18FE861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中标通知书。</w:t>
      </w:r>
    </w:p>
    <w:p w14:paraId="242CFB2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投标文件（含澄清或者说明文件）。</w:t>
      </w:r>
    </w:p>
    <w:p w14:paraId="1568DFC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招标文件（含澄清或者修改文件）。</w:t>
      </w:r>
    </w:p>
    <w:p w14:paraId="6FA7CCD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其他相关采购文件。</w:t>
      </w:r>
    </w:p>
    <w:p w14:paraId="4E59D8DB">
      <w:pPr>
        <w:spacing w:line="440" w:lineRule="exact"/>
        <w:rPr>
          <w:rFonts w:hint="eastAsia" w:ascii="宋体" w:hAnsi="宋体" w:eastAsia="宋体" w:cs="宋体"/>
          <w:b/>
          <w:color w:val="auto"/>
          <w:sz w:val="24"/>
          <w:szCs w:val="24"/>
          <w:highlight w:val="none"/>
        </w:rPr>
      </w:pPr>
      <w:bookmarkStart w:id="187" w:name="_Toc6311"/>
      <w:bookmarkStart w:id="188" w:name="_Toc2918"/>
      <w:bookmarkStart w:id="189" w:name="_Toc6773"/>
      <w:bookmarkStart w:id="190" w:name="_Toc18585"/>
      <w:bookmarkStart w:id="191" w:name="_Toc22185"/>
      <w:r>
        <w:rPr>
          <w:rFonts w:hint="eastAsia" w:ascii="宋体" w:hAnsi="宋体" w:eastAsia="宋体" w:cs="宋体"/>
          <w:b/>
          <w:color w:val="auto"/>
          <w:sz w:val="24"/>
          <w:szCs w:val="24"/>
          <w:highlight w:val="none"/>
        </w:rPr>
        <w:t xml:space="preserve">1.2 </w:t>
      </w:r>
      <w:bookmarkEnd w:id="187"/>
      <w:bookmarkEnd w:id="188"/>
      <w:bookmarkEnd w:id="189"/>
      <w:bookmarkEnd w:id="190"/>
      <w:bookmarkEnd w:id="191"/>
      <w:bookmarkStart w:id="192" w:name="_Toc30158"/>
      <w:bookmarkStart w:id="193" w:name="_Toc26916"/>
      <w:bookmarkStart w:id="194" w:name="_Toc30506"/>
      <w:bookmarkStart w:id="195" w:name="_Toc14993"/>
      <w:bookmarkStart w:id="196" w:name="_Toc3654"/>
      <w:r>
        <w:rPr>
          <w:rFonts w:hint="eastAsia" w:ascii="宋体" w:hAnsi="宋体" w:eastAsia="宋体" w:cs="宋体"/>
          <w:b/>
          <w:color w:val="auto"/>
          <w:sz w:val="24"/>
          <w:szCs w:val="24"/>
          <w:highlight w:val="none"/>
        </w:rPr>
        <w:t>货物数量及价款</w:t>
      </w:r>
    </w:p>
    <w:p w14:paraId="25F6B211">
      <w:pPr>
        <w:spacing w:line="440" w:lineRule="exact"/>
        <w:ind w:firstLine="480" w:firstLineChars="200"/>
        <w:rPr>
          <w:rFonts w:hint="eastAsia" w:ascii="宋体" w:hAnsi="宋体" w:eastAsia="宋体" w:cs="宋体"/>
          <w:color w:val="auto"/>
          <w:sz w:val="24"/>
          <w:szCs w:val="22"/>
          <w:highlight w:val="none"/>
          <w:u w:val="none"/>
          <w:lang w:eastAsia="zh-CN"/>
        </w:rPr>
      </w:pPr>
      <w:r>
        <w:rPr>
          <w:rFonts w:hint="eastAsia" w:ascii="宋体" w:hAnsi="宋体" w:eastAsia="宋体" w:cs="宋体"/>
          <w:color w:val="auto"/>
          <w:sz w:val="24"/>
          <w:szCs w:val="22"/>
          <w:highlight w:val="none"/>
        </w:rPr>
        <w:t>本合同项下</w:t>
      </w:r>
      <w:r>
        <w:rPr>
          <w:rFonts w:hint="eastAsia" w:ascii="宋体" w:hAnsi="宋体" w:eastAsia="宋体" w:cs="宋体"/>
          <w:color w:val="auto"/>
          <w:sz w:val="24"/>
          <w:szCs w:val="22"/>
          <w:highlight w:val="none"/>
          <w:lang w:eastAsia="zh-CN"/>
        </w:rPr>
        <w:t>中标</w:t>
      </w:r>
      <w:r>
        <w:rPr>
          <w:rFonts w:hint="eastAsia" w:ascii="宋体" w:hAnsi="宋体" w:eastAsia="宋体" w:cs="宋体"/>
          <w:color w:val="auto"/>
          <w:sz w:val="24"/>
          <w:szCs w:val="24"/>
          <w:highlight w:val="none"/>
          <w:lang w:val="en-US" w:eastAsia="zh-CN"/>
        </w:rPr>
        <w:t>优惠率</w:t>
      </w:r>
      <w:r>
        <w:rPr>
          <w:rFonts w:hint="eastAsia" w:ascii="宋体" w:hAnsi="宋体" w:eastAsia="宋体" w:cs="宋体"/>
          <w:color w:val="auto"/>
          <w:sz w:val="24"/>
          <w:szCs w:val="22"/>
          <w:highlight w:val="none"/>
        </w:rPr>
        <w:t>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none"/>
          <w:lang w:val="en-US" w:eastAsia="zh-CN"/>
        </w:rPr>
        <w:t>%。</w:t>
      </w:r>
    </w:p>
    <w:p w14:paraId="6F8ECABA">
      <w:pPr>
        <w:keepNext w:val="0"/>
        <w:keepLines w:val="0"/>
        <w:pageBreakBefore w:val="0"/>
        <w:widowControl w:val="0"/>
        <w:spacing w:line="440" w:lineRule="exact"/>
        <w:ind w:firstLine="5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lang w:eastAsia="zh-CN"/>
        </w:rPr>
        <w:t>本合同的中标单价（合同单价）</w:t>
      </w:r>
      <w:r>
        <w:rPr>
          <w:rFonts w:hint="eastAsia" w:ascii="宋体" w:hAnsi="宋体" w:eastAsia="宋体" w:cs="宋体"/>
          <w:color w:val="auto"/>
          <w:sz w:val="24"/>
          <w:szCs w:val="24"/>
          <w:highlight w:val="none"/>
          <w:lang w:val="zh-CN" w:eastAsia="zh-CN"/>
        </w:rPr>
        <w:t>=对应</w:t>
      </w:r>
      <w:r>
        <w:rPr>
          <w:rFonts w:hint="eastAsia" w:ascii="宋体" w:hAnsi="宋体" w:eastAsia="宋体" w:cs="宋体"/>
          <w:color w:val="auto"/>
          <w:sz w:val="24"/>
          <w:szCs w:val="24"/>
          <w:highlight w:val="none"/>
          <w:lang w:val="en-US" w:eastAsia="zh-CN"/>
        </w:rPr>
        <w:t>规格单价最高限价</w:t>
      </w:r>
      <w:r>
        <w:rPr>
          <w:rFonts w:hint="eastAsia" w:ascii="宋体" w:hAnsi="宋体" w:eastAsia="宋体" w:cs="宋体"/>
          <w:color w:val="auto"/>
          <w:sz w:val="24"/>
          <w:szCs w:val="24"/>
          <w:highlight w:val="none"/>
          <w:lang w:val="zh-CN" w:eastAsia="zh-CN"/>
        </w:rPr>
        <w:t>×（1-中标优惠率）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本合同执行期间</w:t>
      </w:r>
      <w:r>
        <w:rPr>
          <w:rFonts w:hint="eastAsia" w:ascii="宋体" w:hAnsi="宋体" w:eastAsia="宋体" w:cs="宋体"/>
          <w:color w:val="auto"/>
          <w:sz w:val="24"/>
          <w:szCs w:val="24"/>
          <w:highlight w:val="none"/>
          <w:lang w:eastAsia="zh-CN"/>
        </w:rPr>
        <w:t>中标单价（</w:t>
      </w:r>
      <w:r>
        <w:rPr>
          <w:rFonts w:hint="eastAsia" w:ascii="宋体" w:hAnsi="宋体" w:eastAsia="宋体" w:cs="宋体"/>
          <w:color w:val="auto"/>
          <w:sz w:val="24"/>
          <w:szCs w:val="24"/>
          <w:highlight w:val="none"/>
        </w:rPr>
        <w:t>合同单价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不变。</w:t>
      </w:r>
      <w:r>
        <w:rPr>
          <w:rFonts w:hint="eastAsia" w:ascii="宋体" w:hAnsi="宋体" w:eastAsia="宋体" w:cs="宋体"/>
          <w:color w:val="auto"/>
          <w:sz w:val="24"/>
          <w:szCs w:val="24"/>
          <w:highlight w:val="none"/>
          <w:lang w:val="en-US" w:eastAsia="zh-CN"/>
        </w:rPr>
        <w:t>详见下表</w:t>
      </w:r>
      <w:r>
        <w:rPr>
          <w:rFonts w:hint="eastAsia" w:ascii="宋体" w:hAnsi="宋体" w:eastAsia="宋体" w:cs="宋体"/>
          <w:color w:val="auto"/>
          <w:sz w:val="24"/>
          <w:szCs w:val="24"/>
          <w:highlight w:val="none"/>
        </w:rPr>
        <w:t>：</w:t>
      </w:r>
    </w:p>
    <w:tbl>
      <w:tblPr>
        <w:tblStyle w:val="38"/>
        <w:tblW w:w="8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842"/>
        <w:gridCol w:w="3491"/>
        <w:gridCol w:w="2021"/>
      </w:tblGrid>
      <w:tr w14:paraId="2D4D7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84" w:type="dxa"/>
            <w:shd w:val="clear" w:color="auto" w:fill="FFFFFF"/>
            <w:vAlign w:val="center"/>
          </w:tcPr>
          <w:p w14:paraId="5BA54E3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842" w:type="dxa"/>
            <w:shd w:val="clear" w:color="auto" w:fill="FFFFFF"/>
            <w:vAlign w:val="center"/>
          </w:tcPr>
          <w:p w14:paraId="669ADBBC">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货物名称</w:t>
            </w:r>
          </w:p>
        </w:tc>
        <w:tc>
          <w:tcPr>
            <w:tcW w:w="3491" w:type="dxa"/>
            <w:shd w:val="clear" w:color="auto" w:fill="FFFFFF"/>
            <w:vAlign w:val="center"/>
          </w:tcPr>
          <w:p w14:paraId="6B0F71CB">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技术规格要求（含量、规格）</w:t>
            </w:r>
          </w:p>
        </w:tc>
        <w:tc>
          <w:tcPr>
            <w:tcW w:w="2021" w:type="dxa"/>
            <w:shd w:val="clear" w:color="auto" w:fill="FFFFFF"/>
            <w:vAlign w:val="center"/>
          </w:tcPr>
          <w:p w14:paraId="57595B9D">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中标单价</w:t>
            </w:r>
          </w:p>
        </w:tc>
      </w:tr>
      <w:tr w14:paraId="3CE38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84" w:type="dxa"/>
            <w:vAlign w:val="center"/>
          </w:tcPr>
          <w:p w14:paraId="09042F2C">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42" w:type="dxa"/>
            <w:vMerge w:val="restart"/>
            <w:vAlign w:val="center"/>
          </w:tcPr>
          <w:p w14:paraId="34738639">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甲氧·茚虫威</w:t>
            </w:r>
          </w:p>
        </w:tc>
        <w:tc>
          <w:tcPr>
            <w:tcW w:w="3491" w:type="dxa"/>
            <w:vAlign w:val="center"/>
          </w:tcPr>
          <w:p w14:paraId="01C4B4A7">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有效成分含量：40%悬浮剂；</w:t>
            </w:r>
          </w:p>
          <w:p w14:paraId="1563133A">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规格：10克/袋。</w:t>
            </w:r>
          </w:p>
        </w:tc>
        <w:tc>
          <w:tcPr>
            <w:tcW w:w="2021" w:type="dxa"/>
            <w:vAlign w:val="center"/>
          </w:tcPr>
          <w:p w14:paraId="0A840DAC">
            <w:pPr>
              <w:jc w:val="center"/>
              <w:rPr>
                <w:rFonts w:hint="eastAsia" w:ascii="宋体" w:hAnsi="宋体" w:eastAsia="宋体" w:cs="宋体"/>
                <w:color w:val="auto"/>
                <w:sz w:val="24"/>
                <w:szCs w:val="24"/>
                <w:highlight w:val="none"/>
              </w:rPr>
            </w:pPr>
          </w:p>
        </w:tc>
      </w:tr>
      <w:tr w14:paraId="4A10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84" w:type="dxa"/>
            <w:vAlign w:val="center"/>
          </w:tcPr>
          <w:p w14:paraId="6DB62917">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42" w:type="dxa"/>
            <w:vMerge w:val="continue"/>
            <w:vAlign w:val="center"/>
          </w:tcPr>
          <w:p w14:paraId="4C73CCFB">
            <w:pPr>
              <w:autoSpaceDE w:val="0"/>
              <w:autoSpaceDN w:val="0"/>
              <w:adjustRightInd w:val="0"/>
              <w:jc w:val="center"/>
              <w:rPr>
                <w:rFonts w:hint="eastAsia" w:ascii="宋体" w:hAnsi="宋体" w:eastAsia="宋体" w:cs="宋体"/>
                <w:color w:val="auto"/>
                <w:sz w:val="24"/>
                <w:szCs w:val="24"/>
                <w:highlight w:val="none"/>
              </w:rPr>
            </w:pPr>
          </w:p>
        </w:tc>
        <w:tc>
          <w:tcPr>
            <w:tcW w:w="3491" w:type="dxa"/>
            <w:vAlign w:val="center"/>
          </w:tcPr>
          <w:p w14:paraId="4C235060">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有效成分含量：40%悬浮剂；</w:t>
            </w:r>
          </w:p>
          <w:p w14:paraId="34BB6865">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规格：100克/瓶。</w:t>
            </w:r>
          </w:p>
        </w:tc>
        <w:tc>
          <w:tcPr>
            <w:tcW w:w="2021" w:type="dxa"/>
            <w:vAlign w:val="center"/>
          </w:tcPr>
          <w:p w14:paraId="378AD6FF">
            <w:pPr>
              <w:jc w:val="center"/>
              <w:rPr>
                <w:rFonts w:hint="eastAsia" w:ascii="宋体" w:hAnsi="宋体" w:eastAsia="宋体" w:cs="宋体"/>
                <w:color w:val="auto"/>
                <w:sz w:val="24"/>
                <w:szCs w:val="24"/>
                <w:highlight w:val="none"/>
              </w:rPr>
            </w:pPr>
          </w:p>
        </w:tc>
      </w:tr>
    </w:tbl>
    <w:p w14:paraId="4A0D58CB">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 付款方式和发票开具方式</w:t>
      </w:r>
      <w:bookmarkEnd w:id="192"/>
      <w:bookmarkEnd w:id="193"/>
      <w:bookmarkEnd w:id="194"/>
      <w:bookmarkEnd w:id="195"/>
      <w:bookmarkEnd w:id="196"/>
    </w:p>
    <w:p w14:paraId="41B190D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1.3.1本合同项下所有款项均以人民币支付。</w:t>
      </w:r>
    </w:p>
    <w:p w14:paraId="1C43D2B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1.3.2付款方式：</w:t>
      </w:r>
      <w:r>
        <w:rPr>
          <w:rFonts w:hint="eastAsia" w:ascii="宋体" w:hAnsi="宋体" w:eastAsia="宋体" w:cs="宋体"/>
          <w:color w:val="auto"/>
          <w:sz w:val="24"/>
          <w:szCs w:val="24"/>
          <w:highlight w:val="none"/>
          <w:lang w:val="en-US" w:eastAsia="zh-CN"/>
        </w:rPr>
        <w:t>甲方</w:t>
      </w:r>
      <w:r>
        <w:rPr>
          <w:rFonts w:hint="eastAsia" w:ascii="宋体" w:hAnsi="宋体" w:cs="宋体"/>
          <w:color w:val="auto"/>
          <w:sz w:val="24"/>
          <w:szCs w:val="24"/>
          <w:highlight w:val="none"/>
          <w:lang w:val="en-US" w:eastAsia="zh-CN"/>
        </w:rPr>
        <w:t>在乙方供货验收完成后一个月内，按照实际供货数量向乙方支付货款</w:t>
      </w:r>
      <w:r>
        <w:rPr>
          <w:rFonts w:hint="eastAsia" w:ascii="宋体" w:hAnsi="宋体" w:eastAsia="宋体" w:cs="宋体"/>
          <w:color w:val="auto"/>
          <w:sz w:val="24"/>
          <w:szCs w:val="24"/>
          <w:highlight w:val="none"/>
        </w:rPr>
        <w:t>。</w:t>
      </w:r>
    </w:p>
    <w:p w14:paraId="22FDA67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发票开具方式：</w:t>
      </w:r>
      <w:r>
        <w:rPr>
          <w:rFonts w:hint="eastAsia" w:ascii="宋体" w:hAnsi="宋体" w:eastAsia="宋体" w:cs="宋体"/>
          <w:color w:val="auto"/>
          <w:sz w:val="24"/>
          <w:szCs w:val="24"/>
          <w:highlight w:val="none"/>
          <w:u w:val="single"/>
        </w:rPr>
        <w:t xml:space="preserve"> 增值税专用发票或增值税普通发票（具体以甲方要求为准）   </w:t>
      </w:r>
      <w:r>
        <w:rPr>
          <w:rFonts w:hint="eastAsia" w:ascii="宋体" w:hAnsi="宋体" w:eastAsia="宋体" w:cs="宋体"/>
          <w:color w:val="auto"/>
          <w:sz w:val="24"/>
          <w:szCs w:val="24"/>
          <w:highlight w:val="none"/>
        </w:rPr>
        <w:t>。</w:t>
      </w:r>
      <w:bookmarkStart w:id="197" w:name="_Toc2846"/>
      <w:bookmarkStart w:id="198" w:name="_Toc19304"/>
      <w:bookmarkStart w:id="199" w:name="_Toc32071"/>
    </w:p>
    <w:p w14:paraId="7074C182">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注：以上每次付款前，乙方均应提供符合甲方要求的同等金额的合法有效发票。否则，甲方有权顺延付款时间，且不承担任何违约或赔偿责任。本项目支付方式支持数字人民币方式。</w:t>
      </w:r>
    </w:p>
    <w:p w14:paraId="3F49811A">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 交货时间和地点</w:t>
      </w:r>
      <w:bookmarkEnd w:id="197"/>
      <w:bookmarkEnd w:id="198"/>
      <w:bookmarkEnd w:id="199"/>
    </w:p>
    <w:p w14:paraId="6A6A1F49">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1.4.1 交货时间：</w:t>
      </w:r>
      <w:r>
        <w:rPr>
          <w:rFonts w:hint="eastAsia" w:ascii="宋体" w:hAnsi="宋体" w:eastAsia="宋体" w:cs="宋体"/>
          <w:color w:val="auto"/>
          <w:sz w:val="24"/>
          <w:szCs w:val="24"/>
          <w:highlight w:val="none"/>
          <w:u w:val="single"/>
        </w:rPr>
        <w:t>接到</w:t>
      </w:r>
      <w:r>
        <w:rPr>
          <w:rFonts w:hint="eastAsia" w:ascii="宋体" w:hAnsi="宋体" w:eastAsia="宋体" w:cs="宋体"/>
          <w:color w:val="auto"/>
          <w:sz w:val="24"/>
          <w:szCs w:val="24"/>
          <w:highlight w:val="none"/>
          <w:u w:val="single"/>
          <w:lang w:val="en-US" w:eastAsia="zh-CN"/>
        </w:rPr>
        <w:t>甲方</w:t>
      </w:r>
      <w:r>
        <w:rPr>
          <w:rFonts w:hint="eastAsia" w:ascii="宋体" w:hAnsi="宋体" w:eastAsia="宋体" w:cs="宋体"/>
          <w:color w:val="auto"/>
          <w:sz w:val="24"/>
          <w:szCs w:val="24"/>
          <w:highlight w:val="none"/>
          <w:u w:val="single"/>
        </w:rPr>
        <w:t>通知后30日历天内将货物配送至指定地点。</w:t>
      </w:r>
    </w:p>
    <w:p w14:paraId="7EE740ED">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1.4.2 交付地点：</w:t>
      </w:r>
      <w:r>
        <w:rPr>
          <w:rFonts w:hint="eastAsia" w:ascii="宋体" w:hAnsi="宋体" w:eastAsia="宋体" w:cs="宋体"/>
          <w:color w:val="auto"/>
          <w:sz w:val="24"/>
          <w:szCs w:val="24"/>
          <w:highlight w:val="none"/>
          <w:u w:val="single"/>
        </w:rPr>
        <w:t>常熟市范围内。乙方负责办理货物的运输、装卸和保险，一切费用均由乙方承担。</w:t>
      </w:r>
    </w:p>
    <w:p w14:paraId="528DF8CD">
      <w:pPr>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1.5</w:t>
      </w:r>
      <w:r>
        <w:rPr>
          <w:rFonts w:hint="eastAsia" w:ascii="宋体" w:hAnsi="宋体" w:eastAsia="宋体" w:cs="宋体"/>
          <w:b/>
          <w:bCs/>
          <w:color w:val="auto"/>
          <w:sz w:val="24"/>
          <w:highlight w:val="none"/>
        </w:rPr>
        <w:t>双方权利和义务</w:t>
      </w:r>
    </w:p>
    <w:p w14:paraId="3613D549">
      <w:pPr>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1.5.1甲方权利义务</w:t>
      </w:r>
    </w:p>
    <w:p w14:paraId="1ED0C361">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（1）对乙方的工作进行监督管理。</w:t>
      </w:r>
    </w:p>
    <w:p w14:paraId="758AD169">
      <w:pPr>
        <w:spacing w:line="42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（2）配合乙方协调。</w:t>
      </w:r>
    </w:p>
    <w:p w14:paraId="15B25374">
      <w:pPr>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1.5.2乙方权利义务</w:t>
      </w:r>
    </w:p>
    <w:p w14:paraId="657D47A2">
      <w:pPr>
        <w:spacing w:line="440" w:lineRule="exact"/>
        <w:ind w:firstLine="480" w:firstLineChars="200"/>
        <w:rPr>
          <w:rFonts w:hint="eastAsia" w:ascii="宋体" w:hAnsi="宋体" w:eastAsia="宋体" w:cs="宋体"/>
          <w:color w:val="auto"/>
          <w:sz w:val="24"/>
          <w:highlight w:val="none"/>
        </w:rPr>
      </w:pPr>
      <w:bookmarkStart w:id="200" w:name="_Toc21423"/>
      <w:bookmarkStart w:id="201" w:name="_Toc19554"/>
      <w:bookmarkStart w:id="202" w:name="_Toc27250"/>
      <w:r>
        <w:rPr>
          <w:rFonts w:hint="eastAsia" w:ascii="宋体" w:hAnsi="宋体" w:eastAsia="宋体" w:cs="宋体"/>
          <w:color w:val="auto"/>
          <w:sz w:val="24"/>
          <w:highlight w:val="none"/>
        </w:rPr>
        <w:t>（1）负责货物运抵指定地点后的搬运及看护保管；</w:t>
      </w:r>
    </w:p>
    <w:p w14:paraId="0FE4AD80">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（2）负责配送人员的保险和一切安全责任；</w:t>
      </w:r>
    </w:p>
    <w:p w14:paraId="5403DD28">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（3）配合甲方完成验收工作及项目的移交。</w:t>
      </w:r>
    </w:p>
    <w:p w14:paraId="1F4CBA28">
      <w:pPr>
        <w:autoSpaceDE w:val="0"/>
        <w:autoSpaceDN w:val="0"/>
        <w:adjustRightInd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 违约责任</w:t>
      </w:r>
      <w:bookmarkEnd w:id="200"/>
      <w:bookmarkEnd w:id="201"/>
      <w:bookmarkEnd w:id="202"/>
    </w:p>
    <w:p w14:paraId="395D6982">
      <w:p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计算，最高限额为本合同总价的</w:t>
      </w:r>
      <w:r>
        <w:rPr>
          <w:rFonts w:hint="eastAsia" w:ascii="宋体" w:hAnsi="宋体" w:eastAsia="宋体" w:cs="宋体"/>
          <w:color w:val="auto"/>
          <w:sz w:val="24"/>
          <w:szCs w:val="24"/>
          <w:highlight w:val="none"/>
          <w:u w:val="single"/>
        </w:rPr>
        <w:t>10%</w:t>
      </w:r>
      <w:r>
        <w:rPr>
          <w:rFonts w:hint="eastAsia" w:ascii="宋体" w:hAnsi="宋体" w:eastAsia="宋体" w:cs="宋体"/>
          <w:color w:val="auto"/>
          <w:sz w:val="24"/>
          <w:szCs w:val="24"/>
          <w:highlight w:val="none"/>
        </w:rPr>
        <w:t>；迟延交付货物的违约金计算数额达到前述最高限额之日起，甲方有权在要求乙方支付违约金的同时，书面通知乙方解除本合同。但违约金不足补偿甲方实际损失及/或损害的，乙方还应赔偿甲方的实 际损失及/或损害。若乙方未经甲方书面同意不能按照本合同约定交货逾期超过 10 日，将视为严重违约， 甲方有权单方面解除本合同而不承担任何责任，本合同自甲方书面通知乙方之日起自动终止，同时乙方应 在甲方书面通知之日起 10 日内向甲方支付本合同货款总额的 30%，作为违约金。</w:t>
      </w:r>
    </w:p>
    <w:p w14:paraId="159577FB">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highlight w:val="none"/>
          <w:u w:val="single"/>
        </w:rPr>
        <w:t>0.5%</w:t>
      </w:r>
      <w:r>
        <w:rPr>
          <w:rFonts w:hint="eastAsia" w:ascii="宋体" w:hAnsi="宋体" w:eastAsia="宋体" w:cs="宋体"/>
          <w:color w:val="auto"/>
          <w:sz w:val="24"/>
          <w:highlight w:val="none"/>
        </w:rPr>
        <w:t>计算，最高限额为本合同总价的</w:t>
      </w:r>
      <w:r>
        <w:rPr>
          <w:rFonts w:hint="eastAsia" w:ascii="宋体" w:hAnsi="宋体" w:eastAsia="宋体" w:cs="宋体"/>
          <w:color w:val="auto"/>
          <w:sz w:val="24"/>
          <w:highlight w:val="none"/>
          <w:u w:val="single"/>
        </w:rPr>
        <w:t>5%</w:t>
      </w:r>
      <w:r>
        <w:rPr>
          <w:rFonts w:hint="eastAsia" w:ascii="宋体" w:hAnsi="宋体" w:eastAsia="宋体" w:cs="宋体"/>
          <w:color w:val="auto"/>
          <w:sz w:val="24"/>
          <w:highlight w:val="none"/>
        </w:rPr>
        <w:t>；迟延付款的违约金计算数额达到前述最高限额之日起，乙方有权在要求甲方支付违约金的同时，书面通知甲方解除本合同。</w:t>
      </w:r>
    </w:p>
    <w:p w14:paraId="23543514">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0EC7BC32">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E6651E1">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1740897">
      <w:pPr>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1.6.6 如果出现政府采购监督管理部门在处理投诉事项期间，书面通知甲方暂停采购活动的情形，或者询问或质疑事项可能影响中标结果的，导致甲方中止履行合同的情形，均不视为甲方违约。</w:t>
      </w:r>
    </w:p>
    <w:p w14:paraId="7340AD69">
      <w:pPr>
        <w:spacing w:line="440" w:lineRule="exact"/>
        <w:rPr>
          <w:rFonts w:hint="eastAsia" w:ascii="宋体" w:hAnsi="宋体" w:eastAsia="宋体" w:cs="宋体"/>
          <w:b/>
          <w:color w:val="auto"/>
          <w:sz w:val="24"/>
          <w:highlight w:val="none"/>
        </w:rPr>
      </w:pPr>
      <w:bookmarkStart w:id="203" w:name="_Toc18683"/>
      <w:bookmarkStart w:id="204" w:name="_Toc32454"/>
      <w:bookmarkStart w:id="205" w:name="_Toc26807"/>
      <w:bookmarkStart w:id="206" w:name="_Toc9497"/>
      <w:bookmarkStart w:id="207" w:name="_Toc30329"/>
      <w:r>
        <w:rPr>
          <w:rFonts w:hint="eastAsia" w:ascii="宋体" w:hAnsi="宋体" w:eastAsia="宋体" w:cs="宋体"/>
          <w:b/>
          <w:color w:val="auto"/>
          <w:sz w:val="24"/>
          <w:highlight w:val="none"/>
        </w:rPr>
        <w:t>1.7 合同争议的解决</w:t>
      </w:r>
      <w:bookmarkEnd w:id="203"/>
      <w:bookmarkEnd w:id="204"/>
      <w:bookmarkEnd w:id="205"/>
      <w:bookmarkEnd w:id="206"/>
      <w:bookmarkEnd w:id="207"/>
    </w:p>
    <w:p w14:paraId="7E6BBA15">
      <w:pPr>
        <w:spacing w:line="440" w:lineRule="exact"/>
        <w:ind w:firstLine="480" w:firstLineChars="200"/>
        <w:rPr>
          <w:rFonts w:hint="eastAsia" w:ascii="宋体" w:hAnsi="宋体" w:eastAsia="宋体" w:cs="宋体"/>
          <w:bCs/>
          <w:color w:val="auto"/>
          <w:sz w:val="24"/>
          <w:szCs w:val="24"/>
          <w:highlight w:val="none"/>
        </w:rPr>
      </w:pPr>
      <w:bookmarkStart w:id="208" w:name="_Toc26227"/>
      <w:bookmarkStart w:id="209" w:name="_Toc12273"/>
      <w:bookmarkStart w:id="210" w:name="_Toc16417"/>
      <w:bookmarkStart w:id="211" w:name="_Toc23784"/>
      <w:bookmarkStart w:id="212" w:name="_Toc15827"/>
      <w:r>
        <w:rPr>
          <w:rFonts w:hint="eastAsia" w:ascii="宋体" w:hAnsi="宋体" w:eastAsia="宋体" w:cs="宋体"/>
          <w:bCs/>
          <w:color w:val="auto"/>
          <w:sz w:val="24"/>
          <w:szCs w:val="24"/>
          <w:highlight w:val="none"/>
        </w:rPr>
        <w:t>本合同履行过程中发生的任何争议，双方当事人均可通过和解或者调解解决；不愿和解、调解或者和解、调解不成的，可以选择下列第</w:t>
      </w:r>
      <w:r>
        <w:rPr>
          <w:rFonts w:hint="eastAsia" w:ascii="宋体" w:hAnsi="宋体" w:eastAsia="宋体" w:cs="宋体"/>
          <w:bCs/>
          <w:color w:val="auto"/>
          <w:sz w:val="24"/>
          <w:szCs w:val="24"/>
          <w:highlight w:val="none"/>
          <w:u w:val="single"/>
        </w:rPr>
        <w:t>1.7.1</w:t>
      </w:r>
      <w:r>
        <w:rPr>
          <w:rFonts w:hint="eastAsia" w:ascii="宋体" w:hAnsi="宋体" w:eastAsia="宋体" w:cs="宋体"/>
          <w:bCs/>
          <w:color w:val="auto"/>
          <w:sz w:val="24"/>
          <w:szCs w:val="24"/>
          <w:highlight w:val="none"/>
        </w:rPr>
        <w:t>种方式解决：</w:t>
      </w:r>
    </w:p>
    <w:p w14:paraId="5768251B">
      <w:pPr>
        <w:spacing w:line="43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1.7.1向</w:t>
      </w:r>
      <w:r>
        <w:rPr>
          <w:rFonts w:hint="eastAsia" w:ascii="宋体" w:hAnsi="宋体" w:eastAsia="宋体" w:cs="宋体"/>
          <w:bCs/>
          <w:color w:val="auto"/>
          <w:sz w:val="24"/>
          <w:szCs w:val="24"/>
          <w:highlight w:val="none"/>
          <w:u w:val="single"/>
        </w:rPr>
        <w:t>（项目所在地、合同履行地、标的物所在地等）</w:t>
      </w:r>
      <w:r>
        <w:rPr>
          <w:rFonts w:hint="eastAsia" w:ascii="宋体" w:hAnsi="宋体" w:eastAsia="宋体" w:cs="宋体"/>
          <w:bCs/>
          <w:color w:val="auto"/>
          <w:sz w:val="24"/>
          <w:szCs w:val="24"/>
          <w:highlight w:val="none"/>
        </w:rPr>
        <w:t>人民法院起诉。</w:t>
      </w:r>
    </w:p>
    <w:p w14:paraId="22BA7087">
      <w:pPr>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1.8 合同生效</w:t>
      </w:r>
      <w:bookmarkEnd w:id="208"/>
      <w:bookmarkEnd w:id="209"/>
      <w:bookmarkEnd w:id="210"/>
      <w:bookmarkEnd w:id="211"/>
      <w:bookmarkEnd w:id="212"/>
    </w:p>
    <w:p w14:paraId="27080D3F">
      <w:pPr>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1.8.1合同应在甲乙双方代表签字并加盖公章后生效。</w:t>
      </w:r>
    </w:p>
    <w:p w14:paraId="5FF0E6E0">
      <w:pPr>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1.8.2本合同一式五份，以简体中文书写，甲方两份、乙方两份、</w:t>
      </w:r>
      <w:r>
        <w:rPr>
          <w:rFonts w:hint="eastAsia" w:ascii="宋体" w:hAnsi="宋体" w:eastAsia="宋体" w:cs="宋体"/>
          <w:bCs/>
          <w:color w:val="auto"/>
          <w:sz w:val="24"/>
          <w:szCs w:val="24"/>
          <w:highlight w:val="none"/>
          <w:lang w:eastAsia="zh-CN"/>
        </w:rPr>
        <w:t>苏州信达顺工程建设咨询有限公司</w:t>
      </w:r>
      <w:r>
        <w:rPr>
          <w:rFonts w:hint="eastAsia" w:ascii="宋体" w:hAnsi="宋体" w:eastAsia="宋体" w:cs="宋体"/>
          <w:bCs/>
          <w:color w:val="auto"/>
          <w:sz w:val="24"/>
          <w:szCs w:val="24"/>
          <w:highlight w:val="none"/>
        </w:rPr>
        <w:t>一份。</w:t>
      </w:r>
    </w:p>
    <w:p w14:paraId="36BD39D8">
      <w:pPr>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1.8.3本合同应按照中华人民共和国的现行法律进行解释。</w:t>
      </w:r>
    </w:p>
    <w:p w14:paraId="577AE9FC">
      <w:pPr>
        <w:spacing w:line="440" w:lineRule="exact"/>
        <w:ind w:firstLine="420" w:firstLineChars="200"/>
        <w:rPr>
          <w:rFonts w:hint="eastAsia" w:ascii="宋体" w:hAnsi="宋体" w:eastAsia="宋体" w:cs="宋体"/>
          <w:color w:val="auto"/>
          <w:highlight w:val="none"/>
        </w:rPr>
      </w:pPr>
    </w:p>
    <w:p w14:paraId="39258635">
      <w:pPr>
        <w:autoSpaceDE w:val="0"/>
        <w:autoSpaceDN w:val="0"/>
        <w:adjustRightInd w:val="0"/>
        <w:spacing w:line="480" w:lineRule="exact"/>
        <w:ind w:firstLine="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第二部分 合同一般条款</w:t>
      </w:r>
    </w:p>
    <w:p w14:paraId="222EE3B9">
      <w:pPr>
        <w:spacing w:line="440" w:lineRule="exact"/>
        <w:rPr>
          <w:rFonts w:hint="eastAsia" w:ascii="宋体" w:hAnsi="宋体" w:eastAsia="宋体" w:cs="宋体"/>
          <w:b/>
          <w:color w:val="auto"/>
          <w:sz w:val="24"/>
          <w:szCs w:val="24"/>
          <w:highlight w:val="none"/>
        </w:rPr>
      </w:pPr>
      <w:bookmarkStart w:id="213" w:name="_Toc28763"/>
      <w:bookmarkStart w:id="214" w:name="_Toc19614"/>
      <w:bookmarkStart w:id="215" w:name="_Ref467379195"/>
      <w:bookmarkStart w:id="216" w:name="_Ref467379101"/>
      <w:bookmarkStart w:id="217" w:name="_Toc487900349"/>
      <w:bookmarkStart w:id="218" w:name="_Toc279701240"/>
      <w:bookmarkStart w:id="219" w:name="_Ref467378404"/>
      <w:bookmarkStart w:id="220" w:name="_Ref467379225"/>
      <w:bookmarkStart w:id="221" w:name="_Ref467379094"/>
      <w:bookmarkStart w:id="222" w:name="_Toc259093669"/>
      <w:bookmarkStart w:id="223" w:name="_Ref467379214"/>
      <w:bookmarkStart w:id="224" w:name="_Ref467379109"/>
      <w:bookmarkStart w:id="225" w:name="_Ref467378499"/>
      <w:bookmarkStart w:id="226" w:name="_Ref467379205"/>
      <w:bookmarkStart w:id="227" w:name="_Toc16917"/>
      <w:bookmarkStart w:id="228" w:name="_Ref467378463"/>
      <w:r>
        <w:rPr>
          <w:rFonts w:hint="eastAsia" w:ascii="宋体" w:hAnsi="宋体" w:eastAsia="宋体" w:cs="宋体"/>
          <w:b/>
          <w:color w:val="auto"/>
          <w:sz w:val="24"/>
          <w:szCs w:val="24"/>
          <w:highlight w:val="none"/>
        </w:rPr>
        <w:t>2.1 定义</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759C986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本合同中的下列词语应按以下内容进行解释：</w:t>
      </w:r>
    </w:p>
    <w:p w14:paraId="1133A40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2.1.1“合同”系指采购人和中标供应商签订的载明双方当事人所达成的协议，并包括所有的附件、附录和构成合同的其他文件。</w:t>
      </w:r>
    </w:p>
    <w:p w14:paraId="0350856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2.1.2“合同价”系指根据合同约定，中标供应商在完全履行合同义务后，采购人应支付给中标供应商的价格。</w:t>
      </w:r>
    </w:p>
    <w:p w14:paraId="1AC1A57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2.1.3“货物”系指中标供应商根据合同约定应向采购人交付的一切各种形态和种类的物品，包括原材料、燃料、设备、机械、仪表、备件、计算机软件、产品等，并包括工具、手册等其他相关资料。</w:t>
      </w:r>
    </w:p>
    <w:p w14:paraId="5A578C74">
      <w:pPr>
        <w:spacing w:line="440" w:lineRule="exact"/>
        <w:ind w:firstLine="480" w:firstLineChars="200"/>
        <w:rPr>
          <w:rFonts w:hint="eastAsia" w:ascii="宋体" w:hAnsi="宋体" w:eastAsia="宋体" w:cs="宋体"/>
          <w:color w:val="auto"/>
          <w:sz w:val="24"/>
          <w:szCs w:val="24"/>
          <w:highlight w:val="none"/>
        </w:rPr>
      </w:pPr>
      <w:bookmarkStart w:id="229" w:name="_Ref467378840"/>
      <w:r>
        <w:rPr>
          <w:rFonts w:hint="eastAsia" w:ascii="宋体" w:hAnsi="宋体" w:eastAsia="宋体" w:cs="宋体"/>
          <w:color w:val="auto"/>
          <w:sz w:val="24"/>
          <w:szCs w:val="24"/>
          <w:highlight w:val="none"/>
        </w:rPr>
        <w:t>2.1.4“甲方”系指与中标供应商签署合同的采购人</w:t>
      </w:r>
      <w:bookmarkEnd w:id="229"/>
      <w:r>
        <w:rPr>
          <w:rFonts w:hint="eastAsia" w:ascii="宋体" w:hAnsi="宋体" w:eastAsia="宋体" w:cs="宋体"/>
          <w:color w:val="auto"/>
          <w:sz w:val="24"/>
          <w:szCs w:val="24"/>
          <w:highlight w:val="none"/>
        </w:rPr>
        <w:t>；采购人委托采购代理机构代表其与乙方签订合同的，采购人的授权委托书作为合同附件。</w:t>
      </w:r>
    </w:p>
    <w:p w14:paraId="536DC21A">
      <w:pPr>
        <w:spacing w:line="440" w:lineRule="exact"/>
        <w:ind w:firstLine="480" w:firstLineChars="200"/>
        <w:rPr>
          <w:rFonts w:hint="eastAsia" w:ascii="宋体" w:hAnsi="宋体" w:eastAsia="宋体" w:cs="宋体"/>
          <w:color w:val="auto"/>
          <w:sz w:val="24"/>
          <w:szCs w:val="24"/>
          <w:highlight w:val="none"/>
        </w:rPr>
      </w:pPr>
      <w:bookmarkStart w:id="230" w:name="_Ref467379400"/>
      <w:r>
        <w:rPr>
          <w:rFonts w:hint="eastAsia" w:ascii="宋体" w:hAnsi="宋体" w:eastAsia="宋体" w:cs="宋体"/>
          <w:color w:val="auto"/>
          <w:sz w:val="24"/>
          <w:szCs w:val="24"/>
          <w:highlight w:val="none"/>
        </w:rPr>
        <w:t>2.1.5“乙方”系指根据合同约定交付货物的中标供应商</w:t>
      </w:r>
      <w:bookmarkEnd w:id="230"/>
      <w:r>
        <w:rPr>
          <w:rFonts w:hint="eastAsia" w:ascii="宋体" w:hAnsi="宋体" w:eastAsia="宋体" w:cs="宋体"/>
          <w:color w:val="auto"/>
          <w:sz w:val="24"/>
          <w:szCs w:val="24"/>
          <w:highlight w:val="none"/>
        </w:rPr>
        <w:t>。</w:t>
      </w:r>
    </w:p>
    <w:p w14:paraId="007A0B85">
      <w:pPr>
        <w:spacing w:line="440" w:lineRule="exact"/>
        <w:ind w:firstLine="480" w:firstLineChars="200"/>
        <w:rPr>
          <w:rFonts w:hint="eastAsia" w:ascii="宋体" w:hAnsi="宋体" w:eastAsia="宋体" w:cs="宋体"/>
          <w:color w:val="auto"/>
          <w:sz w:val="24"/>
          <w:szCs w:val="24"/>
          <w:highlight w:val="none"/>
        </w:rPr>
      </w:pPr>
      <w:bookmarkStart w:id="231" w:name="_Ref467379436"/>
      <w:r>
        <w:rPr>
          <w:rFonts w:hint="eastAsia" w:ascii="宋体" w:hAnsi="宋体" w:eastAsia="宋体" w:cs="宋体"/>
          <w:color w:val="auto"/>
          <w:sz w:val="24"/>
          <w:szCs w:val="24"/>
          <w:highlight w:val="none"/>
        </w:rPr>
        <w:t>2.1.6“现场”系指合同约定货物将要运至或者安装的地点。</w:t>
      </w:r>
      <w:bookmarkEnd w:id="231"/>
    </w:p>
    <w:p w14:paraId="5FCD20BD">
      <w:pPr>
        <w:spacing w:line="440" w:lineRule="exact"/>
        <w:rPr>
          <w:rFonts w:hint="eastAsia" w:ascii="宋体" w:hAnsi="宋体" w:eastAsia="宋体" w:cs="宋体"/>
          <w:b/>
          <w:color w:val="auto"/>
          <w:sz w:val="24"/>
          <w:szCs w:val="24"/>
          <w:highlight w:val="none"/>
        </w:rPr>
      </w:pPr>
      <w:bookmarkStart w:id="232" w:name="_Toc27635"/>
      <w:bookmarkStart w:id="233" w:name="_Toc279701241"/>
      <w:bookmarkStart w:id="234" w:name="_Toc32504"/>
      <w:bookmarkStart w:id="235" w:name="_Toc259093670"/>
      <w:bookmarkStart w:id="236" w:name="_Toc13336"/>
      <w:bookmarkStart w:id="237" w:name="_Toc487900350"/>
      <w:r>
        <w:rPr>
          <w:rFonts w:hint="eastAsia" w:ascii="宋体" w:hAnsi="宋体" w:eastAsia="宋体" w:cs="宋体"/>
          <w:b/>
          <w:color w:val="auto"/>
          <w:sz w:val="24"/>
          <w:szCs w:val="24"/>
          <w:highlight w:val="none"/>
        </w:rPr>
        <w:t>2.2 技术规范</w:t>
      </w:r>
      <w:bookmarkEnd w:id="232"/>
      <w:bookmarkEnd w:id="233"/>
      <w:bookmarkEnd w:id="234"/>
      <w:bookmarkEnd w:id="235"/>
      <w:bookmarkEnd w:id="236"/>
      <w:bookmarkEnd w:id="237"/>
    </w:p>
    <w:p w14:paraId="2596CE6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6086E90D">
      <w:pPr>
        <w:spacing w:line="440" w:lineRule="exact"/>
        <w:rPr>
          <w:rFonts w:hint="eastAsia" w:ascii="宋体" w:hAnsi="宋体" w:eastAsia="宋体" w:cs="宋体"/>
          <w:b/>
          <w:color w:val="auto"/>
          <w:sz w:val="24"/>
          <w:szCs w:val="24"/>
          <w:highlight w:val="none"/>
        </w:rPr>
      </w:pPr>
      <w:bookmarkStart w:id="238" w:name="_Toc9829"/>
      <w:bookmarkStart w:id="239" w:name="_Toc279701242"/>
      <w:bookmarkStart w:id="240" w:name="_Toc27853"/>
      <w:bookmarkStart w:id="241" w:name="_Toc259093671"/>
      <w:bookmarkStart w:id="242" w:name="_Toc31634"/>
      <w:bookmarkStart w:id="243" w:name="_Toc487900351"/>
      <w:r>
        <w:rPr>
          <w:rFonts w:hint="eastAsia" w:ascii="宋体" w:hAnsi="宋体" w:eastAsia="宋体" w:cs="宋体"/>
          <w:b/>
          <w:color w:val="auto"/>
          <w:sz w:val="24"/>
          <w:szCs w:val="24"/>
          <w:highlight w:val="none"/>
        </w:rPr>
        <w:t>2.3 知识产权</w:t>
      </w:r>
      <w:bookmarkEnd w:id="238"/>
      <w:bookmarkEnd w:id="239"/>
      <w:bookmarkEnd w:id="240"/>
      <w:bookmarkEnd w:id="241"/>
      <w:bookmarkEnd w:id="242"/>
      <w:bookmarkEnd w:id="243"/>
    </w:p>
    <w:p w14:paraId="08EB316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04897CB7">
      <w:pPr>
        <w:spacing w:line="440" w:lineRule="exact"/>
        <w:rPr>
          <w:rFonts w:hint="eastAsia" w:ascii="宋体" w:hAnsi="宋体" w:eastAsia="宋体" w:cs="宋体"/>
          <w:b/>
          <w:color w:val="auto"/>
          <w:sz w:val="24"/>
          <w:szCs w:val="24"/>
          <w:highlight w:val="none"/>
        </w:rPr>
      </w:pPr>
      <w:bookmarkStart w:id="244" w:name="_Toc29149"/>
      <w:bookmarkStart w:id="245" w:name="_Toc11932"/>
      <w:bookmarkStart w:id="246" w:name="_Toc4194"/>
      <w:r>
        <w:rPr>
          <w:rFonts w:hint="eastAsia" w:ascii="宋体" w:hAnsi="宋体" w:eastAsia="宋体" w:cs="宋体"/>
          <w:b/>
          <w:color w:val="auto"/>
          <w:sz w:val="24"/>
          <w:szCs w:val="24"/>
          <w:highlight w:val="none"/>
        </w:rPr>
        <w:t>2.4 包装和装运</w:t>
      </w:r>
      <w:bookmarkEnd w:id="244"/>
      <w:bookmarkEnd w:id="245"/>
      <w:bookmarkEnd w:id="246"/>
    </w:p>
    <w:p w14:paraId="2DC9CEC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3399D71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2.4.2装运货物的要求和通知均应按照甲方的要求。</w:t>
      </w:r>
    </w:p>
    <w:p w14:paraId="4519B8F6">
      <w:pPr>
        <w:spacing w:line="440" w:lineRule="exact"/>
        <w:rPr>
          <w:rFonts w:hint="eastAsia" w:ascii="宋体" w:hAnsi="宋体" w:eastAsia="宋体" w:cs="宋体"/>
          <w:b/>
          <w:color w:val="auto"/>
          <w:sz w:val="24"/>
          <w:szCs w:val="24"/>
          <w:highlight w:val="none"/>
        </w:rPr>
      </w:pPr>
      <w:bookmarkStart w:id="247" w:name="_Ref467379542"/>
      <w:bookmarkStart w:id="248" w:name="_Ref467378591"/>
      <w:bookmarkStart w:id="249" w:name="_Toc279701245"/>
      <w:bookmarkStart w:id="250" w:name="_Ref467379536"/>
      <w:bookmarkStart w:id="251" w:name="_Toc259093674"/>
      <w:bookmarkStart w:id="252" w:name="_Toc487900354"/>
      <w:bookmarkStart w:id="253" w:name="_Ref467378541"/>
      <w:bookmarkStart w:id="254" w:name="_Ref467379527"/>
      <w:bookmarkStart w:id="255" w:name="_Toc30272"/>
      <w:bookmarkStart w:id="256" w:name="_Toc19074"/>
      <w:bookmarkStart w:id="257" w:name="_Toc26182"/>
      <w:r>
        <w:rPr>
          <w:rFonts w:hint="eastAsia" w:ascii="宋体" w:hAnsi="宋体" w:eastAsia="宋体" w:cs="宋体"/>
          <w:b/>
          <w:color w:val="auto"/>
          <w:sz w:val="24"/>
          <w:szCs w:val="24"/>
          <w:highlight w:val="none"/>
        </w:rPr>
        <w:t>2.</w:t>
      </w:r>
      <w:bookmarkEnd w:id="247"/>
      <w:bookmarkEnd w:id="248"/>
      <w:bookmarkEnd w:id="249"/>
      <w:bookmarkEnd w:id="250"/>
      <w:bookmarkEnd w:id="251"/>
      <w:bookmarkEnd w:id="252"/>
      <w:bookmarkEnd w:id="253"/>
      <w:bookmarkEnd w:id="254"/>
      <w:r>
        <w:rPr>
          <w:rFonts w:hint="eastAsia" w:ascii="宋体" w:hAnsi="宋体" w:eastAsia="宋体" w:cs="宋体"/>
          <w:b/>
          <w:color w:val="auto"/>
          <w:sz w:val="24"/>
          <w:szCs w:val="24"/>
          <w:highlight w:val="none"/>
        </w:rPr>
        <w:t>5 履约检查和问题反馈</w:t>
      </w:r>
      <w:bookmarkEnd w:id="255"/>
      <w:bookmarkEnd w:id="256"/>
      <w:bookmarkEnd w:id="257"/>
    </w:p>
    <w:p w14:paraId="5517F1E5">
      <w:pPr>
        <w:spacing w:line="440" w:lineRule="exact"/>
        <w:ind w:firstLine="480" w:firstLineChars="200"/>
        <w:rPr>
          <w:rFonts w:hint="eastAsia" w:ascii="宋体" w:hAnsi="宋体" w:eastAsia="宋体" w:cs="宋体"/>
          <w:color w:val="auto"/>
          <w:sz w:val="24"/>
          <w:szCs w:val="24"/>
          <w:highlight w:val="none"/>
        </w:rPr>
      </w:pPr>
      <w:bookmarkStart w:id="258" w:name="_Ref467379657"/>
      <w:r>
        <w:rPr>
          <w:rFonts w:hint="eastAsia" w:ascii="宋体" w:hAnsi="宋体" w:eastAsia="宋体" w:cs="宋体"/>
          <w:color w:val="auto"/>
          <w:sz w:val="24"/>
          <w:szCs w:val="24"/>
          <w:highlight w:val="none"/>
        </w:rPr>
        <w:t>2.5.1</w:t>
      </w:r>
      <w:bookmarkEnd w:id="258"/>
      <w:bookmarkStart w:id="259" w:name="_Toc186431854"/>
      <w:r>
        <w:rPr>
          <w:rFonts w:hint="eastAsia" w:ascii="宋体" w:hAnsi="宋体" w:eastAsia="宋体" w:cs="宋体"/>
          <w:color w:val="auto"/>
          <w:sz w:val="24"/>
          <w:szCs w:val="24"/>
          <w:highlight w:val="none"/>
        </w:rPr>
        <w:t>甲方有权在其认为必要时，对乙方是否能够按照合同约定交付货物进行履约检查，以确保乙方所交付的货物能够依约满足甲方之项目需求，但不得因履约检查妨碍乙方的正常工作，乙方应予积极配合。</w:t>
      </w:r>
    </w:p>
    <w:p w14:paraId="0F3E7FF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合同履行期间，甲方有权将履行过程中出现的问题反馈给乙方，双方当事人应以书面形式约定需要完善和改进的内容</w:t>
      </w:r>
      <w:bookmarkEnd w:id="259"/>
      <w:bookmarkStart w:id="260" w:name="_Toc186431855"/>
      <w:r>
        <w:rPr>
          <w:rFonts w:hint="eastAsia" w:ascii="宋体" w:hAnsi="宋体" w:eastAsia="宋体" w:cs="宋体"/>
          <w:color w:val="auto"/>
          <w:sz w:val="24"/>
          <w:szCs w:val="24"/>
          <w:highlight w:val="none"/>
        </w:rPr>
        <w:t>。</w:t>
      </w:r>
    </w:p>
    <w:bookmarkEnd w:id="260"/>
    <w:p w14:paraId="6E04553B">
      <w:pPr>
        <w:spacing w:line="440" w:lineRule="exact"/>
        <w:rPr>
          <w:rFonts w:hint="eastAsia" w:ascii="宋体" w:hAnsi="宋体" w:eastAsia="宋体" w:cs="宋体"/>
          <w:b/>
          <w:color w:val="auto"/>
          <w:sz w:val="24"/>
          <w:szCs w:val="24"/>
          <w:highlight w:val="none"/>
        </w:rPr>
      </w:pPr>
      <w:bookmarkStart w:id="261" w:name="_Ref467379852"/>
      <w:bookmarkStart w:id="262" w:name="_Toc259093677"/>
      <w:bookmarkStart w:id="263" w:name="_Ref467379863"/>
      <w:bookmarkStart w:id="264" w:name="_Toc279701248"/>
      <w:bookmarkStart w:id="265" w:name="_Ref467379923"/>
      <w:bookmarkStart w:id="266" w:name="_Toc487900358"/>
      <w:bookmarkStart w:id="267" w:name="_Toc3225"/>
      <w:bookmarkStart w:id="268" w:name="_Toc774"/>
      <w:bookmarkStart w:id="269" w:name="_Toc16110"/>
      <w:r>
        <w:rPr>
          <w:rFonts w:hint="eastAsia" w:ascii="宋体" w:hAnsi="宋体" w:eastAsia="宋体" w:cs="宋体"/>
          <w:b/>
          <w:color w:val="auto"/>
          <w:sz w:val="24"/>
          <w:szCs w:val="24"/>
          <w:highlight w:val="none"/>
        </w:rPr>
        <w:t>2.6 技术资料</w:t>
      </w:r>
      <w:bookmarkEnd w:id="261"/>
      <w:bookmarkEnd w:id="262"/>
      <w:bookmarkEnd w:id="263"/>
      <w:bookmarkEnd w:id="264"/>
      <w:bookmarkEnd w:id="265"/>
      <w:bookmarkEnd w:id="266"/>
      <w:r>
        <w:rPr>
          <w:rFonts w:hint="eastAsia" w:ascii="宋体" w:hAnsi="宋体" w:eastAsia="宋体" w:cs="宋体"/>
          <w:b/>
          <w:color w:val="auto"/>
          <w:sz w:val="24"/>
          <w:szCs w:val="24"/>
          <w:highlight w:val="none"/>
        </w:rPr>
        <w:t>和保密义务</w:t>
      </w:r>
      <w:bookmarkEnd w:id="267"/>
      <w:bookmarkEnd w:id="268"/>
      <w:bookmarkEnd w:id="269"/>
    </w:p>
    <w:p w14:paraId="4C72020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乙方有权依据合同约定和项目需要，向甲方了解有关情况，调阅有关资料等，甲方应予积极配合。</w:t>
      </w:r>
    </w:p>
    <w:p w14:paraId="6DFE917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乙方有义务妥善保管和保护由甲方提供的前款信息和资料等。</w:t>
      </w:r>
    </w:p>
    <w:p w14:paraId="070A619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6BE9F895">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2.7 质量保证</w:t>
      </w:r>
    </w:p>
    <w:p w14:paraId="22F81E3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乙方应建立和完善履行合同的内部质量保证体系，并提供相关内部规章制度给甲方，以便甲方进行监督检查。</w:t>
      </w:r>
    </w:p>
    <w:p w14:paraId="2AE87BC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乙方应保证履行合同的人员数量和素质、软件和硬件设备的配置、场地、环境和设施等满足全面履行合同的要求，并应接受甲方的监督检查。</w:t>
      </w:r>
    </w:p>
    <w:p w14:paraId="085190D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bCs/>
          <w:color w:val="auto"/>
          <w:sz w:val="24"/>
          <w:szCs w:val="24"/>
          <w:highlight w:val="none"/>
        </w:rPr>
        <w:t>其他</w:t>
      </w:r>
      <w:r>
        <w:rPr>
          <w:rFonts w:hint="eastAsia" w:ascii="宋体" w:hAnsi="宋体" w:eastAsia="宋体" w:cs="宋体"/>
          <w:color w:val="auto"/>
          <w:sz w:val="24"/>
          <w:szCs w:val="24"/>
          <w:highlight w:val="none"/>
        </w:rPr>
        <w:t>各项服务承诺指标及所采取的措施符合“招标文件”要求及投标承诺。</w:t>
      </w:r>
    </w:p>
    <w:p w14:paraId="176E9E92">
      <w:pPr>
        <w:spacing w:line="42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2.7.4</w:t>
      </w:r>
      <w:r>
        <w:rPr>
          <w:rFonts w:hint="eastAsia" w:ascii="宋体" w:hAnsi="宋体" w:eastAsia="宋体" w:cs="宋体"/>
          <w:color w:val="auto"/>
          <w:sz w:val="24"/>
          <w:szCs w:val="24"/>
          <w:highlight w:val="none"/>
          <w:lang w:val="zh-CN"/>
        </w:rPr>
        <w:t>除合同特殊条款规定外，合同条款中标的物的质量保证期均自标的物通过最终验收之日起计算，且质量保证期不低于______年。</w:t>
      </w:r>
    </w:p>
    <w:p w14:paraId="534A4C2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小时内维修完毕使货物恢复正常使用或根据甲方要求免费更换新货物。</w:t>
      </w:r>
    </w:p>
    <w:p w14:paraId="40DE6A1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报修电话：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传真号码：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u w:val="single"/>
        </w:rPr>
        <w:t xml:space="preserve">                 </w:t>
      </w:r>
    </w:p>
    <w:p w14:paraId="1CCB049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2.7.6免费保修期内，乙方免收甲方所有费用，包括但不限于零部件费用、人工费、交通费、住宿费等。</w:t>
      </w:r>
    </w:p>
    <w:p w14:paraId="71969A8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2.7.7若在免费保修期内，乙方拒绝维修或迟延维修的，甲方有权自行或委托第三方维修，因此产生的所有费用由乙方承担。</w:t>
      </w:r>
    </w:p>
    <w:p w14:paraId="54463452">
      <w:pPr>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2.7.8免费保修期满后，若甲方要求乙方提供维修的，甲方承担维修所需更换零部件/配件费用，乙方同意按成本价收费。</w:t>
      </w:r>
    </w:p>
    <w:p w14:paraId="6AB8CF32">
      <w:pPr>
        <w:spacing w:line="440" w:lineRule="exact"/>
        <w:rPr>
          <w:rFonts w:hint="eastAsia" w:ascii="宋体" w:hAnsi="宋体" w:eastAsia="宋体" w:cs="宋体"/>
          <w:b/>
          <w:color w:val="auto"/>
          <w:sz w:val="24"/>
          <w:szCs w:val="24"/>
          <w:highlight w:val="none"/>
        </w:rPr>
      </w:pPr>
      <w:bookmarkStart w:id="270" w:name="_Toc17244"/>
      <w:r>
        <w:rPr>
          <w:rFonts w:hint="eastAsia" w:ascii="宋体" w:hAnsi="宋体" w:eastAsia="宋体" w:cs="宋体"/>
          <w:b/>
          <w:color w:val="auto"/>
          <w:sz w:val="24"/>
          <w:szCs w:val="24"/>
          <w:highlight w:val="none"/>
        </w:rPr>
        <w:t xml:space="preserve">2.8 </w:t>
      </w:r>
      <w:bookmarkEnd w:id="270"/>
      <w:bookmarkStart w:id="271" w:name="_Toc7502"/>
      <w:r>
        <w:rPr>
          <w:rFonts w:hint="eastAsia" w:ascii="宋体" w:hAnsi="宋体" w:eastAsia="宋体" w:cs="宋体"/>
          <w:b/>
          <w:color w:val="auto"/>
          <w:sz w:val="24"/>
          <w:szCs w:val="24"/>
          <w:highlight w:val="none"/>
        </w:rPr>
        <w:t>合同变更</w:t>
      </w:r>
      <w:bookmarkEnd w:id="271"/>
    </w:p>
    <w:p w14:paraId="32A3253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2.8.1双方当事人协商一致，可以签订书面补充合同的形式变更合同，但不得违背采购文件确定的事项，且如果系追加与合同标的相同的货物的，那么所有补充合同的采购金额不得超过原合同价的10%。</w:t>
      </w:r>
    </w:p>
    <w:p w14:paraId="63F417F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w:t>
      </w:r>
      <w:r>
        <w:rPr>
          <w:rFonts w:hint="eastAsia" w:ascii="宋体" w:hAnsi="宋体" w:eastAsia="宋体" w:cs="宋体"/>
          <w:bCs/>
          <w:color w:val="auto"/>
          <w:sz w:val="24"/>
          <w:szCs w:val="24"/>
          <w:highlight w:val="none"/>
        </w:rPr>
        <w:t>合同继续履行将损害国家利益和社会公共利益的，甲方有权变更合同。有过错的一方应当承担赔偿责任，双方当事人都有过错的，各自承担相应的责任</w:t>
      </w:r>
      <w:r>
        <w:rPr>
          <w:rFonts w:hint="eastAsia" w:ascii="宋体" w:hAnsi="宋体" w:eastAsia="宋体" w:cs="宋体"/>
          <w:color w:val="auto"/>
          <w:sz w:val="24"/>
          <w:szCs w:val="24"/>
          <w:highlight w:val="none"/>
        </w:rPr>
        <w:t>。</w:t>
      </w:r>
    </w:p>
    <w:p w14:paraId="652EBEF0">
      <w:pPr>
        <w:spacing w:line="440" w:lineRule="exact"/>
        <w:rPr>
          <w:rFonts w:hint="eastAsia" w:ascii="宋体" w:hAnsi="宋体" w:eastAsia="宋体" w:cs="宋体"/>
          <w:b/>
          <w:color w:val="auto"/>
          <w:sz w:val="24"/>
          <w:szCs w:val="24"/>
          <w:highlight w:val="none"/>
        </w:rPr>
      </w:pPr>
      <w:bookmarkStart w:id="272" w:name="_Toc15237"/>
      <w:bookmarkStart w:id="273" w:name="_Toc22955"/>
      <w:bookmarkStart w:id="274" w:name="_Toc10366"/>
      <w:r>
        <w:rPr>
          <w:rFonts w:hint="eastAsia" w:ascii="宋体" w:hAnsi="宋体" w:eastAsia="宋体" w:cs="宋体"/>
          <w:b/>
          <w:color w:val="auto"/>
          <w:sz w:val="24"/>
          <w:szCs w:val="24"/>
          <w:highlight w:val="none"/>
        </w:rPr>
        <w:t>2.9 合同转让和分包</w:t>
      </w:r>
      <w:bookmarkEnd w:id="272"/>
      <w:bookmarkEnd w:id="273"/>
      <w:bookmarkEnd w:id="274"/>
    </w:p>
    <w:p w14:paraId="0EC2006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2C09FCEA">
      <w:pPr>
        <w:spacing w:line="440" w:lineRule="exact"/>
        <w:rPr>
          <w:rFonts w:hint="eastAsia" w:ascii="宋体" w:hAnsi="宋体" w:eastAsia="宋体" w:cs="宋体"/>
          <w:b/>
          <w:color w:val="auto"/>
          <w:sz w:val="24"/>
          <w:szCs w:val="24"/>
          <w:highlight w:val="none"/>
        </w:rPr>
      </w:pPr>
      <w:bookmarkStart w:id="275" w:name="_Toc32494"/>
      <w:bookmarkStart w:id="276" w:name="_Toc4720"/>
      <w:bookmarkStart w:id="277" w:name="_Toc25571"/>
      <w:bookmarkStart w:id="278" w:name="_Toc26633"/>
      <w:bookmarkStart w:id="279" w:name="_Toc14371"/>
      <w:r>
        <w:rPr>
          <w:rFonts w:hint="eastAsia" w:ascii="宋体" w:hAnsi="宋体" w:eastAsia="宋体" w:cs="宋体"/>
          <w:b/>
          <w:color w:val="auto"/>
          <w:sz w:val="24"/>
          <w:szCs w:val="24"/>
          <w:highlight w:val="none"/>
        </w:rPr>
        <w:t>2.10 不可抗力</w:t>
      </w:r>
      <w:bookmarkEnd w:id="275"/>
      <w:bookmarkEnd w:id="276"/>
      <w:bookmarkEnd w:id="277"/>
      <w:bookmarkEnd w:id="278"/>
      <w:bookmarkEnd w:id="279"/>
    </w:p>
    <w:p w14:paraId="0A6571A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2.10.1如果任何一方遭遇法律规定的不可抗力，致使合同履行受阻时，履行合同的期限应予延长，延长的期限应相当于不可抗力所影响的时间。</w:t>
      </w:r>
    </w:p>
    <w:p w14:paraId="64E9DFD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2.10.2 因不可抗力致使不能实现合同目的的，当事人可以解除合同。</w:t>
      </w:r>
    </w:p>
    <w:p w14:paraId="4A14419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2.10.3 因不可抗力致使合同有变更必要的，双方当事人应在</w:t>
      </w:r>
      <w:r>
        <w:rPr>
          <w:rFonts w:hint="eastAsia" w:ascii="宋体" w:hAnsi="宋体" w:eastAsia="宋体" w:cs="宋体"/>
          <w:b/>
          <w:i/>
          <w:color w:val="auto"/>
          <w:sz w:val="24"/>
          <w:szCs w:val="24"/>
          <w:highlight w:val="none"/>
          <w:u w:val="single"/>
        </w:rPr>
        <w:t>7个工作日内</w:t>
      </w:r>
      <w:r>
        <w:rPr>
          <w:rFonts w:hint="eastAsia" w:ascii="宋体" w:hAnsi="宋体" w:eastAsia="宋体" w:cs="宋体"/>
          <w:color w:val="auto"/>
          <w:sz w:val="24"/>
          <w:szCs w:val="24"/>
          <w:highlight w:val="none"/>
        </w:rPr>
        <w:t>以书面形式变更合同。</w:t>
      </w:r>
    </w:p>
    <w:p w14:paraId="657A713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2.10.4受不可抗力影响的一方在不可抗力发生后，应在</w:t>
      </w:r>
      <w:r>
        <w:rPr>
          <w:rFonts w:hint="eastAsia" w:ascii="宋体" w:hAnsi="宋体" w:eastAsia="宋体" w:cs="宋体"/>
          <w:b/>
          <w:i/>
          <w:color w:val="auto"/>
          <w:sz w:val="24"/>
          <w:szCs w:val="24"/>
          <w:highlight w:val="none"/>
          <w:u w:val="single"/>
        </w:rPr>
        <w:t>7个工作日</w:t>
      </w:r>
      <w:r>
        <w:rPr>
          <w:rFonts w:hint="eastAsia" w:ascii="宋体" w:hAnsi="宋体" w:eastAsia="宋体" w:cs="宋体"/>
          <w:color w:val="auto"/>
          <w:sz w:val="24"/>
          <w:szCs w:val="24"/>
          <w:highlight w:val="none"/>
        </w:rPr>
        <w:t>内以书面形式通知对方当事人，并在</w:t>
      </w:r>
      <w:r>
        <w:rPr>
          <w:rFonts w:hint="eastAsia" w:ascii="宋体" w:hAnsi="宋体" w:eastAsia="宋体" w:cs="宋体"/>
          <w:b/>
          <w:i/>
          <w:color w:val="auto"/>
          <w:sz w:val="24"/>
          <w:szCs w:val="24"/>
          <w:highlight w:val="none"/>
          <w:u w:val="single"/>
        </w:rPr>
        <w:t>7个工作日</w:t>
      </w:r>
      <w:r>
        <w:rPr>
          <w:rFonts w:hint="eastAsia" w:ascii="宋体" w:hAnsi="宋体" w:eastAsia="宋体" w:cs="宋体"/>
          <w:color w:val="auto"/>
          <w:sz w:val="24"/>
          <w:szCs w:val="24"/>
          <w:highlight w:val="none"/>
        </w:rPr>
        <w:t>内，将有关部门出具的证明文件送达对方当事人。</w:t>
      </w:r>
      <w:bookmarkStart w:id="280" w:name="_Toc6969"/>
      <w:bookmarkStart w:id="281" w:name="_Toc279701255"/>
      <w:bookmarkStart w:id="282" w:name="_Toc259093684"/>
      <w:bookmarkStart w:id="283" w:name="_Toc689"/>
      <w:bookmarkStart w:id="284" w:name="_Toc30676"/>
      <w:bookmarkStart w:id="285" w:name="_Toc487900365"/>
    </w:p>
    <w:p w14:paraId="4EBE059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2.10.5 任何一方因不可抗力不能履行本合同规定的全部或部分义务，应尽快以书面形式将不可抗力的 情况、原因及对履行本合同的影响等及时通知另一方。同时，遭受不可抗力影响的一方有义务尽可能及时 采取适当或必要措施减少或消除不可抗力的影响，因未尽本义务而造成的相关损失由其承担。 </w:t>
      </w:r>
    </w:p>
    <w:p w14:paraId="59478C4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2.10.6 发生不可抗力事件，任何一方均不对因不可抗力无法履行或迟延履行本合同义务而使另一方蒙 受的任何损失承担责任，法律另有规定的除外。</w:t>
      </w:r>
    </w:p>
    <w:p w14:paraId="4A64639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2.10.7 合同各方应根据不可抗力对本合同履行的影响程度，协商确定是否终止本合同或是继续履行本 合同。</w:t>
      </w:r>
    </w:p>
    <w:p w14:paraId="1D820257">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2.11 税费</w:t>
      </w:r>
      <w:bookmarkEnd w:id="280"/>
      <w:bookmarkEnd w:id="281"/>
      <w:bookmarkEnd w:id="282"/>
      <w:bookmarkEnd w:id="283"/>
      <w:bookmarkEnd w:id="284"/>
      <w:bookmarkEnd w:id="285"/>
    </w:p>
    <w:p w14:paraId="7F25753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与合同有关的一切税费，均按照中华人民共和国法律的相关规定。</w:t>
      </w:r>
    </w:p>
    <w:p w14:paraId="00260A38">
      <w:pPr>
        <w:spacing w:line="440" w:lineRule="exact"/>
        <w:rPr>
          <w:rFonts w:hint="eastAsia" w:ascii="宋体" w:hAnsi="宋体" w:eastAsia="宋体" w:cs="宋体"/>
          <w:b/>
          <w:color w:val="auto"/>
          <w:sz w:val="24"/>
          <w:szCs w:val="24"/>
          <w:highlight w:val="none"/>
        </w:rPr>
      </w:pPr>
      <w:bookmarkStart w:id="286" w:name="_Toc16959"/>
      <w:bookmarkStart w:id="287" w:name="_Toc8298"/>
      <w:bookmarkStart w:id="288" w:name="_Toc279701258"/>
      <w:bookmarkStart w:id="289" w:name="_Toc487900368"/>
      <w:bookmarkStart w:id="290" w:name="_Toc259093687"/>
      <w:bookmarkStart w:id="291" w:name="_Toc7102"/>
      <w:r>
        <w:rPr>
          <w:rFonts w:hint="eastAsia" w:ascii="宋体" w:hAnsi="宋体" w:eastAsia="宋体" w:cs="宋体"/>
          <w:b/>
          <w:color w:val="auto"/>
          <w:sz w:val="24"/>
          <w:szCs w:val="24"/>
          <w:highlight w:val="none"/>
        </w:rPr>
        <w:t>2.12 乙方破产</w:t>
      </w:r>
      <w:bookmarkEnd w:id="286"/>
      <w:bookmarkEnd w:id="287"/>
      <w:bookmarkEnd w:id="288"/>
      <w:bookmarkEnd w:id="289"/>
      <w:bookmarkEnd w:id="290"/>
      <w:bookmarkEnd w:id="291"/>
    </w:p>
    <w:p w14:paraId="7EB982A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07FED334">
      <w:pPr>
        <w:spacing w:line="440" w:lineRule="exact"/>
        <w:rPr>
          <w:rFonts w:hint="eastAsia" w:ascii="宋体" w:hAnsi="宋体" w:eastAsia="宋体" w:cs="宋体"/>
          <w:b/>
          <w:color w:val="auto"/>
          <w:sz w:val="24"/>
          <w:szCs w:val="24"/>
          <w:highlight w:val="none"/>
        </w:rPr>
      </w:pPr>
      <w:bookmarkStart w:id="292" w:name="_Toc15387"/>
      <w:bookmarkStart w:id="293" w:name="_Toc29333"/>
      <w:bookmarkStart w:id="294" w:name="_Toc6134"/>
      <w:r>
        <w:rPr>
          <w:rFonts w:hint="eastAsia" w:ascii="宋体" w:hAnsi="宋体" w:eastAsia="宋体" w:cs="宋体"/>
          <w:b/>
          <w:color w:val="auto"/>
          <w:sz w:val="24"/>
          <w:szCs w:val="24"/>
          <w:highlight w:val="none"/>
        </w:rPr>
        <w:t>2.13 合同中止、终止</w:t>
      </w:r>
      <w:bookmarkEnd w:id="292"/>
      <w:bookmarkEnd w:id="293"/>
      <w:bookmarkEnd w:id="294"/>
    </w:p>
    <w:p w14:paraId="6A01571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2.13.1 双方当事人不得擅自中止或者终止合同。</w:t>
      </w:r>
    </w:p>
    <w:p w14:paraId="672D4C7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2.13.2</w:t>
      </w:r>
      <w:r>
        <w:rPr>
          <w:rFonts w:hint="eastAsia" w:ascii="宋体" w:hAnsi="宋体" w:eastAsia="宋体" w:cs="宋体"/>
          <w:bCs/>
          <w:color w:val="auto"/>
          <w:sz w:val="24"/>
          <w:szCs w:val="24"/>
          <w:highlight w:val="none"/>
        </w:rPr>
        <w:t>合同继续履行将损害国家利益和社会公共利益的，甲方有权中止或者终止、解除合同。有过错的一方应当承担赔偿责任，双方当事人都有过错的，各自承担相应的责任</w:t>
      </w:r>
      <w:r>
        <w:rPr>
          <w:rFonts w:hint="eastAsia" w:ascii="宋体" w:hAnsi="宋体" w:eastAsia="宋体" w:cs="宋体"/>
          <w:color w:val="auto"/>
          <w:sz w:val="24"/>
          <w:szCs w:val="24"/>
          <w:highlight w:val="none"/>
        </w:rPr>
        <w:t>。</w:t>
      </w:r>
    </w:p>
    <w:p w14:paraId="7C5057E3">
      <w:pPr>
        <w:spacing w:line="440" w:lineRule="exact"/>
        <w:rPr>
          <w:rFonts w:hint="eastAsia" w:ascii="宋体" w:hAnsi="宋体" w:eastAsia="宋体" w:cs="宋体"/>
          <w:b/>
          <w:color w:val="auto"/>
          <w:sz w:val="24"/>
          <w:szCs w:val="24"/>
          <w:highlight w:val="none"/>
        </w:rPr>
      </w:pPr>
      <w:bookmarkStart w:id="295" w:name="_Toc6596"/>
      <w:bookmarkStart w:id="296" w:name="_Toc14563"/>
      <w:bookmarkStart w:id="297" w:name="_Toc1125"/>
      <w:r>
        <w:rPr>
          <w:rFonts w:hint="eastAsia" w:ascii="宋体" w:hAnsi="宋体" w:eastAsia="宋体" w:cs="宋体"/>
          <w:b/>
          <w:color w:val="auto"/>
          <w:sz w:val="24"/>
          <w:szCs w:val="24"/>
          <w:highlight w:val="none"/>
        </w:rPr>
        <w:t>2.14 检验和验收</w:t>
      </w:r>
      <w:bookmarkEnd w:id="295"/>
      <w:bookmarkEnd w:id="296"/>
      <w:bookmarkEnd w:id="297"/>
    </w:p>
    <w:p w14:paraId="66FDA3DE">
      <w:pPr>
        <w:spacing w:line="440" w:lineRule="exact"/>
        <w:ind w:firstLine="480" w:firstLineChars="200"/>
        <w:rPr>
          <w:rFonts w:hint="eastAsia" w:ascii="宋体" w:hAnsi="宋体" w:eastAsia="宋体" w:cs="宋体"/>
          <w:color w:val="auto"/>
          <w:sz w:val="24"/>
          <w:szCs w:val="24"/>
          <w:highlight w:val="none"/>
        </w:rPr>
      </w:pPr>
      <w:bookmarkStart w:id="298" w:name="_Toc279701261"/>
      <w:bookmarkStart w:id="299" w:name="_Toc259093690"/>
      <w:bookmarkStart w:id="300" w:name="_Toc487900371"/>
      <w:bookmarkStart w:id="301" w:name="_Toc25198"/>
      <w:bookmarkStart w:id="302" w:name="_Toc2308"/>
      <w:bookmarkStart w:id="303" w:name="_Toc9808"/>
      <w:bookmarkStart w:id="304" w:name="_Toc12666"/>
      <w:bookmarkStart w:id="305" w:name="_Toc31892"/>
      <w:r>
        <w:rPr>
          <w:rFonts w:hint="eastAsia" w:ascii="宋体" w:hAnsi="宋体" w:eastAsia="宋体" w:cs="宋体"/>
          <w:color w:val="auto"/>
          <w:sz w:val="24"/>
          <w:szCs w:val="24"/>
          <w:highlight w:val="none"/>
        </w:rPr>
        <w:t>2.14.1 交付前验收货物交付前，乙方应对货物的质量、数量等方面进行详细、全面的检验，并向甲方出具证明货物符合 合同约定的文件；</w:t>
      </w:r>
    </w:p>
    <w:p w14:paraId="43CA45E8">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2.14.2 到货验收</w:t>
      </w:r>
    </w:p>
    <w:p w14:paraId="0F23C29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①货物全部到达甲方指定地点后，甲乙双方应派员共同对货物当场开箱验收，如乙方不能按时到达现 场又无电函通知的，甲方有权开箱检验。货物交付时，乙方在甲乙双方约定时间内组织验收，并可依法邀 请相关方参加，验收应出具验收书。 </w:t>
      </w:r>
    </w:p>
    <w:p w14:paraId="4B76A75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②乙方交付的货物应当完全符合本合同及招投标文件所规定的货物、数量和规格要求。乙方提供的货 物不符合合同及招投标文件规定及甲方要求的，甲方有权拒收货物，并由乙方承担相应的违约责任。</w:t>
      </w:r>
    </w:p>
    <w:p w14:paraId="71394B0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③乙方应将所提供货物的装箱清单、用户手册、原厂保修卡、随机资料及配件、随机工具、质量合格 凭证、有效进口证明文件等交付给甲方；乙方不能完整交付上述规定的资料和工具的，视为未按合同约定 交货，乙方负责补齐，因此导致逾期交付的，由乙方承担相应的违约责任。</w:t>
      </w:r>
    </w:p>
    <w:p w14:paraId="1A23124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④甲方有关货物质量、规格、性能、数量或重量的检验不应视为最终检验。 </w:t>
      </w:r>
    </w:p>
    <w:p w14:paraId="1842F91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2.14.3 最终验收</w:t>
      </w:r>
    </w:p>
    <w:p w14:paraId="5C141E7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①货物安装调试结束并取得质量监督部门验收合格证后，乙方应先用书面、电传等方式通告甲方及时对项目进行最终验收，甲方有权依法邀请国家认可的质量检测机构参加交付验收。即：按照合同约定的技 术、服务、安全标准，组织对每一项技术、服务、安全标准的履约情况的验收，验收合格的，由甲方签署 验收单并加盖单位公章。检验和验收标准、程序等具体内容以及前述验收书的效力由甲乙双方约定。</w:t>
      </w:r>
    </w:p>
    <w:p w14:paraId="25343DA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②设备验收包括：数量、外观、质量、性能、质保单、包装和乙方承诺及甲方要求的其它指标。</w:t>
      </w:r>
    </w:p>
    <w:p w14:paraId="43A13AE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③如验收不合格或在质量保证期内发现货物是不合格的，包括货物有明显的或潜在的缺陷、使用不符 合要求的材料、运行效果达不到要求等，甲方有权提出书面异议，甲方向乙方提出书面异议后，乙方应在 甲方书面异议中限定的时间内根据甲方的要求进行调换或采取其他甲方同意的补救措施。由此产生的一切 费用包括但不限于拆卸/搬运/运输/保管费用及责任等均由乙方承担。</w:t>
      </w:r>
    </w:p>
    <w:p w14:paraId="521FDD7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④验收标准应遵循国家相关标准、行业通行标准、厂方出厂标准、招标文件要求和乙方投标文件的承 诺、甲方要求等。根据招标书要求及有关规定由招标代理机构、采购人到场，并按国家标准进行验收。</w:t>
      </w:r>
    </w:p>
    <w:p w14:paraId="63298183">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2.15 通知</w:t>
      </w:r>
      <w:bookmarkEnd w:id="298"/>
      <w:bookmarkEnd w:id="299"/>
      <w:bookmarkEnd w:id="300"/>
      <w:r>
        <w:rPr>
          <w:rFonts w:hint="eastAsia" w:ascii="宋体" w:hAnsi="宋体" w:eastAsia="宋体" w:cs="宋体"/>
          <w:b/>
          <w:color w:val="auto"/>
          <w:sz w:val="24"/>
          <w:szCs w:val="24"/>
          <w:highlight w:val="none"/>
        </w:rPr>
        <w:t>和送达</w:t>
      </w:r>
      <w:bookmarkEnd w:id="301"/>
      <w:bookmarkEnd w:id="302"/>
      <w:bookmarkEnd w:id="303"/>
      <w:bookmarkEnd w:id="304"/>
      <w:bookmarkEnd w:id="305"/>
    </w:p>
    <w:p w14:paraId="3CC1E36B">
      <w:pPr>
        <w:spacing w:line="440" w:lineRule="exact"/>
        <w:ind w:firstLine="480" w:firstLineChars="200"/>
        <w:rPr>
          <w:rFonts w:hint="eastAsia" w:ascii="宋体" w:hAnsi="宋体" w:eastAsia="宋体" w:cs="宋体"/>
          <w:color w:val="auto"/>
          <w:sz w:val="24"/>
          <w:szCs w:val="24"/>
          <w:highlight w:val="none"/>
        </w:rPr>
      </w:pPr>
      <w:bookmarkStart w:id="306" w:name="_Toc29220"/>
      <w:bookmarkStart w:id="307" w:name="_Toc7073"/>
      <w:bookmarkStart w:id="308" w:name="_Toc279701262"/>
      <w:bookmarkStart w:id="309" w:name="_Toc259093691"/>
      <w:bookmarkStart w:id="310" w:name="_Toc487900372"/>
      <w:r>
        <w:rPr>
          <w:rFonts w:hint="eastAsia" w:ascii="宋体" w:hAnsi="宋体" w:eastAsia="宋体" w:cs="宋体"/>
          <w:color w:val="auto"/>
          <w:sz w:val="24"/>
          <w:szCs w:val="24"/>
          <w:highlight w:val="none"/>
        </w:rPr>
        <w:t>2.15.1 任何一方因履行合同而以合同第一部分尾部所列明的</w:t>
      </w:r>
      <w:r>
        <w:rPr>
          <w:rFonts w:hint="eastAsia" w:ascii="宋体" w:hAnsi="宋体" w:eastAsia="宋体" w:cs="宋体"/>
          <w:b/>
          <w:i/>
          <w:color w:val="auto"/>
          <w:sz w:val="24"/>
          <w:szCs w:val="24"/>
          <w:highlight w:val="none"/>
          <w:u w:val="single"/>
        </w:rPr>
        <w:t>内容</w:t>
      </w:r>
      <w:r>
        <w:rPr>
          <w:rFonts w:hint="eastAsia" w:ascii="宋体" w:hAnsi="宋体" w:eastAsia="宋体" w:cs="宋体"/>
          <w:color w:val="auto"/>
          <w:sz w:val="24"/>
          <w:szCs w:val="24"/>
          <w:highlight w:val="none"/>
        </w:rPr>
        <w:t>发出的所有通知、文件、材料，均视为已向对方当事人送达；任何一方变更上述送达方式或者地址的，应于</w:t>
      </w:r>
      <w:r>
        <w:rPr>
          <w:rFonts w:hint="eastAsia" w:ascii="宋体" w:hAnsi="宋体" w:eastAsia="宋体" w:cs="宋体"/>
          <w:b/>
          <w:i/>
          <w:color w:val="auto"/>
          <w:sz w:val="24"/>
          <w:szCs w:val="24"/>
          <w:highlight w:val="none"/>
          <w:u w:val="single"/>
        </w:rPr>
        <w:t>5个工作日</w:t>
      </w:r>
      <w:r>
        <w:rPr>
          <w:rFonts w:hint="eastAsia" w:ascii="宋体" w:hAnsi="宋体" w:eastAsia="宋体" w:cs="宋体"/>
          <w:color w:val="auto"/>
          <w:sz w:val="24"/>
          <w:szCs w:val="24"/>
          <w:highlight w:val="none"/>
        </w:rPr>
        <w:t>内书面通知对方当事人，在对方当事人收到有关变更通知之前，变更前的约定送达方式或者地址仍视为有效。</w:t>
      </w:r>
      <w:bookmarkEnd w:id="306"/>
      <w:bookmarkEnd w:id="307"/>
    </w:p>
    <w:p w14:paraId="417FA28E">
      <w:pPr>
        <w:spacing w:line="440" w:lineRule="exact"/>
        <w:ind w:firstLine="480" w:firstLineChars="200"/>
        <w:rPr>
          <w:rFonts w:hint="eastAsia" w:ascii="宋体" w:hAnsi="宋体" w:eastAsia="宋体" w:cs="宋体"/>
          <w:color w:val="auto"/>
          <w:sz w:val="24"/>
          <w:szCs w:val="24"/>
          <w:highlight w:val="none"/>
        </w:rPr>
      </w:pPr>
      <w:bookmarkStart w:id="311" w:name="_Toc27674"/>
      <w:bookmarkStart w:id="312" w:name="_Toc18401"/>
      <w:r>
        <w:rPr>
          <w:rFonts w:hint="eastAsia" w:ascii="宋体" w:hAnsi="宋体" w:eastAsia="宋体" w:cs="宋体"/>
          <w:color w:val="auto"/>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1"/>
      <w:bookmarkEnd w:id="312"/>
    </w:p>
    <w:bookmarkEnd w:id="308"/>
    <w:bookmarkEnd w:id="309"/>
    <w:bookmarkEnd w:id="310"/>
    <w:p w14:paraId="331AEF25">
      <w:pPr>
        <w:spacing w:line="440" w:lineRule="exact"/>
        <w:rPr>
          <w:rFonts w:hint="eastAsia" w:ascii="宋体" w:hAnsi="宋体" w:eastAsia="宋体" w:cs="宋体"/>
          <w:b/>
          <w:color w:val="auto"/>
          <w:sz w:val="24"/>
          <w:szCs w:val="24"/>
          <w:highlight w:val="none"/>
        </w:rPr>
      </w:pPr>
      <w:bookmarkStart w:id="313" w:name="_Toc30599"/>
      <w:bookmarkStart w:id="314" w:name="_Toc18540"/>
      <w:bookmarkStart w:id="315" w:name="_Toc4355"/>
      <w:r>
        <w:rPr>
          <w:rFonts w:hint="eastAsia" w:ascii="宋体" w:hAnsi="宋体" w:eastAsia="宋体" w:cs="宋体"/>
          <w:b/>
          <w:color w:val="auto"/>
          <w:sz w:val="24"/>
          <w:szCs w:val="24"/>
          <w:highlight w:val="none"/>
        </w:rPr>
        <w:t>2.16 计量单位</w:t>
      </w:r>
      <w:bookmarkEnd w:id="313"/>
      <w:bookmarkEnd w:id="314"/>
      <w:bookmarkEnd w:id="315"/>
    </w:p>
    <w:p w14:paraId="3AAB46B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除技术规范中另有规定外，合同的计量单位均使用国家法定计量单位。</w:t>
      </w:r>
    </w:p>
    <w:p w14:paraId="547D9E42">
      <w:pPr>
        <w:spacing w:line="440" w:lineRule="exact"/>
        <w:rPr>
          <w:rFonts w:hint="eastAsia" w:ascii="宋体" w:hAnsi="宋体" w:eastAsia="宋体" w:cs="宋体"/>
          <w:b/>
          <w:color w:val="auto"/>
          <w:sz w:val="24"/>
          <w:highlight w:val="none"/>
        </w:rPr>
      </w:pPr>
      <w:bookmarkStart w:id="316" w:name="_Toc10330"/>
      <w:bookmarkStart w:id="317" w:name="_Toc487900373"/>
      <w:bookmarkStart w:id="318" w:name="_Toc12773"/>
      <w:bookmarkStart w:id="319" w:name="_Toc18567"/>
      <w:bookmarkStart w:id="320" w:name="_Toc279701263"/>
      <w:bookmarkStart w:id="321" w:name="_Toc259093692"/>
      <w:r>
        <w:rPr>
          <w:rFonts w:hint="eastAsia" w:ascii="宋体" w:hAnsi="宋体" w:eastAsia="宋体" w:cs="宋体"/>
          <w:b/>
          <w:color w:val="auto"/>
          <w:sz w:val="24"/>
          <w:highlight w:val="none"/>
        </w:rPr>
        <w:t>2.17 合同使用的文字和适用的法律</w:t>
      </w:r>
      <w:bookmarkEnd w:id="316"/>
      <w:bookmarkEnd w:id="317"/>
      <w:bookmarkEnd w:id="318"/>
      <w:bookmarkEnd w:id="319"/>
      <w:bookmarkEnd w:id="320"/>
      <w:bookmarkEnd w:id="321"/>
    </w:p>
    <w:p w14:paraId="359C64B9">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.1 合同使用汉语书就、变更和解释。</w:t>
      </w:r>
    </w:p>
    <w:p w14:paraId="66CFB270">
      <w:pP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.2 合同适用中华人民共和国法律。</w:t>
      </w:r>
    </w:p>
    <w:p w14:paraId="4BCEBFED">
      <w:pPr>
        <w:spacing w:line="440" w:lineRule="exact"/>
        <w:rPr>
          <w:rFonts w:hint="eastAsia" w:ascii="宋体" w:hAnsi="宋体" w:eastAsia="宋体" w:cs="宋体"/>
          <w:b/>
          <w:color w:val="auto"/>
          <w:sz w:val="24"/>
          <w:highlight w:val="none"/>
        </w:rPr>
      </w:pPr>
      <w:bookmarkStart w:id="322" w:name="_Toc27127"/>
      <w:bookmarkStart w:id="323" w:name="_Toc279701264"/>
      <w:bookmarkStart w:id="324" w:name="_Toc27403"/>
      <w:bookmarkStart w:id="325" w:name="_Toc259093693"/>
      <w:bookmarkStart w:id="326" w:name="_Toc30096"/>
      <w:bookmarkStart w:id="327" w:name="_Toc22266"/>
      <w:bookmarkStart w:id="328" w:name="_Toc1492"/>
      <w:bookmarkStart w:id="329" w:name="_Toc487900374"/>
      <w:r>
        <w:rPr>
          <w:rFonts w:hint="eastAsia" w:ascii="宋体" w:hAnsi="宋体" w:eastAsia="宋体" w:cs="宋体"/>
          <w:b/>
          <w:color w:val="auto"/>
          <w:sz w:val="24"/>
          <w:highlight w:val="none"/>
        </w:rPr>
        <w:t>2.18 履约保证金</w:t>
      </w:r>
      <w:bookmarkEnd w:id="322"/>
      <w:bookmarkEnd w:id="323"/>
      <w:bookmarkEnd w:id="324"/>
      <w:bookmarkEnd w:id="325"/>
      <w:bookmarkEnd w:id="326"/>
      <w:bookmarkEnd w:id="327"/>
      <w:bookmarkEnd w:id="328"/>
    </w:p>
    <w:p w14:paraId="3E8CC3D8">
      <w:pPr>
        <w:autoSpaceDE w:val="0"/>
        <w:autoSpaceDN w:val="0"/>
        <w:adjustRightInd w:val="0"/>
        <w:spacing w:line="440" w:lineRule="exact"/>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w:t>
      </w:r>
      <w:r>
        <w:rPr>
          <w:rFonts w:hint="eastAsia" w:ascii="宋体" w:hAnsi="宋体" w:cs="宋体"/>
          <w:color w:val="auto"/>
          <w:sz w:val="24"/>
          <w:highlight w:val="none"/>
          <w:lang w:val="en-US" w:eastAsia="zh-CN"/>
        </w:rPr>
        <w:t>18</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 xml:space="preserve"> 本项目不收取履约保证金。</w:t>
      </w:r>
    </w:p>
    <w:bookmarkEnd w:id="329"/>
    <w:p w14:paraId="0FCBDB3E">
      <w:pPr>
        <w:spacing w:line="440" w:lineRule="exact"/>
        <w:jc w:val="center"/>
        <w:rPr>
          <w:rFonts w:hint="eastAsia" w:ascii="宋体" w:hAnsi="宋体" w:eastAsia="宋体" w:cs="宋体"/>
          <w:b/>
          <w:color w:val="auto"/>
          <w:sz w:val="28"/>
          <w:szCs w:val="28"/>
          <w:highlight w:val="none"/>
        </w:rPr>
      </w:pPr>
    </w:p>
    <w:p w14:paraId="285870A1">
      <w:pPr>
        <w:spacing w:line="44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第三部分  合同专用条款</w:t>
      </w:r>
    </w:p>
    <w:p w14:paraId="75711BBD">
      <w:pPr>
        <w:widowControl/>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38"/>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62"/>
        <w:gridCol w:w="8505"/>
      </w:tblGrid>
      <w:tr w14:paraId="2F847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162" w:type="dxa"/>
            <w:tcBorders>
              <w:left w:val="single" w:color="auto" w:sz="4" w:space="0"/>
            </w:tcBorders>
            <w:vAlign w:val="center"/>
          </w:tcPr>
          <w:p w14:paraId="353F7390">
            <w:pPr>
              <w:widowControl/>
              <w:spacing w:line="48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w:t>
            </w:r>
          </w:p>
        </w:tc>
        <w:tc>
          <w:tcPr>
            <w:tcW w:w="8505" w:type="dxa"/>
            <w:vAlign w:val="center"/>
          </w:tcPr>
          <w:p w14:paraId="1D6F5199">
            <w:pPr>
              <w:widowControl/>
              <w:spacing w:line="48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约定内容</w:t>
            </w:r>
          </w:p>
        </w:tc>
      </w:tr>
      <w:tr w14:paraId="0BD71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7812755F">
            <w:pPr>
              <w:widowControl/>
              <w:spacing w:line="480" w:lineRule="exact"/>
              <w:jc w:val="center"/>
              <w:rPr>
                <w:rFonts w:hint="eastAsia" w:ascii="宋体" w:hAnsi="宋体" w:eastAsia="宋体" w:cs="宋体"/>
                <w:bCs/>
                <w:color w:val="auto"/>
                <w:sz w:val="24"/>
                <w:szCs w:val="24"/>
                <w:highlight w:val="none"/>
              </w:rPr>
            </w:pPr>
          </w:p>
        </w:tc>
        <w:tc>
          <w:tcPr>
            <w:tcW w:w="8505" w:type="dxa"/>
            <w:vAlign w:val="center"/>
          </w:tcPr>
          <w:p w14:paraId="381E76C3">
            <w:pPr>
              <w:widowControl/>
              <w:rPr>
                <w:rFonts w:hint="eastAsia" w:ascii="宋体" w:hAnsi="宋体" w:eastAsia="宋体" w:cs="宋体"/>
                <w:color w:val="auto"/>
                <w:sz w:val="24"/>
                <w:szCs w:val="24"/>
                <w:highlight w:val="none"/>
              </w:rPr>
            </w:pPr>
          </w:p>
        </w:tc>
      </w:tr>
      <w:tr w14:paraId="02B9B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6179B229">
            <w:pPr>
              <w:widowControl/>
              <w:spacing w:line="480" w:lineRule="exact"/>
              <w:jc w:val="center"/>
              <w:rPr>
                <w:rFonts w:hint="eastAsia" w:ascii="宋体" w:hAnsi="宋体" w:eastAsia="宋体" w:cs="宋体"/>
                <w:bCs/>
                <w:color w:val="auto"/>
                <w:sz w:val="24"/>
                <w:szCs w:val="24"/>
                <w:highlight w:val="none"/>
              </w:rPr>
            </w:pPr>
          </w:p>
        </w:tc>
        <w:tc>
          <w:tcPr>
            <w:tcW w:w="8505" w:type="dxa"/>
            <w:vAlign w:val="center"/>
          </w:tcPr>
          <w:p w14:paraId="42412FD6">
            <w:pPr>
              <w:widowControl/>
              <w:spacing w:line="420" w:lineRule="exact"/>
              <w:rPr>
                <w:rFonts w:hint="eastAsia" w:ascii="宋体" w:hAnsi="宋体" w:eastAsia="宋体" w:cs="宋体"/>
                <w:color w:val="auto"/>
                <w:sz w:val="24"/>
                <w:szCs w:val="24"/>
                <w:highlight w:val="none"/>
              </w:rPr>
            </w:pPr>
          </w:p>
        </w:tc>
      </w:tr>
    </w:tbl>
    <w:p w14:paraId="292497D2">
      <w:pPr>
        <w:widowControl/>
        <w:autoSpaceDE w:val="0"/>
        <w:autoSpaceDN w:val="0"/>
        <w:adjustRightInd w:val="0"/>
        <w:spacing w:line="440" w:lineRule="exact"/>
        <w:rPr>
          <w:rFonts w:hint="eastAsia" w:ascii="宋体" w:hAnsi="宋体" w:eastAsia="宋体" w:cs="宋体"/>
          <w:bCs/>
          <w:color w:val="auto"/>
          <w:sz w:val="24"/>
          <w:szCs w:val="24"/>
          <w:highlight w:val="none"/>
        </w:rPr>
      </w:pPr>
    </w:p>
    <w:p w14:paraId="5D1FB777">
      <w:pPr>
        <w:widowControl/>
        <w:autoSpaceDE w:val="0"/>
        <w:autoSpaceDN w:val="0"/>
        <w:adjustRightInd w:val="0"/>
        <w:spacing w:line="44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甲方（盖章）：                         乙方（盖章）：</w:t>
      </w:r>
    </w:p>
    <w:p w14:paraId="0B3ACCB6">
      <w:pPr>
        <w:widowControl/>
        <w:autoSpaceDE w:val="0"/>
        <w:autoSpaceDN w:val="0"/>
        <w:adjustRightInd w:val="0"/>
        <w:spacing w:line="44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法定代表人（签名）：                   法定代表人（签名）：</w:t>
      </w:r>
    </w:p>
    <w:p w14:paraId="207B7562">
      <w:pPr>
        <w:widowControl/>
        <w:autoSpaceDE w:val="0"/>
        <w:autoSpaceDN w:val="0"/>
        <w:adjustRightInd w:val="0"/>
        <w:spacing w:line="44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或委托代理人（签名）：                 或委托代理人（签名）：</w:t>
      </w:r>
    </w:p>
    <w:p w14:paraId="4A4B0ABE">
      <w:pPr>
        <w:widowControl/>
        <w:autoSpaceDE w:val="0"/>
        <w:autoSpaceDN w:val="0"/>
        <w:adjustRightInd w:val="0"/>
        <w:spacing w:line="44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联系人：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 联系人：</w:t>
      </w:r>
    </w:p>
    <w:p w14:paraId="2612C581">
      <w:pPr>
        <w:widowControl/>
        <w:autoSpaceDE w:val="0"/>
        <w:autoSpaceDN w:val="0"/>
        <w:adjustRightInd w:val="0"/>
        <w:spacing w:line="44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地址：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地址：</w:t>
      </w:r>
    </w:p>
    <w:p w14:paraId="0547E5D5">
      <w:pPr>
        <w:widowControl/>
        <w:autoSpaceDE w:val="0"/>
        <w:autoSpaceDN w:val="0"/>
        <w:adjustRightInd w:val="0"/>
        <w:spacing w:line="44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电话：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电话：</w:t>
      </w:r>
    </w:p>
    <w:p w14:paraId="5526AC3C">
      <w:pPr>
        <w:widowControl/>
        <w:autoSpaceDE w:val="0"/>
        <w:autoSpaceDN w:val="0"/>
        <w:adjustRightInd w:val="0"/>
        <w:spacing w:line="44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传真：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传真：</w:t>
      </w:r>
    </w:p>
    <w:p w14:paraId="3E31C99E">
      <w:pPr>
        <w:widowControl/>
        <w:autoSpaceDE w:val="0"/>
        <w:autoSpaceDN w:val="0"/>
        <w:adjustRightInd w:val="0"/>
        <w:spacing w:line="44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开户银行：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开户银行：</w:t>
      </w:r>
    </w:p>
    <w:p w14:paraId="6D628C2C">
      <w:pPr>
        <w:widowControl/>
        <w:autoSpaceDE w:val="0"/>
        <w:autoSpaceDN w:val="0"/>
        <w:adjustRightInd w:val="0"/>
        <w:spacing w:line="44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银行账号：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银行账号：</w:t>
      </w:r>
    </w:p>
    <w:p w14:paraId="17B2DD01">
      <w:pPr>
        <w:widowControl/>
        <w:autoSpaceDE w:val="0"/>
        <w:autoSpaceDN w:val="0"/>
        <w:adjustRightInd w:val="0"/>
        <w:spacing w:line="44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社会统一信用代码:                      社会统一信用代码：</w:t>
      </w:r>
    </w:p>
    <w:p w14:paraId="709F7D90">
      <w:pPr>
        <w:keepNext/>
        <w:ind w:firstLine="880"/>
        <w:jc w:val="center"/>
        <w:outlineLvl w:val="0"/>
        <w:rPr>
          <w:rFonts w:hint="eastAsia" w:ascii="宋体" w:hAnsi="宋体" w:eastAsia="宋体" w:cs="宋体"/>
          <w:b/>
          <w:bCs/>
          <w:color w:val="auto"/>
          <w:sz w:val="40"/>
          <w:szCs w:val="40"/>
          <w:highlight w:val="none"/>
        </w:rPr>
      </w:pPr>
      <w:r>
        <w:rPr>
          <w:rFonts w:hint="eastAsia" w:ascii="宋体" w:hAnsi="宋体" w:eastAsia="宋体" w:cs="宋体"/>
          <w:bCs/>
          <w:color w:val="auto"/>
          <w:sz w:val="44"/>
          <w:szCs w:val="21"/>
          <w:highlight w:val="none"/>
        </w:rPr>
        <w:br w:type="page" w:clear="all"/>
      </w:r>
      <w:bookmarkStart w:id="330" w:name="_Toc31128"/>
      <w:r>
        <w:rPr>
          <w:rFonts w:hint="eastAsia" w:ascii="宋体" w:hAnsi="宋体" w:eastAsia="宋体" w:cs="宋体"/>
          <w:b/>
          <w:bCs/>
          <w:color w:val="auto"/>
          <w:sz w:val="40"/>
          <w:szCs w:val="40"/>
          <w:highlight w:val="none"/>
        </w:rPr>
        <w:t>第</w:t>
      </w:r>
      <w:bookmarkEnd w:id="174"/>
      <w:r>
        <w:rPr>
          <w:rFonts w:hint="eastAsia" w:ascii="宋体" w:hAnsi="宋体" w:eastAsia="宋体" w:cs="宋体"/>
          <w:b/>
          <w:bCs/>
          <w:color w:val="auto"/>
          <w:sz w:val="40"/>
          <w:szCs w:val="40"/>
          <w:highlight w:val="none"/>
        </w:rPr>
        <w:t>四章  采购需求</w:t>
      </w:r>
      <w:bookmarkEnd w:id="175"/>
      <w:bookmarkEnd w:id="176"/>
      <w:bookmarkEnd w:id="177"/>
      <w:bookmarkEnd w:id="330"/>
    </w:p>
    <w:p w14:paraId="2221EB5A">
      <w:pPr>
        <w:autoSpaceDE w:val="0"/>
        <w:autoSpaceDN w:val="0"/>
        <w:adjustRightInd w:val="0"/>
        <w:spacing w:line="440" w:lineRule="exact"/>
        <w:rPr>
          <w:rFonts w:hint="eastAsia" w:ascii="宋体" w:hAnsi="宋体" w:eastAsia="宋体" w:cs="宋体"/>
          <w:b/>
          <w:bCs/>
          <w:color w:val="auto"/>
          <w:sz w:val="28"/>
          <w:szCs w:val="28"/>
          <w:highlight w:val="none"/>
          <w:lang w:val="zh-CN"/>
        </w:rPr>
      </w:pPr>
      <w:bookmarkStart w:id="331" w:name="_Toc157604637"/>
      <w:bookmarkStart w:id="332" w:name="_Toc120614281"/>
      <w:bookmarkStart w:id="333" w:name="_Toc26554093"/>
      <w:bookmarkStart w:id="334" w:name="_Toc49090575"/>
      <w:r>
        <w:rPr>
          <w:rFonts w:hint="eastAsia" w:ascii="宋体" w:hAnsi="宋体" w:eastAsia="宋体" w:cs="宋体"/>
          <w:b/>
          <w:bCs/>
          <w:color w:val="auto"/>
          <w:sz w:val="28"/>
          <w:szCs w:val="28"/>
          <w:highlight w:val="none"/>
          <w:lang w:val="zh-CN"/>
        </w:rPr>
        <w:t>项目名称：2026年常熟市农作物重大病虫害防控物化补助项目</w:t>
      </w:r>
    </w:p>
    <w:p w14:paraId="7AF7B55E">
      <w:pPr>
        <w:autoSpaceDE w:val="0"/>
        <w:autoSpaceDN w:val="0"/>
        <w:adjustRightInd w:val="0"/>
        <w:spacing w:line="440" w:lineRule="exac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项目编号：</w:t>
      </w:r>
      <w:r>
        <w:rPr>
          <w:rFonts w:hint="eastAsia" w:ascii="宋体" w:hAnsi="宋体" w:cs="宋体"/>
          <w:b/>
          <w:bCs/>
          <w:color w:val="auto"/>
          <w:sz w:val="28"/>
          <w:szCs w:val="28"/>
          <w:highlight w:val="none"/>
          <w:lang w:val="zh-CN"/>
        </w:rPr>
        <w:t>JSZC-320581-SZDS-G2026-0007</w:t>
      </w:r>
    </w:p>
    <w:p w14:paraId="6F8117D7">
      <w:pPr>
        <w:autoSpaceDE w:val="0"/>
        <w:autoSpaceDN w:val="0"/>
        <w:adjustRightInd w:val="0"/>
        <w:spacing w:line="440" w:lineRule="exac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采 购 人：常熟市农业技术推广中心</w:t>
      </w:r>
    </w:p>
    <w:bookmarkEnd w:id="331"/>
    <w:p w14:paraId="0B3CB1F7">
      <w:pPr>
        <w:spacing w:line="440" w:lineRule="exact"/>
        <w:outlineLvl w:val="1"/>
        <w:rPr>
          <w:rFonts w:hint="eastAsia" w:ascii="宋体" w:hAnsi="宋体" w:eastAsia="宋体" w:cs="宋体"/>
          <w:b/>
          <w:bCs/>
          <w:color w:val="auto"/>
          <w:sz w:val="28"/>
          <w:highlight w:val="none"/>
        </w:rPr>
      </w:pPr>
      <w:bookmarkStart w:id="335" w:name="_Toc18785"/>
      <w:bookmarkStart w:id="336" w:name="_Toc132653370"/>
      <w:bookmarkStart w:id="337" w:name="OLE_LINK1"/>
      <w:r>
        <w:rPr>
          <w:rFonts w:hint="eastAsia" w:ascii="宋体" w:hAnsi="宋体" w:eastAsia="宋体" w:cs="宋体"/>
          <w:b/>
          <w:bCs/>
          <w:color w:val="auto"/>
          <w:sz w:val="28"/>
          <w:highlight w:val="none"/>
        </w:rPr>
        <w:t>一、项目说明：</w:t>
      </w:r>
      <w:bookmarkEnd w:id="335"/>
      <w:bookmarkEnd w:id="336"/>
    </w:p>
    <w:p w14:paraId="2EFACB6A">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1、本项目不接受进口产品投标（进口产品是指“通过中国海关报关验放进入中国境内且产自关境外的产品”）。</w:t>
      </w:r>
    </w:p>
    <w:p w14:paraId="65135D5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2、本项目采购内容为</w:t>
      </w:r>
      <w:r>
        <w:rPr>
          <w:rFonts w:hint="eastAsia" w:ascii="宋体" w:hAnsi="宋体" w:eastAsia="宋体" w:cs="宋体"/>
          <w:color w:val="auto"/>
          <w:sz w:val="24"/>
          <w:szCs w:val="24"/>
          <w:highlight w:val="none"/>
          <w:lang w:eastAsia="zh-CN"/>
        </w:rPr>
        <w:t>2026年常熟市农作物重大病虫害防控物化补助项目</w:t>
      </w:r>
      <w:r>
        <w:rPr>
          <w:rFonts w:hint="eastAsia" w:ascii="宋体" w:hAnsi="宋体" w:eastAsia="宋体" w:cs="宋体"/>
          <w:color w:val="auto"/>
          <w:sz w:val="24"/>
          <w:szCs w:val="24"/>
          <w:highlight w:val="none"/>
        </w:rPr>
        <w:t>，主要内容为一批40%甲氧·茚虫威悬浮剂的供货。主要用于小麦、水稻、玉米等农作物重大病虫的监测与防控工作。</w:t>
      </w:r>
    </w:p>
    <w:p w14:paraId="39C61BC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3、投标人应对项目现场进行踏勘，但相关费用须自理。投标人在投标时应充分考虑现场实际情况，采购人不负担因投标人对项目现场情况考虑不周而产生的其他任何费用。</w:t>
      </w:r>
    </w:p>
    <w:p w14:paraId="079BBB41">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4、交货期或交付使用期：接到采购人通知后30日历天内将货物配送至指定地点。</w:t>
      </w:r>
    </w:p>
    <w:p w14:paraId="3C5363C5">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5、交付地点：常熟市范围内。</w:t>
      </w:r>
    </w:p>
    <w:p w14:paraId="1F74007C">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6、付款方式：采购人</w:t>
      </w:r>
      <w:r>
        <w:rPr>
          <w:rFonts w:hint="eastAsia" w:ascii="宋体" w:hAnsi="宋体" w:cs="宋体"/>
          <w:color w:val="auto"/>
          <w:sz w:val="24"/>
          <w:szCs w:val="24"/>
          <w:highlight w:val="none"/>
          <w:lang w:val="en-US" w:eastAsia="zh-CN"/>
        </w:rPr>
        <w:t>在中标人供货验收完成后一个月内，按照实际供货数量向中标人支付货款</w:t>
      </w:r>
      <w:r>
        <w:rPr>
          <w:rFonts w:hint="eastAsia" w:ascii="宋体" w:hAnsi="宋体" w:eastAsia="宋体" w:cs="宋体"/>
          <w:color w:val="auto"/>
          <w:sz w:val="24"/>
          <w:szCs w:val="24"/>
          <w:highlight w:val="none"/>
        </w:rPr>
        <w:t>。</w:t>
      </w:r>
    </w:p>
    <w:p w14:paraId="3998D554">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注：付款前，中标人提供符合采购人要求的同等金额的合法有效发票。否则，采购人有权顺延付款时间，且不承担任何违约及赔偿责任。本项目支付方式支持数字人民币方式。</w:t>
      </w:r>
    </w:p>
    <w:p w14:paraId="21217B71">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不满足上述付款要求的作无效投标处理。</w:t>
      </w:r>
    </w:p>
    <w:p w14:paraId="6043EB29">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7、结算方式：本项目以</w:t>
      </w:r>
      <w:r>
        <w:rPr>
          <w:rFonts w:hint="eastAsia" w:ascii="宋体" w:hAnsi="宋体" w:eastAsia="宋体" w:cs="宋体"/>
          <w:color w:val="auto"/>
          <w:sz w:val="24"/>
          <w:szCs w:val="24"/>
          <w:highlight w:val="none"/>
          <w:lang w:val="en-US" w:eastAsia="zh-CN"/>
        </w:rPr>
        <w:t>单价</w:t>
      </w:r>
      <w:r>
        <w:rPr>
          <w:rFonts w:hint="eastAsia" w:ascii="宋体" w:hAnsi="宋体" w:eastAsia="宋体" w:cs="宋体"/>
          <w:color w:val="auto"/>
          <w:sz w:val="24"/>
          <w:szCs w:val="24"/>
          <w:highlight w:val="none"/>
        </w:rPr>
        <w:t>合同方式结算</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eastAsia="zh-CN"/>
        </w:rPr>
        <w:t>本项目为全额采购</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color w:val="auto"/>
          <w:sz w:val="24"/>
          <w:szCs w:val="24"/>
          <w:highlight w:val="none"/>
          <w:lang w:eastAsia="zh-CN"/>
        </w:rPr>
        <w:t>最终结算金额 = ∑（各分项货物实际</w:t>
      </w:r>
      <w:r>
        <w:rPr>
          <w:rFonts w:hint="eastAsia" w:ascii="宋体" w:hAnsi="宋体" w:eastAsia="宋体" w:cs="宋体"/>
          <w:color w:val="auto"/>
          <w:sz w:val="24"/>
          <w:szCs w:val="24"/>
          <w:highlight w:val="none"/>
          <w:lang w:val="en-US" w:eastAsia="zh-CN"/>
        </w:rPr>
        <w:t>供货</w:t>
      </w:r>
      <w:r>
        <w:rPr>
          <w:rFonts w:hint="eastAsia" w:ascii="宋体" w:hAnsi="宋体" w:eastAsia="宋体" w:cs="宋体"/>
          <w:color w:val="auto"/>
          <w:sz w:val="24"/>
          <w:szCs w:val="24"/>
          <w:highlight w:val="none"/>
          <w:lang w:eastAsia="zh-CN"/>
        </w:rPr>
        <w:t>验收合格数量 × 对应</w:t>
      </w:r>
      <w:r>
        <w:rPr>
          <w:rFonts w:hint="eastAsia" w:ascii="宋体" w:hAnsi="宋体" w:eastAsia="宋体" w:cs="宋体"/>
          <w:color w:val="auto"/>
          <w:sz w:val="24"/>
          <w:szCs w:val="24"/>
          <w:highlight w:val="none"/>
          <w:lang w:val="en-US" w:eastAsia="zh-CN"/>
        </w:rPr>
        <w:t>供货</w:t>
      </w:r>
      <w:r>
        <w:rPr>
          <w:rFonts w:hint="eastAsia" w:ascii="宋体" w:hAnsi="宋体" w:eastAsia="宋体" w:cs="宋体"/>
          <w:color w:val="auto"/>
          <w:sz w:val="24"/>
          <w:szCs w:val="24"/>
          <w:highlight w:val="none"/>
          <w:lang w:eastAsia="zh-CN"/>
        </w:rPr>
        <w:t>单价）</w:t>
      </w:r>
      <w:r>
        <w:rPr>
          <w:rFonts w:hint="eastAsia" w:ascii="宋体" w:hAnsi="宋体" w:eastAsia="宋体" w:cs="宋体"/>
          <w:color w:val="auto"/>
          <w:sz w:val="24"/>
          <w:szCs w:val="24"/>
          <w:highlight w:val="none"/>
        </w:rPr>
        <w:t>。</w:t>
      </w:r>
    </w:p>
    <w:p w14:paraId="1BC920EB">
      <w:pPr>
        <w:spacing w:line="480" w:lineRule="exact"/>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zh-CN"/>
        </w:rPr>
        <w:t>、本项目不得以任何形式进行转包及分包。</w:t>
      </w:r>
    </w:p>
    <w:bookmarkEnd w:id="337"/>
    <w:p w14:paraId="1CC2F4CA">
      <w:pPr>
        <w:autoSpaceDE w:val="0"/>
        <w:autoSpaceDN w:val="0"/>
        <w:adjustRightInd w:val="0"/>
        <w:spacing w:line="440" w:lineRule="exact"/>
        <w:outlineLvl w:val="1"/>
        <w:rPr>
          <w:rFonts w:hint="eastAsia" w:ascii="宋体" w:hAnsi="宋体" w:eastAsia="宋体" w:cs="宋体"/>
          <w:b/>
          <w:bCs/>
          <w:color w:val="auto"/>
          <w:sz w:val="28"/>
          <w:szCs w:val="28"/>
          <w:highlight w:val="none"/>
          <w:lang w:val="zh-CN"/>
        </w:rPr>
      </w:pPr>
      <w:bookmarkStart w:id="338" w:name="_Toc13053"/>
      <w:bookmarkStart w:id="339" w:name="_Toc103781675"/>
      <w:bookmarkStart w:id="340" w:name="_Toc115443342"/>
      <w:bookmarkStart w:id="341" w:name="_Toc132653376"/>
      <w:bookmarkStart w:id="342" w:name="_Toc101375110"/>
      <w:r>
        <w:rPr>
          <w:rFonts w:hint="eastAsia" w:ascii="宋体" w:hAnsi="宋体" w:eastAsia="宋体" w:cs="宋体"/>
          <w:b/>
          <w:bCs/>
          <w:color w:val="auto"/>
          <w:sz w:val="28"/>
          <w:szCs w:val="28"/>
          <w:highlight w:val="none"/>
          <w:lang w:val="zh-CN"/>
        </w:rPr>
        <w:t>二、货物清单及技术规格要求：</w:t>
      </w:r>
      <w:bookmarkEnd w:id="338"/>
    </w:p>
    <w:tbl>
      <w:tblPr>
        <w:tblStyle w:val="38"/>
        <w:tblW w:w="10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842"/>
        <w:gridCol w:w="3491"/>
        <w:gridCol w:w="1159"/>
        <w:gridCol w:w="886"/>
        <w:gridCol w:w="2021"/>
      </w:tblGrid>
      <w:tr w14:paraId="11C92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84" w:type="dxa"/>
            <w:shd w:val="clear" w:color="auto" w:fill="FFFFFF"/>
            <w:vAlign w:val="center"/>
          </w:tcPr>
          <w:p w14:paraId="1335261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842" w:type="dxa"/>
            <w:shd w:val="clear" w:color="auto" w:fill="FFFFFF"/>
            <w:vAlign w:val="center"/>
          </w:tcPr>
          <w:p w14:paraId="70D311F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货物名称</w:t>
            </w:r>
          </w:p>
        </w:tc>
        <w:tc>
          <w:tcPr>
            <w:tcW w:w="3491" w:type="dxa"/>
            <w:shd w:val="clear" w:color="auto" w:fill="FFFFFF"/>
            <w:vAlign w:val="center"/>
          </w:tcPr>
          <w:p w14:paraId="5DF25074">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技术规格要求（含量、规格）</w:t>
            </w:r>
          </w:p>
        </w:tc>
        <w:tc>
          <w:tcPr>
            <w:tcW w:w="1159" w:type="dxa"/>
            <w:shd w:val="clear" w:color="auto" w:fill="FFFFFF"/>
            <w:vAlign w:val="center"/>
          </w:tcPr>
          <w:p w14:paraId="1593B421">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886" w:type="dxa"/>
            <w:shd w:val="clear" w:color="auto" w:fill="FFFFFF"/>
            <w:vAlign w:val="center"/>
          </w:tcPr>
          <w:p w14:paraId="76E28B5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w:t>
            </w:r>
          </w:p>
        </w:tc>
        <w:tc>
          <w:tcPr>
            <w:tcW w:w="2021" w:type="dxa"/>
            <w:shd w:val="clear" w:color="auto" w:fill="FFFFFF"/>
            <w:vAlign w:val="center"/>
          </w:tcPr>
          <w:p w14:paraId="01DC8C78">
            <w:pPr>
              <w:jc w:val="center"/>
              <w:rPr>
                <w:rFonts w:hint="eastAsia" w:ascii="宋体" w:hAnsi="宋体" w:eastAsia="宋体" w:cs="宋体"/>
                <w:b/>
                <w:color w:val="auto"/>
                <w:sz w:val="24"/>
                <w:szCs w:val="24"/>
                <w:highlight w:val="none"/>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单价最高限价</w:t>
            </w:r>
          </w:p>
        </w:tc>
      </w:tr>
      <w:tr w14:paraId="3FA6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84" w:type="dxa"/>
            <w:vAlign w:val="center"/>
          </w:tcPr>
          <w:p w14:paraId="0D804A81">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42" w:type="dxa"/>
            <w:vMerge w:val="restart"/>
            <w:vAlign w:val="center"/>
          </w:tcPr>
          <w:p w14:paraId="7E332B9F">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甲氧·茚虫威</w:t>
            </w:r>
          </w:p>
        </w:tc>
        <w:tc>
          <w:tcPr>
            <w:tcW w:w="3491" w:type="dxa"/>
            <w:vAlign w:val="center"/>
          </w:tcPr>
          <w:p w14:paraId="3A405F8C">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有效成分含量：40%悬浮剂；</w:t>
            </w:r>
          </w:p>
          <w:p w14:paraId="516E9486">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规格：10克/袋。</w:t>
            </w:r>
          </w:p>
        </w:tc>
        <w:tc>
          <w:tcPr>
            <w:tcW w:w="1159" w:type="dxa"/>
            <w:vAlign w:val="center"/>
          </w:tcPr>
          <w:p w14:paraId="3E83528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40630</w:t>
            </w:r>
          </w:p>
        </w:tc>
        <w:tc>
          <w:tcPr>
            <w:tcW w:w="886" w:type="dxa"/>
            <w:vAlign w:val="center"/>
          </w:tcPr>
          <w:p w14:paraId="40D4D65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袋</w:t>
            </w:r>
          </w:p>
        </w:tc>
        <w:tc>
          <w:tcPr>
            <w:tcW w:w="2021" w:type="dxa"/>
            <w:vAlign w:val="center"/>
          </w:tcPr>
          <w:p w14:paraId="7FAB228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元/袋</w:t>
            </w:r>
          </w:p>
        </w:tc>
      </w:tr>
      <w:tr w14:paraId="24685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84" w:type="dxa"/>
            <w:vAlign w:val="center"/>
          </w:tcPr>
          <w:p w14:paraId="506CEFB7">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42" w:type="dxa"/>
            <w:vMerge w:val="continue"/>
            <w:vAlign w:val="center"/>
          </w:tcPr>
          <w:p w14:paraId="067C5F2E">
            <w:pPr>
              <w:autoSpaceDE w:val="0"/>
              <w:autoSpaceDN w:val="0"/>
              <w:adjustRightInd w:val="0"/>
              <w:jc w:val="center"/>
              <w:rPr>
                <w:rFonts w:hint="eastAsia" w:ascii="宋体" w:hAnsi="宋体" w:eastAsia="宋体" w:cs="宋体"/>
                <w:color w:val="auto"/>
                <w:sz w:val="24"/>
                <w:szCs w:val="24"/>
                <w:highlight w:val="none"/>
              </w:rPr>
            </w:pPr>
          </w:p>
        </w:tc>
        <w:tc>
          <w:tcPr>
            <w:tcW w:w="3491" w:type="dxa"/>
            <w:vAlign w:val="center"/>
          </w:tcPr>
          <w:p w14:paraId="70C0A2A1">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有效成分含量：40%悬浮剂；</w:t>
            </w:r>
          </w:p>
          <w:p w14:paraId="48904EC8">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规格：100克/瓶。</w:t>
            </w:r>
          </w:p>
        </w:tc>
        <w:tc>
          <w:tcPr>
            <w:tcW w:w="1159" w:type="dxa"/>
            <w:vAlign w:val="center"/>
          </w:tcPr>
          <w:p w14:paraId="407E47F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36562</w:t>
            </w:r>
          </w:p>
        </w:tc>
        <w:tc>
          <w:tcPr>
            <w:tcW w:w="886" w:type="dxa"/>
            <w:vAlign w:val="center"/>
          </w:tcPr>
          <w:p w14:paraId="710CF39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瓶</w:t>
            </w:r>
          </w:p>
        </w:tc>
        <w:tc>
          <w:tcPr>
            <w:tcW w:w="2021" w:type="dxa"/>
            <w:vAlign w:val="center"/>
          </w:tcPr>
          <w:p w14:paraId="40F246E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.00元/瓶</w:t>
            </w:r>
          </w:p>
        </w:tc>
      </w:tr>
    </w:tbl>
    <w:p w14:paraId="077A5A04">
      <w:pPr>
        <w:spacing w:line="45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注：（1）投标人需按采购人要求供货至指定地点，供货时所提供的货物必须为包装完整、未经使用的原装正品，供货时必须附产品合格证及其他相关资料。</w:t>
      </w:r>
    </w:p>
    <w:p w14:paraId="5C1E7494">
      <w:pPr>
        <w:spacing w:line="45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（2）投标人提供的所有产品均应为非长期库存积压产品。</w:t>
      </w:r>
    </w:p>
    <w:p w14:paraId="2ADB8130">
      <w:pPr>
        <w:spacing w:line="45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（3）由投标人配送的农药，在采购人使用完毕后，投标人应负责回收上述已使用农药的包装（包括空瓶、空袋等），相关费用包含在报价中。</w:t>
      </w:r>
    </w:p>
    <w:p w14:paraId="7ABB2D70">
      <w:pPr>
        <w:spacing w:line="450" w:lineRule="exact"/>
        <w:ind w:firstLine="482" w:firstLineChars="200"/>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上述采购数量仅作为</w:t>
      </w:r>
      <w:r>
        <w:rPr>
          <w:rFonts w:hint="eastAsia" w:ascii="宋体" w:hAnsi="宋体" w:eastAsia="宋体" w:cs="宋体"/>
          <w:b/>
          <w:bCs/>
          <w:color w:val="auto"/>
          <w:sz w:val="24"/>
          <w:szCs w:val="24"/>
          <w:highlight w:val="none"/>
          <w:lang w:val="en-US" w:eastAsia="zh-CN"/>
        </w:rPr>
        <w:t>招标</w:t>
      </w:r>
      <w:r>
        <w:rPr>
          <w:rFonts w:hint="eastAsia" w:ascii="宋体" w:hAnsi="宋体" w:eastAsia="宋体" w:cs="宋体"/>
          <w:b/>
          <w:bCs/>
          <w:color w:val="auto"/>
          <w:sz w:val="24"/>
          <w:szCs w:val="24"/>
          <w:highlight w:val="none"/>
          <w:lang w:eastAsia="zh-CN"/>
        </w:rPr>
        <w:t>预估，每个产品供货</w:t>
      </w:r>
      <w:r>
        <w:rPr>
          <w:rFonts w:hint="eastAsia" w:ascii="宋体" w:hAnsi="宋体" w:eastAsia="宋体" w:cs="宋体"/>
          <w:b/>
          <w:bCs/>
          <w:color w:val="auto"/>
          <w:sz w:val="24"/>
          <w:szCs w:val="24"/>
          <w:highlight w:val="none"/>
          <w:lang w:val="en-US" w:eastAsia="zh-CN"/>
        </w:rPr>
        <w:t>数量（</w:t>
      </w:r>
      <w:r>
        <w:rPr>
          <w:rFonts w:hint="eastAsia" w:ascii="宋体" w:hAnsi="宋体" w:eastAsia="宋体" w:cs="宋体"/>
          <w:b/>
          <w:bCs/>
          <w:color w:val="auto"/>
          <w:sz w:val="24"/>
          <w:szCs w:val="24"/>
          <w:highlight w:val="none"/>
          <w:lang w:eastAsia="zh-CN"/>
        </w:rPr>
        <w:t>实际结算数量</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eastAsia="zh-CN"/>
        </w:rPr>
        <w:t>以最终</w:t>
      </w:r>
      <w:r>
        <w:rPr>
          <w:rFonts w:hint="eastAsia" w:ascii="宋体" w:hAnsi="宋体" w:eastAsia="宋体" w:cs="宋体"/>
          <w:b/>
          <w:bCs/>
          <w:color w:val="auto"/>
          <w:sz w:val="24"/>
          <w:szCs w:val="24"/>
          <w:highlight w:val="none"/>
          <w:lang w:val="en-US" w:eastAsia="zh-CN"/>
        </w:rPr>
        <w:t>供货</w:t>
      </w:r>
      <w:r>
        <w:rPr>
          <w:rFonts w:hint="eastAsia" w:ascii="宋体" w:hAnsi="宋体" w:eastAsia="宋体" w:cs="宋体"/>
          <w:b/>
          <w:bCs/>
          <w:color w:val="auto"/>
          <w:sz w:val="24"/>
          <w:szCs w:val="24"/>
          <w:highlight w:val="none"/>
          <w:lang w:eastAsia="zh-CN"/>
        </w:rPr>
        <w:t>验收</w:t>
      </w:r>
      <w:r>
        <w:rPr>
          <w:rFonts w:hint="eastAsia" w:ascii="宋体" w:hAnsi="宋体" w:eastAsia="宋体" w:cs="宋体"/>
          <w:b/>
          <w:bCs/>
          <w:color w:val="auto"/>
          <w:sz w:val="24"/>
          <w:szCs w:val="24"/>
          <w:highlight w:val="none"/>
          <w:lang w:val="en-US" w:eastAsia="zh-CN"/>
        </w:rPr>
        <w:t>合格</w:t>
      </w:r>
      <w:r>
        <w:rPr>
          <w:rFonts w:hint="eastAsia" w:ascii="宋体" w:hAnsi="宋体" w:eastAsia="宋体" w:cs="宋体"/>
          <w:b/>
          <w:bCs/>
          <w:color w:val="auto"/>
          <w:sz w:val="24"/>
          <w:szCs w:val="24"/>
          <w:highlight w:val="none"/>
          <w:lang w:eastAsia="zh-CN"/>
        </w:rPr>
        <w:t>数量为准。</w:t>
      </w:r>
    </w:p>
    <w:bookmarkEnd w:id="339"/>
    <w:p w14:paraId="2C0C4FB5">
      <w:pPr>
        <w:autoSpaceDE w:val="0"/>
        <w:autoSpaceDN w:val="0"/>
        <w:adjustRightInd w:val="0"/>
        <w:spacing w:line="440" w:lineRule="exact"/>
        <w:outlineLvl w:val="1"/>
        <w:rPr>
          <w:rFonts w:hint="eastAsia" w:ascii="宋体" w:hAnsi="宋体" w:eastAsia="宋体" w:cs="宋体"/>
          <w:b/>
          <w:bCs/>
          <w:color w:val="auto"/>
          <w:sz w:val="28"/>
          <w:szCs w:val="28"/>
          <w:highlight w:val="none"/>
          <w:lang w:val="zh-CN"/>
        </w:rPr>
      </w:pPr>
      <w:bookmarkStart w:id="343" w:name="_Toc19250"/>
      <w:r>
        <w:rPr>
          <w:rFonts w:hint="eastAsia" w:ascii="宋体" w:hAnsi="宋体" w:eastAsia="宋体" w:cs="宋体"/>
          <w:b/>
          <w:bCs/>
          <w:color w:val="auto"/>
          <w:sz w:val="28"/>
          <w:szCs w:val="28"/>
          <w:highlight w:val="none"/>
          <w:lang w:val="zh-CN"/>
        </w:rPr>
        <w:t>三、质量保证和售后服务要求：</w:t>
      </w:r>
      <w:bookmarkEnd w:id="343"/>
    </w:p>
    <w:p w14:paraId="0705070E">
      <w:pPr>
        <w:spacing w:line="43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1、所有货物的质量保证期不少于2年，自该批农药经用户验收合格之日起计算。</w:t>
      </w:r>
    </w:p>
    <w:p w14:paraId="4EFCACA9">
      <w:pPr>
        <w:spacing w:line="43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不符合质量要求的货物或在质量保证期内因货物自身原因出现任何质量问题的货物，投标人应无条件对货物进行更换，由此产生的一切费用由投标人承担。接到用户更换通知，投标人应在2小时内响应并提供上门更换服务。</w:t>
      </w:r>
    </w:p>
    <w:p w14:paraId="569736E3">
      <w:pPr>
        <w:spacing w:line="43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3、投标人应向采购单位的使用人员提供必要的安全规范使用指导。</w:t>
      </w:r>
    </w:p>
    <w:p w14:paraId="1C4BA84A">
      <w:pPr>
        <w:spacing w:line="43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4、如因货物质量原因给采购人造成各项损失的，由投标人承担全部经济和法律责任。</w:t>
      </w:r>
    </w:p>
    <w:p w14:paraId="4A1BD856">
      <w:pPr>
        <w:spacing w:line="440" w:lineRule="exact"/>
        <w:outlineLvl w:val="1"/>
        <w:rPr>
          <w:rFonts w:hint="eastAsia" w:ascii="宋体" w:hAnsi="宋体" w:eastAsia="宋体" w:cs="宋体"/>
          <w:b/>
          <w:bCs/>
          <w:color w:val="auto"/>
          <w:sz w:val="28"/>
          <w:highlight w:val="none"/>
        </w:rPr>
      </w:pPr>
      <w:bookmarkStart w:id="344" w:name="_Toc9123"/>
      <w:r>
        <w:rPr>
          <w:rFonts w:hint="eastAsia" w:ascii="宋体" w:hAnsi="宋体" w:eastAsia="宋体" w:cs="宋体"/>
          <w:b/>
          <w:bCs/>
          <w:color w:val="auto"/>
          <w:sz w:val="28"/>
          <w:highlight w:val="none"/>
        </w:rPr>
        <w:t>四、投标报价要求：</w:t>
      </w:r>
      <w:bookmarkEnd w:id="340"/>
      <w:bookmarkEnd w:id="341"/>
      <w:bookmarkEnd w:id="342"/>
      <w:bookmarkEnd w:id="344"/>
    </w:p>
    <w:p w14:paraId="0C394659">
      <w:pPr>
        <w:spacing w:line="440" w:lineRule="exact"/>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rPr>
        <w:t>1、本项目采购预算为¥1</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0000.00元（人民币壹佰</w:t>
      </w:r>
      <w:r>
        <w:rPr>
          <w:rFonts w:hint="eastAsia" w:ascii="宋体" w:hAnsi="宋体" w:eastAsia="宋体" w:cs="宋体"/>
          <w:b/>
          <w:bCs/>
          <w:color w:val="auto"/>
          <w:sz w:val="24"/>
          <w:szCs w:val="24"/>
          <w:highlight w:val="none"/>
          <w:lang w:val="en-US" w:eastAsia="zh-CN"/>
        </w:rPr>
        <w:t>叁拾</w:t>
      </w:r>
      <w:r>
        <w:rPr>
          <w:rFonts w:hint="eastAsia" w:ascii="宋体" w:hAnsi="宋体" w:eastAsia="宋体" w:cs="宋体"/>
          <w:b/>
          <w:bCs/>
          <w:color w:val="auto"/>
          <w:sz w:val="24"/>
          <w:szCs w:val="24"/>
          <w:highlight w:val="none"/>
        </w:rPr>
        <w:t>万元整）。</w:t>
      </w:r>
      <w:r>
        <w:rPr>
          <w:rFonts w:hint="eastAsia" w:ascii="宋体" w:hAnsi="宋体" w:eastAsia="宋体" w:cs="宋体"/>
          <w:b/>
          <w:bCs/>
          <w:color w:val="auto"/>
          <w:sz w:val="24"/>
          <w:szCs w:val="24"/>
          <w:highlight w:val="none"/>
          <w:lang w:val="zh-CN" w:eastAsia="zh-CN"/>
        </w:rPr>
        <w:t>本项目以优惠率报价，各投标人的投标优惠率均不得低于0%，否则将作无效投标处理。</w:t>
      </w:r>
    </w:p>
    <w:p w14:paraId="5040822B">
      <w:pPr>
        <w:spacing w:line="450" w:lineRule="exact"/>
        <w:ind w:firstLine="482" w:firstLineChars="200"/>
        <w:jc w:val="left"/>
        <w:rPr>
          <w:rFonts w:hint="eastAsia"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lang w:val="zh-CN" w:eastAsia="zh-CN"/>
        </w:rPr>
        <w:t>、每个产品供货单价=对应</w:t>
      </w:r>
      <w:r>
        <w:rPr>
          <w:rFonts w:hint="eastAsia" w:ascii="宋体" w:hAnsi="宋体" w:eastAsia="宋体" w:cs="宋体"/>
          <w:b/>
          <w:bCs/>
          <w:color w:val="auto"/>
          <w:sz w:val="24"/>
          <w:highlight w:val="none"/>
          <w:lang w:val="en-US" w:eastAsia="zh-CN"/>
        </w:rPr>
        <w:t>规格单价最高限价</w:t>
      </w:r>
      <w:r>
        <w:rPr>
          <w:rFonts w:hint="eastAsia" w:ascii="宋体" w:hAnsi="宋体" w:eastAsia="宋体" w:cs="宋体"/>
          <w:b/>
          <w:bCs/>
          <w:color w:val="auto"/>
          <w:sz w:val="24"/>
          <w:highlight w:val="none"/>
          <w:lang w:val="zh-CN" w:eastAsia="zh-CN"/>
        </w:rPr>
        <w:t>×（1-中标优惠率）。</w:t>
      </w:r>
    </w:p>
    <w:p w14:paraId="02C0F168">
      <w:pPr>
        <w:spacing w:line="45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、报价包括货物费、包装费、运输费、装卸费、质量保证费、检测费、保险费、售后服务费、成交服务费、货物本身已支付或将支付的各种税费以及其他交付使用前所产生的所有费用。</w:t>
      </w:r>
    </w:p>
    <w:p w14:paraId="38740F8D">
      <w:pPr>
        <w:spacing w:line="45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请投标人根据自身经验，充分考虑本项目的潜在风险，并自行承担由此而产生的一切费用，采购人不因项目不可预见的情况而支付任何费用。</w:t>
      </w:r>
    </w:p>
    <w:p w14:paraId="202E2477">
      <w:pPr>
        <w:spacing w:line="440" w:lineRule="exact"/>
        <w:outlineLvl w:val="1"/>
        <w:rPr>
          <w:rFonts w:hint="eastAsia" w:ascii="宋体" w:hAnsi="宋体" w:eastAsia="宋体" w:cs="宋体"/>
          <w:b/>
          <w:bCs/>
          <w:color w:val="auto"/>
          <w:sz w:val="28"/>
          <w:highlight w:val="none"/>
        </w:rPr>
      </w:pPr>
      <w:bookmarkStart w:id="345" w:name="_Toc5774"/>
      <w:r>
        <w:rPr>
          <w:rFonts w:hint="eastAsia" w:ascii="宋体" w:hAnsi="宋体" w:eastAsia="宋体" w:cs="宋体"/>
          <w:b/>
          <w:bCs/>
          <w:color w:val="auto"/>
          <w:sz w:val="28"/>
          <w:highlight w:val="none"/>
          <w:lang w:val="en-US" w:eastAsia="zh-CN"/>
        </w:rPr>
        <w:t>五</w:t>
      </w:r>
      <w:r>
        <w:rPr>
          <w:rFonts w:hint="eastAsia" w:ascii="宋体" w:hAnsi="宋体" w:eastAsia="宋体" w:cs="宋体"/>
          <w:b/>
          <w:bCs/>
          <w:color w:val="auto"/>
          <w:sz w:val="28"/>
          <w:highlight w:val="none"/>
        </w:rPr>
        <w:t>、</w:t>
      </w:r>
      <w:r>
        <w:rPr>
          <w:rFonts w:hint="eastAsia" w:ascii="宋体" w:hAnsi="宋体" w:eastAsia="宋体" w:cs="宋体"/>
          <w:b/>
          <w:bCs/>
          <w:color w:val="auto"/>
          <w:sz w:val="28"/>
          <w:highlight w:val="none"/>
          <w:lang w:val="en-US" w:eastAsia="zh-CN"/>
        </w:rPr>
        <w:t>验收</w:t>
      </w:r>
      <w:r>
        <w:rPr>
          <w:rFonts w:hint="eastAsia" w:ascii="宋体" w:hAnsi="宋体" w:eastAsia="宋体" w:cs="宋体"/>
          <w:b/>
          <w:bCs/>
          <w:color w:val="auto"/>
          <w:sz w:val="28"/>
          <w:highlight w:val="none"/>
        </w:rPr>
        <w:t>要求：</w:t>
      </w:r>
      <w:bookmarkEnd w:id="345"/>
    </w:p>
    <w:p w14:paraId="22BD9DF6">
      <w:pPr>
        <w:spacing w:line="45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人提供的货物均应是原装商品，应保证该货物为全新、未使用的原装正品，合格率为100%；同时有具体的规格、含量、明确的生产厂商和原产地，完全符合国家规定的质量标准，供货时必须附产品合格证及其他相关的资料，货物完好。</w:t>
      </w:r>
    </w:p>
    <w:p w14:paraId="36027C56">
      <w:pPr>
        <w:spacing w:line="480" w:lineRule="exact"/>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、运输：按采购人需要供货，中标人自行承担产品包装及运输工作及因此造成的风险。</w:t>
      </w:r>
    </w:p>
    <w:p w14:paraId="3D55743E">
      <w:pPr>
        <w:spacing w:line="480" w:lineRule="exact"/>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验收：到货前，中标人应提前通知采购人，采购人会同有关部门对货物进行验收。到货后协同采购人相关部门共同验收，包装箱中必须附有该货物的质量检验合格证（并标明本批次的各项指标）、装箱单、有关的技术资料等，并保证提交的技术资料，中标人自行承担所有货物现场保管防盗工作。</w:t>
      </w:r>
    </w:p>
    <w:p w14:paraId="73B57C3B">
      <w:pPr>
        <w:spacing w:line="440" w:lineRule="exact"/>
        <w:ind w:firstLine="480" w:firstLineChars="200"/>
        <w:jc w:val="left"/>
        <w:rPr>
          <w:rFonts w:hint="eastAsia" w:ascii="宋体" w:hAnsi="宋体" w:eastAsia="宋体" w:cs="宋体"/>
          <w:color w:val="000000"/>
          <w:sz w:val="24"/>
          <w:szCs w:val="24"/>
          <w:highlight w:val="none"/>
        </w:rPr>
      </w:pPr>
      <w:bookmarkStart w:id="346" w:name="_Toc297292739"/>
      <w:bookmarkStart w:id="347" w:name="_Toc291164239"/>
      <w:bookmarkStart w:id="348" w:name="_Toc290904486"/>
      <w:bookmarkStart w:id="349" w:name="_Toc297288931"/>
      <w:bookmarkStart w:id="350" w:name="_Toc290904250"/>
      <w:bookmarkStart w:id="351" w:name="_Toc290904399"/>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投标人应保证采购人免除且中标人承担由于采购人在其本国使用该项目或项目任何一部分时而引起第三方提出的侵犯专利权、商标权或工业设计权的起诉、行动、行政程序索赔、请求等以及采购人为此而产生的损失和损害、费用和支出（包括律师费）。</w:t>
      </w:r>
    </w:p>
    <w:p w14:paraId="6A07682D">
      <w:pPr>
        <w:spacing w:line="440" w:lineRule="exact"/>
        <w:ind w:firstLine="480" w:firstLineChars="200"/>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、合同期内未经采购人同意，中标人不得更换中标货物的生产厂家。</w:t>
      </w:r>
      <w:bookmarkEnd w:id="346"/>
      <w:bookmarkEnd w:id="347"/>
      <w:bookmarkEnd w:id="348"/>
      <w:bookmarkEnd w:id="349"/>
      <w:bookmarkEnd w:id="350"/>
      <w:bookmarkEnd w:id="351"/>
    </w:p>
    <w:p w14:paraId="20473D41">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r>
    </w:p>
    <w:p w14:paraId="74A6AA2E">
      <w:pPr>
        <w:keepNext/>
        <w:ind w:firstLine="880"/>
        <w:jc w:val="center"/>
        <w:outlineLvl w:val="0"/>
        <w:rPr>
          <w:rFonts w:hint="eastAsia" w:ascii="宋体" w:hAnsi="宋体" w:eastAsia="宋体" w:cs="宋体"/>
          <w:b/>
          <w:bCs/>
          <w:color w:val="auto"/>
          <w:sz w:val="40"/>
          <w:szCs w:val="40"/>
          <w:highlight w:val="none"/>
        </w:rPr>
      </w:pPr>
      <w:bookmarkStart w:id="352" w:name="_Toc27336"/>
      <w:r>
        <w:rPr>
          <w:rFonts w:hint="eastAsia" w:ascii="宋体" w:hAnsi="宋体" w:eastAsia="宋体" w:cs="宋体"/>
          <w:b/>
          <w:bCs/>
          <w:color w:val="auto"/>
          <w:sz w:val="40"/>
          <w:szCs w:val="40"/>
          <w:highlight w:val="none"/>
        </w:rPr>
        <w:t>第五章  评标方法与评标标准</w:t>
      </w:r>
      <w:bookmarkEnd w:id="352"/>
    </w:p>
    <w:p w14:paraId="70E57E7C">
      <w:pPr>
        <w:rPr>
          <w:rFonts w:hint="eastAsia" w:ascii="宋体" w:hAnsi="宋体" w:eastAsia="宋体" w:cs="宋体"/>
          <w:color w:val="auto"/>
          <w:szCs w:val="21"/>
          <w:highlight w:val="none"/>
        </w:rPr>
      </w:pPr>
    </w:p>
    <w:p w14:paraId="250BBCD7">
      <w:pPr>
        <w:spacing w:line="480" w:lineRule="exact"/>
        <w:rPr>
          <w:rFonts w:hint="eastAsia" w:ascii="宋体" w:hAnsi="宋体" w:eastAsia="宋体" w:cs="宋体"/>
          <w:b/>
          <w:bCs/>
          <w:color w:val="auto"/>
          <w:sz w:val="28"/>
          <w:highlight w:val="none"/>
        </w:rPr>
      </w:pPr>
      <w:bookmarkStart w:id="353" w:name="_Toc698"/>
      <w:bookmarkStart w:id="354" w:name="_Toc16264"/>
      <w:bookmarkStart w:id="355" w:name="_Toc17476"/>
      <w:r>
        <w:rPr>
          <w:rFonts w:hint="eastAsia" w:ascii="宋体" w:hAnsi="宋体" w:eastAsia="宋体" w:cs="宋体"/>
          <w:b/>
          <w:bCs/>
          <w:color w:val="auto"/>
          <w:sz w:val="28"/>
          <w:highlight w:val="none"/>
        </w:rPr>
        <w:t>一、评标办法：</w:t>
      </w:r>
      <w:bookmarkEnd w:id="353"/>
      <w:bookmarkEnd w:id="354"/>
      <w:bookmarkEnd w:id="355"/>
    </w:p>
    <w:p w14:paraId="7543D22C">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1、评标办法采用</w:t>
      </w:r>
      <w:r>
        <w:rPr>
          <w:rFonts w:hint="eastAsia" w:ascii="宋体" w:hAnsi="宋体" w:eastAsia="宋体" w:cs="宋体"/>
          <w:b/>
          <w:color w:val="auto"/>
          <w:sz w:val="24"/>
          <w:szCs w:val="24"/>
          <w:highlight w:val="none"/>
        </w:rPr>
        <w:t>综合评分法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44CF962C">
      <w:pP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二、评分标准：</w:t>
      </w:r>
    </w:p>
    <w:p w14:paraId="4991FE5C">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1、投标报价</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0分</w:t>
      </w:r>
    </w:p>
    <w:p w14:paraId="69CCC00D">
      <w:pPr>
        <w:spacing w:line="480" w:lineRule="exact"/>
        <w:ind w:firstLine="47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满足招标文件要求且</w:t>
      </w:r>
      <w:r>
        <w:rPr>
          <w:rFonts w:hint="eastAsia" w:ascii="宋体" w:hAnsi="宋体" w:eastAsia="宋体" w:cs="宋体"/>
          <w:color w:val="auto"/>
          <w:sz w:val="24"/>
          <w:highlight w:val="none"/>
          <w:lang w:val="en-US" w:eastAsia="zh-CN"/>
        </w:rPr>
        <w:t>优惠率最高</w:t>
      </w:r>
      <w:r>
        <w:rPr>
          <w:rFonts w:hint="eastAsia" w:ascii="宋体" w:hAnsi="宋体" w:eastAsia="宋体" w:cs="宋体"/>
          <w:color w:val="auto"/>
          <w:sz w:val="24"/>
          <w:highlight w:val="none"/>
        </w:rPr>
        <w:t>的投标报价为评标基准优惠率，其价格分为</w:t>
      </w:r>
      <w:r>
        <w:rPr>
          <w:rFonts w:hint="eastAsia" w:ascii="宋体" w:hAnsi="宋体" w:eastAsia="宋体" w:cs="宋体"/>
          <w:color w:val="auto"/>
          <w:sz w:val="24"/>
          <w:highlight w:val="none"/>
          <w:lang w:val="en-US" w:eastAsia="zh-CN"/>
        </w:rPr>
        <w:t>80</w:t>
      </w:r>
      <w:r>
        <w:rPr>
          <w:rFonts w:hint="eastAsia" w:ascii="宋体" w:hAnsi="宋体" w:eastAsia="宋体" w:cs="宋体"/>
          <w:color w:val="auto"/>
          <w:sz w:val="24"/>
          <w:highlight w:val="none"/>
        </w:rPr>
        <w:t>分；其他投标人的价格分按下列公式计算：投标报价得分＝</w:t>
      </w:r>
      <w:r>
        <w:rPr>
          <w:rFonts w:hint="eastAsia" w:ascii="宋体" w:hAnsi="宋体" w:eastAsia="宋体" w:cs="宋体"/>
          <w:color w:val="000000" w:themeColor="text1"/>
          <w:sz w:val="24"/>
          <w:highlight w:val="none"/>
          <w14:textFill>
            <w14:solidFill>
              <w14:schemeClr w14:val="tx1"/>
            </w14:solidFill>
          </w14:textFill>
        </w:rPr>
        <w:t>（1-评标基准优惠率）／（1-投标优惠率）</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80</w:t>
      </w:r>
      <w:r>
        <w:rPr>
          <w:rFonts w:hint="eastAsia" w:ascii="宋体" w:hAnsi="宋体" w:eastAsia="宋体" w:cs="宋体"/>
          <w:color w:val="auto"/>
          <w:sz w:val="24"/>
          <w:highlight w:val="none"/>
        </w:rPr>
        <w:t>分</w:t>
      </w:r>
      <w:r>
        <w:rPr>
          <w:rFonts w:hint="eastAsia" w:ascii="宋体" w:hAnsi="宋体" w:eastAsia="宋体" w:cs="宋体"/>
          <w:color w:val="auto"/>
          <w:sz w:val="24"/>
          <w:szCs w:val="24"/>
          <w:highlight w:val="none"/>
        </w:rPr>
        <w:t>。</w:t>
      </w:r>
    </w:p>
    <w:p w14:paraId="75D2AB2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24"/>
          <w:highlight w:val="none"/>
        </w:rPr>
      </w:pPr>
      <w:bookmarkStart w:id="356" w:name="_Hlk100141372"/>
      <w:r>
        <w:rPr>
          <w:rFonts w:hint="eastAsia" w:ascii="宋体" w:hAnsi="宋体" w:eastAsia="宋体" w:cs="宋体"/>
          <w:b/>
          <w:bCs/>
          <w:color w:val="auto"/>
          <w:sz w:val="24"/>
          <w:highlight w:val="none"/>
        </w:rPr>
        <w:t xml:space="preserve">注：（一）采购人应当在采购文件中明确，政府采购评审中出现下列情形之一的，评审委员会应当启动异常低价投标（响应）审查程序： </w:t>
      </w:r>
    </w:p>
    <w:p w14:paraId="3E520771">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1.投标（响应）报价低于全部通过符合性审查供应商投标（响应）报价平均值50%的，即投标（响应）报价&lt;全部通过符合性审查供应商投标（响应）报价平均值×50%； </w:t>
      </w:r>
    </w:p>
    <w:p w14:paraId="7F177FFE">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2.投标（响应）报价低于通过符合性审查的次低报价供应商投标（响应）报价50%的，即投标（响应）报价&lt;通过符合性审查的次低报价供应商投标（响应）报价×50%； </w:t>
      </w:r>
    </w:p>
    <w:p w14:paraId="1AD702D2">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3.投标（响应）报价低于采购项目最高限价45%的，即投标（响应）报价&lt;采购项目最高限价×45%； </w:t>
      </w:r>
    </w:p>
    <w:p w14:paraId="69DAE003">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4.评审委员会基于专业判断，认为供应商报价过低，有可能影响产品质量或者不能诚信履约的其他情形。</w:t>
      </w:r>
    </w:p>
    <w:p w14:paraId="2C9463FA">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50C2BF7A">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52F820F0">
      <w:pPr>
        <w:keepNext w:val="0"/>
        <w:keepLines w:val="0"/>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bookmarkEnd w:id="356"/>
    <w:p w14:paraId="5F147F91">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2、技术性能参数</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941"/>
        <w:gridCol w:w="794"/>
        <w:gridCol w:w="6043"/>
      </w:tblGrid>
      <w:tr w14:paraId="7464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vAlign w:val="center"/>
          </w:tcPr>
          <w:p w14:paraId="3316060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41" w:type="dxa"/>
            <w:vAlign w:val="center"/>
          </w:tcPr>
          <w:p w14:paraId="0881207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94" w:type="dxa"/>
            <w:vAlign w:val="center"/>
          </w:tcPr>
          <w:p w14:paraId="3955C72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权值</w:t>
            </w:r>
          </w:p>
        </w:tc>
        <w:tc>
          <w:tcPr>
            <w:tcW w:w="6043" w:type="dxa"/>
            <w:vAlign w:val="center"/>
          </w:tcPr>
          <w:p w14:paraId="769E8E3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55395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6" w:hRule="atLeast"/>
          <w:jc w:val="center"/>
        </w:trPr>
        <w:tc>
          <w:tcPr>
            <w:tcW w:w="737" w:type="dxa"/>
            <w:vAlign w:val="center"/>
          </w:tcPr>
          <w:p w14:paraId="1D6B8B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41" w:type="dxa"/>
            <w:vAlign w:val="center"/>
          </w:tcPr>
          <w:p w14:paraId="387CA05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性能参数</w:t>
            </w:r>
          </w:p>
          <w:p w14:paraId="5FD24CF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响应性</w:t>
            </w:r>
          </w:p>
        </w:tc>
        <w:tc>
          <w:tcPr>
            <w:tcW w:w="794" w:type="dxa"/>
            <w:vAlign w:val="center"/>
          </w:tcPr>
          <w:p w14:paraId="1191BCF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6043" w:type="dxa"/>
            <w:vAlign w:val="center"/>
          </w:tcPr>
          <w:p w14:paraId="5E18873E">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投标货物的技术规格要求</w:t>
            </w:r>
            <w:r>
              <w:rPr>
                <w:rFonts w:hint="eastAsia" w:ascii="宋体" w:hAnsi="宋体" w:eastAsia="宋体" w:cs="宋体"/>
                <w:b/>
                <w:bCs/>
                <w:color w:val="auto"/>
                <w:sz w:val="24"/>
                <w:szCs w:val="24"/>
                <w:highlight w:val="none"/>
                <w:lang w:val="en-US" w:eastAsia="zh-CN"/>
              </w:rPr>
              <w:t>（含量、规格）</w:t>
            </w:r>
            <w:r>
              <w:rPr>
                <w:rFonts w:hint="eastAsia" w:ascii="宋体" w:hAnsi="宋体" w:eastAsia="宋体" w:cs="宋体"/>
                <w:color w:val="auto"/>
                <w:sz w:val="24"/>
                <w:szCs w:val="24"/>
                <w:highlight w:val="none"/>
                <w:lang w:val="en-US" w:eastAsia="zh-CN"/>
              </w:rPr>
              <w:t>全部符合招标要求的得4分（4条）；有</w:t>
            </w:r>
            <w:r>
              <w:rPr>
                <w:rFonts w:hint="eastAsia" w:ascii="宋体" w:hAnsi="宋体" w:eastAsia="宋体" w:cs="宋体"/>
                <w:color w:val="auto"/>
                <w:sz w:val="24"/>
                <w:szCs w:val="24"/>
                <w:highlight w:val="none"/>
                <w:lang w:val="zh-CN"/>
              </w:rPr>
              <w:t>负偏离</w:t>
            </w:r>
            <w:r>
              <w:rPr>
                <w:rFonts w:hint="eastAsia" w:ascii="宋体" w:hAnsi="宋体" w:eastAsia="宋体" w:cs="宋体"/>
                <w:color w:val="auto"/>
                <w:sz w:val="24"/>
                <w:szCs w:val="24"/>
                <w:highlight w:val="none"/>
                <w:lang w:val="en-US" w:eastAsia="zh-CN"/>
              </w:rPr>
              <w:t>条款的</w:t>
            </w:r>
            <w:r>
              <w:rPr>
                <w:rFonts w:hint="eastAsia" w:ascii="宋体" w:hAnsi="宋体" w:eastAsia="宋体" w:cs="宋体"/>
                <w:color w:val="auto"/>
                <w:sz w:val="24"/>
                <w:szCs w:val="24"/>
                <w:highlight w:val="none"/>
                <w:lang w:val="zh-CN"/>
              </w:rPr>
              <w:t>，每负偏离一条扣</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分。</w:t>
            </w:r>
          </w:p>
          <w:p w14:paraId="4E5413A3">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注：投标文件中</w:t>
            </w:r>
            <w:r>
              <w:rPr>
                <w:rFonts w:hint="eastAsia" w:ascii="宋体" w:hAnsi="宋体" w:eastAsia="宋体" w:cs="宋体"/>
                <w:b/>
                <w:bCs/>
                <w:color w:val="auto"/>
                <w:sz w:val="24"/>
                <w:szCs w:val="24"/>
                <w:highlight w:val="none"/>
                <w:lang w:val="en-US" w:eastAsia="zh-CN"/>
              </w:rPr>
              <w:t>须</w:t>
            </w:r>
            <w:r>
              <w:rPr>
                <w:rFonts w:hint="eastAsia" w:ascii="宋体" w:hAnsi="宋体" w:eastAsia="宋体" w:cs="宋体"/>
                <w:b/>
                <w:bCs/>
                <w:color w:val="auto"/>
                <w:sz w:val="24"/>
                <w:szCs w:val="24"/>
                <w:highlight w:val="none"/>
                <w:lang w:val="zh-CN"/>
              </w:rPr>
              <w:t>提供相关产品</w:t>
            </w:r>
            <w:r>
              <w:rPr>
                <w:rFonts w:hint="eastAsia" w:ascii="宋体" w:hAnsi="宋体" w:eastAsia="宋体" w:cs="宋体"/>
                <w:b/>
                <w:bCs/>
                <w:color w:val="auto"/>
                <w:sz w:val="24"/>
                <w:szCs w:val="24"/>
                <w:highlight w:val="none"/>
                <w:lang w:val="en-US" w:eastAsia="zh-CN"/>
              </w:rPr>
              <w:t>①</w:t>
            </w:r>
            <w:r>
              <w:rPr>
                <w:rFonts w:hint="eastAsia" w:ascii="宋体" w:hAnsi="宋体" w:eastAsia="宋体" w:cs="宋体"/>
                <w:b/>
                <w:bCs/>
                <w:color w:val="auto"/>
                <w:sz w:val="24"/>
                <w:szCs w:val="24"/>
                <w:highlight w:val="none"/>
                <w:lang w:val="zh-CN"/>
              </w:rPr>
              <w:t>包装标识、</w:t>
            </w:r>
            <w:r>
              <w:rPr>
                <w:rFonts w:hint="eastAsia" w:ascii="宋体" w:hAnsi="宋体" w:eastAsia="宋体" w:cs="宋体"/>
                <w:b/>
                <w:bCs/>
                <w:color w:val="auto"/>
                <w:sz w:val="24"/>
                <w:szCs w:val="24"/>
                <w:highlight w:val="none"/>
                <w:lang w:val="en-US" w:eastAsia="zh-CN"/>
              </w:rPr>
              <w:t>②</w:t>
            </w:r>
            <w:r>
              <w:rPr>
                <w:rFonts w:hint="eastAsia" w:ascii="宋体" w:hAnsi="宋体" w:eastAsia="宋体" w:cs="宋体"/>
                <w:b/>
                <w:bCs/>
                <w:color w:val="auto"/>
                <w:sz w:val="24"/>
                <w:szCs w:val="24"/>
                <w:highlight w:val="none"/>
                <w:lang w:val="zh-CN"/>
              </w:rPr>
              <w:t>使用说明书证明材料扫描件（使用说明书应包括亩用量、用法、使用条件），未提供相关证明材料或提供的证明材料无法佐证的，相关技术性能参数视为负偏离。</w:t>
            </w:r>
          </w:p>
        </w:tc>
      </w:tr>
    </w:tbl>
    <w:p w14:paraId="4B169ADD">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3、项目实施方案</w:t>
      </w:r>
      <w:r>
        <w:rPr>
          <w:rFonts w:hint="eastAsia" w:ascii="宋体" w:hAnsi="宋体" w:eastAsia="宋体" w:cs="宋体"/>
          <w:b/>
          <w:bCs/>
          <w:color w:val="auto"/>
          <w:sz w:val="24"/>
          <w:szCs w:val="24"/>
          <w:highlight w:val="none"/>
          <w:lang w:val="en-US" w:eastAsia="zh-CN"/>
        </w:rPr>
        <w:t>及售后承诺12</w:t>
      </w:r>
      <w:r>
        <w:rPr>
          <w:rFonts w:hint="eastAsia" w:ascii="宋体" w:hAnsi="宋体" w:eastAsia="宋体" w:cs="宋体"/>
          <w:b/>
          <w:bCs/>
          <w:color w:val="auto"/>
          <w:sz w:val="24"/>
          <w:szCs w:val="24"/>
          <w:highlight w:val="none"/>
        </w:rPr>
        <w:t>分</w:t>
      </w:r>
    </w:p>
    <w:tbl>
      <w:tblPr>
        <w:tblStyle w:val="38"/>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935"/>
        <w:gridCol w:w="810"/>
        <w:gridCol w:w="6003"/>
      </w:tblGrid>
      <w:tr w14:paraId="644E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1F63620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5AFB79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810" w:type="dxa"/>
            <w:tcBorders>
              <w:top w:val="single" w:color="auto" w:sz="4" w:space="0"/>
              <w:left w:val="single" w:color="auto" w:sz="4" w:space="0"/>
              <w:bottom w:val="single" w:color="auto" w:sz="4" w:space="0"/>
              <w:right w:val="single" w:color="auto" w:sz="4" w:space="0"/>
            </w:tcBorders>
            <w:vAlign w:val="center"/>
          </w:tcPr>
          <w:p w14:paraId="40EF1A1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权值</w:t>
            </w:r>
          </w:p>
        </w:tc>
        <w:tc>
          <w:tcPr>
            <w:tcW w:w="6003" w:type="dxa"/>
            <w:tcBorders>
              <w:top w:val="single" w:color="auto" w:sz="4" w:space="0"/>
              <w:left w:val="single" w:color="auto" w:sz="4" w:space="0"/>
              <w:bottom w:val="single" w:color="auto" w:sz="4" w:space="0"/>
              <w:right w:val="single" w:color="auto" w:sz="4" w:space="0"/>
            </w:tcBorders>
            <w:vAlign w:val="center"/>
          </w:tcPr>
          <w:p w14:paraId="751D18F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6569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1583531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35" w:type="dxa"/>
            <w:tcBorders>
              <w:top w:val="single" w:color="auto" w:sz="4" w:space="0"/>
              <w:left w:val="single" w:color="auto" w:sz="4" w:space="0"/>
              <w:bottom w:val="single" w:color="auto" w:sz="4" w:space="0"/>
              <w:right w:val="single" w:color="auto" w:sz="4" w:space="0"/>
            </w:tcBorders>
            <w:vAlign w:val="center"/>
          </w:tcPr>
          <w:p w14:paraId="7D4B685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项目实施方案</w:t>
            </w:r>
          </w:p>
        </w:tc>
        <w:tc>
          <w:tcPr>
            <w:tcW w:w="810" w:type="dxa"/>
            <w:tcBorders>
              <w:top w:val="single" w:color="auto" w:sz="4" w:space="0"/>
              <w:left w:val="single" w:color="auto" w:sz="4" w:space="0"/>
              <w:bottom w:val="single" w:color="auto" w:sz="4" w:space="0"/>
              <w:right w:val="single" w:color="auto" w:sz="4" w:space="0"/>
            </w:tcBorders>
            <w:vAlign w:val="center"/>
          </w:tcPr>
          <w:p w14:paraId="33BB3B9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6003" w:type="dxa"/>
            <w:tcBorders>
              <w:top w:val="single" w:color="auto" w:sz="4" w:space="0"/>
              <w:left w:val="single" w:color="auto" w:sz="4" w:space="0"/>
              <w:bottom w:val="single" w:color="auto" w:sz="4" w:space="0"/>
              <w:right w:val="single" w:color="auto" w:sz="4" w:space="0"/>
            </w:tcBorders>
            <w:vAlign w:val="center"/>
          </w:tcPr>
          <w:p w14:paraId="010F0E74">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根据投标人提供的</w:t>
            </w:r>
            <w:r>
              <w:rPr>
                <w:rFonts w:hint="eastAsia" w:ascii="宋体" w:hAnsi="宋体" w:eastAsia="宋体" w:cs="宋体"/>
                <w:b/>
                <w:bCs/>
                <w:color w:val="auto"/>
                <w:sz w:val="24"/>
                <w:szCs w:val="24"/>
                <w:highlight w:val="none"/>
                <w:shd w:val="clear" w:color="auto" w:fill="FFFFFF"/>
              </w:rPr>
              <w:t>项目实施方案</w:t>
            </w:r>
            <w:r>
              <w:rPr>
                <w:rFonts w:hint="eastAsia" w:ascii="宋体" w:hAnsi="宋体" w:eastAsia="宋体" w:cs="宋体"/>
                <w:b/>
                <w:bCs/>
                <w:color w:val="auto"/>
                <w:sz w:val="24"/>
                <w:szCs w:val="24"/>
                <w:highlight w:val="none"/>
                <w:shd w:val="clear" w:color="auto" w:fill="FFFFFF"/>
                <w:lang w:eastAsia="zh-CN"/>
              </w:rPr>
              <w:t>（</w:t>
            </w:r>
            <w:r>
              <w:rPr>
                <w:rFonts w:hint="eastAsia" w:ascii="宋体" w:hAnsi="宋体" w:eastAsia="宋体" w:cs="宋体"/>
                <w:b/>
                <w:bCs/>
                <w:color w:val="auto"/>
                <w:sz w:val="24"/>
                <w:szCs w:val="24"/>
                <w:highlight w:val="none"/>
                <w:shd w:val="clear" w:color="auto" w:fill="FFFFFF"/>
              </w:rPr>
              <w:t>涉及评审要点（共3项）①供货方案、②项目履约进度计划、③</w:t>
            </w:r>
            <w:r>
              <w:rPr>
                <w:rFonts w:hint="eastAsia" w:ascii="宋体" w:hAnsi="宋体" w:eastAsia="宋体" w:cs="宋体"/>
                <w:b/>
                <w:bCs/>
                <w:color w:val="auto"/>
                <w:sz w:val="24"/>
                <w:szCs w:val="24"/>
                <w:highlight w:val="none"/>
                <w:shd w:val="clear" w:color="auto" w:fill="FFFFFF"/>
                <w:lang w:val="en-US" w:eastAsia="zh-CN"/>
              </w:rPr>
              <w:t>配送方案</w:t>
            </w:r>
            <w:r>
              <w:rPr>
                <w:rFonts w:hint="eastAsia" w:ascii="宋体" w:hAnsi="宋体" w:eastAsia="宋体" w:cs="宋体"/>
                <w:b/>
                <w:bCs/>
                <w:color w:val="auto"/>
                <w:sz w:val="24"/>
                <w:szCs w:val="24"/>
                <w:highlight w:val="none"/>
                <w:shd w:val="clear" w:color="auto" w:fill="FFFFFF"/>
                <w:lang w:eastAsia="zh-CN"/>
              </w:rPr>
              <w:t>）</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体现上述评审要点且内容贴合需求的，每有一项得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分；体现上述评审要点但内容无法完全贴合需求的，每有一项得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bCs/>
                <w:color w:val="auto"/>
                <w:sz w:val="24"/>
                <w:szCs w:val="24"/>
                <w:highlight w:val="none"/>
              </w:rPr>
              <w:t>不合理或者严重缺失的得0分。</w:t>
            </w:r>
          </w:p>
        </w:tc>
      </w:tr>
      <w:tr w14:paraId="7B52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50A775D4">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935" w:type="dxa"/>
            <w:tcBorders>
              <w:top w:val="single" w:color="auto" w:sz="4" w:space="0"/>
              <w:left w:val="single" w:color="auto" w:sz="4" w:space="0"/>
              <w:bottom w:val="single" w:color="auto" w:sz="4" w:space="0"/>
              <w:right w:val="single" w:color="auto" w:sz="4" w:space="0"/>
            </w:tcBorders>
            <w:vAlign w:val="center"/>
          </w:tcPr>
          <w:p w14:paraId="1088DB8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w:t>
            </w:r>
          </w:p>
        </w:tc>
        <w:tc>
          <w:tcPr>
            <w:tcW w:w="810" w:type="dxa"/>
            <w:tcBorders>
              <w:top w:val="single" w:color="auto" w:sz="4" w:space="0"/>
              <w:left w:val="single" w:color="auto" w:sz="4" w:space="0"/>
              <w:bottom w:val="single" w:color="auto" w:sz="4" w:space="0"/>
              <w:right w:val="single" w:color="auto" w:sz="4" w:space="0"/>
            </w:tcBorders>
            <w:vAlign w:val="center"/>
          </w:tcPr>
          <w:p w14:paraId="4EE9841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6003" w:type="dxa"/>
            <w:tcBorders>
              <w:top w:val="single" w:color="auto" w:sz="4" w:space="0"/>
              <w:left w:val="single" w:color="auto" w:sz="4" w:space="0"/>
              <w:bottom w:val="single" w:color="auto" w:sz="4" w:space="0"/>
              <w:right w:val="single" w:color="auto" w:sz="4" w:space="0"/>
            </w:tcBorders>
            <w:vAlign w:val="center"/>
          </w:tcPr>
          <w:p w14:paraId="035B40A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根据投标人提供详细的</w:t>
            </w:r>
            <w:r>
              <w:rPr>
                <w:rFonts w:hint="eastAsia" w:ascii="宋体" w:hAnsi="宋体" w:eastAsia="宋体" w:cs="宋体"/>
                <w:b/>
                <w:bCs/>
                <w:color w:val="auto"/>
                <w:sz w:val="24"/>
                <w:szCs w:val="24"/>
                <w:highlight w:val="none"/>
              </w:rPr>
              <w:t>售后服务方案</w:t>
            </w:r>
            <w:r>
              <w:rPr>
                <w:rFonts w:hint="eastAsia" w:ascii="宋体" w:hAnsi="宋体" w:eastAsia="宋体" w:cs="宋体"/>
                <w:b/>
                <w:bCs/>
                <w:color w:val="auto"/>
                <w:sz w:val="24"/>
                <w:szCs w:val="24"/>
                <w:highlight w:val="none"/>
                <w:shd w:val="clear" w:color="auto" w:fill="FFFFFF"/>
                <w:lang w:eastAsia="zh-CN"/>
              </w:rPr>
              <w:t>（</w:t>
            </w:r>
            <w:r>
              <w:rPr>
                <w:rFonts w:hint="eastAsia" w:ascii="宋体" w:hAnsi="宋体" w:eastAsia="宋体" w:cs="宋体"/>
                <w:b/>
                <w:bCs/>
                <w:color w:val="auto"/>
                <w:sz w:val="24"/>
                <w:szCs w:val="24"/>
                <w:highlight w:val="none"/>
                <w:shd w:val="clear" w:color="auto" w:fill="FFFFFF"/>
              </w:rPr>
              <w:t>涉及评审要点（共</w:t>
            </w:r>
            <w:r>
              <w:rPr>
                <w:rFonts w:hint="eastAsia" w:ascii="宋体" w:hAnsi="宋体" w:eastAsia="宋体" w:cs="宋体"/>
                <w:b/>
                <w:bCs/>
                <w:color w:val="auto"/>
                <w:sz w:val="24"/>
                <w:szCs w:val="24"/>
                <w:highlight w:val="none"/>
                <w:shd w:val="clear" w:color="auto" w:fill="FFFFFF"/>
                <w:lang w:val="en-US" w:eastAsia="zh-CN"/>
              </w:rPr>
              <w:t>2</w:t>
            </w:r>
            <w:r>
              <w:rPr>
                <w:rFonts w:hint="eastAsia" w:ascii="宋体" w:hAnsi="宋体" w:eastAsia="宋体" w:cs="宋体"/>
                <w:b/>
                <w:bCs/>
                <w:color w:val="auto"/>
                <w:sz w:val="24"/>
                <w:szCs w:val="24"/>
                <w:highlight w:val="none"/>
                <w:shd w:val="clear" w:color="auto" w:fill="FFFFFF"/>
              </w:rPr>
              <w:t>项）①售后服务体系、②售后服务的</w:t>
            </w:r>
            <w:r>
              <w:rPr>
                <w:rFonts w:hint="eastAsia" w:ascii="宋体" w:hAnsi="宋体" w:eastAsia="宋体" w:cs="宋体"/>
                <w:b/>
                <w:bCs/>
                <w:color w:val="auto"/>
                <w:sz w:val="24"/>
                <w:szCs w:val="24"/>
                <w:highlight w:val="none"/>
                <w:shd w:val="clear" w:color="auto" w:fill="FFFFFF"/>
                <w:lang w:val="en-US" w:eastAsia="zh-CN"/>
              </w:rPr>
              <w:t>人员配置</w:t>
            </w:r>
            <w:r>
              <w:rPr>
                <w:rFonts w:hint="eastAsia" w:ascii="宋体" w:hAnsi="宋体" w:eastAsia="宋体" w:cs="宋体"/>
                <w:b/>
                <w:bCs/>
                <w:color w:val="auto"/>
                <w:sz w:val="24"/>
                <w:szCs w:val="24"/>
                <w:highlight w:val="none"/>
                <w:shd w:val="clear" w:color="auto" w:fill="FFFFFF"/>
              </w:rPr>
              <w:t>方案</w:t>
            </w:r>
            <w:r>
              <w:rPr>
                <w:rFonts w:hint="eastAsia" w:ascii="宋体" w:hAnsi="宋体" w:eastAsia="宋体" w:cs="宋体"/>
                <w:b/>
                <w:bCs/>
                <w:color w:val="auto"/>
                <w:sz w:val="24"/>
                <w:szCs w:val="24"/>
                <w:highlight w:val="none"/>
                <w:shd w:val="clear" w:color="auto" w:fill="FFFFFF"/>
                <w:lang w:eastAsia="zh-CN"/>
              </w:rPr>
              <w:t>）</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体现上述评审要点且内容贴合需求的，每有一项得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分；体现上述评审要点但内容无法完全贴合需求的，每有一项得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bCs/>
                <w:color w:val="auto"/>
                <w:sz w:val="24"/>
                <w:szCs w:val="24"/>
                <w:highlight w:val="none"/>
              </w:rPr>
              <w:t>不合理或者严重缺失的得0分。</w:t>
            </w:r>
          </w:p>
        </w:tc>
      </w:tr>
      <w:tr w14:paraId="1CB66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2" w:type="dxa"/>
            <w:tcBorders>
              <w:top w:val="single" w:color="auto" w:sz="4" w:space="0"/>
              <w:left w:val="single" w:color="auto" w:sz="4" w:space="0"/>
              <w:bottom w:val="single" w:color="auto" w:sz="4" w:space="0"/>
              <w:right w:val="single" w:color="auto" w:sz="4" w:space="0"/>
            </w:tcBorders>
            <w:vAlign w:val="center"/>
          </w:tcPr>
          <w:p w14:paraId="0BCD6B01">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935" w:type="dxa"/>
            <w:tcBorders>
              <w:top w:val="single" w:color="auto" w:sz="4" w:space="0"/>
              <w:left w:val="single" w:color="auto" w:sz="4" w:space="0"/>
              <w:bottom w:val="single" w:color="auto" w:sz="4" w:space="0"/>
              <w:right w:val="single" w:color="auto" w:sz="4" w:space="0"/>
            </w:tcBorders>
            <w:vAlign w:val="center"/>
          </w:tcPr>
          <w:p w14:paraId="0132514B">
            <w:pPr>
              <w:pStyle w:val="1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免费质量保证</w:t>
            </w:r>
          </w:p>
        </w:tc>
        <w:tc>
          <w:tcPr>
            <w:tcW w:w="810" w:type="dxa"/>
            <w:tcBorders>
              <w:top w:val="single" w:color="auto" w:sz="4" w:space="0"/>
              <w:left w:val="single" w:color="auto" w:sz="4" w:space="0"/>
              <w:bottom w:val="single" w:color="auto" w:sz="4" w:space="0"/>
              <w:right w:val="single" w:color="auto" w:sz="4" w:space="0"/>
            </w:tcBorders>
            <w:vAlign w:val="center"/>
          </w:tcPr>
          <w:p w14:paraId="51BB8A5E">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6003" w:type="dxa"/>
            <w:tcBorders>
              <w:top w:val="single" w:color="auto" w:sz="4" w:space="0"/>
              <w:left w:val="single" w:color="auto" w:sz="4" w:space="0"/>
              <w:bottom w:val="single" w:color="auto" w:sz="4" w:space="0"/>
              <w:right w:val="single" w:color="auto" w:sz="4" w:space="0"/>
            </w:tcBorders>
            <w:vAlign w:val="center"/>
          </w:tcPr>
          <w:p w14:paraId="75D2C362">
            <w:pPr>
              <w:numPr>
                <w:ilvl w:val="0"/>
                <w:numId w:val="0"/>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投标货物</w:t>
            </w:r>
            <w:r>
              <w:rPr>
                <w:rFonts w:hint="eastAsia" w:ascii="宋体" w:hAnsi="宋体" w:eastAsia="宋体" w:cs="宋体"/>
                <w:color w:val="auto"/>
                <w:sz w:val="24"/>
                <w:szCs w:val="24"/>
                <w:highlight w:val="none"/>
              </w:rPr>
              <w:t>免费质保期满足招标文件要求的</w:t>
            </w:r>
            <w:r>
              <w:rPr>
                <w:rFonts w:hint="eastAsia" w:ascii="宋体" w:hAnsi="宋体" w:eastAsia="宋体" w:cs="宋体"/>
                <w:color w:val="auto"/>
                <w:sz w:val="24"/>
                <w:szCs w:val="24"/>
                <w:highlight w:val="none"/>
                <w:lang w:val="en-US" w:eastAsia="zh-CN"/>
              </w:rPr>
              <w:t>基础上</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承诺</w:t>
            </w:r>
            <w:r>
              <w:rPr>
                <w:rFonts w:hint="eastAsia" w:ascii="宋体" w:hAnsi="宋体" w:eastAsia="宋体" w:cs="宋体"/>
                <w:color w:val="auto"/>
                <w:sz w:val="24"/>
                <w:szCs w:val="24"/>
                <w:highlight w:val="none"/>
              </w:rPr>
              <w:t>每</w:t>
            </w:r>
            <w:r>
              <w:rPr>
                <w:rFonts w:hint="eastAsia" w:ascii="宋体" w:hAnsi="宋体" w:eastAsia="宋体" w:cs="宋体"/>
                <w:color w:val="auto"/>
                <w:sz w:val="24"/>
                <w:szCs w:val="24"/>
                <w:highlight w:val="none"/>
                <w:lang w:val="en-US" w:eastAsia="zh-CN"/>
              </w:rPr>
              <w:t>增加</w:t>
            </w:r>
            <w:r>
              <w:rPr>
                <w:rFonts w:hint="eastAsia" w:ascii="宋体" w:hAnsi="宋体" w:eastAsia="宋体" w:cs="宋体"/>
                <w:color w:val="auto"/>
                <w:sz w:val="24"/>
                <w:szCs w:val="24"/>
                <w:highlight w:val="none"/>
              </w:rPr>
              <w:t>半年</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加</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分，最多</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分；质保未达到招标文件要求或未作说明的不得分。</w:t>
            </w:r>
          </w:p>
          <w:p w14:paraId="3560AED1">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注：投标人需对项目整体做出承诺，承诺函格式自拟。</w:t>
            </w:r>
          </w:p>
        </w:tc>
      </w:tr>
    </w:tbl>
    <w:p w14:paraId="06FA613D">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、综合实力</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1991"/>
        <w:gridCol w:w="812"/>
        <w:gridCol w:w="5986"/>
      </w:tblGrid>
      <w:tr w14:paraId="2601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03" w:type="dxa"/>
            <w:vAlign w:val="center"/>
          </w:tcPr>
          <w:p w14:paraId="1FE8B15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91" w:type="dxa"/>
            <w:vAlign w:val="center"/>
          </w:tcPr>
          <w:p w14:paraId="7011585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812" w:type="dxa"/>
            <w:vAlign w:val="center"/>
          </w:tcPr>
          <w:p w14:paraId="2D4195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权值</w:t>
            </w:r>
          </w:p>
        </w:tc>
        <w:tc>
          <w:tcPr>
            <w:tcW w:w="5986" w:type="dxa"/>
            <w:vAlign w:val="center"/>
          </w:tcPr>
          <w:p w14:paraId="5ADC959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1945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703" w:type="dxa"/>
            <w:vAlign w:val="center"/>
          </w:tcPr>
          <w:p w14:paraId="569CC30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91" w:type="dxa"/>
            <w:vAlign w:val="center"/>
          </w:tcPr>
          <w:p w14:paraId="45DDFEB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商务条件响应性</w:t>
            </w:r>
          </w:p>
        </w:tc>
        <w:tc>
          <w:tcPr>
            <w:tcW w:w="812" w:type="dxa"/>
            <w:vAlign w:val="center"/>
          </w:tcPr>
          <w:p w14:paraId="75C8D14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5986" w:type="dxa"/>
            <w:vAlign w:val="center"/>
          </w:tcPr>
          <w:p w14:paraId="5B4EE90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投标人对招标文件中合同条款（共2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条）商务条件完全响应的得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分；有负偏离的条款，每条扣0.</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分。</w:t>
            </w:r>
            <w:r>
              <w:rPr>
                <w:rFonts w:hint="eastAsia" w:ascii="宋体" w:hAnsi="宋体" w:eastAsia="宋体" w:cs="宋体"/>
                <w:b/>
                <w:color w:val="auto"/>
                <w:sz w:val="24"/>
                <w:szCs w:val="24"/>
                <w:highlight w:val="none"/>
              </w:rPr>
              <w:t>（付款方式不响应的按无效投标处理）</w:t>
            </w:r>
          </w:p>
        </w:tc>
      </w:tr>
    </w:tbl>
    <w:p w14:paraId="22A70D4F">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三、政府采购政策：</w:t>
      </w:r>
    </w:p>
    <w:p w14:paraId="7D8D0641">
      <w:pPr>
        <w:spacing w:line="440" w:lineRule="exact"/>
        <w:ind w:firstLine="482" w:firstLineChars="200"/>
        <w:rPr>
          <w:rFonts w:hint="eastAsia" w:ascii="宋体" w:hAnsi="宋体" w:eastAsia="宋体" w:cs="宋体"/>
          <w:b/>
          <w:bCs/>
          <w:color w:val="auto"/>
          <w:sz w:val="24"/>
          <w:szCs w:val="24"/>
          <w:highlight w:val="none"/>
        </w:rPr>
      </w:pPr>
      <w:bookmarkStart w:id="357" w:name="_Toc22323"/>
      <w:r>
        <w:rPr>
          <w:rFonts w:hint="eastAsia" w:ascii="宋体" w:hAnsi="宋体" w:eastAsia="宋体" w:cs="宋体"/>
          <w:b/>
          <w:bCs/>
          <w:color w:val="auto"/>
          <w:sz w:val="24"/>
          <w:szCs w:val="24"/>
          <w:highlight w:val="none"/>
        </w:rPr>
        <w:t>1、落实政府采购政策需满足的资格要求：</w:t>
      </w:r>
    </w:p>
    <w:p w14:paraId="436B0D06">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（1）本项目专门面向中小企业采购，所属行业为工业。</w:t>
      </w:r>
    </w:p>
    <w:p w14:paraId="49A961D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（2）在投标文件中须提供《中小企业声明函》。（填报严格按工信部联企业〔2011〕300号通知中的《中小企业划型标准规定》进行）。</w:t>
      </w:r>
    </w:p>
    <w:p w14:paraId="3983B8F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368622E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（4）享受政府采购支持政策的残疾人福利性单位应当同时满足以下条件：</w:t>
      </w:r>
    </w:p>
    <w:p w14:paraId="7DE6E73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安置的残疾人占本单位在职职工人数的比例不低于25%（含25%），并且安置的残疾人人数不少于10人（含10人）；依法与安置的每位残疾人签订了一年以上（含一年）的劳动合同或服务协议；</w:t>
      </w:r>
    </w:p>
    <w:p w14:paraId="16512114">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129C569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提供本单位制造的货物、承担的工程或者服务，或者提供其他残疾人福利性单位制造的货物（不包括使用非残疾人福利性单位注册商标的货物）。</w:t>
      </w:r>
    </w:p>
    <w:p w14:paraId="1E3172D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645F06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p>
    <w:bookmarkEnd w:id="357"/>
    <w:p w14:paraId="113466AF">
      <w:pPr>
        <w:keepNext w:val="0"/>
        <w:keepLines w:val="0"/>
        <w:pageBreakBefore w:val="0"/>
        <w:widowControl w:val="0"/>
        <w:kinsoku/>
        <w:wordWrap/>
        <w:overflowPunct/>
        <w:topLinePunct w:val="0"/>
        <w:autoSpaceDE/>
        <w:autoSpaceDN/>
        <w:bidi w:val="0"/>
        <w:adjustRightInd/>
        <w:snapToGrid/>
        <w:spacing w:line="460" w:lineRule="exact"/>
        <w:ind w:firstLine="241" w:firstLineChars="1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2、信用信息查询</w:t>
      </w:r>
    </w:p>
    <w:p w14:paraId="1617120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p>
    <w:p w14:paraId="5101785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1、查询截止时点：投标文件递交截止时间。</w:t>
      </w:r>
    </w:p>
    <w:p w14:paraId="78A52A9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p>
    <w:p w14:paraId="07517A0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3、查询证据留存方式：</w:t>
      </w:r>
    </w:p>
    <w:p w14:paraId="6F3AA5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p>
    <w:p w14:paraId="6F45697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4、信用记录使用规则：</w:t>
      </w:r>
    </w:p>
    <w:p w14:paraId="5016397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评标委员会在对投标人进行资格性审查时，应根据查询结果对投标人的不良信用记录逐项甄别确认。</w:t>
      </w:r>
    </w:p>
    <w:p w14:paraId="5E71983F">
      <w:pPr>
        <w:keepNext w:val="0"/>
        <w:keepLines w:val="0"/>
        <w:pageBreakBefore w:val="0"/>
        <w:widowControl w:val="0"/>
        <w:kinsoku/>
        <w:wordWrap/>
        <w:overflowPunct/>
        <w:topLinePunct w:val="0"/>
        <w:autoSpaceDE/>
        <w:autoSpaceDN/>
        <w:bidi w:val="0"/>
        <w:adjustRightInd/>
        <w:snapToGrid/>
        <w:spacing w:line="460" w:lineRule="exact"/>
        <w:ind w:firstLine="241" w:firstLineChars="1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3、节能产品和环境标志产品：</w:t>
      </w:r>
    </w:p>
    <w:p w14:paraId="08545C07">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调整优化节能产品、环境标志产品政府采购执行机制的通知》（财库〔2019〕9号）、苏州市财政局《关于贯彻执行绿色采购、促进残疾人就业和支持监狱企业发展有关政策的通知》（苏财购〔2019〕10号）文件的规定：</w:t>
      </w:r>
    </w:p>
    <w:p w14:paraId="70B95585">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p>
    <w:p w14:paraId="43B14983">
      <w:pPr>
        <w:keepNext w:val="0"/>
        <w:keepLines w:val="0"/>
        <w:pageBreakBefore w:val="0"/>
        <w:widowControl w:val="0"/>
        <w:kinsoku/>
        <w:wordWrap/>
        <w:overflowPunct/>
        <w:topLinePunct w:val="0"/>
        <w:autoSpaceDE/>
        <w:autoSpaceDN/>
        <w:bidi w:val="0"/>
        <w:adjustRightInd/>
        <w:snapToGrid/>
        <w:spacing w:line="460" w:lineRule="exact"/>
        <w:ind w:firstLine="241" w:firstLineChars="1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采购本国产品的支持政策</w:t>
      </w:r>
    </w:p>
    <w:p w14:paraId="0401AB87">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本项目政府采购活动中既有本国产品又有非本国产品参与竞争的，依法对本国产品给予价格评审优惠，对本国产品的报价给予20%的价格扣除，用扣除后的价格参与评审。</w:t>
      </w:r>
    </w:p>
    <w:p w14:paraId="49BEC997">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DCAA2FA">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供应商需按照招标文件的要求提供《关于符合本国产品标准的声明函》（以下简称《声明函》），如不提供将不享受本国产品价格评审优惠。</w:t>
      </w:r>
    </w:p>
    <w:p w14:paraId="17F2B1EF">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D07B318">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E590605">
      <w:pPr>
        <w:autoSpaceDE w:val="0"/>
        <w:autoSpaceDN w:val="0"/>
        <w:spacing w:line="440" w:lineRule="exact"/>
        <w:ind w:firstLine="480" w:firstLineChars="200"/>
        <w:jc w:val="center"/>
        <w:outlineLvl w:val="0"/>
        <w:rPr>
          <w:rFonts w:hint="eastAsia" w:ascii="宋体" w:hAnsi="宋体" w:eastAsia="宋体" w:cs="宋体"/>
          <w:b/>
          <w:bCs/>
          <w:color w:val="auto"/>
          <w:sz w:val="40"/>
          <w:szCs w:val="40"/>
          <w:highlight w:val="none"/>
        </w:rPr>
      </w:pPr>
      <w:r>
        <w:rPr>
          <w:rFonts w:hint="eastAsia" w:ascii="宋体" w:hAnsi="宋体" w:eastAsia="宋体" w:cs="宋体"/>
          <w:color w:val="auto"/>
          <w:sz w:val="24"/>
          <w:szCs w:val="24"/>
          <w:highlight w:val="none"/>
        </w:rPr>
        <w:br w:type="page"/>
      </w:r>
      <w:bookmarkStart w:id="358" w:name="_Toc16924"/>
      <w:r>
        <w:rPr>
          <w:rFonts w:hint="eastAsia" w:ascii="宋体" w:hAnsi="宋体" w:eastAsia="宋体" w:cs="宋体"/>
          <w:b/>
          <w:bCs/>
          <w:color w:val="auto"/>
          <w:sz w:val="40"/>
          <w:szCs w:val="40"/>
          <w:highlight w:val="none"/>
        </w:rPr>
        <w:t>第六章  投标</w:t>
      </w:r>
      <w:bookmarkEnd w:id="332"/>
      <w:bookmarkEnd w:id="333"/>
      <w:bookmarkEnd w:id="334"/>
      <w:r>
        <w:rPr>
          <w:rFonts w:hint="eastAsia" w:ascii="宋体" w:hAnsi="宋体" w:eastAsia="宋体" w:cs="宋体"/>
          <w:b/>
          <w:bCs/>
          <w:color w:val="auto"/>
          <w:sz w:val="40"/>
          <w:szCs w:val="40"/>
          <w:highlight w:val="none"/>
        </w:rPr>
        <w:t>文件格式</w:t>
      </w:r>
      <w:bookmarkEnd w:id="358"/>
      <w:r>
        <w:rPr>
          <w:rFonts w:hint="eastAsia" w:ascii="宋体" w:hAnsi="宋体" w:eastAsia="宋体" w:cs="宋体"/>
          <w:b/>
          <w:bCs/>
          <w:color w:val="auto"/>
          <w:sz w:val="40"/>
          <w:szCs w:val="40"/>
          <w:highlight w:val="none"/>
        </w:rPr>
        <w:t xml:space="preserve"> </w:t>
      </w:r>
    </w:p>
    <w:p w14:paraId="43FE944C">
      <w:pPr>
        <w:ind w:firstLine="1446"/>
        <w:jc w:val="center"/>
        <w:rPr>
          <w:rFonts w:hint="eastAsia" w:ascii="宋体" w:hAnsi="宋体" w:eastAsia="宋体" w:cs="宋体"/>
          <w:b/>
          <w:color w:val="auto"/>
          <w:sz w:val="72"/>
          <w:szCs w:val="21"/>
          <w:highlight w:val="none"/>
        </w:rPr>
      </w:pPr>
      <w:bookmarkStart w:id="359" w:name="_Hlt26671244"/>
      <w:bookmarkEnd w:id="359"/>
      <w:bookmarkStart w:id="360" w:name="_Hlt26955039"/>
      <w:bookmarkEnd w:id="360"/>
      <w:bookmarkStart w:id="361" w:name="_Toc49090576"/>
      <w:bookmarkStart w:id="362" w:name="_Toc26554094"/>
      <w:bookmarkStart w:id="363" w:name="_Toc120614282"/>
    </w:p>
    <w:p w14:paraId="55FDC4C9">
      <w:pPr>
        <w:ind w:firstLine="1446"/>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  标  文  件</w:t>
      </w:r>
    </w:p>
    <w:p w14:paraId="3EB95E28">
      <w:pPr>
        <w:ind w:firstLine="1446"/>
        <w:jc w:val="center"/>
        <w:rPr>
          <w:rFonts w:hint="eastAsia" w:ascii="宋体" w:hAnsi="宋体" w:eastAsia="宋体" w:cs="宋体"/>
          <w:b/>
          <w:color w:val="auto"/>
          <w:sz w:val="72"/>
          <w:szCs w:val="21"/>
          <w:highlight w:val="none"/>
        </w:rPr>
      </w:pPr>
    </w:p>
    <w:p w14:paraId="640A3174">
      <w:pPr>
        <w:ind w:firstLine="1446"/>
        <w:jc w:val="center"/>
        <w:rPr>
          <w:rFonts w:hint="eastAsia" w:ascii="宋体" w:hAnsi="宋体" w:eastAsia="宋体" w:cs="宋体"/>
          <w:b/>
          <w:color w:val="auto"/>
          <w:sz w:val="72"/>
          <w:szCs w:val="21"/>
          <w:highlight w:val="none"/>
        </w:rPr>
      </w:pPr>
    </w:p>
    <w:p w14:paraId="1D9F821A">
      <w:pPr>
        <w:ind w:firstLine="723"/>
        <w:jc w:val="center"/>
        <w:rPr>
          <w:rFonts w:hint="eastAsia" w:ascii="宋体" w:hAnsi="宋体" w:eastAsia="宋体" w:cs="宋体"/>
          <w:b/>
          <w:color w:val="auto"/>
          <w:sz w:val="36"/>
          <w:szCs w:val="21"/>
          <w:highlight w:val="none"/>
        </w:rPr>
      </w:pPr>
    </w:p>
    <w:p w14:paraId="1F93B1A3">
      <w:pPr>
        <w:ind w:firstLine="723"/>
        <w:jc w:val="center"/>
        <w:rPr>
          <w:rFonts w:hint="eastAsia" w:ascii="宋体" w:hAnsi="宋体" w:eastAsia="宋体" w:cs="宋体"/>
          <w:b/>
          <w:color w:val="auto"/>
          <w:sz w:val="36"/>
          <w:szCs w:val="21"/>
          <w:highlight w:val="none"/>
        </w:rPr>
      </w:pPr>
    </w:p>
    <w:p w14:paraId="2899D1D9">
      <w:pPr>
        <w:ind w:firstLine="723"/>
        <w:jc w:val="center"/>
        <w:rPr>
          <w:rFonts w:hint="eastAsia" w:ascii="宋体" w:hAnsi="宋体" w:eastAsia="宋体" w:cs="宋体"/>
          <w:b/>
          <w:color w:val="auto"/>
          <w:sz w:val="36"/>
          <w:szCs w:val="21"/>
          <w:highlight w:val="none"/>
        </w:rPr>
      </w:pPr>
    </w:p>
    <w:p w14:paraId="79D5E3DA">
      <w:pPr>
        <w:spacing w:line="480" w:lineRule="exact"/>
        <w:ind w:firstLine="803" w:firstLineChars="200"/>
        <w:jc w:val="center"/>
        <w:rPr>
          <w:rFonts w:hint="eastAsia" w:ascii="宋体" w:hAnsi="宋体" w:eastAsia="宋体" w:cs="宋体"/>
          <w:b/>
          <w:color w:val="auto"/>
          <w:sz w:val="40"/>
          <w:highlight w:val="none"/>
          <w:lang w:eastAsia="zh-CN"/>
        </w:rPr>
      </w:pPr>
      <w:r>
        <w:rPr>
          <w:rFonts w:hint="eastAsia" w:ascii="宋体" w:hAnsi="宋体" w:eastAsia="宋体" w:cs="宋体"/>
          <w:b/>
          <w:color w:val="auto"/>
          <w:sz w:val="40"/>
          <w:highlight w:val="none"/>
        </w:rPr>
        <w:t>项 目 名 称：</w:t>
      </w:r>
      <w:r>
        <w:rPr>
          <w:rFonts w:hint="eastAsia" w:ascii="宋体" w:hAnsi="宋体" w:eastAsia="宋体" w:cs="宋体"/>
          <w:b/>
          <w:color w:val="auto"/>
          <w:sz w:val="36"/>
          <w:szCs w:val="24"/>
          <w:highlight w:val="none"/>
          <w:lang w:eastAsia="zh-CN"/>
        </w:rPr>
        <w:t>2026年常熟市农作物重大病虫害防控物化补助项目</w:t>
      </w:r>
    </w:p>
    <w:p w14:paraId="27708E6C">
      <w:pPr>
        <w:spacing w:line="480" w:lineRule="exact"/>
        <w:ind w:firstLine="803"/>
        <w:rPr>
          <w:rFonts w:hint="eastAsia" w:ascii="宋体" w:hAnsi="宋体" w:eastAsia="宋体" w:cs="宋体"/>
          <w:b/>
          <w:color w:val="auto"/>
          <w:sz w:val="40"/>
          <w:highlight w:val="none"/>
        </w:rPr>
      </w:pPr>
    </w:p>
    <w:p w14:paraId="7A8DE5E9">
      <w:pPr>
        <w:spacing w:line="480" w:lineRule="exact"/>
        <w:ind w:firstLine="803" w:firstLineChars="200"/>
        <w:rPr>
          <w:rFonts w:hint="eastAsia" w:ascii="宋体" w:hAnsi="宋体" w:eastAsia="宋体" w:cs="宋体"/>
          <w:b/>
          <w:color w:val="auto"/>
          <w:sz w:val="40"/>
          <w:highlight w:val="none"/>
          <w:u w:val="single"/>
          <w:lang w:eastAsia="zh-CN"/>
        </w:rPr>
      </w:pPr>
      <w:r>
        <w:rPr>
          <w:rFonts w:hint="eastAsia" w:ascii="宋体" w:hAnsi="宋体" w:eastAsia="宋体" w:cs="宋体"/>
          <w:b/>
          <w:color w:val="auto"/>
          <w:sz w:val="40"/>
          <w:highlight w:val="none"/>
        </w:rPr>
        <w:t>项 目 编 号：</w:t>
      </w:r>
      <w:r>
        <w:rPr>
          <w:rFonts w:hint="eastAsia" w:ascii="宋体" w:hAnsi="宋体" w:cs="宋体"/>
          <w:b/>
          <w:color w:val="auto"/>
          <w:sz w:val="36"/>
          <w:szCs w:val="24"/>
          <w:highlight w:val="none"/>
          <w:lang w:eastAsia="zh-CN"/>
        </w:rPr>
        <w:t>JSZC-320581-SZDS-G2026-0007</w:t>
      </w:r>
    </w:p>
    <w:p w14:paraId="22758606">
      <w:pPr>
        <w:spacing w:line="480" w:lineRule="exact"/>
        <w:ind w:firstLine="803"/>
        <w:rPr>
          <w:rFonts w:hint="eastAsia" w:ascii="宋体" w:hAnsi="宋体" w:eastAsia="宋体" w:cs="宋体"/>
          <w:b/>
          <w:color w:val="auto"/>
          <w:sz w:val="40"/>
          <w:highlight w:val="none"/>
        </w:rPr>
      </w:pPr>
    </w:p>
    <w:p w14:paraId="524F3322">
      <w:pPr>
        <w:spacing w:line="480" w:lineRule="exact"/>
        <w:ind w:firstLine="803"/>
        <w:rPr>
          <w:rFonts w:hint="eastAsia" w:ascii="宋体" w:hAnsi="宋体" w:eastAsia="宋体" w:cs="宋体"/>
          <w:b/>
          <w:color w:val="auto"/>
          <w:sz w:val="40"/>
          <w:highlight w:val="none"/>
        </w:rPr>
      </w:pPr>
    </w:p>
    <w:p w14:paraId="5847BCCB">
      <w:pPr>
        <w:spacing w:line="480" w:lineRule="exact"/>
        <w:ind w:firstLine="803"/>
        <w:rPr>
          <w:rFonts w:hint="eastAsia" w:ascii="宋体" w:hAnsi="宋体" w:eastAsia="宋体" w:cs="宋体"/>
          <w:b/>
          <w:color w:val="auto"/>
          <w:sz w:val="40"/>
          <w:highlight w:val="none"/>
        </w:rPr>
      </w:pPr>
    </w:p>
    <w:p w14:paraId="1EC0EE7E">
      <w:pPr>
        <w:spacing w:line="480" w:lineRule="exact"/>
        <w:ind w:firstLine="803"/>
        <w:rPr>
          <w:rFonts w:hint="eastAsia" w:ascii="宋体" w:hAnsi="宋体" w:eastAsia="宋体" w:cs="宋体"/>
          <w:b/>
          <w:color w:val="auto"/>
          <w:sz w:val="40"/>
          <w:highlight w:val="none"/>
        </w:rPr>
      </w:pPr>
    </w:p>
    <w:p w14:paraId="736AA620">
      <w:pPr>
        <w:spacing w:line="480" w:lineRule="exact"/>
        <w:ind w:firstLine="803"/>
        <w:rPr>
          <w:rFonts w:hint="eastAsia" w:ascii="宋体" w:hAnsi="宋体" w:eastAsia="宋体" w:cs="宋体"/>
          <w:b/>
          <w:color w:val="auto"/>
          <w:sz w:val="40"/>
          <w:highlight w:val="none"/>
        </w:rPr>
      </w:pPr>
    </w:p>
    <w:p w14:paraId="4B7B34FA">
      <w:pPr>
        <w:spacing w:line="480" w:lineRule="exact"/>
        <w:ind w:firstLine="803"/>
        <w:rPr>
          <w:rFonts w:hint="eastAsia" w:ascii="宋体" w:hAnsi="宋体" w:eastAsia="宋体" w:cs="宋体"/>
          <w:b/>
          <w:color w:val="auto"/>
          <w:sz w:val="40"/>
          <w:highlight w:val="none"/>
        </w:rPr>
      </w:pPr>
    </w:p>
    <w:p w14:paraId="184C41C8">
      <w:pPr>
        <w:spacing w:line="480" w:lineRule="exact"/>
        <w:ind w:firstLine="803"/>
        <w:rPr>
          <w:rFonts w:hint="eastAsia" w:ascii="宋体" w:hAnsi="宋体" w:eastAsia="宋体" w:cs="宋体"/>
          <w:b/>
          <w:color w:val="auto"/>
          <w:sz w:val="40"/>
          <w:highlight w:val="none"/>
        </w:rPr>
      </w:pPr>
    </w:p>
    <w:p w14:paraId="588EDE61">
      <w:pPr>
        <w:spacing w:line="480" w:lineRule="exact"/>
        <w:ind w:firstLine="803"/>
        <w:rPr>
          <w:rFonts w:hint="eastAsia" w:ascii="宋体" w:hAnsi="宋体" w:eastAsia="宋体" w:cs="宋体"/>
          <w:b/>
          <w:color w:val="auto"/>
          <w:sz w:val="40"/>
          <w:highlight w:val="none"/>
        </w:rPr>
      </w:pPr>
    </w:p>
    <w:p w14:paraId="1DB1A4AE">
      <w:pPr>
        <w:spacing w:line="480" w:lineRule="exact"/>
        <w:ind w:firstLine="803"/>
        <w:jc w:val="center"/>
        <w:rPr>
          <w:rFonts w:hint="eastAsia" w:ascii="宋体" w:hAnsi="宋体" w:eastAsia="宋体" w:cs="宋体"/>
          <w:b/>
          <w:color w:val="auto"/>
          <w:sz w:val="40"/>
          <w:highlight w:val="none"/>
          <w:u w:val="single"/>
        </w:rPr>
      </w:pPr>
      <w:r>
        <w:rPr>
          <w:rFonts w:hint="eastAsia" w:ascii="宋体" w:hAnsi="宋体" w:eastAsia="宋体" w:cs="宋体"/>
          <w:b/>
          <w:color w:val="auto"/>
          <w:sz w:val="40"/>
          <w:highlight w:val="none"/>
        </w:rPr>
        <w:t>投标人名称 ：</w:t>
      </w:r>
      <w:r>
        <w:rPr>
          <w:rFonts w:hint="eastAsia" w:ascii="宋体" w:hAnsi="宋体" w:eastAsia="宋体" w:cs="宋体"/>
          <w:b/>
          <w:color w:val="auto"/>
          <w:sz w:val="40"/>
          <w:highlight w:val="none"/>
          <w:u w:val="single"/>
        </w:rPr>
        <w:t>（加盖CA电子公章）</w:t>
      </w:r>
    </w:p>
    <w:p w14:paraId="7B3230A8">
      <w:pPr>
        <w:spacing w:line="480" w:lineRule="exact"/>
        <w:ind w:firstLine="803"/>
        <w:jc w:val="center"/>
        <w:rPr>
          <w:rFonts w:hint="eastAsia" w:ascii="宋体" w:hAnsi="宋体" w:eastAsia="宋体" w:cs="宋体"/>
          <w:b/>
          <w:color w:val="auto"/>
          <w:sz w:val="40"/>
          <w:highlight w:val="none"/>
        </w:rPr>
      </w:pPr>
    </w:p>
    <w:p w14:paraId="19FF08D4">
      <w:pPr>
        <w:spacing w:line="480" w:lineRule="exact"/>
        <w:ind w:firstLine="803"/>
        <w:jc w:val="center"/>
        <w:rPr>
          <w:rFonts w:hint="eastAsia" w:ascii="宋体" w:hAnsi="宋体" w:eastAsia="宋体" w:cs="宋体"/>
          <w:b/>
          <w:color w:val="auto"/>
          <w:sz w:val="40"/>
          <w:highlight w:val="none"/>
          <w:u w:val="single"/>
        </w:rPr>
      </w:pPr>
      <w:r>
        <w:rPr>
          <w:rFonts w:hint="eastAsia" w:ascii="宋体" w:hAnsi="宋体" w:eastAsia="宋体" w:cs="宋体"/>
          <w:b/>
          <w:color w:val="auto"/>
          <w:sz w:val="40"/>
          <w:highlight w:val="none"/>
        </w:rPr>
        <w:t>日      期 ：</w:t>
      </w:r>
      <w:r>
        <w:rPr>
          <w:rFonts w:hint="eastAsia" w:ascii="宋体" w:hAnsi="宋体" w:eastAsia="宋体" w:cs="宋体"/>
          <w:b/>
          <w:color w:val="auto"/>
          <w:sz w:val="36"/>
          <w:szCs w:val="24"/>
          <w:highlight w:val="none"/>
          <w:lang w:eastAsia="zh-CN"/>
        </w:rPr>
        <w:t>2026</w:t>
      </w:r>
      <w:r>
        <w:rPr>
          <w:rFonts w:hint="eastAsia" w:ascii="宋体" w:hAnsi="宋体" w:eastAsia="宋体" w:cs="宋体"/>
          <w:b/>
          <w:color w:val="auto"/>
          <w:sz w:val="40"/>
          <w:szCs w:val="40"/>
          <w:highlight w:val="none"/>
        </w:rPr>
        <w:t>年   月     日</w:t>
      </w:r>
    </w:p>
    <w:p w14:paraId="375C4751">
      <w:pPr>
        <w:spacing w:line="440" w:lineRule="exact"/>
        <w:rPr>
          <w:rFonts w:hint="eastAsia" w:ascii="宋体" w:hAnsi="宋体" w:eastAsia="宋体" w:cs="宋体"/>
          <w:color w:val="auto"/>
          <w:szCs w:val="21"/>
          <w:highlight w:val="none"/>
        </w:rPr>
      </w:pPr>
    </w:p>
    <w:p w14:paraId="725C35A2">
      <w:pPr>
        <w:widowControl/>
        <w:ind w:firstLine="643"/>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69E3BA72">
      <w:pPr>
        <w:spacing w:line="440" w:lineRule="exact"/>
        <w:ind w:firstLine="643"/>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538310CA">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一、基本目录</w:t>
      </w:r>
    </w:p>
    <w:p w14:paraId="564D18E8">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highlight w:val="none"/>
        </w:rPr>
        <w:t>开标一览表</w:t>
      </w:r>
      <w:r>
        <w:rPr>
          <w:rFonts w:hint="eastAsia" w:ascii="宋体" w:hAnsi="宋体" w:eastAsia="宋体" w:cs="宋体"/>
          <w:color w:val="auto"/>
          <w:sz w:val="24"/>
          <w:szCs w:val="24"/>
          <w:highlight w:val="none"/>
        </w:rPr>
        <w:t>（格式见附件）</w:t>
      </w:r>
    </w:p>
    <w:p w14:paraId="31F76C5F">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highlight w:val="none"/>
        </w:rPr>
        <w:t>报价明细表</w:t>
      </w:r>
      <w:r>
        <w:rPr>
          <w:rFonts w:hint="eastAsia" w:ascii="宋体" w:hAnsi="宋体" w:eastAsia="宋体" w:cs="宋体"/>
          <w:color w:val="auto"/>
          <w:sz w:val="24"/>
          <w:szCs w:val="24"/>
          <w:highlight w:val="none"/>
        </w:rPr>
        <w:t>（格式见附件）</w:t>
      </w:r>
    </w:p>
    <w:p w14:paraId="41419568">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二、资格审查内容</w:t>
      </w:r>
    </w:p>
    <w:p w14:paraId="4C83F66C">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07F566C5">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w:t>
      </w:r>
    </w:p>
    <w:p w14:paraId="1149519F">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w:t>
      </w:r>
      <w:r>
        <w:rPr>
          <w:rFonts w:hint="eastAsia" w:ascii="宋体" w:hAnsi="宋体" w:eastAsia="宋体" w:cs="宋体"/>
          <w:b/>
          <w:color w:val="auto"/>
          <w:sz w:val="24"/>
          <w:szCs w:val="24"/>
          <w:highlight w:val="none"/>
        </w:rPr>
        <w:t>202</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年</w:t>
      </w:r>
      <w:r>
        <w:rPr>
          <w:rFonts w:hint="eastAsia" w:ascii="宋体" w:hAnsi="宋体" w:eastAsia="宋体" w:cs="宋体"/>
          <w:bCs/>
          <w:color w:val="auto"/>
          <w:sz w:val="24"/>
          <w:szCs w:val="24"/>
          <w:highlight w:val="none"/>
        </w:rPr>
        <w:t>至今任意一期</w:t>
      </w:r>
      <w:r>
        <w:rPr>
          <w:rFonts w:hint="eastAsia" w:ascii="宋体" w:hAnsi="宋体" w:eastAsia="宋体" w:cs="宋体"/>
          <w:b/>
          <w:color w:val="auto"/>
          <w:sz w:val="24"/>
          <w:szCs w:val="24"/>
          <w:highlight w:val="none"/>
        </w:rPr>
        <w:t>经审计</w:t>
      </w:r>
      <w:r>
        <w:rPr>
          <w:rFonts w:hint="eastAsia" w:ascii="宋体" w:hAnsi="宋体" w:eastAsia="宋体" w:cs="宋体"/>
          <w:bCs/>
          <w:color w:val="auto"/>
          <w:sz w:val="24"/>
          <w:szCs w:val="24"/>
          <w:highlight w:val="none"/>
        </w:rPr>
        <w:t>的财务报告或者近期由银行出具的资信证明；</w:t>
      </w:r>
    </w:p>
    <w:p w14:paraId="2A92C0AB">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46A0269D">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具备履行合同所必需的设备和专业技术能力的书面声明（格式见附件）</w:t>
      </w:r>
    </w:p>
    <w:p w14:paraId="3586B323">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参加政府采购活动前 3 年内在经营活动中没有重大违法记录的书面声明（格式见附件）</w:t>
      </w:r>
    </w:p>
    <w:p w14:paraId="63589C9A">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*2、中小企业声明函（格式见附件）或残疾人福利性单位声明函（格式见附件）或省级以上监狱管理局、戒毒管理局（含新疆生产建设兵团）出具的属于监狱企业的证明文件</w:t>
      </w:r>
    </w:p>
    <w:p w14:paraId="263A7250">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3、投标人</w:t>
      </w:r>
      <w:r>
        <w:rPr>
          <w:rFonts w:hint="eastAsia" w:ascii="宋体" w:hAnsi="宋体" w:eastAsia="宋体" w:cs="宋体"/>
          <w:color w:val="auto"/>
          <w:sz w:val="24"/>
          <w:szCs w:val="24"/>
          <w:highlight w:val="none"/>
        </w:rPr>
        <w:t>具有有效期内的《农药经营许可证》</w:t>
      </w:r>
    </w:p>
    <w:p w14:paraId="0897F0E8">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注：其中加“*”项目若有缺失或无效，将导致其投标文件无效且不允许在投标文件开启时间后补正。</w:t>
      </w:r>
    </w:p>
    <w:p w14:paraId="19DC4946">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三、符合性审查内容</w:t>
      </w:r>
    </w:p>
    <w:p w14:paraId="0602EFB6">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1.法人授权书（格式见附件）（如法定代表人签署投标文件的，法人授权书无需提供）</w:t>
      </w:r>
    </w:p>
    <w:p w14:paraId="55BCE787">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2.投标函（格式见附件）</w:t>
      </w:r>
    </w:p>
    <w:p w14:paraId="44EE52D1">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3.技术参数响应及偏离表（格式见附件）</w:t>
      </w:r>
    </w:p>
    <w:p w14:paraId="3C3D64BB">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4.商务要求响应及偏离表（格式见附件）</w:t>
      </w:r>
    </w:p>
    <w:p w14:paraId="27BA67DF">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5.供应商与其他单位存在直接控股、管理关系情况表</w:t>
      </w:r>
      <w:r>
        <w:rPr>
          <w:rFonts w:hint="eastAsia" w:ascii="宋体" w:hAnsi="宋体" w:eastAsia="宋体" w:cs="宋体"/>
          <w:color w:val="auto"/>
          <w:sz w:val="24"/>
          <w:szCs w:val="24"/>
          <w:highlight w:val="none"/>
        </w:rPr>
        <w:t>（格式见附件）</w:t>
      </w:r>
    </w:p>
    <w:p w14:paraId="36950421">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6.关于符合本国产品标准的声明函</w:t>
      </w:r>
      <w:r>
        <w:rPr>
          <w:rFonts w:hint="eastAsia" w:ascii="宋体" w:hAnsi="宋体" w:eastAsia="宋体" w:cs="宋体"/>
          <w:color w:val="auto"/>
          <w:sz w:val="24"/>
          <w:szCs w:val="24"/>
          <w:highlight w:val="none"/>
        </w:rPr>
        <w:t>（格式见附件）</w:t>
      </w:r>
    </w:p>
    <w:p w14:paraId="7EDA3CB8">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四、综合评审文件</w:t>
      </w:r>
    </w:p>
    <w:p w14:paraId="2A496B4B">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1、项目实施方案（格式见附件）</w:t>
      </w:r>
    </w:p>
    <w:p w14:paraId="45318AF1">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备注：针对“二、资格审查内容”和“三、符合性审查内容”，投标人必须在投标文件中提供相关材料，若有缺失或无效的，将导致其投标无效。</w:t>
      </w:r>
    </w:p>
    <w:p w14:paraId="279F9E06">
      <w:pPr>
        <w:spacing w:line="440" w:lineRule="exact"/>
        <w:ind w:firstLine="482"/>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clear="all"/>
      </w:r>
      <w:bookmarkStart w:id="364" w:name="_Toc28490"/>
      <w:r>
        <w:rPr>
          <w:rFonts w:hint="eastAsia" w:ascii="宋体" w:hAnsi="宋体" w:eastAsia="宋体" w:cs="宋体"/>
          <w:b/>
          <w:bCs/>
          <w:color w:val="auto"/>
          <w:sz w:val="28"/>
          <w:szCs w:val="28"/>
          <w:highlight w:val="none"/>
        </w:rPr>
        <w:t>附件1 开标一览表</w:t>
      </w:r>
      <w:bookmarkEnd w:id="364"/>
    </w:p>
    <w:p w14:paraId="1E19A05F">
      <w:pPr>
        <w:ind w:firstLine="482"/>
        <w:rPr>
          <w:rFonts w:hint="eastAsia" w:ascii="宋体" w:hAnsi="宋体" w:eastAsia="宋体" w:cs="宋体"/>
          <w:b/>
          <w:color w:val="auto"/>
          <w:sz w:val="24"/>
          <w:szCs w:val="24"/>
          <w:highlight w:val="none"/>
        </w:rPr>
      </w:pPr>
    </w:p>
    <w:p w14:paraId="280C3FD7">
      <w:pPr>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14:paraId="5359270F">
      <w:pPr>
        <w:spacing w:line="44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JSZC-320581-SZDS-G2026-0007</w:t>
      </w:r>
    </w:p>
    <w:p w14:paraId="1516472F">
      <w:pPr>
        <w:spacing w:line="44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分包号</w:t>
      </w:r>
      <w:r>
        <w:rPr>
          <w:rFonts w:hint="eastAsia" w:ascii="宋体" w:hAnsi="宋体" w:eastAsia="宋体" w:cs="宋体"/>
          <w:color w:val="auto"/>
          <w:sz w:val="24"/>
          <w:szCs w:val="24"/>
          <w:highlight w:val="none"/>
        </w:rPr>
        <w:t>：</w:t>
      </w:r>
    </w:p>
    <w:bookmarkEnd w:id="178"/>
    <w:bookmarkEnd w:id="179"/>
    <w:bookmarkEnd w:id="361"/>
    <w:bookmarkEnd w:id="362"/>
    <w:bookmarkEnd w:id="363"/>
    <w:tbl>
      <w:tblPr>
        <w:tblStyle w:val="38"/>
        <w:tblW w:w="0" w:type="auto"/>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3"/>
        <w:gridCol w:w="3597"/>
      </w:tblGrid>
      <w:tr w14:paraId="59B8C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7" w:hRule="atLeast"/>
        </w:trPr>
        <w:tc>
          <w:tcPr>
            <w:tcW w:w="5683" w:type="dxa"/>
            <w:vAlign w:val="center"/>
          </w:tcPr>
          <w:p w14:paraId="23F4827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3597" w:type="dxa"/>
            <w:vAlign w:val="center"/>
          </w:tcPr>
          <w:p w14:paraId="2F84939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投标优惠率</w:t>
            </w:r>
          </w:p>
        </w:tc>
      </w:tr>
      <w:tr w14:paraId="16637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7" w:hRule="atLeast"/>
        </w:trPr>
        <w:tc>
          <w:tcPr>
            <w:tcW w:w="5683" w:type="dxa"/>
            <w:vAlign w:val="center"/>
          </w:tcPr>
          <w:p w14:paraId="42B91BF0">
            <w:pPr>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2026年常熟市农作物重大病虫害防控物化补助项目</w:t>
            </w:r>
          </w:p>
        </w:tc>
        <w:tc>
          <w:tcPr>
            <w:tcW w:w="3597" w:type="dxa"/>
            <w:vAlign w:val="center"/>
          </w:tcPr>
          <w:p w14:paraId="721E215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小写</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tc>
      </w:tr>
    </w:tbl>
    <w:p w14:paraId="021F7A32">
      <w:pPr>
        <w:rPr>
          <w:rFonts w:hint="eastAsia" w:ascii="宋体" w:hAnsi="宋体" w:eastAsia="宋体" w:cs="宋体"/>
          <w:color w:val="auto"/>
          <w:sz w:val="24"/>
          <w:szCs w:val="24"/>
          <w:highlight w:val="none"/>
        </w:rPr>
      </w:pPr>
    </w:p>
    <w:p w14:paraId="0BF8CC29">
      <w:pPr>
        <w:jc w:val="righ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日期：   年   月   日</w:t>
      </w:r>
    </w:p>
    <w:p w14:paraId="0126C209">
      <w:pPr>
        <w:ind w:firstLine="482"/>
        <w:rPr>
          <w:rFonts w:hint="eastAsia" w:ascii="宋体" w:hAnsi="宋体" w:eastAsia="宋体" w:cs="宋体"/>
          <w:b/>
          <w:color w:val="auto"/>
          <w:sz w:val="24"/>
          <w:szCs w:val="24"/>
          <w:highlight w:val="none"/>
        </w:rPr>
      </w:pPr>
    </w:p>
    <w:p w14:paraId="1AB78E21">
      <w:pPr>
        <w:spacing w:line="44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填写说明:</w:t>
      </w:r>
    </w:p>
    <w:p w14:paraId="54F82F0D">
      <w:pPr>
        <w:spacing w:line="44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1、开标一览表必须加盖投标人公章(复印件无效)。</w:t>
      </w:r>
    </w:p>
    <w:p w14:paraId="31DDEDCA">
      <w:pPr>
        <w:spacing w:line="440" w:lineRule="exac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2、如有分包，投标人投任何一个包的标的，都需单独填写开标一览表。</w:t>
      </w:r>
    </w:p>
    <w:p w14:paraId="58735432">
      <w:pPr>
        <w:ind w:firstLine="482"/>
        <w:rPr>
          <w:rFonts w:hint="eastAsia" w:ascii="宋体" w:hAnsi="宋体" w:eastAsia="宋体" w:cs="宋体"/>
          <w:b/>
          <w:color w:val="auto"/>
          <w:sz w:val="24"/>
          <w:szCs w:val="24"/>
          <w:highlight w:val="none"/>
        </w:rPr>
      </w:pPr>
    </w:p>
    <w:p w14:paraId="66B46392">
      <w:pPr>
        <w:ind w:firstLine="482"/>
        <w:rPr>
          <w:rFonts w:hint="eastAsia" w:ascii="宋体" w:hAnsi="宋体" w:eastAsia="宋体" w:cs="宋体"/>
          <w:b/>
          <w:color w:val="auto"/>
          <w:sz w:val="24"/>
          <w:szCs w:val="24"/>
          <w:highlight w:val="none"/>
        </w:rPr>
      </w:pPr>
    </w:p>
    <w:p w14:paraId="1F588E98">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注：1、投标优惠率不得低于0%，否则将作无效投标处理。具体填写方式为：如投标文件中的投标报价（投标优惠率）为10%，则“电子投标文件格式”“投标优惠率”中填写10%。</w:t>
      </w:r>
    </w:p>
    <w:p w14:paraId="33D8954D">
      <w:pPr>
        <w:numPr>
          <w:ilvl w:val="0"/>
          <w:numId w:val="5"/>
        </w:num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投标报价（投标优惠率）请保留小数点后两位。</w:t>
      </w:r>
    </w:p>
    <w:p w14:paraId="197DE335">
      <w:pPr>
        <w:numPr>
          <w:ilvl w:val="0"/>
          <w:numId w:val="5"/>
        </w:numPr>
        <w:spacing w:line="44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每个产品供货单价=对应规格单价最高限价×（1-中标优惠率）</w:t>
      </w:r>
    </w:p>
    <w:p w14:paraId="0272C6D1">
      <w:pPr>
        <w:ind w:firstLine="482"/>
        <w:rPr>
          <w:rFonts w:hint="eastAsia" w:ascii="宋体" w:hAnsi="宋体" w:eastAsia="宋体" w:cs="宋体"/>
          <w:b/>
          <w:color w:val="auto"/>
          <w:sz w:val="24"/>
          <w:szCs w:val="24"/>
          <w:highlight w:val="none"/>
        </w:rPr>
      </w:pPr>
    </w:p>
    <w:p w14:paraId="3626CE2A">
      <w:pPr>
        <w:ind w:firstLine="482"/>
        <w:rPr>
          <w:rFonts w:hint="eastAsia" w:ascii="宋体" w:hAnsi="宋体" w:eastAsia="宋体" w:cs="宋体"/>
          <w:b/>
          <w:color w:val="auto"/>
          <w:sz w:val="24"/>
          <w:szCs w:val="24"/>
          <w:highlight w:val="none"/>
        </w:rPr>
      </w:pPr>
    </w:p>
    <w:p w14:paraId="5B2BE8BF">
      <w:pPr>
        <w:ind w:firstLine="482"/>
        <w:rPr>
          <w:rFonts w:hint="eastAsia" w:ascii="宋体" w:hAnsi="宋体" w:eastAsia="宋体" w:cs="宋体"/>
          <w:b/>
          <w:color w:val="auto"/>
          <w:sz w:val="24"/>
          <w:szCs w:val="24"/>
          <w:highlight w:val="none"/>
        </w:rPr>
      </w:pPr>
    </w:p>
    <w:p w14:paraId="36705ADA">
      <w:pPr>
        <w:ind w:firstLine="482"/>
        <w:rPr>
          <w:rFonts w:hint="eastAsia" w:ascii="宋体" w:hAnsi="宋体" w:eastAsia="宋体" w:cs="宋体"/>
          <w:b/>
          <w:color w:val="auto"/>
          <w:sz w:val="24"/>
          <w:szCs w:val="24"/>
          <w:highlight w:val="none"/>
        </w:rPr>
      </w:pPr>
    </w:p>
    <w:p w14:paraId="5C9776A0">
      <w:pPr>
        <w:ind w:firstLine="482"/>
        <w:rPr>
          <w:rFonts w:hint="eastAsia" w:ascii="宋体" w:hAnsi="宋体" w:eastAsia="宋体" w:cs="宋体"/>
          <w:b/>
          <w:color w:val="auto"/>
          <w:sz w:val="24"/>
          <w:szCs w:val="24"/>
          <w:highlight w:val="none"/>
        </w:rPr>
      </w:pPr>
    </w:p>
    <w:p w14:paraId="74ED827A">
      <w:pPr>
        <w:ind w:firstLine="482"/>
        <w:rPr>
          <w:rFonts w:hint="eastAsia" w:ascii="宋体" w:hAnsi="宋体" w:eastAsia="宋体" w:cs="宋体"/>
          <w:b/>
          <w:color w:val="auto"/>
          <w:sz w:val="24"/>
          <w:szCs w:val="24"/>
          <w:highlight w:val="none"/>
        </w:rPr>
      </w:pPr>
    </w:p>
    <w:p w14:paraId="14079F2F">
      <w:pPr>
        <w:ind w:firstLine="482"/>
        <w:rPr>
          <w:rFonts w:hint="eastAsia" w:ascii="宋体" w:hAnsi="宋体" w:eastAsia="宋体" w:cs="宋体"/>
          <w:b/>
          <w:color w:val="auto"/>
          <w:sz w:val="24"/>
          <w:szCs w:val="24"/>
          <w:highlight w:val="none"/>
        </w:rPr>
      </w:pPr>
    </w:p>
    <w:p w14:paraId="691FD6A7">
      <w:pPr>
        <w:ind w:firstLine="482"/>
        <w:rPr>
          <w:rFonts w:hint="eastAsia" w:ascii="宋体" w:hAnsi="宋体" w:eastAsia="宋体" w:cs="宋体"/>
          <w:b/>
          <w:color w:val="auto"/>
          <w:sz w:val="24"/>
          <w:szCs w:val="24"/>
          <w:highlight w:val="none"/>
        </w:rPr>
      </w:pPr>
    </w:p>
    <w:p w14:paraId="5CF38051">
      <w:pPr>
        <w:ind w:firstLine="482"/>
        <w:rPr>
          <w:rFonts w:hint="eastAsia" w:ascii="宋体" w:hAnsi="宋体" w:eastAsia="宋体" w:cs="宋体"/>
          <w:b/>
          <w:color w:val="auto"/>
          <w:sz w:val="24"/>
          <w:szCs w:val="24"/>
          <w:highlight w:val="none"/>
        </w:rPr>
      </w:pPr>
    </w:p>
    <w:p w14:paraId="7C10684F">
      <w:pPr>
        <w:ind w:firstLine="482"/>
        <w:rPr>
          <w:rFonts w:hint="eastAsia" w:ascii="宋体" w:hAnsi="宋体" w:eastAsia="宋体" w:cs="宋体"/>
          <w:b/>
          <w:color w:val="auto"/>
          <w:sz w:val="24"/>
          <w:szCs w:val="24"/>
          <w:highlight w:val="none"/>
        </w:rPr>
      </w:pPr>
    </w:p>
    <w:p w14:paraId="40516353">
      <w:pPr>
        <w:ind w:firstLine="482"/>
        <w:rPr>
          <w:rFonts w:hint="eastAsia" w:ascii="宋体" w:hAnsi="宋体" w:eastAsia="宋体" w:cs="宋体"/>
          <w:b/>
          <w:color w:val="auto"/>
          <w:sz w:val="24"/>
          <w:szCs w:val="24"/>
          <w:highlight w:val="none"/>
        </w:rPr>
      </w:pPr>
    </w:p>
    <w:p w14:paraId="20ACBC7E">
      <w:pPr>
        <w:ind w:firstLine="482"/>
        <w:rPr>
          <w:rFonts w:hint="eastAsia" w:ascii="宋体" w:hAnsi="宋体" w:eastAsia="宋体" w:cs="宋体"/>
          <w:b/>
          <w:color w:val="auto"/>
          <w:sz w:val="24"/>
          <w:szCs w:val="24"/>
          <w:highlight w:val="none"/>
        </w:rPr>
      </w:pPr>
    </w:p>
    <w:p w14:paraId="2FDA6939">
      <w:pPr>
        <w:ind w:firstLine="482"/>
        <w:rPr>
          <w:rFonts w:hint="eastAsia" w:ascii="宋体" w:hAnsi="宋体" w:eastAsia="宋体" w:cs="宋体"/>
          <w:b/>
          <w:color w:val="auto"/>
          <w:sz w:val="24"/>
          <w:szCs w:val="24"/>
          <w:highlight w:val="none"/>
        </w:rPr>
      </w:pPr>
    </w:p>
    <w:p w14:paraId="3A9AB320">
      <w:pPr>
        <w:ind w:firstLine="482"/>
        <w:rPr>
          <w:rFonts w:hint="eastAsia" w:ascii="宋体" w:hAnsi="宋体" w:eastAsia="宋体" w:cs="宋体"/>
          <w:b/>
          <w:color w:val="auto"/>
          <w:sz w:val="24"/>
          <w:szCs w:val="24"/>
          <w:highlight w:val="none"/>
        </w:rPr>
      </w:pPr>
    </w:p>
    <w:p w14:paraId="0AACD5FE">
      <w:pPr>
        <w:ind w:firstLine="482"/>
        <w:rPr>
          <w:rFonts w:hint="eastAsia" w:ascii="宋体" w:hAnsi="宋体" w:eastAsia="宋体" w:cs="宋体"/>
          <w:b/>
          <w:color w:val="auto"/>
          <w:sz w:val="24"/>
          <w:szCs w:val="24"/>
          <w:highlight w:val="none"/>
        </w:rPr>
      </w:pPr>
    </w:p>
    <w:p w14:paraId="6570C271">
      <w:pPr>
        <w:spacing w:line="440" w:lineRule="exact"/>
        <w:ind w:firstLine="482"/>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clear="all"/>
      </w:r>
      <w:bookmarkStart w:id="365" w:name="_Toc176"/>
      <w:r>
        <w:rPr>
          <w:rFonts w:hint="eastAsia" w:ascii="宋体" w:hAnsi="宋体" w:eastAsia="宋体" w:cs="宋体"/>
          <w:b/>
          <w:bCs/>
          <w:color w:val="auto"/>
          <w:sz w:val="28"/>
          <w:szCs w:val="28"/>
          <w:highlight w:val="none"/>
        </w:rPr>
        <w:t>附件2 报价明细表</w:t>
      </w:r>
      <w:bookmarkEnd w:id="365"/>
    </w:p>
    <w:tbl>
      <w:tblPr>
        <w:tblStyle w:val="38"/>
        <w:tblW w:w="111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4"/>
        <w:gridCol w:w="1777"/>
        <w:gridCol w:w="1063"/>
        <w:gridCol w:w="1577"/>
        <w:gridCol w:w="1361"/>
        <w:gridCol w:w="888"/>
        <w:gridCol w:w="1283"/>
        <w:gridCol w:w="1325"/>
        <w:gridCol w:w="1099"/>
      </w:tblGrid>
      <w:tr w14:paraId="6A78AC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15"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6D72E7F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77" w:type="dxa"/>
            <w:tcBorders>
              <w:top w:val="single" w:color="auto" w:sz="4" w:space="0"/>
              <w:left w:val="nil"/>
              <w:bottom w:val="single" w:color="auto" w:sz="4" w:space="0"/>
              <w:right w:val="single" w:color="auto" w:sz="4" w:space="0"/>
            </w:tcBorders>
            <w:vAlign w:val="center"/>
          </w:tcPr>
          <w:p w14:paraId="5A176156">
            <w:pPr>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0"/>
                <w:highlight w:val="none"/>
              </w:rPr>
              <w:t>货物/费用名称</w:t>
            </w:r>
          </w:p>
        </w:tc>
        <w:tc>
          <w:tcPr>
            <w:tcW w:w="1063" w:type="dxa"/>
            <w:tcBorders>
              <w:top w:val="single" w:color="auto" w:sz="4" w:space="0"/>
              <w:left w:val="nil"/>
              <w:bottom w:val="single" w:color="auto" w:sz="4" w:space="0"/>
              <w:right w:val="single" w:color="auto" w:sz="4" w:space="0"/>
            </w:tcBorders>
            <w:vAlign w:val="center"/>
          </w:tcPr>
          <w:p w14:paraId="337D4A12">
            <w:pPr>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0"/>
                <w:highlight w:val="none"/>
              </w:rPr>
              <w:t>品牌</w:t>
            </w:r>
          </w:p>
        </w:tc>
        <w:tc>
          <w:tcPr>
            <w:tcW w:w="1577" w:type="dxa"/>
            <w:tcBorders>
              <w:top w:val="single" w:color="auto" w:sz="4" w:space="0"/>
              <w:left w:val="nil"/>
              <w:bottom w:val="single" w:color="auto" w:sz="4" w:space="0"/>
              <w:right w:val="single" w:color="auto" w:sz="4" w:space="0"/>
            </w:tcBorders>
            <w:vAlign w:val="center"/>
          </w:tcPr>
          <w:p w14:paraId="1CDA9838">
            <w:pPr>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0"/>
                <w:highlight w:val="none"/>
              </w:rPr>
              <w:t>规格及型号</w:t>
            </w:r>
          </w:p>
        </w:tc>
        <w:tc>
          <w:tcPr>
            <w:tcW w:w="1361" w:type="dxa"/>
            <w:tcBorders>
              <w:top w:val="single" w:color="auto" w:sz="4" w:space="0"/>
              <w:left w:val="nil"/>
              <w:bottom w:val="single" w:color="auto" w:sz="4" w:space="0"/>
              <w:right w:val="single" w:color="auto" w:sz="4" w:space="0"/>
            </w:tcBorders>
            <w:vAlign w:val="center"/>
          </w:tcPr>
          <w:p w14:paraId="7BA630F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888" w:type="dxa"/>
            <w:tcBorders>
              <w:top w:val="single" w:color="auto" w:sz="4" w:space="0"/>
              <w:left w:val="nil"/>
              <w:bottom w:val="single" w:color="auto" w:sz="4" w:space="0"/>
              <w:right w:val="single" w:color="auto" w:sz="4" w:space="0"/>
            </w:tcBorders>
            <w:vAlign w:val="center"/>
          </w:tcPr>
          <w:p w14:paraId="003C5F4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83" w:type="dxa"/>
            <w:tcBorders>
              <w:top w:val="single" w:color="auto" w:sz="4" w:space="0"/>
              <w:left w:val="nil"/>
              <w:bottom w:val="single" w:color="auto" w:sz="4" w:space="0"/>
              <w:right w:val="single" w:color="auto" w:sz="4" w:space="0"/>
            </w:tcBorders>
            <w:vAlign w:val="center"/>
          </w:tcPr>
          <w:p w14:paraId="02D874A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325" w:type="dxa"/>
            <w:tcBorders>
              <w:top w:val="single" w:color="auto" w:sz="4" w:space="0"/>
              <w:left w:val="nil"/>
              <w:bottom w:val="single" w:color="auto" w:sz="4" w:space="0"/>
              <w:right w:val="single" w:color="auto" w:sz="4" w:space="0"/>
            </w:tcBorders>
            <w:vAlign w:val="center"/>
          </w:tcPr>
          <w:p w14:paraId="28041C2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分类总价（元）</w:t>
            </w:r>
          </w:p>
        </w:tc>
        <w:tc>
          <w:tcPr>
            <w:tcW w:w="1099" w:type="dxa"/>
            <w:tcBorders>
              <w:top w:val="single" w:color="auto" w:sz="4" w:space="0"/>
              <w:left w:val="nil"/>
              <w:bottom w:val="single" w:color="auto" w:sz="4" w:space="0"/>
              <w:right w:val="single" w:color="auto" w:sz="4" w:space="0"/>
            </w:tcBorders>
            <w:vAlign w:val="center"/>
          </w:tcPr>
          <w:p w14:paraId="62C2E55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D24D8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69"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21C4D7E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77" w:type="dxa"/>
            <w:tcBorders>
              <w:top w:val="single" w:color="auto" w:sz="4" w:space="0"/>
              <w:left w:val="nil"/>
              <w:bottom w:val="single" w:color="auto" w:sz="4" w:space="0"/>
              <w:right w:val="single" w:color="auto" w:sz="4" w:space="0"/>
            </w:tcBorders>
            <w:vAlign w:val="center"/>
          </w:tcPr>
          <w:p w14:paraId="3A730E90">
            <w:pPr>
              <w:jc w:val="center"/>
              <w:rPr>
                <w:rFonts w:hint="eastAsia" w:ascii="宋体" w:hAnsi="宋体" w:eastAsia="宋体" w:cs="宋体"/>
                <w:color w:val="auto"/>
                <w:sz w:val="24"/>
                <w:szCs w:val="24"/>
                <w:highlight w:val="none"/>
              </w:rPr>
            </w:pPr>
          </w:p>
        </w:tc>
        <w:tc>
          <w:tcPr>
            <w:tcW w:w="1063" w:type="dxa"/>
            <w:tcBorders>
              <w:top w:val="single" w:color="auto" w:sz="4" w:space="0"/>
              <w:left w:val="nil"/>
              <w:bottom w:val="single" w:color="auto" w:sz="4" w:space="0"/>
              <w:right w:val="single" w:color="auto" w:sz="4" w:space="0"/>
            </w:tcBorders>
            <w:vAlign w:val="center"/>
          </w:tcPr>
          <w:p w14:paraId="54B5D860">
            <w:pPr>
              <w:jc w:val="center"/>
              <w:rPr>
                <w:rFonts w:hint="eastAsia" w:ascii="宋体" w:hAnsi="宋体" w:eastAsia="宋体" w:cs="宋体"/>
                <w:color w:val="auto"/>
                <w:sz w:val="24"/>
                <w:szCs w:val="24"/>
                <w:highlight w:val="none"/>
              </w:rPr>
            </w:pPr>
          </w:p>
        </w:tc>
        <w:tc>
          <w:tcPr>
            <w:tcW w:w="1577" w:type="dxa"/>
            <w:tcBorders>
              <w:top w:val="single" w:color="auto" w:sz="4" w:space="0"/>
              <w:left w:val="nil"/>
              <w:bottom w:val="single" w:color="auto" w:sz="4" w:space="0"/>
              <w:right w:val="single" w:color="auto" w:sz="4" w:space="0"/>
            </w:tcBorders>
            <w:vAlign w:val="center"/>
          </w:tcPr>
          <w:p w14:paraId="28B0672B">
            <w:pPr>
              <w:jc w:val="center"/>
              <w:rPr>
                <w:rFonts w:hint="eastAsia" w:ascii="宋体" w:hAnsi="宋体" w:eastAsia="宋体" w:cs="宋体"/>
                <w:color w:val="auto"/>
                <w:sz w:val="24"/>
                <w:szCs w:val="24"/>
                <w:highlight w:val="none"/>
              </w:rPr>
            </w:pPr>
          </w:p>
        </w:tc>
        <w:tc>
          <w:tcPr>
            <w:tcW w:w="1361" w:type="dxa"/>
            <w:tcBorders>
              <w:top w:val="single" w:color="auto" w:sz="4" w:space="0"/>
              <w:left w:val="nil"/>
              <w:bottom w:val="single" w:color="auto" w:sz="4" w:space="0"/>
              <w:right w:val="single" w:color="auto" w:sz="4" w:space="0"/>
            </w:tcBorders>
            <w:vAlign w:val="center"/>
          </w:tcPr>
          <w:p w14:paraId="75CB2E5B">
            <w:pPr>
              <w:jc w:val="center"/>
              <w:rPr>
                <w:rFonts w:hint="eastAsia" w:ascii="宋体" w:hAnsi="宋体" w:eastAsia="宋体" w:cs="宋体"/>
                <w:color w:val="auto"/>
                <w:sz w:val="24"/>
                <w:szCs w:val="24"/>
                <w:highlight w:val="none"/>
              </w:rPr>
            </w:pPr>
          </w:p>
        </w:tc>
        <w:tc>
          <w:tcPr>
            <w:tcW w:w="888" w:type="dxa"/>
            <w:tcBorders>
              <w:top w:val="single" w:color="auto" w:sz="4" w:space="0"/>
              <w:left w:val="nil"/>
              <w:bottom w:val="single" w:color="auto" w:sz="4" w:space="0"/>
              <w:right w:val="single" w:color="auto" w:sz="4" w:space="0"/>
            </w:tcBorders>
            <w:vAlign w:val="center"/>
          </w:tcPr>
          <w:p w14:paraId="78059604">
            <w:pPr>
              <w:jc w:val="center"/>
              <w:rPr>
                <w:rFonts w:hint="eastAsia" w:ascii="宋体" w:hAnsi="宋体" w:eastAsia="宋体" w:cs="宋体"/>
                <w:color w:val="auto"/>
                <w:sz w:val="24"/>
                <w:szCs w:val="24"/>
                <w:highlight w:val="none"/>
              </w:rPr>
            </w:pPr>
          </w:p>
        </w:tc>
        <w:tc>
          <w:tcPr>
            <w:tcW w:w="1283" w:type="dxa"/>
            <w:tcBorders>
              <w:top w:val="single" w:color="auto" w:sz="4" w:space="0"/>
              <w:left w:val="nil"/>
              <w:bottom w:val="single" w:color="auto" w:sz="4" w:space="0"/>
              <w:right w:val="single" w:color="auto" w:sz="4" w:space="0"/>
            </w:tcBorders>
            <w:vAlign w:val="center"/>
          </w:tcPr>
          <w:p w14:paraId="44537DAB">
            <w:pPr>
              <w:jc w:val="center"/>
              <w:rPr>
                <w:rFonts w:hint="eastAsia" w:ascii="宋体" w:hAnsi="宋体" w:eastAsia="宋体" w:cs="宋体"/>
                <w:color w:val="auto"/>
                <w:sz w:val="24"/>
                <w:szCs w:val="24"/>
                <w:highlight w:val="none"/>
              </w:rPr>
            </w:pPr>
          </w:p>
        </w:tc>
        <w:tc>
          <w:tcPr>
            <w:tcW w:w="1325" w:type="dxa"/>
            <w:tcBorders>
              <w:top w:val="single" w:color="auto" w:sz="4" w:space="0"/>
              <w:left w:val="nil"/>
              <w:bottom w:val="single" w:color="auto" w:sz="4" w:space="0"/>
              <w:right w:val="single" w:color="auto" w:sz="4" w:space="0"/>
            </w:tcBorders>
            <w:vAlign w:val="center"/>
          </w:tcPr>
          <w:p w14:paraId="0C45ADE3">
            <w:pPr>
              <w:jc w:val="center"/>
              <w:rPr>
                <w:rFonts w:hint="eastAsia" w:ascii="宋体" w:hAnsi="宋体" w:eastAsia="宋体" w:cs="宋体"/>
                <w:color w:val="auto"/>
                <w:sz w:val="24"/>
                <w:szCs w:val="24"/>
                <w:highlight w:val="none"/>
              </w:rPr>
            </w:pPr>
          </w:p>
        </w:tc>
        <w:tc>
          <w:tcPr>
            <w:tcW w:w="1099" w:type="dxa"/>
            <w:tcBorders>
              <w:top w:val="single" w:color="auto" w:sz="4" w:space="0"/>
              <w:left w:val="nil"/>
              <w:bottom w:val="single" w:color="auto" w:sz="4" w:space="0"/>
              <w:right w:val="single" w:color="auto" w:sz="4" w:space="0"/>
            </w:tcBorders>
            <w:vAlign w:val="center"/>
          </w:tcPr>
          <w:p w14:paraId="61A019AC">
            <w:pPr>
              <w:jc w:val="center"/>
              <w:rPr>
                <w:rFonts w:hint="eastAsia" w:ascii="宋体" w:hAnsi="宋体" w:eastAsia="宋体" w:cs="宋体"/>
                <w:color w:val="auto"/>
                <w:sz w:val="24"/>
                <w:szCs w:val="24"/>
                <w:highlight w:val="none"/>
              </w:rPr>
            </w:pPr>
          </w:p>
        </w:tc>
      </w:tr>
      <w:tr w14:paraId="1C819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69"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489BDEF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77" w:type="dxa"/>
            <w:tcBorders>
              <w:top w:val="single" w:color="auto" w:sz="4" w:space="0"/>
              <w:left w:val="nil"/>
              <w:bottom w:val="single" w:color="auto" w:sz="4" w:space="0"/>
              <w:right w:val="single" w:color="auto" w:sz="4" w:space="0"/>
            </w:tcBorders>
            <w:vAlign w:val="center"/>
          </w:tcPr>
          <w:p w14:paraId="15809A84">
            <w:pPr>
              <w:jc w:val="center"/>
              <w:rPr>
                <w:rFonts w:hint="eastAsia" w:ascii="宋体" w:hAnsi="宋体" w:eastAsia="宋体" w:cs="宋体"/>
                <w:color w:val="auto"/>
                <w:sz w:val="24"/>
                <w:szCs w:val="24"/>
                <w:highlight w:val="none"/>
              </w:rPr>
            </w:pPr>
          </w:p>
        </w:tc>
        <w:tc>
          <w:tcPr>
            <w:tcW w:w="1063" w:type="dxa"/>
            <w:tcBorders>
              <w:top w:val="single" w:color="auto" w:sz="4" w:space="0"/>
              <w:left w:val="nil"/>
              <w:bottom w:val="single" w:color="auto" w:sz="4" w:space="0"/>
              <w:right w:val="single" w:color="auto" w:sz="4" w:space="0"/>
            </w:tcBorders>
            <w:vAlign w:val="center"/>
          </w:tcPr>
          <w:p w14:paraId="0B7B0DAA">
            <w:pPr>
              <w:jc w:val="center"/>
              <w:rPr>
                <w:rFonts w:hint="eastAsia" w:ascii="宋体" w:hAnsi="宋体" w:eastAsia="宋体" w:cs="宋体"/>
                <w:color w:val="auto"/>
                <w:sz w:val="24"/>
                <w:szCs w:val="24"/>
                <w:highlight w:val="none"/>
              </w:rPr>
            </w:pPr>
          </w:p>
        </w:tc>
        <w:tc>
          <w:tcPr>
            <w:tcW w:w="1577" w:type="dxa"/>
            <w:tcBorders>
              <w:top w:val="single" w:color="auto" w:sz="4" w:space="0"/>
              <w:left w:val="nil"/>
              <w:bottom w:val="single" w:color="auto" w:sz="4" w:space="0"/>
              <w:right w:val="single" w:color="auto" w:sz="4" w:space="0"/>
            </w:tcBorders>
            <w:vAlign w:val="center"/>
          </w:tcPr>
          <w:p w14:paraId="7D40F455">
            <w:pPr>
              <w:jc w:val="center"/>
              <w:rPr>
                <w:rFonts w:hint="eastAsia" w:ascii="宋体" w:hAnsi="宋体" w:eastAsia="宋体" w:cs="宋体"/>
                <w:color w:val="auto"/>
                <w:sz w:val="24"/>
                <w:szCs w:val="24"/>
                <w:highlight w:val="none"/>
              </w:rPr>
            </w:pPr>
          </w:p>
        </w:tc>
        <w:tc>
          <w:tcPr>
            <w:tcW w:w="1361" w:type="dxa"/>
            <w:tcBorders>
              <w:top w:val="single" w:color="auto" w:sz="4" w:space="0"/>
              <w:left w:val="nil"/>
              <w:bottom w:val="single" w:color="auto" w:sz="4" w:space="0"/>
              <w:right w:val="single" w:color="auto" w:sz="4" w:space="0"/>
            </w:tcBorders>
            <w:vAlign w:val="center"/>
          </w:tcPr>
          <w:p w14:paraId="392BD425">
            <w:pPr>
              <w:jc w:val="center"/>
              <w:rPr>
                <w:rFonts w:hint="eastAsia" w:ascii="宋体" w:hAnsi="宋体" w:eastAsia="宋体" w:cs="宋体"/>
                <w:color w:val="auto"/>
                <w:sz w:val="24"/>
                <w:szCs w:val="24"/>
                <w:highlight w:val="none"/>
              </w:rPr>
            </w:pPr>
          </w:p>
        </w:tc>
        <w:tc>
          <w:tcPr>
            <w:tcW w:w="888" w:type="dxa"/>
            <w:tcBorders>
              <w:top w:val="single" w:color="auto" w:sz="4" w:space="0"/>
              <w:left w:val="nil"/>
              <w:bottom w:val="single" w:color="auto" w:sz="4" w:space="0"/>
              <w:right w:val="single" w:color="auto" w:sz="4" w:space="0"/>
            </w:tcBorders>
            <w:vAlign w:val="center"/>
          </w:tcPr>
          <w:p w14:paraId="35092A6A">
            <w:pPr>
              <w:jc w:val="center"/>
              <w:rPr>
                <w:rFonts w:hint="eastAsia" w:ascii="宋体" w:hAnsi="宋体" w:eastAsia="宋体" w:cs="宋体"/>
                <w:color w:val="auto"/>
                <w:sz w:val="24"/>
                <w:szCs w:val="24"/>
                <w:highlight w:val="none"/>
              </w:rPr>
            </w:pPr>
          </w:p>
        </w:tc>
        <w:tc>
          <w:tcPr>
            <w:tcW w:w="1283" w:type="dxa"/>
            <w:tcBorders>
              <w:top w:val="single" w:color="auto" w:sz="4" w:space="0"/>
              <w:left w:val="nil"/>
              <w:bottom w:val="single" w:color="auto" w:sz="4" w:space="0"/>
              <w:right w:val="single" w:color="auto" w:sz="4" w:space="0"/>
            </w:tcBorders>
            <w:vAlign w:val="center"/>
          </w:tcPr>
          <w:p w14:paraId="56282F69">
            <w:pPr>
              <w:jc w:val="center"/>
              <w:rPr>
                <w:rFonts w:hint="eastAsia" w:ascii="宋体" w:hAnsi="宋体" w:eastAsia="宋体" w:cs="宋体"/>
                <w:color w:val="auto"/>
                <w:sz w:val="24"/>
                <w:szCs w:val="24"/>
                <w:highlight w:val="none"/>
              </w:rPr>
            </w:pPr>
          </w:p>
        </w:tc>
        <w:tc>
          <w:tcPr>
            <w:tcW w:w="1325" w:type="dxa"/>
            <w:tcBorders>
              <w:top w:val="single" w:color="auto" w:sz="4" w:space="0"/>
              <w:left w:val="nil"/>
              <w:bottom w:val="single" w:color="auto" w:sz="4" w:space="0"/>
              <w:right w:val="single" w:color="auto" w:sz="4" w:space="0"/>
            </w:tcBorders>
            <w:vAlign w:val="center"/>
          </w:tcPr>
          <w:p w14:paraId="0D157F4B">
            <w:pPr>
              <w:jc w:val="center"/>
              <w:rPr>
                <w:rFonts w:hint="eastAsia" w:ascii="宋体" w:hAnsi="宋体" w:eastAsia="宋体" w:cs="宋体"/>
                <w:color w:val="auto"/>
                <w:sz w:val="24"/>
                <w:szCs w:val="24"/>
                <w:highlight w:val="none"/>
              </w:rPr>
            </w:pPr>
          </w:p>
        </w:tc>
        <w:tc>
          <w:tcPr>
            <w:tcW w:w="1099" w:type="dxa"/>
            <w:tcBorders>
              <w:top w:val="single" w:color="auto" w:sz="4" w:space="0"/>
              <w:left w:val="nil"/>
              <w:bottom w:val="single" w:color="auto" w:sz="4" w:space="0"/>
              <w:right w:val="single" w:color="auto" w:sz="4" w:space="0"/>
            </w:tcBorders>
            <w:vAlign w:val="center"/>
          </w:tcPr>
          <w:p w14:paraId="5C68AEE4">
            <w:pPr>
              <w:jc w:val="center"/>
              <w:rPr>
                <w:rFonts w:hint="eastAsia" w:ascii="宋体" w:hAnsi="宋体" w:eastAsia="宋体" w:cs="宋体"/>
                <w:color w:val="auto"/>
                <w:sz w:val="24"/>
                <w:szCs w:val="24"/>
                <w:highlight w:val="none"/>
              </w:rPr>
            </w:pPr>
          </w:p>
        </w:tc>
      </w:tr>
      <w:tr w14:paraId="7BCB87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96" w:hRule="atLeast"/>
          <w:jc w:val="center"/>
        </w:trPr>
        <w:tc>
          <w:tcPr>
            <w:tcW w:w="7420" w:type="dxa"/>
            <w:gridSpan w:val="6"/>
            <w:tcBorders>
              <w:top w:val="single" w:color="auto" w:sz="4" w:space="0"/>
              <w:left w:val="single" w:color="auto" w:sz="4" w:space="0"/>
              <w:bottom w:val="single" w:color="auto" w:sz="4" w:space="0"/>
              <w:right w:val="single" w:color="auto" w:sz="4" w:space="0"/>
            </w:tcBorders>
            <w:vAlign w:val="center"/>
          </w:tcPr>
          <w:p w14:paraId="2299153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投标总报价（人民币：     元）</w:t>
            </w:r>
          </w:p>
        </w:tc>
        <w:tc>
          <w:tcPr>
            <w:tcW w:w="3707" w:type="dxa"/>
            <w:gridSpan w:val="3"/>
            <w:tcBorders>
              <w:top w:val="single" w:color="auto" w:sz="4" w:space="0"/>
              <w:left w:val="nil"/>
              <w:bottom w:val="single" w:color="auto" w:sz="4" w:space="0"/>
              <w:right w:val="single" w:color="auto" w:sz="4" w:space="0"/>
            </w:tcBorders>
            <w:vAlign w:val="center"/>
          </w:tcPr>
          <w:p w14:paraId="74BD769E">
            <w:pPr>
              <w:jc w:val="center"/>
              <w:rPr>
                <w:rFonts w:hint="eastAsia" w:ascii="宋体" w:hAnsi="宋体" w:eastAsia="宋体" w:cs="宋体"/>
                <w:color w:val="auto"/>
                <w:sz w:val="24"/>
                <w:szCs w:val="24"/>
                <w:highlight w:val="none"/>
              </w:rPr>
            </w:pPr>
          </w:p>
        </w:tc>
      </w:tr>
    </w:tbl>
    <w:p w14:paraId="4105784F">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注：1、投标人应根据本项目货物的分项价格情况填写上述表格。</w:t>
      </w:r>
    </w:p>
    <w:p w14:paraId="2C77F4AE">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2、所有价格用人民币表示，保留小数点后两位。</w:t>
      </w:r>
    </w:p>
    <w:p w14:paraId="5DA62913">
      <w:pPr>
        <w:spacing w:line="44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w:t>
      </w:r>
      <w:r>
        <w:rPr>
          <w:rFonts w:hint="eastAsia" w:ascii="宋体" w:hAnsi="宋体" w:eastAsia="宋体" w:cs="宋体"/>
          <w:b/>
          <w:bCs w:val="0"/>
          <w:color w:val="auto"/>
          <w:sz w:val="24"/>
          <w:szCs w:val="24"/>
          <w:highlight w:val="none"/>
          <w:lang w:val="en-US" w:eastAsia="zh-CN"/>
        </w:rPr>
        <w:t>表中“</w:t>
      </w:r>
      <w:r>
        <w:rPr>
          <w:rFonts w:hint="eastAsia" w:ascii="宋体" w:hAnsi="宋体" w:eastAsia="宋体" w:cs="宋体"/>
          <w:b/>
          <w:bCs w:val="0"/>
          <w:color w:val="auto"/>
          <w:sz w:val="24"/>
          <w:szCs w:val="24"/>
          <w:highlight w:val="none"/>
        </w:rPr>
        <w:t>单价（元）</w:t>
      </w:r>
      <w:r>
        <w:rPr>
          <w:rFonts w:hint="eastAsia" w:ascii="宋体" w:hAnsi="宋体" w:eastAsia="宋体" w:cs="宋体"/>
          <w:b/>
          <w:bCs w:val="0"/>
          <w:color w:val="auto"/>
          <w:sz w:val="24"/>
          <w:szCs w:val="24"/>
          <w:highlight w:val="none"/>
          <w:lang w:val="en-US" w:eastAsia="zh-CN"/>
        </w:rPr>
        <w:t>”=对应单价最高限价*（1-投标优惠率）</w:t>
      </w:r>
      <w:r>
        <w:rPr>
          <w:rFonts w:hint="eastAsia" w:ascii="宋体" w:hAnsi="宋体" w:eastAsia="宋体" w:cs="宋体"/>
          <w:b/>
          <w:bCs w:val="0"/>
          <w:color w:val="auto"/>
          <w:sz w:val="24"/>
          <w:szCs w:val="24"/>
          <w:highlight w:val="none"/>
        </w:rPr>
        <w:t>。</w:t>
      </w:r>
    </w:p>
    <w:p w14:paraId="40D0E785">
      <w:pPr>
        <w:spacing w:line="44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4、</w:t>
      </w:r>
      <w:r>
        <w:rPr>
          <w:rFonts w:hint="eastAsia" w:ascii="宋体" w:hAnsi="宋体" w:eastAsia="宋体" w:cs="宋体"/>
          <w:b/>
          <w:bCs w:val="0"/>
          <w:color w:val="auto"/>
          <w:sz w:val="24"/>
          <w:szCs w:val="24"/>
          <w:highlight w:val="none"/>
          <w:lang w:val="en-US" w:eastAsia="zh-CN"/>
        </w:rPr>
        <w:t>单价最高限价详见下表：</w:t>
      </w:r>
    </w:p>
    <w:tbl>
      <w:tblPr>
        <w:tblStyle w:val="38"/>
        <w:tblW w:w="8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842"/>
        <w:gridCol w:w="3491"/>
        <w:gridCol w:w="2021"/>
      </w:tblGrid>
      <w:tr w14:paraId="282A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784" w:type="dxa"/>
            <w:shd w:val="clear" w:color="auto" w:fill="FFFFFF"/>
            <w:vAlign w:val="center"/>
          </w:tcPr>
          <w:p w14:paraId="6AD0091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842" w:type="dxa"/>
            <w:shd w:val="clear" w:color="auto" w:fill="FFFFFF"/>
            <w:vAlign w:val="center"/>
          </w:tcPr>
          <w:p w14:paraId="6D62BD6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货物名称</w:t>
            </w:r>
          </w:p>
        </w:tc>
        <w:tc>
          <w:tcPr>
            <w:tcW w:w="3491" w:type="dxa"/>
            <w:shd w:val="clear" w:color="auto" w:fill="FFFFFF"/>
            <w:vAlign w:val="center"/>
          </w:tcPr>
          <w:p w14:paraId="689F4DA5">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技术规格要求（含量、规格）</w:t>
            </w:r>
          </w:p>
        </w:tc>
        <w:tc>
          <w:tcPr>
            <w:tcW w:w="2021" w:type="dxa"/>
            <w:shd w:val="clear" w:color="auto" w:fill="FFFFFF"/>
            <w:vAlign w:val="center"/>
          </w:tcPr>
          <w:p w14:paraId="21ED6F4D">
            <w:pPr>
              <w:jc w:val="center"/>
              <w:rPr>
                <w:rFonts w:hint="eastAsia" w:ascii="宋体" w:hAnsi="宋体" w:eastAsia="宋体" w:cs="宋体"/>
                <w:b/>
                <w:color w:val="auto"/>
                <w:sz w:val="24"/>
                <w:szCs w:val="24"/>
                <w:highlight w:val="none"/>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单价最高限价</w:t>
            </w:r>
          </w:p>
        </w:tc>
      </w:tr>
      <w:tr w14:paraId="4344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84" w:type="dxa"/>
            <w:vAlign w:val="center"/>
          </w:tcPr>
          <w:p w14:paraId="0FEFD1A7">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42" w:type="dxa"/>
            <w:vMerge w:val="restart"/>
            <w:vAlign w:val="center"/>
          </w:tcPr>
          <w:p w14:paraId="63DD694D">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甲氧·茚虫威</w:t>
            </w:r>
          </w:p>
        </w:tc>
        <w:tc>
          <w:tcPr>
            <w:tcW w:w="3491" w:type="dxa"/>
            <w:vAlign w:val="center"/>
          </w:tcPr>
          <w:p w14:paraId="2EC842C7">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有效成分含量：40%悬浮剂；</w:t>
            </w:r>
          </w:p>
          <w:p w14:paraId="1924F39B">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规格：10克/袋。</w:t>
            </w:r>
          </w:p>
        </w:tc>
        <w:tc>
          <w:tcPr>
            <w:tcW w:w="2021" w:type="dxa"/>
            <w:vAlign w:val="center"/>
          </w:tcPr>
          <w:p w14:paraId="35420FB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元/袋</w:t>
            </w:r>
          </w:p>
        </w:tc>
      </w:tr>
      <w:tr w14:paraId="7A1C8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4" w:type="dxa"/>
            <w:vAlign w:val="center"/>
          </w:tcPr>
          <w:p w14:paraId="4DB42F0F">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42" w:type="dxa"/>
            <w:vMerge w:val="continue"/>
            <w:vAlign w:val="center"/>
          </w:tcPr>
          <w:p w14:paraId="1697745C">
            <w:pPr>
              <w:autoSpaceDE w:val="0"/>
              <w:autoSpaceDN w:val="0"/>
              <w:adjustRightInd w:val="0"/>
              <w:jc w:val="center"/>
              <w:rPr>
                <w:rFonts w:hint="eastAsia" w:ascii="宋体" w:hAnsi="宋体" w:eastAsia="宋体" w:cs="宋体"/>
                <w:color w:val="auto"/>
                <w:sz w:val="24"/>
                <w:szCs w:val="24"/>
                <w:highlight w:val="none"/>
              </w:rPr>
            </w:pPr>
          </w:p>
        </w:tc>
        <w:tc>
          <w:tcPr>
            <w:tcW w:w="3491" w:type="dxa"/>
            <w:vAlign w:val="center"/>
          </w:tcPr>
          <w:p w14:paraId="0F92DA65">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有效成分含量：40%悬浮剂；</w:t>
            </w:r>
          </w:p>
          <w:p w14:paraId="2F3B547E">
            <w:pPr>
              <w:autoSpaceDE w:val="0"/>
              <w:autoSpaceDN w:val="0"/>
              <w:adjustRightIn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规格：100克/瓶。</w:t>
            </w:r>
          </w:p>
        </w:tc>
        <w:tc>
          <w:tcPr>
            <w:tcW w:w="2021" w:type="dxa"/>
            <w:vAlign w:val="center"/>
          </w:tcPr>
          <w:p w14:paraId="2C99E4B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.00元/瓶</w:t>
            </w:r>
          </w:p>
        </w:tc>
      </w:tr>
    </w:tbl>
    <w:p w14:paraId="4493B73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如有需要说明的事项，请在备注中列明。</w:t>
      </w:r>
    </w:p>
    <w:p w14:paraId="6D9A834D">
      <w:pPr>
        <w:rPr>
          <w:rFonts w:hint="eastAsia" w:ascii="宋体" w:hAnsi="宋体" w:eastAsia="宋体" w:cs="宋体"/>
          <w:b/>
          <w:bCs/>
          <w:color w:val="auto"/>
          <w:sz w:val="28"/>
          <w:szCs w:val="28"/>
          <w:highlight w:val="none"/>
        </w:rPr>
      </w:pPr>
      <w:bookmarkStart w:id="366" w:name="_Toc522610225"/>
      <w:bookmarkStart w:id="367" w:name="_Toc354834784"/>
      <w:bookmarkStart w:id="368" w:name="_Toc387400419"/>
      <w:bookmarkStart w:id="369" w:name="_Toc146524609"/>
      <w:bookmarkStart w:id="370" w:name="_Toc43821328"/>
      <w:r>
        <w:rPr>
          <w:rFonts w:hint="eastAsia" w:ascii="宋体" w:hAnsi="宋体" w:eastAsia="宋体" w:cs="宋体"/>
          <w:b/>
          <w:bCs/>
          <w:color w:val="auto"/>
          <w:sz w:val="28"/>
          <w:szCs w:val="28"/>
          <w:highlight w:val="none"/>
        </w:rPr>
        <w:br w:type="page"/>
      </w:r>
    </w:p>
    <w:p w14:paraId="0E3189BC">
      <w:pPr>
        <w:spacing w:line="440" w:lineRule="exact"/>
        <w:ind w:firstLine="482"/>
        <w:jc w:val="center"/>
        <w:outlineLvl w:val="1"/>
        <w:rPr>
          <w:rFonts w:hint="eastAsia" w:ascii="宋体" w:hAnsi="宋体" w:eastAsia="宋体" w:cs="宋体"/>
          <w:b/>
          <w:color w:val="auto"/>
          <w:sz w:val="24"/>
          <w:szCs w:val="24"/>
          <w:highlight w:val="none"/>
        </w:rPr>
      </w:pPr>
      <w:bookmarkStart w:id="371" w:name="_Toc10840"/>
      <w:r>
        <w:rPr>
          <w:rFonts w:hint="eastAsia" w:ascii="宋体" w:hAnsi="宋体" w:eastAsia="宋体" w:cs="宋体"/>
          <w:b/>
          <w:bCs/>
          <w:color w:val="auto"/>
          <w:sz w:val="28"/>
          <w:szCs w:val="28"/>
          <w:highlight w:val="none"/>
        </w:rPr>
        <w:t>附件3 技术参数响应及偏离表</w:t>
      </w:r>
      <w:bookmarkEnd w:id="371"/>
    </w:p>
    <w:tbl>
      <w:tblPr>
        <w:tblStyle w:val="38"/>
        <w:tblW w:w="10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681"/>
        <w:gridCol w:w="1811"/>
        <w:gridCol w:w="1107"/>
        <w:gridCol w:w="938"/>
        <w:gridCol w:w="913"/>
        <w:gridCol w:w="2024"/>
        <w:gridCol w:w="1278"/>
      </w:tblGrid>
      <w:tr w14:paraId="319A6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784" w:type="dxa"/>
            <w:vMerge w:val="restart"/>
            <w:vAlign w:val="center"/>
          </w:tcPr>
          <w:p w14:paraId="64E65BA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681" w:type="dxa"/>
            <w:vMerge w:val="restart"/>
            <w:vAlign w:val="center"/>
          </w:tcPr>
          <w:p w14:paraId="3BDDC0EB">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rPr>
              <w:t>招标货物</w:t>
            </w:r>
          </w:p>
          <w:p w14:paraId="227A14C5">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rPr>
              <w:t>配置及技术性能参数要求</w:t>
            </w:r>
          </w:p>
        </w:tc>
        <w:tc>
          <w:tcPr>
            <w:tcW w:w="1811" w:type="dxa"/>
            <w:vMerge w:val="restart"/>
            <w:vAlign w:val="center"/>
          </w:tcPr>
          <w:p w14:paraId="4517C332">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rPr>
              <w:t>投标货物</w:t>
            </w:r>
          </w:p>
          <w:p w14:paraId="38CBE6E6">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rPr>
              <w:t>配置及技术性能参数</w:t>
            </w:r>
          </w:p>
        </w:tc>
        <w:tc>
          <w:tcPr>
            <w:tcW w:w="1107" w:type="dxa"/>
            <w:vMerge w:val="restart"/>
            <w:vAlign w:val="center"/>
          </w:tcPr>
          <w:p w14:paraId="0873F6BA">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有无偏离</w:t>
            </w:r>
          </w:p>
        </w:tc>
        <w:tc>
          <w:tcPr>
            <w:tcW w:w="1851" w:type="dxa"/>
            <w:gridSpan w:val="2"/>
            <w:vAlign w:val="center"/>
          </w:tcPr>
          <w:p w14:paraId="00C26B0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有偏离</w:t>
            </w:r>
          </w:p>
        </w:tc>
        <w:tc>
          <w:tcPr>
            <w:tcW w:w="2024" w:type="dxa"/>
            <w:vAlign w:val="center"/>
          </w:tcPr>
          <w:p w14:paraId="11188F6A">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偏离内容</w:t>
            </w:r>
          </w:p>
        </w:tc>
        <w:tc>
          <w:tcPr>
            <w:tcW w:w="1278" w:type="dxa"/>
            <w:vAlign w:val="center"/>
          </w:tcPr>
          <w:p w14:paraId="48BF7CD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3992A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84" w:type="dxa"/>
            <w:vMerge w:val="continue"/>
            <w:vAlign w:val="center"/>
          </w:tcPr>
          <w:p w14:paraId="70AFC4C8">
            <w:pPr>
              <w:jc w:val="center"/>
              <w:rPr>
                <w:rFonts w:hint="eastAsia" w:ascii="宋体" w:hAnsi="宋体" w:eastAsia="宋体" w:cs="宋体"/>
                <w:b/>
                <w:color w:val="auto"/>
                <w:sz w:val="24"/>
                <w:szCs w:val="24"/>
                <w:highlight w:val="none"/>
              </w:rPr>
            </w:pPr>
          </w:p>
        </w:tc>
        <w:tc>
          <w:tcPr>
            <w:tcW w:w="1681" w:type="dxa"/>
            <w:vMerge w:val="continue"/>
            <w:vAlign w:val="center"/>
          </w:tcPr>
          <w:p w14:paraId="6D0E08CC">
            <w:pPr>
              <w:jc w:val="center"/>
              <w:rPr>
                <w:rFonts w:hint="eastAsia" w:ascii="宋体" w:hAnsi="宋体" w:eastAsia="宋体" w:cs="宋体"/>
                <w:b/>
                <w:color w:val="auto"/>
                <w:sz w:val="24"/>
                <w:szCs w:val="24"/>
                <w:highlight w:val="none"/>
              </w:rPr>
            </w:pPr>
          </w:p>
        </w:tc>
        <w:tc>
          <w:tcPr>
            <w:tcW w:w="1811" w:type="dxa"/>
            <w:vMerge w:val="continue"/>
            <w:vAlign w:val="center"/>
          </w:tcPr>
          <w:p w14:paraId="441AF363">
            <w:pPr>
              <w:jc w:val="center"/>
              <w:rPr>
                <w:rFonts w:hint="eastAsia" w:ascii="宋体" w:hAnsi="宋体" w:eastAsia="宋体" w:cs="宋体"/>
                <w:b/>
                <w:color w:val="auto"/>
                <w:sz w:val="24"/>
                <w:szCs w:val="24"/>
                <w:highlight w:val="none"/>
              </w:rPr>
            </w:pPr>
          </w:p>
        </w:tc>
        <w:tc>
          <w:tcPr>
            <w:tcW w:w="1107" w:type="dxa"/>
            <w:vMerge w:val="continue"/>
            <w:vAlign w:val="center"/>
          </w:tcPr>
          <w:p w14:paraId="1221832E">
            <w:pPr>
              <w:jc w:val="center"/>
              <w:rPr>
                <w:rFonts w:hint="eastAsia" w:ascii="宋体" w:hAnsi="宋体" w:eastAsia="宋体" w:cs="宋体"/>
                <w:b/>
                <w:color w:val="auto"/>
                <w:sz w:val="24"/>
                <w:szCs w:val="24"/>
                <w:highlight w:val="none"/>
              </w:rPr>
            </w:pPr>
          </w:p>
        </w:tc>
        <w:tc>
          <w:tcPr>
            <w:tcW w:w="938" w:type="dxa"/>
            <w:vAlign w:val="center"/>
          </w:tcPr>
          <w:p w14:paraId="4735270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正</w:t>
            </w:r>
          </w:p>
        </w:tc>
        <w:tc>
          <w:tcPr>
            <w:tcW w:w="913" w:type="dxa"/>
            <w:vAlign w:val="center"/>
          </w:tcPr>
          <w:p w14:paraId="4AFF9EA3">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负</w:t>
            </w:r>
          </w:p>
        </w:tc>
        <w:tc>
          <w:tcPr>
            <w:tcW w:w="2024" w:type="dxa"/>
            <w:vAlign w:val="center"/>
          </w:tcPr>
          <w:p w14:paraId="76D48744">
            <w:pPr>
              <w:jc w:val="center"/>
              <w:rPr>
                <w:rFonts w:hint="eastAsia" w:ascii="宋体" w:hAnsi="宋体" w:eastAsia="宋体" w:cs="宋体"/>
                <w:b/>
                <w:color w:val="auto"/>
                <w:sz w:val="24"/>
                <w:szCs w:val="24"/>
                <w:highlight w:val="none"/>
              </w:rPr>
            </w:pPr>
          </w:p>
        </w:tc>
        <w:tc>
          <w:tcPr>
            <w:tcW w:w="1278" w:type="dxa"/>
            <w:vAlign w:val="center"/>
          </w:tcPr>
          <w:p w14:paraId="45FFF33B">
            <w:pPr>
              <w:jc w:val="center"/>
              <w:rPr>
                <w:rFonts w:hint="eastAsia" w:ascii="宋体" w:hAnsi="宋体" w:eastAsia="宋体" w:cs="宋体"/>
                <w:b/>
                <w:color w:val="auto"/>
                <w:sz w:val="24"/>
                <w:szCs w:val="24"/>
                <w:highlight w:val="none"/>
              </w:rPr>
            </w:pPr>
          </w:p>
        </w:tc>
      </w:tr>
      <w:tr w14:paraId="51163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84" w:type="dxa"/>
            <w:vAlign w:val="center"/>
          </w:tcPr>
          <w:p w14:paraId="6F5FAF9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81" w:type="dxa"/>
            <w:vAlign w:val="center"/>
          </w:tcPr>
          <w:p w14:paraId="30B8CF8A">
            <w:pPr>
              <w:jc w:val="center"/>
              <w:rPr>
                <w:rFonts w:hint="eastAsia" w:ascii="宋体" w:hAnsi="宋体" w:eastAsia="宋体" w:cs="宋体"/>
                <w:color w:val="auto"/>
                <w:sz w:val="24"/>
                <w:szCs w:val="24"/>
                <w:highlight w:val="none"/>
              </w:rPr>
            </w:pPr>
          </w:p>
        </w:tc>
        <w:tc>
          <w:tcPr>
            <w:tcW w:w="1811" w:type="dxa"/>
            <w:vAlign w:val="center"/>
          </w:tcPr>
          <w:p w14:paraId="2E711904">
            <w:pPr>
              <w:jc w:val="center"/>
              <w:rPr>
                <w:rFonts w:hint="eastAsia" w:ascii="宋体" w:hAnsi="宋体" w:eastAsia="宋体" w:cs="宋体"/>
                <w:color w:val="auto"/>
                <w:highlight w:val="none"/>
              </w:rPr>
            </w:pPr>
          </w:p>
        </w:tc>
        <w:tc>
          <w:tcPr>
            <w:tcW w:w="1107" w:type="dxa"/>
            <w:vAlign w:val="center"/>
          </w:tcPr>
          <w:p w14:paraId="14056850">
            <w:pPr>
              <w:jc w:val="center"/>
              <w:rPr>
                <w:rFonts w:hint="eastAsia" w:ascii="宋体" w:hAnsi="宋体" w:eastAsia="宋体" w:cs="宋体"/>
                <w:color w:val="auto"/>
                <w:highlight w:val="none"/>
              </w:rPr>
            </w:pPr>
          </w:p>
        </w:tc>
        <w:tc>
          <w:tcPr>
            <w:tcW w:w="938" w:type="dxa"/>
            <w:vAlign w:val="center"/>
          </w:tcPr>
          <w:p w14:paraId="6A160E91">
            <w:pPr>
              <w:jc w:val="center"/>
              <w:rPr>
                <w:rFonts w:hint="eastAsia" w:ascii="宋体" w:hAnsi="宋体" w:eastAsia="宋体" w:cs="宋体"/>
                <w:color w:val="auto"/>
                <w:highlight w:val="none"/>
              </w:rPr>
            </w:pPr>
          </w:p>
        </w:tc>
        <w:tc>
          <w:tcPr>
            <w:tcW w:w="913" w:type="dxa"/>
            <w:vAlign w:val="center"/>
          </w:tcPr>
          <w:p w14:paraId="0C32094B">
            <w:pPr>
              <w:jc w:val="center"/>
              <w:rPr>
                <w:rFonts w:hint="eastAsia" w:ascii="宋体" w:hAnsi="宋体" w:eastAsia="宋体" w:cs="宋体"/>
                <w:color w:val="auto"/>
                <w:highlight w:val="none"/>
              </w:rPr>
            </w:pPr>
          </w:p>
        </w:tc>
        <w:tc>
          <w:tcPr>
            <w:tcW w:w="2024" w:type="dxa"/>
            <w:vAlign w:val="center"/>
          </w:tcPr>
          <w:p w14:paraId="109123D1">
            <w:pPr>
              <w:jc w:val="center"/>
              <w:rPr>
                <w:rFonts w:hint="eastAsia" w:ascii="宋体" w:hAnsi="宋体" w:eastAsia="宋体" w:cs="宋体"/>
                <w:color w:val="auto"/>
                <w:highlight w:val="none"/>
              </w:rPr>
            </w:pPr>
          </w:p>
        </w:tc>
        <w:tc>
          <w:tcPr>
            <w:tcW w:w="1278" w:type="dxa"/>
            <w:vAlign w:val="center"/>
          </w:tcPr>
          <w:p w14:paraId="7C6D731C">
            <w:pPr>
              <w:jc w:val="center"/>
              <w:rPr>
                <w:rFonts w:hint="eastAsia" w:ascii="宋体" w:hAnsi="宋体" w:eastAsia="宋体" w:cs="宋体"/>
                <w:color w:val="auto"/>
                <w:highlight w:val="none"/>
              </w:rPr>
            </w:pPr>
          </w:p>
        </w:tc>
      </w:tr>
      <w:tr w14:paraId="37056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84" w:type="dxa"/>
            <w:vAlign w:val="center"/>
          </w:tcPr>
          <w:p w14:paraId="32976D5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81" w:type="dxa"/>
            <w:vAlign w:val="center"/>
          </w:tcPr>
          <w:p w14:paraId="5EDDAF33">
            <w:pPr>
              <w:jc w:val="center"/>
              <w:rPr>
                <w:rFonts w:hint="eastAsia" w:ascii="宋体" w:hAnsi="宋体" w:eastAsia="宋体" w:cs="宋体"/>
                <w:color w:val="auto"/>
                <w:highlight w:val="none"/>
              </w:rPr>
            </w:pPr>
          </w:p>
        </w:tc>
        <w:tc>
          <w:tcPr>
            <w:tcW w:w="1811" w:type="dxa"/>
            <w:vAlign w:val="center"/>
          </w:tcPr>
          <w:p w14:paraId="2C04D910">
            <w:pPr>
              <w:jc w:val="center"/>
              <w:rPr>
                <w:rFonts w:hint="eastAsia" w:ascii="宋体" w:hAnsi="宋体" w:eastAsia="宋体" w:cs="宋体"/>
                <w:color w:val="auto"/>
                <w:highlight w:val="none"/>
              </w:rPr>
            </w:pPr>
          </w:p>
        </w:tc>
        <w:tc>
          <w:tcPr>
            <w:tcW w:w="1107" w:type="dxa"/>
            <w:vAlign w:val="center"/>
          </w:tcPr>
          <w:p w14:paraId="6FD19ECA">
            <w:pPr>
              <w:jc w:val="center"/>
              <w:rPr>
                <w:rFonts w:hint="eastAsia" w:ascii="宋体" w:hAnsi="宋体" w:eastAsia="宋体" w:cs="宋体"/>
                <w:color w:val="auto"/>
                <w:highlight w:val="none"/>
              </w:rPr>
            </w:pPr>
          </w:p>
        </w:tc>
        <w:tc>
          <w:tcPr>
            <w:tcW w:w="938" w:type="dxa"/>
            <w:vAlign w:val="center"/>
          </w:tcPr>
          <w:p w14:paraId="340B6B0C">
            <w:pPr>
              <w:jc w:val="center"/>
              <w:rPr>
                <w:rFonts w:hint="eastAsia" w:ascii="宋体" w:hAnsi="宋体" w:eastAsia="宋体" w:cs="宋体"/>
                <w:color w:val="auto"/>
                <w:highlight w:val="none"/>
              </w:rPr>
            </w:pPr>
          </w:p>
        </w:tc>
        <w:tc>
          <w:tcPr>
            <w:tcW w:w="913" w:type="dxa"/>
            <w:vAlign w:val="center"/>
          </w:tcPr>
          <w:p w14:paraId="4D68FD65">
            <w:pPr>
              <w:jc w:val="center"/>
              <w:rPr>
                <w:rFonts w:hint="eastAsia" w:ascii="宋体" w:hAnsi="宋体" w:eastAsia="宋体" w:cs="宋体"/>
                <w:color w:val="auto"/>
                <w:highlight w:val="none"/>
              </w:rPr>
            </w:pPr>
          </w:p>
        </w:tc>
        <w:tc>
          <w:tcPr>
            <w:tcW w:w="2024" w:type="dxa"/>
            <w:vAlign w:val="center"/>
          </w:tcPr>
          <w:p w14:paraId="7DF1FDCA">
            <w:pPr>
              <w:jc w:val="center"/>
              <w:rPr>
                <w:rFonts w:hint="eastAsia" w:ascii="宋体" w:hAnsi="宋体" w:eastAsia="宋体" w:cs="宋体"/>
                <w:color w:val="auto"/>
                <w:highlight w:val="none"/>
              </w:rPr>
            </w:pPr>
          </w:p>
        </w:tc>
        <w:tc>
          <w:tcPr>
            <w:tcW w:w="1278" w:type="dxa"/>
            <w:vAlign w:val="center"/>
          </w:tcPr>
          <w:p w14:paraId="68988AC7">
            <w:pPr>
              <w:jc w:val="center"/>
              <w:rPr>
                <w:rFonts w:hint="eastAsia" w:ascii="宋体" w:hAnsi="宋体" w:eastAsia="宋体" w:cs="宋体"/>
                <w:color w:val="auto"/>
                <w:highlight w:val="none"/>
              </w:rPr>
            </w:pPr>
          </w:p>
        </w:tc>
      </w:tr>
      <w:tr w14:paraId="3FE7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84" w:type="dxa"/>
            <w:vAlign w:val="center"/>
          </w:tcPr>
          <w:p w14:paraId="55E8A3EE">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w:t>
            </w:r>
          </w:p>
        </w:tc>
        <w:tc>
          <w:tcPr>
            <w:tcW w:w="1681" w:type="dxa"/>
            <w:vAlign w:val="center"/>
          </w:tcPr>
          <w:p w14:paraId="4F5666F0">
            <w:pPr>
              <w:jc w:val="center"/>
              <w:rPr>
                <w:rFonts w:hint="eastAsia" w:ascii="宋体" w:hAnsi="宋体" w:eastAsia="宋体" w:cs="宋体"/>
                <w:color w:val="auto"/>
                <w:highlight w:val="none"/>
              </w:rPr>
            </w:pPr>
          </w:p>
        </w:tc>
        <w:tc>
          <w:tcPr>
            <w:tcW w:w="1811" w:type="dxa"/>
            <w:vAlign w:val="center"/>
          </w:tcPr>
          <w:p w14:paraId="1BB20451">
            <w:pPr>
              <w:jc w:val="center"/>
              <w:rPr>
                <w:rFonts w:hint="eastAsia" w:ascii="宋体" w:hAnsi="宋体" w:eastAsia="宋体" w:cs="宋体"/>
                <w:color w:val="auto"/>
                <w:highlight w:val="none"/>
              </w:rPr>
            </w:pPr>
          </w:p>
        </w:tc>
        <w:tc>
          <w:tcPr>
            <w:tcW w:w="1107" w:type="dxa"/>
            <w:vAlign w:val="center"/>
          </w:tcPr>
          <w:p w14:paraId="7150B40A">
            <w:pPr>
              <w:jc w:val="center"/>
              <w:rPr>
                <w:rFonts w:hint="eastAsia" w:ascii="宋体" w:hAnsi="宋体" w:eastAsia="宋体" w:cs="宋体"/>
                <w:color w:val="auto"/>
                <w:highlight w:val="none"/>
              </w:rPr>
            </w:pPr>
          </w:p>
        </w:tc>
        <w:tc>
          <w:tcPr>
            <w:tcW w:w="938" w:type="dxa"/>
            <w:vAlign w:val="center"/>
          </w:tcPr>
          <w:p w14:paraId="48DFBCD4">
            <w:pPr>
              <w:jc w:val="center"/>
              <w:rPr>
                <w:rFonts w:hint="eastAsia" w:ascii="宋体" w:hAnsi="宋体" w:eastAsia="宋体" w:cs="宋体"/>
                <w:color w:val="auto"/>
                <w:highlight w:val="none"/>
              </w:rPr>
            </w:pPr>
          </w:p>
        </w:tc>
        <w:tc>
          <w:tcPr>
            <w:tcW w:w="913" w:type="dxa"/>
            <w:vAlign w:val="center"/>
          </w:tcPr>
          <w:p w14:paraId="6BB34DB3">
            <w:pPr>
              <w:jc w:val="center"/>
              <w:rPr>
                <w:rFonts w:hint="eastAsia" w:ascii="宋体" w:hAnsi="宋体" w:eastAsia="宋体" w:cs="宋体"/>
                <w:color w:val="auto"/>
                <w:highlight w:val="none"/>
              </w:rPr>
            </w:pPr>
          </w:p>
        </w:tc>
        <w:tc>
          <w:tcPr>
            <w:tcW w:w="2024" w:type="dxa"/>
            <w:vAlign w:val="center"/>
          </w:tcPr>
          <w:p w14:paraId="437D5DF5">
            <w:pPr>
              <w:jc w:val="center"/>
              <w:rPr>
                <w:rFonts w:hint="eastAsia" w:ascii="宋体" w:hAnsi="宋体" w:eastAsia="宋体" w:cs="宋体"/>
                <w:color w:val="auto"/>
                <w:highlight w:val="none"/>
              </w:rPr>
            </w:pPr>
          </w:p>
        </w:tc>
        <w:tc>
          <w:tcPr>
            <w:tcW w:w="1278" w:type="dxa"/>
            <w:vAlign w:val="center"/>
          </w:tcPr>
          <w:p w14:paraId="47C2122F">
            <w:pPr>
              <w:jc w:val="center"/>
              <w:rPr>
                <w:rFonts w:hint="eastAsia" w:ascii="宋体" w:hAnsi="宋体" w:eastAsia="宋体" w:cs="宋体"/>
                <w:color w:val="auto"/>
                <w:highlight w:val="none"/>
              </w:rPr>
            </w:pPr>
          </w:p>
        </w:tc>
      </w:tr>
      <w:tr w14:paraId="5203C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84" w:type="dxa"/>
            <w:vAlign w:val="center"/>
          </w:tcPr>
          <w:p w14:paraId="04C93C1C">
            <w:pPr>
              <w:jc w:val="center"/>
              <w:rPr>
                <w:rFonts w:hint="eastAsia" w:ascii="宋体" w:hAnsi="宋体" w:eastAsia="宋体" w:cs="宋体"/>
                <w:color w:val="auto"/>
                <w:sz w:val="24"/>
                <w:szCs w:val="24"/>
                <w:highlight w:val="none"/>
              </w:rPr>
            </w:pPr>
          </w:p>
        </w:tc>
        <w:tc>
          <w:tcPr>
            <w:tcW w:w="1681" w:type="dxa"/>
            <w:vAlign w:val="center"/>
          </w:tcPr>
          <w:p w14:paraId="1B2C4881">
            <w:pPr>
              <w:jc w:val="center"/>
              <w:rPr>
                <w:rFonts w:hint="eastAsia" w:ascii="宋体" w:hAnsi="宋体" w:eastAsia="宋体" w:cs="宋体"/>
                <w:color w:val="auto"/>
                <w:highlight w:val="none"/>
              </w:rPr>
            </w:pPr>
          </w:p>
        </w:tc>
        <w:tc>
          <w:tcPr>
            <w:tcW w:w="1811" w:type="dxa"/>
            <w:vAlign w:val="center"/>
          </w:tcPr>
          <w:p w14:paraId="003AFBCD">
            <w:pPr>
              <w:jc w:val="center"/>
              <w:rPr>
                <w:rFonts w:hint="eastAsia" w:ascii="宋体" w:hAnsi="宋体" w:eastAsia="宋体" w:cs="宋体"/>
                <w:color w:val="auto"/>
                <w:highlight w:val="none"/>
              </w:rPr>
            </w:pPr>
          </w:p>
        </w:tc>
        <w:tc>
          <w:tcPr>
            <w:tcW w:w="1107" w:type="dxa"/>
            <w:vAlign w:val="center"/>
          </w:tcPr>
          <w:p w14:paraId="5D29C2FB">
            <w:pPr>
              <w:jc w:val="center"/>
              <w:rPr>
                <w:rFonts w:hint="eastAsia" w:ascii="宋体" w:hAnsi="宋体" w:eastAsia="宋体" w:cs="宋体"/>
                <w:color w:val="auto"/>
                <w:highlight w:val="none"/>
              </w:rPr>
            </w:pPr>
          </w:p>
        </w:tc>
        <w:tc>
          <w:tcPr>
            <w:tcW w:w="938" w:type="dxa"/>
            <w:vAlign w:val="center"/>
          </w:tcPr>
          <w:p w14:paraId="1553BF3B">
            <w:pPr>
              <w:jc w:val="center"/>
              <w:rPr>
                <w:rFonts w:hint="eastAsia" w:ascii="宋体" w:hAnsi="宋体" w:eastAsia="宋体" w:cs="宋体"/>
                <w:color w:val="auto"/>
                <w:highlight w:val="none"/>
              </w:rPr>
            </w:pPr>
          </w:p>
        </w:tc>
        <w:tc>
          <w:tcPr>
            <w:tcW w:w="913" w:type="dxa"/>
            <w:vAlign w:val="center"/>
          </w:tcPr>
          <w:p w14:paraId="4ABF876B">
            <w:pPr>
              <w:jc w:val="center"/>
              <w:rPr>
                <w:rFonts w:hint="eastAsia" w:ascii="宋体" w:hAnsi="宋体" w:eastAsia="宋体" w:cs="宋体"/>
                <w:color w:val="auto"/>
                <w:highlight w:val="none"/>
              </w:rPr>
            </w:pPr>
          </w:p>
        </w:tc>
        <w:tc>
          <w:tcPr>
            <w:tcW w:w="2024" w:type="dxa"/>
            <w:vAlign w:val="center"/>
          </w:tcPr>
          <w:p w14:paraId="07548F69">
            <w:pPr>
              <w:jc w:val="center"/>
              <w:rPr>
                <w:rFonts w:hint="eastAsia" w:ascii="宋体" w:hAnsi="宋体" w:eastAsia="宋体" w:cs="宋体"/>
                <w:color w:val="auto"/>
                <w:highlight w:val="none"/>
              </w:rPr>
            </w:pPr>
          </w:p>
        </w:tc>
        <w:tc>
          <w:tcPr>
            <w:tcW w:w="1278" w:type="dxa"/>
            <w:vAlign w:val="center"/>
          </w:tcPr>
          <w:p w14:paraId="18A82E41">
            <w:pPr>
              <w:jc w:val="center"/>
              <w:rPr>
                <w:rFonts w:hint="eastAsia" w:ascii="宋体" w:hAnsi="宋体" w:eastAsia="宋体" w:cs="宋体"/>
                <w:color w:val="auto"/>
                <w:highlight w:val="none"/>
              </w:rPr>
            </w:pPr>
          </w:p>
        </w:tc>
      </w:tr>
      <w:tr w14:paraId="1D1F6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84" w:type="dxa"/>
            <w:vAlign w:val="center"/>
          </w:tcPr>
          <w:p w14:paraId="2C28108C">
            <w:pPr>
              <w:jc w:val="center"/>
              <w:rPr>
                <w:rFonts w:hint="eastAsia" w:ascii="宋体" w:hAnsi="宋体" w:eastAsia="宋体" w:cs="宋体"/>
                <w:color w:val="auto"/>
                <w:sz w:val="24"/>
                <w:szCs w:val="24"/>
                <w:highlight w:val="none"/>
              </w:rPr>
            </w:pPr>
          </w:p>
        </w:tc>
        <w:tc>
          <w:tcPr>
            <w:tcW w:w="1681" w:type="dxa"/>
            <w:vAlign w:val="center"/>
          </w:tcPr>
          <w:p w14:paraId="157D8BE7">
            <w:pPr>
              <w:jc w:val="center"/>
              <w:rPr>
                <w:rFonts w:hint="eastAsia" w:ascii="宋体" w:hAnsi="宋体" w:eastAsia="宋体" w:cs="宋体"/>
                <w:color w:val="auto"/>
                <w:highlight w:val="none"/>
              </w:rPr>
            </w:pPr>
          </w:p>
        </w:tc>
        <w:tc>
          <w:tcPr>
            <w:tcW w:w="1811" w:type="dxa"/>
            <w:vAlign w:val="center"/>
          </w:tcPr>
          <w:p w14:paraId="5642C45E">
            <w:pPr>
              <w:jc w:val="center"/>
              <w:rPr>
                <w:rFonts w:hint="eastAsia" w:ascii="宋体" w:hAnsi="宋体" w:eastAsia="宋体" w:cs="宋体"/>
                <w:color w:val="auto"/>
                <w:highlight w:val="none"/>
              </w:rPr>
            </w:pPr>
          </w:p>
        </w:tc>
        <w:tc>
          <w:tcPr>
            <w:tcW w:w="1107" w:type="dxa"/>
            <w:vAlign w:val="center"/>
          </w:tcPr>
          <w:p w14:paraId="73446D9B">
            <w:pPr>
              <w:jc w:val="center"/>
              <w:rPr>
                <w:rFonts w:hint="eastAsia" w:ascii="宋体" w:hAnsi="宋体" w:eastAsia="宋体" w:cs="宋体"/>
                <w:color w:val="auto"/>
                <w:highlight w:val="none"/>
              </w:rPr>
            </w:pPr>
          </w:p>
        </w:tc>
        <w:tc>
          <w:tcPr>
            <w:tcW w:w="938" w:type="dxa"/>
            <w:vAlign w:val="center"/>
          </w:tcPr>
          <w:p w14:paraId="7EE59174">
            <w:pPr>
              <w:jc w:val="center"/>
              <w:rPr>
                <w:rFonts w:hint="eastAsia" w:ascii="宋体" w:hAnsi="宋体" w:eastAsia="宋体" w:cs="宋体"/>
                <w:color w:val="auto"/>
                <w:highlight w:val="none"/>
              </w:rPr>
            </w:pPr>
          </w:p>
        </w:tc>
        <w:tc>
          <w:tcPr>
            <w:tcW w:w="913" w:type="dxa"/>
            <w:vAlign w:val="center"/>
          </w:tcPr>
          <w:p w14:paraId="68C93631">
            <w:pPr>
              <w:jc w:val="center"/>
              <w:rPr>
                <w:rFonts w:hint="eastAsia" w:ascii="宋体" w:hAnsi="宋体" w:eastAsia="宋体" w:cs="宋体"/>
                <w:color w:val="auto"/>
                <w:highlight w:val="none"/>
              </w:rPr>
            </w:pPr>
          </w:p>
        </w:tc>
        <w:tc>
          <w:tcPr>
            <w:tcW w:w="2024" w:type="dxa"/>
            <w:vAlign w:val="center"/>
          </w:tcPr>
          <w:p w14:paraId="320C226E">
            <w:pPr>
              <w:jc w:val="center"/>
              <w:rPr>
                <w:rFonts w:hint="eastAsia" w:ascii="宋体" w:hAnsi="宋体" w:eastAsia="宋体" w:cs="宋体"/>
                <w:color w:val="auto"/>
                <w:highlight w:val="none"/>
              </w:rPr>
            </w:pPr>
          </w:p>
        </w:tc>
        <w:tc>
          <w:tcPr>
            <w:tcW w:w="1278" w:type="dxa"/>
            <w:vAlign w:val="center"/>
          </w:tcPr>
          <w:p w14:paraId="4B4764A6">
            <w:pPr>
              <w:jc w:val="center"/>
              <w:rPr>
                <w:rFonts w:hint="eastAsia" w:ascii="宋体" w:hAnsi="宋体" w:eastAsia="宋体" w:cs="宋体"/>
                <w:color w:val="auto"/>
                <w:highlight w:val="none"/>
              </w:rPr>
            </w:pPr>
          </w:p>
        </w:tc>
      </w:tr>
      <w:tr w14:paraId="3EE36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84" w:type="dxa"/>
            <w:vAlign w:val="center"/>
          </w:tcPr>
          <w:p w14:paraId="0B8F3FF6">
            <w:pPr>
              <w:jc w:val="center"/>
              <w:rPr>
                <w:rFonts w:hint="eastAsia" w:ascii="宋体" w:hAnsi="宋体" w:eastAsia="宋体" w:cs="宋体"/>
                <w:color w:val="auto"/>
                <w:sz w:val="24"/>
                <w:szCs w:val="24"/>
                <w:highlight w:val="none"/>
              </w:rPr>
            </w:pPr>
          </w:p>
        </w:tc>
        <w:tc>
          <w:tcPr>
            <w:tcW w:w="1681" w:type="dxa"/>
            <w:vAlign w:val="center"/>
          </w:tcPr>
          <w:p w14:paraId="70FBC0E8">
            <w:pPr>
              <w:jc w:val="center"/>
              <w:rPr>
                <w:rFonts w:hint="eastAsia" w:ascii="宋体" w:hAnsi="宋体" w:eastAsia="宋体" w:cs="宋体"/>
                <w:color w:val="auto"/>
                <w:highlight w:val="none"/>
              </w:rPr>
            </w:pPr>
          </w:p>
        </w:tc>
        <w:tc>
          <w:tcPr>
            <w:tcW w:w="1811" w:type="dxa"/>
            <w:vAlign w:val="center"/>
          </w:tcPr>
          <w:p w14:paraId="2BA32F37">
            <w:pPr>
              <w:jc w:val="center"/>
              <w:rPr>
                <w:rFonts w:hint="eastAsia" w:ascii="宋体" w:hAnsi="宋体" w:eastAsia="宋体" w:cs="宋体"/>
                <w:color w:val="auto"/>
                <w:highlight w:val="none"/>
              </w:rPr>
            </w:pPr>
          </w:p>
        </w:tc>
        <w:tc>
          <w:tcPr>
            <w:tcW w:w="1107" w:type="dxa"/>
            <w:vAlign w:val="center"/>
          </w:tcPr>
          <w:p w14:paraId="41E6F805">
            <w:pPr>
              <w:jc w:val="center"/>
              <w:rPr>
                <w:rFonts w:hint="eastAsia" w:ascii="宋体" w:hAnsi="宋体" w:eastAsia="宋体" w:cs="宋体"/>
                <w:color w:val="auto"/>
                <w:highlight w:val="none"/>
              </w:rPr>
            </w:pPr>
          </w:p>
        </w:tc>
        <w:tc>
          <w:tcPr>
            <w:tcW w:w="938" w:type="dxa"/>
            <w:vAlign w:val="center"/>
          </w:tcPr>
          <w:p w14:paraId="254F0D2C">
            <w:pPr>
              <w:jc w:val="center"/>
              <w:rPr>
                <w:rFonts w:hint="eastAsia" w:ascii="宋体" w:hAnsi="宋体" w:eastAsia="宋体" w:cs="宋体"/>
                <w:color w:val="auto"/>
                <w:highlight w:val="none"/>
              </w:rPr>
            </w:pPr>
          </w:p>
        </w:tc>
        <w:tc>
          <w:tcPr>
            <w:tcW w:w="913" w:type="dxa"/>
            <w:vAlign w:val="center"/>
          </w:tcPr>
          <w:p w14:paraId="0104B5A2">
            <w:pPr>
              <w:jc w:val="center"/>
              <w:rPr>
                <w:rFonts w:hint="eastAsia" w:ascii="宋体" w:hAnsi="宋体" w:eastAsia="宋体" w:cs="宋体"/>
                <w:color w:val="auto"/>
                <w:highlight w:val="none"/>
              </w:rPr>
            </w:pPr>
          </w:p>
        </w:tc>
        <w:tc>
          <w:tcPr>
            <w:tcW w:w="2024" w:type="dxa"/>
            <w:vAlign w:val="center"/>
          </w:tcPr>
          <w:p w14:paraId="2524B445">
            <w:pPr>
              <w:jc w:val="center"/>
              <w:rPr>
                <w:rFonts w:hint="eastAsia" w:ascii="宋体" w:hAnsi="宋体" w:eastAsia="宋体" w:cs="宋体"/>
                <w:color w:val="auto"/>
                <w:highlight w:val="none"/>
              </w:rPr>
            </w:pPr>
          </w:p>
        </w:tc>
        <w:tc>
          <w:tcPr>
            <w:tcW w:w="1278" w:type="dxa"/>
            <w:vAlign w:val="center"/>
          </w:tcPr>
          <w:p w14:paraId="71939A93">
            <w:pPr>
              <w:jc w:val="center"/>
              <w:rPr>
                <w:rFonts w:hint="eastAsia" w:ascii="宋体" w:hAnsi="宋体" w:eastAsia="宋体" w:cs="宋体"/>
                <w:color w:val="auto"/>
                <w:highlight w:val="none"/>
              </w:rPr>
            </w:pPr>
          </w:p>
        </w:tc>
      </w:tr>
      <w:tr w14:paraId="5725A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84" w:type="dxa"/>
            <w:vAlign w:val="center"/>
          </w:tcPr>
          <w:p w14:paraId="2357E3D8">
            <w:pPr>
              <w:jc w:val="center"/>
              <w:rPr>
                <w:rFonts w:hint="eastAsia" w:ascii="宋体" w:hAnsi="宋体" w:eastAsia="宋体" w:cs="宋体"/>
                <w:color w:val="auto"/>
                <w:sz w:val="24"/>
                <w:szCs w:val="24"/>
                <w:highlight w:val="none"/>
              </w:rPr>
            </w:pPr>
          </w:p>
        </w:tc>
        <w:tc>
          <w:tcPr>
            <w:tcW w:w="1681" w:type="dxa"/>
            <w:vAlign w:val="center"/>
          </w:tcPr>
          <w:p w14:paraId="4F664956">
            <w:pPr>
              <w:jc w:val="center"/>
              <w:rPr>
                <w:rFonts w:hint="eastAsia" w:ascii="宋体" w:hAnsi="宋体" w:eastAsia="宋体" w:cs="宋体"/>
                <w:color w:val="auto"/>
                <w:highlight w:val="none"/>
              </w:rPr>
            </w:pPr>
          </w:p>
        </w:tc>
        <w:tc>
          <w:tcPr>
            <w:tcW w:w="1811" w:type="dxa"/>
            <w:vAlign w:val="center"/>
          </w:tcPr>
          <w:p w14:paraId="09C3EB59">
            <w:pPr>
              <w:jc w:val="center"/>
              <w:rPr>
                <w:rFonts w:hint="eastAsia" w:ascii="宋体" w:hAnsi="宋体" w:eastAsia="宋体" w:cs="宋体"/>
                <w:color w:val="auto"/>
                <w:highlight w:val="none"/>
              </w:rPr>
            </w:pPr>
          </w:p>
        </w:tc>
        <w:tc>
          <w:tcPr>
            <w:tcW w:w="1107" w:type="dxa"/>
            <w:vAlign w:val="center"/>
          </w:tcPr>
          <w:p w14:paraId="2149BAC2">
            <w:pPr>
              <w:jc w:val="center"/>
              <w:rPr>
                <w:rFonts w:hint="eastAsia" w:ascii="宋体" w:hAnsi="宋体" w:eastAsia="宋体" w:cs="宋体"/>
                <w:color w:val="auto"/>
                <w:highlight w:val="none"/>
              </w:rPr>
            </w:pPr>
          </w:p>
        </w:tc>
        <w:tc>
          <w:tcPr>
            <w:tcW w:w="938" w:type="dxa"/>
            <w:vAlign w:val="center"/>
          </w:tcPr>
          <w:p w14:paraId="627D8776">
            <w:pPr>
              <w:jc w:val="center"/>
              <w:rPr>
                <w:rFonts w:hint="eastAsia" w:ascii="宋体" w:hAnsi="宋体" w:eastAsia="宋体" w:cs="宋体"/>
                <w:color w:val="auto"/>
                <w:highlight w:val="none"/>
              </w:rPr>
            </w:pPr>
          </w:p>
        </w:tc>
        <w:tc>
          <w:tcPr>
            <w:tcW w:w="913" w:type="dxa"/>
            <w:vAlign w:val="center"/>
          </w:tcPr>
          <w:p w14:paraId="428E5A34">
            <w:pPr>
              <w:jc w:val="center"/>
              <w:rPr>
                <w:rFonts w:hint="eastAsia" w:ascii="宋体" w:hAnsi="宋体" w:eastAsia="宋体" w:cs="宋体"/>
                <w:color w:val="auto"/>
                <w:highlight w:val="none"/>
              </w:rPr>
            </w:pPr>
          </w:p>
        </w:tc>
        <w:tc>
          <w:tcPr>
            <w:tcW w:w="2024" w:type="dxa"/>
            <w:vAlign w:val="center"/>
          </w:tcPr>
          <w:p w14:paraId="2691DE21">
            <w:pPr>
              <w:jc w:val="center"/>
              <w:rPr>
                <w:rFonts w:hint="eastAsia" w:ascii="宋体" w:hAnsi="宋体" w:eastAsia="宋体" w:cs="宋体"/>
                <w:color w:val="auto"/>
                <w:highlight w:val="none"/>
              </w:rPr>
            </w:pPr>
          </w:p>
        </w:tc>
        <w:tc>
          <w:tcPr>
            <w:tcW w:w="1278" w:type="dxa"/>
            <w:vAlign w:val="center"/>
          </w:tcPr>
          <w:p w14:paraId="1653AF60">
            <w:pPr>
              <w:jc w:val="center"/>
              <w:rPr>
                <w:rFonts w:hint="eastAsia" w:ascii="宋体" w:hAnsi="宋体" w:eastAsia="宋体" w:cs="宋体"/>
                <w:color w:val="auto"/>
                <w:highlight w:val="none"/>
              </w:rPr>
            </w:pPr>
          </w:p>
        </w:tc>
      </w:tr>
      <w:tr w14:paraId="3094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84" w:type="dxa"/>
            <w:vAlign w:val="center"/>
          </w:tcPr>
          <w:p w14:paraId="12636695">
            <w:pPr>
              <w:jc w:val="center"/>
              <w:rPr>
                <w:rFonts w:hint="eastAsia" w:ascii="宋体" w:hAnsi="宋体" w:eastAsia="宋体" w:cs="宋体"/>
                <w:color w:val="auto"/>
                <w:sz w:val="24"/>
                <w:szCs w:val="24"/>
                <w:highlight w:val="none"/>
              </w:rPr>
            </w:pPr>
          </w:p>
        </w:tc>
        <w:tc>
          <w:tcPr>
            <w:tcW w:w="1681" w:type="dxa"/>
            <w:vAlign w:val="center"/>
          </w:tcPr>
          <w:p w14:paraId="737ADD88">
            <w:pPr>
              <w:jc w:val="center"/>
              <w:rPr>
                <w:rFonts w:hint="eastAsia" w:ascii="宋体" w:hAnsi="宋体" w:eastAsia="宋体" w:cs="宋体"/>
                <w:color w:val="auto"/>
                <w:sz w:val="24"/>
                <w:szCs w:val="24"/>
                <w:highlight w:val="none"/>
              </w:rPr>
            </w:pPr>
          </w:p>
        </w:tc>
        <w:tc>
          <w:tcPr>
            <w:tcW w:w="1811" w:type="dxa"/>
            <w:vAlign w:val="center"/>
          </w:tcPr>
          <w:p w14:paraId="53F9E077">
            <w:pPr>
              <w:jc w:val="center"/>
              <w:rPr>
                <w:rFonts w:hint="eastAsia" w:ascii="宋体" w:hAnsi="宋体" w:eastAsia="宋体" w:cs="宋体"/>
                <w:color w:val="auto"/>
                <w:highlight w:val="none"/>
              </w:rPr>
            </w:pPr>
          </w:p>
        </w:tc>
        <w:tc>
          <w:tcPr>
            <w:tcW w:w="1107" w:type="dxa"/>
            <w:vAlign w:val="center"/>
          </w:tcPr>
          <w:p w14:paraId="4F05E474">
            <w:pPr>
              <w:jc w:val="center"/>
              <w:rPr>
                <w:rFonts w:hint="eastAsia" w:ascii="宋体" w:hAnsi="宋体" w:eastAsia="宋体" w:cs="宋体"/>
                <w:color w:val="auto"/>
                <w:highlight w:val="none"/>
              </w:rPr>
            </w:pPr>
          </w:p>
        </w:tc>
        <w:tc>
          <w:tcPr>
            <w:tcW w:w="938" w:type="dxa"/>
            <w:vAlign w:val="center"/>
          </w:tcPr>
          <w:p w14:paraId="7E0F36A1">
            <w:pPr>
              <w:jc w:val="center"/>
              <w:rPr>
                <w:rFonts w:hint="eastAsia" w:ascii="宋体" w:hAnsi="宋体" w:eastAsia="宋体" w:cs="宋体"/>
                <w:color w:val="auto"/>
                <w:highlight w:val="none"/>
              </w:rPr>
            </w:pPr>
          </w:p>
        </w:tc>
        <w:tc>
          <w:tcPr>
            <w:tcW w:w="913" w:type="dxa"/>
            <w:vAlign w:val="center"/>
          </w:tcPr>
          <w:p w14:paraId="705A1B2A">
            <w:pPr>
              <w:jc w:val="center"/>
              <w:rPr>
                <w:rFonts w:hint="eastAsia" w:ascii="宋体" w:hAnsi="宋体" w:eastAsia="宋体" w:cs="宋体"/>
                <w:color w:val="auto"/>
                <w:highlight w:val="none"/>
              </w:rPr>
            </w:pPr>
          </w:p>
        </w:tc>
        <w:tc>
          <w:tcPr>
            <w:tcW w:w="2024" w:type="dxa"/>
            <w:vAlign w:val="center"/>
          </w:tcPr>
          <w:p w14:paraId="02B77A26">
            <w:pPr>
              <w:jc w:val="center"/>
              <w:rPr>
                <w:rFonts w:hint="eastAsia" w:ascii="宋体" w:hAnsi="宋体" w:eastAsia="宋体" w:cs="宋体"/>
                <w:color w:val="auto"/>
                <w:highlight w:val="none"/>
              </w:rPr>
            </w:pPr>
          </w:p>
        </w:tc>
        <w:tc>
          <w:tcPr>
            <w:tcW w:w="1278" w:type="dxa"/>
            <w:vAlign w:val="center"/>
          </w:tcPr>
          <w:p w14:paraId="3704AF1B">
            <w:pPr>
              <w:jc w:val="center"/>
              <w:rPr>
                <w:rFonts w:hint="eastAsia" w:ascii="宋体" w:hAnsi="宋体" w:eastAsia="宋体" w:cs="宋体"/>
                <w:color w:val="auto"/>
                <w:highlight w:val="none"/>
              </w:rPr>
            </w:pPr>
          </w:p>
        </w:tc>
      </w:tr>
    </w:tbl>
    <w:p w14:paraId="6DD8FC7A">
      <w:pPr>
        <w:spacing w:line="5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rPr>
        <w:t>注：1、投标人应根据“采购需求”中的“二、</w:t>
      </w:r>
      <w:r>
        <w:rPr>
          <w:rFonts w:hint="eastAsia" w:ascii="宋体" w:hAnsi="宋体" w:eastAsia="宋体" w:cs="宋体"/>
          <w:b/>
          <w:color w:val="auto"/>
          <w:kern w:val="2"/>
          <w:sz w:val="24"/>
          <w:szCs w:val="24"/>
          <w:highlight w:val="none"/>
          <w:lang w:val="zh-CN"/>
        </w:rPr>
        <w:t>货物清单及技术规格要求</w:t>
      </w:r>
      <w:r>
        <w:rPr>
          <w:rFonts w:hint="eastAsia" w:ascii="宋体" w:hAnsi="宋体" w:eastAsia="宋体" w:cs="宋体"/>
          <w:b/>
          <w:color w:val="auto"/>
          <w:kern w:val="2"/>
          <w:sz w:val="24"/>
          <w:szCs w:val="24"/>
          <w:highlight w:val="none"/>
        </w:rPr>
        <w:t>”对照所投报货物的技术性能参数进行逐项评议。</w:t>
      </w:r>
    </w:p>
    <w:p w14:paraId="4238CA3A">
      <w:pPr>
        <w:spacing w:line="50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2、</w:t>
      </w:r>
      <w:r>
        <w:rPr>
          <w:rFonts w:hint="eastAsia" w:ascii="宋体" w:hAnsi="宋体" w:eastAsia="宋体" w:cs="宋体"/>
          <w:color w:val="auto"/>
          <w:sz w:val="24"/>
          <w:szCs w:val="24"/>
          <w:highlight w:val="none"/>
        </w:rPr>
        <w:t>若无偏离，在“</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无偏离”栏中填写“无偏离”；若有偏离在“有偏离”栏中填写“正偏离”或“负偏离”，并在“偏离内容”栏中作出说明。</w:t>
      </w:r>
    </w:p>
    <w:p w14:paraId="0B0F0A1A">
      <w:pPr>
        <w:spacing w:after="120" w:line="440" w:lineRule="exact"/>
        <w:ind w:firstLine="960" w:firstLineChars="400"/>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rPr>
        <w:t>3、表格不够可另接。</w:t>
      </w:r>
    </w:p>
    <w:p w14:paraId="51020BA8">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592FA107">
      <w:pPr>
        <w:spacing w:line="440" w:lineRule="exact"/>
        <w:ind w:firstLine="482"/>
        <w:jc w:val="center"/>
        <w:outlineLvl w:val="1"/>
        <w:rPr>
          <w:rFonts w:hint="eastAsia" w:ascii="宋体" w:hAnsi="宋体" w:eastAsia="宋体" w:cs="宋体"/>
          <w:b/>
          <w:bCs/>
          <w:color w:val="auto"/>
          <w:sz w:val="28"/>
          <w:szCs w:val="28"/>
          <w:highlight w:val="none"/>
        </w:rPr>
      </w:pPr>
      <w:bookmarkStart w:id="372" w:name="_Toc22983"/>
      <w:r>
        <w:rPr>
          <w:rFonts w:hint="eastAsia" w:ascii="宋体" w:hAnsi="宋体" w:eastAsia="宋体" w:cs="宋体"/>
          <w:b/>
          <w:bCs/>
          <w:color w:val="auto"/>
          <w:sz w:val="28"/>
          <w:szCs w:val="28"/>
          <w:highlight w:val="none"/>
        </w:rPr>
        <w:t xml:space="preserve">附件4 </w:t>
      </w:r>
      <w:bookmarkEnd w:id="366"/>
      <w:bookmarkEnd w:id="367"/>
      <w:bookmarkEnd w:id="368"/>
      <w:bookmarkEnd w:id="369"/>
      <w:bookmarkEnd w:id="370"/>
      <w:r>
        <w:rPr>
          <w:rFonts w:hint="eastAsia" w:ascii="宋体" w:hAnsi="宋体" w:eastAsia="宋体" w:cs="宋体"/>
          <w:b/>
          <w:bCs/>
          <w:color w:val="auto"/>
          <w:sz w:val="28"/>
          <w:szCs w:val="28"/>
          <w:highlight w:val="none"/>
        </w:rPr>
        <w:t>项目实施方案</w:t>
      </w:r>
      <w:bookmarkEnd w:id="372"/>
    </w:p>
    <w:p w14:paraId="576F68B8">
      <w:pPr>
        <w:spacing w:line="440" w:lineRule="exact"/>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根据“第四章 采购需求”提供相关说明并提供证明材料（如果有的话）</w:t>
      </w:r>
    </w:p>
    <w:p w14:paraId="2673B8A5">
      <w:pPr>
        <w:spacing w:line="440" w:lineRule="exact"/>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包括但不限于项目实施方案、售后服务、免费质量保证</w:t>
      </w:r>
    </w:p>
    <w:p w14:paraId="7C79DB2E">
      <w:pPr>
        <w:spacing w:line="44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4"/>
          <w:highlight w:val="none"/>
        </w:rPr>
        <w:br w:type="page"/>
      </w:r>
    </w:p>
    <w:p w14:paraId="0F13D357">
      <w:pPr>
        <w:spacing w:line="440" w:lineRule="exact"/>
        <w:ind w:firstLine="482"/>
        <w:jc w:val="center"/>
        <w:outlineLvl w:val="1"/>
        <w:rPr>
          <w:rFonts w:hint="eastAsia" w:ascii="宋体" w:hAnsi="宋体" w:eastAsia="宋体" w:cs="宋体"/>
          <w:b/>
          <w:bCs/>
          <w:color w:val="auto"/>
          <w:sz w:val="28"/>
          <w:szCs w:val="28"/>
          <w:highlight w:val="none"/>
        </w:rPr>
      </w:pPr>
      <w:bookmarkStart w:id="373" w:name="_Toc13431"/>
      <w:r>
        <w:rPr>
          <w:rFonts w:hint="eastAsia" w:ascii="宋体" w:hAnsi="宋体" w:eastAsia="宋体" w:cs="宋体"/>
          <w:b/>
          <w:bCs/>
          <w:color w:val="auto"/>
          <w:sz w:val="28"/>
          <w:szCs w:val="28"/>
          <w:highlight w:val="none"/>
        </w:rPr>
        <w:t>附件5 商务要求响应及偏离表</w:t>
      </w:r>
      <w:bookmarkEnd w:id="373"/>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5"/>
        <w:gridCol w:w="1905"/>
        <w:gridCol w:w="2940"/>
      </w:tblGrid>
      <w:tr w14:paraId="60FB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59FB5718">
            <w:pPr>
              <w:spacing w:line="276"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合同条款号</w:t>
            </w:r>
          </w:p>
        </w:tc>
        <w:tc>
          <w:tcPr>
            <w:tcW w:w="1905" w:type="dxa"/>
            <w:vAlign w:val="center"/>
          </w:tcPr>
          <w:p w14:paraId="6F052108">
            <w:pPr>
              <w:spacing w:line="276"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有无偏离</w:t>
            </w:r>
          </w:p>
        </w:tc>
        <w:tc>
          <w:tcPr>
            <w:tcW w:w="2940" w:type="dxa"/>
            <w:vAlign w:val="center"/>
          </w:tcPr>
          <w:p w14:paraId="2A3B5DCE">
            <w:pPr>
              <w:spacing w:line="276"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偏离内容及原因</w:t>
            </w:r>
          </w:p>
        </w:tc>
      </w:tr>
      <w:tr w14:paraId="78953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6F2CC46B">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合同组成部分</w:t>
            </w:r>
          </w:p>
        </w:tc>
        <w:tc>
          <w:tcPr>
            <w:tcW w:w="1905" w:type="dxa"/>
            <w:vAlign w:val="center"/>
          </w:tcPr>
          <w:p w14:paraId="51CD5752">
            <w:pPr>
              <w:spacing w:line="276" w:lineRule="auto"/>
              <w:rPr>
                <w:rFonts w:hint="eastAsia" w:ascii="宋体" w:hAnsi="宋体" w:eastAsia="宋体" w:cs="宋体"/>
                <w:color w:val="auto"/>
                <w:sz w:val="24"/>
                <w:szCs w:val="24"/>
                <w:highlight w:val="none"/>
              </w:rPr>
            </w:pPr>
          </w:p>
        </w:tc>
        <w:tc>
          <w:tcPr>
            <w:tcW w:w="2940" w:type="dxa"/>
            <w:vAlign w:val="center"/>
          </w:tcPr>
          <w:p w14:paraId="3D9E6645">
            <w:pPr>
              <w:spacing w:line="276" w:lineRule="auto"/>
              <w:rPr>
                <w:rFonts w:hint="eastAsia" w:ascii="宋体" w:hAnsi="宋体" w:eastAsia="宋体" w:cs="宋体"/>
                <w:color w:val="auto"/>
                <w:sz w:val="24"/>
                <w:szCs w:val="24"/>
                <w:highlight w:val="none"/>
              </w:rPr>
            </w:pPr>
          </w:p>
        </w:tc>
      </w:tr>
      <w:tr w14:paraId="2DE7F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A44D545">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付款方式和发票开具方式</w:t>
            </w:r>
          </w:p>
        </w:tc>
        <w:tc>
          <w:tcPr>
            <w:tcW w:w="1905" w:type="dxa"/>
            <w:vAlign w:val="center"/>
          </w:tcPr>
          <w:p w14:paraId="46CF6BC9">
            <w:pPr>
              <w:spacing w:line="276" w:lineRule="auto"/>
              <w:rPr>
                <w:rFonts w:hint="eastAsia" w:ascii="宋体" w:hAnsi="宋体" w:eastAsia="宋体" w:cs="宋体"/>
                <w:color w:val="auto"/>
                <w:sz w:val="24"/>
                <w:szCs w:val="24"/>
                <w:highlight w:val="none"/>
              </w:rPr>
            </w:pPr>
          </w:p>
        </w:tc>
        <w:tc>
          <w:tcPr>
            <w:tcW w:w="2940" w:type="dxa"/>
            <w:vAlign w:val="center"/>
          </w:tcPr>
          <w:p w14:paraId="0CA7FB06">
            <w:pPr>
              <w:spacing w:line="276" w:lineRule="auto"/>
              <w:rPr>
                <w:rFonts w:hint="eastAsia" w:ascii="宋体" w:hAnsi="宋体" w:eastAsia="宋体" w:cs="宋体"/>
                <w:color w:val="auto"/>
                <w:sz w:val="24"/>
                <w:szCs w:val="24"/>
                <w:highlight w:val="none"/>
              </w:rPr>
            </w:pPr>
          </w:p>
        </w:tc>
      </w:tr>
      <w:tr w14:paraId="705C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4297982F">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交货时间和地点</w:t>
            </w:r>
          </w:p>
        </w:tc>
        <w:tc>
          <w:tcPr>
            <w:tcW w:w="1905" w:type="dxa"/>
            <w:vAlign w:val="center"/>
          </w:tcPr>
          <w:p w14:paraId="01D5090F">
            <w:pPr>
              <w:spacing w:line="276" w:lineRule="auto"/>
              <w:rPr>
                <w:rFonts w:hint="eastAsia" w:ascii="宋体" w:hAnsi="宋体" w:eastAsia="宋体" w:cs="宋体"/>
                <w:color w:val="auto"/>
                <w:sz w:val="24"/>
                <w:szCs w:val="24"/>
                <w:highlight w:val="none"/>
              </w:rPr>
            </w:pPr>
          </w:p>
        </w:tc>
        <w:tc>
          <w:tcPr>
            <w:tcW w:w="2940" w:type="dxa"/>
            <w:vAlign w:val="center"/>
          </w:tcPr>
          <w:p w14:paraId="36517041">
            <w:pPr>
              <w:spacing w:line="276" w:lineRule="auto"/>
              <w:rPr>
                <w:rFonts w:hint="eastAsia" w:ascii="宋体" w:hAnsi="宋体" w:eastAsia="宋体" w:cs="宋体"/>
                <w:color w:val="auto"/>
                <w:sz w:val="24"/>
                <w:szCs w:val="24"/>
                <w:highlight w:val="none"/>
              </w:rPr>
            </w:pPr>
          </w:p>
        </w:tc>
      </w:tr>
      <w:tr w14:paraId="4D29F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54A7E371">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双方权利和义务</w:t>
            </w:r>
          </w:p>
        </w:tc>
        <w:tc>
          <w:tcPr>
            <w:tcW w:w="1905" w:type="dxa"/>
            <w:vAlign w:val="center"/>
          </w:tcPr>
          <w:p w14:paraId="254C333E">
            <w:pPr>
              <w:spacing w:line="276" w:lineRule="auto"/>
              <w:rPr>
                <w:rFonts w:hint="eastAsia" w:ascii="宋体" w:hAnsi="宋体" w:eastAsia="宋体" w:cs="宋体"/>
                <w:color w:val="auto"/>
                <w:sz w:val="24"/>
                <w:szCs w:val="24"/>
                <w:highlight w:val="none"/>
              </w:rPr>
            </w:pPr>
          </w:p>
        </w:tc>
        <w:tc>
          <w:tcPr>
            <w:tcW w:w="2940" w:type="dxa"/>
            <w:vAlign w:val="center"/>
          </w:tcPr>
          <w:p w14:paraId="504D9FEA">
            <w:pPr>
              <w:spacing w:line="276" w:lineRule="auto"/>
              <w:rPr>
                <w:rFonts w:hint="eastAsia" w:ascii="宋体" w:hAnsi="宋体" w:eastAsia="宋体" w:cs="宋体"/>
                <w:color w:val="auto"/>
                <w:sz w:val="24"/>
                <w:szCs w:val="24"/>
                <w:highlight w:val="none"/>
              </w:rPr>
            </w:pPr>
          </w:p>
        </w:tc>
      </w:tr>
      <w:tr w14:paraId="16C0C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89C5FE9">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违约责任</w:t>
            </w:r>
          </w:p>
        </w:tc>
        <w:tc>
          <w:tcPr>
            <w:tcW w:w="1905" w:type="dxa"/>
            <w:vAlign w:val="center"/>
          </w:tcPr>
          <w:p w14:paraId="77F9E3B6">
            <w:pPr>
              <w:spacing w:line="276" w:lineRule="auto"/>
              <w:rPr>
                <w:rFonts w:hint="eastAsia" w:ascii="宋体" w:hAnsi="宋体" w:eastAsia="宋体" w:cs="宋体"/>
                <w:color w:val="auto"/>
                <w:sz w:val="24"/>
                <w:szCs w:val="24"/>
                <w:highlight w:val="none"/>
              </w:rPr>
            </w:pPr>
          </w:p>
        </w:tc>
        <w:tc>
          <w:tcPr>
            <w:tcW w:w="2940" w:type="dxa"/>
            <w:vAlign w:val="center"/>
          </w:tcPr>
          <w:p w14:paraId="7CB2D487">
            <w:pPr>
              <w:spacing w:line="276" w:lineRule="auto"/>
              <w:rPr>
                <w:rFonts w:hint="eastAsia" w:ascii="宋体" w:hAnsi="宋体" w:eastAsia="宋体" w:cs="宋体"/>
                <w:color w:val="auto"/>
                <w:sz w:val="24"/>
                <w:szCs w:val="24"/>
                <w:highlight w:val="none"/>
              </w:rPr>
            </w:pPr>
          </w:p>
        </w:tc>
      </w:tr>
      <w:tr w14:paraId="3B164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C7C7BAF">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合同争议的解决</w:t>
            </w:r>
          </w:p>
        </w:tc>
        <w:tc>
          <w:tcPr>
            <w:tcW w:w="1905" w:type="dxa"/>
            <w:vAlign w:val="center"/>
          </w:tcPr>
          <w:p w14:paraId="2F00C8D6">
            <w:pPr>
              <w:spacing w:line="276" w:lineRule="auto"/>
              <w:rPr>
                <w:rFonts w:hint="eastAsia" w:ascii="宋体" w:hAnsi="宋体" w:eastAsia="宋体" w:cs="宋体"/>
                <w:color w:val="auto"/>
                <w:sz w:val="24"/>
                <w:szCs w:val="24"/>
                <w:highlight w:val="none"/>
              </w:rPr>
            </w:pPr>
          </w:p>
        </w:tc>
        <w:tc>
          <w:tcPr>
            <w:tcW w:w="2940" w:type="dxa"/>
            <w:vAlign w:val="center"/>
          </w:tcPr>
          <w:p w14:paraId="3D443630">
            <w:pPr>
              <w:spacing w:line="276" w:lineRule="auto"/>
              <w:rPr>
                <w:rFonts w:hint="eastAsia" w:ascii="宋体" w:hAnsi="宋体" w:eastAsia="宋体" w:cs="宋体"/>
                <w:color w:val="auto"/>
                <w:sz w:val="24"/>
                <w:szCs w:val="24"/>
                <w:highlight w:val="none"/>
              </w:rPr>
            </w:pPr>
          </w:p>
        </w:tc>
      </w:tr>
      <w:tr w14:paraId="7681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1A9F2D3F">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合同生效</w:t>
            </w:r>
          </w:p>
        </w:tc>
        <w:tc>
          <w:tcPr>
            <w:tcW w:w="1905" w:type="dxa"/>
            <w:vAlign w:val="center"/>
          </w:tcPr>
          <w:p w14:paraId="1E657390">
            <w:pPr>
              <w:spacing w:line="276" w:lineRule="auto"/>
              <w:rPr>
                <w:rFonts w:hint="eastAsia" w:ascii="宋体" w:hAnsi="宋体" w:eastAsia="宋体" w:cs="宋体"/>
                <w:color w:val="auto"/>
                <w:sz w:val="24"/>
                <w:szCs w:val="24"/>
                <w:highlight w:val="none"/>
              </w:rPr>
            </w:pPr>
          </w:p>
        </w:tc>
        <w:tc>
          <w:tcPr>
            <w:tcW w:w="2940" w:type="dxa"/>
            <w:vAlign w:val="center"/>
          </w:tcPr>
          <w:p w14:paraId="1E6AAB5B">
            <w:pPr>
              <w:spacing w:line="276" w:lineRule="auto"/>
              <w:rPr>
                <w:rFonts w:hint="eastAsia" w:ascii="宋体" w:hAnsi="宋体" w:eastAsia="宋体" w:cs="宋体"/>
                <w:color w:val="auto"/>
                <w:sz w:val="24"/>
                <w:szCs w:val="24"/>
                <w:highlight w:val="none"/>
              </w:rPr>
            </w:pPr>
          </w:p>
        </w:tc>
      </w:tr>
      <w:tr w14:paraId="095DE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8459719">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定义</w:t>
            </w:r>
          </w:p>
        </w:tc>
        <w:tc>
          <w:tcPr>
            <w:tcW w:w="1905" w:type="dxa"/>
            <w:vAlign w:val="center"/>
          </w:tcPr>
          <w:p w14:paraId="6EB6C673">
            <w:pPr>
              <w:spacing w:line="276" w:lineRule="auto"/>
              <w:jc w:val="left"/>
              <w:rPr>
                <w:rFonts w:hint="eastAsia" w:ascii="宋体" w:hAnsi="宋体" w:eastAsia="宋体" w:cs="宋体"/>
                <w:color w:val="auto"/>
                <w:sz w:val="24"/>
                <w:szCs w:val="24"/>
                <w:highlight w:val="none"/>
              </w:rPr>
            </w:pPr>
          </w:p>
        </w:tc>
        <w:tc>
          <w:tcPr>
            <w:tcW w:w="2940" w:type="dxa"/>
            <w:vAlign w:val="center"/>
          </w:tcPr>
          <w:p w14:paraId="25CEBB95">
            <w:pPr>
              <w:spacing w:line="276" w:lineRule="auto"/>
              <w:rPr>
                <w:rFonts w:hint="eastAsia" w:ascii="宋体" w:hAnsi="宋体" w:eastAsia="宋体" w:cs="宋体"/>
                <w:color w:val="auto"/>
                <w:sz w:val="24"/>
                <w:szCs w:val="24"/>
                <w:highlight w:val="none"/>
              </w:rPr>
            </w:pPr>
          </w:p>
        </w:tc>
      </w:tr>
      <w:tr w14:paraId="1842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532F51D">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技术规范</w:t>
            </w:r>
          </w:p>
        </w:tc>
        <w:tc>
          <w:tcPr>
            <w:tcW w:w="1905" w:type="dxa"/>
            <w:vAlign w:val="center"/>
          </w:tcPr>
          <w:p w14:paraId="461A5166">
            <w:pPr>
              <w:spacing w:line="276" w:lineRule="auto"/>
              <w:jc w:val="left"/>
              <w:rPr>
                <w:rFonts w:hint="eastAsia" w:ascii="宋体" w:hAnsi="宋体" w:eastAsia="宋体" w:cs="宋体"/>
                <w:color w:val="auto"/>
                <w:sz w:val="24"/>
                <w:szCs w:val="24"/>
                <w:highlight w:val="none"/>
              </w:rPr>
            </w:pPr>
          </w:p>
        </w:tc>
        <w:tc>
          <w:tcPr>
            <w:tcW w:w="2940" w:type="dxa"/>
            <w:vAlign w:val="center"/>
          </w:tcPr>
          <w:p w14:paraId="59E1B940">
            <w:pPr>
              <w:spacing w:line="276" w:lineRule="auto"/>
              <w:rPr>
                <w:rFonts w:hint="eastAsia" w:ascii="宋体" w:hAnsi="宋体" w:eastAsia="宋体" w:cs="宋体"/>
                <w:color w:val="auto"/>
                <w:sz w:val="24"/>
                <w:szCs w:val="24"/>
                <w:highlight w:val="none"/>
              </w:rPr>
            </w:pPr>
          </w:p>
        </w:tc>
      </w:tr>
      <w:tr w14:paraId="684D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EADB59B">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知识产权</w:t>
            </w:r>
          </w:p>
        </w:tc>
        <w:tc>
          <w:tcPr>
            <w:tcW w:w="1905" w:type="dxa"/>
            <w:vAlign w:val="center"/>
          </w:tcPr>
          <w:p w14:paraId="1069EF45">
            <w:pPr>
              <w:spacing w:line="276" w:lineRule="auto"/>
              <w:jc w:val="left"/>
              <w:rPr>
                <w:rFonts w:hint="eastAsia" w:ascii="宋体" w:hAnsi="宋体" w:eastAsia="宋体" w:cs="宋体"/>
                <w:color w:val="auto"/>
                <w:sz w:val="24"/>
                <w:szCs w:val="24"/>
                <w:highlight w:val="none"/>
              </w:rPr>
            </w:pPr>
          </w:p>
        </w:tc>
        <w:tc>
          <w:tcPr>
            <w:tcW w:w="2940" w:type="dxa"/>
            <w:vAlign w:val="center"/>
          </w:tcPr>
          <w:p w14:paraId="67D7A021">
            <w:pPr>
              <w:spacing w:line="276" w:lineRule="auto"/>
              <w:rPr>
                <w:rFonts w:hint="eastAsia" w:ascii="宋体" w:hAnsi="宋体" w:eastAsia="宋体" w:cs="宋体"/>
                <w:color w:val="auto"/>
                <w:sz w:val="24"/>
                <w:szCs w:val="24"/>
                <w:highlight w:val="none"/>
              </w:rPr>
            </w:pPr>
          </w:p>
        </w:tc>
      </w:tr>
      <w:tr w14:paraId="12CCC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E2DCEB6">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包装和装运</w:t>
            </w:r>
          </w:p>
        </w:tc>
        <w:tc>
          <w:tcPr>
            <w:tcW w:w="1905" w:type="dxa"/>
            <w:vAlign w:val="center"/>
          </w:tcPr>
          <w:p w14:paraId="047CBAA2">
            <w:pPr>
              <w:spacing w:line="276" w:lineRule="auto"/>
              <w:rPr>
                <w:rFonts w:hint="eastAsia" w:ascii="宋体" w:hAnsi="宋体" w:eastAsia="宋体" w:cs="宋体"/>
                <w:color w:val="auto"/>
                <w:sz w:val="24"/>
                <w:szCs w:val="24"/>
                <w:highlight w:val="none"/>
              </w:rPr>
            </w:pPr>
          </w:p>
        </w:tc>
        <w:tc>
          <w:tcPr>
            <w:tcW w:w="2940" w:type="dxa"/>
            <w:vAlign w:val="center"/>
          </w:tcPr>
          <w:p w14:paraId="4141CBF6">
            <w:pPr>
              <w:spacing w:line="276" w:lineRule="auto"/>
              <w:rPr>
                <w:rFonts w:hint="eastAsia" w:ascii="宋体" w:hAnsi="宋体" w:eastAsia="宋体" w:cs="宋体"/>
                <w:color w:val="auto"/>
                <w:sz w:val="24"/>
                <w:szCs w:val="24"/>
                <w:highlight w:val="none"/>
              </w:rPr>
            </w:pPr>
          </w:p>
        </w:tc>
      </w:tr>
      <w:tr w14:paraId="1E33E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BD8B193">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履约检查和问题反馈</w:t>
            </w:r>
          </w:p>
        </w:tc>
        <w:tc>
          <w:tcPr>
            <w:tcW w:w="1905" w:type="dxa"/>
            <w:vAlign w:val="center"/>
          </w:tcPr>
          <w:p w14:paraId="46845F77">
            <w:pPr>
              <w:spacing w:line="276" w:lineRule="auto"/>
              <w:rPr>
                <w:rFonts w:hint="eastAsia" w:ascii="宋体" w:hAnsi="宋体" w:eastAsia="宋体" w:cs="宋体"/>
                <w:color w:val="auto"/>
                <w:sz w:val="24"/>
                <w:szCs w:val="24"/>
                <w:highlight w:val="none"/>
              </w:rPr>
            </w:pPr>
          </w:p>
        </w:tc>
        <w:tc>
          <w:tcPr>
            <w:tcW w:w="2940" w:type="dxa"/>
            <w:vAlign w:val="center"/>
          </w:tcPr>
          <w:p w14:paraId="3A5FD69D">
            <w:pPr>
              <w:spacing w:line="276" w:lineRule="auto"/>
              <w:rPr>
                <w:rFonts w:hint="eastAsia" w:ascii="宋体" w:hAnsi="宋体" w:eastAsia="宋体" w:cs="宋体"/>
                <w:color w:val="auto"/>
                <w:sz w:val="24"/>
                <w:szCs w:val="24"/>
                <w:highlight w:val="none"/>
              </w:rPr>
            </w:pPr>
          </w:p>
        </w:tc>
      </w:tr>
      <w:tr w14:paraId="06E85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415C724">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技术资料和保密义务</w:t>
            </w:r>
          </w:p>
        </w:tc>
        <w:tc>
          <w:tcPr>
            <w:tcW w:w="1905" w:type="dxa"/>
            <w:vAlign w:val="center"/>
          </w:tcPr>
          <w:p w14:paraId="27A72273">
            <w:pPr>
              <w:spacing w:line="276" w:lineRule="auto"/>
              <w:rPr>
                <w:rFonts w:hint="eastAsia" w:ascii="宋体" w:hAnsi="宋体" w:eastAsia="宋体" w:cs="宋体"/>
                <w:color w:val="auto"/>
                <w:sz w:val="24"/>
                <w:szCs w:val="24"/>
                <w:highlight w:val="none"/>
              </w:rPr>
            </w:pPr>
          </w:p>
        </w:tc>
        <w:tc>
          <w:tcPr>
            <w:tcW w:w="2940" w:type="dxa"/>
            <w:vAlign w:val="center"/>
          </w:tcPr>
          <w:p w14:paraId="6EB6E8D2">
            <w:pPr>
              <w:spacing w:line="276" w:lineRule="auto"/>
              <w:rPr>
                <w:rFonts w:hint="eastAsia" w:ascii="宋体" w:hAnsi="宋体" w:eastAsia="宋体" w:cs="宋体"/>
                <w:color w:val="auto"/>
                <w:sz w:val="24"/>
                <w:szCs w:val="24"/>
                <w:highlight w:val="none"/>
              </w:rPr>
            </w:pPr>
          </w:p>
        </w:tc>
      </w:tr>
      <w:tr w14:paraId="2F46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4B2ED8A5">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质量保证</w:t>
            </w:r>
          </w:p>
        </w:tc>
        <w:tc>
          <w:tcPr>
            <w:tcW w:w="1905" w:type="dxa"/>
            <w:vAlign w:val="center"/>
          </w:tcPr>
          <w:p w14:paraId="402C7132">
            <w:pPr>
              <w:spacing w:line="276" w:lineRule="auto"/>
              <w:rPr>
                <w:rFonts w:hint="eastAsia" w:ascii="宋体" w:hAnsi="宋体" w:eastAsia="宋体" w:cs="宋体"/>
                <w:color w:val="auto"/>
                <w:sz w:val="24"/>
                <w:szCs w:val="24"/>
                <w:highlight w:val="none"/>
              </w:rPr>
            </w:pPr>
          </w:p>
        </w:tc>
        <w:tc>
          <w:tcPr>
            <w:tcW w:w="2940" w:type="dxa"/>
            <w:vAlign w:val="center"/>
          </w:tcPr>
          <w:p w14:paraId="5DCB65F5">
            <w:pPr>
              <w:spacing w:line="276" w:lineRule="auto"/>
              <w:rPr>
                <w:rFonts w:hint="eastAsia" w:ascii="宋体" w:hAnsi="宋体" w:eastAsia="宋体" w:cs="宋体"/>
                <w:color w:val="auto"/>
                <w:sz w:val="24"/>
                <w:szCs w:val="24"/>
                <w:highlight w:val="none"/>
              </w:rPr>
            </w:pPr>
          </w:p>
        </w:tc>
      </w:tr>
      <w:tr w14:paraId="7C267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3913E2D6">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 合同变更</w:t>
            </w:r>
          </w:p>
        </w:tc>
        <w:tc>
          <w:tcPr>
            <w:tcW w:w="1905" w:type="dxa"/>
            <w:vAlign w:val="center"/>
          </w:tcPr>
          <w:p w14:paraId="4EB2D77C">
            <w:pPr>
              <w:spacing w:line="276" w:lineRule="auto"/>
              <w:rPr>
                <w:rFonts w:hint="eastAsia" w:ascii="宋体" w:hAnsi="宋体" w:eastAsia="宋体" w:cs="宋体"/>
                <w:color w:val="auto"/>
                <w:sz w:val="24"/>
                <w:szCs w:val="24"/>
                <w:highlight w:val="none"/>
              </w:rPr>
            </w:pPr>
          </w:p>
        </w:tc>
        <w:tc>
          <w:tcPr>
            <w:tcW w:w="2940" w:type="dxa"/>
            <w:vAlign w:val="center"/>
          </w:tcPr>
          <w:p w14:paraId="2CD4DE42">
            <w:pPr>
              <w:spacing w:line="276" w:lineRule="auto"/>
              <w:rPr>
                <w:rFonts w:hint="eastAsia" w:ascii="宋体" w:hAnsi="宋体" w:eastAsia="宋体" w:cs="宋体"/>
                <w:color w:val="auto"/>
                <w:sz w:val="24"/>
                <w:szCs w:val="24"/>
                <w:highlight w:val="none"/>
              </w:rPr>
            </w:pPr>
          </w:p>
        </w:tc>
      </w:tr>
      <w:tr w14:paraId="255C4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65AF24A5">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 合同转让和分包</w:t>
            </w:r>
          </w:p>
        </w:tc>
        <w:tc>
          <w:tcPr>
            <w:tcW w:w="1905" w:type="dxa"/>
            <w:vAlign w:val="center"/>
          </w:tcPr>
          <w:p w14:paraId="415699FB">
            <w:pPr>
              <w:spacing w:line="276" w:lineRule="auto"/>
              <w:rPr>
                <w:rFonts w:hint="eastAsia" w:ascii="宋体" w:hAnsi="宋体" w:eastAsia="宋体" w:cs="宋体"/>
                <w:color w:val="auto"/>
                <w:sz w:val="24"/>
                <w:szCs w:val="24"/>
                <w:highlight w:val="none"/>
              </w:rPr>
            </w:pPr>
          </w:p>
        </w:tc>
        <w:tc>
          <w:tcPr>
            <w:tcW w:w="2940" w:type="dxa"/>
            <w:vAlign w:val="center"/>
          </w:tcPr>
          <w:p w14:paraId="634A33FA">
            <w:pPr>
              <w:spacing w:line="276" w:lineRule="auto"/>
              <w:rPr>
                <w:rFonts w:hint="eastAsia" w:ascii="宋体" w:hAnsi="宋体" w:eastAsia="宋体" w:cs="宋体"/>
                <w:color w:val="auto"/>
                <w:sz w:val="24"/>
                <w:szCs w:val="24"/>
                <w:highlight w:val="none"/>
              </w:rPr>
            </w:pPr>
          </w:p>
        </w:tc>
      </w:tr>
      <w:tr w14:paraId="7EC2C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9F5B333">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 不可抗力</w:t>
            </w:r>
          </w:p>
        </w:tc>
        <w:tc>
          <w:tcPr>
            <w:tcW w:w="1905" w:type="dxa"/>
            <w:vAlign w:val="center"/>
          </w:tcPr>
          <w:p w14:paraId="4435BB53">
            <w:pPr>
              <w:spacing w:line="276" w:lineRule="auto"/>
              <w:rPr>
                <w:rFonts w:hint="eastAsia" w:ascii="宋体" w:hAnsi="宋体" w:eastAsia="宋体" w:cs="宋体"/>
                <w:color w:val="auto"/>
                <w:sz w:val="24"/>
                <w:szCs w:val="24"/>
                <w:highlight w:val="none"/>
              </w:rPr>
            </w:pPr>
          </w:p>
        </w:tc>
        <w:tc>
          <w:tcPr>
            <w:tcW w:w="2940" w:type="dxa"/>
            <w:vAlign w:val="center"/>
          </w:tcPr>
          <w:p w14:paraId="529E3FDB">
            <w:pPr>
              <w:spacing w:line="276" w:lineRule="auto"/>
              <w:rPr>
                <w:rFonts w:hint="eastAsia" w:ascii="宋体" w:hAnsi="宋体" w:eastAsia="宋体" w:cs="宋体"/>
                <w:color w:val="auto"/>
                <w:sz w:val="24"/>
                <w:szCs w:val="24"/>
                <w:highlight w:val="none"/>
              </w:rPr>
            </w:pPr>
          </w:p>
        </w:tc>
      </w:tr>
      <w:tr w14:paraId="46472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44D0489B">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税费</w:t>
            </w:r>
          </w:p>
        </w:tc>
        <w:tc>
          <w:tcPr>
            <w:tcW w:w="1905" w:type="dxa"/>
            <w:vAlign w:val="center"/>
          </w:tcPr>
          <w:p w14:paraId="1400CDF1">
            <w:pPr>
              <w:spacing w:line="276" w:lineRule="auto"/>
              <w:rPr>
                <w:rFonts w:hint="eastAsia" w:ascii="宋体" w:hAnsi="宋体" w:eastAsia="宋体" w:cs="宋体"/>
                <w:color w:val="auto"/>
                <w:sz w:val="24"/>
                <w:szCs w:val="24"/>
                <w:highlight w:val="none"/>
              </w:rPr>
            </w:pPr>
          </w:p>
        </w:tc>
        <w:tc>
          <w:tcPr>
            <w:tcW w:w="2940" w:type="dxa"/>
            <w:vAlign w:val="center"/>
          </w:tcPr>
          <w:p w14:paraId="51013631">
            <w:pPr>
              <w:spacing w:line="276" w:lineRule="auto"/>
              <w:rPr>
                <w:rFonts w:hint="eastAsia" w:ascii="宋体" w:hAnsi="宋体" w:eastAsia="宋体" w:cs="宋体"/>
                <w:color w:val="auto"/>
                <w:sz w:val="24"/>
                <w:szCs w:val="24"/>
                <w:highlight w:val="none"/>
              </w:rPr>
            </w:pPr>
          </w:p>
        </w:tc>
      </w:tr>
      <w:tr w14:paraId="39F9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6354667">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乙方破产</w:t>
            </w:r>
          </w:p>
        </w:tc>
        <w:tc>
          <w:tcPr>
            <w:tcW w:w="1905" w:type="dxa"/>
            <w:vAlign w:val="center"/>
          </w:tcPr>
          <w:p w14:paraId="5AD2FE10">
            <w:pPr>
              <w:spacing w:line="276" w:lineRule="auto"/>
              <w:rPr>
                <w:rFonts w:hint="eastAsia" w:ascii="宋体" w:hAnsi="宋体" w:eastAsia="宋体" w:cs="宋体"/>
                <w:color w:val="auto"/>
                <w:sz w:val="24"/>
                <w:szCs w:val="24"/>
                <w:highlight w:val="none"/>
              </w:rPr>
            </w:pPr>
          </w:p>
        </w:tc>
        <w:tc>
          <w:tcPr>
            <w:tcW w:w="2940" w:type="dxa"/>
            <w:vAlign w:val="center"/>
          </w:tcPr>
          <w:p w14:paraId="777C0A73">
            <w:pPr>
              <w:spacing w:line="276" w:lineRule="auto"/>
              <w:rPr>
                <w:rFonts w:hint="eastAsia" w:ascii="宋体" w:hAnsi="宋体" w:eastAsia="宋体" w:cs="宋体"/>
                <w:color w:val="auto"/>
                <w:sz w:val="24"/>
                <w:szCs w:val="24"/>
                <w:highlight w:val="none"/>
              </w:rPr>
            </w:pPr>
          </w:p>
        </w:tc>
      </w:tr>
      <w:tr w14:paraId="1617B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210DFDD1">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合同中止、终止</w:t>
            </w:r>
          </w:p>
        </w:tc>
        <w:tc>
          <w:tcPr>
            <w:tcW w:w="1905" w:type="dxa"/>
            <w:vAlign w:val="center"/>
          </w:tcPr>
          <w:p w14:paraId="14806BCD">
            <w:pPr>
              <w:spacing w:line="276" w:lineRule="auto"/>
              <w:rPr>
                <w:rFonts w:hint="eastAsia" w:ascii="宋体" w:hAnsi="宋体" w:eastAsia="宋体" w:cs="宋体"/>
                <w:color w:val="auto"/>
                <w:sz w:val="24"/>
                <w:szCs w:val="24"/>
                <w:highlight w:val="none"/>
              </w:rPr>
            </w:pPr>
          </w:p>
        </w:tc>
        <w:tc>
          <w:tcPr>
            <w:tcW w:w="2940" w:type="dxa"/>
            <w:vAlign w:val="center"/>
          </w:tcPr>
          <w:p w14:paraId="62EC4B4F">
            <w:pPr>
              <w:spacing w:line="276" w:lineRule="auto"/>
              <w:rPr>
                <w:rFonts w:hint="eastAsia" w:ascii="宋体" w:hAnsi="宋体" w:eastAsia="宋体" w:cs="宋体"/>
                <w:color w:val="auto"/>
                <w:sz w:val="24"/>
                <w:szCs w:val="24"/>
                <w:highlight w:val="none"/>
              </w:rPr>
            </w:pPr>
          </w:p>
        </w:tc>
      </w:tr>
      <w:tr w14:paraId="0C9B4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04A69B1E">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检验和验收</w:t>
            </w:r>
          </w:p>
        </w:tc>
        <w:tc>
          <w:tcPr>
            <w:tcW w:w="1905" w:type="dxa"/>
            <w:vAlign w:val="center"/>
          </w:tcPr>
          <w:p w14:paraId="08BAEA19">
            <w:pPr>
              <w:spacing w:line="276" w:lineRule="auto"/>
              <w:rPr>
                <w:rFonts w:hint="eastAsia" w:ascii="宋体" w:hAnsi="宋体" w:eastAsia="宋体" w:cs="宋体"/>
                <w:color w:val="auto"/>
                <w:sz w:val="24"/>
                <w:szCs w:val="24"/>
                <w:highlight w:val="none"/>
              </w:rPr>
            </w:pPr>
          </w:p>
        </w:tc>
        <w:tc>
          <w:tcPr>
            <w:tcW w:w="2940" w:type="dxa"/>
            <w:vAlign w:val="center"/>
          </w:tcPr>
          <w:p w14:paraId="4B755674">
            <w:pPr>
              <w:spacing w:line="276" w:lineRule="auto"/>
              <w:rPr>
                <w:rFonts w:hint="eastAsia" w:ascii="宋体" w:hAnsi="宋体" w:eastAsia="宋体" w:cs="宋体"/>
                <w:color w:val="auto"/>
                <w:sz w:val="24"/>
                <w:szCs w:val="24"/>
                <w:highlight w:val="none"/>
              </w:rPr>
            </w:pPr>
          </w:p>
        </w:tc>
      </w:tr>
      <w:tr w14:paraId="385FD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40AD79F2">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 通知和送达</w:t>
            </w:r>
          </w:p>
        </w:tc>
        <w:tc>
          <w:tcPr>
            <w:tcW w:w="1905" w:type="dxa"/>
            <w:vAlign w:val="center"/>
          </w:tcPr>
          <w:p w14:paraId="4D9427AE">
            <w:pPr>
              <w:spacing w:line="276" w:lineRule="auto"/>
              <w:rPr>
                <w:rFonts w:hint="eastAsia" w:ascii="宋体" w:hAnsi="宋体" w:eastAsia="宋体" w:cs="宋体"/>
                <w:color w:val="auto"/>
                <w:sz w:val="24"/>
                <w:szCs w:val="24"/>
                <w:highlight w:val="none"/>
              </w:rPr>
            </w:pPr>
          </w:p>
        </w:tc>
        <w:tc>
          <w:tcPr>
            <w:tcW w:w="2940" w:type="dxa"/>
            <w:vAlign w:val="center"/>
          </w:tcPr>
          <w:p w14:paraId="3EC96CEA">
            <w:pPr>
              <w:spacing w:line="276" w:lineRule="auto"/>
              <w:rPr>
                <w:rFonts w:hint="eastAsia" w:ascii="宋体" w:hAnsi="宋体" w:eastAsia="宋体" w:cs="宋体"/>
                <w:color w:val="auto"/>
                <w:sz w:val="24"/>
                <w:szCs w:val="24"/>
                <w:highlight w:val="none"/>
              </w:rPr>
            </w:pPr>
          </w:p>
        </w:tc>
      </w:tr>
      <w:tr w14:paraId="7B8B8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5010F4B">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2.16 计量单位</w:t>
            </w:r>
          </w:p>
        </w:tc>
        <w:tc>
          <w:tcPr>
            <w:tcW w:w="1905" w:type="dxa"/>
            <w:vAlign w:val="center"/>
          </w:tcPr>
          <w:p w14:paraId="4C683A92">
            <w:pPr>
              <w:spacing w:line="276" w:lineRule="auto"/>
              <w:rPr>
                <w:rFonts w:hint="eastAsia" w:ascii="宋体" w:hAnsi="宋体" w:eastAsia="宋体" w:cs="宋体"/>
                <w:color w:val="auto"/>
                <w:sz w:val="24"/>
                <w:szCs w:val="24"/>
                <w:highlight w:val="none"/>
              </w:rPr>
            </w:pPr>
          </w:p>
        </w:tc>
        <w:tc>
          <w:tcPr>
            <w:tcW w:w="2940" w:type="dxa"/>
            <w:vAlign w:val="center"/>
          </w:tcPr>
          <w:p w14:paraId="3867FA0B">
            <w:pPr>
              <w:spacing w:line="276" w:lineRule="auto"/>
              <w:rPr>
                <w:rFonts w:hint="eastAsia" w:ascii="宋体" w:hAnsi="宋体" w:eastAsia="宋体" w:cs="宋体"/>
                <w:color w:val="auto"/>
                <w:sz w:val="24"/>
                <w:szCs w:val="24"/>
                <w:highlight w:val="none"/>
              </w:rPr>
            </w:pPr>
          </w:p>
        </w:tc>
      </w:tr>
      <w:tr w14:paraId="174D3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62510F2A">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2.17 合同使用的文字和适用的法律</w:t>
            </w:r>
          </w:p>
        </w:tc>
        <w:tc>
          <w:tcPr>
            <w:tcW w:w="1905" w:type="dxa"/>
            <w:vAlign w:val="center"/>
          </w:tcPr>
          <w:p w14:paraId="78E389ED">
            <w:pPr>
              <w:spacing w:line="276" w:lineRule="auto"/>
              <w:rPr>
                <w:rFonts w:hint="eastAsia" w:ascii="宋体" w:hAnsi="宋体" w:eastAsia="宋体" w:cs="宋体"/>
                <w:color w:val="auto"/>
                <w:sz w:val="24"/>
                <w:szCs w:val="24"/>
                <w:highlight w:val="none"/>
              </w:rPr>
            </w:pPr>
          </w:p>
        </w:tc>
        <w:tc>
          <w:tcPr>
            <w:tcW w:w="2940" w:type="dxa"/>
            <w:vAlign w:val="center"/>
          </w:tcPr>
          <w:p w14:paraId="7818BAB7">
            <w:pPr>
              <w:spacing w:line="276" w:lineRule="auto"/>
              <w:rPr>
                <w:rFonts w:hint="eastAsia" w:ascii="宋体" w:hAnsi="宋体" w:eastAsia="宋体" w:cs="宋体"/>
                <w:color w:val="auto"/>
                <w:sz w:val="24"/>
                <w:szCs w:val="24"/>
                <w:highlight w:val="none"/>
              </w:rPr>
            </w:pPr>
          </w:p>
        </w:tc>
      </w:tr>
      <w:tr w14:paraId="69526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185" w:type="dxa"/>
            <w:vAlign w:val="center"/>
          </w:tcPr>
          <w:p w14:paraId="7C1E4296">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2.18 履约保证金</w:t>
            </w:r>
          </w:p>
        </w:tc>
        <w:tc>
          <w:tcPr>
            <w:tcW w:w="1905" w:type="dxa"/>
            <w:vAlign w:val="center"/>
          </w:tcPr>
          <w:p w14:paraId="28CFF13B">
            <w:pPr>
              <w:spacing w:line="276" w:lineRule="auto"/>
              <w:rPr>
                <w:rFonts w:hint="eastAsia" w:ascii="宋体" w:hAnsi="宋体" w:eastAsia="宋体" w:cs="宋体"/>
                <w:color w:val="auto"/>
                <w:sz w:val="24"/>
                <w:szCs w:val="24"/>
                <w:highlight w:val="none"/>
              </w:rPr>
            </w:pPr>
          </w:p>
        </w:tc>
        <w:tc>
          <w:tcPr>
            <w:tcW w:w="2940" w:type="dxa"/>
            <w:vAlign w:val="center"/>
          </w:tcPr>
          <w:p w14:paraId="1E499B8B">
            <w:pPr>
              <w:spacing w:line="276" w:lineRule="auto"/>
              <w:rPr>
                <w:rFonts w:hint="eastAsia" w:ascii="宋体" w:hAnsi="宋体" w:eastAsia="宋体" w:cs="宋体"/>
                <w:color w:val="auto"/>
                <w:sz w:val="24"/>
                <w:szCs w:val="24"/>
                <w:highlight w:val="none"/>
              </w:rPr>
            </w:pPr>
          </w:p>
        </w:tc>
      </w:tr>
    </w:tbl>
    <w:p w14:paraId="474434EC">
      <w:pPr>
        <w:spacing w:line="44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注：1、投标人应据实、详细填写上述表格，因表述含糊导致的评标风险将由投标人承担。</w:t>
      </w:r>
    </w:p>
    <w:p w14:paraId="390E04FD">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2、若无偏离，在“有无偏离”栏中填写“无”；若有偏离在“有无偏离”栏中填写“有”并在“偏离内容及原因”栏中作出说明。</w:t>
      </w:r>
    </w:p>
    <w:p w14:paraId="60C492E5">
      <w:pPr>
        <w:spacing w:line="440" w:lineRule="exact"/>
        <w:ind w:firstLine="723" w:firstLineChars="3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3、投标人如不能满足项目付款方式要求，按无效投标处理。</w:t>
      </w:r>
    </w:p>
    <w:p w14:paraId="6C1EC61C">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205A2669">
      <w:pPr>
        <w:pStyle w:val="3"/>
        <w:jc w:val="center"/>
        <w:rPr>
          <w:rFonts w:hint="eastAsia" w:ascii="宋体" w:hAnsi="宋体" w:eastAsia="宋体" w:cs="宋体"/>
          <w:b/>
          <w:bCs/>
          <w:color w:val="auto"/>
          <w:sz w:val="28"/>
          <w:szCs w:val="28"/>
          <w:highlight w:val="none"/>
        </w:rPr>
      </w:pPr>
      <w:bookmarkStart w:id="374" w:name="_Toc24284"/>
      <w:r>
        <w:rPr>
          <w:rFonts w:hint="eastAsia" w:ascii="宋体" w:hAnsi="宋体" w:eastAsia="宋体" w:cs="宋体"/>
          <w:b/>
          <w:bCs/>
          <w:color w:val="auto"/>
          <w:sz w:val="28"/>
          <w:szCs w:val="28"/>
          <w:highlight w:val="none"/>
        </w:rPr>
        <w:t>附件6 具备履行合同所必需的设备和专业技术能力的书面声明</w:t>
      </w:r>
      <w:bookmarkEnd w:id="374"/>
    </w:p>
    <w:p w14:paraId="7F5DB64C">
      <w:pPr>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我单位郑重声明：我单位具备履行本项采购合同所必需的设备和专业技术能力，为履行本项采购合同我公司具备如下主要设备和主要专业技术能力：</w:t>
      </w:r>
    </w:p>
    <w:p w14:paraId="21E09CE3">
      <w:pPr>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主要设备有：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752E6C3C">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1266026D">
      <w:pPr>
        <w:ind w:left="480" w:firstLine="482"/>
        <w:jc w:val="center"/>
        <w:rPr>
          <w:rFonts w:hint="eastAsia" w:ascii="宋体" w:hAnsi="宋体" w:eastAsia="宋体" w:cs="宋体"/>
          <w:b/>
          <w:color w:val="auto"/>
          <w:sz w:val="24"/>
          <w:highlight w:val="none"/>
        </w:rPr>
      </w:pPr>
    </w:p>
    <w:p w14:paraId="5C3AC6AC">
      <w:pPr>
        <w:spacing w:line="440" w:lineRule="exact"/>
        <w:ind w:left="0" w:leftChars="0" w:firstLine="0" w:firstLineChars="0"/>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clear="all"/>
      </w:r>
      <w:bookmarkStart w:id="375" w:name="_Toc4097"/>
      <w:r>
        <w:rPr>
          <w:rFonts w:hint="eastAsia" w:ascii="宋体" w:hAnsi="宋体" w:eastAsia="宋体" w:cs="宋体"/>
          <w:b/>
          <w:bCs/>
          <w:color w:val="auto"/>
          <w:sz w:val="28"/>
          <w:szCs w:val="28"/>
          <w:highlight w:val="none"/>
        </w:rPr>
        <w:t>附件7 参加政府采购活动前 3 年内在经营活动中没有重大违法记录的书面声明</w:t>
      </w:r>
      <w:bookmarkEnd w:id="375"/>
    </w:p>
    <w:p w14:paraId="7347A034">
      <w:pPr>
        <w:spacing w:line="460" w:lineRule="exact"/>
        <w:ind w:firstLine="482"/>
        <w:jc w:val="center"/>
        <w:rPr>
          <w:rFonts w:hint="eastAsia" w:ascii="宋体" w:hAnsi="宋体" w:eastAsia="宋体" w:cs="宋体"/>
          <w:b/>
          <w:bCs/>
          <w:color w:val="auto"/>
          <w:sz w:val="24"/>
          <w:highlight w:val="none"/>
        </w:rPr>
      </w:pPr>
    </w:p>
    <w:p w14:paraId="69E12DD4">
      <w:pPr>
        <w:spacing w:line="460" w:lineRule="exact"/>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  明</w:t>
      </w:r>
    </w:p>
    <w:p w14:paraId="0E88B27D">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53C2A2EE">
      <w:pPr>
        <w:ind w:left="480" w:firstLine="482"/>
        <w:jc w:val="center"/>
        <w:rPr>
          <w:rFonts w:hint="eastAsia" w:ascii="宋体" w:hAnsi="宋体" w:eastAsia="宋体" w:cs="宋体"/>
          <w:b/>
          <w:color w:val="auto"/>
          <w:sz w:val="24"/>
          <w:highlight w:val="none"/>
        </w:rPr>
      </w:pPr>
    </w:p>
    <w:p w14:paraId="28C8D4E3">
      <w:pPr>
        <w:spacing w:line="460" w:lineRule="exact"/>
        <w:ind w:firstLine="482"/>
        <w:rPr>
          <w:rFonts w:hint="eastAsia" w:ascii="宋体" w:hAnsi="宋体" w:eastAsia="宋体" w:cs="宋体"/>
          <w:bCs/>
          <w:color w:val="auto"/>
          <w:sz w:val="24"/>
          <w:szCs w:val="21"/>
          <w:highlight w:val="none"/>
        </w:rPr>
      </w:pPr>
      <w:r>
        <w:rPr>
          <w:rFonts w:hint="eastAsia" w:ascii="宋体" w:hAnsi="宋体" w:eastAsia="宋体" w:cs="宋体"/>
          <w:b/>
          <w:color w:val="auto"/>
          <w:sz w:val="24"/>
          <w:szCs w:val="24"/>
          <w:highlight w:val="none"/>
        </w:rPr>
        <w:br w:type="page" w:clear="all"/>
      </w:r>
    </w:p>
    <w:p w14:paraId="7E5E01C0">
      <w:pPr>
        <w:spacing w:line="440" w:lineRule="exact"/>
        <w:ind w:firstLine="562"/>
        <w:jc w:val="center"/>
        <w:outlineLvl w:val="1"/>
        <w:rPr>
          <w:rFonts w:hint="eastAsia" w:ascii="宋体" w:hAnsi="宋体" w:eastAsia="宋体" w:cs="宋体"/>
          <w:b/>
          <w:bCs/>
          <w:color w:val="auto"/>
          <w:sz w:val="28"/>
          <w:szCs w:val="28"/>
          <w:highlight w:val="none"/>
        </w:rPr>
      </w:pPr>
      <w:bookmarkStart w:id="376" w:name="_Toc3206"/>
      <w:r>
        <w:rPr>
          <w:rFonts w:hint="eastAsia" w:ascii="宋体" w:hAnsi="宋体" w:eastAsia="宋体" w:cs="宋体"/>
          <w:b/>
          <w:bCs/>
          <w:color w:val="auto"/>
          <w:sz w:val="28"/>
          <w:szCs w:val="28"/>
          <w:highlight w:val="none"/>
        </w:rPr>
        <w:t>附件8 法人授权书</w:t>
      </w:r>
      <w:bookmarkEnd w:id="376"/>
    </w:p>
    <w:p w14:paraId="0EE5368B">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本授权书声明：____________（投标人名称）授权________________（被授权人的姓名）为我方就</w:t>
      </w:r>
      <w:r>
        <w:rPr>
          <w:rFonts w:hint="eastAsia" w:ascii="宋体" w:hAnsi="宋体" w:cs="宋体"/>
          <w:color w:val="auto"/>
          <w:sz w:val="24"/>
          <w:szCs w:val="24"/>
          <w:highlight w:val="none"/>
          <w:lang w:eastAsia="zh-CN"/>
        </w:rPr>
        <w:t>JSZC-320581-SZDS-G2026-0007</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787B0D5E">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w:t>
      </w:r>
      <w:r>
        <w:rPr>
          <w:rFonts w:hint="eastAsia" w:ascii="宋体" w:hAnsi="宋体" w:eastAsia="宋体" w:cs="宋体"/>
          <w:color w:val="auto"/>
          <w:sz w:val="24"/>
          <w:szCs w:val="24"/>
          <w:highlight w:val="none"/>
          <w:u w:val="single"/>
          <w:lang w:eastAsia="zh-CN"/>
        </w:rPr>
        <w:t>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年____月____日起生效，特此声明。</w:t>
      </w:r>
    </w:p>
    <w:p w14:paraId="0DAF6DD6">
      <w:pPr>
        <w:tabs>
          <w:tab w:val="left" w:pos="360"/>
        </w:tabs>
        <w:spacing w:line="440" w:lineRule="exact"/>
        <w:ind w:firstLine="480"/>
        <w:rPr>
          <w:rFonts w:hint="eastAsia" w:ascii="宋体" w:hAnsi="宋体" w:eastAsia="宋体" w:cs="宋体"/>
          <w:color w:val="auto"/>
          <w:sz w:val="24"/>
          <w:szCs w:val="24"/>
          <w:highlight w:val="none"/>
        </w:rPr>
      </w:pPr>
    </w:p>
    <w:p w14:paraId="3A87ACB8">
      <w:pPr>
        <w:tabs>
          <w:tab w:val="left" w:pos="360"/>
        </w:tabs>
        <w:spacing w:line="440" w:lineRule="exact"/>
        <w:ind w:firstLine="480"/>
        <w:rPr>
          <w:rFonts w:hint="eastAsia" w:ascii="宋体" w:hAnsi="宋体" w:eastAsia="宋体" w:cs="宋体"/>
          <w:color w:val="auto"/>
          <w:sz w:val="24"/>
          <w:szCs w:val="24"/>
          <w:highlight w:val="none"/>
        </w:rPr>
      </w:pPr>
    </w:p>
    <w:p w14:paraId="2B9B2CCA">
      <w:pPr>
        <w:tabs>
          <w:tab w:val="left" w:pos="360"/>
        </w:tabs>
        <w:spacing w:line="44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被授权人身份证号码：</w:t>
      </w:r>
      <w:r>
        <w:rPr>
          <w:rFonts w:hint="eastAsia" w:ascii="宋体" w:hAnsi="宋体" w:eastAsia="宋体" w:cs="宋体"/>
          <w:color w:val="auto"/>
          <w:sz w:val="24"/>
          <w:szCs w:val="24"/>
          <w:highlight w:val="none"/>
          <w:u w:val="single"/>
        </w:rPr>
        <w:t xml:space="preserve">                              </w:t>
      </w:r>
    </w:p>
    <w:p w14:paraId="262B731B">
      <w:pPr>
        <w:tabs>
          <w:tab w:val="left" w:pos="360"/>
        </w:tabs>
        <w:spacing w:line="44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r>
        <w:rPr>
          <w:rFonts w:hint="eastAsia" w:ascii="宋体" w:hAnsi="宋体" w:eastAsia="宋体" w:cs="宋体"/>
          <w:color w:val="auto"/>
          <w:sz w:val="24"/>
          <w:szCs w:val="24"/>
          <w:highlight w:val="none"/>
          <w:u w:val="single"/>
        </w:rPr>
        <w:t xml:space="preserve">                          </w:t>
      </w:r>
    </w:p>
    <w:p w14:paraId="32A072D5">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1B2909B8">
      <w:pPr>
        <w:tabs>
          <w:tab w:val="left" w:pos="360"/>
        </w:tabs>
        <w:spacing w:line="44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xml:space="preserve">                                         </w:t>
      </w:r>
    </w:p>
    <w:p w14:paraId="0B08A8DC">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p>
    <w:p w14:paraId="79339E0E">
      <w:pPr>
        <w:spacing w:line="400" w:lineRule="exact"/>
        <w:ind w:firstLine="480"/>
        <w:rPr>
          <w:rFonts w:hint="eastAsia" w:ascii="宋体" w:hAnsi="宋体" w:eastAsia="宋体" w:cs="宋体"/>
          <w:color w:val="auto"/>
          <w:sz w:val="24"/>
          <w:szCs w:val="24"/>
          <w:highlight w:val="none"/>
        </w:rPr>
      </w:pPr>
    </w:p>
    <w:p w14:paraId="0EA00CCA">
      <w:pPr>
        <w:spacing w:line="40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000000"/>
          <w:sz w:val="24"/>
          <w:szCs w:val="24"/>
          <w:highlight w:val="none"/>
        </w:rPr>
        <w:t>附</w:t>
      </w:r>
      <w:r>
        <w:rPr>
          <w:rFonts w:hint="eastAsia" w:ascii="宋体" w:hAnsi="宋体" w:eastAsia="宋体" w:cs="宋体"/>
          <w:b/>
          <w:bCs w:val="0"/>
          <w:color w:val="000000"/>
          <w:sz w:val="24"/>
          <w:szCs w:val="24"/>
          <w:highlight w:val="none"/>
          <w:lang w:val="en-US" w:eastAsia="zh-CN"/>
        </w:rPr>
        <w:t>被授权人</w:t>
      </w:r>
      <w:r>
        <w:rPr>
          <w:rFonts w:hint="eastAsia" w:ascii="宋体" w:hAnsi="宋体" w:eastAsia="宋体" w:cs="宋体"/>
          <w:b/>
          <w:bCs w:val="0"/>
          <w:color w:val="000000"/>
          <w:sz w:val="24"/>
          <w:szCs w:val="24"/>
          <w:highlight w:val="none"/>
        </w:rPr>
        <w:t>居民身份证及法定代表人居民身份证扫描件</w:t>
      </w:r>
      <w:r>
        <w:rPr>
          <w:rFonts w:hint="eastAsia" w:ascii="宋体" w:hAnsi="宋体" w:eastAsia="宋体" w:cs="宋体"/>
          <w:b/>
          <w:bCs w:val="0"/>
          <w:color w:val="000000"/>
          <w:sz w:val="24"/>
          <w:szCs w:val="24"/>
          <w:highlight w:val="none"/>
          <w:lang w:eastAsia="zh-CN"/>
        </w:rPr>
        <w:t>。</w:t>
      </w:r>
    </w:p>
    <w:p w14:paraId="459C5479">
      <w:pPr>
        <w:spacing w:line="400" w:lineRule="exact"/>
        <w:ind w:firstLine="480"/>
        <w:rPr>
          <w:rFonts w:hint="eastAsia" w:ascii="宋体" w:hAnsi="宋体" w:eastAsia="宋体" w:cs="宋体"/>
          <w:color w:val="auto"/>
          <w:sz w:val="24"/>
          <w:szCs w:val="24"/>
          <w:highlight w:val="none"/>
        </w:rPr>
      </w:pPr>
    </w:p>
    <w:p w14:paraId="33ABFA5F">
      <w:pPr>
        <w:spacing w:line="400" w:lineRule="exact"/>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注：如法定代表人参加投标，“法人授权书”可不提供，但需提供法人代表人</w:t>
      </w:r>
      <w:r>
        <w:rPr>
          <w:rFonts w:hint="eastAsia" w:ascii="宋体" w:hAnsi="宋体" w:eastAsia="宋体" w:cs="宋体"/>
          <w:color w:val="auto"/>
          <w:sz w:val="24"/>
          <w:szCs w:val="24"/>
          <w:highlight w:val="none"/>
          <w:lang w:val="en-US" w:eastAsia="zh-CN"/>
        </w:rPr>
        <w:t>居民</w:t>
      </w:r>
      <w:r>
        <w:rPr>
          <w:rFonts w:hint="eastAsia" w:ascii="宋体" w:hAnsi="宋体" w:eastAsia="宋体" w:cs="宋体"/>
          <w:color w:val="auto"/>
          <w:sz w:val="24"/>
          <w:szCs w:val="24"/>
          <w:highlight w:val="none"/>
        </w:rPr>
        <w:t>身份证正反面扫描件。</w:t>
      </w:r>
    </w:p>
    <w:p w14:paraId="0782F3A9">
      <w:pPr>
        <w:spacing w:line="440" w:lineRule="exact"/>
        <w:ind w:firstLine="482"/>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44"/>
          <w:highlight w:val="none"/>
        </w:rPr>
        <w:br w:type="page" w:clear="all"/>
      </w:r>
      <w:bookmarkStart w:id="377" w:name="_Toc17479"/>
      <w:r>
        <w:rPr>
          <w:rFonts w:hint="eastAsia" w:ascii="宋体" w:hAnsi="宋体" w:eastAsia="宋体" w:cs="宋体"/>
          <w:b/>
          <w:bCs/>
          <w:color w:val="auto"/>
          <w:sz w:val="28"/>
          <w:szCs w:val="28"/>
          <w:highlight w:val="none"/>
        </w:rPr>
        <w:t>附件9 中小企业声明函</w:t>
      </w:r>
      <w:bookmarkEnd w:id="377"/>
    </w:p>
    <w:p w14:paraId="0D4346B6">
      <w:pPr>
        <w:spacing w:line="460" w:lineRule="exact"/>
        <w:ind w:firstLine="360" w:firstLineChars="150"/>
        <w:rPr>
          <w:rFonts w:hint="eastAsia" w:ascii="宋体" w:hAnsi="宋体" w:eastAsia="宋体" w:cs="宋体"/>
          <w:color w:val="auto"/>
          <w:sz w:val="24"/>
          <w:szCs w:val="21"/>
          <w:highlight w:val="none"/>
        </w:rPr>
      </w:pPr>
      <w:bookmarkStart w:id="378" w:name="_Toc3097"/>
      <w:r>
        <w:rPr>
          <w:rFonts w:hint="eastAsia" w:ascii="宋体" w:hAnsi="宋体" w:eastAsia="宋体" w:cs="宋体"/>
          <w:color w:val="auto"/>
          <w:kern w:val="2"/>
          <w:sz w:val="24"/>
          <w:szCs w:val="21"/>
          <w:highlight w:val="none"/>
        </w:rPr>
        <w:t>本公司郑重声明，根据《政府采购促进中小企业发展管理办法》（财库[2020]46号）的规定，本公司参加</w:t>
      </w:r>
      <w:r>
        <w:rPr>
          <w:rFonts w:hint="eastAsia" w:ascii="宋体" w:hAnsi="宋体" w:eastAsia="宋体" w:cs="宋体"/>
          <w:color w:val="auto"/>
          <w:kern w:val="2"/>
          <w:sz w:val="24"/>
          <w:szCs w:val="21"/>
          <w:highlight w:val="none"/>
          <w:u w:val="single"/>
        </w:rPr>
        <w:t>常熟市农业技术推广中心</w:t>
      </w:r>
      <w:r>
        <w:rPr>
          <w:rFonts w:hint="eastAsia" w:ascii="宋体" w:hAnsi="宋体" w:eastAsia="宋体" w:cs="宋体"/>
          <w:color w:val="auto"/>
          <w:kern w:val="2"/>
          <w:sz w:val="24"/>
          <w:szCs w:val="21"/>
          <w:highlight w:val="none"/>
          <w:lang w:val="zh-CN"/>
        </w:rPr>
        <w:t>的</w:t>
      </w:r>
      <w:r>
        <w:rPr>
          <w:rFonts w:hint="eastAsia" w:ascii="宋体" w:hAnsi="宋体" w:eastAsia="宋体" w:cs="宋体"/>
          <w:color w:val="auto"/>
          <w:kern w:val="2"/>
          <w:sz w:val="24"/>
          <w:szCs w:val="21"/>
          <w:highlight w:val="none"/>
          <w:u w:val="single"/>
          <w:lang w:val="zh-CN"/>
        </w:rPr>
        <w:t>2026年常熟市农作物重大病虫害防控物化补助项目</w:t>
      </w:r>
      <w:r>
        <w:rPr>
          <w:rFonts w:hint="eastAsia" w:ascii="宋体" w:hAnsi="宋体" w:eastAsia="宋体" w:cs="宋体"/>
          <w:color w:val="auto"/>
          <w:kern w:val="2"/>
          <w:sz w:val="24"/>
          <w:szCs w:val="21"/>
          <w:highlight w:val="none"/>
        </w:rPr>
        <w:t>采购活动，提供的货物全部由符合政策要求的中小企业制造。相关企业的具体情况如下：</w:t>
      </w:r>
    </w:p>
    <w:p w14:paraId="377FED79">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甲氧·茚虫威40%悬浮剂10</w:t>
      </w:r>
      <w:r>
        <w:rPr>
          <w:rFonts w:hint="eastAsia" w:ascii="宋体" w:hAnsi="宋体" w:eastAsia="宋体" w:cs="宋体"/>
          <w:color w:val="auto"/>
          <w:sz w:val="24"/>
          <w:szCs w:val="24"/>
          <w:highlight w:val="none"/>
          <w:u w:val="single"/>
          <w:lang w:val="en-US" w:eastAsia="zh-CN"/>
        </w:rPr>
        <w:t>克</w:t>
      </w:r>
      <w:r>
        <w:rPr>
          <w:rFonts w:hint="eastAsia" w:ascii="宋体" w:hAnsi="宋体" w:eastAsia="宋体" w:cs="宋体"/>
          <w:color w:val="auto"/>
          <w:sz w:val="24"/>
          <w:szCs w:val="24"/>
          <w:highlight w:val="none"/>
          <w:u w:val="single"/>
        </w:rPr>
        <w:t xml:space="preserve">/袋 </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工业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53643EE">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甲氧·茚虫威40%悬浮剂100</w:t>
      </w:r>
      <w:r>
        <w:rPr>
          <w:rFonts w:hint="eastAsia" w:ascii="宋体" w:hAnsi="宋体" w:eastAsia="宋体" w:cs="宋体"/>
          <w:color w:val="auto"/>
          <w:sz w:val="24"/>
          <w:szCs w:val="24"/>
          <w:highlight w:val="none"/>
          <w:u w:val="single"/>
          <w:lang w:val="en-US" w:eastAsia="zh-CN"/>
        </w:rPr>
        <w:t>克</w:t>
      </w:r>
      <w:r>
        <w:rPr>
          <w:rFonts w:hint="eastAsia" w:ascii="宋体" w:hAnsi="宋体" w:eastAsia="宋体" w:cs="宋体"/>
          <w:color w:val="auto"/>
          <w:sz w:val="24"/>
          <w:szCs w:val="24"/>
          <w:highlight w:val="none"/>
          <w:u w:val="single"/>
        </w:rPr>
        <w:t xml:space="preserve">/瓶 </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工业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7C52C4AC">
      <w:pPr>
        <w:widowControl/>
        <w:wordWrap w:val="0"/>
        <w:spacing w:line="400" w:lineRule="exact"/>
        <w:ind w:firstLine="482" w:firstLineChars="200"/>
        <w:jc w:val="left"/>
        <w:rPr>
          <w:rFonts w:hint="eastAsia" w:ascii="宋体" w:hAnsi="宋体" w:eastAsia="宋体" w:cs="宋体"/>
          <w:b/>
          <w:color w:val="auto"/>
          <w:sz w:val="24"/>
          <w:szCs w:val="24"/>
          <w:highlight w:val="none"/>
        </w:rPr>
      </w:pPr>
    </w:p>
    <w:p w14:paraId="47731F19">
      <w:pPr>
        <w:widowControl/>
        <w:wordWrap w:val="0"/>
        <w:spacing w:line="400" w:lineRule="exact"/>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以上企业，不属于大企业的分支机构，不存在控股股东为大企业的情形，也不存在与大企业的负责人为同一人的情形。</w:t>
      </w:r>
    </w:p>
    <w:p w14:paraId="30401B36">
      <w:pPr>
        <w:autoSpaceDE w:val="0"/>
        <w:autoSpaceDN w:val="0"/>
        <w:adjustRightInd w:val="0"/>
        <w:spacing w:line="46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6B2C3C2">
      <w:pPr>
        <w:spacing w:line="300" w:lineRule="exact"/>
        <w:ind w:firstLine="5760" w:firstLineChars="2400"/>
        <w:rPr>
          <w:rFonts w:hint="eastAsia" w:ascii="宋体" w:hAnsi="宋体" w:eastAsia="宋体" w:cs="宋体"/>
          <w:color w:val="auto"/>
          <w:kern w:val="2"/>
          <w:sz w:val="24"/>
          <w:szCs w:val="20"/>
          <w:highlight w:val="none"/>
        </w:rPr>
      </w:pPr>
    </w:p>
    <w:p w14:paraId="2FFEAC19">
      <w:pPr>
        <w:spacing w:line="300" w:lineRule="exact"/>
        <w:ind w:firstLine="5760" w:firstLineChars="2400"/>
        <w:rPr>
          <w:rFonts w:hint="eastAsia" w:ascii="宋体" w:hAnsi="宋体" w:eastAsia="宋体" w:cs="宋体"/>
          <w:color w:val="auto"/>
          <w:sz w:val="24"/>
          <w:szCs w:val="20"/>
          <w:highlight w:val="none"/>
        </w:rPr>
      </w:pPr>
      <w:r>
        <w:rPr>
          <w:rFonts w:hint="eastAsia" w:ascii="宋体" w:hAnsi="宋体" w:eastAsia="宋体" w:cs="宋体"/>
          <w:color w:val="auto"/>
          <w:kern w:val="2"/>
          <w:sz w:val="24"/>
          <w:szCs w:val="20"/>
          <w:highlight w:val="none"/>
        </w:rPr>
        <w:t>企业名称：</w:t>
      </w:r>
    </w:p>
    <w:p w14:paraId="37453A6C">
      <w:pPr>
        <w:spacing w:line="460" w:lineRule="exact"/>
        <w:rPr>
          <w:rFonts w:hint="eastAsia" w:ascii="宋体" w:hAnsi="宋体" w:eastAsia="宋体" w:cs="宋体"/>
          <w:color w:val="auto"/>
          <w:sz w:val="24"/>
          <w:szCs w:val="20"/>
          <w:highlight w:val="none"/>
        </w:rPr>
      </w:pPr>
      <w:r>
        <w:rPr>
          <w:rFonts w:hint="eastAsia" w:ascii="宋体" w:hAnsi="宋体" w:eastAsia="宋体" w:cs="宋体"/>
          <w:color w:val="auto"/>
          <w:kern w:val="2"/>
          <w:sz w:val="24"/>
          <w:szCs w:val="20"/>
          <w:highlight w:val="none"/>
        </w:rPr>
        <w:t xml:space="preserve">                                                日  期：</w:t>
      </w:r>
    </w:p>
    <w:p w14:paraId="48F0FDC5">
      <w:pPr>
        <w:autoSpaceDE w:val="0"/>
        <w:autoSpaceDN w:val="0"/>
        <w:adjustRightInd w:val="0"/>
        <w:spacing w:line="460" w:lineRule="exact"/>
        <w:rPr>
          <w:rFonts w:hint="eastAsia" w:ascii="宋体" w:hAnsi="宋体" w:eastAsia="宋体" w:cs="宋体"/>
          <w:color w:val="auto"/>
          <w:kern w:val="2"/>
          <w:sz w:val="24"/>
          <w:szCs w:val="24"/>
          <w:highlight w:val="none"/>
          <w:lang w:val="zh-CN"/>
        </w:rPr>
      </w:pPr>
    </w:p>
    <w:p w14:paraId="6AA39F47">
      <w:pPr>
        <w:autoSpaceDE w:val="0"/>
        <w:autoSpaceDN w:val="0"/>
        <w:adjustRightInd w:val="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lang w:val="zh-CN"/>
        </w:rPr>
        <w:t>备注：</w:t>
      </w:r>
    </w:p>
    <w:bookmarkEnd w:id="378"/>
    <w:p w14:paraId="135A438A">
      <w:pPr>
        <w:autoSpaceDE w:val="0"/>
        <w:autoSpaceDN w:val="0"/>
        <w:adjustRightInd w:val="0"/>
        <w:spacing w:line="460" w:lineRule="exact"/>
        <w:ind w:firstLine="600" w:firstLineChars="250"/>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lang w:val="zh-CN"/>
        </w:rPr>
        <w:t>1、中小企业的认定：</w:t>
      </w:r>
    </w:p>
    <w:p w14:paraId="06D299EE">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lang w:val="zh-CN"/>
        </w:rPr>
      </w:pPr>
      <w:r>
        <w:rPr>
          <w:rFonts w:hint="eastAsia" w:ascii="宋体" w:hAnsi="宋体" w:eastAsia="宋体" w:cs="宋体"/>
          <w:b/>
          <w:color w:val="auto"/>
          <w:kern w:val="2"/>
          <w:sz w:val="24"/>
          <w:szCs w:val="24"/>
          <w:highlight w:val="none"/>
        </w:rPr>
        <w:t>1.1请投标人在投标文件中提供中小企业声明函</w:t>
      </w:r>
      <w:r>
        <w:rPr>
          <w:rFonts w:hint="eastAsia" w:ascii="宋体" w:hAnsi="宋体" w:eastAsia="宋体" w:cs="宋体"/>
          <w:b/>
          <w:color w:val="auto"/>
          <w:kern w:val="2"/>
          <w:sz w:val="24"/>
          <w:highlight w:val="none"/>
        </w:rPr>
        <w:t>。未按</w:t>
      </w:r>
      <w:r>
        <w:rPr>
          <w:rFonts w:hint="eastAsia" w:ascii="宋体" w:hAnsi="宋体" w:eastAsia="宋体" w:cs="宋体"/>
          <w:b/>
          <w:color w:val="auto"/>
          <w:kern w:val="2"/>
          <w:sz w:val="24"/>
          <w:szCs w:val="24"/>
          <w:highlight w:val="none"/>
        </w:rPr>
        <w:t>招标</w:t>
      </w:r>
      <w:r>
        <w:rPr>
          <w:rFonts w:hint="eastAsia" w:ascii="宋体" w:hAnsi="宋体" w:eastAsia="宋体" w:cs="宋体"/>
          <w:b/>
          <w:color w:val="auto"/>
          <w:kern w:val="2"/>
          <w:sz w:val="24"/>
          <w:highlight w:val="none"/>
        </w:rPr>
        <w:t>文件的规定在</w:t>
      </w:r>
      <w:r>
        <w:rPr>
          <w:rFonts w:hint="eastAsia" w:ascii="宋体" w:hAnsi="宋体" w:eastAsia="宋体" w:cs="宋体"/>
          <w:b/>
          <w:color w:val="auto"/>
          <w:kern w:val="2"/>
          <w:sz w:val="24"/>
          <w:szCs w:val="24"/>
          <w:highlight w:val="none"/>
        </w:rPr>
        <w:t>投标文件</w:t>
      </w:r>
      <w:r>
        <w:rPr>
          <w:rFonts w:hint="eastAsia" w:ascii="宋体" w:hAnsi="宋体" w:eastAsia="宋体" w:cs="宋体"/>
          <w:b/>
          <w:color w:val="auto"/>
          <w:kern w:val="2"/>
          <w:sz w:val="24"/>
          <w:highlight w:val="none"/>
        </w:rPr>
        <w:t>中</w:t>
      </w:r>
      <w:r>
        <w:rPr>
          <w:rFonts w:hint="eastAsia" w:ascii="宋体" w:hAnsi="宋体" w:eastAsia="宋体" w:cs="宋体"/>
          <w:b/>
          <w:color w:val="auto"/>
          <w:kern w:val="2"/>
          <w:sz w:val="24"/>
          <w:szCs w:val="24"/>
          <w:highlight w:val="none"/>
        </w:rPr>
        <w:t>提供有效的中小企业声明函的，不享受促进</w:t>
      </w:r>
      <w:r>
        <w:rPr>
          <w:rFonts w:hint="eastAsia" w:ascii="宋体" w:hAnsi="宋体" w:eastAsia="宋体" w:cs="宋体"/>
          <w:b/>
          <w:color w:val="auto"/>
          <w:kern w:val="2"/>
          <w:sz w:val="24"/>
          <w:szCs w:val="24"/>
          <w:highlight w:val="none"/>
          <w:lang w:val="zh-CN"/>
        </w:rPr>
        <w:t>中小企业</w:t>
      </w:r>
      <w:r>
        <w:rPr>
          <w:rFonts w:hint="eastAsia" w:ascii="宋体" w:hAnsi="宋体" w:eastAsia="宋体" w:cs="宋体"/>
          <w:b/>
          <w:color w:val="auto"/>
          <w:kern w:val="2"/>
          <w:sz w:val="24"/>
          <w:szCs w:val="24"/>
          <w:highlight w:val="none"/>
        </w:rPr>
        <w:t>发展的相关政府采购政策</w:t>
      </w:r>
      <w:r>
        <w:rPr>
          <w:rFonts w:hint="eastAsia" w:ascii="宋体" w:hAnsi="宋体" w:eastAsia="宋体" w:cs="宋体"/>
          <w:b/>
          <w:color w:val="auto"/>
          <w:kern w:val="2"/>
          <w:sz w:val="24"/>
          <w:szCs w:val="24"/>
          <w:highlight w:val="none"/>
          <w:lang w:val="zh-CN"/>
        </w:rPr>
        <w:t>。</w:t>
      </w:r>
    </w:p>
    <w:p w14:paraId="374BCD35">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rPr>
        <w:t>1.2如未对上述声明函内（中型企业、小型企业、微型企业）进行勾选或明确，引起的评审风险由投标人自行承担。</w:t>
      </w:r>
    </w:p>
    <w:p w14:paraId="35B137C9">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rPr>
        <w:t>1.3</w:t>
      </w:r>
      <w:r>
        <w:rPr>
          <w:rFonts w:hint="eastAsia" w:ascii="宋体" w:hAnsi="宋体" w:eastAsia="宋体" w:cs="宋体"/>
          <w:b/>
          <w:color w:val="auto"/>
          <w:kern w:val="2"/>
          <w:sz w:val="24"/>
          <w:szCs w:val="24"/>
          <w:highlight w:val="none"/>
          <w:lang w:val="zh-CN"/>
        </w:rPr>
        <w:t>上述“中小企业声明函”格式原则上不得改动，因擅自改动引起的评审风险由投标人自行承担。</w:t>
      </w:r>
    </w:p>
    <w:p w14:paraId="6A808B28">
      <w:pPr>
        <w:autoSpaceDE w:val="0"/>
        <w:autoSpaceDN w:val="0"/>
        <w:adjustRightInd w:val="0"/>
        <w:spacing w:line="460" w:lineRule="exact"/>
        <w:ind w:firstLine="600" w:firstLineChars="250"/>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lang w:val="zh-CN"/>
        </w:rPr>
        <w:t>从业人员、营业收入、资产总额填报上一年度数据，无上一年度数据的新成立企业可不填报。</w:t>
      </w:r>
    </w:p>
    <w:p w14:paraId="18A41BFE">
      <w:pPr>
        <w:autoSpaceDE w:val="0"/>
        <w:autoSpaceDN w:val="0"/>
        <w:adjustRightInd w:val="0"/>
        <w:spacing w:line="460" w:lineRule="exact"/>
        <w:ind w:firstLine="602" w:firstLineChars="25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3、本项目所属行业为：工业</w:t>
      </w:r>
      <w:r>
        <w:rPr>
          <w:rFonts w:hint="eastAsia" w:ascii="宋体" w:hAnsi="宋体" w:eastAsia="宋体" w:cs="宋体"/>
          <w:b/>
          <w:bCs/>
          <w:color w:val="auto"/>
          <w:kern w:val="2"/>
          <w:sz w:val="24"/>
          <w:szCs w:val="24"/>
          <w:highlight w:val="none"/>
          <w:lang w:val="zh-CN"/>
        </w:rPr>
        <w:t>。</w:t>
      </w:r>
    </w:p>
    <w:p w14:paraId="291FED77">
      <w:pPr>
        <w:spacing w:line="440" w:lineRule="exact"/>
        <w:ind w:firstLine="482"/>
        <w:rPr>
          <w:rFonts w:hint="eastAsia" w:ascii="宋体" w:hAnsi="宋体" w:eastAsia="宋体" w:cs="宋体"/>
          <w:color w:val="auto"/>
          <w:sz w:val="24"/>
          <w:szCs w:val="24"/>
          <w:highlight w:val="none"/>
        </w:rPr>
      </w:pPr>
    </w:p>
    <w:p w14:paraId="05E431A0">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65F0A9EB">
      <w:pPr>
        <w:spacing w:line="440" w:lineRule="exact"/>
        <w:ind w:firstLine="482"/>
        <w:jc w:val="center"/>
        <w:outlineLvl w:val="1"/>
        <w:rPr>
          <w:rFonts w:hint="eastAsia" w:ascii="宋体" w:hAnsi="宋体" w:eastAsia="宋体" w:cs="宋体"/>
          <w:b/>
          <w:bCs/>
          <w:color w:val="auto"/>
          <w:sz w:val="28"/>
          <w:szCs w:val="28"/>
          <w:highlight w:val="none"/>
        </w:rPr>
      </w:pPr>
      <w:bookmarkStart w:id="379" w:name="_Toc15751"/>
      <w:r>
        <w:rPr>
          <w:rFonts w:hint="eastAsia" w:ascii="宋体" w:hAnsi="宋体" w:eastAsia="宋体" w:cs="宋体"/>
          <w:b/>
          <w:bCs/>
          <w:color w:val="auto"/>
          <w:sz w:val="28"/>
          <w:szCs w:val="28"/>
          <w:highlight w:val="none"/>
        </w:rPr>
        <w:t>附件10 残疾人福利性单位声明函</w:t>
      </w:r>
      <w:bookmarkEnd w:id="379"/>
    </w:p>
    <w:p w14:paraId="43A9EAEB">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项目采购活动提供本单位制造的货物</w:t>
      </w:r>
      <w:r>
        <w:rPr>
          <w:rFonts w:hint="eastAsia" w:ascii="宋体" w:hAnsi="宋体" w:eastAsia="宋体" w:cs="宋体"/>
          <w:color w:val="auto"/>
          <w:kern w:val="2"/>
          <w:sz w:val="24"/>
          <w:szCs w:val="21"/>
          <w:highlight w:val="none"/>
          <w:lang w:val="zh-CN"/>
        </w:rPr>
        <w:t>（由本单位承担工程/提供服务）</w:t>
      </w:r>
      <w:r>
        <w:rPr>
          <w:rFonts w:hint="eastAsia" w:ascii="宋体" w:hAnsi="宋体" w:eastAsia="宋体" w:cs="宋体"/>
          <w:color w:val="auto"/>
          <w:sz w:val="24"/>
          <w:szCs w:val="21"/>
          <w:highlight w:val="none"/>
        </w:rPr>
        <w:t>，或者提供其他残疾人福利性单位制造的货物（不包括使用非残疾人福利性单位注册商标的货物）。</w:t>
      </w:r>
    </w:p>
    <w:p w14:paraId="6366B325">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41E0A0EF">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（备注：1、投标人如不提供此声明函，价格将不做相应扣除。2、中标人为残疾人福利单位的，此声明函将随中标结果同时公告，接受社会监督）</w:t>
      </w:r>
    </w:p>
    <w:p w14:paraId="6CFB432B">
      <w:pPr>
        <w:spacing w:line="588" w:lineRule="exact"/>
        <w:ind w:firstLine="624"/>
        <w:rPr>
          <w:rFonts w:hint="eastAsia" w:ascii="宋体" w:hAnsi="宋体" w:eastAsia="宋体" w:cs="宋体"/>
          <w:color w:val="auto"/>
          <w:spacing w:val="6"/>
          <w:sz w:val="30"/>
          <w:szCs w:val="30"/>
          <w:highlight w:val="none"/>
        </w:rPr>
      </w:pPr>
    </w:p>
    <w:p w14:paraId="2B9D2708">
      <w:pPr>
        <w:tabs>
          <w:tab w:val="left" w:pos="4860"/>
        </w:tabs>
        <w:spacing w:line="588" w:lineRule="exact"/>
        <w:ind w:right="1560" w:firstLine="624"/>
        <w:jc w:val="center"/>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p>
    <w:p w14:paraId="4C674865">
      <w:pPr>
        <w:tabs>
          <w:tab w:val="left" w:pos="4860"/>
        </w:tabs>
        <w:spacing w:line="588" w:lineRule="exact"/>
        <w:ind w:right="1560" w:firstLine="480"/>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p>
    <w:p w14:paraId="4D11C146">
      <w:pPr>
        <w:autoSpaceDE w:val="0"/>
        <w:autoSpaceDN w:val="0"/>
        <w:adjustRightInd w:val="0"/>
        <w:spacing w:line="420" w:lineRule="exact"/>
        <w:rPr>
          <w:rFonts w:hint="eastAsia" w:ascii="宋体" w:hAnsi="宋体" w:eastAsia="宋体" w:cs="宋体"/>
          <w:b/>
          <w:color w:val="auto"/>
          <w:szCs w:val="21"/>
          <w:highlight w:val="none"/>
          <w:lang w:val="zh-CN"/>
        </w:rPr>
      </w:pPr>
      <w:r>
        <w:rPr>
          <w:rFonts w:hint="eastAsia" w:ascii="宋体" w:hAnsi="宋体" w:eastAsia="宋体" w:cs="宋体"/>
          <w:b/>
          <w:color w:val="auto"/>
          <w:kern w:val="2"/>
          <w:szCs w:val="21"/>
          <w:highlight w:val="none"/>
          <w:lang w:val="zh-CN"/>
        </w:rPr>
        <w:t>请</w:t>
      </w:r>
      <w:r>
        <w:rPr>
          <w:rFonts w:hint="eastAsia" w:ascii="宋体" w:hAnsi="宋体" w:eastAsia="宋体" w:cs="宋体"/>
          <w:b/>
          <w:color w:val="auto"/>
          <w:kern w:val="2"/>
          <w:szCs w:val="21"/>
          <w:highlight w:val="none"/>
        </w:rPr>
        <w:t>投标人</w:t>
      </w:r>
      <w:r>
        <w:rPr>
          <w:rFonts w:hint="eastAsia" w:ascii="宋体" w:hAnsi="宋体" w:eastAsia="宋体" w:cs="宋体"/>
          <w:b/>
          <w:color w:val="auto"/>
          <w:kern w:val="2"/>
          <w:szCs w:val="21"/>
          <w:highlight w:val="none"/>
          <w:lang w:val="zh-CN"/>
        </w:rPr>
        <w:t>认真阅读如下内容：</w:t>
      </w:r>
    </w:p>
    <w:p w14:paraId="21858474">
      <w:pPr>
        <w:autoSpaceDE w:val="0"/>
        <w:autoSpaceDN w:val="0"/>
        <w:adjustRightInd w:val="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kern w:val="2"/>
          <w:szCs w:val="21"/>
          <w:highlight w:val="none"/>
          <w:lang w:val="zh-CN"/>
        </w:rPr>
        <w:t>注：根据《财政部、民政部、中国残疾人联合会关于促进残疾人就业政府采购政策的通知》（财库〔2017〕141号）的规定的划分标准，享受政府采购支持政策的残疾人福利性单位应当同时满足以下条件：</w:t>
      </w:r>
    </w:p>
    <w:p w14:paraId="7A235067">
      <w:pPr>
        <w:autoSpaceDE w:val="0"/>
        <w:autoSpaceDN w:val="0"/>
        <w:adjustRightInd w:val="0"/>
        <w:spacing w:line="420" w:lineRule="exact"/>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kern w:val="2"/>
          <w:szCs w:val="21"/>
          <w:highlight w:val="none"/>
        </w:rPr>
        <w:t>1、</w:t>
      </w:r>
      <w:r>
        <w:rPr>
          <w:rFonts w:hint="eastAsia" w:ascii="宋体" w:hAnsi="宋体" w:eastAsia="宋体" w:cs="宋体"/>
          <w:color w:val="auto"/>
          <w:kern w:val="2"/>
          <w:szCs w:val="21"/>
          <w:highlight w:val="none"/>
          <w:lang w:val="zh-CN"/>
        </w:rPr>
        <w:t>安置的残疾人占本单位在职职工人数的比例不低于25%（含25%），并且安置的残疾人人数不少于10人（含10人）；</w:t>
      </w:r>
    </w:p>
    <w:p w14:paraId="04D04286">
      <w:pPr>
        <w:autoSpaceDE w:val="0"/>
        <w:autoSpaceDN w:val="0"/>
        <w:adjustRightInd w:val="0"/>
        <w:spacing w:line="420" w:lineRule="exact"/>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lang w:val="zh-CN"/>
        </w:rPr>
        <w:t>2、依法与安置的每位残疾人签订了一年以上（含一年）的劳动合同或服务协议；</w:t>
      </w:r>
    </w:p>
    <w:p w14:paraId="71073606">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val="zh-CN"/>
        </w:rPr>
      </w:pPr>
      <w:r>
        <w:rPr>
          <w:rFonts w:hint="eastAsia" w:ascii="宋体" w:hAnsi="宋体" w:eastAsia="宋体" w:cs="宋体"/>
          <w:color w:val="auto"/>
          <w:kern w:val="2"/>
          <w:szCs w:val="21"/>
          <w:highlight w:val="none"/>
          <w:lang w:val="zh-CN"/>
        </w:rPr>
        <w:t>3、为安置的每位残疾人按月足额缴纳了基本养老保险、基本医疗保险、失业保险、工伤保险和生育保险等社会保险费；</w:t>
      </w:r>
    </w:p>
    <w:p w14:paraId="08F2AFD1">
      <w:pPr>
        <w:autoSpaceDE w:val="0"/>
        <w:autoSpaceDN w:val="0"/>
        <w:adjustRightInd w:val="0"/>
        <w:spacing w:line="420" w:lineRule="exact"/>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    </w:t>
      </w:r>
      <w:r>
        <w:rPr>
          <w:rFonts w:hint="eastAsia" w:ascii="宋体" w:hAnsi="宋体" w:eastAsia="宋体" w:cs="宋体"/>
          <w:color w:val="auto"/>
          <w:kern w:val="2"/>
          <w:szCs w:val="21"/>
          <w:highlight w:val="none"/>
          <w:lang w:val="zh-CN"/>
        </w:rPr>
        <w:t>4、通过银行等金融机构向安置的每位残疾人，按月支付了不低于单位所在区县适用的经省级人民政府批准的月最低工资标准的工资；</w:t>
      </w:r>
    </w:p>
    <w:p w14:paraId="75119089">
      <w:pPr>
        <w:autoSpaceDE w:val="0"/>
        <w:autoSpaceDN w:val="0"/>
        <w:adjustRightInd w:val="0"/>
        <w:spacing w:line="420" w:lineRule="exact"/>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lang w:val="zh-CN"/>
        </w:rPr>
        <w:t>5、提供本单位制造的货物、承担的工程或者服务（以下简称产品），或者提供其他残疾人福利性单位制造的货物（不包括使用非残疾人福利性单位注册商标的货物）。</w:t>
      </w:r>
    </w:p>
    <w:p w14:paraId="1FC1EA76">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val="zh-CN"/>
        </w:rPr>
      </w:pPr>
      <w:r>
        <w:rPr>
          <w:rFonts w:hint="eastAsia" w:ascii="宋体" w:hAnsi="宋体" w:eastAsia="宋体" w:cs="宋体"/>
          <w:color w:val="auto"/>
          <w:kern w:val="2"/>
          <w:szCs w:val="21"/>
          <w:highlight w:val="none"/>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bookmarkStart w:id="380" w:name="_Toc17235"/>
      <w:bookmarkStart w:id="381" w:name="_Toc155086574"/>
      <w:bookmarkStart w:id="382" w:name="_Toc155086474"/>
    </w:p>
    <w:p w14:paraId="4500E6D0">
      <w:pPr>
        <w:autoSpaceDE w:val="0"/>
        <w:autoSpaceDN w:val="0"/>
        <w:adjustRightInd w:val="0"/>
        <w:spacing w:line="420" w:lineRule="exact"/>
        <w:ind w:firstLine="420" w:firstLineChars="200"/>
        <w:rPr>
          <w:rFonts w:hint="eastAsia" w:ascii="宋体" w:hAnsi="宋体" w:eastAsia="宋体" w:cs="宋体"/>
          <w:color w:val="auto"/>
          <w:highlight w:val="none"/>
        </w:rPr>
      </w:pPr>
      <w:r>
        <w:rPr>
          <w:rFonts w:hint="eastAsia" w:ascii="宋体" w:hAnsi="宋体" w:eastAsia="宋体" w:cs="宋体"/>
          <w:color w:val="auto"/>
          <w:kern w:val="2"/>
          <w:szCs w:val="21"/>
          <w:highlight w:val="none"/>
          <w:lang w:val="zh-CN"/>
        </w:rPr>
        <w:br w:type="page"/>
      </w:r>
    </w:p>
    <w:p w14:paraId="0F0AF6AC">
      <w:pPr>
        <w:spacing w:line="440" w:lineRule="exact"/>
        <w:ind w:firstLine="482"/>
        <w:jc w:val="center"/>
        <w:outlineLvl w:val="1"/>
        <w:rPr>
          <w:rFonts w:hint="eastAsia" w:ascii="宋体" w:hAnsi="宋体" w:eastAsia="宋体" w:cs="宋体"/>
          <w:b/>
          <w:bCs/>
          <w:color w:val="auto"/>
          <w:sz w:val="28"/>
          <w:szCs w:val="28"/>
          <w:highlight w:val="none"/>
        </w:rPr>
      </w:pPr>
      <w:bookmarkStart w:id="383" w:name="_Toc14064"/>
      <w:r>
        <w:rPr>
          <w:rFonts w:hint="eastAsia" w:ascii="宋体" w:hAnsi="宋体" w:eastAsia="宋体" w:cs="宋体"/>
          <w:b/>
          <w:bCs/>
          <w:color w:val="auto"/>
          <w:sz w:val="28"/>
          <w:szCs w:val="28"/>
          <w:highlight w:val="none"/>
        </w:rPr>
        <w:t>附件11 投标函</w:t>
      </w:r>
      <w:bookmarkEnd w:id="380"/>
      <w:bookmarkEnd w:id="381"/>
      <w:bookmarkEnd w:id="382"/>
      <w:bookmarkEnd w:id="383"/>
    </w:p>
    <w:p w14:paraId="3B38BE1E">
      <w:pPr>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致：</w:t>
      </w:r>
      <w:r>
        <w:rPr>
          <w:rFonts w:hint="eastAsia" w:ascii="宋体" w:hAnsi="宋体" w:eastAsia="宋体" w:cs="宋体"/>
          <w:color w:val="auto"/>
          <w:sz w:val="24"/>
          <w:szCs w:val="24"/>
          <w:highlight w:val="none"/>
          <w:u w:val="single"/>
          <w:lang w:val="zh-CN"/>
        </w:rPr>
        <w:t>苏州信达顺工程建设咨询有限公司</w:t>
      </w:r>
    </w:p>
    <w:p w14:paraId="76C652BC">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根据贵方的</w:t>
      </w:r>
      <w:r>
        <w:rPr>
          <w:rFonts w:hint="eastAsia" w:ascii="宋体" w:hAnsi="宋体" w:cs="宋体"/>
          <w:color w:val="auto"/>
          <w:szCs w:val="21"/>
          <w:highlight w:val="none"/>
          <w:lang w:eastAsia="zh-CN"/>
        </w:rPr>
        <w:t>JSZC-320581-SZDS-G2026-0007</w:t>
      </w:r>
      <w:r>
        <w:rPr>
          <w:rFonts w:hint="eastAsia" w:ascii="宋体" w:hAnsi="宋体" w:eastAsia="宋体" w:cs="宋体"/>
          <w:color w:val="auto"/>
          <w:szCs w:val="21"/>
          <w:highlight w:val="none"/>
        </w:rPr>
        <w:t>号招标文件，正式授权下述签字人______(姓名)代表我方______________（投标人的名称），全权处理本次项目投标的有关事宜。</w:t>
      </w:r>
    </w:p>
    <w:p w14:paraId="45BD2EBD">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据此函，__________签字人兹宣布同意如下：</w:t>
      </w:r>
    </w:p>
    <w:p w14:paraId="7B9CF96C">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2EDC051E">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7FA4F09C">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655FF1B8">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4.我方同意投标有效期为开标之日后六十（60）天。</w:t>
      </w:r>
    </w:p>
    <w:p w14:paraId="3D4922EB">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5.我们同意从规定的开标日期起遵循本投标文件，并在规定的投标有效期期满之前均具有约束力。</w:t>
      </w:r>
    </w:p>
    <w:p w14:paraId="109C478F">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6.同意向贵方提供贵方可能另外要求的与投标有关的任何证据或资料，并保证我方已提供和将要提供的文件是真实的、准确的。</w:t>
      </w:r>
    </w:p>
    <w:p w14:paraId="3DA29133">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7.一旦我方中标,我方将根据招标文件的规定，严格履行合同的责任和义务,并保证在招标文件规定的时间完成项目，交付采购人验收、使用。</w:t>
      </w:r>
    </w:p>
    <w:p w14:paraId="1587555F">
      <w:pPr>
        <w:pStyle w:val="24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8.与本投标有关的正式通讯地址为：</w:t>
      </w:r>
    </w:p>
    <w:p w14:paraId="6BB71609">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3C2BF746">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0F428E1D">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p>
    <w:p w14:paraId="2CBE6F8F">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p>
    <w:p w14:paraId="04F7A397">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 标 人开户行：</w:t>
      </w:r>
    </w:p>
    <w:p w14:paraId="3FD0B894">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p>
    <w:p w14:paraId="6155125E">
      <w:pPr>
        <w:pStyle w:val="243"/>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期：________年____月____日</w:t>
      </w:r>
    </w:p>
    <w:p w14:paraId="07550439">
      <w:pPr>
        <w:ind w:firstLine="480"/>
        <w:rPr>
          <w:rFonts w:hint="eastAsia" w:ascii="宋体" w:hAnsi="宋体" w:eastAsia="宋体" w:cs="宋体"/>
          <w:i/>
          <w:color w:val="auto"/>
          <w:sz w:val="24"/>
          <w:szCs w:val="24"/>
          <w:highlight w:val="none"/>
          <w:u w:val="single"/>
        </w:rPr>
      </w:pPr>
    </w:p>
    <w:p w14:paraId="78F34813">
      <w:pPr>
        <w:pStyle w:val="14"/>
        <w:ind w:firstLine="482"/>
        <w:rPr>
          <w:rFonts w:hint="eastAsia" w:ascii="宋体" w:hAnsi="宋体" w:eastAsia="宋体" w:cs="宋体"/>
          <w:color w:val="auto"/>
          <w:highlight w:val="none"/>
        </w:rPr>
      </w:pPr>
      <w:r>
        <w:rPr>
          <w:rFonts w:hint="eastAsia" w:ascii="宋体" w:hAnsi="宋体" w:eastAsia="宋体" w:cs="宋体"/>
          <w:b/>
          <w:color w:val="auto"/>
          <w:sz w:val="24"/>
          <w:szCs w:val="44"/>
          <w:highlight w:val="none"/>
        </w:rPr>
        <w:br w:type="page" w:clear="all"/>
      </w:r>
    </w:p>
    <w:p w14:paraId="374B5650">
      <w:pPr>
        <w:spacing w:line="440" w:lineRule="exact"/>
        <w:ind w:firstLine="482"/>
        <w:jc w:val="center"/>
        <w:outlineLvl w:val="1"/>
        <w:rPr>
          <w:rFonts w:hint="eastAsia" w:ascii="宋体" w:hAnsi="宋体" w:eastAsia="宋体" w:cs="宋体"/>
          <w:b/>
          <w:bCs/>
          <w:color w:val="auto"/>
          <w:sz w:val="28"/>
          <w:szCs w:val="28"/>
          <w:highlight w:val="none"/>
          <w:lang w:val="en-US" w:eastAsia="zh-CN"/>
        </w:rPr>
      </w:pPr>
      <w:bookmarkStart w:id="384" w:name="_Toc1831"/>
      <w:r>
        <w:rPr>
          <w:rFonts w:hint="eastAsia" w:ascii="宋体" w:hAnsi="宋体" w:eastAsia="宋体" w:cs="宋体"/>
          <w:b/>
          <w:bCs/>
          <w:color w:val="auto"/>
          <w:sz w:val="28"/>
          <w:szCs w:val="28"/>
          <w:highlight w:val="none"/>
        </w:rPr>
        <w:t xml:space="preserve">附件12 </w:t>
      </w:r>
      <w:bookmarkStart w:id="385" w:name="_Toc5065"/>
      <w:bookmarkStart w:id="386" w:name="_Toc26788"/>
      <w:bookmarkStart w:id="387" w:name="_Toc9014"/>
      <w:bookmarkStart w:id="388" w:name="_Toc31580"/>
      <w:bookmarkStart w:id="389" w:name="_Toc42157468"/>
      <w:r>
        <w:rPr>
          <w:rFonts w:hint="eastAsia" w:ascii="宋体" w:hAnsi="宋体" w:eastAsia="宋体" w:cs="宋体"/>
          <w:b/>
          <w:bCs/>
          <w:color w:val="auto"/>
          <w:sz w:val="28"/>
          <w:szCs w:val="28"/>
          <w:highlight w:val="none"/>
          <w:lang w:val="en-US" w:eastAsia="zh-CN"/>
        </w:rPr>
        <w:t>供应商与其他单位存在直接控股、管理关系情况表</w:t>
      </w:r>
      <w:bookmarkEnd w:id="384"/>
      <w:bookmarkEnd w:id="385"/>
      <w:bookmarkEnd w:id="386"/>
    </w:p>
    <w:p w14:paraId="3748B477">
      <w:pPr>
        <w:rPr>
          <w:rFonts w:hint="eastAsia" w:ascii="宋体" w:hAnsi="宋体" w:eastAsia="宋体" w:cs="宋体"/>
          <w:color w:val="auto"/>
          <w:highlight w:val="none"/>
          <w:lang w:val="en-US" w:eastAsia="zh-CN"/>
        </w:rPr>
      </w:pPr>
    </w:p>
    <w:p w14:paraId="2AA9BE3A">
      <w:pPr>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单位名称：</w:t>
      </w:r>
    </w:p>
    <w:tbl>
      <w:tblPr>
        <w:tblStyle w:val="38"/>
        <w:tblW w:w="10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9"/>
        <w:gridCol w:w="1691"/>
        <w:gridCol w:w="1494"/>
        <w:gridCol w:w="1569"/>
        <w:gridCol w:w="1429"/>
        <w:gridCol w:w="1698"/>
        <w:gridCol w:w="1259"/>
      </w:tblGrid>
      <w:tr w14:paraId="449AD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6173" w:type="dxa"/>
            <w:gridSpan w:val="4"/>
            <w:noWrap w:val="0"/>
            <w:vAlign w:val="center"/>
          </w:tcPr>
          <w:p w14:paraId="2D446BFA">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存在直接股权关系</w:t>
            </w:r>
          </w:p>
        </w:tc>
        <w:tc>
          <w:tcPr>
            <w:tcW w:w="4386" w:type="dxa"/>
            <w:gridSpan w:val="3"/>
            <w:noWrap w:val="0"/>
            <w:vAlign w:val="center"/>
          </w:tcPr>
          <w:p w14:paraId="30AE71AE">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存在直接管理关系</w:t>
            </w:r>
          </w:p>
        </w:tc>
      </w:tr>
      <w:tr w14:paraId="59EEF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3" w:hRule="atLeast"/>
          <w:jc w:val="center"/>
        </w:trPr>
        <w:tc>
          <w:tcPr>
            <w:tcW w:w="1419" w:type="dxa"/>
            <w:noWrap w:val="0"/>
            <w:vAlign w:val="center"/>
          </w:tcPr>
          <w:p w14:paraId="1DEC8DB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691" w:type="dxa"/>
            <w:noWrap w:val="0"/>
            <w:vAlign w:val="center"/>
          </w:tcPr>
          <w:p w14:paraId="6C56DB34">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7EF7504B">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494" w:type="dxa"/>
            <w:noWrap w:val="0"/>
          </w:tcPr>
          <w:p w14:paraId="4FCF5D62">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是否直接控股</w:t>
            </w:r>
          </w:p>
          <w:p w14:paraId="6E435137">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569" w:type="dxa"/>
            <w:noWrap w:val="0"/>
            <w:vAlign w:val="center"/>
          </w:tcPr>
          <w:p w14:paraId="322E5EC1">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直接控股关系情况说明（持股比例等）</w:t>
            </w:r>
          </w:p>
        </w:tc>
        <w:tc>
          <w:tcPr>
            <w:tcW w:w="1429" w:type="dxa"/>
            <w:noWrap w:val="0"/>
            <w:vAlign w:val="center"/>
          </w:tcPr>
          <w:p w14:paraId="1E8878D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698" w:type="dxa"/>
            <w:noWrap w:val="0"/>
            <w:vAlign w:val="center"/>
          </w:tcPr>
          <w:p w14:paraId="64F3292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3A51B10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259" w:type="dxa"/>
            <w:noWrap w:val="0"/>
            <w:vAlign w:val="center"/>
          </w:tcPr>
          <w:p w14:paraId="3DD790F9">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直接管理关系情况说明</w:t>
            </w:r>
          </w:p>
        </w:tc>
      </w:tr>
      <w:tr w14:paraId="153D9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0A60D955">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2C1F67F">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1422547A">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135892B9">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4D349CBA">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7A00A92">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2B077A88">
            <w:pPr>
              <w:widowControl/>
              <w:jc w:val="center"/>
              <w:rPr>
                <w:rFonts w:hint="eastAsia" w:ascii="宋体" w:hAnsi="宋体" w:eastAsia="宋体" w:cs="宋体"/>
                <w:b/>
                <w:color w:val="auto"/>
                <w:sz w:val="24"/>
                <w:szCs w:val="24"/>
                <w:highlight w:val="none"/>
                <w:shd w:val="clear" w:color="auto" w:fill="FFFFFF"/>
              </w:rPr>
            </w:pPr>
          </w:p>
        </w:tc>
      </w:tr>
      <w:tr w14:paraId="4AD02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56CB8BDA">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57466C2A">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C4807CA">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0CFFC09">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68EBD95E">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459ECEC">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748D13B6">
            <w:pPr>
              <w:widowControl/>
              <w:jc w:val="center"/>
              <w:rPr>
                <w:rFonts w:hint="eastAsia" w:ascii="宋体" w:hAnsi="宋体" w:eastAsia="宋体" w:cs="宋体"/>
                <w:b/>
                <w:color w:val="auto"/>
                <w:sz w:val="24"/>
                <w:szCs w:val="24"/>
                <w:highlight w:val="none"/>
                <w:shd w:val="clear" w:color="auto" w:fill="FFFFFF"/>
              </w:rPr>
            </w:pPr>
          </w:p>
        </w:tc>
      </w:tr>
      <w:tr w14:paraId="413CF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67000081">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77DE3EE">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A835D8E">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6532B5E2">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361AFA08">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3EE64D2A">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0DB73A0D">
            <w:pPr>
              <w:widowControl/>
              <w:jc w:val="center"/>
              <w:rPr>
                <w:rFonts w:hint="eastAsia" w:ascii="宋体" w:hAnsi="宋体" w:eastAsia="宋体" w:cs="宋体"/>
                <w:b/>
                <w:color w:val="auto"/>
                <w:sz w:val="24"/>
                <w:szCs w:val="24"/>
                <w:highlight w:val="none"/>
                <w:shd w:val="clear" w:color="auto" w:fill="FFFFFF"/>
              </w:rPr>
            </w:pPr>
          </w:p>
        </w:tc>
      </w:tr>
      <w:tr w14:paraId="78FC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678C8C07">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6881B783">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5FA65BE">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978DAFD">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4433DFDB">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532A3E37">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339C34CF">
            <w:pPr>
              <w:widowControl/>
              <w:jc w:val="center"/>
              <w:rPr>
                <w:rFonts w:hint="eastAsia" w:ascii="宋体" w:hAnsi="宋体" w:eastAsia="宋体" w:cs="宋体"/>
                <w:b/>
                <w:color w:val="auto"/>
                <w:sz w:val="24"/>
                <w:szCs w:val="24"/>
                <w:highlight w:val="none"/>
                <w:shd w:val="clear" w:color="auto" w:fill="FFFFFF"/>
              </w:rPr>
            </w:pPr>
          </w:p>
        </w:tc>
      </w:tr>
      <w:tr w14:paraId="62CAA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281F1956">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6991762">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B4FA991">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2228B728">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6F99C692">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A1102E4">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649D0E7C">
            <w:pPr>
              <w:widowControl/>
              <w:jc w:val="center"/>
              <w:rPr>
                <w:rFonts w:hint="eastAsia" w:ascii="宋体" w:hAnsi="宋体" w:eastAsia="宋体" w:cs="宋体"/>
                <w:b/>
                <w:color w:val="auto"/>
                <w:sz w:val="24"/>
                <w:szCs w:val="24"/>
                <w:highlight w:val="none"/>
                <w:shd w:val="clear" w:color="auto" w:fill="FFFFFF"/>
              </w:rPr>
            </w:pPr>
          </w:p>
        </w:tc>
      </w:tr>
      <w:tr w14:paraId="361FA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jc w:val="center"/>
        </w:trPr>
        <w:tc>
          <w:tcPr>
            <w:tcW w:w="1419" w:type="dxa"/>
            <w:noWrap w:val="0"/>
            <w:vAlign w:val="center"/>
          </w:tcPr>
          <w:p w14:paraId="641B1810">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3D46355E">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7773C16">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4D0EAE5">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33470160">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C9F4685">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7672F679">
            <w:pPr>
              <w:widowControl/>
              <w:jc w:val="center"/>
              <w:rPr>
                <w:rFonts w:hint="eastAsia" w:ascii="宋体" w:hAnsi="宋体" w:eastAsia="宋体" w:cs="宋体"/>
                <w:b/>
                <w:color w:val="auto"/>
                <w:sz w:val="24"/>
                <w:szCs w:val="24"/>
                <w:highlight w:val="none"/>
                <w:shd w:val="clear" w:color="auto" w:fill="FFFFFF"/>
              </w:rPr>
            </w:pPr>
          </w:p>
        </w:tc>
      </w:tr>
    </w:tbl>
    <w:p w14:paraId="5B175555">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注：1、本表仅须填写与投标人存在直接股权、管理关系的企业情况。投标人应按上表要求据实填写，如填写“无”或不填写，均视为投标人声明不存在有关情形。</w:t>
      </w:r>
    </w:p>
    <w:p w14:paraId="29074951">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2、其中“直接控股”是指投标人与大型企业之间存在直接投资并控股（非普通持股）的关系。</w:t>
      </w:r>
    </w:p>
    <w:p w14:paraId="1FC1E734">
      <w:pPr>
        <w:pStyle w:val="14"/>
        <w:spacing w:before="35" w:line="440" w:lineRule="exact"/>
        <w:ind w:left="4060" w:right="2166" w:firstLine="358" w:firstLineChars="152"/>
        <w:rPr>
          <w:rFonts w:hint="eastAsia" w:ascii="宋体" w:hAnsi="宋体" w:eastAsia="宋体" w:cs="宋体"/>
          <w:color w:val="auto"/>
          <w:spacing w:val="-2"/>
          <w:sz w:val="24"/>
          <w:szCs w:val="24"/>
          <w:highlight w:val="none"/>
        </w:rPr>
      </w:pPr>
    </w:p>
    <w:p w14:paraId="555C1623">
      <w:pPr>
        <w:pStyle w:val="14"/>
        <w:spacing w:before="35" w:line="440" w:lineRule="exact"/>
        <w:ind w:left="4060" w:right="2166" w:firstLine="358" w:firstLineChars="152"/>
        <w:rPr>
          <w:rFonts w:hint="eastAsia" w:ascii="宋体" w:hAnsi="宋体" w:eastAsia="宋体" w:cs="宋体"/>
          <w:color w:val="auto"/>
          <w:spacing w:val="-2"/>
          <w:sz w:val="24"/>
          <w:szCs w:val="24"/>
          <w:highlight w:val="none"/>
        </w:rPr>
      </w:pPr>
    </w:p>
    <w:p w14:paraId="646AC5E4">
      <w:pPr>
        <w:pStyle w:val="14"/>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企业名称（加盖CA电子公章）：</w:t>
      </w:r>
    </w:p>
    <w:p w14:paraId="36AD0D69">
      <w:pPr>
        <w:pStyle w:val="14"/>
        <w:spacing w:before="35" w:line="440" w:lineRule="exact"/>
        <w:ind w:left="4060" w:right="2166" w:firstLine="358" w:firstLineChars="152"/>
        <w:rPr>
          <w:rFonts w:hint="eastAsia" w:ascii="宋体" w:hAnsi="宋体" w:eastAsia="宋体" w:cs="宋体"/>
          <w:color w:val="auto"/>
          <w:sz w:val="22"/>
          <w:szCs w:val="21"/>
          <w:highlight w:val="none"/>
        </w:rPr>
      </w:pPr>
      <w:r>
        <w:rPr>
          <w:rFonts w:hint="eastAsia" w:ascii="宋体" w:hAnsi="宋体" w:eastAsia="宋体" w:cs="宋体"/>
          <w:color w:val="auto"/>
          <w:spacing w:val="-2"/>
          <w:sz w:val="24"/>
          <w:szCs w:val="24"/>
          <w:highlight w:val="none"/>
        </w:rPr>
        <w:t>日期：</w:t>
      </w:r>
    </w:p>
    <w:p w14:paraId="21DC4060">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309E9C62">
      <w:pPr>
        <w:spacing w:line="440" w:lineRule="exact"/>
        <w:ind w:firstLine="482"/>
        <w:jc w:val="center"/>
        <w:outlineLvl w:val="1"/>
        <w:rPr>
          <w:rFonts w:hint="eastAsia" w:ascii="宋体" w:hAnsi="宋体" w:eastAsia="宋体" w:cs="宋体"/>
          <w:b/>
          <w:bCs/>
          <w:color w:val="auto"/>
          <w:sz w:val="28"/>
          <w:szCs w:val="28"/>
          <w:highlight w:val="none"/>
        </w:rPr>
      </w:pPr>
      <w:bookmarkStart w:id="390" w:name="_Toc23903"/>
      <w:bookmarkStart w:id="391" w:name="_Toc10756"/>
      <w:r>
        <w:rPr>
          <w:rFonts w:hint="eastAsia" w:ascii="宋体" w:hAnsi="宋体" w:eastAsia="宋体" w:cs="宋体"/>
          <w:b/>
          <w:bCs/>
          <w:color w:val="auto"/>
          <w:sz w:val="28"/>
          <w:szCs w:val="28"/>
          <w:highlight w:val="none"/>
        </w:rPr>
        <w:t>附件1</w:t>
      </w:r>
      <w:r>
        <w:rPr>
          <w:rFonts w:hint="eastAsia" w:ascii="宋体" w:hAnsi="宋体" w:eastAsia="宋体" w:cs="宋体"/>
          <w:b/>
          <w:bCs/>
          <w:color w:val="auto"/>
          <w:sz w:val="28"/>
          <w:szCs w:val="28"/>
          <w:highlight w:val="none"/>
          <w:lang w:val="en-US" w:eastAsia="zh-CN"/>
        </w:rPr>
        <w:t xml:space="preserve">3 </w:t>
      </w:r>
      <w:r>
        <w:rPr>
          <w:rFonts w:hint="eastAsia" w:ascii="宋体" w:hAnsi="宋体" w:eastAsia="宋体" w:cs="宋体"/>
          <w:b/>
          <w:bCs/>
          <w:color w:val="auto"/>
          <w:sz w:val="28"/>
          <w:szCs w:val="28"/>
          <w:highlight w:val="none"/>
        </w:rPr>
        <w:t>关于符合本国产品标准的声明函</w:t>
      </w:r>
      <w:bookmarkEnd w:id="390"/>
      <w:bookmarkEnd w:id="391"/>
    </w:p>
    <w:p w14:paraId="2D009912">
      <w:pPr>
        <w:pStyle w:val="35"/>
        <w:spacing w:before="0" w:beforeAutospacing="0" w:after="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282634D">
      <w:pPr>
        <w:pStyle w:val="35"/>
        <w:spacing w:before="30" w:beforeAutospacing="0" w:after="30"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5200015</wp:posOffset>
                </wp:positionH>
                <wp:positionV relativeFrom="paragraph">
                  <wp:posOffset>347345</wp:posOffset>
                </wp:positionV>
                <wp:extent cx="876300" cy="120015"/>
                <wp:effectExtent l="635" t="4445" r="18415" b="8890"/>
                <wp:wrapNone/>
                <wp:docPr id="16" name="直接箭头连接符 16"/>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09.45pt;margin-top:27.35pt;height:9.45pt;width:69pt;z-index:251661312;mso-width-relative:page;mso-height-relative:page;" filled="f" stroked="t" coordsize="21600,21600" o:gfxdata="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I8Fb22AAAAAkBAAAPAAAAAAAAAAEAIAAAACIAAABk&#10;cnMvZG93bnJldi54bWxQSwECFAAUAAAACACHTuJAGJvWHwYCAAD8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31115</wp:posOffset>
                </wp:positionH>
                <wp:positionV relativeFrom="paragraph">
                  <wp:posOffset>313055</wp:posOffset>
                </wp:positionV>
                <wp:extent cx="565785" cy="130810"/>
                <wp:effectExtent l="1270" t="4445" r="4445" b="17145"/>
                <wp:wrapNone/>
                <wp:docPr id="2" name="直接箭头连接符 2"/>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5pt;margin-top:24.65pt;height:10.3pt;width:44.55pt;z-index:251663360;mso-width-relative:page;mso-height-relative:page;" filled="f" stroked="t" coordsize="21600,21600" o:gfxdata="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YYHZjVAAAABgEAAA8AAAAAAAAAAQAgAAAAIgAAAGRy&#10;cy9kb3ducmV2LnhtbFBLAQIUABQAAAAIAIdO4kBxGEI0CAIAAPoDAAAOAAAAAAAAAAEAIAAAACQ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3600" behindDoc="0" locked="0" layoutInCell="1" allowOverlap="1">
                <wp:simplePos x="0" y="0"/>
                <wp:positionH relativeFrom="column">
                  <wp:posOffset>926465</wp:posOffset>
                </wp:positionH>
                <wp:positionV relativeFrom="paragraph">
                  <wp:posOffset>645795</wp:posOffset>
                </wp:positionV>
                <wp:extent cx="876300" cy="120015"/>
                <wp:effectExtent l="635" t="4445" r="18415" b="8890"/>
                <wp:wrapNone/>
                <wp:docPr id="17" name="直接箭头连接符 17"/>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72.95pt;margin-top:50.85pt;height:9.45pt;width:69pt;z-index:251673600;mso-width-relative:page;mso-height-relative:page;" filled="f" stroked="t" coordsize="21600,21600" o:gfxdata="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bdabnXAAAACwEAAA8AAAAAAAAAAQAgAAAAIgAAAGRy&#10;cy9kb3ducmV2LnhtbFBLAQIUABQAAAAIAIdO4kB6OizTBgIAAPw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2576" behindDoc="0" locked="0" layoutInCell="1" allowOverlap="1">
                <wp:simplePos x="0" y="0"/>
                <wp:positionH relativeFrom="column">
                  <wp:posOffset>2115185</wp:posOffset>
                </wp:positionH>
                <wp:positionV relativeFrom="paragraph">
                  <wp:posOffset>636270</wp:posOffset>
                </wp:positionV>
                <wp:extent cx="876300" cy="120015"/>
                <wp:effectExtent l="635" t="4445" r="18415" b="8890"/>
                <wp:wrapNone/>
                <wp:docPr id="15" name="直接箭头连接符 15"/>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66.55pt;margin-top:50.1pt;height:9.45pt;width:69pt;z-index:251672576;mso-width-relative:page;mso-height-relative:page;" filled="f" stroked="t" coordsize="21600,21600" o:gfxdata="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gSln4tcAAAALAQAADwAAAAAAAAABACAAAAAiAAAA&#10;ZHJzL2Rvd25yZXYueG1sUEsBAhQAFAAAAAgAh07iQP9+qJEIAgAA/AM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2978785</wp:posOffset>
                </wp:positionH>
                <wp:positionV relativeFrom="paragraph">
                  <wp:posOffset>344805</wp:posOffset>
                </wp:positionV>
                <wp:extent cx="816610" cy="76200"/>
                <wp:effectExtent l="635" t="4445" r="1905" b="14605"/>
                <wp:wrapNone/>
                <wp:docPr id="12" name="直接箭头连接符 12"/>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4.55pt;margin-top:27.15pt;height:6pt;width:64.3pt;z-index:251659264;mso-width-relative:page;mso-height-relative:page;" filled="f" stroked="t" coordsize="21600,21600" o:gfxdata="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&#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Pxg4QXYAAAACQEAAA8AAAAAAAAAAQAgAAAAIgAAAGRy&#10;cy9kb3ducmV2LnhtbFBLAQIUABQAAAAIAIdO4kBuNqp/BQIAAPsDAAAOAAAAAAAAAAEAIAAAACc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4026535</wp:posOffset>
                </wp:positionH>
                <wp:positionV relativeFrom="paragraph">
                  <wp:posOffset>383540</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17.05pt;margin-top:30.2pt;height:8.15pt;width:64.3pt;z-index:251660288;mso-width-relative:page;mso-height-relative:page;" filled="f" stroked="t" coordsize="21600,21600" o:gfxdata="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G6+W+tYAAAAJAQAADwAAAAAAAAABACAAAAAiAAAAZHJz&#10;L2Rvd25yZXYueG1sUEsBAhQAFAAAAAgAh07iQJtqxQwGAgAA/AMAAA4AAAAAAAAAAQAgAAAAJQ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highlight w:val="none"/>
          <w:shd w:val="clear" w:color="auto" w:fill="FFFFFF"/>
        </w:rPr>
        <w:t>1.</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甲氧·茚虫威40%悬浮剂10克/袋 </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42"/>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3ED24ABE">
      <w:pPr>
        <w:pStyle w:val="35"/>
        <w:spacing w:before="30" w:beforeAutospacing="0" w:after="30"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en-US"/>
        </w:rPr>
        <mc:AlternateContent>
          <mc:Choice Requires="wps">
            <w:drawing>
              <wp:anchor distT="0" distB="0" distL="114300" distR="114300" simplePos="0" relativeHeight="251670528" behindDoc="0" locked="0" layoutInCell="1" allowOverlap="1">
                <wp:simplePos x="0" y="0"/>
                <wp:positionH relativeFrom="column">
                  <wp:posOffset>3162300</wp:posOffset>
                </wp:positionH>
                <wp:positionV relativeFrom="paragraph">
                  <wp:posOffset>342265</wp:posOffset>
                </wp:positionV>
                <wp:extent cx="816610" cy="103505"/>
                <wp:effectExtent l="635" t="4445" r="1905" b="6350"/>
                <wp:wrapNone/>
                <wp:docPr id="31" name="直接箭头连接符 31"/>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9pt;margin-top:26.95pt;height:8.15pt;width:64.3pt;z-index:251670528;mso-width-relative:page;mso-height-relative:page;" filled="f" stroked="t" coordsize="21600,21600" o:gfxdata="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HPgqTnYAAAACQEAAA8AAAAAAAAAAQAgAAAAIgAA&#10;AGRycy9kb3ducmV2LnhtbFBLAQIUABQAAAAIAIdO4kBwmVWRCAIAAPwDAAAOAAAAAAAAAAEAIAAA&#10;ACc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1552" behindDoc="0" locked="0" layoutInCell="1" allowOverlap="1">
                <wp:simplePos x="0" y="0"/>
                <wp:positionH relativeFrom="column">
                  <wp:posOffset>5393690</wp:posOffset>
                </wp:positionH>
                <wp:positionV relativeFrom="paragraph">
                  <wp:posOffset>346710</wp:posOffset>
                </wp:positionV>
                <wp:extent cx="876300" cy="120015"/>
                <wp:effectExtent l="635" t="4445" r="18415" b="8890"/>
                <wp:wrapNone/>
                <wp:docPr id="14" name="直接箭头连接符 14"/>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24.7pt;margin-top:27.3pt;height:9.45pt;width:69pt;z-index:251671552;mso-width-relative:page;mso-height-relative:page;" filled="f" stroked="t" coordsize="21600,21600" o:gfxdata="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I9m2AAAAAkBAAAPAAAAAAAAAAEAIAAAACIAAABk&#10;cnMvZG93bnJldi54bWxQSwECFAAUAAAACACHTuJAnd9SXQYCAAD8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67456" behindDoc="0" locked="0" layoutInCell="1" allowOverlap="1">
                <wp:simplePos x="0" y="0"/>
                <wp:positionH relativeFrom="column">
                  <wp:posOffset>4312285</wp:posOffset>
                </wp:positionH>
                <wp:positionV relativeFrom="paragraph">
                  <wp:posOffset>281305</wp:posOffset>
                </wp:positionV>
                <wp:extent cx="876300" cy="120015"/>
                <wp:effectExtent l="635" t="4445" r="18415" b="8890"/>
                <wp:wrapNone/>
                <wp:docPr id="19" name="直接箭头连接符 19"/>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39.55pt;margin-top:22.15pt;height:9.45pt;width:69pt;z-index:251667456;mso-width-relative:page;mso-height-relative:page;" filled="f" stroked="t" coordsize="21600,21600" o:gfxdata="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ypKj7XAAAACQEAAA8AAAAAAAAAAQAgAAAAIgAAAGRy&#10;cy9kb3ducmV2LnhtbFBLAQIUABQAAAAIAIdO4kCg48DFBgIAAPw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69504" behindDoc="0" locked="0" layoutInCell="1" allowOverlap="1">
                <wp:simplePos x="0" y="0"/>
                <wp:positionH relativeFrom="column">
                  <wp:posOffset>2385060</wp:posOffset>
                </wp:positionH>
                <wp:positionV relativeFrom="paragraph">
                  <wp:posOffset>636905</wp:posOffset>
                </wp:positionV>
                <wp:extent cx="816610" cy="76200"/>
                <wp:effectExtent l="635" t="4445" r="1905" b="14605"/>
                <wp:wrapNone/>
                <wp:docPr id="28" name="直接箭头连接符 28"/>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7.8pt;margin-top:50.15pt;height:6pt;width:64.3pt;z-index:251669504;mso-width-relative:page;mso-height-relative:page;" filled="f" stroked="t" coordsize="21600,21600" o:gfxdata="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&#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7FI5X2AAAAAsBAAAPAAAAAAAAAAEAIAAAACIAAABk&#10;cnMvZG93bnJldi54bWxQSwECFAAUAAAACACHTuJABJ57HAYCAAD7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4624" behindDoc="0" locked="0" layoutInCell="1" allowOverlap="1">
                <wp:simplePos x="0" y="0"/>
                <wp:positionH relativeFrom="column">
                  <wp:posOffset>1172210</wp:posOffset>
                </wp:positionH>
                <wp:positionV relativeFrom="paragraph">
                  <wp:posOffset>654685</wp:posOffset>
                </wp:positionV>
                <wp:extent cx="876300" cy="120015"/>
                <wp:effectExtent l="635" t="4445" r="18415" b="8890"/>
                <wp:wrapNone/>
                <wp:docPr id="18" name="直接箭头连接符 18"/>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92.3pt;margin-top:51.55pt;height:9.45pt;width:69pt;z-index:251674624;mso-width-relative:page;mso-height-relative:page;" filled="f" stroked="t" coordsize="21600,21600" o:gfxdata="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AUdy/vXAAAACwEAAA8AAAAAAAAAAQAgAAAAIgAAAGRy&#10;cy9kb3ducmV2LnhtbFBLAQIUABQAAAAIAIdO4kDCQjoJBgIAAPw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68480" behindDoc="0" locked="0" layoutInCell="1" allowOverlap="1">
                <wp:simplePos x="0" y="0"/>
                <wp:positionH relativeFrom="column">
                  <wp:posOffset>71755</wp:posOffset>
                </wp:positionH>
                <wp:positionV relativeFrom="paragraph">
                  <wp:posOffset>334645</wp:posOffset>
                </wp:positionV>
                <wp:extent cx="565785" cy="130810"/>
                <wp:effectExtent l="1270" t="4445" r="4445" b="17145"/>
                <wp:wrapNone/>
                <wp:docPr id="22" name="直接箭头连接符 22"/>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5.65pt;margin-top:26.35pt;height:10.3pt;width:44.55pt;z-index:251668480;mso-width-relative:page;mso-height-relative:page;" filled="f" stroked="t" coordsize="21600,21600" o:gfxdata="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pIj7fWAAAACAEAAA8AAAAAAAAAAQAgAAAAIgAA&#10;AGRycy9kb3ducmV2LnhtbFBLAQIUABQAAAAIAIdO4kCs9cC3CgIAAPwD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甲氧·茚虫威40%悬浮剂100克/瓶 </w:t>
      </w:r>
      <w:r>
        <w:rPr>
          <w:rFonts w:hint="eastAsia" w:ascii="宋体" w:hAnsi="宋体" w:eastAsia="宋体" w:cs="宋体"/>
          <w:color w:val="auto"/>
          <w:highlight w:val="non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2</w:t>
      </w:r>
      <w:r>
        <w:rPr>
          <w:rStyle w:val="42"/>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的中国境内生产的组件成本占比≥</w:t>
      </w:r>
      <w:r>
        <w:rPr>
          <w:rStyle w:val="42"/>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2</w:t>
      </w:r>
      <w:r>
        <w:rPr>
          <w:rStyle w:val="42"/>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42"/>
          <w:rFonts w:hint="eastAsia" w:ascii="宋体" w:hAnsi="宋体" w:eastAsia="宋体" w:cs="宋体"/>
          <w:i w:val="0"/>
          <w:color w:val="auto"/>
          <w:highlight w:val="none"/>
          <w:u w:val="single"/>
          <w:shd w:val="clear" w:color="auto" w:fill="FFFFFF"/>
        </w:rPr>
        <w:t>（产品名称</w:t>
      </w:r>
      <w:r>
        <w:rPr>
          <w:rStyle w:val="42"/>
          <w:rFonts w:hint="eastAsia" w:ascii="宋体" w:hAnsi="宋体" w:eastAsia="宋体" w:cs="宋体"/>
          <w:i w:val="0"/>
          <w:color w:val="auto"/>
          <w:highlight w:val="none"/>
          <w:u w:val="single"/>
          <w:shd w:val="clear" w:color="auto" w:fill="FFFFFF"/>
          <w:lang w:val="en-US" w:eastAsia="zh-CN"/>
        </w:rPr>
        <w:t>2</w:t>
      </w:r>
      <w:r>
        <w:rPr>
          <w:rStyle w:val="42"/>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42"/>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58F2F5A3">
      <w:pPr>
        <w:pStyle w:val="35"/>
        <w:spacing w:before="30" w:beforeAutospacing="0" w:after="30"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w:t>
      </w:r>
    </w:p>
    <w:p w14:paraId="35A47588">
      <w:pPr>
        <w:pStyle w:val="35"/>
        <w:spacing w:before="30" w:beforeAutospacing="0" w:after="30" w:afterAutospacing="0" w:line="0" w:lineRule="atLeast"/>
        <w:ind w:firstLine="420"/>
        <w:rPr>
          <w:rFonts w:hint="eastAsia" w:ascii="宋体" w:hAnsi="宋体" w:eastAsia="宋体" w:cs="宋体"/>
          <w:color w:val="auto"/>
          <w:sz w:val="24"/>
          <w:szCs w:val="24"/>
          <w:highlight w:val="none"/>
          <w:shd w:val="clear" w:color="auto" w:fill="FFFFFF"/>
        </w:rPr>
      </w:pPr>
    </w:p>
    <w:p w14:paraId="014E8633">
      <w:pPr>
        <w:pStyle w:val="35"/>
        <w:spacing w:before="30" w:beforeAutospacing="0" w:after="30" w:afterAutospacing="0" w:line="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5F317AE5">
      <w:pPr>
        <w:pStyle w:val="35"/>
        <w:spacing w:before="30" w:beforeAutospacing="0" w:after="30" w:afterAutospacing="0" w:line="0" w:lineRule="atLeast"/>
        <w:rPr>
          <w:rFonts w:hint="eastAsia" w:ascii="宋体" w:hAnsi="宋体" w:eastAsia="宋体" w:cs="宋体"/>
          <w:color w:val="auto"/>
          <w:sz w:val="24"/>
          <w:szCs w:val="24"/>
          <w:highlight w:val="none"/>
        </w:rPr>
      </w:pPr>
    </w:p>
    <w:p w14:paraId="60FFF745">
      <w:pPr>
        <w:pStyle w:val="35"/>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6D171764">
      <w:pPr>
        <w:pStyle w:val="35"/>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1976713F">
      <w:pPr>
        <w:pStyle w:val="35"/>
        <w:spacing w:before="30" w:beforeAutospacing="0" w:after="30" w:afterAutospacing="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65D7E39C">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__________________</w:t>
      </w:r>
    </w:p>
    <w:p w14:paraId="152BD88B">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4DD07CE0">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5E1D0765">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782593DA">
      <w:pPr>
        <w:pStyle w:val="35"/>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1A3F94BA">
      <w:pPr>
        <w:pStyle w:val="35"/>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390CB382">
      <w:pPr>
        <w:pStyle w:val="35"/>
        <w:spacing w:before="30" w:beforeAutospacing="0" w:after="30" w:afterAutospacing="0" w:line="0" w:lineRule="atLeast"/>
        <w:rPr>
          <w:rFonts w:hint="eastAsia" w:ascii="宋体" w:hAnsi="宋体" w:eastAsia="宋体" w:cs="宋体"/>
          <w:color w:val="auto"/>
          <w:sz w:val="24"/>
          <w:szCs w:val="24"/>
          <w:highlight w:val="none"/>
          <w:shd w:val="clear" w:color="auto" w:fill="FFFFFF"/>
        </w:rPr>
        <w:sectPr>
          <w:footerReference r:id="rId8" w:type="first"/>
          <w:footerReference r:id="rId7" w:type="default"/>
          <w:pgSz w:w="11906" w:h="16838"/>
          <w:pgMar w:top="771" w:right="1106" w:bottom="527" w:left="720" w:header="231" w:footer="200" w:gutter="0"/>
          <w:pgNumType w:fmt="decimal" w:start="1"/>
          <w:cols w:space="720" w:num="1"/>
          <w:titlePg/>
          <w:docGrid w:linePitch="360" w:charSpace="0"/>
        </w:sectPr>
      </w:pPr>
      <w:r>
        <w:rPr>
          <w:rFonts w:hint="eastAsia" w:ascii="宋体" w:hAnsi="宋体" w:eastAsia="宋体" w:cs="宋体"/>
          <w:color w:val="auto"/>
          <w:sz w:val="24"/>
          <w:szCs w:val="24"/>
          <w:highlight w:val="none"/>
          <w:shd w:val="clear" w:color="auto" w:fill="FFFFFF"/>
        </w:rPr>
        <w:t>6.用斜线划除的地方无需填写。</w:t>
      </w:r>
    </w:p>
    <w:p w14:paraId="365E1811">
      <w:pPr>
        <w:spacing w:line="440" w:lineRule="exact"/>
        <w:ind w:firstLine="562"/>
        <w:jc w:val="center"/>
        <w:outlineLvl w:val="1"/>
        <w:rPr>
          <w:rFonts w:hint="eastAsia" w:ascii="宋体" w:hAnsi="宋体" w:eastAsia="宋体" w:cs="宋体"/>
          <w:b/>
          <w:bCs/>
          <w:color w:val="auto"/>
          <w:sz w:val="28"/>
          <w:szCs w:val="28"/>
          <w:highlight w:val="none"/>
          <w:lang w:val="en-US" w:eastAsia="zh-CN"/>
        </w:rPr>
      </w:pPr>
      <w:bookmarkStart w:id="392" w:name="_Toc20881"/>
      <w:bookmarkStart w:id="393" w:name="_Toc8749"/>
      <w:r>
        <w:rPr>
          <w:rFonts w:hint="eastAsia" w:ascii="宋体" w:hAnsi="宋体" w:eastAsia="宋体" w:cs="宋体"/>
          <w:b/>
          <w:bCs/>
          <w:color w:val="auto"/>
          <w:sz w:val="28"/>
          <w:szCs w:val="28"/>
          <w:highlight w:val="none"/>
          <w:lang w:val="en-US" w:eastAsia="zh-CN"/>
        </w:rPr>
        <w:t>附件14 质疑函范本</w:t>
      </w:r>
      <w:bookmarkEnd w:id="392"/>
      <w:bookmarkEnd w:id="393"/>
    </w:p>
    <w:p w14:paraId="5749C4EB">
      <w:pPr>
        <w:jc w:val="center"/>
        <w:rPr>
          <w:rFonts w:hint="eastAsia" w:ascii="宋体" w:hAnsi="宋体" w:eastAsia="宋体" w:cs="宋体"/>
          <w:b/>
          <w:bCs/>
          <w:color w:val="auto"/>
          <w:sz w:val="28"/>
          <w:szCs w:val="28"/>
          <w:highlight w:val="none"/>
        </w:rPr>
      </w:pPr>
    </w:p>
    <w:p w14:paraId="5059785E">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质疑函范本</w:t>
      </w:r>
    </w:p>
    <w:p w14:paraId="30391991">
      <w:pPr>
        <w:adjustRightInd w:val="0"/>
        <w:snapToGrid w:val="0"/>
        <w:spacing w:before="312" w:beforeLines="10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2AB69306">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dotted"/>
        </w:rPr>
        <w:t xml:space="preserve">                                        </w:t>
      </w:r>
    </w:p>
    <w:p w14:paraId="07F8DC26">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0FE88063">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14:paraId="1394C873">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dotted"/>
        </w:rPr>
        <w:t xml:space="preserve">                                          </w:t>
      </w:r>
    </w:p>
    <w:p w14:paraId="382D4A33">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 xml:space="preserve"> </w:t>
      </w:r>
    </w:p>
    <w:p w14:paraId="5494AADE">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14:paraId="5EB498C1">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5BAF7B0C">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dotted"/>
        </w:rPr>
        <w:t xml:space="preserve">                                      </w:t>
      </w:r>
    </w:p>
    <w:p w14:paraId="2C23BBB1">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dotted"/>
        </w:rPr>
        <w:t xml:space="preserve">                 </w:t>
      </w:r>
    </w:p>
    <w:p w14:paraId="118968DA">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dotted"/>
        </w:rPr>
        <w:t xml:space="preserve">                                         </w:t>
      </w:r>
    </w:p>
    <w:p w14:paraId="4854B60B">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dotted"/>
        </w:rPr>
        <w:t xml:space="preserve">                                           </w:t>
      </w:r>
    </w:p>
    <w:p w14:paraId="55D35652">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771E027B">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dotted"/>
        </w:rPr>
        <w:t xml:space="preserve">                                         </w:t>
      </w:r>
    </w:p>
    <w:p w14:paraId="427ADAE9">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dotted"/>
        </w:rPr>
        <w:t xml:space="preserve">                                          </w:t>
      </w:r>
    </w:p>
    <w:p w14:paraId="218D5054">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dotted"/>
        </w:rPr>
        <w:t xml:space="preserve">                                                       </w:t>
      </w:r>
    </w:p>
    <w:p w14:paraId="3542DC6B">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dotted"/>
        </w:rPr>
        <w:t xml:space="preserve">                                          </w:t>
      </w:r>
    </w:p>
    <w:p w14:paraId="6E891B8B">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u w:val="dotted"/>
        </w:rPr>
        <w:t xml:space="preserve">                                                     </w:t>
      </w:r>
    </w:p>
    <w:p w14:paraId="06C3FA6B">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质疑事项2</w:t>
      </w:r>
    </w:p>
    <w:p w14:paraId="5143B05C">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4BCEBAC">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6FDA5B6D">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dotted"/>
        </w:rPr>
        <w:t xml:space="preserve">                                               </w:t>
      </w:r>
    </w:p>
    <w:p w14:paraId="38711DC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5978C7D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75AF5948">
      <w:pPr>
        <w:adjustRightInd w:val="0"/>
        <w:snapToGrid w:val="0"/>
        <w:spacing w:line="360" w:lineRule="auto"/>
        <w:rPr>
          <w:rFonts w:hint="eastAsia" w:ascii="宋体" w:hAnsi="宋体" w:eastAsia="宋体" w:cs="宋体"/>
          <w:color w:val="auto"/>
          <w:sz w:val="24"/>
          <w:szCs w:val="24"/>
          <w:highlight w:val="none"/>
        </w:rPr>
      </w:pPr>
    </w:p>
    <w:p w14:paraId="60E45382">
      <w:pPr>
        <w:adjustRightInd w:val="0"/>
        <w:snapToGrid w:val="0"/>
        <w:spacing w:line="360" w:lineRule="auto"/>
        <w:rPr>
          <w:rFonts w:hint="eastAsia" w:ascii="宋体" w:hAnsi="宋体" w:eastAsia="宋体" w:cs="宋体"/>
          <w:color w:val="auto"/>
          <w:sz w:val="24"/>
          <w:szCs w:val="24"/>
          <w:highlight w:val="none"/>
        </w:rPr>
      </w:pPr>
    </w:p>
    <w:p w14:paraId="1B983A6E">
      <w:pPr>
        <w:jc w:val="center"/>
        <w:rPr>
          <w:rFonts w:hint="eastAsia" w:ascii="宋体" w:hAnsi="宋体" w:eastAsia="宋体" w:cs="宋体"/>
          <w:b/>
          <w:bCs/>
          <w:color w:val="auto"/>
          <w:sz w:val="24"/>
          <w:szCs w:val="24"/>
          <w:highlight w:val="none"/>
        </w:rPr>
      </w:pPr>
    </w:p>
    <w:p w14:paraId="223E1A74">
      <w:pPr>
        <w:jc w:val="center"/>
        <w:rPr>
          <w:rFonts w:hint="eastAsia" w:ascii="宋体" w:hAnsi="宋体" w:eastAsia="宋体" w:cs="宋体"/>
          <w:b/>
          <w:bCs/>
          <w:color w:val="auto"/>
          <w:sz w:val="24"/>
          <w:szCs w:val="24"/>
          <w:highlight w:val="none"/>
        </w:rPr>
      </w:pPr>
    </w:p>
    <w:p w14:paraId="701F74C5">
      <w:pPr>
        <w:jc w:val="center"/>
        <w:rPr>
          <w:rFonts w:hint="eastAsia" w:ascii="宋体" w:hAnsi="宋体" w:eastAsia="宋体" w:cs="宋体"/>
          <w:b/>
          <w:bCs/>
          <w:color w:val="auto"/>
          <w:sz w:val="24"/>
          <w:szCs w:val="24"/>
          <w:highlight w:val="none"/>
        </w:rPr>
      </w:pPr>
    </w:p>
    <w:p w14:paraId="330487B1">
      <w:pPr>
        <w:jc w:val="center"/>
        <w:rPr>
          <w:rFonts w:hint="eastAsia" w:ascii="宋体" w:hAnsi="宋体" w:eastAsia="宋体" w:cs="宋体"/>
          <w:b/>
          <w:bCs/>
          <w:color w:val="auto"/>
          <w:sz w:val="24"/>
          <w:szCs w:val="24"/>
          <w:highlight w:val="none"/>
        </w:rPr>
      </w:pPr>
    </w:p>
    <w:p w14:paraId="70F48CB2">
      <w:pPr>
        <w:jc w:val="center"/>
        <w:rPr>
          <w:rFonts w:hint="eastAsia" w:ascii="宋体" w:hAnsi="宋体" w:eastAsia="宋体" w:cs="宋体"/>
          <w:b/>
          <w:bCs/>
          <w:color w:val="auto"/>
          <w:sz w:val="24"/>
          <w:szCs w:val="24"/>
          <w:highlight w:val="none"/>
        </w:rPr>
      </w:pPr>
    </w:p>
    <w:p w14:paraId="426C7546">
      <w:pPr>
        <w:jc w:val="center"/>
        <w:rPr>
          <w:rFonts w:hint="eastAsia" w:ascii="宋体" w:hAnsi="宋体" w:eastAsia="宋体" w:cs="宋体"/>
          <w:b/>
          <w:bCs/>
          <w:color w:val="auto"/>
          <w:sz w:val="24"/>
          <w:szCs w:val="24"/>
          <w:highlight w:val="none"/>
        </w:rPr>
      </w:pPr>
    </w:p>
    <w:p w14:paraId="1344FADB">
      <w:pPr>
        <w:jc w:val="center"/>
        <w:rPr>
          <w:rFonts w:hint="eastAsia" w:ascii="宋体" w:hAnsi="宋体" w:eastAsia="宋体" w:cs="宋体"/>
          <w:b/>
          <w:bCs/>
          <w:color w:val="auto"/>
          <w:sz w:val="24"/>
          <w:szCs w:val="24"/>
          <w:highlight w:val="none"/>
        </w:rPr>
      </w:pPr>
    </w:p>
    <w:p w14:paraId="703FD5C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sectPr>
          <w:footerReference r:id="rId10" w:type="first"/>
          <w:footerReference r:id="rId9" w:type="default"/>
          <w:pgSz w:w="11906" w:h="16838"/>
          <w:pgMar w:top="771" w:right="720" w:bottom="527" w:left="720" w:header="231" w:footer="200" w:gutter="0"/>
          <w:pgNumType w:fmt="decimal"/>
          <w:cols w:space="720" w:num="1"/>
          <w:titlePg/>
          <w:docGrid w:linePitch="360" w:charSpace="0"/>
        </w:sectPr>
      </w:pPr>
    </w:p>
    <w:p w14:paraId="6D36371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p>
    <w:p w14:paraId="6659713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4AF379A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14464EA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w:t>
      </w:r>
      <w:r>
        <w:rPr>
          <w:rFonts w:hint="eastAsia" w:ascii="宋体" w:hAnsi="宋体" w:eastAsia="宋体" w:cs="宋体"/>
          <w:color w:val="auto"/>
          <w:kern w:val="0"/>
          <w:sz w:val="24"/>
          <w:szCs w:val="24"/>
          <w:highlight w:val="none"/>
        </w:rPr>
        <w:t>供应商签署的授权委托书。授权委托书应载明代理人的姓名或者名称、代理事项、具体权限、期限和相关事项。</w:t>
      </w:r>
    </w:p>
    <w:p w14:paraId="08E8F82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3FB8220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13936B7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6C030A4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24085761">
      <w:pPr>
        <w:pStyle w:val="35"/>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0CF305E2">
      <w:pPr>
        <w:spacing w:line="400" w:lineRule="exact"/>
        <w:rPr>
          <w:rFonts w:hint="eastAsia" w:ascii="宋体" w:hAnsi="宋体" w:eastAsia="宋体" w:cs="宋体"/>
          <w:color w:val="auto"/>
          <w:sz w:val="24"/>
          <w:szCs w:val="24"/>
          <w:highlight w:val="none"/>
        </w:rPr>
      </w:pPr>
    </w:p>
    <w:p w14:paraId="35DF90D8">
      <w:pPr>
        <w:spacing w:line="400" w:lineRule="exact"/>
        <w:ind w:firstLine="480" w:firstLineChars="200"/>
        <w:rPr>
          <w:rFonts w:hint="eastAsia" w:ascii="宋体" w:hAnsi="宋体" w:eastAsia="宋体" w:cs="宋体"/>
          <w:color w:val="auto"/>
          <w:sz w:val="24"/>
          <w:szCs w:val="24"/>
          <w:highlight w:val="none"/>
        </w:rPr>
      </w:pPr>
    </w:p>
    <w:p w14:paraId="2A0F5388">
      <w:pPr>
        <w:pStyle w:val="243"/>
        <w:spacing w:before="0" w:after="0" w:line="420" w:lineRule="exact"/>
        <w:rPr>
          <w:rFonts w:hint="eastAsia" w:ascii="宋体" w:hAnsi="宋体" w:eastAsia="宋体" w:cs="宋体"/>
          <w:color w:val="auto"/>
          <w:szCs w:val="21"/>
          <w:highlight w:val="none"/>
        </w:rPr>
      </w:pPr>
    </w:p>
    <w:bookmarkEnd w:id="387"/>
    <w:bookmarkEnd w:id="388"/>
    <w:bookmarkEnd w:id="389"/>
    <w:p w14:paraId="3C35D4D2">
      <w:pPr>
        <w:spacing w:line="400" w:lineRule="exact"/>
        <w:ind w:firstLine="480" w:firstLineChars="200"/>
        <w:rPr>
          <w:rFonts w:hint="eastAsia" w:ascii="宋体" w:hAnsi="宋体" w:eastAsia="宋体" w:cs="宋体"/>
          <w:sz w:val="24"/>
          <w:szCs w:val="24"/>
          <w:highlight w:val="none"/>
        </w:rPr>
      </w:pPr>
    </w:p>
    <w:sectPr>
      <w:footerReference r:id="rId12" w:type="first"/>
      <w:footerReference r:id="rId11" w:type="default"/>
      <w:pgSz w:w="11906" w:h="16838"/>
      <w:pgMar w:top="771" w:right="720" w:bottom="527" w:left="720" w:header="231" w:footer="20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3F" w:usb3="00000000" w:csb0="603F01FF" w:csb1="FFFF0000"/>
  </w:font>
  <w:font w:name="方正黑体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Berlin Sans FB Demi">
    <w:altName w:val="Segoe Print"/>
    <w:panose1 w:val="020E0802020502020306"/>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AE9DE"/>
  <w:p w14:paraId="75BBCC5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D5A3C">
    <w:pPr>
      <w:pStyle w:val="296"/>
      <w:framePr w:wrap="around" w:vAnchor="text" w:hAnchor="margin" w:xAlign="center" w:y="1"/>
      <w:ind w:firstLine="360"/>
      <w:rPr>
        <w:rStyle w:val="221"/>
      </w:rPr>
    </w:pPr>
    <w:r>
      <w:fldChar w:fldCharType="begin"/>
    </w:r>
    <w:r>
      <w:rPr>
        <w:rStyle w:val="221"/>
      </w:rPr>
      <w:instrText xml:space="preserve">PAGE  </w:instrText>
    </w:r>
    <w:r>
      <w:fldChar w:fldCharType="separate"/>
    </w:r>
    <w:r>
      <w:rPr>
        <w:rStyle w:val="221"/>
      </w:rPr>
      <w:t>1</w:t>
    </w:r>
    <w:r>
      <w:fldChar w:fldCharType="end"/>
    </w:r>
  </w:p>
  <w:p w14:paraId="371E83B4">
    <w:pPr>
      <w:pStyle w:val="296"/>
      <w:ind w:firstLine="360"/>
    </w:pPr>
  </w:p>
  <w:p w14:paraId="6B28471C"/>
  <w:p w14:paraId="4B42570A"/>
  <w:p w14:paraId="0B516F56"/>
  <w:p w14:paraId="36AB7F68"/>
  <w:p w14:paraId="3A23AA13"/>
  <w:p w14:paraId="4EDEC35D"/>
  <w:p w14:paraId="0AF444B1"/>
  <w:p w14:paraId="22C58B28"/>
  <w:p w14:paraId="30303142"/>
  <w:p w14:paraId="524CF81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B5BDB">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FA3B0F">
                          <w:pPr>
                            <w:pStyle w:val="2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FA3B0F">
                    <w:pPr>
                      <w:pStyle w:val="24"/>
                    </w:pPr>
                    <w:r>
                      <w:fldChar w:fldCharType="begin"/>
                    </w:r>
                    <w:r>
                      <w:instrText xml:space="preserve"> PAGE  \* MERGEFORMAT </w:instrText>
                    </w:r>
                    <w:r>
                      <w:fldChar w:fldCharType="separate"/>
                    </w:r>
                    <w:r>
                      <w:t>4</w:t>
                    </w:r>
                    <w:r>
                      <w:fldChar w:fldCharType="end"/>
                    </w:r>
                  </w:p>
                </w:txbxContent>
              </v:textbox>
            </v:shape>
          </w:pict>
        </mc:Fallback>
      </mc:AlternateContent>
    </w:r>
  </w:p>
  <w:p w14:paraId="65E8B6B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7B1BC">
    <w:pPr>
      <w:pStyle w:val="24"/>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7A1A51">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C7A1A51">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649EA">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AAD58">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58AAD58">
                    <w:pPr>
                      <w:pStyle w:val="24"/>
                    </w:pPr>
                    <w:r>
                      <w:fldChar w:fldCharType="begin"/>
                    </w:r>
                    <w:r>
                      <w:instrText xml:space="preserve"> PAGE  \* MERGEFORMAT </w:instrText>
                    </w:r>
                    <w:r>
                      <w:fldChar w:fldCharType="separate"/>
                    </w:r>
                    <w:r>
                      <w:t>1</w:t>
                    </w:r>
                    <w:r>
                      <w:fldChar w:fldCharType="end"/>
                    </w:r>
                  </w:p>
                </w:txbxContent>
              </v:textbox>
            </v:shape>
          </w:pict>
        </mc:Fallback>
      </mc:AlternateContent>
    </w:r>
  </w:p>
  <w:p w14:paraId="0FAF70ED"/>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B2765">
    <w:pPr>
      <w:pStyle w:val="24"/>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80D09">
                          <w:pPr>
                            <w:pStyle w:val="2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0980D09">
                    <w:pPr>
                      <w:pStyle w:val="2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A1A7D">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E91AE1">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5E91AE1">
                    <w:pPr>
                      <w:pStyle w:val="24"/>
                    </w:pPr>
                    <w:r>
                      <w:fldChar w:fldCharType="begin"/>
                    </w:r>
                    <w:r>
                      <w:instrText xml:space="preserve"> PAGE  \* MERGEFORMAT </w:instrText>
                    </w:r>
                    <w:r>
                      <w:fldChar w:fldCharType="separate"/>
                    </w:r>
                    <w:r>
                      <w:t>1</w:t>
                    </w:r>
                    <w:r>
                      <w:fldChar w:fldCharType="end"/>
                    </w:r>
                  </w:p>
                </w:txbxContent>
              </v:textbox>
            </v:shape>
          </w:pict>
        </mc:Fallback>
      </mc:AlternateContent>
    </w:r>
  </w:p>
  <w:p w14:paraId="683C342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85553">
    <w:pPr>
      <w:pStyle w:val="2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8B40AC3">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08B40AC3">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6F9F7">
    <w:pPr>
      <w:pStyle w:val="294"/>
      <w:jc w:val="left"/>
      <w:rPr>
        <w:rFonts w:hint="eastAsia" w:eastAsia="宋体"/>
        <w:sz w:val="21"/>
        <w:szCs w:val="21"/>
        <w:lang w:eastAsia="zh-CN"/>
      </w:rPr>
    </w:pPr>
    <w:r>
      <w:rPr>
        <w:rFonts w:hint="eastAsia" w:ascii="宋体" w:hAnsi="宋体" w:cs="宋体"/>
        <w:color w:val="000000" w:themeColor="text1"/>
        <w:sz w:val="21"/>
        <w:szCs w:val="21"/>
        <w:lang w:eastAsia="zh-CN"/>
        <w14:textFill>
          <w14:solidFill>
            <w14:schemeClr w14:val="tx1"/>
          </w14:solidFill>
        </w14:textFill>
      </w:rPr>
      <w:t>苏州信达顺工程建设咨询有限公司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76474">
    <w:pPr>
      <w:pStyle w:val="294"/>
      <w:jc w:val="left"/>
      <w:rPr>
        <w:rFonts w:hint="eastAsia" w:eastAsia="宋体"/>
        <w:sz w:val="21"/>
        <w:szCs w:val="21"/>
        <w:lang w:eastAsia="zh-CN"/>
      </w:rPr>
    </w:pPr>
    <w:r>
      <w:rPr>
        <w:rFonts w:hint="eastAsia" w:ascii="宋体" w:hAnsi="宋体" w:cs="宋体"/>
        <w:color w:val="000000" w:themeColor="text1"/>
        <w:sz w:val="21"/>
        <w:szCs w:val="21"/>
        <w:lang w:eastAsia="zh-CN"/>
        <w14:textFill>
          <w14:solidFill>
            <w14:schemeClr w14:val="tx1"/>
          </w14:solidFill>
        </w14:textFill>
      </w:rPr>
      <w:t>苏州信达顺工程建设咨询有限公司</w:t>
    </w:r>
  </w:p>
  <w:p w14:paraId="50C475C7">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F9AC67"/>
    <w:multiLevelType w:val="singleLevel"/>
    <w:tmpl w:val="C2F9AC67"/>
    <w:lvl w:ilvl="0" w:tentative="0">
      <w:start w:val="2"/>
      <w:numFmt w:val="decimal"/>
      <w:suff w:val="nothing"/>
      <w:lvlText w:val="%1、"/>
      <w:lvlJc w:val="left"/>
    </w:lvl>
  </w:abstractNum>
  <w:abstractNum w:abstractNumId="1">
    <w:nsid w:val="C8879AEF"/>
    <w:multiLevelType w:val="multilevel"/>
    <w:tmpl w:val="C8879AEF"/>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0"/>
      <w:suff w:val="nothing"/>
      <w:lvlText w:val=""/>
      <w:lvlJc w:val="left"/>
      <w:pPr>
        <w:ind w:left="0" w:firstLine="0"/>
      </w:pPr>
      <w:rPr>
        <w:rFonts w:hint="eastAsia"/>
      </w:rPr>
    </w:lvl>
    <w:lvl w:ilvl="6" w:tentative="0">
      <w:start w:val="1"/>
      <w:numFmt w:val="decimal"/>
      <w:pStyle w:val="201"/>
      <w:suff w:val="nothing"/>
      <w:lvlText w:val=""/>
      <w:lvlJc w:val="left"/>
      <w:pPr>
        <w:ind w:left="0" w:firstLine="0"/>
      </w:pPr>
      <w:rPr>
        <w:rFonts w:hint="eastAsia"/>
      </w:rPr>
    </w:lvl>
    <w:lvl w:ilvl="7" w:tentative="0">
      <w:start w:val="1"/>
      <w:numFmt w:val="decimal"/>
      <w:pStyle w:val="202"/>
      <w:suff w:val="nothing"/>
      <w:lvlText w:val=""/>
      <w:lvlJc w:val="left"/>
      <w:pPr>
        <w:ind w:left="0" w:firstLine="0"/>
      </w:pPr>
      <w:rPr>
        <w:rFonts w:hint="eastAsia"/>
      </w:rPr>
    </w:lvl>
    <w:lvl w:ilvl="8" w:tentative="0">
      <w:start w:val="1"/>
      <w:numFmt w:val="decimal"/>
      <w:pStyle w:val="203"/>
      <w:suff w:val="nothing"/>
      <w:lvlText w:val=""/>
      <w:lvlJc w:val="left"/>
      <w:pPr>
        <w:ind w:left="0" w:firstLine="0"/>
      </w:pPr>
      <w:rPr>
        <w:rFonts w:hint="eastAsia"/>
      </w:rPr>
    </w:lvl>
  </w:abstractNum>
  <w:abstractNum w:abstractNumId="2">
    <w:nsid w:val="F4B5D9F5"/>
    <w:multiLevelType w:val="multilevel"/>
    <w:tmpl w:val="F4B5D9F5"/>
    <w:lvl w:ilvl="0" w:tentative="0">
      <w:start w:val="1"/>
      <w:numFmt w:val="decimal"/>
      <w:pStyle w:val="26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2470EC97"/>
    <w:multiLevelType w:val="multilevel"/>
    <w:tmpl w:val="2470EC97"/>
    <w:lvl w:ilvl="0" w:tentative="0">
      <w:start w:val="1"/>
      <w:numFmt w:val="decimal"/>
      <w:pStyle w:val="340"/>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4D4DC07F"/>
    <w:multiLevelType w:val="multilevel"/>
    <w:tmpl w:val="4D4DC07F"/>
    <w:lvl w:ilvl="0" w:tentative="0">
      <w:start w:val="1"/>
      <w:numFmt w:val="upperLetter"/>
      <w:pStyle w:val="24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7D"/>
    <w:rsid w:val="000C3621"/>
    <w:rsid w:val="006C497D"/>
    <w:rsid w:val="039C3694"/>
    <w:rsid w:val="04245789"/>
    <w:rsid w:val="048201A5"/>
    <w:rsid w:val="064C1F15"/>
    <w:rsid w:val="0C0B7609"/>
    <w:rsid w:val="0C8F1FE8"/>
    <w:rsid w:val="0D553231"/>
    <w:rsid w:val="0E2819A6"/>
    <w:rsid w:val="0E9E53ED"/>
    <w:rsid w:val="0F1D3138"/>
    <w:rsid w:val="0F5E7E3E"/>
    <w:rsid w:val="1053332C"/>
    <w:rsid w:val="131A6D6F"/>
    <w:rsid w:val="14586554"/>
    <w:rsid w:val="14B401EF"/>
    <w:rsid w:val="16342BB9"/>
    <w:rsid w:val="17751987"/>
    <w:rsid w:val="178E0E78"/>
    <w:rsid w:val="1A2D2845"/>
    <w:rsid w:val="1ADE4866"/>
    <w:rsid w:val="1BC7354C"/>
    <w:rsid w:val="1BCF1309"/>
    <w:rsid w:val="24E47C3C"/>
    <w:rsid w:val="2BDD45AC"/>
    <w:rsid w:val="2CF956C7"/>
    <w:rsid w:val="30D03C29"/>
    <w:rsid w:val="31C83B36"/>
    <w:rsid w:val="3209151F"/>
    <w:rsid w:val="347D1B4C"/>
    <w:rsid w:val="34AD7A7E"/>
    <w:rsid w:val="36EC66E5"/>
    <w:rsid w:val="380A7AD2"/>
    <w:rsid w:val="3C3E3BF4"/>
    <w:rsid w:val="400A1B0B"/>
    <w:rsid w:val="40771FE0"/>
    <w:rsid w:val="42E461B8"/>
    <w:rsid w:val="44892078"/>
    <w:rsid w:val="457810EA"/>
    <w:rsid w:val="45912351"/>
    <w:rsid w:val="480027D1"/>
    <w:rsid w:val="480A35EA"/>
    <w:rsid w:val="4813740A"/>
    <w:rsid w:val="487E7FEF"/>
    <w:rsid w:val="4AD056CA"/>
    <w:rsid w:val="4ADC1F59"/>
    <w:rsid w:val="4E7740AE"/>
    <w:rsid w:val="507B60D8"/>
    <w:rsid w:val="523F1387"/>
    <w:rsid w:val="53C21167"/>
    <w:rsid w:val="58FC6995"/>
    <w:rsid w:val="59372DB8"/>
    <w:rsid w:val="59411541"/>
    <w:rsid w:val="5B7D612A"/>
    <w:rsid w:val="5BD4669C"/>
    <w:rsid w:val="5E5B12F6"/>
    <w:rsid w:val="5FA36AB1"/>
    <w:rsid w:val="62F606DF"/>
    <w:rsid w:val="634F600F"/>
    <w:rsid w:val="675B2367"/>
    <w:rsid w:val="681419D0"/>
    <w:rsid w:val="6AE52674"/>
    <w:rsid w:val="6CB57E24"/>
    <w:rsid w:val="6F2614AD"/>
    <w:rsid w:val="6F5560C7"/>
    <w:rsid w:val="744C3764"/>
    <w:rsid w:val="74716EB7"/>
    <w:rsid w:val="764861AD"/>
    <w:rsid w:val="76BF195D"/>
    <w:rsid w:val="77DA5F8F"/>
    <w:rsid w:val="79684BC9"/>
    <w:rsid w:val="7DA1632A"/>
    <w:rsid w:val="7DA41F1A"/>
    <w:rsid w:val="7F8A06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363"/>
    <w:unhideWhenUsed/>
    <w:qFormat/>
    <w:uiPriority w:val="99"/>
    <w:pPr>
      <w:jc w:val="left"/>
    </w:pPr>
  </w:style>
  <w:style w:type="paragraph" w:styleId="14">
    <w:name w:val="Body Text"/>
    <w:basedOn w:val="1"/>
    <w:next w:val="15"/>
    <w:qFormat/>
    <w:uiPriority w:val="0"/>
    <w:rPr>
      <w:rFonts w:ascii="楷体_GB2312" w:hAnsi="Arial" w:eastAsia="楷体_GB2312"/>
      <w:sz w:val="28"/>
    </w:rPr>
  </w:style>
  <w:style w:type="paragraph" w:styleId="15">
    <w:name w:val="Body Text First Indent"/>
    <w:basedOn w:val="14"/>
    <w:next w:val="16"/>
    <w:unhideWhenUsed/>
    <w:qFormat/>
    <w:uiPriority w:val="99"/>
    <w:pPr>
      <w:ind w:firstLine="420" w:firstLineChars="100"/>
    </w:pPr>
  </w:style>
  <w:style w:type="paragraph" w:styleId="16">
    <w:name w:val="Body Text First Indent 2"/>
    <w:basedOn w:val="17"/>
    <w:qFormat/>
    <w:uiPriority w:val="0"/>
    <w:pPr>
      <w:ind w:firstLine="420" w:firstLineChars="200"/>
    </w:pPr>
  </w:style>
  <w:style w:type="paragraph" w:styleId="17">
    <w:name w:val="Body Text Indent"/>
    <w:basedOn w:val="1"/>
    <w:next w:val="1"/>
    <w:qFormat/>
    <w:uiPriority w:val="0"/>
    <w:pPr>
      <w:adjustRightInd w:val="0"/>
      <w:spacing w:line="312" w:lineRule="atLeast"/>
      <w:ind w:firstLine="574"/>
      <w:textAlignment w:val="baseline"/>
    </w:pPr>
    <w:rPr>
      <w:rFonts w:ascii="宋体"/>
      <w:sz w:val="28"/>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hAnsi="Courier New"/>
      <w:sz w:val="24"/>
    </w:rPr>
  </w:style>
  <w:style w:type="paragraph" w:styleId="21">
    <w:name w:val="toc 8"/>
    <w:basedOn w:val="1"/>
    <w:next w:val="1"/>
    <w:unhideWhenUsed/>
    <w:qFormat/>
    <w:uiPriority w:val="39"/>
    <w:pPr>
      <w:spacing w:after="57"/>
      <w:ind w:left="1984"/>
    </w:pPr>
  </w:style>
  <w:style w:type="paragraph" w:styleId="22">
    <w:name w:val="endnote text"/>
    <w:basedOn w:val="1"/>
    <w:link w:val="192"/>
    <w:unhideWhenUsed/>
    <w:qFormat/>
    <w:uiPriority w:val="99"/>
    <w:rPr>
      <w:sz w:val="20"/>
    </w:rPr>
  </w:style>
  <w:style w:type="paragraph" w:styleId="23">
    <w:name w:val="Balloon Text"/>
    <w:basedOn w:val="1"/>
    <w:link w:val="365"/>
    <w:unhideWhenUsed/>
    <w:qFormat/>
    <w:uiPriority w:val="99"/>
    <w:rPr>
      <w:sz w:val="18"/>
      <w:szCs w:val="18"/>
    </w:rPr>
  </w:style>
  <w:style w:type="paragraph" w:styleId="24">
    <w:name w:val="footer"/>
    <w:basedOn w:val="1"/>
    <w:link w:val="65"/>
    <w:unhideWhenUsed/>
    <w:qFormat/>
    <w:uiPriority w:val="99"/>
    <w:pPr>
      <w:tabs>
        <w:tab w:val="center" w:pos="7143"/>
        <w:tab w:val="right" w:pos="14287"/>
      </w:tabs>
    </w:pPr>
  </w:style>
  <w:style w:type="paragraph" w:styleId="25">
    <w:name w:val="envelope return"/>
    <w:basedOn w:val="1"/>
    <w:qFormat/>
    <w:uiPriority w:val="0"/>
    <w:pPr>
      <w:snapToGrid w:val="0"/>
    </w:pPr>
    <w:rPr>
      <w:rFonts w:ascii="Arial" w:hAnsi="Arial"/>
    </w:rPr>
  </w:style>
  <w:style w:type="paragraph" w:styleId="26">
    <w:name w:val="header"/>
    <w:basedOn w:val="1"/>
    <w:link w:val="63"/>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58"/>
    <w:qFormat/>
    <w:uiPriority w:val="11"/>
    <w:pPr>
      <w:spacing w:before="200" w:after="200"/>
    </w:pPr>
    <w:rPr>
      <w:sz w:val="24"/>
      <w:szCs w:val="24"/>
    </w:rPr>
  </w:style>
  <w:style w:type="paragraph" w:styleId="30">
    <w:name w:val="footnote text"/>
    <w:basedOn w:val="1"/>
    <w:link w:val="191"/>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link w:val="370"/>
    <w:unhideWhenUsed/>
    <w:qFormat/>
    <w:uiPriority w:val="99"/>
    <w:pPr>
      <w:widowControl/>
      <w:spacing w:before="100" w:beforeAutospacing="1" w:after="100" w:afterAutospacing="1"/>
      <w:jc w:val="left"/>
    </w:pPr>
    <w:rPr>
      <w:rFonts w:ascii="宋体" w:hAnsi="宋体" w:cs="宋体"/>
      <w:sz w:val="24"/>
      <w:szCs w:val="24"/>
    </w:rPr>
  </w:style>
  <w:style w:type="paragraph" w:styleId="36">
    <w:name w:val="Title"/>
    <w:basedOn w:val="1"/>
    <w:next w:val="1"/>
    <w:link w:val="57"/>
    <w:qFormat/>
    <w:uiPriority w:val="10"/>
    <w:pPr>
      <w:spacing w:before="300" w:after="200"/>
      <w:contextualSpacing/>
    </w:pPr>
    <w:rPr>
      <w:sz w:val="48"/>
      <w:szCs w:val="48"/>
    </w:rPr>
  </w:style>
  <w:style w:type="paragraph" w:styleId="37">
    <w:name w:val="annotation subject"/>
    <w:basedOn w:val="13"/>
    <w:next w:val="13"/>
    <w:link w:val="364"/>
    <w:unhideWhenUsed/>
    <w:qFormat/>
    <w:uiPriority w:val="99"/>
    <w:rPr>
      <w:b/>
      <w:bCs/>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unhideWhenUsed/>
    <w:qFormat/>
    <w:uiPriority w:val="99"/>
    <w:rPr>
      <w:vertAlign w:val="superscript"/>
    </w:rPr>
  </w:style>
  <w:style w:type="character" w:styleId="42">
    <w:name w:val="Emphasis"/>
    <w:qFormat/>
    <w:uiPriority w:val="0"/>
    <w:rPr>
      <w:i/>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0"/>
    <w:unhideWhenUsed/>
    <w:qFormat/>
    <w:uiPriority w:val="99"/>
    <w:rPr>
      <w:sz w:val="21"/>
      <w:szCs w:val="21"/>
    </w:rPr>
  </w:style>
  <w:style w:type="character" w:styleId="45">
    <w:name w:val="footnote reference"/>
    <w:unhideWhenUsed/>
    <w:qFormat/>
    <w:uiPriority w:val="99"/>
    <w:rPr>
      <w:vertAlign w:val="superscript"/>
    </w:rPr>
  </w:style>
  <w:style w:type="character" w:customStyle="1" w:styleId="46">
    <w:name w:val="标题 1 Char1"/>
    <w:link w:val="2"/>
    <w:qFormat/>
    <w:uiPriority w:val="9"/>
    <w:rPr>
      <w:rFonts w:ascii="Arial" w:hAnsi="Arial" w:eastAsia="Arial" w:cs="Arial"/>
      <w:sz w:val="40"/>
      <w:szCs w:val="40"/>
    </w:rPr>
  </w:style>
  <w:style w:type="character" w:customStyle="1" w:styleId="47">
    <w:name w:val="标题 2 Char1"/>
    <w:link w:val="3"/>
    <w:qFormat/>
    <w:uiPriority w:val="9"/>
    <w:rPr>
      <w:rFonts w:ascii="Arial" w:hAnsi="Arial" w:eastAsia="Arial" w:cs="Arial"/>
      <w:sz w:val="34"/>
    </w:rPr>
  </w:style>
  <w:style w:type="character" w:customStyle="1" w:styleId="48">
    <w:name w:val="标题 3 Char1"/>
    <w:link w:val="4"/>
    <w:qFormat/>
    <w:uiPriority w:val="9"/>
    <w:rPr>
      <w:rFonts w:ascii="Arial" w:hAnsi="Arial" w:eastAsia="Arial" w:cs="Arial"/>
      <w:sz w:val="30"/>
      <w:szCs w:val="30"/>
    </w:rPr>
  </w:style>
  <w:style w:type="character" w:customStyle="1" w:styleId="49">
    <w:name w:val="标题 4 Char1"/>
    <w:link w:val="5"/>
    <w:qFormat/>
    <w:uiPriority w:val="9"/>
    <w:rPr>
      <w:rFonts w:ascii="Arial" w:hAnsi="Arial" w:eastAsia="Arial" w:cs="Arial"/>
      <w:b/>
      <w:bCs/>
      <w:sz w:val="26"/>
      <w:szCs w:val="26"/>
    </w:rPr>
  </w:style>
  <w:style w:type="character" w:customStyle="1" w:styleId="50">
    <w:name w:val="标题 5 Char1"/>
    <w:link w:val="6"/>
    <w:qFormat/>
    <w:uiPriority w:val="9"/>
    <w:rPr>
      <w:rFonts w:ascii="Arial" w:hAnsi="Arial" w:eastAsia="Arial" w:cs="Arial"/>
      <w:b/>
      <w:bCs/>
      <w:sz w:val="24"/>
      <w:szCs w:val="24"/>
    </w:rPr>
  </w:style>
  <w:style w:type="character" w:customStyle="1" w:styleId="51">
    <w:name w:val="标题 6 Char1"/>
    <w:link w:val="7"/>
    <w:qFormat/>
    <w:uiPriority w:val="9"/>
    <w:rPr>
      <w:rFonts w:ascii="Arial" w:hAnsi="Arial" w:eastAsia="Arial" w:cs="Arial"/>
      <w:b/>
      <w:bCs/>
      <w:sz w:val="22"/>
      <w:szCs w:val="22"/>
    </w:rPr>
  </w:style>
  <w:style w:type="character" w:customStyle="1" w:styleId="52">
    <w:name w:val="标题 7 Char1"/>
    <w:link w:val="8"/>
    <w:qFormat/>
    <w:uiPriority w:val="9"/>
    <w:rPr>
      <w:rFonts w:ascii="Arial" w:hAnsi="Arial" w:eastAsia="Arial" w:cs="Arial"/>
      <w:b/>
      <w:bCs/>
      <w:i/>
      <w:iCs/>
      <w:sz w:val="22"/>
      <w:szCs w:val="22"/>
    </w:rPr>
  </w:style>
  <w:style w:type="character" w:customStyle="1" w:styleId="53">
    <w:name w:val="标题 8 Char1"/>
    <w:link w:val="9"/>
    <w:qFormat/>
    <w:uiPriority w:val="9"/>
    <w:rPr>
      <w:rFonts w:ascii="Arial" w:hAnsi="Arial" w:eastAsia="Arial" w:cs="Arial"/>
      <w:i/>
      <w:iCs/>
      <w:sz w:val="22"/>
      <w:szCs w:val="22"/>
    </w:rPr>
  </w:style>
  <w:style w:type="character" w:customStyle="1" w:styleId="54">
    <w:name w:val="标题 9 Char1"/>
    <w:link w:val="10"/>
    <w:qFormat/>
    <w:uiPriority w:val="9"/>
    <w:rPr>
      <w:rFonts w:ascii="Arial" w:hAnsi="Arial" w:eastAsia="Arial" w:cs="Arial"/>
      <w:i/>
      <w:iCs/>
      <w:sz w:val="21"/>
      <w:szCs w:val="21"/>
    </w:rPr>
  </w:style>
  <w:style w:type="paragraph" w:customStyle="1" w:styleId="55">
    <w:name w:val="列出段落1"/>
    <w:basedOn w:val="1"/>
    <w:qFormat/>
    <w:uiPriority w:val="34"/>
    <w:pPr>
      <w:ind w:left="720"/>
      <w:contextualSpacing/>
    </w:pPr>
  </w:style>
  <w:style w:type="paragraph" w:customStyle="1" w:styleId="56">
    <w:name w:val="无间隔1"/>
    <w:qFormat/>
    <w:uiPriority w:val="1"/>
    <w:rPr>
      <w:rFonts w:ascii="Calibri" w:hAnsi="Calibri" w:eastAsia="宋体" w:cs="Times New Roman"/>
      <w:lang w:val="en-US" w:eastAsia="zh-CN" w:bidi="ar-SA"/>
    </w:rPr>
  </w:style>
  <w:style w:type="character" w:customStyle="1" w:styleId="57">
    <w:name w:val="标题 Char"/>
    <w:link w:val="36"/>
    <w:qFormat/>
    <w:uiPriority w:val="10"/>
    <w:rPr>
      <w:sz w:val="48"/>
      <w:szCs w:val="48"/>
    </w:rPr>
  </w:style>
  <w:style w:type="character" w:customStyle="1" w:styleId="58">
    <w:name w:val="副标题 Char"/>
    <w:link w:val="29"/>
    <w:qFormat/>
    <w:uiPriority w:val="11"/>
    <w:rPr>
      <w:sz w:val="24"/>
      <w:szCs w:val="24"/>
    </w:rPr>
  </w:style>
  <w:style w:type="paragraph" w:customStyle="1" w:styleId="59">
    <w:name w:val="引用1"/>
    <w:basedOn w:val="1"/>
    <w:next w:val="1"/>
    <w:link w:val="60"/>
    <w:qFormat/>
    <w:uiPriority w:val="29"/>
    <w:pPr>
      <w:ind w:left="720" w:right="720"/>
    </w:pPr>
    <w:rPr>
      <w:i/>
    </w:rPr>
  </w:style>
  <w:style w:type="character" w:customStyle="1" w:styleId="60">
    <w:name w:val="引用 字符"/>
    <w:link w:val="59"/>
    <w:qFormat/>
    <w:uiPriority w:val="29"/>
    <w:rPr>
      <w:i/>
    </w:rPr>
  </w:style>
  <w:style w:type="paragraph" w:customStyle="1" w:styleId="61">
    <w:name w:val="明显引用1"/>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character" w:customStyle="1" w:styleId="63">
    <w:name w:val="页眉 Char1"/>
    <w:link w:val="26"/>
    <w:qFormat/>
    <w:uiPriority w:val="99"/>
  </w:style>
  <w:style w:type="character" w:customStyle="1" w:styleId="64">
    <w:name w:val="Footer Char"/>
    <w:qFormat/>
    <w:uiPriority w:val="99"/>
  </w:style>
  <w:style w:type="character" w:customStyle="1" w:styleId="65">
    <w:name w:val="页脚 Char1"/>
    <w:link w:val="24"/>
    <w:qFormat/>
    <w:uiPriority w:val="99"/>
  </w:style>
  <w:style w:type="table" w:customStyle="1" w:styleId="6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Char"/>
    <w:link w:val="30"/>
    <w:qFormat/>
    <w:uiPriority w:val="99"/>
    <w:rPr>
      <w:sz w:val="18"/>
    </w:rPr>
  </w:style>
  <w:style w:type="character" w:customStyle="1" w:styleId="192">
    <w:name w:val="尾注文本 Char"/>
    <w:link w:val="22"/>
    <w:qFormat/>
    <w:uiPriority w:val="99"/>
    <w:rPr>
      <w:sz w:val="20"/>
    </w:rPr>
  </w:style>
  <w:style w:type="paragraph" w:customStyle="1" w:styleId="193">
    <w:name w:val="TOC 标题1"/>
    <w:unhideWhenUsed/>
    <w:qFormat/>
    <w:uiPriority w:val="39"/>
    <w:rPr>
      <w:rFonts w:ascii="Calibri" w:hAnsi="Calibri" w:eastAsia="宋体" w:cs="Times New Roman"/>
      <w:lang w:val="en-US" w:eastAsia="zh-CN" w:bidi="ar-SA"/>
    </w:rPr>
  </w:style>
  <w:style w:type="paragraph" w:customStyle="1" w:styleId="194">
    <w:name w:val="标题 11"/>
    <w:basedOn w:val="1"/>
    <w:next w:val="1"/>
    <w:link w:val="206"/>
    <w:qFormat/>
    <w:uiPriority w:val="9"/>
    <w:pPr>
      <w:keepNext/>
      <w:jc w:val="center"/>
      <w:outlineLvl w:val="0"/>
    </w:pPr>
    <w:rPr>
      <w:rFonts w:ascii="楷体_GB2312" w:hAnsi="Times New Roman" w:eastAsia="楷体_GB2312"/>
      <w:sz w:val="28"/>
      <w:szCs w:val="28"/>
    </w:rPr>
  </w:style>
  <w:style w:type="paragraph" w:customStyle="1" w:styleId="195">
    <w:name w:val="标题 21"/>
    <w:basedOn w:val="1"/>
    <w:next w:val="196"/>
    <w:link w:val="20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6">
    <w:name w:val="正文缩进1"/>
    <w:basedOn w:val="1"/>
    <w:link w:val="217"/>
    <w:qFormat/>
    <w:uiPriority w:val="0"/>
    <w:pPr>
      <w:ind w:firstLine="420"/>
    </w:pPr>
    <w:rPr>
      <w:szCs w:val="21"/>
    </w:rPr>
  </w:style>
  <w:style w:type="paragraph" w:customStyle="1" w:styleId="197">
    <w:name w:val="标题 31"/>
    <w:basedOn w:val="1"/>
    <w:next w:val="196"/>
    <w:link w:val="208"/>
    <w:qFormat/>
    <w:uiPriority w:val="0"/>
    <w:pPr>
      <w:keepNext/>
      <w:keepLines/>
      <w:spacing w:before="260" w:after="260" w:line="416" w:lineRule="auto"/>
      <w:outlineLvl w:val="2"/>
    </w:pPr>
    <w:rPr>
      <w:rFonts w:ascii="Times New Roman" w:hAnsi="Times New Roman"/>
      <w:b/>
      <w:bCs/>
      <w:sz w:val="32"/>
      <w:szCs w:val="32"/>
    </w:rPr>
  </w:style>
  <w:style w:type="paragraph" w:customStyle="1" w:styleId="198">
    <w:name w:val="标题 41"/>
    <w:basedOn w:val="1"/>
    <w:next w:val="196"/>
    <w:link w:val="20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9">
    <w:name w:val="标题 51"/>
    <w:basedOn w:val="1"/>
    <w:next w:val="196"/>
    <w:link w:val="210"/>
    <w:qFormat/>
    <w:uiPriority w:val="0"/>
    <w:pPr>
      <w:keepNext/>
      <w:outlineLvl w:val="4"/>
    </w:pPr>
    <w:rPr>
      <w:rFonts w:ascii="宋体" w:hAnsi="Times New Roman"/>
      <w:color w:val="000000"/>
      <w:sz w:val="28"/>
      <w:szCs w:val="28"/>
    </w:rPr>
  </w:style>
  <w:style w:type="paragraph" w:customStyle="1" w:styleId="200">
    <w:name w:val="标题 61"/>
    <w:basedOn w:val="1"/>
    <w:next w:val="1"/>
    <w:link w:val="21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1">
    <w:name w:val="标题 71"/>
    <w:basedOn w:val="1"/>
    <w:next w:val="1"/>
    <w:link w:val="212"/>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02">
    <w:name w:val="标题 81"/>
    <w:basedOn w:val="1"/>
    <w:next w:val="1"/>
    <w:link w:val="21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3">
    <w:name w:val="标题 91"/>
    <w:basedOn w:val="1"/>
    <w:next w:val="1"/>
    <w:link w:val="214"/>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4">
    <w:name w:val="默认段落字体1"/>
    <w:unhideWhenUsed/>
    <w:qFormat/>
    <w:uiPriority w:val="1"/>
  </w:style>
  <w:style w:type="table" w:customStyle="1" w:styleId="205">
    <w:name w:val="普通表格1"/>
    <w:unhideWhenUsed/>
    <w:qFormat/>
    <w:uiPriority w:val="99"/>
    <w:tblPr>
      <w:tblCellMar>
        <w:top w:w="0" w:type="dxa"/>
        <w:left w:w="0" w:type="dxa"/>
        <w:bottom w:w="0" w:type="dxa"/>
        <w:right w:w="0" w:type="dxa"/>
      </w:tblCellMar>
    </w:tblPr>
  </w:style>
  <w:style w:type="character" w:customStyle="1" w:styleId="206">
    <w:name w:val="标题 1 Char"/>
    <w:link w:val="194"/>
    <w:qFormat/>
    <w:uiPriority w:val="0"/>
    <w:rPr>
      <w:rFonts w:ascii="楷体_GB2312" w:hAnsi="Times New Roman" w:eastAsia="楷体_GB2312" w:cs="Times New Roman"/>
      <w:sz w:val="28"/>
      <w:szCs w:val="28"/>
    </w:rPr>
  </w:style>
  <w:style w:type="character" w:customStyle="1" w:styleId="207">
    <w:name w:val="标题 2 Char"/>
    <w:link w:val="195"/>
    <w:qFormat/>
    <w:uiPriority w:val="0"/>
    <w:rPr>
      <w:rFonts w:ascii="Arial" w:hAnsi="Arial" w:eastAsia="幼圆" w:cs="Arial"/>
      <w:b/>
      <w:bCs/>
      <w:sz w:val="44"/>
      <w:szCs w:val="44"/>
    </w:rPr>
  </w:style>
  <w:style w:type="character" w:customStyle="1" w:styleId="208">
    <w:name w:val="标题 3 Char"/>
    <w:link w:val="197"/>
    <w:qFormat/>
    <w:uiPriority w:val="0"/>
    <w:rPr>
      <w:rFonts w:ascii="Times New Roman" w:hAnsi="Times New Roman" w:eastAsia="宋体" w:cs="Times New Roman"/>
      <w:b/>
      <w:bCs/>
      <w:sz w:val="32"/>
      <w:szCs w:val="32"/>
    </w:rPr>
  </w:style>
  <w:style w:type="character" w:customStyle="1" w:styleId="209">
    <w:name w:val="标题 4 Char"/>
    <w:link w:val="198"/>
    <w:qFormat/>
    <w:uiPriority w:val="0"/>
    <w:rPr>
      <w:rFonts w:ascii="Arial" w:hAnsi="Arial" w:eastAsia="黑体" w:cs="Arial"/>
      <w:b/>
      <w:bCs/>
      <w:sz w:val="28"/>
      <w:szCs w:val="28"/>
    </w:rPr>
  </w:style>
  <w:style w:type="character" w:customStyle="1" w:styleId="210">
    <w:name w:val="标题 5 Char"/>
    <w:link w:val="199"/>
    <w:qFormat/>
    <w:uiPriority w:val="0"/>
    <w:rPr>
      <w:rFonts w:ascii="宋体" w:hAnsi="Times New Roman" w:eastAsia="宋体" w:cs="Times New Roman"/>
      <w:color w:val="000000"/>
      <w:sz w:val="28"/>
      <w:szCs w:val="28"/>
    </w:rPr>
  </w:style>
  <w:style w:type="character" w:customStyle="1" w:styleId="211">
    <w:name w:val="标题 6 Char"/>
    <w:link w:val="200"/>
    <w:qFormat/>
    <w:uiPriority w:val="0"/>
    <w:rPr>
      <w:rFonts w:ascii="Arial" w:hAnsi="Arial" w:eastAsia="黑体" w:cs="Times New Roman"/>
      <w:b/>
      <w:bCs/>
      <w:sz w:val="24"/>
      <w:szCs w:val="24"/>
    </w:rPr>
  </w:style>
  <w:style w:type="character" w:customStyle="1" w:styleId="212">
    <w:name w:val="标题 7 Char"/>
    <w:link w:val="201"/>
    <w:qFormat/>
    <w:uiPriority w:val="0"/>
    <w:rPr>
      <w:rFonts w:ascii="Times New Roman" w:hAnsi="Times New Roman" w:eastAsia="宋体" w:cs="Times New Roman"/>
      <w:b/>
      <w:bCs/>
      <w:sz w:val="24"/>
      <w:szCs w:val="24"/>
    </w:rPr>
  </w:style>
  <w:style w:type="character" w:customStyle="1" w:styleId="213">
    <w:name w:val="标题 8 Char"/>
    <w:link w:val="202"/>
    <w:qFormat/>
    <w:uiPriority w:val="0"/>
    <w:rPr>
      <w:rFonts w:ascii="Arial" w:hAnsi="Arial" w:eastAsia="黑体" w:cs="Times New Roman"/>
      <w:sz w:val="24"/>
      <w:szCs w:val="24"/>
    </w:rPr>
  </w:style>
  <w:style w:type="character" w:customStyle="1" w:styleId="214">
    <w:name w:val="标题 9 Char"/>
    <w:link w:val="203"/>
    <w:qFormat/>
    <w:uiPriority w:val="0"/>
    <w:rPr>
      <w:rFonts w:ascii="Arial" w:hAnsi="Arial" w:eastAsia="黑体" w:cs="Times New Roman"/>
      <w:szCs w:val="21"/>
    </w:rPr>
  </w:style>
  <w:style w:type="character" w:customStyle="1" w:styleId="215">
    <w:name w:val="访问过的超链接1"/>
    <w:qFormat/>
    <w:uiPriority w:val="0"/>
    <w:rPr>
      <w:color w:val="800080"/>
      <w:u w:val="single"/>
    </w:rPr>
  </w:style>
  <w:style w:type="character" w:customStyle="1" w:styleId="216">
    <w:name w:val="font5 Char"/>
    <w:qFormat/>
    <w:uiPriority w:val="0"/>
    <w:rPr>
      <w:rFonts w:ascii="宋体" w:hAnsi="宋体" w:eastAsia="宋体"/>
      <w:sz w:val="28"/>
      <w:szCs w:val="28"/>
      <w:lang w:val="en-US" w:eastAsia="zh-CN" w:bidi="ar-SA"/>
    </w:rPr>
  </w:style>
  <w:style w:type="character" w:customStyle="1" w:styleId="217">
    <w:name w:val="正文缩进 Char"/>
    <w:link w:val="196"/>
    <w:qFormat/>
    <w:uiPriority w:val="0"/>
    <w:rPr>
      <w:szCs w:val="21"/>
    </w:rPr>
  </w:style>
  <w:style w:type="character" w:customStyle="1" w:styleId="218">
    <w:name w:val="批注引用1"/>
    <w:qFormat/>
    <w:uiPriority w:val="0"/>
    <w:rPr>
      <w:sz w:val="21"/>
      <w:szCs w:val="21"/>
    </w:rPr>
  </w:style>
  <w:style w:type="character" w:customStyle="1" w:styleId="219">
    <w:name w:val="要点1"/>
    <w:qFormat/>
    <w:uiPriority w:val="22"/>
    <w:rPr>
      <w:b/>
      <w:bCs/>
    </w:rPr>
  </w:style>
  <w:style w:type="character" w:customStyle="1" w:styleId="220">
    <w:name w:val="超链接1"/>
    <w:qFormat/>
    <w:uiPriority w:val="99"/>
    <w:rPr>
      <w:color w:val="0000FF"/>
      <w:u w:val="single"/>
    </w:rPr>
  </w:style>
  <w:style w:type="character" w:customStyle="1" w:styleId="221">
    <w:name w:val="页码1"/>
    <w:qFormat/>
    <w:uiPriority w:val="0"/>
  </w:style>
  <w:style w:type="character" w:customStyle="1" w:styleId="222">
    <w:name w:val="二级目录 Char"/>
    <w:link w:val="223"/>
    <w:qFormat/>
    <w:uiPriority w:val="0"/>
    <w:rPr>
      <w:b/>
      <w:sz w:val="30"/>
      <w:szCs w:val="28"/>
    </w:rPr>
  </w:style>
  <w:style w:type="paragraph" w:customStyle="1" w:styleId="223">
    <w:name w:val="二级目录"/>
    <w:next w:val="1"/>
    <w:link w:val="222"/>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24">
    <w:name w:val="列出段落 Char"/>
    <w:link w:val="225"/>
    <w:qFormat/>
    <w:uiPriority w:val="0"/>
    <w:rPr>
      <w:rFonts w:ascii="Calibri" w:hAnsi="Calibri"/>
      <w:sz w:val="24"/>
      <w:szCs w:val="24"/>
      <w:lang w:eastAsia="en-US" w:bidi="en-US"/>
    </w:rPr>
  </w:style>
  <w:style w:type="paragraph" w:customStyle="1" w:styleId="225">
    <w:name w:val="列出段落11"/>
    <w:basedOn w:val="1"/>
    <w:link w:val="224"/>
    <w:qFormat/>
    <w:uiPriority w:val="0"/>
    <w:pPr>
      <w:widowControl/>
      <w:ind w:left="720"/>
      <w:contextualSpacing/>
      <w:jc w:val="left"/>
    </w:pPr>
    <w:rPr>
      <w:sz w:val="24"/>
      <w:szCs w:val="24"/>
      <w:lang w:eastAsia="en-US" w:bidi="en-US"/>
    </w:rPr>
  </w:style>
  <w:style w:type="paragraph" w:customStyle="1" w:styleId="226">
    <w:name w:val="Body Text(ch)"/>
    <w:basedOn w:val="1"/>
    <w:next w:val="227"/>
    <w:qFormat/>
    <w:uiPriority w:val="0"/>
    <w:pPr>
      <w:spacing w:after="120"/>
    </w:pPr>
    <w:rPr>
      <w:rFonts w:ascii="宋体" w:hAnsi="Arial"/>
      <w:bCs/>
      <w:iCs/>
      <w:szCs w:val="24"/>
    </w:rPr>
  </w:style>
  <w:style w:type="paragraph" w:customStyle="1" w:styleId="227">
    <w:name w:val="正文文本1"/>
    <w:basedOn w:val="1"/>
    <w:link w:val="232"/>
    <w:qFormat/>
    <w:uiPriority w:val="0"/>
    <w:rPr>
      <w:rFonts w:ascii="楷体_GB2312" w:hAnsi="Arial" w:eastAsia="楷体_GB2312"/>
      <w:sz w:val="28"/>
      <w:szCs w:val="28"/>
    </w:rPr>
  </w:style>
  <w:style w:type="paragraph" w:customStyle="1" w:styleId="228">
    <w:name w:val="目录 91"/>
    <w:basedOn w:val="1"/>
    <w:next w:val="1"/>
    <w:semiHidden/>
    <w:qFormat/>
    <w:uiPriority w:val="0"/>
    <w:pPr>
      <w:ind w:left="1680"/>
      <w:jc w:val="left"/>
    </w:pPr>
    <w:rPr>
      <w:rFonts w:ascii="Times New Roman" w:hAnsi="Times New Roman"/>
      <w:szCs w:val="21"/>
    </w:rPr>
  </w:style>
  <w:style w:type="paragraph" w:customStyle="1" w:styleId="22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30">
    <w:name w:val="正文文本缩进 21"/>
    <w:basedOn w:val="1"/>
    <w:link w:val="231"/>
    <w:qFormat/>
    <w:uiPriority w:val="0"/>
    <w:pPr>
      <w:ind w:left="630" w:firstLine="645"/>
    </w:pPr>
    <w:rPr>
      <w:rFonts w:ascii="Arial" w:hAnsi="Arial" w:eastAsia="仿宋_GB2312" w:cs="Arial"/>
      <w:sz w:val="32"/>
      <w:szCs w:val="32"/>
    </w:rPr>
  </w:style>
  <w:style w:type="character" w:customStyle="1" w:styleId="231">
    <w:name w:val="正文文本缩进 2 Char"/>
    <w:link w:val="230"/>
    <w:qFormat/>
    <w:uiPriority w:val="0"/>
    <w:rPr>
      <w:rFonts w:ascii="Arial" w:hAnsi="Arial" w:eastAsia="仿宋_GB2312" w:cs="Arial"/>
      <w:sz w:val="32"/>
      <w:szCs w:val="32"/>
    </w:rPr>
  </w:style>
  <w:style w:type="character" w:customStyle="1" w:styleId="232">
    <w:name w:val="正文文本 Char"/>
    <w:link w:val="227"/>
    <w:qFormat/>
    <w:uiPriority w:val="0"/>
    <w:rPr>
      <w:rFonts w:ascii="楷体_GB2312" w:hAnsi="Arial" w:eastAsia="楷体_GB2312" w:cs="Times New Roman"/>
      <w:sz w:val="28"/>
      <w:szCs w:val="28"/>
    </w:rPr>
  </w:style>
  <w:style w:type="paragraph" w:customStyle="1" w:styleId="233">
    <w:name w:val="图表目录1"/>
    <w:basedOn w:val="1"/>
    <w:next w:val="1"/>
    <w:semiHidden/>
    <w:qFormat/>
    <w:uiPriority w:val="0"/>
    <w:pPr>
      <w:ind w:left="840" w:hanging="420"/>
    </w:pPr>
    <w:rPr>
      <w:rFonts w:ascii="Times New Roman" w:hAnsi="Times New Roman"/>
      <w:szCs w:val="21"/>
    </w:rPr>
  </w:style>
  <w:style w:type="paragraph" w:customStyle="1" w:styleId="23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35">
    <w:name w:val="Char"/>
    <w:basedOn w:val="1"/>
    <w:qFormat/>
    <w:uiPriority w:val="0"/>
    <w:pPr>
      <w:tabs>
        <w:tab w:val="left" w:pos="360"/>
      </w:tabs>
      <w:ind w:firstLine="200"/>
    </w:pPr>
    <w:rPr>
      <w:rFonts w:ascii="Times New Roman" w:hAnsi="Times New Roman"/>
      <w:sz w:val="28"/>
      <w:szCs w:val="30"/>
    </w:rPr>
  </w:style>
  <w:style w:type="paragraph" w:customStyle="1" w:styleId="236">
    <w:name w:val="Char1"/>
    <w:basedOn w:val="237"/>
    <w:qFormat/>
    <w:uiPriority w:val="0"/>
    <w:rPr>
      <w:rFonts w:ascii="Tahoma" w:hAnsi="Tahoma"/>
      <w:sz w:val="24"/>
      <w:szCs w:val="24"/>
    </w:rPr>
  </w:style>
  <w:style w:type="paragraph" w:customStyle="1" w:styleId="237">
    <w:name w:val="文档结构图1"/>
    <w:basedOn w:val="1"/>
    <w:link w:val="261"/>
    <w:semiHidden/>
    <w:qFormat/>
    <w:uiPriority w:val="0"/>
    <w:pPr>
      <w:shd w:val="clear" w:color="auto" w:fill="000080"/>
    </w:pPr>
    <w:rPr>
      <w:rFonts w:ascii="Times New Roman" w:hAnsi="Times New Roman"/>
      <w:szCs w:val="21"/>
    </w:rPr>
  </w:style>
  <w:style w:type="paragraph" w:customStyle="1" w:styleId="238">
    <w:name w:val="批注文字1"/>
    <w:basedOn w:val="1"/>
    <w:link w:val="239"/>
    <w:unhideWhenUsed/>
    <w:qFormat/>
    <w:uiPriority w:val="0"/>
    <w:pPr>
      <w:jc w:val="left"/>
    </w:pPr>
  </w:style>
  <w:style w:type="character" w:customStyle="1" w:styleId="239">
    <w:name w:val="批注文字 Char"/>
    <w:basedOn w:val="204"/>
    <w:link w:val="238"/>
    <w:qFormat/>
    <w:uiPriority w:val="0"/>
  </w:style>
  <w:style w:type="paragraph" w:customStyle="1" w:styleId="240">
    <w:name w:val="批注主题1"/>
    <w:basedOn w:val="238"/>
    <w:next w:val="238"/>
    <w:link w:val="241"/>
    <w:qFormat/>
    <w:uiPriority w:val="0"/>
    <w:rPr>
      <w:rFonts w:ascii="Times New Roman" w:hAnsi="Times New Roman"/>
      <w:b/>
      <w:bCs/>
      <w:szCs w:val="21"/>
    </w:rPr>
  </w:style>
  <w:style w:type="character" w:customStyle="1" w:styleId="241">
    <w:name w:val="批注主题 Char"/>
    <w:link w:val="240"/>
    <w:semiHidden/>
    <w:qFormat/>
    <w:uiPriority w:val="0"/>
    <w:rPr>
      <w:rFonts w:ascii="Times New Roman" w:hAnsi="Times New Roman" w:eastAsia="宋体" w:cs="Times New Roman"/>
      <w:b/>
      <w:bCs/>
      <w:szCs w:val="21"/>
    </w:rPr>
  </w:style>
  <w:style w:type="paragraph" w:customStyle="1" w:styleId="242">
    <w:name w:val="索引 11"/>
    <w:basedOn w:val="1"/>
    <w:next w:val="1"/>
    <w:semiHidden/>
    <w:qFormat/>
    <w:uiPriority w:val="0"/>
    <w:pPr>
      <w:spacing w:line="240" w:lineRule="atLeast"/>
    </w:pPr>
    <w:rPr>
      <w:rFonts w:ascii="Times New Roman" w:hAnsi="Times New Roman"/>
      <w:b/>
      <w:bCs/>
      <w:szCs w:val="21"/>
    </w:rPr>
  </w:style>
  <w:style w:type="paragraph" w:customStyle="1" w:styleId="243">
    <w:name w:val="普通正文"/>
    <w:basedOn w:val="1"/>
    <w:link w:val="362"/>
    <w:qFormat/>
    <w:uiPriority w:val="0"/>
    <w:pPr>
      <w:spacing w:before="120" w:after="120" w:line="360" w:lineRule="auto"/>
      <w:ind w:firstLine="480"/>
      <w:jc w:val="left"/>
    </w:pPr>
    <w:rPr>
      <w:rFonts w:ascii="Arial" w:hAnsi="Arial"/>
      <w:sz w:val="24"/>
      <w:szCs w:val="24"/>
    </w:rPr>
  </w:style>
  <w:style w:type="paragraph" w:customStyle="1" w:styleId="244">
    <w:name w:val="table_lines"/>
    <w:basedOn w:val="1"/>
    <w:qFormat/>
    <w:uiPriority w:val="0"/>
    <w:pPr>
      <w:widowControl/>
      <w:jc w:val="left"/>
    </w:pPr>
    <w:rPr>
      <w:rFonts w:ascii="Times New Roman" w:hAnsi="Times New Roman"/>
      <w:sz w:val="20"/>
      <w:szCs w:val="20"/>
      <w:lang w:val="de-DE" w:eastAsia="de-DE"/>
    </w:rPr>
  </w:style>
  <w:style w:type="paragraph" w:customStyle="1" w:styleId="245">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46">
    <w:name w:val="目录 31"/>
    <w:basedOn w:val="1"/>
    <w:next w:val="1"/>
    <w:qFormat/>
    <w:uiPriority w:val="39"/>
    <w:pPr>
      <w:ind w:left="420"/>
      <w:jc w:val="left"/>
    </w:pPr>
    <w:rPr>
      <w:rFonts w:ascii="Times New Roman" w:hAnsi="Times New Roman"/>
      <w:i/>
      <w:iCs/>
      <w:szCs w:val="24"/>
    </w:rPr>
  </w:style>
  <w:style w:type="paragraph" w:customStyle="1" w:styleId="247">
    <w:name w:val="正文文本缩进1"/>
    <w:basedOn w:val="1"/>
    <w:link w:val="248"/>
    <w:unhideWhenUsed/>
    <w:qFormat/>
    <w:uiPriority w:val="0"/>
    <w:pPr>
      <w:spacing w:after="120"/>
      <w:ind w:left="420"/>
    </w:pPr>
  </w:style>
  <w:style w:type="character" w:customStyle="1" w:styleId="248">
    <w:name w:val="正文文本缩进 Char"/>
    <w:basedOn w:val="204"/>
    <w:link w:val="247"/>
    <w:semiHidden/>
    <w:qFormat/>
    <w:uiPriority w:val="99"/>
  </w:style>
  <w:style w:type="paragraph" w:customStyle="1" w:styleId="249">
    <w:name w:val="正文首行缩进 21"/>
    <w:basedOn w:val="247"/>
    <w:link w:val="250"/>
    <w:qFormat/>
    <w:uiPriority w:val="0"/>
    <w:pPr>
      <w:spacing w:after="0" w:line="360" w:lineRule="auto"/>
      <w:ind w:left="0" w:firstLine="420"/>
    </w:pPr>
    <w:rPr>
      <w:rFonts w:ascii="宋体" w:hAnsi="宋体"/>
      <w:szCs w:val="20"/>
    </w:rPr>
  </w:style>
  <w:style w:type="character" w:customStyle="1" w:styleId="250">
    <w:name w:val="正文首行缩进 2 Char"/>
    <w:link w:val="249"/>
    <w:qFormat/>
    <w:uiPriority w:val="0"/>
    <w:rPr>
      <w:rFonts w:ascii="宋体" w:hAnsi="宋体" w:eastAsia="宋体" w:cs="Times New Roman"/>
      <w:szCs w:val="20"/>
    </w:rPr>
  </w:style>
  <w:style w:type="paragraph" w:customStyle="1" w:styleId="251">
    <w:name w:val="正文文本缩进 31"/>
    <w:basedOn w:val="1"/>
    <w:link w:val="252"/>
    <w:qFormat/>
    <w:uiPriority w:val="0"/>
    <w:pPr>
      <w:ind w:left="645" w:firstLine="645"/>
    </w:pPr>
    <w:rPr>
      <w:rFonts w:ascii="Arial" w:hAnsi="Arial" w:eastAsia="仿宋_GB2312" w:cs="Arial"/>
      <w:color w:val="FFFF00"/>
      <w:sz w:val="32"/>
      <w:szCs w:val="32"/>
    </w:rPr>
  </w:style>
  <w:style w:type="character" w:customStyle="1" w:styleId="252">
    <w:name w:val="正文文本缩进 3 Char"/>
    <w:link w:val="251"/>
    <w:qFormat/>
    <w:uiPriority w:val="0"/>
    <w:rPr>
      <w:rFonts w:ascii="Arial" w:hAnsi="Arial" w:eastAsia="仿宋_GB2312" w:cs="Arial"/>
      <w:color w:val="FFFF00"/>
      <w:sz w:val="32"/>
      <w:szCs w:val="32"/>
    </w:rPr>
  </w:style>
  <w:style w:type="paragraph" w:customStyle="1" w:styleId="253">
    <w:name w:val="目录 61"/>
    <w:basedOn w:val="1"/>
    <w:next w:val="1"/>
    <w:semiHidden/>
    <w:qFormat/>
    <w:uiPriority w:val="0"/>
    <w:pPr>
      <w:ind w:left="1050"/>
      <w:jc w:val="left"/>
    </w:pPr>
    <w:rPr>
      <w:rFonts w:ascii="Times New Roman" w:hAnsi="Times New Roman"/>
      <w:szCs w:val="21"/>
    </w:rPr>
  </w:style>
  <w:style w:type="paragraph" w:customStyle="1" w:styleId="25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5">
    <w:name w:val="Char Char Char Char"/>
    <w:basedOn w:val="237"/>
    <w:qFormat/>
    <w:uiPriority w:val="0"/>
    <w:pPr>
      <w:spacing w:line="360" w:lineRule="auto"/>
    </w:pPr>
    <w:rPr>
      <w:rFonts w:ascii="Tahoma" w:hAnsi="Tahoma"/>
      <w:sz w:val="24"/>
      <w:szCs w:val="24"/>
    </w:rPr>
  </w:style>
  <w:style w:type="paragraph" w:customStyle="1" w:styleId="256">
    <w:name w:val="正文文本 31"/>
    <w:basedOn w:val="1"/>
    <w:link w:val="257"/>
    <w:qFormat/>
    <w:uiPriority w:val="0"/>
    <w:rPr>
      <w:rFonts w:ascii="仿宋_GB2312" w:hAnsi="Arial" w:eastAsia="仿宋_GB2312"/>
      <w:sz w:val="32"/>
      <w:szCs w:val="32"/>
    </w:rPr>
  </w:style>
  <w:style w:type="character" w:customStyle="1" w:styleId="257">
    <w:name w:val="正文文本 3 Char"/>
    <w:link w:val="256"/>
    <w:qFormat/>
    <w:uiPriority w:val="0"/>
    <w:rPr>
      <w:rFonts w:ascii="仿宋_GB2312" w:hAnsi="Arial" w:eastAsia="仿宋_GB2312" w:cs="Times New Roman"/>
      <w:sz w:val="32"/>
      <w:szCs w:val="32"/>
    </w:rPr>
  </w:style>
  <w:style w:type="paragraph" w:customStyle="1" w:styleId="25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9">
    <w:name w:val="目录 41"/>
    <w:basedOn w:val="1"/>
    <w:next w:val="1"/>
    <w:semiHidden/>
    <w:qFormat/>
    <w:uiPriority w:val="0"/>
    <w:pPr>
      <w:ind w:left="630"/>
      <w:jc w:val="left"/>
    </w:pPr>
    <w:rPr>
      <w:rFonts w:ascii="Times New Roman" w:hAnsi="Times New Roman"/>
      <w:szCs w:val="21"/>
    </w:rPr>
  </w:style>
  <w:style w:type="paragraph" w:customStyle="1" w:styleId="260">
    <w:name w:val="列出段落2"/>
    <w:basedOn w:val="1"/>
    <w:link w:val="339"/>
    <w:qFormat/>
    <w:uiPriority w:val="34"/>
    <w:pPr>
      <w:widowControl/>
      <w:ind w:left="720"/>
      <w:contextualSpacing/>
      <w:jc w:val="left"/>
    </w:pPr>
    <w:rPr>
      <w:sz w:val="24"/>
      <w:szCs w:val="24"/>
      <w:lang w:eastAsia="en-US" w:bidi="en-US"/>
    </w:rPr>
  </w:style>
  <w:style w:type="character" w:customStyle="1" w:styleId="261">
    <w:name w:val="文档结构图 Char"/>
    <w:link w:val="237"/>
    <w:semiHidden/>
    <w:qFormat/>
    <w:uiPriority w:val="0"/>
    <w:rPr>
      <w:rFonts w:ascii="Times New Roman" w:hAnsi="Times New Roman" w:eastAsia="宋体" w:cs="Times New Roman"/>
      <w:szCs w:val="21"/>
      <w:shd w:val="clear" w:color="auto" w:fill="000080"/>
    </w:rPr>
  </w:style>
  <w:style w:type="paragraph" w:customStyle="1" w:styleId="262">
    <w:name w:val="4"/>
    <w:basedOn w:val="1"/>
    <w:next w:val="251"/>
    <w:qFormat/>
    <w:uiPriority w:val="0"/>
    <w:pPr>
      <w:spacing w:line="360" w:lineRule="auto"/>
      <w:ind w:firstLine="420"/>
    </w:pPr>
    <w:rPr>
      <w:rFonts w:ascii="Times New Roman" w:hAnsi="Times New Roman"/>
      <w:color w:val="FF0000"/>
      <w:sz w:val="24"/>
      <w:szCs w:val="24"/>
    </w:rPr>
  </w:style>
  <w:style w:type="paragraph" w:customStyle="1" w:styleId="26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4">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65">
    <w:name w:val="列表 21"/>
    <w:basedOn w:val="1"/>
    <w:qFormat/>
    <w:uiPriority w:val="0"/>
    <w:pPr>
      <w:ind w:left="100" w:hanging="200"/>
    </w:pPr>
    <w:rPr>
      <w:rFonts w:ascii="Times New Roman" w:hAnsi="Times New Roman"/>
      <w:szCs w:val="21"/>
    </w:rPr>
  </w:style>
  <w:style w:type="paragraph" w:customStyle="1" w:styleId="266">
    <w:name w:val="正文首行缩进1"/>
    <w:basedOn w:val="1"/>
    <w:link w:val="267"/>
    <w:qFormat/>
    <w:uiPriority w:val="0"/>
    <w:pPr>
      <w:spacing w:line="360" w:lineRule="auto"/>
      <w:ind w:firstLine="200"/>
    </w:pPr>
    <w:rPr>
      <w:rFonts w:ascii="仿宋_GB2312" w:hAnsi="Times New Roman" w:eastAsia="仿宋_GB2312"/>
      <w:sz w:val="30"/>
      <w:szCs w:val="30"/>
    </w:rPr>
  </w:style>
  <w:style w:type="character" w:customStyle="1" w:styleId="267">
    <w:name w:val="正文首行缩进 Char"/>
    <w:link w:val="266"/>
    <w:qFormat/>
    <w:uiPriority w:val="0"/>
    <w:rPr>
      <w:rFonts w:ascii="仿宋_GB2312" w:hAnsi="Times New Roman" w:eastAsia="仿宋_GB2312" w:cs="Times New Roman"/>
      <w:sz w:val="30"/>
      <w:szCs w:val="30"/>
    </w:rPr>
  </w:style>
  <w:style w:type="paragraph" w:customStyle="1" w:styleId="268">
    <w:name w:val="样式1"/>
    <w:basedOn w:val="1"/>
    <w:qFormat/>
    <w:uiPriority w:val="0"/>
    <w:pPr>
      <w:numPr>
        <w:ilvl w:val="0"/>
        <w:numId w:val="3"/>
      </w:numPr>
    </w:pPr>
    <w:rPr>
      <w:rFonts w:ascii="宋体" w:hAnsi="宋体"/>
      <w:szCs w:val="21"/>
    </w:rPr>
  </w:style>
  <w:style w:type="paragraph" w:customStyle="1" w:styleId="26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0">
    <w:name w:val="目录 51"/>
    <w:basedOn w:val="1"/>
    <w:next w:val="1"/>
    <w:semiHidden/>
    <w:qFormat/>
    <w:uiPriority w:val="0"/>
    <w:pPr>
      <w:ind w:left="840"/>
      <w:jc w:val="left"/>
    </w:pPr>
    <w:rPr>
      <w:rFonts w:ascii="Times New Roman" w:hAnsi="Times New Roman"/>
      <w:szCs w:val="21"/>
    </w:rPr>
  </w:style>
  <w:style w:type="paragraph" w:customStyle="1" w:styleId="271">
    <w:name w:val="目录 11"/>
    <w:basedOn w:val="272"/>
    <w:next w:val="274"/>
    <w:qFormat/>
    <w:uiPriority w:val="39"/>
    <w:pPr>
      <w:tabs>
        <w:tab w:val="right" w:leader="dot" w:pos="8720"/>
      </w:tabs>
      <w:spacing w:before="120" w:after="120" w:line="400" w:lineRule="exact"/>
      <w:jc w:val="left"/>
    </w:pPr>
    <w:rPr>
      <w:rFonts w:ascii="宋体" w:hAnsi="宋体"/>
      <w:caps/>
      <w:sz w:val="24"/>
    </w:rPr>
  </w:style>
  <w:style w:type="paragraph" w:customStyle="1" w:styleId="272">
    <w:name w:val="正文11"/>
    <w:next w:val="27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3">
    <w:name w:val="无间隔11"/>
    <w:qFormat/>
    <w:uiPriority w:val="0"/>
    <w:rPr>
      <w:rFonts w:ascii="Times New Roman" w:hAnsi="Times New Roman" w:eastAsia="宋体" w:cs="Times New Roman"/>
      <w:sz w:val="22"/>
      <w:szCs w:val="22"/>
      <w:lang w:val="en-US" w:eastAsia="en-US" w:bidi="ar-SA"/>
    </w:rPr>
  </w:style>
  <w:style w:type="paragraph" w:customStyle="1" w:styleId="274">
    <w:name w:val="正文1"/>
    <w:next w:val="271"/>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275">
    <w:name w:val="纯文本1"/>
    <w:basedOn w:val="1"/>
    <w:link w:val="276"/>
    <w:qFormat/>
    <w:uiPriority w:val="0"/>
    <w:rPr>
      <w:rFonts w:ascii="宋体" w:hAnsi="Courier New" w:cs="Courier New"/>
      <w:szCs w:val="21"/>
    </w:rPr>
  </w:style>
  <w:style w:type="character" w:customStyle="1" w:styleId="276">
    <w:name w:val="纯文本 Char"/>
    <w:link w:val="275"/>
    <w:qFormat/>
    <w:uiPriority w:val="0"/>
    <w:rPr>
      <w:rFonts w:ascii="宋体" w:hAnsi="Courier New" w:eastAsia="宋体" w:cs="Courier New"/>
      <w:szCs w:val="21"/>
    </w:rPr>
  </w:style>
  <w:style w:type="paragraph" w:customStyle="1" w:styleId="277">
    <w:name w:val="批注框文本1"/>
    <w:basedOn w:val="1"/>
    <w:link w:val="278"/>
    <w:qFormat/>
    <w:uiPriority w:val="0"/>
    <w:rPr>
      <w:rFonts w:ascii="Times New Roman" w:hAnsi="Times New Roman"/>
      <w:sz w:val="18"/>
      <w:szCs w:val="18"/>
    </w:rPr>
  </w:style>
  <w:style w:type="character" w:customStyle="1" w:styleId="278">
    <w:name w:val="批注框文本 Char"/>
    <w:link w:val="277"/>
    <w:semiHidden/>
    <w:qFormat/>
    <w:uiPriority w:val="0"/>
    <w:rPr>
      <w:rFonts w:ascii="Times New Roman" w:hAnsi="Times New Roman" w:eastAsia="宋体" w:cs="Times New Roman"/>
      <w:sz w:val="18"/>
      <w:szCs w:val="18"/>
    </w:rPr>
  </w:style>
  <w:style w:type="paragraph" w:customStyle="1" w:styleId="27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0">
    <w:name w:val="列表1"/>
    <w:basedOn w:val="1"/>
    <w:qFormat/>
    <w:uiPriority w:val="0"/>
    <w:pPr>
      <w:ind w:left="200" w:hanging="200"/>
    </w:pPr>
    <w:rPr>
      <w:rFonts w:ascii="Times New Roman" w:hAnsi="Times New Roman"/>
      <w:szCs w:val="21"/>
    </w:rPr>
  </w:style>
  <w:style w:type="paragraph" w:customStyle="1" w:styleId="28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82">
    <w:name w:val="日期1"/>
    <w:basedOn w:val="1"/>
    <w:next w:val="1"/>
    <w:link w:val="283"/>
    <w:qFormat/>
    <w:uiPriority w:val="0"/>
    <w:rPr>
      <w:rFonts w:ascii="Times New Roman" w:hAnsi="Times New Roman"/>
      <w:sz w:val="24"/>
      <w:szCs w:val="24"/>
    </w:rPr>
  </w:style>
  <w:style w:type="character" w:customStyle="1" w:styleId="283">
    <w:name w:val="日期 Char"/>
    <w:link w:val="282"/>
    <w:qFormat/>
    <w:uiPriority w:val="0"/>
    <w:rPr>
      <w:rFonts w:ascii="Times New Roman" w:hAnsi="Times New Roman" w:eastAsia="宋体" w:cs="Times New Roman"/>
      <w:sz w:val="24"/>
      <w:szCs w:val="24"/>
    </w:rPr>
  </w:style>
  <w:style w:type="paragraph" w:customStyle="1" w:styleId="284">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8">
    <w:name w:val="正文文本 21"/>
    <w:basedOn w:val="1"/>
    <w:link w:val="289"/>
    <w:qFormat/>
    <w:uiPriority w:val="0"/>
    <w:pPr>
      <w:widowControl/>
      <w:jc w:val="center"/>
    </w:pPr>
    <w:rPr>
      <w:rFonts w:ascii="楷体_GB2312" w:hAnsi="Times New Roman" w:eastAsia="楷体_GB2312"/>
      <w:sz w:val="28"/>
      <w:szCs w:val="28"/>
    </w:rPr>
  </w:style>
  <w:style w:type="character" w:customStyle="1" w:styleId="289">
    <w:name w:val="正文文本 2 Char"/>
    <w:link w:val="288"/>
    <w:qFormat/>
    <w:uiPriority w:val="0"/>
    <w:rPr>
      <w:rFonts w:ascii="楷体_GB2312" w:hAnsi="Times New Roman" w:eastAsia="楷体_GB2312" w:cs="Times New Roman"/>
      <w:sz w:val="28"/>
      <w:szCs w:val="28"/>
    </w:rPr>
  </w:style>
  <w:style w:type="paragraph" w:customStyle="1" w:styleId="290">
    <w:name w:val="列表 31"/>
    <w:basedOn w:val="1"/>
    <w:qFormat/>
    <w:uiPriority w:val="0"/>
    <w:pPr>
      <w:ind w:left="100" w:hanging="200"/>
    </w:pPr>
    <w:rPr>
      <w:rFonts w:ascii="Times New Roman" w:hAnsi="Times New Roman"/>
      <w:szCs w:val="21"/>
    </w:rPr>
  </w:style>
  <w:style w:type="paragraph" w:customStyle="1" w:styleId="291">
    <w:name w:val="目录 71"/>
    <w:basedOn w:val="1"/>
    <w:next w:val="1"/>
    <w:semiHidden/>
    <w:qFormat/>
    <w:uiPriority w:val="0"/>
    <w:pPr>
      <w:ind w:left="1260"/>
      <w:jc w:val="left"/>
    </w:pPr>
    <w:rPr>
      <w:rFonts w:ascii="Times New Roman" w:hAnsi="Times New Roman"/>
      <w:szCs w:val="21"/>
    </w:rPr>
  </w:style>
  <w:style w:type="paragraph" w:customStyle="1" w:styleId="292">
    <w:name w:val="目录 21"/>
    <w:basedOn w:val="1"/>
    <w:next w:val="1"/>
    <w:qFormat/>
    <w:uiPriority w:val="39"/>
    <w:pPr>
      <w:tabs>
        <w:tab w:val="right" w:pos="8719"/>
      </w:tabs>
      <w:ind w:left="210"/>
      <w:jc w:val="left"/>
    </w:pPr>
    <w:rPr>
      <w:rFonts w:ascii="Times New Roman" w:hAnsi="Times New Roman"/>
      <w:smallCaps/>
      <w:szCs w:val="24"/>
    </w:rPr>
  </w:style>
  <w:style w:type="paragraph" w:customStyle="1" w:styleId="29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4">
    <w:name w:val="页眉1"/>
    <w:basedOn w:val="1"/>
    <w:link w:val="295"/>
    <w:qFormat/>
    <w:uiPriority w:val="0"/>
    <w:pPr>
      <w:pBdr>
        <w:bottom w:val="none" w:color="000000" w:sz="0" w:space="0"/>
      </w:pBdr>
      <w:tabs>
        <w:tab w:val="center" w:pos="4153"/>
        <w:tab w:val="right" w:pos="8306"/>
      </w:tabs>
      <w:ind w:firstLine="361"/>
      <w:jc w:val="right"/>
    </w:pPr>
    <w:rPr>
      <w:rFonts w:ascii="Times New Roman" w:hAnsi="Times New Roman"/>
      <w:sz w:val="18"/>
      <w:szCs w:val="18"/>
    </w:rPr>
  </w:style>
  <w:style w:type="character" w:customStyle="1" w:styleId="295">
    <w:name w:val="页眉 Char"/>
    <w:link w:val="294"/>
    <w:qFormat/>
    <w:uiPriority w:val="0"/>
    <w:rPr>
      <w:rFonts w:ascii="Times New Roman" w:hAnsi="Times New Roman"/>
      <w:sz w:val="18"/>
      <w:szCs w:val="18"/>
    </w:rPr>
  </w:style>
  <w:style w:type="paragraph" w:customStyle="1" w:styleId="296">
    <w:name w:val="页脚1"/>
    <w:basedOn w:val="1"/>
    <w:link w:val="297"/>
    <w:qFormat/>
    <w:uiPriority w:val="0"/>
    <w:pPr>
      <w:tabs>
        <w:tab w:val="center" w:pos="4153"/>
        <w:tab w:val="right" w:pos="8306"/>
      </w:tabs>
      <w:jc w:val="left"/>
    </w:pPr>
    <w:rPr>
      <w:rFonts w:ascii="Times New Roman" w:hAnsi="Times New Roman"/>
      <w:sz w:val="18"/>
      <w:szCs w:val="18"/>
    </w:rPr>
  </w:style>
  <w:style w:type="character" w:customStyle="1" w:styleId="297">
    <w:name w:val="页脚 Char"/>
    <w:link w:val="296"/>
    <w:qFormat/>
    <w:uiPriority w:val="0"/>
    <w:rPr>
      <w:rFonts w:ascii="Times New Roman" w:hAnsi="Times New Roman" w:eastAsia="宋体" w:cs="Times New Roman"/>
      <w:sz w:val="18"/>
      <w:szCs w:val="18"/>
    </w:rPr>
  </w:style>
  <w:style w:type="paragraph" w:customStyle="1" w:styleId="29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9">
    <w:name w:val="目录 81"/>
    <w:basedOn w:val="1"/>
    <w:next w:val="1"/>
    <w:semiHidden/>
    <w:qFormat/>
    <w:uiPriority w:val="0"/>
    <w:pPr>
      <w:ind w:left="1470"/>
      <w:jc w:val="left"/>
    </w:pPr>
    <w:rPr>
      <w:rFonts w:ascii="Times New Roman" w:hAnsi="Times New Roman"/>
      <w:szCs w:val="21"/>
    </w:rPr>
  </w:style>
  <w:style w:type="paragraph" w:customStyle="1" w:styleId="30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1">
    <w:name w:val="Char Char Char Char1"/>
    <w:basedOn w:val="237"/>
    <w:qFormat/>
    <w:uiPriority w:val="0"/>
    <w:pPr>
      <w:spacing w:line="360" w:lineRule="auto"/>
    </w:pPr>
    <w:rPr>
      <w:rFonts w:ascii="Tahoma" w:hAnsi="Tahoma"/>
      <w:sz w:val="24"/>
      <w:szCs w:val="24"/>
    </w:rPr>
  </w:style>
  <w:style w:type="paragraph" w:customStyle="1" w:styleId="302">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0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05">
    <w:name w:val="修订1"/>
    <w:semiHidden/>
    <w:qFormat/>
    <w:uiPriority w:val="99"/>
    <w:rPr>
      <w:rFonts w:ascii="Times New Roman" w:hAnsi="Times New Roman" w:eastAsia="宋体" w:cs="Times New Roman"/>
      <w:sz w:val="21"/>
      <w:szCs w:val="21"/>
      <w:lang w:val="en-US" w:eastAsia="zh-CN" w:bidi="ar-SA"/>
    </w:rPr>
  </w:style>
  <w:style w:type="table" w:customStyle="1" w:styleId="306">
    <w:name w:val="网格型1"/>
    <w:basedOn w:val="205"/>
    <w:qFormat/>
    <w:uiPriority w:val="0"/>
    <w:pPr>
      <w:widowControl w:val="0"/>
      <w:jc w:val="both"/>
    </w:pPr>
    <w:tblPr>
      <w:tblCellMar>
        <w:top w:w="0" w:type="dxa"/>
        <w:left w:w="0" w:type="dxa"/>
        <w:bottom w:w="0" w:type="dxa"/>
        <w:right w:w="0" w:type="dxa"/>
      </w:tblCellMar>
    </w:tblPr>
  </w:style>
  <w:style w:type="paragraph" w:customStyle="1" w:styleId="307">
    <w:name w:val="无间隔12"/>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8">
    <w:name w:val="索引 81"/>
    <w:basedOn w:val="1"/>
    <w:next w:val="1"/>
    <w:semiHidden/>
    <w:qFormat/>
    <w:uiPriority w:val="0"/>
    <w:pPr>
      <w:ind w:left="1400"/>
    </w:pPr>
    <w:rPr>
      <w:rFonts w:ascii="Times New Roman" w:hAnsi="Times New Roman"/>
      <w:szCs w:val="20"/>
    </w:rPr>
  </w:style>
  <w:style w:type="paragraph" w:customStyle="1" w:styleId="309">
    <w:name w:val="索引 51"/>
    <w:basedOn w:val="1"/>
    <w:next w:val="1"/>
    <w:semiHidden/>
    <w:qFormat/>
    <w:uiPriority w:val="0"/>
    <w:pPr>
      <w:ind w:left="800"/>
    </w:pPr>
    <w:rPr>
      <w:rFonts w:ascii="Times New Roman" w:hAnsi="Times New Roman"/>
      <w:szCs w:val="20"/>
    </w:rPr>
  </w:style>
  <w:style w:type="paragraph" w:customStyle="1" w:styleId="310">
    <w:name w:val="索引 61"/>
    <w:basedOn w:val="1"/>
    <w:next w:val="1"/>
    <w:semiHidden/>
    <w:qFormat/>
    <w:uiPriority w:val="0"/>
    <w:pPr>
      <w:ind w:left="1000"/>
    </w:pPr>
    <w:rPr>
      <w:rFonts w:ascii="Times New Roman" w:hAnsi="Times New Roman"/>
      <w:szCs w:val="20"/>
    </w:rPr>
  </w:style>
  <w:style w:type="paragraph" w:customStyle="1" w:styleId="311">
    <w:name w:val="寄信人地址1"/>
    <w:basedOn w:val="1"/>
    <w:qFormat/>
    <w:uiPriority w:val="0"/>
    <w:rPr>
      <w:rFonts w:ascii="Arial" w:hAnsi="Arial"/>
      <w:szCs w:val="20"/>
    </w:rPr>
  </w:style>
  <w:style w:type="paragraph" w:customStyle="1" w:styleId="312">
    <w:name w:val="文本块1"/>
    <w:basedOn w:val="1"/>
    <w:qFormat/>
    <w:uiPriority w:val="0"/>
    <w:pPr>
      <w:tabs>
        <w:tab w:val="left" w:pos="822"/>
        <w:tab w:val="left" w:pos="2205"/>
        <w:tab w:val="left" w:pos="9000"/>
      </w:tabs>
      <w:spacing w:before="89"/>
      <w:ind w:left="1890" w:right="11" w:hanging="1409"/>
    </w:pPr>
    <w:rPr>
      <w:rFonts w:ascii="Times New Roman" w:hAnsi="Times New Roman"/>
      <w:sz w:val="24"/>
      <w:szCs w:val="20"/>
    </w:rPr>
  </w:style>
  <w:style w:type="paragraph" w:customStyle="1" w:styleId="313">
    <w:name w:val="索引 41"/>
    <w:basedOn w:val="1"/>
    <w:next w:val="1"/>
    <w:semiHidden/>
    <w:qFormat/>
    <w:uiPriority w:val="0"/>
    <w:pPr>
      <w:ind w:left="600"/>
    </w:pPr>
    <w:rPr>
      <w:rFonts w:ascii="Times New Roman" w:hAnsi="Times New Roman"/>
      <w:szCs w:val="20"/>
    </w:rPr>
  </w:style>
  <w:style w:type="paragraph" w:customStyle="1" w:styleId="314">
    <w:name w:val="索引 31"/>
    <w:basedOn w:val="1"/>
    <w:next w:val="1"/>
    <w:semiHidden/>
    <w:qFormat/>
    <w:uiPriority w:val="0"/>
    <w:pPr>
      <w:ind w:left="400"/>
    </w:pPr>
    <w:rPr>
      <w:rFonts w:ascii="Times New Roman" w:hAnsi="Times New Roman"/>
      <w:szCs w:val="20"/>
    </w:rPr>
  </w:style>
  <w:style w:type="paragraph" w:customStyle="1" w:styleId="315">
    <w:name w:val="签名1"/>
    <w:basedOn w:val="1"/>
    <w:link w:val="336"/>
    <w:qFormat/>
    <w:uiPriority w:val="0"/>
    <w:pPr>
      <w:spacing w:after="600" w:line="312" w:lineRule="atLeast"/>
      <w:jc w:val="center"/>
    </w:pPr>
    <w:rPr>
      <w:rFonts w:ascii="Times New Roman" w:hAnsi="Times New Roman" w:eastAsia="仿宋_GB2312"/>
      <w:sz w:val="24"/>
      <w:szCs w:val="20"/>
    </w:rPr>
  </w:style>
  <w:style w:type="character" w:customStyle="1" w:styleId="316">
    <w:name w:val="签名 字符"/>
    <w:qFormat/>
    <w:uiPriority w:val="0"/>
    <w:rPr>
      <w:sz w:val="21"/>
      <w:szCs w:val="22"/>
    </w:rPr>
  </w:style>
  <w:style w:type="paragraph" w:customStyle="1" w:styleId="317">
    <w:name w:val="索引标题1"/>
    <w:basedOn w:val="1"/>
    <w:next w:val="242"/>
    <w:semiHidden/>
    <w:qFormat/>
    <w:uiPriority w:val="0"/>
    <w:rPr>
      <w:rFonts w:ascii="Times New Roman" w:hAnsi="Times New Roman"/>
      <w:szCs w:val="20"/>
    </w:rPr>
  </w:style>
  <w:style w:type="paragraph" w:customStyle="1" w:styleId="318">
    <w:name w:val="脚注文本1"/>
    <w:basedOn w:val="1"/>
    <w:link w:val="319"/>
    <w:qFormat/>
    <w:uiPriority w:val="0"/>
    <w:pPr>
      <w:jc w:val="left"/>
    </w:pPr>
    <w:rPr>
      <w:rFonts w:ascii="Times New Roman" w:hAnsi="Times New Roman"/>
      <w:sz w:val="18"/>
      <w:szCs w:val="18"/>
    </w:rPr>
  </w:style>
  <w:style w:type="character" w:customStyle="1" w:styleId="319">
    <w:name w:val="脚注文本 字符"/>
    <w:link w:val="318"/>
    <w:qFormat/>
    <w:uiPriority w:val="0"/>
    <w:rPr>
      <w:rFonts w:ascii="Times New Roman" w:hAnsi="Times New Roman"/>
      <w:sz w:val="18"/>
      <w:szCs w:val="18"/>
    </w:rPr>
  </w:style>
  <w:style w:type="paragraph" w:customStyle="1" w:styleId="320">
    <w:name w:val="索引 71"/>
    <w:basedOn w:val="1"/>
    <w:next w:val="1"/>
    <w:semiHidden/>
    <w:qFormat/>
    <w:uiPriority w:val="0"/>
    <w:pPr>
      <w:ind w:left="1200"/>
    </w:pPr>
    <w:rPr>
      <w:rFonts w:ascii="Times New Roman" w:hAnsi="Times New Roman"/>
      <w:szCs w:val="20"/>
    </w:rPr>
  </w:style>
  <w:style w:type="paragraph" w:customStyle="1" w:styleId="321">
    <w:name w:val="索引 91"/>
    <w:basedOn w:val="1"/>
    <w:next w:val="1"/>
    <w:semiHidden/>
    <w:qFormat/>
    <w:uiPriority w:val="0"/>
    <w:pPr>
      <w:ind w:left="1600"/>
    </w:pPr>
    <w:rPr>
      <w:rFonts w:ascii="Times New Roman" w:hAnsi="Times New Roman"/>
      <w:szCs w:val="20"/>
    </w:rPr>
  </w:style>
  <w:style w:type="paragraph" w:customStyle="1" w:styleId="322">
    <w:name w:val="HTML 预设格式1"/>
    <w:basedOn w:val="1"/>
    <w:link w:val="32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323">
    <w:name w:val="HTML 预设格式 字符"/>
    <w:link w:val="322"/>
    <w:qFormat/>
    <w:uiPriority w:val="0"/>
    <w:rPr>
      <w:rFonts w:ascii="Arial" w:hAnsi="Arial"/>
      <w:sz w:val="24"/>
      <w:szCs w:val="24"/>
    </w:rPr>
  </w:style>
  <w:style w:type="paragraph" w:customStyle="1" w:styleId="324">
    <w:name w:val="索引 21"/>
    <w:basedOn w:val="1"/>
    <w:next w:val="1"/>
    <w:semiHidden/>
    <w:qFormat/>
    <w:uiPriority w:val="0"/>
    <w:pPr>
      <w:ind w:left="200"/>
    </w:pPr>
    <w:rPr>
      <w:rFonts w:ascii="Times New Roman" w:hAnsi="Times New Roman"/>
      <w:szCs w:val="20"/>
    </w:rPr>
  </w:style>
  <w:style w:type="character" w:customStyle="1" w:styleId="325">
    <w:name w:val="强调1"/>
    <w:qFormat/>
    <w:uiPriority w:val="20"/>
    <w:rPr>
      <w:i/>
      <w:iCs/>
    </w:rPr>
  </w:style>
  <w:style w:type="character" w:customStyle="1" w:styleId="326">
    <w:name w:val="脚注引用1"/>
    <w:unhideWhenUsed/>
    <w:qFormat/>
    <w:uiPriority w:val="0"/>
    <w:rPr>
      <w:vertAlign w:val="superscript"/>
    </w:rPr>
  </w:style>
  <w:style w:type="character" w:customStyle="1" w:styleId="327">
    <w:name w:val="标题 1 字符"/>
    <w:qFormat/>
    <w:uiPriority w:val="9"/>
    <w:rPr>
      <w:rFonts w:ascii="宋体" w:hAnsi="宋体"/>
      <w:b/>
      <w:sz w:val="36"/>
    </w:rPr>
  </w:style>
  <w:style w:type="character" w:customStyle="1" w:styleId="328">
    <w:name w:val="标题 2 字符2"/>
    <w:qFormat/>
    <w:uiPriority w:val="0"/>
    <w:rPr>
      <w:rFonts w:eastAsia="楷体_GB2312"/>
      <w:b/>
      <w:bCs/>
      <w:sz w:val="28"/>
      <w:szCs w:val="28"/>
    </w:rPr>
  </w:style>
  <w:style w:type="character" w:customStyle="1" w:styleId="329">
    <w:name w:val="正文缩进 字符"/>
    <w:qFormat/>
    <w:uiPriority w:val="0"/>
    <w:rPr>
      <w:sz w:val="21"/>
    </w:rPr>
  </w:style>
  <w:style w:type="character" w:customStyle="1" w:styleId="330">
    <w:name w:val="批注文字 字符1"/>
    <w:qFormat/>
    <w:uiPriority w:val="0"/>
    <w:rPr>
      <w:sz w:val="21"/>
    </w:rPr>
  </w:style>
  <w:style w:type="character" w:customStyle="1" w:styleId="331">
    <w:name w:val="正文文本 字符2"/>
    <w:qFormat/>
    <w:uiPriority w:val="0"/>
    <w:rPr>
      <w:rFonts w:ascii="楷体_GB2312" w:hAnsi="Arial" w:eastAsia="楷体_GB2312"/>
      <w:sz w:val="28"/>
    </w:rPr>
  </w:style>
  <w:style w:type="character" w:customStyle="1" w:styleId="332">
    <w:name w:val="正文文本缩进 字符"/>
    <w:qFormat/>
    <w:uiPriority w:val="0"/>
    <w:rPr>
      <w:rFonts w:ascii="宋体"/>
      <w:sz w:val="28"/>
    </w:rPr>
  </w:style>
  <w:style w:type="character" w:customStyle="1" w:styleId="333">
    <w:name w:val="纯文本 字符"/>
    <w:qFormat/>
    <w:uiPriority w:val="0"/>
    <w:rPr>
      <w:rFonts w:ascii="宋体" w:hAnsi="Courier New"/>
      <w:sz w:val="21"/>
    </w:rPr>
  </w:style>
  <w:style w:type="character" w:customStyle="1" w:styleId="334">
    <w:name w:val="日期 字符1"/>
    <w:qFormat/>
    <w:uiPriority w:val="0"/>
    <w:rPr>
      <w:rFonts w:ascii="宋体"/>
      <w:sz w:val="28"/>
    </w:rPr>
  </w:style>
  <w:style w:type="character" w:customStyle="1" w:styleId="335">
    <w:name w:val="批注框文本 字符"/>
    <w:qFormat/>
    <w:uiPriority w:val="0"/>
    <w:rPr>
      <w:sz w:val="18"/>
      <w:szCs w:val="18"/>
    </w:rPr>
  </w:style>
  <w:style w:type="character" w:customStyle="1" w:styleId="336">
    <w:name w:val="签名 字符1"/>
    <w:link w:val="315"/>
    <w:qFormat/>
    <w:uiPriority w:val="0"/>
    <w:rPr>
      <w:rFonts w:ascii="Times New Roman" w:hAnsi="Times New Roman" w:eastAsia="仿宋_GB2312"/>
      <w:sz w:val="24"/>
    </w:rPr>
  </w:style>
  <w:style w:type="character" w:customStyle="1" w:styleId="337">
    <w:name w:val="批注主题 字符"/>
    <w:qFormat/>
    <w:uiPriority w:val="0"/>
    <w:rPr>
      <w:b/>
      <w:bCs/>
      <w:sz w:val="21"/>
    </w:rPr>
  </w:style>
  <w:style w:type="character" w:customStyle="1" w:styleId="338">
    <w:name w:val="正文文本 字符"/>
    <w:qFormat/>
    <w:uiPriority w:val="0"/>
    <w:rPr>
      <w:rFonts w:ascii="楷体_GB2312" w:hAnsi="Arial" w:eastAsia="楷体_GB2312"/>
      <w:sz w:val="28"/>
    </w:rPr>
  </w:style>
  <w:style w:type="character" w:customStyle="1" w:styleId="339">
    <w:name w:val="列表段落 字符"/>
    <w:link w:val="260"/>
    <w:qFormat/>
    <w:uiPriority w:val="34"/>
    <w:rPr>
      <w:sz w:val="24"/>
      <w:szCs w:val="24"/>
      <w:lang w:eastAsia="en-US" w:bidi="en-US"/>
    </w:rPr>
  </w:style>
  <w:style w:type="paragraph" w:customStyle="1" w:styleId="340">
    <w:name w:val="Char Char Char"/>
    <w:basedOn w:val="1"/>
    <w:qFormat/>
    <w:uiPriority w:val="0"/>
    <w:pPr>
      <w:numPr>
        <w:ilvl w:val="0"/>
        <w:numId w:val="4"/>
      </w:numPr>
      <w:tabs>
        <w:tab w:val="left" w:pos="1545"/>
      </w:tabs>
    </w:pPr>
    <w:rPr>
      <w:rFonts w:ascii="Times New Roman" w:hAnsi="Times New Roman"/>
      <w:szCs w:val="20"/>
    </w:rPr>
  </w:style>
  <w:style w:type="paragraph" w:customStyle="1" w:styleId="341">
    <w:name w:val="Plain Text1"/>
    <w:basedOn w:val="1"/>
    <w:qFormat/>
    <w:uiPriority w:val="0"/>
    <w:rPr>
      <w:rFonts w:ascii="宋体" w:hAnsi="Courier New" w:eastAsia="楷体_GB2312"/>
      <w:sz w:val="28"/>
      <w:szCs w:val="20"/>
    </w:rPr>
  </w:style>
  <w:style w:type="paragraph" w:customStyle="1" w:styleId="342">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43">
    <w:name w:val="Char1 Char Char Char"/>
    <w:basedOn w:val="1"/>
    <w:qFormat/>
    <w:uiPriority w:val="0"/>
    <w:rPr>
      <w:rFonts w:ascii="Tahoma" w:hAnsi="Tahoma"/>
      <w:sz w:val="24"/>
      <w:szCs w:val="20"/>
    </w:rPr>
  </w:style>
  <w:style w:type="paragraph" w:customStyle="1" w:styleId="344">
    <w:name w:val="Char Char1 Char Char Char Char Char Char Char"/>
    <w:basedOn w:val="1"/>
    <w:qFormat/>
    <w:uiPriority w:val="0"/>
    <w:rPr>
      <w:rFonts w:ascii="Calibri Light" w:hAnsi="Calibri Light" w:cs="Berlin Sans FB Demi"/>
      <w:sz w:val="24"/>
      <w:szCs w:val="20"/>
    </w:rPr>
  </w:style>
  <w:style w:type="paragraph" w:customStyle="1" w:styleId="345">
    <w:name w:val="Char Char"/>
    <w:basedOn w:val="1"/>
    <w:qFormat/>
    <w:uiPriority w:val="0"/>
    <w:rPr>
      <w:rFonts w:ascii="Times New Roman" w:hAnsi="Times New Roman"/>
      <w:szCs w:val="21"/>
    </w:rPr>
  </w:style>
  <w:style w:type="paragraph" w:customStyle="1" w:styleId="346">
    <w:name w:val="_Style 12"/>
    <w:basedOn w:val="237"/>
    <w:qFormat/>
    <w:uiPriority w:val="0"/>
    <w:pPr>
      <w:widowControl/>
      <w:spacing w:line="360" w:lineRule="auto"/>
      <w:jc w:val="left"/>
    </w:pPr>
    <w:rPr>
      <w:sz w:val="24"/>
      <w:szCs w:val="24"/>
    </w:rPr>
  </w:style>
  <w:style w:type="character" w:customStyle="1" w:styleId="347">
    <w:name w:val="正文缩进 Char1"/>
    <w:qFormat/>
    <w:uiPriority w:val="0"/>
    <w:rPr>
      <w:rFonts w:eastAsia="楷体_GB2312"/>
      <w:sz w:val="24"/>
    </w:rPr>
  </w:style>
  <w:style w:type="character" w:customStyle="1" w:styleId="348">
    <w:name w:val="纯文本 字符1"/>
    <w:qFormat/>
    <w:uiPriority w:val="0"/>
    <w:rPr>
      <w:rFonts w:ascii="宋体" w:hAnsi="Courier New"/>
    </w:rPr>
  </w:style>
  <w:style w:type="character" w:customStyle="1" w:styleId="349">
    <w:name w:val="未处理的提及1"/>
    <w:unhideWhenUsed/>
    <w:qFormat/>
    <w:uiPriority w:val="99"/>
    <w:rPr>
      <w:color w:val="605E5C"/>
      <w:shd w:val="clear" w:color="auto" w:fill="E1DFDD"/>
    </w:rPr>
  </w:style>
  <w:style w:type="character" w:customStyle="1" w:styleId="350">
    <w:name w:val="批注文字 字符"/>
    <w:qFormat/>
    <w:uiPriority w:val="0"/>
    <w:rPr>
      <w:sz w:val="21"/>
    </w:rPr>
  </w:style>
  <w:style w:type="character" w:customStyle="1" w:styleId="351">
    <w:name w:val="标题 2 字符"/>
    <w:qFormat/>
    <w:uiPriority w:val="0"/>
    <w:rPr>
      <w:rFonts w:eastAsia="楷体_GB2312"/>
      <w:b/>
      <w:bCs/>
      <w:sz w:val="28"/>
      <w:szCs w:val="28"/>
    </w:rPr>
  </w:style>
  <w:style w:type="character" w:customStyle="1" w:styleId="352">
    <w:name w:val="日期 字符"/>
    <w:qFormat/>
    <w:uiPriority w:val="0"/>
    <w:rPr>
      <w:rFonts w:ascii="宋体"/>
      <w:sz w:val="28"/>
    </w:rPr>
  </w:style>
  <w:style w:type="character" w:customStyle="1" w:styleId="353">
    <w:name w:val="正文文本 字符1"/>
    <w:qFormat/>
    <w:uiPriority w:val="0"/>
    <w:rPr>
      <w:rFonts w:ascii="楷体_GB2312" w:hAnsi="Arial" w:eastAsia="楷体_GB2312"/>
      <w:sz w:val="28"/>
    </w:rPr>
  </w:style>
  <w:style w:type="paragraph" w:customStyle="1" w:styleId="354">
    <w:name w:val="_正文段落"/>
    <w:basedOn w:val="1"/>
    <w:link w:val="355"/>
    <w:qFormat/>
    <w:uiPriority w:val="0"/>
    <w:pPr>
      <w:spacing w:line="360" w:lineRule="auto"/>
      <w:ind w:firstLine="480"/>
    </w:pPr>
    <w:rPr>
      <w:rFonts w:ascii="宋体" w:hAnsi="宋体"/>
      <w:sz w:val="24"/>
      <w:szCs w:val="24"/>
    </w:rPr>
  </w:style>
  <w:style w:type="character" w:customStyle="1" w:styleId="355">
    <w:name w:val="_正文段落 Char"/>
    <w:link w:val="354"/>
    <w:qFormat/>
    <w:uiPriority w:val="0"/>
    <w:rPr>
      <w:rFonts w:ascii="宋体" w:hAnsi="宋体"/>
      <w:sz w:val="24"/>
      <w:szCs w:val="24"/>
    </w:rPr>
  </w:style>
  <w:style w:type="character" w:customStyle="1" w:styleId="356">
    <w:name w:val="cf01"/>
    <w:qFormat/>
    <w:uiPriority w:val="0"/>
    <w:rPr>
      <w:rFonts w:hint="eastAsia" w:ascii="Microsoft YaHei UI" w:hAnsi="Microsoft YaHei UI" w:eastAsia="Microsoft YaHei UI"/>
      <w:b/>
      <w:bCs/>
      <w:sz w:val="18"/>
      <w:szCs w:val="18"/>
    </w:rPr>
  </w:style>
  <w:style w:type="character" w:customStyle="1" w:styleId="357">
    <w:name w:val="标题 2 字符1"/>
    <w:qFormat/>
    <w:uiPriority w:val="0"/>
    <w:rPr>
      <w:rFonts w:eastAsia="楷体_GB2312"/>
      <w:b/>
      <w:bCs/>
      <w:sz w:val="28"/>
      <w:szCs w:val="28"/>
    </w:rPr>
  </w:style>
  <w:style w:type="paragraph" w:customStyle="1" w:styleId="358">
    <w:name w:val="pf0"/>
    <w:basedOn w:val="1"/>
    <w:qFormat/>
    <w:uiPriority w:val="0"/>
    <w:pPr>
      <w:widowControl/>
      <w:spacing w:before="100" w:beforeAutospacing="1" w:after="100" w:afterAutospacing="1"/>
      <w:jc w:val="left"/>
    </w:pPr>
    <w:rPr>
      <w:rFonts w:ascii="宋体" w:hAnsi="宋体" w:cs="宋体"/>
      <w:sz w:val="24"/>
      <w:szCs w:val="24"/>
    </w:rPr>
  </w:style>
  <w:style w:type="character" w:customStyle="1" w:styleId="359">
    <w:name w:val="cf11"/>
    <w:qFormat/>
    <w:uiPriority w:val="0"/>
    <w:rPr>
      <w:rFonts w:hint="eastAsia" w:ascii="Microsoft YaHei UI" w:hAnsi="Microsoft YaHei UI" w:eastAsia="Microsoft YaHei UI"/>
      <w:sz w:val="18"/>
      <w:szCs w:val="18"/>
    </w:rPr>
  </w:style>
  <w:style w:type="character" w:customStyle="1" w:styleId="360">
    <w:name w:val="cf21"/>
    <w:qFormat/>
    <w:uiPriority w:val="0"/>
    <w:rPr>
      <w:rFonts w:hint="eastAsia" w:ascii="Microsoft YaHei UI" w:hAnsi="Microsoft YaHei UI" w:eastAsia="Microsoft YaHei UI"/>
      <w:b/>
      <w:bCs/>
      <w:sz w:val="18"/>
      <w:szCs w:val="18"/>
    </w:rPr>
  </w:style>
  <w:style w:type="paragraph" w:customStyle="1" w:styleId="361">
    <w:name w:val="TOC 标题11"/>
    <w:basedOn w:val="194"/>
    <w:next w:val="1"/>
    <w:unhideWhenUsed/>
    <w:qFormat/>
    <w:uiPriority w:val="39"/>
    <w:pPr>
      <w:keepLines/>
      <w:widowControl/>
      <w:spacing w:before="240" w:line="259" w:lineRule="auto"/>
      <w:jc w:val="left"/>
      <w:outlineLvl w:val="9"/>
    </w:pPr>
    <w:rPr>
      <w:rFonts w:ascii="等线 Light" w:hAnsi="等线 Light" w:eastAsia="黑体"/>
      <w:color w:val="2F5496"/>
      <w:sz w:val="32"/>
      <w:szCs w:val="32"/>
    </w:rPr>
  </w:style>
  <w:style w:type="character" w:customStyle="1" w:styleId="362">
    <w:name w:val="普通正文 Char"/>
    <w:link w:val="243"/>
    <w:qFormat/>
    <w:uiPriority w:val="0"/>
    <w:rPr>
      <w:rFonts w:ascii="Arial" w:hAnsi="Arial"/>
      <w:sz w:val="24"/>
      <w:szCs w:val="24"/>
    </w:rPr>
  </w:style>
  <w:style w:type="character" w:customStyle="1" w:styleId="363">
    <w:name w:val="批注文字 Char1"/>
    <w:basedOn w:val="40"/>
    <w:link w:val="13"/>
    <w:semiHidden/>
    <w:qFormat/>
    <w:uiPriority w:val="99"/>
    <w:rPr>
      <w:sz w:val="21"/>
      <w:szCs w:val="22"/>
    </w:rPr>
  </w:style>
  <w:style w:type="character" w:customStyle="1" w:styleId="364">
    <w:name w:val="批注主题 Char1"/>
    <w:basedOn w:val="363"/>
    <w:link w:val="37"/>
    <w:semiHidden/>
    <w:qFormat/>
    <w:uiPriority w:val="99"/>
    <w:rPr>
      <w:b/>
      <w:bCs/>
      <w:sz w:val="21"/>
      <w:szCs w:val="22"/>
    </w:rPr>
  </w:style>
  <w:style w:type="character" w:customStyle="1" w:styleId="365">
    <w:name w:val="批注框文本 Char1"/>
    <w:basedOn w:val="40"/>
    <w:link w:val="23"/>
    <w:semiHidden/>
    <w:qFormat/>
    <w:uiPriority w:val="99"/>
    <w:rPr>
      <w:sz w:val="18"/>
      <w:szCs w:val="18"/>
    </w:rPr>
  </w:style>
  <w:style w:type="character" w:customStyle="1" w:styleId="366">
    <w:name w:val="1、 字符"/>
    <w:link w:val="367"/>
    <w:qFormat/>
    <w:uiPriority w:val="0"/>
    <w:rPr>
      <w:kern w:val="2"/>
      <w:sz w:val="24"/>
      <w:szCs w:val="24"/>
    </w:rPr>
  </w:style>
  <w:style w:type="paragraph" w:customStyle="1" w:styleId="367">
    <w:name w:val="1、"/>
    <w:basedOn w:val="1"/>
    <w:link w:val="366"/>
    <w:qFormat/>
    <w:uiPriority w:val="0"/>
    <w:pPr>
      <w:spacing w:line="440" w:lineRule="exact"/>
      <w:ind w:firstLine="200" w:firstLineChars="200"/>
    </w:pPr>
    <w:rPr>
      <w:kern w:val="2"/>
      <w:sz w:val="24"/>
      <w:szCs w:val="24"/>
    </w:rPr>
  </w:style>
  <w:style w:type="paragraph" w:customStyle="1" w:styleId="368">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369">
    <w:name w:val="15"/>
    <w:basedOn w:val="40"/>
    <w:qFormat/>
    <w:uiPriority w:val="0"/>
    <w:rPr>
      <w:rFonts w:hint="default" w:ascii="Calibri" w:hAnsi="Calibri" w:cs="Calibri"/>
    </w:rPr>
  </w:style>
  <w:style w:type="character" w:customStyle="1" w:styleId="370">
    <w:name w:val="普通(网站) Char"/>
    <w:link w:val="35"/>
    <w:qFormat/>
    <w:locked/>
    <w:uiPriority w:val="99"/>
    <w:rPr>
      <w:rFonts w:ascii="宋体" w:hAnsi="宋体" w:cs="宋体"/>
      <w:sz w:val="24"/>
      <w:szCs w:val="24"/>
    </w:rPr>
  </w:style>
  <w:style w:type="paragraph" w:customStyle="1" w:styleId="371">
    <w:name w:val="纯文本2"/>
    <w:basedOn w:val="1"/>
    <w:qFormat/>
    <w:uiPriority w:val="0"/>
    <w:pPr>
      <w:adjustRightInd w:val="0"/>
    </w:pPr>
    <w:rPr>
      <w:rFonts w:hint="eastAsia" w:ascii="宋体" w:hAnsi="Courier New" w:eastAsia="楷体_GB2312"/>
      <w:kern w:val="2"/>
      <w:sz w:val="28"/>
      <w:szCs w:val="20"/>
    </w:rPr>
  </w:style>
  <w:style w:type="table" w:customStyle="1" w:styleId="372">
    <w:name w:val="Table Normal"/>
    <w:unhideWhenUsed/>
    <w:qFormat/>
    <w:uiPriority w:val="0"/>
    <w:tblPr>
      <w:tblCellMar>
        <w:top w:w="0" w:type="dxa"/>
        <w:left w:w="0" w:type="dxa"/>
        <w:bottom w:w="0" w:type="dxa"/>
        <w:right w:w="0" w:type="dxa"/>
      </w:tblCellMar>
    </w:tblPr>
  </w:style>
  <w:style w:type="paragraph" w:customStyle="1" w:styleId="373">
    <w:name w:val="Table Text"/>
    <w:basedOn w:val="1"/>
    <w:semiHidden/>
    <w:qFormat/>
    <w:uiPriority w:val="0"/>
    <w:rPr>
      <w:rFonts w:ascii="宋体" w:hAnsi="宋体" w:cs="宋体"/>
      <w:szCs w:val="21"/>
      <w:lang w:eastAsia="en-US"/>
    </w:rPr>
  </w:style>
  <w:style w:type="paragraph" w:customStyle="1" w:styleId="374">
    <w:name w:val="正文！！！"/>
    <w:basedOn w:val="1"/>
    <w:qFormat/>
    <w:uiPriority w:val="0"/>
    <w:pPr>
      <w:spacing w:line="440" w:lineRule="exact"/>
      <w:ind w:firstLine="200" w:firstLineChars="200"/>
    </w:pPr>
    <w:rPr>
      <w:sz w:val="24"/>
      <w:szCs w:val="24"/>
    </w:rPr>
  </w:style>
  <w:style w:type="paragraph" w:customStyle="1" w:styleId="375">
    <w:name w:val="标题 3.1"/>
    <w:basedOn w:val="4"/>
    <w:qFormat/>
    <w:uiPriority w:val="0"/>
    <w:pPr>
      <w:tabs>
        <w:tab w:val="left" w:pos="1440"/>
        <w:tab w:val="left" w:pos="1620"/>
      </w:tabs>
      <w:spacing w:before="260" w:after="260" w:line="600" w:lineRule="exact"/>
    </w:pPr>
    <w:rPr>
      <w:b/>
      <w:color w:val="FF0000"/>
      <w:sz w:val="32"/>
    </w:rPr>
  </w:style>
  <w:style w:type="paragraph" w:customStyle="1" w:styleId="376">
    <w:name w:val="Table Paragraph"/>
    <w:basedOn w:val="1"/>
    <w:qFormat/>
    <w:uiPriority w:val="1"/>
    <w:rPr>
      <w:rFonts w:ascii="宋体" w:hAnsi="宋体" w:cs="宋体"/>
      <w:lang w:val="zh-CN" w:bidi="zh-CN"/>
    </w:rPr>
  </w:style>
  <w:style w:type="paragraph" w:customStyle="1" w:styleId="377">
    <w:name w:val="首行缩进"/>
    <w:basedOn w:val="274"/>
    <w:qFormat/>
    <w:uiPriority w:val="0"/>
    <w:pPr>
      <w:ind w:firstLine="200"/>
    </w:pPr>
    <w:rPr>
      <w:sz w:val="20"/>
    </w:rPr>
  </w:style>
  <w:style w:type="character" w:customStyle="1" w:styleId="378">
    <w:name w:val="font11"/>
    <w:qFormat/>
    <w:uiPriority w:val="0"/>
    <w:rPr>
      <w:rFonts w:hint="eastAsia" w:ascii="微软雅黑" w:hAnsi="微软雅黑" w:eastAsia="微软雅黑" w:cs="微软雅黑"/>
      <w:color w:val="000000"/>
      <w:sz w:val="20"/>
      <w:szCs w:val="20"/>
      <w:u w:val="none"/>
    </w:rPr>
  </w:style>
  <w:style w:type="paragraph" w:customStyle="1" w:styleId="379">
    <w:name w:val="正文111"/>
    <w:next w:val="1"/>
    <w:qFormat/>
    <w:uiPriority w:val="0"/>
    <w:pPr>
      <w:widowControl w:val="0"/>
      <w:jc w:val="both"/>
    </w:pPr>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45</Pages>
  <Words>26932</Words>
  <Characters>28710</Characters>
  <Lines>197</Lines>
  <Paragraphs>55</Paragraphs>
  <TotalTime>2</TotalTime>
  <ScaleCrop>false</ScaleCrop>
  <LinksUpToDate>false</LinksUpToDate>
  <CharactersWithSpaces>30890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2025-07-29T07:08:00Z</dcterms:created>
  <dc:creator>赵国文</dc:creator>
  <cp:lastModifiedBy>酒酿小圆子</cp:lastModifiedBy>
  <dcterms:modified xsi:type="dcterms:W3CDTF">2026-06-26T01:56:05Z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F0A53DDDCDA64D70BE1DFEB6791D7792_13</vt:lpwstr>
  </property>
  <property fmtid="{D5CDD505-2E9C-101B-9397-08002B2CF9AE}" pid="4" name="KSOTemplateDocerSaveRecord">
    <vt:lpwstr>eyJoZGlkIjoiNzgwMzk5YWNlOTlhZGNmYTkwYzkzMGM2MDFhMzUwMDQiLCJ1c2VySWQiOiI0MDM5OTE5NjUifQ==</vt:lpwstr>
  </property>
</Properties>
</file>