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4"/>
        <w:ind w:left="-210" w:right="-210"/>
        <w:jc w:val="center"/>
        <w:spacing w:line="360" w:lineRule="auto"/>
        <w:rPr>
          <w:rFonts w:hint="eastAsia" w:ascii="宋体" w:hAnsi="宋体"/>
          <w:b/>
          <w:sz w:val="24"/>
          <w:highlight w:val="none"/>
        </w:rPr>
      </w:pPr>
      <w:r>
        <w:rPr>
          <w:rFonts w:hint="eastAsia" w:ascii="宋体" w:hAnsi="宋体"/>
          <w:b/>
          <w:sz w:val="24"/>
          <w:highlight w:val="none"/>
        </w:rPr>
        <w:t xml:space="preserve">  </w:t>
      </w:r>
      <w:r>
        <w:rPr>
          <w:rFonts w:hint="eastAsia" w:ascii="宋体" w:hAnsi="宋体"/>
          <w:b/>
          <w:sz w:val="24"/>
          <w:highlight w:val="none"/>
        </w:rPr>
      </w:r>
      <w:r/>
    </w:p>
    <w:p>
      <w:pPr>
        <w:pStyle w:val="864"/>
        <w:ind w:left="-210" w:right="-210"/>
        <w:jc w:val="center"/>
        <w:spacing w:line="360" w:lineRule="auto"/>
        <w:rPr>
          <w:rFonts w:ascii="宋体" w:hAnsi="宋体"/>
          <w:b/>
          <w:sz w:val="24"/>
          <w:highlight w:val="none"/>
        </w:rPr>
      </w:pPr>
      <w:r>
        <w:rPr>
          <w:rFonts w:ascii="宋体" w:hAnsi="宋体"/>
          <w:b/>
          <w:sz w:val="24"/>
          <w:highlight w:val="none"/>
        </w:rPr>
      </w:r>
      <w:r/>
    </w:p>
    <w:p>
      <w:pPr>
        <w:pStyle w:val="864"/>
        <w:ind w:left="-210" w:right="-210"/>
        <w:jc w:val="center"/>
        <w:spacing w:line="360" w:lineRule="auto"/>
        <w:rPr>
          <w:rFonts w:ascii="宋体" w:hAnsi="宋体"/>
          <w:b/>
          <w:sz w:val="24"/>
          <w:highlight w:val="none"/>
        </w:rPr>
      </w:pPr>
      <w:r>
        <w:rPr>
          <w:rFonts w:ascii="宋体" w:hAnsi="宋体"/>
          <w:b/>
          <w:sz w:val="24"/>
          <w:highlight w:val="none"/>
        </w:rPr>
      </w:r>
      <w:r/>
    </w:p>
    <w:p>
      <w:pPr>
        <w:pStyle w:val="864"/>
        <w:ind w:left="-210" w:right="-210"/>
        <w:jc w:val="left"/>
        <w:spacing w:line="360" w:lineRule="auto"/>
        <w:rPr>
          <w:rFonts w:ascii="宋体" w:hAnsi="宋体"/>
          <w:b/>
          <w:sz w:val="24"/>
          <w:highlight w:val="none"/>
        </w:rPr>
      </w:pPr>
      <w:r>
        <w:rPr>
          <w:rFonts w:ascii="宋体" w:hAnsi="宋体"/>
          <w:b/>
          <w:sz w:val="24"/>
          <w:highlight w:val="none"/>
        </w:rPr>
      </w:r>
      <w:r/>
    </w:p>
    <w:p>
      <w:pPr>
        <w:pStyle w:val="864"/>
        <w:ind w:left="-210" w:right="-210"/>
        <w:jc w:val="left"/>
        <w:spacing w:line="360" w:lineRule="auto"/>
        <w:rPr>
          <w:rFonts w:ascii="宋体" w:hAnsi="宋体"/>
          <w:b/>
          <w:sz w:val="24"/>
          <w:highlight w:val="none"/>
        </w:rPr>
      </w:pPr>
      <w:r>
        <w:rPr>
          <w:rFonts w:ascii="宋体" w:hAnsi="宋体"/>
          <w:b/>
          <w:sz w:val="24"/>
          <w:highlight w:val="none"/>
        </w:rPr>
      </w:r>
      <w:r/>
    </w:p>
    <w:p>
      <w:pPr>
        <w:pStyle w:val="864"/>
        <w:ind w:right="-210"/>
        <w:jc w:val="left"/>
        <w:spacing w:line="360" w:lineRule="auto"/>
        <w:tabs>
          <w:tab w:val="left" w:pos="645" w:leader="none"/>
        </w:tabs>
        <w:rPr>
          <w:rFonts w:hint="eastAsia" w:ascii="宋体" w:hAnsi="宋体"/>
          <w:b/>
          <w:sz w:val="24"/>
          <w:highlight w:val="none"/>
        </w:rPr>
      </w:pPr>
      <w:r>
        <w:rPr>
          <w:rFonts w:hint="eastAsia" w:ascii="宋体" w:hAnsi="宋体"/>
          <w:b/>
          <w:sz w:val="24"/>
          <w:highlight w:val="none"/>
        </w:rPr>
      </w:r>
      <w:r/>
    </w:p>
    <w:p>
      <w:pPr>
        <w:pStyle w:val="864"/>
        <w:ind w:left="-210" w:right="-210"/>
        <w:jc w:val="center"/>
        <w:spacing w:line="360" w:lineRule="auto"/>
        <w:rPr>
          <w:rFonts w:ascii="宋体" w:hAnsi="宋体"/>
          <w:b/>
          <w:sz w:val="52"/>
          <w:szCs w:val="52"/>
          <w:highlight w:val="none"/>
        </w:rPr>
      </w:pPr>
      <w:r>
        <w:rPr>
          <w:rFonts w:ascii="宋体" w:hAnsi="宋体"/>
          <w:b/>
          <w:sz w:val="52"/>
          <w:szCs w:val="52"/>
          <w:highlight w:val="none"/>
        </w:rPr>
      </w:r>
      <w:r/>
    </w:p>
    <w:p>
      <w:pPr>
        <w:pStyle w:val="864"/>
        <w:jc w:val="center"/>
        <w:spacing w:line="480" w:lineRule="auto"/>
        <w:rPr>
          <w:rFonts w:ascii="宋体" w:hAnsi="宋体" w:cs="Arial"/>
          <w:b/>
          <w:bCs/>
          <w:sz w:val="52"/>
          <w:szCs w:val="52"/>
          <w:highlight w:val="none"/>
        </w:rPr>
      </w:pPr>
      <w:r>
        <w:rPr>
          <w:rFonts w:hint="eastAsia" w:ascii="宋体" w:hAnsi="宋体" w:cs="Arial"/>
          <w:b/>
          <w:bCs/>
          <w:sz w:val="52"/>
          <w:szCs w:val="52"/>
          <w:highlight w:val="none"/>
        </w:rPr>
        <w:t xml:space="preserve">昆 山 市 政 府 采 购</w:t>
      </w:r>
      <w:r>
        <w:rPr>
          <w:rFonts w:ascii="宋体" w:hAnsi="宋体" w:cs="Arial"/>
          <w:b/>
          <w:bCs/>
          <w:sz w:val="52"/>
          <w:szCs w:val="52"/>
          <w:highlight w:val="none"/>
        </w:rPr>
      </w:r>
      <w:r/>
    </w:p>
    <w:p>
      <w:pPr>
        <w:pStyle w:val="864"/>
        <w:jc w:val="center"/>
        <w:spacing w:line="480" w:lineRule="auto"/>
        <w:rPr>
          <w:rFonts w:ascii="宋体" w:hAnsi="宋体" w:cs="Arial"/>
          <w:b/>
          <w:bCs/>
          <w:sz w:val="52"/>
          <w:szCs w:val="52"/>
          <w:highlight w:val="none"/>
        </w:rPr>
      </w:pPr>
      <w:r>
        <w:rPr>
          <w:rFonts w:hint="eastAsia" w:ascii="宋体" w:hAnsi="宋体" w:cs="Arial"/>
          <w:b/>
          <w:bCs/>
          <w:sz w:val="52"/>
          <w:szCs w:val="52"/>
          <w:highlight w:val="none"/>
        </w:rPr>
        <w:t xml:space="preserve">公 开 招 标 文 件</w:t>
      </w:r>
      <w:r>
        <w:rPr>
          <w:rFonts w:ascii="宋体" w:hAnsi="宋体" w:cs="Arial"/>
          <w:b/>
          <w:bCs/>
          <w:sz w:val="52"/>
          <w:szCs w:val="52"/>
          <w:highlight w:val="none"/>
        </w:rPr>
      </w:r>
      <w:r/>
    </w:p>
    <w:p>
      <w:pPr>
        <w:pStyle w:val="864"/>
        <w:ind w:left="-210" w:right="-210"/>
        <w:jc w:val="center"/>
        <w:spacing w:line="360" w:lineRule="auto"/>
        <w:rPr>
          <w:rFonts w:ascii="宋体" w:hAnsi="宋体"/>
          <w:sz w:val="24"/>
          <w:highlight w:val="none"/>
        </w:rPr>
      </w:pPr>
      <w:r>
        <w:rPr>
          <w:rFonts w:ascii="宋体" w:hAnsi="宋体"/>
          <w:sz w:val="24"/>
          <w:highlight w:val="none"/>
        </w:rPr>
      </w:r>
      <w:r/>
    </w:p>
    <w:p>
      <w:pPr>
        <w:pStyle w:val="864"/>
        <w:ind w:left="-210" w:right="-210"/>
        <w:jc w:val="center"/>
        <w:spacing w:line="360" w:lineRule="auto"/>
        <w:rPr>
          <w:rFonts w:ascii="宋体" w:hAnsi="宋体"/>
          <w:sz w:val="24"/>
          <w:highlight w:val="none"/>
        </w:rPr>
      </w:pPr>
      <w:r>
        <w:rPr>
          <w:rFonts w:ascii="宋体" w:hAnsi="宋体"/>
          <w:sz w:val="24"/>
          <w:highlight w:val="none"/>
        </w:rPr>
      </w:r>
      <w:r/>
    </w:p>
    <w:p>
      <w:pPr>
        <w:pStyle w:val="864"/>
        <w:ind w:left="-210" w:right="-210"/>
        <w:jc w:val="center"/>
        <w:spacing w:line="360" w:lineRule="auto"/>
        <w:rPr>
          <w:rFonts w:ascii="宋体" w:hAnsi="宋体"/>
          <w:sz w:val="24"/>
          <w:highlight w:val="none"/>
        </w:rPr>
      </w:pPr>
      <w:r>
        <w:rPr>
          <w:rFonts w:ascii="宋体" w:hAnsi="宋体"/>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54"/>
        <w:gridCol w:w="6330"/>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vAlign w:val="top"/>
            <w:textDirection w:val="lrTb"/>
            <w:noWrap w:val="false"/>
          </w:tcPr>
          <w:p>
            <w:pPr>
              <w:pStyle w:val="864"/>
              <w:jc w:val="center"/>
              <w:spacing w:line="600" w:lineRule="exact"/>
              <w:rPr>
                <w:rFonts w:ascii="宋体" w:hAnsi="宋体" w:cs="Arial"/>
                <w:sz w:val="28"/>
                <w:szCs w:val="28"/>
                <w:highlight w:val="none"/>
              </w:rPr>
            </w:pPr>
            <w:r>
              <w:rPr>
                <w:rFonts w:hint="eastAsia" w:ascii="宋体" w:hAnsi="宋体" w:cs="Arial"/>
                <w:sz w:val="28"/>
                <w:szCs w:val="28"/>
                <w:highlight w:val="none"/>
              </w:rPr>
              <w:t xml:space="preserve">项目编号：</w:t>
            </w:r>
            <w:r>
              <w:rPr>
                <w:rFonts w:ascii="宋体" w:hAnsi="宋体" w:cs="Arial"/>
                <w:sz w:val="28"/>
                <w:szCs w:val="28"/>
                <w:highlight w:val="none"/>
              </w:rPr>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330" w:type="dxa"/>
            <w:vAlign w:val="top"/>
            <w:textDirection w:val="lrTb"/>
            <w:noWrap w:val="false"/>
          </w:tcPr>
          <w:p>
            <w:pPr>
              <w:pStyle w:val="864"/>
              <w:jc w:val="center"/>
              <w:spacing w:line="600" w:lineRule="exact"/>
              <w:rPr>
                <w:rFonts w:hint="eastAsia" w:ascii="宋体" w:hAnsi="宋体" w:eastAsia="宋体" w:cs="Arial"/>
                <w:sz w:val="28"/>
                <w:szCs w:val="28"/>
                <w:highlight w:val="none"/>
                <w:lang w:eastAsia="zh-CN"/>
              </w:rPr>
            </w:pPr>
            <w:r>
              <w:rPr>
                <w:rFonts w:hint="eastAsia" w:ascii="宋体" w:hAnsi="宋体" w:cs="Arial"/>
                <w:color w:val="000000"/>
                <w:sz w:val="28"/>
                <w:szCs w:val="28"/>
                <w:highlight w:val="none"/>
                <w:lang w:eastAsia="zh-CN"/>
              </w:rPr>
              <w:t xml:space="preserve">JSZC-320583-AFEJ-G2026-0004</w:t>
            </w:r>
            <w:r>
              <w:rPr>
                <w:rFonts w:hint="eastAsia" w:ascii="宋体" w:hAnsi="宋体" w:eastAsia="宋体" w:cs="Arial"/>
                <w:sz w:val="28"/>
                <w:szCs w:val="28"/>
                <w:highlight w:val="none"/>
                <w:lang w:eastAsia="zh-CN"/>
              </w:rPr>
            </w:r>
            <w:r/>
          </w:p>
        </w:tc>
      </w:tr>
      <w:tr>
        <w:trPr>
          <w:trHeight w:val="44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vAlign w:val="top"/>
            <w:textDirection w:val="lrTb"/>
            <w:noWrap w:val="false"/>
          </w:tcPr>
          <w:p>
            <w:pPr>
              <w:pStyle w:val="864"/>
              <w:jc w:val="center"/>
              <w:spacing w:line="600" w:lineRule="exact"/>
              <w:rPr>
                <w:rFonts w:ascii="宋体" w:hAnsi="宋体" w:cs="Arial"/>
                <w:sz w:val="28"/>
                <w:szCs w:val="28"/>
                <w:highlight w:val="none"/>
              </w:rPr>
            </w:pPr>
            <w:r>
              <w:rPr>
                <w:rFonts w:hint="eastAsia" w:ascii="宋体" w:hAnsi="宋体" w:cs="Arial"/>
                <w:sz w:val="28"/>
                <w:szCs w:val="28"/>
                <w:highlight w:val="none"/>
              </w:rPr>
              <w:t xml:space="preserve">采 购 人：</w:t>
            </w:r>
            <w:r>
              <w:rPr>
                <w:rFonts w:ascii="宋体" w:hAnsi="宋体" w:cs="Arial"/>
                <w:sz w:val="28"/>
                <w:szCs w:val="28"/>
                <w:highlight w:val="none"/>
              </w:rPr>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6330" w:type="dxa"/>
            <w:vAlign w:val="top"/>
            <w:textDirection w:val="lrTb"/>
            <w:noWrap w:val="false"/>
          </w:tcPr>
          <w:p>
            <w:pPr>
              <w:pStyle w:val="864"/>
              <w:jc w:val="center"/>
              <w:spacing w:line="600" w:lineRule="exact"/>
              <w:rPr>
                <w:rFonts w:hint="eastAsia" w:ascii="宋体" w:hAnsi="宋体" w:cs="Arial"/>
                <w:sz w:val="28"/>
                <w:szCs w:val="28"/>
                <w:highlight w:val="none"/>
              </w:rPr>
            </w:pPr>
            <w:r>
              <w:rPr>
                <w:rFonts w:hint="eastAsia" w:ascii="宋体" w:hAnsi="宋体" w:cs="Arial"/>
                <w:sz w:val="28"/>
                <w:szCs w:val="28"/>
                <w:highlight w:val="none"/>
              </w:rPr>
              <w:t xml:space="preserve">苏州市昆山生态环境局</w:t>
            </w:r>
            <w:r>
              <w:rPr>
                <w:rFonts w:hint="eastAsia" w:ascii="宋体" w:hAnsi="宋体" w:cs="Arial"/>
                <w:sz w:val="28"/>
                <w:szCs w:val="28"/>
                <w:highlight w:val="none"/>
              </w:rPr>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vAlign w:val="top"/>
            <w:textDirection w:val="lrTb"/>
            <w:noWrap w:val="false"/>
          </w:tcPr>
          <w:p>
            <w:pPr>
              <w:pStyle w:val="864"/>
              <w:jc w:val="center"/>
              <w:spacing w:line="600" w:lineRule="exact"/>
              <w:rPr>
                <w:rFonts w:ascii="宋体" w:hAnsi="宋体" w:cs="Arial"/>
                <w:sz w:val="28"/>
                <w:szCs w:val="28"/>
                <w:highlight w:val="none"/>
              </w:rPr>
            </w:pPr>
            <w:r>
              <w:rPr>
                <w:rFonts w:hint="eastAsia" w:ascii="宋体" w:hAnsi="宋体" w:cs="Arial"/>
                <w:sz w:val="28"/>
                <w:szCs w:val="28"/>
                <w:highlight w:val="none"/>
              </w:rPr>
              <w:t xml:space="preserve">项目名称：</w:t>
            </w:r>
            <w:r>
              <w:rPr>
                <w:rFonts w:ascii="宋体" w:hAnsi="宋体" w:cs="Arial"/>
                <w:sz w:val="28"/>
                <w:szCs w:val="28"/>
                <w:highlight w:val="none"/>
              </w:rPr>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6330" w:type="dxa"/>
            <w:vAlign w:val="top"/>
            <w:textDirection w:val="lrTb"/>
            <w:noWrap w:val="false"/>
          </w:tcPr>
          <w:p>
            <w:pPr>
              <w:pStyle w:val="864"/>
              <w:jc w:val="center"/>
              <w:spacing w:line="600" w:lineRule="exact"/>
              <w:rPr>
                <w:rFonts w:hint="eastAsia" w:ascii="宋体" w:hAnsi="宋体" w:eastAsia="宋体" w:cs="Arial"/>
                <w:sz w:val="28"/>
                <w:szCs w:val="28"/>
                <w:highlight w:val="none"/>
                <w:lang w:eastAsia="zh-CN"/>
              </w:rPr>
            </w:pPr>
            <w:r>
              <w:rPr>
                <w:rFonts w:hint="eastAsia" w:ascii="宋体" w:hAnsi="宋体" w:cs="Arial"/>
                <w:sz w:val="28"/>
                <w:szCs w:val="28"/>
                <w:highlight w:val="none"/>
                <w:lang w:eastAsia="zh-CN"/>
              </w:rPr>
              <w:t xml:space="preserve">空气质量保障项目（2026）</w:t>
            </w:r>
            <w:r>
              <w:rPr>
                <w:rFonts w:hint="eastAsia" w:ascii="宋体" w:hAnsi="宋体" w:eastAsia="宋体" w:cs="Arial"/>
                <w:sz w:val="28"/>
                <w:szCs w:val="28"/>
                <w:highlight w:val="none"/>
                <w:lang w:eastAsia="zh-CN"/>
              </w:rPr>
            </w:r>
            <w:r/>
          </w:p>
        </w:tc>
      </w:tr>
    </w:tbl>
    <w:p>
      <w:pPr>
        <w:pStyle w:val="864"/>
        <w:spacing w:line="600" w:lineRule="exact"/>
        <w:rPr>
          <w:rFonts w:ascii="宋体" w:hAnsi="宋体" w:cs="Arial"/>
          <w:sz w:val="24"/>
          <w:highlight w:val="none"/>
        </w:rPr>
      </w:pPr>
      <w:r>
        <w:rPr>
          <w:rFonts w:ascii="宋体" w:hAnsi="宋体" w:cs="Arial"/>
          <w:sz w:val="24"/>
          <w:highlight w:val="none"/>
        </w:rPr>
      </w:r>
      <w:r/>
    </w:p>
    <w:p>
      <w:pPr>
        <w:pStyle w:val="864"/>
        <w:jc w:val="center"/>
        <w:spacing w:line="360" w:lineRule="auto"/>
        <w:rPr>
          <w:rFonts w:hint="eastAsia" w:cs="宋体"/>
          <w:sz w:val="24"/>
          <w:highlight w:val="none"/>
        </w:rPr>
      </w:pPr>
      <w:r>
        <w:rPr>
          <w:rFonts w:hint="eastAsia" w:cs="宋体"/>
          <w:sz w:val="24"/>
          <w:highlight w:val="none"/>
        </w:rPr>
      </w:r>
      <w:r/>
    </w:p>
    <w:p>
      <w:pPr>
        <w:pStyle w:val="864"/>
        <w:jc w:val="center"/>
        <w:spacing w:line="360" w:lineRule="auto"/>
        <w:rPr>
          <w:rFonts w:hint="eastAsia" w:cs="宋体"/>
          <w:sz w:val="24"/>
          <w:highlight w:val="none"/>
        </w:rPr>
      </w:pPr>
      <w:r>
        <w:rPr>
          <w:rFonts w:hint="eastAsia" w:cs="宋体"/>
          <w:sz w:val="24"/>
          <w:highlight w:val="none"/>
        </w:rPr>
      </w:r>
      <w:r/>
    </w:p>
    <w:p>
      <w:pPr>
        <w:pStyle w:val="864"/>
        <w:jc w:val="center"/>
        <w:spacing w:line="360" w:lineRule="auto"/>
        <w:rPr>
          <w:rFonts w:hint="eastAsia" w:ascii="宋体" w:hAnsi="宋体" w:cs="Arial"/>
          <w:sz w:val="28"/>
          <w:szCs w:val="28"/>
          <w:highlight w:val="none"/>
        </w:rPr>
      </w:pPr>
      <w:r>
        <w:rPr>
          <w:rFonts w:hint="eastAsia" w:ascii="宋体" w:hAnsi="宋体" w:cs="Arial"/>
          <w:sz w:val="28"/>
          <w:szCs w:val="28"/>
          <w:highlight w:val="none"/>
        </w:rPr>
        <w:t xml:space="preserve">艾菲尔（江苏）招投标股份有限公司</w:t>
      </w:r>
      <w:r>
        <w:rPr>
          <w:rFonts w:hint="eastAsia" w:ascii="宋体" w:hAnsi="宋体" w:cs="Arial"/>
          <w:sz w:val="28"/>
          <w:szCs w:val="28"/>
          <w:highlight w:val="none"/>
        </w:rPr>
      </w:r>
      <w:r/>
    </w:p>
    <w:p>
      <w:pPr>
        <w:pStyle w:val="864"/>
        <w:jc w:val="center"/>
        <w:spacing w:line="360" w:lineRule="auto"/>
        <w:rPr>
          <w:sz w:val="24"/>
          <w:highlight w:val="none"/>
        </w:rPr>
      </w:pPr>
      <w:r>
        <w:rPr>
          <w:rFonts w:ascii="宋体" w:hAnsi="宋体" w:cs="Arial"/>
          <w:sz w:val="28"/>
          <w:szCs w:val="28"/>
          <w:highlight w:val="none"/>
        </w:rPr>
        <w:t xml:space="preserve">二〇二</w:t>
      </w:r>
      <w:r>
        <w:rPr>
          <w:rFonts w:hint="eastAsia" w:ascii="宋体" w:hAnsi="宋体" w:cs="Arial"/>
          <w:sz w:val="28"/>
          <w:szCs w:val="28"/>
          <w:highlight w:val="none"/>
          <w:lang w:val="en-US" w:eastAsia="zh-CN"/>
        </w:rPr>
        <w:t xml:space="preserve">六</w:t>
      </w:r>
      <w:r>
        <w:rPr>
          <w:rFonts w:ascii="宋体" w:hAnsi="宋体" w:cs="Arial"/>
          <w:sz w:val="28"/>
          <w:szCs w:val="28"/>
          <w:highlight w:val="none"/>
        </w:rPr>
        <w:t xml:space="preserve">年</w:t>
      </w:r>
      <w:r>
        <w:rPr>
          <w:rFonts w:hint="eastAsia" w:ascii="宋体" w:hAnsi="宋体" w:cs="Arial"/>
          <w:sz w:val="28"/>
          <w:szCs w:val="28"/>
          <w:highlight w:val="none"/>
          <w:lang w:val="en-US" w:eastAsia="zh-CN"/>
        </w:rPr>
        <w:t xml:space="preserve">六</w:t>
      </w:r>
      <w:r>
        <w:rPr>
          <w:rFonts w:hint="eastAsia" w:ascii="宋体" w:hAnsi="宋体" w:cs="Arial"/>
          <w:sz w:val="28"/>
          <w:szCs w:val="28"/>
          <w:highlight w:val="none"/>
        </w:rPr>
        <w:t xml:space="preserve">月</w:t>
      </w:r>
      <w:r>
        <w:rPr>
          <w:rFonts w:ascii="宋体" w:hAnsi="宋体" w:cs="Arial"/>
          <w:sz w:val="24"/>
          <w:highlight w:val="none"/>
        </w:rPr>
        <w:br w:type="page" w:clear="all"/>
      </w:r>
      <w:r>
        <w:rPr>
          <w:sz w:val="24"/>
          <w:highlight w:val="none"/>
        </w:rPr>
        <w:t xml:space="preserve"> </w:t>
      </w:r>
      <w:r>
        <w:rPr>
          <w:sz w:val="24"/>
          <w:highlight w:val="none"/>
        </w:rPr>
      </w:r>
      <w:r/>
    </w:p>
    <w:p>
      <w:pPr>
        <w:pStyle w:val="1318"/>
        <w:jc w:val="center"/>
        <w:spacing w:before="0" w:line="360" w:lineRule="auto"/>
        <w:rPr>
          <w:color w:val="000000"/>
          <w:sz w:val="32"/>
          <w:szCs w:val="32"/>
          <w:highlight w:val="none"/>
        </w:rPr>
      </w:pPr>
      <w:r/>
      <w:bookmarkStart w:id="0" w:name="_Toc90641686"/>
      <w:r/>
      <w:bookmarkStart w:id="1" w:name="_Toc359921167"/>
      <w:r>
        <w:rPr>
          <w:color w:val="000000"/>
          <w:sz w:val="32"/>
          <w:szCs w:val="32"/>
          <w:highlight w:val="none"/>
          <w:lang w:val="zh-CN"/>
        </w:rPr>
        <w:t xml:space="preserve">目</w:t>
      </w:r>
      <w:r>
        <w:rPr>
          <w:rFonts w:hint="eastAsia"/>
          <w:color w:val="000000"/>
          <w:sz w:val="32"/>
          <w:szCs w:val="32"/>
          <w:highlight w:val="none"/>
          <w:lang w:val="zh-CN"/>
        </w:rPr>
        <w:t xml:space="preserve"> </w:t>
      </w:r>
      <w:r>
        <w:rPr>
          <w:color w:val="000000"/>
          <w:sz w:val="32"/>
          <w:szCs w:val="32"/>
          <w:highlight w:val="none"/>
          <w:lang w:val="zh-CN"/>
        </w:rPr>
        <w:t xml:space="preserve"> 录</w:t>
      </w:r>
      <w:r>
        <w:rPr>
          <w:color w:val="000000"/>
          <w:sz w:val="32"/>
          <w:szCs w:val="32"/>
          <w:highlight w:val="none"/>
        </w:rPr>
      </w:r>
      <w:r/>
    </w:p>
    <w:p>
      <w:pPr>
        <w:pStyle w:val="1108"/>
        <w:tabs>
          <w:tab w:val="right" w:pos="8296" w:leader="dot"/>
          <w:tab w:val="right" w:pos="9355" w:leader="dot"/>
        </w:tabs>
        <w:rPr>
          <w:rFonts w:ascii="等线" w:hAnsi="等线" w:eastAsia="等线"/>
          <w:b w:val="0"/>
          <w:color w:val="000000" w:themeColor="text1"/>
          <w:szCs w:val="22"/>
          <w:highlight w:val="none"/>
        </w:rPr>
      </w:pPr>
      <w:r>
        <w:rPr>
          <w:sz w:val="24"/>
          <w:highlight w:val="none"/>
        </w:rPr>
        <w:fldChar w:fldCharType="begin"/>
      </w:r>
      <w:r>
        <w:rPr>
          <w:sz w:val="24"/>
          <w:highlight w:val="none"/>
        </w:rPr>
        <w:instrText xml:space="preserve"> TOC \o "1-3" \h \z \u </w:instrText>
      </w:r>
      <w:r>
        <w:rPr>
          <w:sz w:val="24"/>
          <w:highlight w:val="none"/>
        </w:rPr>
        <w:fldChar w:fldCharType="separate"/>
      </w:r>
      <w:r>
        <w:rPr>
          <w:color w:val="000000" w:themeColor="text1"/>
          <w:highlight w:val="none"/>
        </w:rPr>
        <w:fldChar w:fldCharType="begin"/>
      </w:r>
      <w:r>
        <w:rPr>
          <w:rStyle w:val="1143"/>
          <w:color w:val="000000" w:themeColor="text1"/>
          <w:highlight w:val="none"/>
        </w:rPr>
        <w:instrText xml:space="preserve"> </w:instrText>
      </w:r>
      <w:r>
        <w:rPr>
          <w:color w:val="000000" w:themeColor="text1"/>
          <w:highlight w:val="none"/>
        </w:rPr>
        <w:instrText xml:space="preserve">HYPERLINK \l "_Toc161752420"</w:instrText>
      </w:r>
      <w:r>
        <w:rPr>
          <w:rStyle w:val="1143"/>
          <w:color w:val="000000" w:themeColor="text1"/>
          <w:highlight w:val="none"/>
        </w:rPr>
        <w:instrText xml:space="preserve"> </w:instrText>
      </w:r>
      <w:r>
        <w:rPr>
          <w:color w:val="000000" w:themeColor="text1"/>
          <w:highlight w:val="none"/>
        </w:rPr>
        <w:fldChar w:fldCharType="separate"/>
      </w:r>
      <w:r>
        <w:rPr>
          <w:rStyle w:val="1143"/>
          <w:color w:val="000000" w:themeColor="text1"/>
          <w:highlight w:val="none"/>
        </w:rPr>
        <w:t xml:space="preserve">第一章  投标邀请函</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_Toc161752420 \h </w:instrText>
      </w:r>
      <w:r>
        <w:rPr>
          <w:color w:val="000000" w:themeColor="text1"/>
          <w:highlight w:val="none"/>
        </w:rPr>
        <w:fldChar w:fldCharType="separate"/>
      </w:r>
      <w:r>
        <w:rPr>
          <w:color w:val="000000" w:themeColor="text1"/>
          <w:highlight w:val="none"/>
        </w:rPr>
        <w:t xml:space="preserve">3</w:t>
      </w:r>
      <w:r>
        <w:rPr>
          <w:color w:val="000000" w:themeColor="text1"/>
          <w:highlight w:val="none"/>
        </w:rPr>
        <w:fldChar w:fldCharType="end"/>
      </w:r>
      <w:r>
        <w:rPr>
          <w:color w:val="000000" w:themeColor="text1"/>
          <w:highlight w:val="none"/>
        </w:rPr>
        <w:fldChar w:fldCharType="end"/>
      </w:r>
      <w:r>
        <w:rPr>
          <w:color w:val="000000" w:themeColor="text1"/>
        </w:rPr>
      </w:r>
      <w:r/>
    </w:p>
    <w:p>
      <w:pPr>
        <w:pStyle w:val="1108"/>
        <w:tabs>
          <w:tab w:val="right" w:pos="8296" w:leader="dot"/>
          <w:tab w:val="right" w:pos="9355" w:leader="dot"/>
        </w:tabs>
        <w:rPr>
          <w:rFonts w:ascii="等线" w:hAnsi="等线" w:eastAsia="等线"/>
          <w:b w:val="0"/>
          <w:color w:val="000000" w:themeColor="text1"/>
          <w:szCs w:val="22"/>
          <w:highlight w:val="none"/>
        </w:rPr>
      </w:pPr>
      <w:r>
        <w:rPr>
          <w:color w:val="000000" w:themeColor="text1"/>
          <w:highlight w:val="none"/>
        </w:rPr>
        <w:fldChar w:fldCharType="begin"/>
      </w:r>
      <w:r>
        <w:rPr>
          <w:rStyle w:val="1143"/>
          <w:color w:val="000000" w:themeColor="text1"/>
          <w:highlight w:val="none"/>
        </w:rPr>
        <w:instrText xml:space="preserve"> </w:instrText>
      </w:r>
      <w:r>
        <w:rPr>
          <w:color w:val="000000" w:themeColor="text1"/>
          <w:highlight w:val="none"/>
        </w:rPr>
        <w:instrText xml:space="preserve">HYPERLINK \l "_Toc161752421"</w:instrText>
      </w:r>
      <w:r>
        <w:rPr>
          <w:rStyle w:val="1143"/>
          <w:color w:val="000000" w:themeColor="text1"/>
          <w:highlight w:val="none"/>
        </w:rPr>
        <w:instrText xml:space="preserve"> </w:instrText>
      </w:r>
      <w:r>
        <w:rPr>
          <w:color w:val="000000" w:themeColor="text1"/>
          <w:highlight w:val="none"/>
        </w:rPr>
        <w:fldChar w:fldCharType="separate"/>
      </w:r>
      <w:r>
        <w:rPr>
          <w:rStyle w:val="1143"/>
          <w:color w:val="000000" w:themeColor="text1"/>
          <w:highlight w:val="none"/>
        </w:rPr>
        <w:t xml:space="preserve">第二章  投标人须知</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_Toc161752421 \h </w:instrText>
      </w:r>
      <w:r>
        <w:rPr>
          <w:color w:val="000000" w:themeColor="text1"/>
          <w:highlight w:val="none"/>
        </w:rPr>
        <w:fldChar w:fldCharType="separate"/>
      </w:r>
      <w:r>
        <w:rPr>
          <w:color w:val="000000" w:themeColor="text1"/>
          <w:highlight w:val="none"/>
        </w:rPr>
        <w:t xml:space="preserve">6</w:t>
      </w:r>
      <w:r>
        <w:rPr>
          <w:color w:val="000000" w:themeColor="text1"/>
          <w:highlight w:val="none"/>
        </w:rPr>
        <w:fldChar w:fldCharType="end"/>
      </w:r>
      <w:r>
        <w:rPr>
          <w:color w:val="000000" w:themeColor="text1"/>
          <w:highlight w:val="none"/>
        </w:rPr>
        <w:fldChar w:fldCharType="end"/>
      </w:r>
      <w:r>
        <w:rPr>
          <w:color w:val="000000" w:themeColor="text1"/>
        </w:rPr>
      </w:r>
      <w:r/>
    </w:p>
    <w:p>
      <w:pPr>
        <w:pStyle w:val="1108"/>
        <w:tabs>
          <w:tab w:val="right" w:pos="8296" w:leader="dot"/>
          <w:tab w:val="right" w:pos="9355" w:leader="dot"/>
        </w:tabs>
        <w:rPr>
          <w:rFonts w:ascii="等线" w:hAnsi="等线" w:eastAsia="等线"/>
          <w:b w:val="0"/>
          <w:color w:val="000000" w:themeColor="text1"/>
          <w:szCs w:val="22"/>
          <w:highlight w:val="none"/>
        </w:rPr>
      </w:pPr>
      <w:r>
        <w:rPr>
          <w:color w:val="000000" w:themeColor="text1"/>
          <w:highlight w:val="none"/>
        </w:rPr>
        <w:fldChar w:fldCharType="begin"/>
      </w:r>
      <w:r>
        <w:rPr>
          <w:rStyle w:val="1143"/>
          <w:color w:val="000000" w:themeColor="text1"/>
          <w:highlight w:val="none"/>
        </w:rPr>
        <w:instrText xml:space="preserve"> </w:instrText>
      </w:r>
      <w:r>
        <w:rPr>
          <w:color w:val="000000" w:themeColor="text1"/>
          <w:highlight w:val="none"/>
        </w:rPr>
        <w:instrText xml:space="preserve">HYPERLINK \l "_Toc161752422"</w:instrText>
      </w:r>
      <w:r>
        <w:rPr>
          <w:rStyle w:val="1143"/>
          <w:color w:val="000000" w:themeColor="text1"/>
          <w:highlight w:val="none"/>
        </w:rPr>
        <w:instrText xml:space="preserve"> </w:instrText>
      </w:r>
      <w:r>
        <w:rPr>
          <w:color w:val="000000" w:themeColor="text1"/>
          <w:highlight w:val="none"/>
        </w:rPr>
        <w:fldChar w:fldCharType="separate"/>
      </w:r>
      <w:r>
        <w:rPr>
          <w:rStyle w:val="1143"/>
          <w:color w:val="000000" w:themeColor="text1"/>
          <w:highlight w:val="none"/>
        </w:rPr>
        <w:t xml:space="preserve">第三章  投标文件格式</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_Toc161752422 \h </w:instrText>
      </w:r>
      <w:r>
        <w:rPr>
          <w:color w:val="000000" w:themeColor="text1"/>
          <w:highlight w:val="none"/>
        </w:rPr>
        <w:fldChar w:fldCharType="separate"/>
      </w:r>
      <w:r>
        <w:rPr>
          <w:color w:val="000000" w:themeColor="text1"/>
          <w:highlight w:val="none"/>
        </w:rPr>
        <w:t xml:space="preserve">15</w:t>
      </w:r>
      <w:r>
        <w:rPr>
          <w:color w:val="000000" w:themeColor="text1"/>
          <w:highlight w:val="none"/>
        </w:rPr>
        <w:fldChar w:fldCharType="end"/>
      </w:r>
      <w:r>
        <w:rPr>
          <w:color w:val="000000" w:themeColor="text1"/>
          <w:highlight w:val="none"/>
        </w:rPr>
        <w:fldChar w:fldCharType="end"/>
      </w:r>
      <w:r>
        <w:rPr>
          <w:color w:val="000000" w:themeColor="text1"/>
        </w:rPr>
      </w:r>
      <w:r/>
    </w:p>
    <w:p>
      <w:pPr>
        <w:pStyle w:val="1108"/>
        <w:tabs>
          <w:tab w:val="right" w:pos="8296" w:leader="dot"/>
          <w:tab w:val="right" w:pos="9355" w:leader="dot"/>
        </w:tabs>
        <w:rPr>
          <w:rFonts w:ascii="等线" w:hAnsi="等线" w:eastAsia="等线"/>
          <w:b w:val="0"/>
          <w:color w:val="000000" w:themeColor="text1"/>
          <w:szCs w:val="22"/>
          <w:highlight w:val="none"/>
        </w:rPr>
      </w:pPr>
      <w:r>
        <w:rPr>
          <w:color w:val="000000" w:themeColor="text1"/>
          <w:highlight w:val="none"/>
        </w:rPr>
        <w:fldChar w:fldCharType="begin"/>
      </w:r>
      <w:r>
        <w:rPr>
          <w:rStyle w:val="1143"/>
          <w:color w:val="000000" w:themeColor="text1"/>
          <w:highlight w:val="none"/>
        </w:rPr>
        <w:instrText xml:space="preserve"> </w:instrText>
      </w:r>
      <w:r>
        <w:rPr>
          <w:color w:val="000000" w:themeColor="text1"/>
          <w:highlight w:val="none"/>
        </w:rPr>
        <w:instrText xml:space="preserve">HYPERLINK \l "_Toc161752434"</w:instrText>
      </w:r>
      <w:r>
        <w:rPr>
          <w:rStyle w:val="1143"/>
          <w:color w:val="000000" w:themeColor="text1"/>
          <w:highlight w:val="none"/>
        </w:rPr>
        <w:instrText xml:space="preserve"> </w:instrText>
      </w:r>
      <w:r>
        <w:rPr>
          <w:color w:val="000000" w:themeColor="text1"/>
          <w:highlight w:val="none"/>
        </w:rPr>
        <w:fldChar w:fldCharType="separate"/>
      </w:r>
      <w:r>
        <w:rPr>
          <w:rStyle w:val="1143"/>
          <w:color w:val="000000" w:themeColor="text1"/>
          <w:highlight w:val="none"/>
        </w:rPr>
        <w:t xml:space="preserve">第四章  采购需求</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_Toc161752434 \h </w:instrText>
      </w:r>
      <w:r>
        <w:rPr>
          <w:color w:val="000000" w:themeColor="text1"/>
          <w:highlight w:val="none"/>
        </w:rPr>
        <w:fldChar w:fldCharType="separate"/>
      </w:r>
      <w:r>
        <w:rPr>
          <w:color w:val="000000" w:themeColor="text1"/>
          <w:highlight w:val="none"/>
        </w:rPr>
        <w:t xml:space="preserve">30</w:t>
        <w:fldChar w:fldCharType="end"/>
      </w:r>
      <w:r>
        <w:rPr>
          <w:color w:val="000000" w:themeColor="text1"/>
          <w:highlight w:val="none"/>
        </w:rPr>
        <w:fldChar w:fldCharType="end"/>
      </w:r>
      <w:r>
        <w:rPr>
          <w:color w:val="000000" w:themeColor="text1"/>
        </w:rPr>
      </w:r>
      <w:r/>
    </w:p>
    <w:p>
      <w:pPr>
        <w:pStyle w:val="1108"/>
        <w:tabs>
          <w:tab w:val="right" w:pos="8296" w:leader="dot"/>
          <w:tab w:val="right" w:pos="9355" w:leader="dot"/>
        </w:tabs>
        <w:rPr>
          <w:rFonts w:hint="eastAsia" w:ascii="等线" w:hAnsi="等线" w:eastAsia="宋体"/>
          <w:b w:val="0"/>
          <w:color w:val="000000" w:themeColor="text1"/>
          <w:szCs w:val="22"/>
          <w:highlight w:val="none"/>
        </w:rPr>
      </w:pPr>
      <w:r>
        <w:rPr>
          <w:color w:val="000000" w:themeColor="text1"/>
          <w:highlight w:val="none"/>
        </w:rPr>
        <w:fldChar w:fldCharType="begin"/>
      </w:r>
      <w:r>
        <w:rPr>
          <w:rStyle w:val="1143"/>
          <w:color w:val="000000" w:themeColor="text1"/>
          <w:highlight w:val="none"/>
        </w:rPr>
        <w:instrText xml:space="preserve"> </w:instrText>
      </w:r>
      <w:r>
        <w:rPr>
          <w:color w:val="000000" w:themeColor="text1"/>
          <w:highlight w:val="none"/>
        </w:rPr>
        <w:instrText xml:space="preserve">HYPERLINK \l "_Toc161752435"</w:instrText>
      </w:r>
      <w:r>
        <w:rPr>
          <w:rStyle w:val="1143"/>
          <w:color w:val="000000" w:themeColor="text1"/>
          <w:highlight w:val="none"/>
        </w:rPr>
        <w:instrText xml:space="preserve"> </w:instrText>
      </w:r>
      <w:r>
        <w:rPr>
          <w:color w:val="000000" w:themeColor="text1"/>
          <w:highlight w:val="none"/>
        </w:rPr>
        <w:fldChar w:fldCharType="separate"/>
      </w:r>
      <w:r>
        <w:rPr>
          <w:rStyle w:val="1143"/>
          <w:rFonts w:ascii="宋体" w:hAnsi="宋体"/>
          <w:color w:val="000000" w:themeColor="text1"/>
          <w:highlight w:val="none"/>
        </w:rPr>
        <w:t xml:space="preserve">第五章  合同文本</w:t>
      </w:r>
      <w:r>
        <w:rPr>
          <w:color w:val="000000" w:themeColor="text1"/>
          <w:highlight w:val="none"/>
        </w:rPr>
        <w:tab/>
      </w:r>
      <w:r>
        <w:rPr>
          <w:color w:val="000000" w:themeColor="text1"/>
          <w:highlight w:val="none"/>
        </w:rPr>
        <w:t xml:space="preserve">33</w:t>
      </w:r>
      <w:r>
        <w:rPr>
          <w:color w:val="000000" w:themeColor="text1"/>
          <w:highlight w:val="none"/>
        </w:rPr>
        <w:fldChar w:fldCharType="end"/>
      </w:r>
      <w:r>
        <w:rPr>
          <w:color w:val="000000" w:themeColor="text1"/>
        </w:rPr>
      </w:r>
      <w:r/>
    </w:p>
    <w:p>
      <w:pPr>
        <w:pStyle w:val="1108"/>
        <w:tabs>
          <w:tab w:val="right" w:pos="8296" w:leader="dot"/>
          <w:tab w:val="right" w:pos="9355" w:leader="dot"/>
        </w:tabs>
        <w:rPr>
          <w:rFonts w:hint="eastAsia" w:ascii="等线" w:hAnsi="等线" w:eastAsia="宋体"/>
          <w:b w:val="0"/>
          <w:szCs w:val="22"/>
          <w:highlight w:val="none"/>
          <w:lang w:val="en-US" w:eastAsia="zh-CN"/>
        </w:rPr>
      </w:pPr>
      <w:r>
        <w:rPr>
          <w:color w:val="000000" w:themeColor="text1"/>
          <w:highlight w:val="none"/>
        </w:rPr>
        <w:fldChar w:fldCharType="begin"/>
      </w:r>
      <w:r>
        <w:rPr>
          <w:rStyle w:val="1143"/>
          <w:color w:val="000000" w:themeColor="text1"/>
          <w:highlight w:val="none"/>
        </w:rPr>
        <w:instrText xml:space="preserve"> </w:instrText>
      </w:r>
      <w:r>
        <w:rPr>
          <w:color w:val="000000" w:themeColor="text1"/>
          <w:highlight w:val="none"/>
        </w:rPr>
        <w:instrText xml:space="preserve">HYPERLINK \l "_Toc161752436"</w:instrText>
      </w:r>
      <w:r>
        <w:rPr>
          <w:rStyle w:val="1143"/>
          <w:color w:val="000000" w:themeColor="text1"/>
          <w:highlight w:val="none"/>
        </w:rPr>
        <w:instrText xml:space="preserve"> </w:instrText>
      </w:r>
      <w:r>
        <w:rPr>
          <w:color w:val="000000" w:themeColor="text1"/>
          <w:highlight w:val="none"/>
        </w:rPr>
        <w:fldChar w:fldCharType="separate"/>
      </w:r>
      <w:r>
        <w:rPr>
          <w:rStyle w:val="1143"/>
          <w:color w:val="000000" w:themeColor="text1"/>
          <w:highlight w:val="none"/>
        </w:rPr>
        <w:t xml:space="preserve">第六章  评标方法、评分标准</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_Toc161752436 \h </w:instrText>
      </w:r>
      <w:r>
        <w:rPr>
          <w:color w:val="000000" w:themeColor="text1"/>
          <w:highlight w:val="none"/>
        </w:rPr>
        <w:fldChar w:fldCharType="separate"/>
      </w:r>
      <w:r>
        <w:rPr>
          <w:color w:val="000000" w:themeColor="text1"/>
          <w:highlight w:val="none"/>
        </w:rPr>
        <w:t xml:space="preserve">3</w:t>
      </w:r>
      <w:r>
        <w:rPr>
          <w:color w:val="000000" w:themeColor="text1"/>
          <w:highlight w:val="none"/>
        </w:rPr>
        <w:fldChar w:fldCharType="end"/>
      </w:r>
      <w:r>
        <w:rPr>
          <w:color w:val="000000" w:themeColor="text1"/>
          <w:highlight w:val="none"/>
        </w:rPr>
        <w:fldChar w:fldCharType="end"/>
      </w:r>
      <w:r>
        <w:rPr>
          <w:rFonts w:hint="eastAsia" w:ascii="等线" w:hAnsi="等线" w:eastAsia="宋体"/>
          <w:b w:val="0"/>
          <w:szCs w:val="22"/>
          <w:highlight w:val="none"/>
          <w:lang w:val="en-US" w:eastAsia="zh-CN"/>
        </w:rPr>
        <w:t xml:space="preserve">9</w:t>
      </w:r>
      <w:r/>
    </w:p>
    <w:p>
      <w:pPr>
        <w:pStyle w:val="1108"/>
        <w:tabs>
          <w:tab w:val="right" w:pos="8296" w:leader="dot"/>
          <w:tab w:val="right" w:pos="9355" w:leader="dot"/>
        </w:tabs>
        <w:rPr>
          <w:rFonts w:ascii="等线" w:hAnsi="等线" w:eastAsia="等线"/>
          <w:b w:val="0"/>
          <w:szCs w:val="22"/>
          <w:highlight w:val="none"/>
        </w:rPr>
      </w:pPr>
      <w:r>
        <w:rPr>
          <w:rFonts w:ascii="等线" w:hAnsi="等线" w:eastAsia="等线"/>
          <w:b w:val="0"/>
          <w:szCs w:val="22"/>
          <w:highlight w:val="none"/>
        </w:rPr>
      </w:r>
      <w:r/>
    </w:p>
    <w:p>
      <w:pPr>
        <w:pStyle w:val="864"/>
        <w:jc w:val="left"/>
        <w:spacing w:line="360" w:lineRule="auto"/>
        <w:tabs>
          <w:tab w:val="right" w:pos="9355" w:leader="dot"/>
        </w:tabs>
        <w:rPr>
          <w:highlight w:val="none"/>
        </w:rPr>
      </w:pPr>
      <w:r>
        <w:rPr>
          <w:b/>
          <w:bCs/>
          <w:sz w:val="24"/>
          <w:highlight w:val="none"/>
          <w:lang w:val="zh-CN"/>
        </w:rPr>
        <w:fldChar w:fldCharType="end"/>
      </w:r>
      <w:r>
        <w:rPr>
          <w:highlight w:val="none"/>
        </w:rPr>
      </w:r>
      <w:r/>
    </w:p>
    <w:p>
      <w:pPr>
        <w:pStyle w:val="1108"/>
        <w:tabs>
          <w:tab w:val="right" w:pos="8296" w:leader="dot"/>
        </w:tabs>
        <w:rPr>
          <w:rFonts w:ascii="等线" w:hAnsi="等线" w:eastAsia="等线"/>
          <w:b w:val="0"/>
          <w:sz w:val="24"/>
          <w:highlight w:val="none"/>
        </w:rPr>
      </w:pPr>
      <w:r>
        <w:rPr>
          <w:sz w:val="24"/>
          <w:highlight w:val="none"/>
        </w:rPr>
        <w:fldChar w:fldCharType="begin"/>
      </w:r>
      <w:r>
        <w:rPr>
          <w:sz w:val="24"/>
          <w:highlight w:val="none"/>
        </w:rPr>
        <w:instrText xml:space="preserve"> TOC \o "1-3" \h \z \u </w:instrText>
      </w:r>
      <w:r>
        <w:rPr>
          <w:sz w:val="24"/>
          <w:highlight w:val="none"/>
        </w:rPr>
        <w:fldChar w:fldCharType="separate"/>
      </w:r>
      <w:r>
        <w:rPr>
          <w:rFonts w:ascii="等线" w:hAnsi="等线" w:eastAsia="等线"/>
          <w:b w:val="0"/>
          <w:sz w:val="24"/>
          <w:highlight w:val="none"/>
        </w:rPr>
      </w:r>
      <w:r/>
    </w:p>
    <w:p>
      <w:pPr>
        <w:pStyle w:val="1126"/>
        <w:rPr>
          <w:bCs w:val="0"/>
          <w:sz w:val="21"/>
          <w:szCs w:val="21"/>
          <w:highlight w:val="none"/>
        </w:rPr>
      </w:pPr>
      <w:r>
        <w:rPr>
          <w:bCs w:val="0"/>
          <w:sz w:val="24"/>
          <w:szCs w:val="24"/>
          <w:highlight w:val="none"/>
          <w:lang w:val="zh-CN"/>
        </w:rPr>
        <w:fldChar w:fldCharType="end"/>
      </w:r>
      <w:r>
        <w:rPr>
          <w:b w:val="0"/>
          <w:bCs w:val="0"/>
          <w:sz w:val="24"/>
          <w:szCs w:val="24"/>
          <w:highlight w:val="none"/>
          <w:lang w:val="zh-CN"/>
        </w:rPr>
        <w:br w:type="page" w:clear="all"/>
      </w:r>
      <w:bookmarkStart w:id="2" w:name="_Toc359921166"/>
      <w:r/>
      <w:bookmarkStart w:id="3" w:name="_Toc134091565"/>
      <w:r/>
      <w:bookmarkStart w:id="4" w:name="_Toc161752420"/>
      <w:r>
        <w:rPr>
          <w:rFonts w:hint="eastAsia"/>
          <w:bCs w:val="0"/>
          <w:sz w:val="24"/>
          <w:szCs w:val="24"/>
          <w:highlight w:val="none"/>
        </w:rPr>
        <w:t xml:space="preserve">第一章</w:t>
      </w:r>
      <w:r>
        <w:rPr>
          <w:bCs w:val="0"/>
          <w:sz w:val="24"/>
          <w:szCs w:val="24"/>
          <w:highlight w:val="none"/>
        </w:rPr>
        <w:t xml:space="preserve">  </w:t>
      </w:r>
      <w:r>
        <w:rPr>
          <w:rFonts w:hint="eastAsia"/>
          <w:bCs w:val="0"/>
          <w:sz w:val="24"/>
          <w:szCs w:val="24"/>
          <w:highlight w:val="none"/>
        </w:rPr>
        <w:t xml:space="preserve">投标邀请</w:t>
      </w:r>
      <w:bookmarkEnd w:id="2"/>
      <w:r>
        <w:rPr>
          <w:rFonts w:hint="eastAsia"/>
          <w:bCs w:val="0"/>
          <w:sz w:val="24"/>
          <w:szCs w:val="24"/>
          <w:highlight w:val="none"/>
        </w:rPr>
        <w:t xml:space="preserve">函</w:t>
      </w:r>
      <w:bookmarkEnd w:id="3"/>
      <w:r/>
      <w:bookmarkEnd w:id="4"/>
      <w:r>
        <w:rPr>
          <w:bCs w:val="0"/>
          <w:sz w:val="21"/>
          <w:szCs w:val="21"/>
          <w:highlight w:val="none"/>
        </w:rPr>
      </w:r>
      <w:r/>
    </w:p>
    <w:tbl>
      <w:tblPr>
        <w:tblW w:w="9135" w:type="dxa"/>
        <w:tblInd w:w="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35"/>
      </w:tblGrid>
      <w:tr>
        <w:trPr>
          <w:trHeight w:val="799"/>
        </w:trPr>
        <w:tc>
          <w:tcPr>
            <w:tcW w:w="9135" w:type="dxa"/>
            <w:vAlign w:val="top"/>
            <w:textDirection w:val="lrTb"/>
            <w:noWrap/>
          </w:tcPr>
          <w:p>
            <w:pPr>
              <w:pStyle w:val="864"/>
              <w:ind w:firstLine="422"/>
              <w:jc w:val="left"/>
              <w:spacing w:line="360" w:lineRule="auto"/>
              <w:widowControl/>
              <w:rPr>
                <w:rFonts w:hint="eastAsia" w:ascii="宋体" w:hAnsi="宋体" w:cs="宋体"/>
                <w:szCs w:val="21"/>
                <w:highlight w:val="none"/>
              </w:rPr>
            </w:pPr>
            <w:r/>
            <w:bookmarkStart w:id="5" w:name="_Toc35393621"/>
            <w:r/>
            <w:bookmarkEnd w:id="5"/>
            <w:r/>
            <w:bookmarkStart w:id="6" w:name="_Toc28359002"/>
            <w:r>
              <w:rPr>
                <w:rFonts w:ascii="宋体" w:hAnsi="宋体" w:cs="宋体"/>
                <w:b/>
                <w:bCs/>
                <w:szCs w:val="21"/>
                <w:highlight w:val="none"/>
              </w:rPr>
              <w:t xml:space="preserve">项目概况：</w:t>
            </w:r>
            <w:r>
              <w:rPr>
                <w:rFonts w:hint="eastAsia" w:ascii="宋体" w:hAnsi="宋体" w:cs="宋体"/>
                <w:szCs w:val="21"/>
                <w:highlight w:val="none"/>
              </w:rPr>
            </w:r>
            <w:r/>
          </w:p>
          <w:p>
            <w:pPr>
              <w:pStyle w:val="864"/>
              <w:ind w:firstLine="420"/>
              <w:spacing w:line="360" w:lineRule="auto"/>
              <w:rPr>
                <w:rFonts w:ascii="宋体" w:hAnsi="宋体" w:cs="宋体"/>
                <w:color w:val="000000"/>
                <w:szCs w:val="21"/>
                <w:highlight w:val="none"/>
              </w:rPr>
            </w:pPr>
            <w:r>
              <w:rPr>
                <w:rFonts w:hint="eastAsia" w:ascii="宋体" w:hAnsi="宋体" w:cs="宋体"/>
                <w:szCs w:val="21"/>
                <w:highlight w:val="none"/>
                <w:u w:val="single"/>
                <w:lang w:eastAsia="zh-CN"/>
              </w:rPr>
              <w:t xml:space="preserve">空气质量保障项目（2026）</w:t>
            </w:r>
            <w:r>
              <w:rPr>
                <w:rFonts w:ascii="宋体" w:hAnsi="宋体" w:cs="宋体"/>
                <w:color w:val="000000"/>
                <w:szCs w:val="21"/>
                <w:highlight w:val="none"/>
              </w:rPr>
              <w:t xml:space="preserve">采购项目的潜在供应商应在</w:t>
            </w:r>
            <w:r>
              <w:rPr>
                <w:rFonts w:hint="eastAsia" w:ascii="宋体" w:hAnsi="宋体" w:cs="宋体"/>
                <w:color w:val="000000"/>
                <w:szCs w:val="21"/>
                <w:highlight w:val="none"/>
                <w:u w:val="single"/>
              </w:rPr>
              <w:t xml:space="preserve">“苏采云”系统</w:t>
            </w:r>
            <w:r>
              <w:rPr>
                <w:rFonts w:ascii="宋体" w:hAnsi="宋体" w:cs="宋体"/>
                <w:color w:val="000000"/>
                <w:szCs w:val="21"/>
                <w:highlight w:val="none"/>
              </w:rPr>
              <w:t xml:space="preserve">获取采购文件，并于</w:t>
            </w:r>
            <w:r>
              <w:rPr>
                <w:rFonts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6</w:t>
            </w:r>
            <w:r>
              <w:rPr>
                <w:rFonts w:ascii="宋体" w:hAnsi="宋体" w:cs="宋体"/>
                <w:color w:val="000000"/>
                <w:szCs w:val="21"/>
                <w:highlight w:val="none"/>
                <w:u w:val="single"/>
              </w:rPr>
              <w:t xml:space="preserve">-0</w:t>
            </w:r>
            <w:r>
              <w:rPr>
                <w:rFonts w:hint="eastAsia" w:ascii="宋体" w:hAnsi="宋体" w:cs="宋体"/>
                <w:color w:val="000000"/>
                <w:szCs w:val="21"/>
                <w:highlight w:val="none"/>
                <w:u w:val="single"/>
                <w:lang w:val="en-US" w:eastAsia="zh-CN"/>
              </w:rPr>
              <w:t xml:space="preserve">7</w:t>
            </w:r>
            <w:r>
              <w:rPr>
                <w:rFonts w:ascii="宋体" w:hAnsi="宋体" w:cs="宋体"/>
                <w:color w:val="000000"/>
                <w:szCs w:val="21"/>
                <w:highlight w:val="none"/>
                <w:u w:val="single"/>
              </w:rPr>
              <w:t xml:space="preserve">-</w:t>
            </w:r>
            <w:r>
              <w:rPr>
                <w:rFonts w:hint="eastAsia" w:ascii="宋体" w:hAnsi="宋体" w:cs="宋体"/>
                <w:color w:val="000000"/>
                <w:szCs w:val="21"/>
                <w:highlight w:val="none"/>
                <w:u w:val="single"/>
                <w:lang w:val="en-US" w:eastAsia="zh-CN"/>
              </w:rPr>
              <w:t xml:space="preserve">24</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09</w:t>
            </w:r>
            <w:r>
              <w:rPr>
                <w:rFonts w:ascii="宋体" w:hAnsi="宋体" w:cs="宋体"/>
                <w:color w:val="000000"/>
                <w:szCs w:val="21"/>
                <w:highlight w:val="none"/>
                <w:u w:val="single"/>
              </w:rPr>
              <w:t xml:space="preserve">:30</w:t>
            </w:r>
            <w:r>
              <w:rPr>
                <w:rFonts w:ascii="宋体" w:hAnsi="宋体" w:cs="宋体"/>
                <w:color w:val="000000"/>
                <w:szCs w:val="21"/>
                <w:highlight w:val="none"/>
              </w:rPr>
              <w:t xml:space="preserve">（北</w:t>
            </w:r>
            <w:r>
              <w:rPr>
                <w:rFonts w:ascii="宋体" w:hAnsi="宋体" w:cs="宋体"/>
                <w:color w:val="000000"/>
                <w:szCs w:val="21"/>
                <w:highlight w:val="none"/>
              </w:rPr>
              <w:t xml:space="preserve">京时间）前提交响应文件。</w:t>
            </w:r>
            <w:r>
              <w:rPr>
                <w:rFonts w:ascii="宋体" w:hAnsi="宋体" w:cs="宋体"/>
                <w:color w:val="000000"/>
                <w:szCs w:val="21"/>
                <w:highlight w:val="none"/>
              </w:rPr>
            </w:r>
            <w:r/>
          </w:p>
        </w:tc>
      </w:tr>
    </w:tbl>
    <w:p>
      <w:pPr>
        <w:pStyle w:val="864"/>
        <w:ind w:firstLine="42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一、项目基本情况</w:t>
      </w:r>
      <w:r>
        <w:rPr>
          <w:rFonts w:hint="eastAsia" w:ascii="宋体" w:hAnsi="宋体"/>
          <w:b/>
          <w:bCs/>
          <w:color w:val="000000"/>
          <w:szCs w:val="21"/>
          <w:highlight w:val="none"/>
        </w:rPr>
      </w:r>
      <w:r/>
    </w:p>
    <w:p>
      <w:pPr>
        <w:pStyle w:val="864"/>
        <w:ind w:firstLine="420"/>
        <w:jc w:val="left"/>
        <w:spacing w:line="360" w:lineRule="auto"/>
        <w:rPr>
          <w:szCs w:val="21"/>
          <w:highlight w:val="none"/>
        </w:rPr>
      </w:pPr>
      <w:r>
        <w:rPr>
          <w:szCs w:val="21"/>
          <w:highlight w:val="none"/>
        </w:rPr>
        <w:t xml:space="preserve">1</w:t>
      </w:r>
      <w:r>
        <w:rPr>
          <w:rFonts w:hint="eastAsia"/>
          <w:szCs w:val="21"/>
          <w:highlight w:val="none"/>
        </w:rPr>
        <w:t xml:space="preserve">.</w:t>
      </w:r>
      <w:r>
        <w:rPr>
          <w:szCs w:val="21"/>
          <w:highlight w:val="none"/>
        </w:rPr>
        <w:t xml:space="preserve">项目编号：</w:t>
      </w:r>
      <w:r>
        <w:rPr>
          <w:rFonts w:hint="eastAsia"/>
          <w:szCs w:val="21"/>
          <w:highlight w:val="none"/>
          <w:lang w:eastAsia="zh-CN"/>
        </w:rPr>
        <w:t xml:space="preserve">JSZC-320583-AFEJ-G2026-0004</w:t>
      </w:r>
      <w:r>
        <w:rPr>
          <w:rFonts w:hint="eastAsia"/>
          <w:szCs w:val="21"/>
          <w:highlight w:val="none"/>
        </w:rPr>
        <w:t xml:space="preserve">号</w:t>
      </w:r>
      <w:r>
        <w:rPr>
          <w:szCs w:val="21"/>
          <w:highlight w:val="none"/>
        </w:rPr>
      </w:r>
      <w:r/>
    </w:p>
    <w:p>
      <w:pPr>
        <w:pStyle w:val="864"/>
        <w:ind w:firstLine="420"/>
        <w:jc w:val="left"/>
        <w:spacing w:line="360" w:lineRule="auto"/>
        <w:rPr>
          <w:rFonts w:hint="eastAsia" w:eastAsia="宋体"/>
          <w:szCs w:val="21"/>
          <w:highlight w:val="none"/>
          <w:lang w:eastAsia="zh-CN"/>
        </w:rPr>
      </w:pPr>
      <w:r>
        <w:rPr>
          <w:szCs w:val="21"/>
          <w:highlight w:val="none"/>
        </w:rPr>
        <w:t xml:space="preserve">2</w:t>
      </w:r>
      <w:r>
        <w:rPr>
          <w:rFonts w:hint="eastAsia"/>
          <w:szCs w:val="21"/>
          <w:highlight w:val="none"/>
        </w:rPr>
        <w:t xml:space="preserve">.</w:t>
      </w:r>
      <w:r>
        <w:rPr>
          <w:szCs w:val="21"/>
          <w:highlight w:val="none"/>
        </w:rPr>
        <w:t xml:space="preserve">项目名称：</w:t>
      </w:r>
      <w:r>
        <w:rPr>
          <w:rFonts w:hint="eastAsia"/>
          <w:szCs w:val="21"/>
          <w:highlight w:val="none"/>
          <w:lang w:eastAsia="zh-CN"/>
        </w:rPr>
        <w:t xml:space="preserve">空气质量保障项目（2026）</w:t>
      </w:r>
      <w:r>
        <w:rPr>
          <w:rFonts w:hint="eastAsia" w:eastAsia="宋体"/>
          <w:szCs w:val="21"/>
          <w:highlight w:val="none"/>
          <w:lang w:eastAsia="zh-CN"/>
        </w:rPr>
      </w:r>
      <w:r/>
    </w:p>
    <w:p>
      <w:pPr>
        <w:pStyle w:val="864"/>
        <w:ind w:firstLine="420"/>
        <w:jc w:val="left"/>
        <w:spacing w:line="360" w:lineRule="auto"/>
        <w:rPr>
          <w:rFonts w:hint="eastAsia" w:eastAsia="宋体"/>
          <w:color w:val="000000"/>
          <w:szCs w:val="21"/>
          <w:highlight w:val="none"/>
          <w:lang w:eastAsia="zh-CN"/>
        </w:rPr>
      </w:pPr>
      <w:r>
        <w:rPr>
          <w:color w:val="000000"/>
          <w:szCs w:val="21"/>
          <w:highlight w:val="none"/>
        </w:rPr>
        <w:t xml:space="preserve">3</w:t>
      </w:r>
      <w:r>
        <w:rPr>
          <w:rFonts w:hint="eastAsia"/>
          <w:color w:val="000000"/>
          <w:szCs w:val="21"/>
          <w:highlight w:val="none"/>
        </w:rPr>
        <w:t xml:space="preserve">.</w:t>
      </w:r>
      <w:r>
        <w:rPr>
          <w:color w:val="000000"/>
          <w:szCs w:val="21"/>
          <w:highlight w:val="none"/>
        </w:rPr>
        <w:t xml:space="preserve">预算金额：人民币</w:t>
      </w:r>
      <w:r>
        <w:rPr>
          <w:rFonts w:hint="eastAsia"/>
          <w:color w:val="000000"/>
          <w:szCs w:val="21"/>
          <w:highlight w:val="none"/>
          <w:lang w:eastAsia="zh-CN"/>
        </w:rPr>
        <w:t xml:space="preserve">壹佰玖拾玖万捌仟元整（¥</w:t>
      </w:r>
      <w:r>
        <w:rPr>
          <w:rFonts w:hint="eastAsia"/>
          <w:color w:val="000000"/>
          <w:szCs w:val="21"/>
          <w:highlight w:val="none"/>
          <w:lang w:val="en-US" w:eastAsia="zh-CN"/>
        </w:rPr>
        <w:t xml:space="preserve">1998000</w:t>
      </w:r>
      <w:r>
        <w:rPr>
          <w:rFonts w:hint="eastAsia"/>
          <w:color w:val="000000"/>
          <w:szCs w:val="21"/>
          <w:highlight w:val="none"/>
          <w:lang w:eastAsia="zh-CN"/>
        </w:rPr>
        <w:t xml:space="preserve">.00元）</w:t>
      </w:r>
      <w:r>
        <w:rPr>
          <w:rFonts w:hint="eastAsia" w:eastAsia="宋体"/>
          <w:color w:val="000000"/>
          <w:szCs w:val="21"/>
          <w:highlight w:val="none"/>
          <w:lang w:eastAsia="zh-CN"/>
        </w:rPr>
      </w:r>
      <w:r/>
    </w:p>
    <w:p>
      <w:pPr>
        <w:pStyle w:val="864"/>
        <w:ind w:firstLine="630"/>
        <w:jc w:val="left"/>
        <w:spacing w:line="360" w:lineRule="auto"/>
        <w:rPr>
          <w:rFonts w:hint="eastAsia" w:eastAsia="宋体"/>
          <w:color w:val="000000"/>
          <w:szCs w:val="21"/>
          <w:highlight w:val="none"/>
          <w:lang w:eastAsia="zh-CN"/>
        </w:rPr>
      </w:pPr>
      <w:r>
        <w:rPr>
          <w:rFonts w:hint="eastAsia" w:ascii="宋体" w:hAnsi="宋体"/>
          <w:color w:val="000000"/>
          <w:szCs w:val="21"/>
          <w:highlight w:val="none"/>
        </w:rPr>
        <w:t xml:space="preserve">最高限价：</w:t>
      </w:r>
      <w:r>
        <w:rPr>
          <w:color w:val="000000"/>
          <w:szCs w:val="21"/>
          <w:highlight w:val="none"/>
        </w:rPr>
        <w:t xml:space="preserve">人民币</w:t>
      </w:r>
      <w:r>
        <w:rPr>
          <w:rFonts w:hint="eastAsia"/>
          <w:color w:val="000000"/>
          <w:szCs w:val="21"/>
          <w:highlight w:val="none"/>
          <w:lang w:eastAsia="zh-CN"/>
        </w:rPr>
        <w:t xml:space="preserve">壹佰玖拾玖万捌仟元整（¥</w:t>
      </w:r>
      <w:r>
        <w:rPr>
          <w:rFonts w:hint="eastAsia"/>
          <w:color w:val="000000"/>
          <w:szCs w:val="21"/>
          <w:highlight w:val="none"/>
          <w:lang w:val="en-US" w:eastAsia="zh-CN"/>
        </w:rPr>
        <w:t xml:space="preserve">1998000</w:t>
      </w:r>
      <w:r>
        <w:rPr>
          <w:rFonts w:hint="eastAsia"/>
          <w:color w:val="000000"/>
          <w:szCs w:val="21"/>
          <w:highlight w:val="none"/>
          <w:lang w:eastAsia="zh-CN"/>
        </w:rPr>
        <w:t xml:space="preserve">.00元）</w:t>
      </w:r>
      <w:r>
        <w:rPr>
          <w:rFonts w:hint="eastAsia" w:eastAsia="宋体"/>
          <w:color w:val="000000"/>
          <w:szCs w:val="21"/>
          <w:highlight w:val="none"/>
          <w:lang w:eastAsia="zh-CN"/>
        </w:rPr>
      </w:r>
      <w:r/>
    </w:p>
    <w:p>
      <w:pPr>
        <w:pStyle w:val="864"/>
        <w:ind w:firstLine="420"/>
        <w:jc w:val="left"/>
        <w:spacing w:line="360" w:lineRule="auto"/>
        <w:rPr>
          <w:rFonts w:hint="eastAsia"/>
          <w:szCs w:val="21"/>
          <w:highlight w:val="none"/>
        </w:rPr>
      </w:pPr>
      <w:r>
        <w:rPr>
          <w:szCs w:val="21"/>
          <w:highlight w:val="none"/>
        </w:rPr>
        <w:t xml:space="preserve">4.采购需求：</w:t>
      </w:r>
      <w:r>
        <w:rPr>
          <w:rFonts w:hint="eastAsia"/>
          <w:szCs w:val="21"/>
          <w:highlight w:val="none"/>
        </w:rPr>
        <w:t xml:space="preserve">本项目为昆山市</w:t>
      </w:r>
      <w:r>
        <w:rPr>
          <w:rFonts w:ascii="SimSun" w:hAnsi="SimSun" w:eastAsia="SimSun" w:cs="SimSun"/>
          <w:color w:val="000000"/>
          <w:sz w:val="21"/>
        </w:rPr>
        <w:t xml:space="preserve">空气质量改善第三方专业技术支撑服务</w:t>
      </w:r>
      <w:r>
        <w:rPr>
          <w:rFonts w:hint="eastAsia"/>
          <w:szCs w:val="21"/>
          <w:highlight w:val="none"/>
        </w:rPr>
        <w:t xml:space="preserve">，详见第四章采购需求。</w:t>
      </w:r>
      <w:r>
        <w:rPr>
          <w:rFonts w:hint="eastAsia"/>
          <w:szCs w:val="21"/>
          <w:highlight w:val="none"/>
        </w:rPr>
      </w:r>
      <w:r/>
    </w:p>
    <w:p>
      <w:pPr>
        <w:pStyle w:val="864"/>
        <w:ind w:firstLine="420"/>
        <w:jc w:val="left"/>
        <w:spacing w:line="360" w:lineRule="auto"/>
        <w:rPr>
          <w:szCs w:val="21"/>
          <w:highlight w:val="none"/>
        </w:rPr>
      </w:pPr>
      <w:r>
        <w:rPr>
          <w:szCs w:val="21"/>
          <w:highlight w:val="none"/>
        </w:rPr>
        <w:t xml:space="preserve">5.合同履行期限：</w:t>
      </w:r>
      <w:r>
        <w:rPr>
          <w:rFonts w:hint="eastAsia"/>
          <w:szCs w:val="21"/>
          <w:highlight w:val="none"/>
        </w:rPr>
        <w:t xml:space="preserve">自合同签订之日起一年（具体起始日期以合同签订日期为准）。</w:t>
      </w:r>
      <w:r>
        <w:rPr>
          <w:szCs w:val="21"/>
          <w:highlight w:val="none"/>
        </w:rPr>
      </w:r>
      <w:r/>
    </w:p>
    <w:p>
      <w:pPr>
        <w:pStyle w:val="864"/>
        <w:ind w:firstLine="420"/>
        <w:jc w:val="left"/>
        <w:spacing w:line="360" w:lineRule="auto"/>
        <w:rPr>
          <w:szCs w:val="21"/>
          <w:highlight w:val="none"/>
        </w:rPr>
      </w:pPr>
      <w:r>
        <w:rPr>
          <w:szCs w:val="21"/>
          <w:highlight w:val="none"/>
        </w:rPr>
        <w:t xml:space="preserve">6.本项目不接受联合体投标。</w:t>
      </w:r>
      <w:r>
        <w:rPr>
          <w:szCs w:val="21"/>
          <w:highlight w:val="none"/>
        </w:rPr>
      </w:r>
      <w:r/>
    </w:p>
    <w:p>
      <w:pPr>
        <w:pStyle w:val="864"/>
        <w:ind w:firstLine="420"/>
        <w:spacing w:line="360" w:lineRule="auto"/>
        <w:rPr>
          <w:b/>
          <w:bCs/>
          <w:szCs w:val="21"/>
          <w:highlight w:val="none"/>
        </w:rPr>
      </w:pPr>
      <w:r/>
      <w:bookmarkEnd w:id="6"/>
      <w:r/>
      <w:bookmarkStart w:id="7" w:name="_Toc28359080"/>
      <w:r>
        <w:rPr>
          <w:b/>
          <w:bCs/>
          <w:szCs w:val="21"/>
          <w:highlight w:val="none"/>
        </w:rPr>
        <w:t xml:space="preserve">二、申请人的资格要求：</w:t>
      </w:r>
      <w:r>
        <w:rPr>
          <w:b/>
          <w:bCs/>
          <w:szCs w:val="21"/>
          <w:highlight w:val="none"/>
        </w:rPr>
      </w:r>
      <w:r/>
    </w:p>
    <w:p>
      <w:pPr>
        <w:pStyle w:val="864"/>
        <w:ind w:firstLine="420"/>
        <w:spacing w:line="360" w:lineRule="auto"/>
        <w:rPr>
          <w:szCs w:val="21"/>
          <w:highlight w:val="none"/>
        </w:rPr>
      </w:pPr>
      <w:r/>
      <w:bookmarkEnd w:id="7"/>
      <w:r/>
      <w:bookmarkStart w:id="8" w:name="_Toc28359004"/>
      <w:r>
        <w:rPr>
          <w:szCs w:val="21"/>
          <w:highlight w:val="none"/>
        </w:rPr>
        <w:t xml:space="preserve">1.满足《中华人民共和国政府采购法》第二十二条规定：</w:t>
      </w:r>
      <w:r>
        <w:rPr>
          <w:szCs w:val="21"/>
          <w:highlight w:val="none"/>
        </w:rPr>
      </w:r>
      <w:r/>
    </w:p>
    <w:p>
      <w:pPr>
        <w:pStyle w:val="864"/>
        <w:ind w:firstLine="420"/>
        <w:jc w:val="left"/>
        <w:spacing w:line="360" w:lineRule="auto"/>
        <w:shd w:val="clear" w:color="auto" w:fill="ffffff"/>
        <w:widowControl/>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1具有独立承担民事责任的能力。</w:t>
      </w:r>
      <w:r>
        <w:rPr>
          <w:rFonts w:hint="eastAsia" w:ascii="宋体" w:hAnsi="宋体"/>
          <w:color w:val="000000"/>
          <w:szCs w:val="21"/>
          <w:highlight w:val="none"/>
        </w:rPr>
      </w:r>
      <w:r/>
    </w:p>
    <w:p>
      <w:pPr>
        <w:pStyle w:val="864"/>
        <w:ind w:firstLine="420"/>
        <w:jc w:val="left"/>
        <w:spacing w:line="360" w:lineRule="auto"/>
        <w:shd w:val="clear" w:color="auto" w:fill="ffffff"/>
        <w:widowControl/>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2具有良好的商业信誉和健全的财务会计制度。</w:t>
      </w:r>
      <w:r>
        <w:rPr>
          <w:rFonts w:hint="eastAsia" w:ascii="宋体" w:hAnsi="宋体"/>
          <w:color w:val="000000"/>
          <w:szCs w:val="21"/>
          <w:highlight w:val="none"/>
        </w:rPr>
      </w:r>
      <w:r/>
    </w:p>
    <w:p>
      <w:pPr>
        <w:pStyle w:val="864"/>
        <w:ind w:firstLine="420"/>
        <w:jc w:val="left"/>
        <w:spacing w:line="360" w:lineRule="auto"/>
        <w:shd w:val="clear" w:color="auto" w:fill="ffffff"/>
        <w:widowControl/>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3具有履行合同所必需的设备和专业技术能力。</w:t>
      </w:r>
      <w:r>
        <w:rPr>
          <w:rFonts w:hint="eastAsia" w:ascii="宋体" w:hAnsi="宋体"/>
          <w:color w:val="000000"/>
          <w:szCs w:val="21"/>
          <w:highlight w:val="none"/>
        </w:rPr>
      </w:r>
      <w:r/>
    </w:p>
    <w:p>
      <w:pPr>
        <w:pStyle w:val="864"/>
        <w:ind w:firstLine="420"/>
        <w:jc w:val="left"/>
        <w:spacing w:line="360" w:lineRule="auto"/>
        <w:shd w:val="clear" w:color="auto" w:fill="ffffff"/>
        <w:widowControl/>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4有依法缴纳税收和社会保障资金的良好记录。</w:t>
      </w:r>
      <w:r>
        <w:rPr>
          <w:rFonts w:hint="eastAsia" w:ascii="宋体" w:hAnsi="宋体"/>
          <w:color w:val="000000"/>
          <w:szCs w:val="21"/>
          <w:highlight w:val="none"/>
        </w:rPr>
      </w:r>
      <w:r/>
    </w:p>
    <w:p>
      <w:pPr>
        <w:pStyle w:val="864"/>
        <w:ind w:firstLine="420"/>
        <w:jc w:val="left"/>
        <w:spacing w:line="360" w:lineRule="auto"/>
        <w:shd w:val="clear" w:color="auto" w:fill="ffffff"/>
        <w:widowControl/>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5参加政府采购活动前三年内，在经营活动中没有重大违法记录。</w:t>
      </w:r>
      <w:r>
        <w:rPr>
          <w:rFonts w:hint="eastAsia" w:ascii="宋体" w:hAnsi="宋体"/>
          <w:color w:val="000000"/>
          <w:szCs w:val="21"/>
          <w:highlight w:val="none"/>
        </w:rPr>
      </w:r>
      <w:r/>
    </w:p>
    <w:p>
      <w:pPr>
        <w:pStyle w:val="864"/>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6法律、行政法规规定的其他条件。</w:t>
      </w:r>
      <w:r>
        <w:rPr>
          <w:rFonts w:hint="eastAsia" w:ascii="宋体" w:hAnsi="宋体"/>
          <w:color w:val="000000"/>
          <w:szCs w:val="21"/>
          <w:highlight w:val="none"/>
        </w:rPr>
      </w:r>
      <w:r/>
    </w:p>
    <w:p>
      <w:pPr>
        <w:pStyle w:val="864"/>
        <w:ind w:firstLine="420"/>
        <w:spacing w:line="360" w:lineRule="auto"/>
        <w:rPr>
          <w:szCs w:val="21"/>
          <w:highlight w:val="none"/>
        </w:rPr>
      </w:pPr>
      <w:r>
        <w:rPr>
          <w:szCs w:val="21"/>
          <w:highlight w:val="none"/>
        </w:rPr>
        <w:fldChar w:fldCharType="begin"/>
      </w:r>
      <w:r>
        <w:rPr>
          <w:szCs w:val="21"/>
          <w:highlight w:val="none"/>
        </w:rPr>
        <w:instrText xml:space="preserve">HYPERLINK "F:\\wechat\\WeChat Files\\chf0220\\FileStorage\\File\\2023-03\\关于印发《苏州市政府采购促进中小企业发展实施意见》的通知（苏财购[2022]16号）.pdf"</w:instrText>
      </w:r>
      <w:r>
        <w:rPr>
          <w:szCs w:val="21"/>
          <w:highlight w:val="none"/>
        </w:rPr>
        <w:fldChar w:fldCharType="separate"/>
      </w:r>
      <w:r>
        <w:rPr>
          <w:szCs w:val="21"/>
          <w:highlight w:val="none"/>
        </w:rPr>
        <w:t xml:space="preserve">2.落实政府采购政策需满足的资格要求：</w:t>
      </w:r>
      <w:r>
        <w:rPr>
          <w:szCs w:val="21"/>
          <w:highlight w:val="none"/>
        </w:rPr>
        <w:fldChar w:fldCharType="end"/>
      </w:r>
      <w:bookmarkStart w:id="9" w:name="_Hlk134890382"/>
      <w:r>
        <w:rPr>
          <w:szCs w:val="21"/>
          <w:highlight w:val="none"/>
        </w:rPr>
      </w:r>
      <w:r/>
    </w:p>
    <w:p>
      <w:pPr>
        <w:pStyle w:val="864"/>
        <w:ind w:firstLine="420"/>
        <w:spacing w:line="360" w:lineRule="auto"/>
        <w:rPr>
          <w:rFonts w:hint="eastAsia"/>
          <w:szCs w:val="21"/>
          <w:highlight w:val="none"/>
        </w:rPr>
      </w:pPr>
      <w:r>
        <w:rPr>
          <w:rFonts w:hint="eastAsia" w:ascii="宋体" w:hAnsi="宋体" w:cs="宋体"/>
          <w:b/>
          <w:szCs w:val="21"/>
          <w:highlight w:val="none"/>
        </w:rPr>
        <w:t xml:space="preserve">本项目专门面向中小企业，所属行业为</w:t>
      </w:r>
      <w:r>
        <w:rPr>
          <w:rFonts w:hint="eastAsia" w:ascii="宋体" w:hAnsi="宋体" w:cs="宋体"/>
          <w:b/>
          <w:szCs w:val="21"/>
          <w:highlight w:val="none"/>
          <w:u w:val="single"/>
        </w:rPr>
        <w:t xml:space="preserve">其他</w:t>
      </w:r>
      <w:r>
        <w:rPr>
          <w:rFonts w:hint="eastAsia" w:ascii="宋体" w:hAnsi="宋体" w:cs="宋体"/>
          <w:b/>
          <w:szCs w:val="21"/>
          <w:highlight w:val="none"/>
          <w:u w:val="single"/>
          <w:lang w:val="en-US" w:eastAsia="zh-CN"/>
        </w:rPr>
        <w:t xml:space="preserve">未</w:t>
      </w:r>
      <w:r>
        <w:rPr>
          <w:rFonts w:hint="eastAsia" w:ascii="宋体" w:hAnsi="宋体" w:cs="宋体"/>
          <w:b/>
          <w:szCs w:val="21"/>
          <w:highlight w:val="none"/>
          <w:u w:val="single"/>
        </w:rPr>
        <w:t xml:space="preserve">列明行业</w:t>
      </w:r>
      <w:r>
        <w:rPr>
          <w:rFonts w:hint="eastAsia" w:ascii="宋体" w:hAnsi="宋体" w:cs="宋体"/>
          <w:b/>
          <w:szCs w:val="21"/>
          <w:highlight w:val="none"/>
        </w:rPr>
        <w:t xml:space="preserve">，供应商应为中小微企业、监狱企业、残疾人福利性单位。供应商应提供《中小企业声明函》或《残疾人福利性单位声明函》或省级以上监狱管理局、戒毒管理局（含新疆生产建设兵团）出具的属于监狱企业的证明文件。</w:t>
      </w:r>
      <w:r>
        <w:rPr>
          <w:rFonts w:hint="eastAsia"/>
          <w:szCs w:val="21"/>
          <w:highlight w:val="none"/>
        </w:rPr>
      </w:r>
      <w:r/>
    </w:p>
    <w:p>
      <w:pPr>
        <w:pStyle w:val="864"/>
        <w:numPr>
          <w:ilvl w:val="0"/>
          <w:numId w:val="1"/>
        </w:numPr>
        <w:ind w:firstLine="420"/>
        <w:spacing w:line="360" w:lineRule="auto"/>
        <w:tabs>
          <w:tab w:val="left" w:pos="312" w:leader="none"/>
        </w:tabs>
        <w:rPr>
          <w:szCs w:val="21"/>
          <w:highlight w:val="none"/>
        </w:rPr>
      </w:pPr>
      <w:r/>
      <w:bookmarkEnd w:id="9"/>
      <w:r>
        <w:rPr>
          <w:szCs w:val="21"/>
          <w:highlight w:val="none"/>
        </w:rPr>
        <w:t xml:space="preserve">本项目的特定资格要求：</w:t>
      </w:r>
      <w:bookmarkEnd w:id="8"/>
      <w:r/>
      <w:bookmarkStart w:id="10" w:name="_Toc35393792"/>
      <w:r>
        <w:rPr>
          <w:szCs w:val="21"/>
          <w:highlight w:val="none"/>
        </w:rPr>
      </w:r>
      <w:r/>
    </w:p>
    <w:p>
      <w:pPr>
        <w:pStyle w:val="864"/>
        <w:ind w:firstLine="420"/>
        <w:spacing w:line="360" w:lineRule="auto"/>
        <w:shd w:val="clear" w:color="auto" w:fill="ffffff"/>
        <w:rPr>
          <w:rFonts w:hint="eastAsia" w:ascii="宋体" w:hAnsi="宋体"/>
          <w:b/>
          <w:bCs/>
          <w:color w:val="000000"/>
          <w:szCs w:val="21"/>
          <w:highlight w:val="none"/>
        </w:rPr>
      </w:pPr>
      <w:r>
        <w:rPr>
          <w:rFonts w:hint="eastAsia" w:ascii="宋体" w:hAnsi="宋体"/>
          <w:b/>
          <w:bCs/>
          <w:color w:val="000000"/>
          <w:szCs w:val="21"/>
          <w:highlight w:val="none"/>
        </w:rPr>
        <w:t xml:space="preserve">（1）未被“信用中国”网站（WWW.creditchina.gov.cn）列入失信被执行人、重大税收违法案件当事人名单、政府采购严重失信行为记录名单。</w:t>
      </w:r>
      <w:r>
        <w:rPr>
          <w:rFonts w:hint="eastAsia" w:ascii="宋体" w:hAnsi="宋体"/>
          <w:b/>
          <w:bCs/>
          <w:color w:val="000000"/>
          <w:szCs w:val="21"/>
          <w:highlight w:val="none"/>
        </w:rPr>
      </w:r>
      <w:r/>
    </w:p>
    <w:p>
      <w:pPr>
        <w:pStyle w:val="864"/>
        <w:ind w:firstLine="422"/>
        <w:spacing w:line="360" w:lineRule="auto"/>
        <w:rPr>
          <w:szCs w:val="21"/>
          <w:highlight w:val="none"/>
        </w:rPr>
      </w:pPr>
      <w:r>
        <w:rPr>
          <w:rFonts w:hint="eastAsia" w:ascii="宋体" w:hAnsi="宋体"/>
          <w:b/>
          <w:bCs/>
          <w:color w:val="000000"/>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szCs w:val="21"/>
          <w:highlight w:val="none"/>
        </w:rPr>
      </w:r>
      <w:r/>
    </w:p>
    <w:p>
      <w:pPr>
        <w:pStyle w:val="864"/>
        <w:ind w:firstLine="420"/>
        <w:spacing w:line="360" w:lineRule="auto"/>
        <w:rPr>
          <w:b/>
          <w:bCs/>
          <w:szCs w:val="21"/>
          <w:highlight w:val="none"/>
        </w:rPr>
      </w:pPr>
      <w:r>
        <w:rPr>
          <w:b/>
          <w:bCs/>
          <w:szCs w:val="21"/>
          <w:highlight w:val="none"/>
        </w:rPr>
        <w:t xml:space="preserve">三、获取采购文件</w:t>
      </w:r>
      <w:r>
        <w:rPr>
          <w:b/>
          <w:bCs/>
          <w:szCs w:val="21"/>
          <w:highlight w:val="none"/>
        </w:rPr>
      </w:r>
      <w:r/>
    </w:p>
    <w:p>
      <w:pPr>
        <w:pStyle w:val="864"/>
        <w:ind w:firstLine="420"/>
        <w:spacing w:line="360" w:lineRule="auto"/>
        <w:rPr>
          <w:szCs w:val="21"/>
          <w:highlight w:val="none"/>
        </w:rPr>
      </w:pPr>
      <w:r/>
      <w:bookmarkEnd w:id="10"/>
      <w:r/>
      <w:bookmarkStart w:id="11" w:name="_Toc28359005"/>
      <w:r>
        <w:rPr>
          <w:szCs w:val="21"/>
          <w:highlight w:val="none"/>
        </w:rPr>
        <w:t xml:space="preserve">1.</w:t>
      </w:r>
      <w:r>
        <w:rPr>
          <w:rFonts w:ascii="宋体" w:hAnsi="宋体" w:cs="宋体"/>
          <w:color w:val="000000"/>
          <w:highlight w:val="none"/>
        </w:rPr>
        <w:t xml:space="preserve">获取招标文件时间：</w:t>
      </w:r>
      <w:r>
        <w:rPr>
          <w:rFonts w:hint="eastAsia" w:eastAsia="Times New Roman"/>
          <w:color w:val="000000"/>
          <w:highlight w:val="none"/>
        </w:rPr>
        <w:t xml:space="preserve">自招标文件公告发布之日起5个工作日</w:t>
      </w:r>
      <w:r>
        <w:rPr>
          <w:rFonts w:ascii="宋体" w:hAnsi="宋体" w:cs="宋体"/>
          <w:color w:val="000000"/>
          <w:highlight w:val="none"/>
        </w:rPr>
        <w:t xml:space="preserve">；</w:t>
      </w:r>
      <w:r>
        <w:rPr>
          <w:szCs w:val="21"/>
          <w:highlight w:val="none"/>
        </w:rPr>
      </w:r>
      <w:r/>
    </w:p>
    <w:p>
      <w:pPr>
        <w:pStyle w:val="864"/>
        <w:ind w:firstLine="420"/>
        <w:spacing w:line="360" w:lineRule="auto"/>
        <w:rPr>
          <w:rFonts w:hint="eastAsia"/>
          <w:szCs w:val="21"/>
          <w:highlight w:val="none"/>
        </w:rPr>
      </w:pPr>
      <w:r>
        <w:rPr>
          <w:rFonts w:hint="eastAsia"/>
          <w:szCs w:val="21"/>
          <w:highlight w:val="none"/>
        </w:rPr>
        <w:t xml:space="preserve">2.获取地点：“苏采云”系统</w:t>
      </w:r>
      <w:r>
        <w:rPr>
          <w:rFonts w:hint="eastAsia"/>
          <w:szCs w:val="21"/>
          <w:highlight w:val="none"/>
        </w:rPr>
      </w:r>
      <w:r/>
    </w:p>
    <w:p>
      <w:pPr>
        <w:pStyle w:val="864"/>
        <w:ind w:firstLine="420"/>
        <w:spacing w:line="360" w:lineRule="auto"/>
        <w:rPr>
          <w:rFonts w:hint="eastAsia"/>
          <w:szCs w:val="21"/>
          <w:highlight w:val="none"/>
        </w:rPr>
      </w:pPr>
      <w:r>
        <w:rPr>
          <w:rFonts w:hint="eastAsia"/>
          <w:szCs w:val="21"/>
          <w:highlight w:val="none"/>
        </w:rPr>
        <w:t xml:space="preserve">3.方式：在“苏采云”系统线上报名并下载采购文件；</w:t>
      </w:r>
      <w:r>
        <w:rPr>
          <w:rFonts w:hint="eastAsia"/>
          <w:szCs w:val="21"/>
          <w:highlight w:val="none"/>
        </w:rPr>
      </w:r>
      <w:r/>
    </w:p>
    <w:p>
      <w:pPr>
        <w:pStyle w:val="864"/>
        <w:ind w:firstLine="420"/>
        <w:spacing w:line="360" w:lineRule="auto"/>
        <w:rPr>
          <w:szCs w:val="21"/>
          <w:highlight w:val="none"/>
        </w:rPr>
      </w:pPr>
      <w:r>
        <w:rPr>
          <w:rFonts w:hint="eastAsia"/>
          <w:szCs w:val="21"/>
          <w:highlight w:val="none"/>
        </w:rPr>
        <w:t xml:space="preserve">4.谈判文件售价：0元。</w:t>
      </w:r>
      <w:r>
        <w:rPr>
          <w:szCs w:val="21"/>
          <w:highlight w:val="none"/>
        </w:rPr>
      </w:r>
      <w:r/>
    </w:p>
    <w:p>
      <w:pPr>
        <w:pStyle w:val="864"/>
        <w:ind w:firstLine="420"/>
        <w:spacing w:line="360" w:lineRule="auto"/>
        <w:rPr>
          <w:b/>
          <w:bCs/>
          <w:szCs w:val="21"/>
          <w:highlight w:val="none"/>
        </w:rPr>
      </w:pPr>
      <w:r>
        <w:rPr>
          <w:b/>
          <w:bCs/>
          <w:szCs w:val="21"/>
          <w:highlight w:val="none"/>
        </w:rPr>
        <w:t xml:space="preserve">四、提交投标文件截止时间、开标时间和地点</w:t>
      </w:r>
      <w:r>
        <w:rPr>
          <w:b/>
          <w:bCs/>
          <w:szCs w:val="21"/>
          <w:highlight w:val="none"/>
        </w:rPr>
      </w:r>
      <w:r/>
    </w:p>
    <w:p>
      <w:pPr>
        <w:pStyle w:val="864"/>
        <w:ind w:firstLine="420"/>
        <w:spacing w:line="360" w:lineRule="auto"/>
        <w:rPr>
          <w:rFonts w:hint="eastAsia" w:ascii="宋体" w:hAnsi="宋体"/>
          <w:color w:val="0000ff"/>
          <w:szCs w:val="21"/>
          <w:highlight w:val="none"/>
        </w:rPr>
      </w:pPr>
      <w:r/>
      <w:bookmarkEnd w:id="11"/>
      <w:r/>
      <w:bookmarkStart w:id="12" w:name="_Toc35393794"/>
      <w:r/>
      <w:bookmarkEnd w:id="12"/>
      <w:r/>
      <w:bookmarkStart w:id="13" w:name="_Toc35393625"/>
      <w:r>
        <w:rPr>
          <w:rFonts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6</w:t>
      </w:r>
      <w:r>
        <w:rPr>
          <w:rFonts w:ascii="宋体" w:hAnsi="宋体" w:cs="宋体"/>
          <w:color w:val="000000"/>
          <w:szCs w:val="21"/>
          <w:highlight w:val="none"/>
          <w:u w:val="single"/>
        </w:rPr>
        <w:t xml:space="preserve">-0</w:t>
      </w:r>
      <w:r>
        <w:rPr>
          <w:rFonts w:hint="eastAsia" w:ascii="宋体" w:hAnsi="宋体" w:cs="宋体"/>
          <w:color w:val="000000"/>
          <w:szCs w:val="21"/>
          <w:highlight w:val="none"/>
          <w:u w:val="single"/>
          <w:lang w:val="en-US" w:eastAsia="zh-CN"/>
        </w:rPr>
        <w:t xml:space="preserve">7</w:t>
      </w:r>
      <w:r>
        <w:rPr>
          <w:rFonts w:ascii="宋体" w:hAnsi="宋体" w:cs="宋体"/>
          <w:color w:val="000000"/>
          <w:szCs w:val="21"/>
          <w:highlight w:val="none"/>
          <w:u w:val="single"/>
        </w:rPr>
        <w:t xml:space="preserve">-</w:t>
      </w:r>
      <w:r>
        <w:rPr>
          <w:rFonts w:hint="eastAsia" w:ascii="宋体" w:hAnsi="宋体" w:cs="宋体"/>
          <w:color w:val="000000"/>
          <w:szCs w:val="21"/>
          <w:highlight w:val="none"/>
          <w:u w:val="single"/>
          <w:lang w:val="en-US" w:eastAsia="zh-CN"/>
        </w:rPr>
        <w:t xml:space="preserve">24</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09</w:t>
      </w:r>
      <w:r>
        <w:rPr>
          <w:rFonts w:ascii="宋体" w:hAnsi="宋体" w:cs="宋体"/>
          <w:color w:val="000000"/>
          <w:szCs w:val="21"/>
          <w:highlight w:val="none"/>
          <w:u w:val="single"/>
        </w:rPr>
        <w:t xml:space="preserve">:30</w:t>
      </w:r>
      <w:r>
        <w:rPr>
          <w:rFonts w:hint="eastAsia" w:ascii="宋体" w:hAnsi="宋体"/>
          <w:color w:val="000000"/>
          <w:szCs w:val="21"/>
          <w:highlight w:val="none"/>
        </w:rPr>
        <w:t xml:space="preserve">（北京时间）</w:t>
      </w:r>
      <w:r>
        <w:rPr>
          <w:rFonts w:hint="eastAsia" w:ascii="宋体" w:hAnsi="宋体"/>
          <w:color w:val="0000ff"/>
          <w:szCs w:val="21"/>
          <w:highlight w:val="none"/>
        </w:rPr>
      </w:r>
      <w:r/>
    </w:p>
    <w:p>
      <w:pPr>
        <w:pStyle w:val="864"/>
        <w:ind w:firstLine="420"/>
        <w:spacing w:line="360" w:lineRule="auto"/>
        <w:rPr>
          <w:rFonts w:hint="eastAsia" w:ascii="宋体" w:hAnsi="宋体"/>
          <w:szCs w:val="21"/>
          <w:highlight w:val="none"/>
        </w:rPr>
      </w:pPr>
      <w:r>
        <w:rPr>
          <w:rFonts w:hint="eastAsia" w:ascii="宋体" w:hAnsi="宋体"/>
          <w:szCs w:val="21"/>
          <w:highlight w:val="none"/>
        </w:rPr>
        <w:t xml:space="preserve">地点：“苏采云”系统</w:t>
      </w:r>
      <w:r>
        <w:rPr>
          <w:rFonts w:hint="eastAsia" w:ascii="宋体" w:hAnsi="宋体"/>
          <w:szCs w:val="21"/>
          <w:highlight w:val="none"/>
        </w:rPr>
      </w:r>
      <w:r/>
    </w:p>
    <w:p>
      <w:pPr>
        <w:pStyle w:val="864"/>
        <w:ind w:firstLine="420"/>
        <w:spacing w:line="360" w:lineRule="auto"/>
        <w:rPr>
          <w:b/>
          <w:bCs/>
          <w:szCs w:val="21"/>
          <w:highlight w:val="none"/>
        </w:rPr>
      </w:pPr>
      <w:r>
        <w:rPr>
          <w:b/>
          <w:bCs/>
          <w:szCs w:val="21"/>
          <w:highlight w:val="none"/>
        </w:rPr>
        <w:t xml:space="preserve">五、公告期限</w:t>
      </w:r>
      <w:r>
        <w:rPr>
          <w:b/>
          <w:bCs/>
          <w:szCs w:val="21"/>
          <w:highlight w:val="none"/>
        </w:rPr>
      </w:r>
      <w:r/>
    </w:p>
    <w:p>
      <w:pPr>
        <w:pStyle w:val="864"/>
        <w:ind w:firstLine="420"/>
        <w:spacing w:line="360" w:lineRule="auto"/>
        <w:rPr>
          <w:szCs w:val="21"/>
          <w:highlight w:val="none"/>
        </w:rPr>
      </w:pPr>
      <w:r>
        <w:rPr>
          <w:szCs w:val="21"/>
          <w:highlight w:val="none"/>
        </w:rPr>
        <w:t xml:space="preserve">自本公告发布之日起5个工作日。</w:t>
      </w:r>
      <w:r>
        <w:rPr>
          <w:szCs w:val="21"/>
          <w:highlight w:val="none"/>
        </w:rPr>
      </w:r>
      <w:r/>
    </w:p>
    <w:p>
      <w:pPr>
        <w:pStyle w:val="864"/>
        <w:ind w:firstLine="420"/>
        <w:spacing w:line="360" w:lineRule="auto"/>
        <w:rPr>
          <w:b/>
          <w:bCs/>
          <w:szCs w:val="21"/>
          <w:highlight w:val="none"/>
        </w:rPr>
      </w:pPr>
      <w:r/>
      <w:bookmarkEnd w:id="13"/>
      <w:r/>
      <w:bookmarkStart w:id="14" w:name="_Toc35393626"/>
      <w:r>
        <w:rPr>
          <w:b/>
          <w:bCs/>
          <w:szCs w:val="21"/>
          <w:highlight w:val="none"/>
        </w:rPr>
        <w:t xml:space="preserve">六、其他补充事宜</w:t>
      </w:r>
      <w:r>
        <w:rPr>
          <w:b/>
          <w:bCs/>
          <w:szCs w:val="21"/>
          <w:highlight w:val="none"/>
        </w:rPr>
      </w:r>
      <w:r/>
    </w:p>
    <w:p>
      <w:pPr>
        <w:pStyle w:val="864"/>
        <w:contextualSpacing/>
        <w:ind w:firstLine="480"/>
        <w:jc w:val="left"/>
        <w:spacing w:line="360" w:lineRule="auto"/>
        <w:rPr>
          <w:rFonts w:ascii="宋体" w:hAnsi="宋体"/>
          <w:szCs w:val="21"/>
          <w:highlight w:val="none"/>
        </w:rPr>
      </w:pPr>
      <w:r/>
      <w:bookmarkEnd w:id="14"/>
      <w:r/>
      <w:bookmarkStart w:id="15" w:name="_Toc35393796"/>
      <w:r/>
      <w:bookmarkEnd w:id="15"/>
      <w:r/>
      <w:bookmarkStart w:id="16" w:name="_Toc28359085"/>
      <w:r>
        <w:rPr>
          <w:rFonts w:hint="eastAsia" w:ascii="宋体" w:hAnsi="宋体"/>
          <w:szCs w:val="21"/>
          <w:highlight w:val="none"/>
        </w:rPr>
        <w:t xml:space="preserve">1.线上报名获取流程： </w:t>
      </w:r>
      <w:r>
        <w:rPr>
          <w:rFonts w:ascii="宋体" w:hAnsi="宋体"/>
          <w:szCs w:val="21"/>
          <w:highlight w:val="none"/>
        </w:rPr>
      </w:r>
      <w:r/>
    </w:p>
    <w:p>
      <w:pPr>
        <w:pStyle w:val="864"/>
        <w:contextualSpacing/>
        <w:ind w:firstLine="480"/>
        <w:jc w:val="left"/>
        <w:spacing w:line="360" w:lineRule="auto"/>
        <w:rPr>
          <w:rFonts w:ascii="宋体" w:hAnsi="宋体"/>
          <w:szCs w:val="21"/>
          <w:highlight w:val="none"/>
        </w:rPr>
      </w:pPr>
      <w:r>
        <w:rPr>
          <w:rFonts w:hint="eastAsia" w:ascii="宋体" w:hAnsi="宋体"/>
          <w:szCs w:val="21"/>
          <w:highlight w:val="none"/>
        </w:rPr>
        <w:t xml:space="preserve">（1）申领CA证书 </w:t>
      </w:r>
      <w:r>
        <w:rPr>
          <w:rFonts w:ascii="宋体" w:hAnsi="宋体"/>
          <w:szCs w:val="21"/>
          <w:highlight w:val="none"/>
        </w:rPr>
      </w:r>
      <w:r/>
    </w:p>
    <w:p>
      <w:pPr>
        <w:pStyle w:val="864"/>
        <w:contextualSpacing/>
        <w:ind w:firstLine="480"/>
        <w:jc w:val="left"/>
        <w:spacing w:line="360" w:lineRule="auto"/>
        <w:rPr>
          <w:rFonts w:ascii="宋体" w:hAnsi="宋体"/>
          <w:szCs w:val="21"/>
          <w:highlight w:val="none"/>
        </w:rPr>
      </w:pPr>
      <w:r>
        <w:rPr>
          <w:rFonts w:hint="eastAsia" w:ascii="宋体" w:hAnsi="宋体"/>
          <w:szCs w:val="21"/>
          <w:highlight w:val="none"/>
        </w:rPr>
        <w:t xml:space="preserve">供应商进入“江苏政府采购”官网首页―“苏采云”―进入“苏采云政府采购一体化平台”―点击“新CA办理指南”。详见《江苏省政府采购数字证书（供应商）数字证书CA及电子签章办理指南》。 </w:t>
      </w:r>
      <w:r>
        <w:rPr>
          <w:rFonts w:ascii="宋体" w:hAnsi="宋体"/>
          <w:szCs w:val="21"/>
          <w:highlight w:val="none"/>
        </w:rPr>
      </w:r>
      <w:r/>
    </w:p>
    <w:p>
      <w:pPr>
        <w:pStyle w:val="864"/>
        <w:contextualSpacing/>
        <w:ind w:firstLine="480"/>
        <w:jc w:val="left"/>
        <w:spacing w:line="360" w:lineRule="auto"/>
        <w:rPr>
          <w:rFonts w:ascii="宋体" w:hAnsi="宋体"/>
          <w:szCs w:val="21"/>
          <w:highlight w:val="none"/>
        </w:rPr>
      </w:pPr>
      <w:r>
        <w:rPr>
          <w:rFonts w:hint="eastAsia" w:ascii="宋体" w:hAnsi="宋体"/>
          <w:szCs w:val="21"/>
          <w:highlight w:val="none"/>
        </w:rPr>
        <w:t xml:space="preserve">（2）登录报名 </w:t>
      </w:r>
      <w:r>
        <w:rPr>
          <w:rFonts w:ascii="宋体" w:hAnsi="宋体"/>
          <w:szCs w:val="21"/>
          <w:highlight w:val="none"/>
        </w:rPr>
      </w:r>
      <w:r/>
    </w:p>
    <w:p>
      <w:pPr>
        <w:pStyle w:val="864"/>
        <w:contextualSpacing/>
        <w:ind w:firstLine="480"/>
        <w:jc w:val="left"/>
        <w:spacing w:line="360" w:lineRule="auto"/>
        <w:rPr>
          <w:rFonts w:ascii="宋体" w:hAnsi="宋体"/>
          <w:szCs w:val="21"/>
          <w:highlight w:val="none"/>
        </w:rPr>
      </w:pPr>
      <w:r>
        <w:rPr>
          <w:rFonts w:hint="eastAsia" w:ascii="宋体" w:hAnsi="宋体"/>
          <w:szCs w:val="21"/>
          <w:highlight w:val="none"/>
        </w:rPr>
        <w:t xml:space="preserve">供应商进入“江苏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 </w:t>
      </w:r>
      <w:r>
        <w:rPr>
          <w:rFonts w:ascii="宋体" w:hAnsi="宋体"/>
          <w:szCs w:val="21"/>
          <w:highlight w:val="none"/>
        </w:rPr>
      </w:r>
      <w:r/>
    </w:p>
    <w:p>
      <w:pPr>
        <w:pStyle w:val="864"/>
        <w:contextualSpacing/>
        <w:ind w:firstLine="480"/>
        <w:jc w:val="left"/>
        <w:spacing w:line="360" w:lineRule="auto"/>
        <w:rPr>
          <w:rFonts w:ascii="宋体" w:hAnsi="宋体"/>
          <w:szCs w:val="21"/>
          <w:highlight w:val="none"/>
        </w:rPr>
      </w:pPr>
      <w:r>
        <w:rPr>
          <w:rFonts w:hint="eastAsia" w:ascii="宋体" w:hAnsi="宋体"/>
          <w:szCs w:val="21"/>
          <w:highlight w:val="none"/>
        </w:rPr>
        <w:t xml:space="preserve">（3）获取采购文件方式</w:t>
      </w:r>
      <w:r>
        <w:rPr>
          <w:rFonts w:ascii="宋体" w:hAnsi="宋体"/>
          <w:szCs w:val="21"/>
          <w:highlight w:val="none"/>
        </w:rPr>
      </w:r>
      <w:r/>
    </w:p>
    <w:p>
      <w:pPr>
        <w:pStyle w:val="864"/>
        <w:contextualSpacing/>
        <w:ind w:firstLine="480"/>
        <w:jc w:val="left"/>
        <w:spacing w:line="360" w:lineRule="auto"/>
        <w:rPr>
          <w:rFonts w:ascii="宋体" w:hAnsi="宋体"/>
          <w:szCs w:val="21"/>
          <w:highlight w:val="none"/>
        </w:rPr>
      </w:pPr>
      <w:r>
        <w:rPr>
          <w:rFonts w:hint="eastAsia" w:ascii="宋体" w:hAnsi="宋体"/>
          <w:szCs w:val="21"/>
          <w:highlight w:val="none"/>
        </w:rPr>
        <w:t xml:space="preserve">报名供应商确认报名后需自行从报名系统里面下载本项目采购文件，报名日期视同为依法获取采购文件日期。未依照采购公告要求实行网上报名的供应商，视为未参与该项政府采购活动，不具备对该政府采购项目提出质疑的法定权利，但因供应商资格条件或报名时间设定不符合有关法律法规规定等原因使供应商权益受损的除外。</w:t>
      </w:r>
      <w:r>
        <w:rPr>
          <w:rFonts w:ascii="宋体" w:hAnsi="宋体"/>
          <w:szCs w:val="21"/>
          <w:highlight w:val="none"/>
        </w:rPr>
      </w:r>
      <w:r/>
    </w:p>
    <w:p>
      <w:pPr>
        <w:pStyle w:val="864"/>
        <w:contextualSpacing/>
        <w:ind w:firstLine="480"/>
        <w:jc w:val="left"/>
        <w:spacing w:line="360" w:lineRule="auto"/>
        <w:rPr>
          <w:rFonts w:ascii="宋体" w:hAnsi="宋体"/>
          <w:color w:val="000000"/>
          <w:szCs w:val="21"/>
          <w:highlight w:val="none"/>
        </w:rPr>
      </w:pPr>
      <w:r>
        <w:rPr>
          <w:rFonts w:hint="eastAsia" w:ascii="宋体" w:hAnsi="宋体"/>
          <w:szCs w:val="21"/>
          <w:highlight w:val="none"/>
        </w:rPr>
        <w:t xml:space="preserve">2.电子投标准备：供应商在“苏采云”系统中操作参与项目并下载电子采购文件后，应将采购文件导入政府采购客户端工具后方可进行响应文件制作和提交（具体详见</w:t>
      </w:r>
      <w:r>
        <w:rPr>
          <w:rFonts w:hint="eastAsia" w:ascii="宋体" w:hAnsi="宋体"/>
          <w:color w:val="000000"/>
          <w:szCs w:val="21"/>
          <w:highlight w:val="none"/>
        </w:rPr>
        <w:t xml:space="preserve">《苏采云系统供应商操作手册》，网址链接https://czju.suzhou.gov.cn/zfcg/html/content/20231220161910031.shtml）。</w:t>
      </w:r>
      <w:r>
        <w:rPr>
          <w:rFonts w:ascii="宋体" w:hAnsi="宋体"/>
          <w:color w:val="000000"/>
          <w:szCs w:val="21"/>
          <w:highlight w:val="none"/>
        </w:rPr>
      </w:r>
      <w:r/>
    </w:p>
    <w:p>
      <w:pPr>
        <w:pStyle w:val="889"/>
        <w:tabs>
          <w:tab w:val="left" w:pos="5250" w:leader="none"/>
        </w:tabs>
        <w:rPr>
          <w:rFonts w:hint="eastAsia"/>
          <w:sz w:val="21"/>
          <w:szCs w:val="21"/>
          <w:highlight w:val="none"/>
        </w:rPr>
      </w:pPr>
      <w:r>
        <w:rPr>
          <w:rFonts w:hint="eastAsia"/>
          <w:sz w:val="21"/>
          <w:szCs w:val="21"/>
          <w:highlight w:val="none"/>
        </w:rPr>
        <w:t xml:space="preserve">3.本项目采用电子招投标形式，请供应商按照《苏采云系统供应商操作手册》进行制作、上传电子响应文件。电子响应文件制作完成后请于响应文件提交的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sz w:val="21"/>
          <w:szCs w:val="21"/>
          <w:highlight w:val="none"/>
        </w:rPr>
      </w:r>
      <w:r/>
    </w:p>
    <w:p>
      <w:pPr>
        <w:pStyle w:val="889"/>
        <w:tabs>
          <w:tab w:val="left" w:pos="5250" w:leader="none"/>
        </w:tabs>
        <w:rPr>
          <w:sz w:val="21"/>
          <w:szCs w:val="21"/>
          <w:highlight w:val="none"/>
        </w:rPr>
      </w:pPr>
      <w:r>
        <w:rPr>
          <w:rFonts w:hint="eastAsia"/>
          <w:sz w:val="21"/>
          <w:szCs w:val="21"/>
          <w:highlight w:val="none"/>
        </w:rPr>
        <w:t xml:space="preserve">供应商参加开标（开启）会方式：供应商登录“苏采云”系统在平台首页点击“开标大厅”，进入江苏省政府采购一体化不见面开标（采购）大厅，在今日项目列表，点击项目，进入不见面开标系统。本项目为不见面开标项目，开标阶段供应商在【解密】环节必须使用CA证书解密电子投标（响应）文件，如在系统规定的解密时间内未能完成解密的视为放弃投标。</w:t>
      </w:r>
      <w:r>
        <w:rPr>
          <w:sz w:val="21"/>
          <w:szCs w:val="21"/>
          <w:highlight w:val="none"/>
        </w:rPr>
      </w:r>
      <w:r/>
    </w:p>
    <w:p>
      <w:pPr>
        <w:pStyle w:val="864"/>
        <w:contextualSpacing/>
        <w:ind w:firstLine="480"/>
        <w:jc w:val="left"/>
        <w:spacing w:line="360" w:lineRule="auto"/>
        <w:rPr>
          <w:rFonts w:ascii="宋体" w:hAnsi="宋体"/>
          <w:szCs w:val="21"/>
          <w:highlight w:val="none"/>
        </w:rPr>
      </w:pPr>
      <w:r>
        <w:rPr>
          <w:rFonts w:hint="eastAsia" w:ascii="宋体" w:hAnsi="宋体"/>
          <w:szCs w:val="21"/>
          <w:highlight w:val="none"/>
        </w:rPr>
        <w:t xml:space="preserve">4.在网上报名或系统使用过程中如有疑问，请按以下方式联系： </w:t>
      </w:r>
      <w:r>
        <w:rPr>
          <w:rFonts w:ascii="宋体" w:hAnsi="宋体"/>
          <w:szCs w:val="21"/>
          <w:highlight w:val="none"/>
        </w:rPr>
      </w:r>
      <w:r/>
    </w:p>
    <w:p>
      <w:pPr>
        <w:pStyle w:val="864"/>
        <w:contextualSpacing/>
        <w:ind w:firstLine="480"/>
        <w:jc w:val="left"/>
        <w:spacing w:line="360" w:lineRule="auto"/>
        <w:rPr>
          <w:rFonts w:ascii="宋体" w:hAnsi="宋体"/>
          <w:szCs w:val="21"/>
          <w:highlight w:val="none"/>
        </w:rPr>
      </w:pPr>
      <w:r>
        <w:rPr>
          <w:rFonts w:hint="eastAsia" w:ascii="宋体" w:hAnsi="宋体"/>
          <w:szCs w:val="21"/>
          <w:highlight w:val="none"/>
        </w:rPr>
        <w:t xml:space="preserve">注册咨询：18261002950； </w:t>
      </w:r>
      <w:r>
        <w:rPr>
          <w:rFonts w:ascii="宋体" w:hAnsi="宋体"/>
          <w:szCs w:val="21"/>
          <w:highlight w:val="none"/>
        </w:rPr>
      </w:r>
      <w:r/>
    </w:p>
    <w:p>
      <w:pPr>
        <w:pStyle w:val="864"/>
        <w:contextualSpacing/>
        <w:ind w:firstLine="480"/>
        <w:jc w:val="left"/>
        <w:spacing w:line="360" w:lineRule="auto"/>
        <w:rPr>
          <w:rFonts w:ascii="宋体" w:hAnsi="宋体"/>
          <w:szCs w:val="21"/>
          <w:highlight w:val="none"/>
        </w:rPr>
      </w:pPr>
      <w:r>
        <w:rPr>
          <w:rFonts w:hint="eastAsia" w:ascii="宋体" w:hAnsi="宋体"/>
          <w:szCs w:val="21"/>
          <w:highlight w:val="none"/>
        </w:rPr>
        <w:t xml:space="preserve">CA技术咨询电话：400-608-6099；  </w:t>
      </w:r>
      <w:r>
        <w:rPr>
          <w:rFonts w:ascii="宋体" w:hAnsi="宋体"/>
          <w:szCs w:val="21"/>
          <w:highlight w:val="none"/>
        </w:rPr>
      </w:r>
      <w:r/>
    </w:p>
    <w:p>
      <w:pPr>
        <w:pStyle w:val="864"/>
        <w:contextualSpacing/>
        <w:ind w:firstLine="480"/>
        <w:jc w:val="left"/>
        <w:spacing w:line="360" w:lineRule="auto"/>
        <w:rPr>
          <w:rFonts w:ascii="宋体" w:hAnsi="宋体"/>
          <w:szCs w:val="21"/>
          <w:highlight w:val="none"/>
        </w:rPr>
      </w:pPr>
      <w:r>
        <w:rPr>
          <w:rFonts w:hint="eastAsia" w:ascii="宋体" w:hAnsi="宋体"/>
          <w:szCs w:val="21"/>
          <w:highlight w:val="none"/>
        </w:rPr>
        <w:t xml:space="preserve">签章使用问题：025-83633811、025-83633812、15380932027、15371015030；  </w:t>
      </w:r>
      <w:r>
        <w:rPr>
          <w:rFonts w:ascii="宋体" w:hAnsi="宋体"/>
          <w:szCs w:val="21"/>
          <w:highlight w:val="none"/>
        </w:rPr>
      </w:r>
      <w:r/>
    </w:p>
    <w:p>
      <w:pPr>
        <w:pStyle w:val="864"/>
        <w:contextualSpacing/>
        <w:ind w:firstLine="480"/>
        <w:jc w:val="left"/>
        <w:spacing w:line="360" w:lineRule="auto"/>
        <w:rPr>
          <w:rFonts w:ascii="宋体" w:hAnsi="宋体"/>
          <w:szCs w:val="21"/>
          <w:highlight w:val="none"/>
        </w:rPr>
      </w:pPr>
      <w:r>
        <w:rPr>
          <w:rFonts w:hint="eastAsia" w:ascii="宋体" w:hAnsi="宋体"/>
          <w:szCs w:val="21"/>
          <w:highlight w:val="none"/>
        </w:rPr>
        <w:t xml:space="preserve">系统使用指导与咨询：联系电话：18261002950，0512-50355903；QQ：3048755361、1315179389、895706745。 </w:t>
      </w:r>
      <w:r>
        <w:rPr>
          <w:rFonts w:ascii="宋体" w:hAnsi="宋体"/>
          <w:szCs w:val="21"/>
          <w:highlight w:val="none"/>
        </w:rPr>
      </w:r>
      <w:r/>
    </w:p>
    <w:p>
      <w:pPr>
        <w:pStyle w:val="864"/>
        <w:contextualSpacing/>
        <w:ind w:firstLine="420"/>
        <w:jc w:val="left"/>
        <w:spacing w:line="360" w:lineRule="auto"/>
        <w:rPr>
          <w:rFonts w:ascii="宋体" w:hAnsi="宋体"/>
          <w:szCs w:val="21"/>
          <w:highlight w:val="none"/>
        </w:rPr>
      </w:pPr>
      <w:r>
        <w:rPr>
          <w:rFonts w:hint="eastAsia" w:ascii="宋体" w:hAnsi="宋体"/>
          <w:szCs w:val="21"/>
          <w:highlight w:val="none"/>
        </w:rPr>
        <w:t xml:space="preserve">5.本次采购的相关信息刊登在中国政府采购网、江苏政府采购网、苏州市政府采购网。</w:t>
      </w:r>
      <w:r>
        <w:rPr>
          <w:rFonts w:ascii="宋体" w:hAnsi="宋体"/>
          <w:szCs w:val="21"/>
          <w:highlight w:val="none"/>
        </w:rPr>
      </w:r>
      <w:r/>
    </w:p>
    <w:p>
      <w:pPr>
        <w:pStyle w:val="864"/>
        <w:ind w:firstLine="420"/>
        <w:spacing w:line="360" w:lineRule="auto"/>
        <w:rPr>
          <w:szCs w:val="21"/>
          <w:highlight w:val="none"/>
        </w:rPr>
      </w:pPr>
      <w:r>
        <w:rPr>
          <w:rFonts w:hint="eastAsia" w:ascii="宋体" w:hAnsi="宋体"/>
          <w:szCs w:val="21"/>
          <w:highlight w:val="none"/>
        </w:rPr>
        <w:t xml:space="preserve">6.</w:t>
      </w:r>
      <w:r>
        <w:rPr>
          <w:szCs w:val="21"/>
          <w:highlight w:val="none"/>
        </w:rPr>
        <w:t xml:space="preserve">供应商在参加政府采购活动时须遵守《昆山市政府采购供应商诚信管理办法》的相关规定。</w:t>
      </w:r>
      <w:r>
        <w:rPr>
          <w:szCs w:val="21"/>
          <w:highlight w:val="none"/>
        </w:rPr>
      </w:r>
      <w:r/>
    </w:p>
    <w:p>
      <w:pPr>
        <w:pStyle w:val="864"/>
        <w:ind w:firstLine="420"/>
        <w:spacing w:line="360" w:lineRule="auto"/>
        <w:rPr>
          <w:rFonts w:hint="eastAsia" w:ascii="宋体" w:hAnsi="宋体"/>
          <w:szCs w:val="21"/>
          <w:highlight w:val="none"/>
        </w:rPr>
      </w:pPr>
      <w:r>
        <w:rPr>
          <w:rFonts w:hint="eastAsia"/>
          <w:szCs w:val="21"/>
          <w:highlight w:val="none"/>
        </w:rPr>
        <w:t xml:space="preserve">7.</w:t>
      </w:r>
      <w:r>
        <w:rPr>
          <w:rFonts w:hint="eastAsia" w:ascii="宋体" w:hAnsi="宋体"/>
          <w:szCs w:val="21"/>
          <w:highlight w:val="none"/>
        </w:rPr>
        <w:t xml:space="preserve">昆山市政府采购办公室监督电话：0512-57310854。</w:t>
      </w:r>
      <w:r>
        <w:rPr>
          <w:rFonts w:hint="eastAsia" w:ascii="宋体" w:hAnsi="宋体"/>
          <w:szCs w:val="21"/>
          <w:highlight w:val="none"/>
        </w:rPr>
      </w:r>
      <w:r/>
    </w:p>
    <w:p>
      <w:pPr>
        <w:pStyle w:val="864"/>
        <w:ind w:firstLine="420"/>
        <w:spacing w:line="360" w:lineRule="auto"/>
        <w:rPr>
          <w:b/>
          <w:bCs/>
          <w:szCs w:val="21"/>
          <w:highlight w:val="none"/>
        </w:rPr>
      </w:pPr>
      <w:r>
        <w:rPr>
          <w:b/>
          <w:bCs/>
          <w:szCs w:val="21"/>
          <w:highlight w:val="none"/>
        </w:rPr>
        <w:t xml:space="preserve">七、对本次招标提出询问，请按以下方式联系。</w:t>
      </w:r>
      <w:r>
        <w:rPr>
          <w:b/>
          <w:bCs/>
          <w:szCs w:val="21"/>
          <w:highlight w:val="none"/>
        </w:rPr>
      </w:r>
      <w:r/>
    </w:p>
    <w:p>
      <w:pPr>
        <w:pStyle w:val="864"/>
        <w:ind w:firstLine="420"/>
        <w:spacing w:line="360" w:lineRule="auto"/>
        <w:rPr>
          <w:szCs w:val="21"/>
          <w:highlight w:val="none"/>
        </w:rPr>
      </w:pPr>
      <w:r/>
      <w:bookmarkEnd w:id="16"/>
      <w:r>
        <w:rPr>
          <w:szCs w:val="21"/>
          <w:highlight w:val="none"/>
        </w:rPr>
        <w:t xml:space="preserve">1.采购人：苏州市昆山生态环境局</w:t>
      </w:r>
      <w:r>
        <w:rPr>
          <w:szCs w:val="21"/>
          <w:highlight w:val="none"/>
        </w:rPr>
      </w:r>
      <w:r/>
    </w:p>
    <w:p>
      <w:pPr>
        <w:pStyle w:val="864"/>
        <w:ind w:firstLine="420"/>
        <w:spacing w:line="360" w:lineRule="auto"/>
        <w:rPr>
          <w:rFonts w:hint="eastAsia"/>
          <w:color w:val="000000"/>
          <w:szCs w:val="21"/>
          <w:highlight w:val="none"/>
        </w:rPr>
      </w:pPr>
      <w:r>
        <w:rPr>
          <w:rFonts w:hint="eastAsia"/>
          <w:color w:val="000000"/>
          <w:szCs w:val="21"/>
          <w:highlight w:val="none"/>
        </w:rPr>
        <w:t xml:space="preserve">地址：昆山市前进西路1801号</w:t>
      </w:r>
      <w:r>
        <w:rPr>
          <w:rFonts w:hint="eastAsia"/>
          <w:color w:val="000000"/>
          <w:szCs w:val="21"/>
          <w:highlight w:val="none"/>
        </w:rPr>
      </w:r>
      <w:r/>
    </w:p>
    <w:p>
      <w:pPr>
        <w:pStyle w:val="864"/>
        <w:ind w:firstLine="420"/>
        <w:spacing w:line="360" w:lineRule="auto"/>
        <w:rPr>
          <w:rFonts w:hint="eastAsia"/>
          <w:color w:val="000000"/>
          <w:szCs w:val="21"/>
          <w:highlight w:val="none"/>
        </w:rPr>
      </w:pPr>
      <w:r>
        <w:rPr>
          <w:rFonts w:hint="eastAsia"/>
          <w:color w:val="000000"/>
          <w:szCs w:val="21"/>
          <w:highlight w:val="none"/>
        </w:rPr>
        <w:t xml:space="preserve">联系人：陈琳                </w:t>
      </w:r>
      <w:r>
        <w:rPr>
          <w:rFonts w:hint="eastAsia"/>
          <w:color w:val="000000"/>
          <w:szCs w:val="21"/>
          <w:highlight w:val="none"/>
        </w:rPr>
      </w:r>
      <w:r/>
    </w:p>
    <w:p>
      <w:pPr>
        <w:pStyle w:val="864"/>
        <w:ind w:firstLine="420"/>
        <w:spacing w:line="360" w:lineRule="auto"/>
        <w:rPr>
          <w:color w:val="000000"/>
          <w:szCs w:val="21"/>
          <w:highlight w:val="none"/>
        </w:rPr>
      </w:pPr>
      <w:r>
        <w:rPr>
          <w:rFonts w:hint="eastAsia"/>
          <w:color w:val="000000"/>
          <w:szCs w:val="21"/>
          <w:highlight w:val="none"/>
        </w:rPr>
        <w:t xml:space="preserve">联系电话：18912777848</w:t>
      </w:r>
      <w:r>
        <w:rPr>
          <w:color w:val="000000"/>
          <w:szCs w:val="21"/>
          <w:highlight w:val="none"/>
        </w:rPr>
      </w:r>
      <w:r/>
    </w:p>
    <w:p>
      <w:pPr>
        <w:pStyle w:val="864"/>
        <w:ind w:firstLine="420"/>
        <w:spacing w:line="360" w:lineRule="auto"/>
        <w:rPr>
          <w:rFonts w:hint="eastAsia"/>
          <w:szCs w:val="21"/>
          <w:highlight w:val="none"/>
        </w:rPr>
      </w:pPr>
      <w:r>
        <w:rPr>
          <w:szCs w:val="21"/>
          <w:highlight w:val="none"/>
        </w:rPr>
        <w:t xml:space="preserve">2.招标代理机构名称：</w:t>
      </w:r>
      <w:r>
        <w:rPr>
          <w:rFonts w:hint="eastAsia"/>
          <w:szCs w:val="21"/>
          <w:highlight w:val="none"/>
        </w:rPr>
        <w:t xml:space="preserve">艾菲尔（江苏）招投标股份有限公司</w:t>
      </w:r>
      <w:r>
        <w:rPr>
          <w:rFonts w:hint="eastAsia"/>
          <w:szCs w:val="21"/>
          <w:highlight w:val="none"/>
        </w:rPr>
      </w:r>
      <w:r/>
    </w:p>
    <w:p>
      <w:pPr>
        <w:pStyle w:val="864"/>
        <w:ind w:firstLine="420"/>
        <w:spacing w:line="360" w:lineRule="auto"/>
        <w:rPr>
          <w:rFonts w:hint="eastAsia"/>
          <w:szCs w:val="21"/>
          <w:highlight w:val="none"/>
        </w:rPr>
      </w:pPr>
      <w:r>
        <w:rPr>
          <w:szCs w:val="21"/>
          <w:highlight w:val="none"/>
        </w:rPr>
        <w:t xml:space="preserve">地址：</w:t>
      </w:r>
      <w:r>
        <w:rPr>
          <w:rFonts w:hint="eastAsia"/>
          <w:szCs w:val="21"/>
          <w:highlight w:val="none"/>
        </w:rPr>
        <w:t xml:space="preserve">江苏省苏州市高新区玉山路43号1幢203-2室</w:t>
      </w:r>
      <w:r>
        <w:rPr>
          <w:rFonts w:hint="eastAsia"/>
          <w:szCs w:val="21"/>
          <w:highlight w:val="none"/>
        </w:rPr>
      </w:r>
      <w:r/>
    </w:p>
    <w:p>
      <w:pPr>
        <w:pStyle w:val="864"/>
        <w:ind w:firstLine="420"/>
        <w:spacing w:line="360" w:lineRule="auto"/>
        <w:rPr>
          <w:szCs w:val="21"/>
          <w:highlight w:val="none"/>
        </w:rPr>
      </w:pPr>
      <w:r>
        <w:rPr>
          <w:szCs w:val="21"/>
          <w:highlight w:val="none"/>
        </w:rPr>
        <w:t xml:space="preserve">联系人：</w:t>
      </w:r>
      <w:r>
        <w:rPr>
          <w:rFonts w:hint="eastAsia"/>
          <w:szCs w:val="21"/>
          <w:highlight w:val="none"/>
        </w:rPr>
        <w:t xml:space="preserve">傅建菲</w:t>
      </w:r>
      <w:r>
        <w:rPr>
          <w:szCs w:val="21"/>
          <w:highlight w:val="none"/>
        </w:rPr>
        <w:t xml:space="preserve">          </w:t>
      </w:r>
      <w:r>
        <w:rPr>
          <w:szCs w:val="21"/>
          <w:highlight w:val="none"/>
        </w:rPr>
      </w:r>
      <w:r/>
    </w:p>
    <w:p>
      <w:pPr>
        <w:pStyle w:val="864"/>
        <w:ind w:firstLine="420"/>
        <w:spacing w:line="360" w:lineRule="auto"/>
        <w:rPr>
          <w:b/>
          <w:highlight w:val="none"/>
        </w:rPr>
      </w:pPr>
      <w:r>
        <w:rPr>
          <w:szCs w:val="21"/>
          <w:highlight w:val="none"/>
        </w:rPr>
        <w:t xml:space="preserve">联系电话：</w:t>
      </w:r>
      <w:r>
        <w:rPr>
          <w:rFonts w:hint="eastAsia" w:ascii="宋体" w:hAnsi="宋体"/>
          <w:color w:val="000000"/>
          <w:szCs w:val="21"/>
          <w:highlight w:val="none"/>
          <w:lang w:eastAsia="zh-CN"/>
        </w:rPr>
        <w:t xml:space="preserve">18896792684</w:t>
      </w:r>
      <w:r>
        <w:rPr>
          <w:b/>
          <w:highlight w:val="none"/>
        </w:rPr>
        <w:br w:type="page" w:clear="all"/>
      </w:r>
      <w:bookmarkStart w:id="17" w:name="_Toc134091566"/>
      <w:r/>
      <w:bookmarkStart w:id="18" w:name="_Toc161752421"/>
      <w:r>
        <w:rPr>
          <w:b/>
          <w:highlight w:val="none"/>
        </w:rPr>
      </w:r>
      <w:r/>
    </w:p>
    <w:p>
      <w:pPr>
        <w:pStyle w:val="1126"/>
        <w:rPr>
          <w:bCs w:val="0"/>
          <w:color w:val="000000"/>
          <w:sz w:val="24"/>
          <w:szCs w:val="24"/>
          <w:highlight w:val="none"/>
        </w:rPr>
      </w:pPr>
      <w:r>
        <w:rPr>
          <w:rFonts w:hint="eastAsia"/>
          <w:bCs w:val="0"/>
          <w:color w:val="000000"/>
          <w:sz w:val="24"/>
          <w:szCs w:val="24"/>
          <w:highlight w:val="none"/>
        </w:rPr>
        <w:t xml:space="preserve">第二章</w:t>
      </w:r>
      <w:r>
        <w:rPr>
          <w:bCs w:val="0"/>
          <w:color w:val="000000"/>
          <w:sz w:val="24"/>
          <w:szCs w:val="24"/>
          <w:highlight w:val="none"/>
        </w:rPr>
        <w:t xml:space="preserve">  </w:t>
      </w:r>
      <w:r>
        <w:rPr>
          <w:rFonts w:hint="eastAsia"/>
          <w:bCs w:val="0"/>
          <w:color w:val="000000"/>
          <w:sz w:val="24"/>
          <w:szCs w:val="24"/>
          <w:highlight w:val="none"/>
        </w:rPr>
        <w:t xml:space="preserve">投标人须知</w:t>
      </w:r>
      <w:bookmarkEnd w:id="0"/>
      <w:r/>
      <w:bookmarkEnd w:id="17"/>
      <w:r/>
      <w:bookmarkEnd w:id="18"/>
      <w:r>
        <w:rPr>
          <w:bCs w:val="0"/>
          <w:color w:val="000000"/>
          <w:sz w:val="24"/>
          <w:szCs w:val="24"/>
          <w:highlight w:val="none"/>
        </w:rPr>
      </w:r>
      <w:r/>
    </w:p>
    <w:p>
      <w:pPr>
        <w:pStyle w:val="864"/>
        <w:numPr>
          <w:ilvl w:val="0"/>
          <w:numId w:val="2"/>
        </w:numPr>
        <w:ind w:left="850" w:hanging="424"/>
        <w:spacing w:line="360" w:lineRule="auto"/>
        <w:rPr>
          <w:b/>
          <w:color w:val="000000"/>
          <w:szCs w:val="21"/>
          <w:highlight w:val="none"/>
        </w:rPr>
      </w:pPr>
      <w:r>
        <w:rPr>
          <w:b/>
          <w:color w:val="000000"/>
          <w:szCs w:val="21"/>
          <w:highlight w:val="none"/>
        </w:rPr>
        <w:t xml:space="preserve">说明和释义</w:t>
      </w:r>
      <w:r>
        <w:rPr>
          <w:b/>
          <w:color w:val="000000"/>
          <w:szCs w:val="21"/>
          <w:highlight w:val="none"/>
        </w:rPr>
      </w:r>
      <w:r/>
    </w:p>
    <w:p>
      <w:pPr>
        <w:pStyle w:val="864"/>
        <w:numPr>
          <w:ilvl w:val="0"/>
          <w:numId w:val="3"/>
        </w:numPr>
        <w:ind w:left="850"/>
        <w:spacing w:line="360" w:lineRule="auto"/>
        <w:rPr>
          <w:b/>
          <w:color w:val="000000"/>
          <w:szCs w:val="21"/>
          <w:highlight w:val="none"/>
        </w:rPr>
      </w:pPr>
      <w:r>
        <w:rPr>
          <w:b/>
          <w:color w:val="000000"/>
          <w:szCs w:val="21"/>
          <w:highlight w:val="none"/>
        </w:rPr>
        <w:t xml:space="preserve">说明</w:t>
      </w:r>
      <w:r>
        <w:rPr>
          <w:b/>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本招标文件仅适用于</w:t>
      </w:r>
      <w:r>
        <w:rPr>
          <w:rFonts w:hint="eastAsia"/>
          <w:color w:val="000000"/>
          <w:szCs w:val="21"/>
          <w:highlight w:val="none"/>
        </w:rPr>
        <w:t xml:space="preserve">艾菲尔（江苏）招投标股份有限公司</w:t>
      </w:r>
      <w:r>
        <w:rPr>
          <w:color w:val="000000"/>
          <w:szCs w:val="21"/>
          <w:highlight w:val="none"/>
        </w:rPr>
        <w:t xml:space="preserve">组织的招标活动。</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本次招标活动及因本次招标产生的合同受中国法律制约和保护。</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本招标文件的解释权属于</w:t>
      </w:r>
      <w:r>
        <w:rPr>
          <w:rFonts w:hint="eastAsia"/>
          <w:color w:val="000000"/>
          <w:szCs w:val="21"/>
          <w:highlight w:val="none"/>
        </w:rPr>
        <w:t xml:space="preserve">艾菲尔（江苏）招投标股份有限公司</w:t>
      </w:r>
      <w:r>
        <w:rPr>
          <w:color w:val="000000"/>
          <w:szCs w:val="21"/>
          <w:highlight w:val="none"/>
        </w:rPr>
        <w:t xml:space="preserve">。</w:t>
      </w:r>
      <w:r>
        <w:rPr>
          <w:color w:val="000000"/>
          <w:szCs w:val="21"/>
          <w:highlight w:val="none"/>
        </w:rPr>
      </w:r>
      <w:r/>
    </w:p>
    <w:p>
      <w:pPr>
        <w:pStyle w:val="864"/>
        <w:numPr>
          <w:ilvl w:val="0"/>
          <w:numId w:val="3"/>
        </w:numPr>
        <w:ind w:left="850"/>
        <w:spacing w:line="360" w:lineRule="auto"/>
        <w:rPr>
          <w:b/>
          <w:color w:val="000000"/>
          <w:szCs w:val="21"/>
          <w:highlight w:val="none"/>
        </w:rPr>
      </w:pPr>
      <w:r>
        <w:rPr>
          <w:b/>
          <w:color w:val="000000"/>
          <w:szCs w:val="21"/>
          <w:highlight w:val="none"/>
        </w:rPr>
        <w:t xml:space="preserve">词语释义</w:t>
      </w:r>
      <w:r>
        <w:rPr>
          <w:b/>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招标人：具体组织实施招标活动的法人。</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投标人：经认定有资格响应招标，参加投标竞争的法人或其他组织和自然人。</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响应：投标人根据招标人或招标人发布的招标文件，编制投标文件并按规定投标的行为。</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合同：采供双方根据招标文件和中标的投标文件及中标通知书规定的内容签署的以书面形式所达成的协议，包括所有的附件、附录和构成协议的所有文件。</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甲方（采购人）：合同中明确规定的实际购买货物和服务的法人或其他组织和自然人。</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乙方（供应商）：合同中规定的向采购方提供货物和服务的法人或其他组织和自然人。</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伴随服务：根据合同规定乙方应承担的与提供货物和服务有关的辅助服务，比如运输、保险、安装、调试、提供技术援助、培训、配合措施、维修响应及合同中规定乙方应承担的其它义务。</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知识产权：指专利权、商标权、著作权等无形资产专有权的统称。</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天：日历日。</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交货地点：合同中明确约定的乙方提交的货物和服务最终到达地点。</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合同价款：根据合同规定，乙方在正确地履行合同义务后甲方应支付给乙方的价款。</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产地：货物开采、生长、生产、最终制造、加工或提供服务的来源地。</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不可抗力：不能预见、不能避免并且不能克服的客观情况。</w:t>
      </w:r>
      <w:r>
        <w:rPr>
          <w:color w:val="000000"/>
          <w:szCs w:val="21"/>
          <w:highlight w:val="none"/>
        </w:rPr>
      </w:r>
      <w:r/>
    </w:p>
    <w:p>
      <w:pPr>
        <w:pStyle w:val="864"/>
        <w:numPr>
          <w:ilvl w:val="0"/>
          <w:numId w:val="3"/>
        </w:numPr>
        <w:ind w:left="850"/>
        <w:spacing w:line="360" w:lineRule="auto"/>
        <w:rPr>
          <w:b/>
          <w:color w:val="000000"/>
          <w:szCs w:val="21"/>
          <w:highlight w:val="none"/>
        </w:rPr>
      </w:pPr>
      <w:r>
        <w:rPr>
          <w:b/>
          <w:color w:val="000000"/>
          <w:szCs w:val="21"/>
          <w:highlight w:val="none"/>
        </w:rPr>
        <w:t xml:space="preserve">政策功能</w:t>
      </w:r>
      <w:r>
        <w:rPr>
          <w:b/>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政府采购促进中小企业发展，小微企业（含小型、微型企业）提供的产品和服务在评标时将获得优势，具体详见本招标文件内容。</w:t>
      </w:r>
      <w:r>
        <w:rPr>
          <w:color w:val="000000"/>
          <w:szCs w:val="21"/>
          <w:highlight w:val="none"/>
        </w:rPr>
      </w:r>
      <w:r/>
    </w:p>
    <w:p>
      <w:pPr>
        <w:pStyle w:val="864"/>
        <w:numPr>
          <w:ilvl w:val="1"/>
          <w:numId w:val="3"/>
        </w:numPr>
        <w:ind w:left="0" w:firstLine="425"/>
        <w:spacing w:line="360" w:lineRule="auto"/>
        <w:rPr>
          <w:color w:val="000000"/>
          <w:szCs w:val="21"/>
          <w:highlight w:val="none"/>
        </w:rPr>
      </w:pPr>
      <w:r>
        <w:rPr>
          <w:rFonts w:ascii="Segoe UI Symbol" w:hAnsi="Segoe UI Symbol" w:cs="Segoe UI Symbol"/>
          <w:color w:val="000000"/>
          <w:szCs w:val="21"/>
          <w:highlight w:val="none"/>
        </w:rPr>
        <w:t xml:space="preserve">★</w:t>
      </w:r>
      <w:r>
        <w:rPr>
          <w:color w:val="000000"/>
          <w:szCs w:val="21"/>
          <w:highlight w:val="none"/>
        </w:rPr>
        <w:t xml:space="preserve">残疾人福利性单位及监狱企业视同小型企业（需提供</w:t>
      </w:r>
      <w:r>
        <w:rPr>
          <w:color w:val="000000"/>
          <w:spacing w:val="6"/>
          <w:szCs w:val="21"/>
          <w:highlight w:val="none"/>
        </w:rPr>
        <w:t xml:space="preserve">残疾人福利性单位声明函，详见本招标文件</w:t>
      </w:r>
      <w:r>
        <w:rPr>
          <w:color w:val="000000"/>
          <w:szCs w:val="21"/>
          <w:highlight w:val="none"/>
        </w:rPr>
        <w:t xml:space="preserve">）。</w:t>
      </w:r>
      <w:r>
        <w:rPr>
          <w:color w:val="000000"/>
          <w:szCs w:val="21"/>
          <w:highlight w:val="none"/>
        </w:rPr>
      </w:r>
      <w:r/>
    </w:p>
    <w:p>
      <w:pPr>
        <w:pStyle w:val="864"/>
        <w:numPr>
          <w:ilvl w:val="0"/>
          <w:numId w:val="2"/>
        </w:numPr>
        <w:ind w:left="850" w:hanging="424"/>
        <w:jc w:val="left"/>
        <w:spacing w:line="360" w:lineRule="auto"/>
        <w:rPr>
          <w:b/>
          <w:color w:val="000000"/>
          <w:szCs w:val="21"/>
          <w:highlight w:val="none"/>
        </w:rPr>
      </w:pPr>
      <w:r>
        <w:rPr>
          <w:b/>
          <w:color w:val="000000"/>
          <w:szCs w:val="21"/>
          <w:highlight w:val="none"/>
        </w:rPr>
        <w:t xml:space="preserve">投标人</w:t>
      </w:r>
      <w:r>
        <w:rPr>
          <w:b/>
          <w:color w:val="000000"/>
          <w:szCs w:val="21"/>
          <w:highlight w:val="none"/>
        </w:rPr>
      </w:r>
      <w:r/>
    </w:p>
    <w:p>
      <w:pPr>
        <w:pStyle w:val="864"/>
        <w:numPr>
          <w:ilvl w:val="0"/>
          <w:numId w:val="3"/>
        </w:numPr>
        <w:ind w:left="850"/>
        <w:spacing w:line="360" w:lineRule="auto"/>
        <w:rPr>
          <w:b/>
          <w:color w:val="000000"/>
          <w:szCs w:val="21"/>
          <w:highlight w:val="none"/>
        </w:rPr>
      </w:pPr>
      <w:r>
        <w:rPr>
          <w:b/>
          <w:color w:val="000000"/>
          <w:szCs w:val="21"/>
          <w:highlight w:val="none"/>
        </w:rPr>
        <w:t xml:space="preserve">合格投标人的范围</w:t>
      </w:r>
      <w:r>
        <w:rPr>
          <w:b/>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详见“第一章投标邀请函”中投标人要求。</w:t>
      </w:r>
      <w:r>
        <w:rPr>
          <w:color w:val="000000"/>
          <w:szCs w:val="21"/>
          <w:highlight w:val="none"/>
        </w:rPr>
      </w:r>
      <w:r/>
    </w:p>
    <w:p>
      <w:pPr>
        <w:pStyle w:val="864"/>
        <w:numPr>
          <w:ilvl w:val="0"/>
          <w:numId w:val="3"/>
        </w:numPr>
        <w:ind w:left="850"/>
        <w:spacing w:line="360" w:lineRule="auto"/>
        <w:rPr>
          <w:b/>
          <w:color w:val="000000"/>
          <w:szCs w:val="21"/>
          <w:highlight w:val="none"/>
        </w:rPr>
      </w:pPr>
      <w:r>
        <w:rPr>
          <w:b/>
          <w:color w:val="000000"/>
          <w:szCs w:val="21"/>
          <w:highlight w:val="none"/>
        </w:rPr>
        <w:t xml:space="preserve">投标委托</w:t>
      </w:r>
      <w:r>
        <w:rPr>
          <w:b/>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如投标人代表不是法定代表人，须持有《法定代表人授权委托书》（格式见附件）。</w:t>
      </w:r>
      <w:r>
        <w:rPr>
          <w:color w:val="000000"/>
          <w:szCs w:val="21"/>
          <w:highlight w:val="none"/>
        </w:rPr>
      </w:r>
      <w:r/>
    </w:p>
    <w:p>
      <w:pPr>
        <w:pStyle w:val="864"/>
        <w:numPr>
          <w:ilvl w:val="0"/>
          <w:numId w:val="3"/>
        </w:numPr>
        <w:ind w:left="850"/>
        <w:spacing w:line="360" w:lineRule="auto"/>
        <w:rPr>
          <w:b/>
          <w:color w:val="000000"/>
          <w:szCs w:val="21"/>
          <w:highlight w:val="none"/>
        </w:rPr>
      </w:pPr>
      <w:r>
        <w:rPr>
          <w:b/>
          <w:color w:val="000000"/>
          <w:szCs w:val="21"/>
          <w:highlight w:val="none"/>
        </w:rPr>
        <w:t xml:space="preserve">投标费用 </w:t>
      </w:r>
      <w:r>
        <w:rPr>
          <w:b/>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无论投标过程中的做法和结果如何，投标人自行承担所有与参加投标有关的全部费用。</w:t>
      </w:r>
      <w:r>
        <w:rPr>
          <w:color w:val="000000"/>
          <w:szCs w:val="21"/>
          <w:highlight w:val="none"/>
        </w:rPr>
      </w:r>
      <w:r/>
    </w:p>
    <w:p>
      <w:pPr>
        <w:pStyle w:val="864"/>
        <w:numPr>
          <w:ilvl w:val="0"/>
          <w:numId w:val="3"/>
        </w:numPr>
        <w:ind w:left="850"/>
        <w:spacing w:line="360" w:lineRule="auto"/>
        <w:rPr>
          <w:b/>
          <w:color w:val="000000"/>
          <w:szCs w:val="21"/>
          <w:highlight w:val="none"/>
        </w:rPr>
      </w:pPr>
      <w:r>
        <w:rPr>
          <w:b/>
          <w:color w:val="000000"/>
          <w:szCs w:val="21"/>
          <w:highlight w:val="none"/>
        </w:rPr>
        <w:t xml:space="preserve">联合投标</w:t>
      </w:r>
      <w:r>
        <w:rPr>
          <w:b/>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本项目不接受联合体投标</w:t>
      </w:r>
      <w:r>
        <w:rPr>
          <w:color w:val="000000"/>
          <w:szCs w:val="21"/>
          <w:highlight w:val="none"/>
        </w:rPr>
      </w:r>
      <w:r/>
    </w:p>
    <w:p>
      <w:pPr>
        <w:pStyle w:val="864"/>
        <w:numPr>
          <w:ilvl w:val="0"/>
          <w:numId w:val="2"/>
        </w:numPr>
        <w:ind w:left="850" w:hanging="424"/>
        <w:spacing w:line="360" w:lineRule="auto"/>
        <w:rPr>
          <w:b/>
          <w:color w:val="000000"/>
          <w:szCs w:val="21"/>
          <w:highlight w:val="none"/>
        </w:rPr>
      </w:pPr>
      <w:r>
        <w:rPr>
          <w:b/>
          <w:color w:val="000000"/>
          <w:szCs w:val="21"/>
          <w:highlight w:val="none"/>
        </w:rPr>
        <w:t xml:space="preserve">招标文件的说明</w:t>
      </w:r>
      <w:r>
        <w:rPr>
          <w:b/>
          <w:color w:val="000000"/>
          <w:szCs w:val="21"/>
          <w:highlight w:val="none"/>
        </w:rPr>
      </w:r>
      <w:r/>
    </w:p>
    <w:p>
      <w:pPr>
        <w:pStyle w:val="864"/>
        <w:numPr>
          <w:ilvl w:val="0"/>
          <w:numId w:val="3"/>
        </w:numPr>
        <w:ind w:left="850"/>
        <w:spacing w:line="360" w:lineRule="auto"/>
        <w:rPr>
          <w:b/>
          <w:color w:val="000000"/>
          <w:szCs w:val="21"/>
          <w:highlight w:val="none"/>
        </w:rPr>
      </w:pPr>
      <w:r>
        <w:rPr>
          <w:b/>
          <w:color w:val="000000"/>
          <w:szCs w:val="21"/>
          <w:highlight w:val="none"/>
        </w:rPr>
        <w:t xml:space="preserve">招标文件</w:t>
      </w:r>
      <w:r>
        <w:rPr>
          <w:b/>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招标文件由招标文件总目录所列内容组成。投标人应详细阅读招标文件的全部内容。不按招标文件的要求提供的投标文件和资料，可能导致投标被拒绝。</w:t>
      </w:r>
      <w:r>
        <w:rPr>
          <w:color w:val="000000"/>
          <w:szCs w:val="21"/>
          <w:highlight w:val="none"/>
        </w:rPr>
      </w:r>
      <w:r/>
    </w:p>
    <w:p>
      <w:pPr>
        <w:pStyle w:val="864"/>
        <w:numPr>
          <w:ilvl w:val="1"/>
          <w:numId w:val="3"/>
        </w:numPr>
        <w:ind w:left="0" w:firstLine="425"/>
        <w:spacing w:line="360" w:lineRule="auto"/>
        <w:rPr>
          <w:bCs/>
          <w:color w:val="000000"/>
          <w:szCs w:val="21"/>
          <w:highlight w:val="none"/>
        </w:rPr>
      </w:pPr>
      <w:r>
        <w:rPr>
          <w:bCs/>
          <w:color w:val="000000"/>
          <w:szCs w:val="21"/>
          <w:highlight w:val="none"/>
        </w:rPr>
        <w:t xml:space="preserve">.投标文件按招标文件规定的格式制作，需盖章或签字之处，应加盖电子签章或使用加盖公章及签字的彩色扫描件，如果未按要求制作上传，将被认定为未实质性响应招标文件要求。</w:t>
      </w:r>
      <w:r>
        <w:rPr>
          <w:bCs/>
          <w:color w:val="000000"/>
          <w:szCs w:val="21"/>
          <w:highlight w:val="none"/>
        </w:rPr>
      </w:r>
      <w:r/>
    </w:p>
    <w:p>
      <w:pPr>
        <w:pStyle w:val="864"/>
        <w:numPr>
          <w:ilvl w:val="1"/>
          <w:numId w:val="3"/>
        </w:numPr>
        <w:ind w:left="0" w:firstLine="425"/>
        <w:spacing w:line="360" w:lineRule="auto"/>
        <w:rPr>
          <w:bCs/>
          <w:color w:val="000000"/>
          <w:szCs w:val="21"/>
          <w:highlight w:val="none"/>
        </w:rPr>
      </w:pPr>
      <w:r>
        <w:rPr>
          <w:bCs/>
          <w:color w:val="000000"/>
          <w:szCs w:val="21"/>
          <w:highlight w:val="none"/>
        </w:rPr>
        <w:t xml:space="preserve">.招标文件要求提交的相关证明材料，投标人应在投标文件中提供相应的清晰扫描件，如果材料不清晰导致无法识别的，将被视为无效材料。</w:t>
      </w:r>
      <w:r>
        <w:rPr>
          <w:bCs/>
          <w:color w:val="000000"/>
          <w:szCs w:val="21"/>
          <w:highlight w:val="none"/>
        </w:rPr>
      </w:r>
      <w:r/>
    </w:p>
    <w:p>
      <w:pPr>
        <w:pStyle w:val="864"/>
        <w:numPr>
          <w:ilvl w:val="1"/>
          <w:numId w:val="3"/>
        </w:numPr>
        <w:ind w:left="0" w:firstLine="425"/>
        <w:spacing w:line="360" w:lineRule="auto"/>
        <w:rPr>
          <w:bCs/>
          <w:color w:val="000000"/>
          <w:szCs w:val="21"/>
          <w:highlight w:val="none"/>
        </w:rPr>
      </w:pPr>
      <w:r>
        <w:rPr>
          <w:bCs/>
          <w:color w:val="000000"/>
          <w:szCs w:val="21"/>
          <w:highlight w:val="none"/>
        </w:rPr>
        <w:t xml:space="preserve">.投标人根据招标文件内容自行勘查现场，以获取编制投标文件和签署合同所需的信息，勘查现场所发生的费用由投标人自行承担。</w:t>
      </w:r>
      <w:r>
        <w:rPr>
          <w:bCs/>
          <w:color w:val="000000"/>
          <w:szCs w:val="21"/>
          <w:highlight w:val="none"/>
        </w:rPr>
      </w:r>
      <w:r/>
    </w:p>
    <w:p>
      <w:pPr>
        <w:pStyle w:val="864"/>
        <w:numPr>
          <w:ilvl w:val="0"/>
          <w:numId w:val="3"/>
        </w:numPr>
        <w:ind w:left="850"/>
        <w:spacing w:line="360" w:lineRule="auto"/>
        <w:rPr>
          <w:b/>
          <w:color w:val="000000"/>
          <w:szCs w:val="21"/>
          <w:highlight w:val="none"/>
        </w:rPr>
      </w:pPr>
      <w:r>
        <w:rPr>
          <w:b/>
          <w:color w:val="000000"/>
          <w:szCs w:val="21"/>
          <w:highlight w:val="none"/>
        </w:rPr>
        <w:t xml:space="preserve">招标文件的澄清</w:t>
      </w:r>
      <w:r>
        <w:rPr>
          <w:b/>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投标人在获取招标文件后，若有疑问，应于答疑问题提交截止时间之前，在项目交易系统上向招标代理人提出，招标代理人将在项目交易系统上予以解答。</w:t>
      </w:r>
      <w:r>
        <w:rPr>
          <w:color w:val="000000"/>
          <w:szCs w:val="21"/>
          <w:highlight w:val="none"/>
        </w:rPr>
      </w:r>
      <w:r/>
    </w:p>
    <w:p>
      <w:pPr>
        <w:pStyle w:val="864"/>
        <w:numPr>
          <w:ilvl w:val="0"/>
          <w:numId w:val="3"/>
        </w:numPr>
        <w:ind w:left="850"/>
        <w:spacing w:line="360" w:lineRule="auto"/>
        <w:rPr>
          <w:b/>
          <w:color w:val="000000"/>
          <w:szCs w:val="21"/>
          <w:highlight w:val="none"/>
        </w:rPr>
      </w:pPr>
      <w:r>
        <w:rPr>
          <w:b/>
          <w:color w:val="000000"/>
          <w:szCs w:val="21"/>
          <w:highlight w:val="none"/>
        </w:rPr>
        <w:t xml:space="preserve">招标文件的修改</w:t>
      </w:r>
      <w:r>
        <w:rPr>
          <w:b/>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在网上投标截止时间前，招标代理人有权在出于实际需要或澄清投标人问题的情况下，以补充文件的形式对招标文件进行修改。</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招标代理人对招标文件的修改，将以更正公告形式发布于政府采购信息发布媒体上，敬请投标人及时查询。更正内容作为招标文件的组成部分，对所有投标人具有约束力。</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供应商应在投标截止时间前关注原采购信息发布媒体上有关本招标项目有无变更公告。</w:t>
      </w:r>
      <w:r>
        <w:rPr>
          <w:color w:val="000000"/>
          <w:szCs w:val="21"/>
          <w:highlight w:val="none"/>
        </w:rPr>
      </w:r>
      <w:r/>
    </w:p>
    <w:p>
      <w:pPr>
        <w:pStyle w:val="864"/>
        <w:numPr>
          <w:ilvl w:val="0"/>
          <w:numId w:val="3"/>
        </w:numPr>
        <w:ind w:left="850"/>
        <w:spacing w:line="360" w:lineRule="auto"/>
        <w:rPr>
          <w:b/>
          <w:color w:val="000000"/>
          <w:szCs w:val="21"/>
          <w:highlight w:val="none"/>
        </w:rPr>
      </w:pPr>
      <w:r>
        <w:rPr>
          <w:b/>
          <w:color w:val="000000"/>
          <w:szCs w:val="21"/>
          <w:highlight w:val="none"/>
        </w:rPr>
        <w:t xml:space="preserve">质疑</w:t>
      </w:r>
      <w:r>
        <w:rPr>
          <w:b/>
          <w:color w:val="000000"/>
          <w:szCs w:val="21"/>
          <w:highlight w:val="none"/>
        </w:rPr>
      </w:r>
      <w:r/>
    </w:p>
    <w:p>
      <w:pPr>
        <w:pStyle w:val="864"/>
        <w:numPr>
          <w:ilvl w:val="1"/>
          <w:numId w:val="3"/>
        </w:numPr>
        <w:ind w:left="0" w:firstLine="425"/>
        <w:jc w:val="left"/>
        <w:spacing w:line="360" w:lineRule="auto"/>
        <w:rPr>
          <w:color w:val="000000"/>
          <w:szCs w:val="21"/>
          <w:highlight w:val="none"/>
        </w:rPr>
      </w:pPr>
      <w:r>
        <w:rPr>
          <w:color w:val="000000"/>
          <w:szCs w:val="21"/>
          <w:highlight w:val="none"/>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供应商在法定质疑期内一次性提出针对同一采购程序环节的质疑。质疑函按中华人民共和国财政部政府采购供应商质疑函范本提交，否则不予受理。</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质疑必须以参加投标供应商法定代表人或授权代表（投标文件中所确定的）原件送达的方式提交，否则，招标代理人有权不予受理。</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上述应知其权益受到损害之日是指：</w:t>
      </w:r>
      <w:r>
        <w:rPr>
          <w:color w:val="000000"/>
          <w:szCs w:val="21"/>
          <w:highlight w:val="none"/>
        </w:rPr>
      </w:r>
      <w:r/>
    </w:p>
    <w:p>
      <w:pPr>
        <w:pStyle w:val="864"/>
        <w:numPr>
          <w:ilvl w:val="2"/>
          <w:numId w:val="3"/>
        </w:numPr>
        <w:ind w:left="426" w:firstLine="0"/>
        <w:spacing w:line="360" w:lineRule="auto"/>
        <w:rPr>
          <w:color w:val="000000"/>
          <w:szCs w:val="21"/>
          <w:highlight w:val="none"/>
        </w:rPr>
      </w:pPr>
      <w:r>
        <w:rPr>
          <w:color w:val="000000"/>
          <w:szCs w:val="21"/>
          <w:highlight w:val="none"/>
        </w:rPr>
        <w:t xml:space="preserve">对招标文件提出质疑的，为招标文件公告期限届满之日起计算；</w:t>
      </w:r>
      <w:r>
        <w:rPr>
          <w:color w:val="000000"/>
          <w:szCs w:val="21"/>
          <w:highlight w:val="none"/>
        </w:rPr>
      </w:r>
      <w:r/>
    </w:p>
    <w:p>
      <w:pPr>
        <w:pStyle w:val="864"/>
        <w:numPr>
          <w:ilvl w:val="2"/>
          <w:numId w:val="3"/>
        </w:numPr>
        <w:ind w:left="426" w:firstLine="0"/>
        <w:spacing w:line="360" w:lineRule="auto"/>
        <w:rPr>
          <w:color w:val="000000"/>
          <w:szCs w:val="21"/>
          <w:highlight w:val="none"/>
        </w:rPr>
      </w:pPr>
      <w:r>
        <w:rPr>
          <w:color w:val="000000"/>
          <w:szCs w:val="21"/>
          <w:highlight w:val="none"/>
        </w:rPr>
        <w:t xml:space="preserve">对采购过程提出质疑的，自采购程序环节结束之日起计算；</w:t>
      </w:r>
      <w:r>
        <w:rPr>
          <w:color w:val="000000"/>
          <w:szCs w:val="21"/>
          <w:highlight w:val="none"/>
        </w:rPr>
      </w:r>
      <w:r/>
    </w:p>
    <w:p>
      <w:pPr>
        <w:pStyle w:val="864"/>
        <w:numPr>
          <w:ilvl w:val="2"/>
          <w:numId w:val="3"/>
        </w:numPr>
        <w:ind w:left="426" w:firstLine="0"/>
        <w:spacing w:line="360" w:lineRule="auto"/>
        <w:rPr>
          <w:color w:val="000000"/>
          <w:szCs w:val="21"/>
          <w:highlight w:val="none"/>
        </w:rPr>
      </w:pPr>
      <w:r>
        <w:rPr>
          <w:color w:val="000000"/>
          <w:szCs w:val="21"/>
          <w:highlight w:val="none"/>
        </w:rPr>
        <w:t xml:space="preserve">对中标结果提出质疑的，自中标结果公告期限届满之日起计算。</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质疑文件应包括以下主要内容，并按照“谁主张、谁举证”的原则，附上相关证明材料。否则，招标代理人或采购人不予受理：</w:t>
      </w:r>
      <w:r>
        <w:rPr>
          <w:color w:val="000000"/>
          <w:szCs w:val="21"/>
          <w:highlight w:val="none"/>
        </w:rPr>
      </w:r>
      <w:r/>
    </w:p>
    <w:p>
      <w:pPr>
        <w:pStyle w:val="864"/>
        <w:numPr>
          <w:ilvl w:val="2"/>
          <w:numId w:val="3"/>
        </w:numPr>
        <w:ind w:left="426" w:firstLine="0"/>
        <w:spacing w:line="360" w:lineRule="auto"/>
        <w:rPr>
          <w:color w:val="000000"/>
          <w:szCs w:val="21"/>
          <w:highlight w:val="none"/>
        </w:rPr>
      </w:pPr>
      <w:r>
        <w:rPr>
          <w:color w:val="000000"/>
          <w:szCs w:val="21"/>
          <w:highlight w:val="none"/>
        </w:rPr>
        <w:t xml:space="preserve">供应商的姓名或者名称、地址、邮编、联系人及联系电话；</w:t>
      </w:r>
      <w:r>
        <w:rPr>
          <w:color w:val="000000"/>
          <w:szCs w:val="21"/>
          <w:highlight w:val="none"/>
        </w:rPr>
      </w:r>
      <w:r/>
    </w:p>
    <w:p>
      <w:pPr>
        <w:pStyle w:val="864"/>
        <w:numPr>
          <w:ilvl w:val="2"/>
          <w:numId w:val="3"/>
        </w:numPr>
        <w:ind w:left="426" w:firstLine="0"/>
        <w:spacing w:line="360" w:lineRule="auto"/>
        <w:rPr>
          <w:color w:val="000000"/>
          <w:szCs w:val="21"/>
          <w:highlight w:val="none"/>
        </w:rPr>
      </w:pPr>
      <w:r>
        <w:rPr>
          <w:color w:val="000000"/>
          <w:szCs w:val="21"/>
          <w:highlight w:val="none"/>
        </w:rPr>
        <w:t xml:space="preserve">质疑项目的名称、编号；</w:t>
      </w:r>
      <w:r>
        <w:rPr>
          <w:color w:val="000000"/>
          <w:szCs w:val="21"/>
          <w:highlight w:val="none"/>
        </w:rPr>
      </w:r>
      <w:r/>
    </w:p>
    <w:p>
      <w:pPr>
        <w:pStyle w:val="864"/>
        <w:numPr>
          <w:ilvl w:val="2"/>
          <w:numId w:val="3"/>
        </w:numPr>
        <w:ind w:left="426" w:firstLine="0"/>
        <w:spacing w:line="360" w:lineRule="auto"/>
        <w:rPr>
          <w:color w:val="000000"/>
          <w:szCs w:val="21"/>
          <w:highlight w:val="none"/>
        </w:rPr>
      </w:pPr>
      <w:r>
        <w:rPr>
          <w:color w:val="000000"/>
          <w:szCs w:val="21"/>
          <w:highlight w:val="none"/>
        </w:rPr>
        <w:t xml:space="preserve">具体、明确的质疑事项和与质疑事项相关的请求；</w:t>
      </w:r>
      <w:r>
        <w:rPr>
          <w:color w:val="000000"/>
          <w:szCs w:val="21"/>
          <w:highlight w:val="none"/>
        </w:rPr>
      </w:r>
      <w:r/>
    </w:p>
    <w:p>
      <w:pPr>
        <w:pStyle w:val="864"/>
        <w:numPr>
          <w:ilvl w:val="2"/>
          <w:numId w:val="3"/>
        </w:numPr>
        <w:ind w:left="426" w:firstLine="0"/>
        <w:spacing w:line="360" w:lineRule="auto"/>
        <w:rPr>
          <w:color w:val="000000"/>
          <w:szCs w:val="21"/>
          <w:highlight w:val="none"/>
        </w:rPr>
      </w:pPr>
      <w:r>
        <w:rPr>
          <w:color w:val="000000"/>
          <w:szCs w:val="21"/>
          <w:highlight w:val="none"/>
        </w:rPr>
        <w:t xml:space="preserve">事实依据；</w:t>
      </w:r>
      <w:r>
        <w:rPr>
          <w:color w:val="000000"/>
          <w:szCs w:val="21"/>
          <w:highlight w:val="none"/>
        </w:rPr>
      </w:r>
      <w:r/>
    </w:p>
    <w:p>
      <w:pPr>
        <w:pStyle w:val="864"/>
        <w:numPr>
          <w:ilvl w:val="2"/>
          <w:numId w:val="3"/>
        </w:numPr>
        <w:ind w:left="426" w:firstLine="0"/>
        <w:spacing w:line="360" w:lineRule="auto"/>
        <w:rPr>
          <w:color w:val="000000"/>
          <w:szCs w:val="21"/>
          <w:highlight w:val="none"/>
        </w:rPr>
      </w:pPr>
      <w:r>
        <w:rPr>
          <w:color w:val="000000"/>
          <w:szCs w:val="21"/>
          <w:highlight w:val="none"/>
        </w:rPr>
        <w:t xml:space="preserve">必要的法律依据；</w:t>
      </w:r>
      <w:r>
        <w:rPr>
          <w:color w:val="000000"/>
          <w:szCs w:val="21"/>
          <w:highlight w:val="none"/>
        </w:rPr>
      </w:r>
      <w:r/>
    </w:p>
    <w:p>
      <w:pPr>
        <w:pStyle w:val="864"/>
        <w:numPr>
          <w:ilvl w:val="2"/>
          <w:numId w:val="3"/>
        </w:numPr>
        <w:ind w:left="426" w:firstLine="0"/>
        <w:spacing w:line="360" w:lineRule="auto"/>
        <w:rPr>
          <w:color w:val="000000"/>
          <w:szCs w:val="21"/>
          <w:highlight w:val="none"/>
        </w:rPr>
      </w:pPr>
      <w:r>
        <w:rPr>
          <w:color w:val="000000"/>
          <w:szCs w:val="21"/>
          <w:highlight w:val="none"/>
        </w:rPr>
        <w:t xml:space="preserve">提出质疑的日期。</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供应商为自然人的，应当由本人签字；供应商为法人或者其他组织的，应当由法定代表人、主要负责人，或者其授权代表签字或者盖章，并加盖公章。 </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被质疑人在收到供应商的书面质疑后将及时组织调查核实，在七个工作日内作出答复，如对招标文件进行必要的澄清或者修改的，参照本须知“招标文件的修改”条款执行。</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供应商“依法获取采购文件”的方式为供应商进行网上报名后在报名系统中自行下载采购文件，并打印、保留“网上报名确认单”，质疑时与质疑函一并提交。</w:t>
      </w:r>
      <w:r>
        <w:rPr>
          <w:color w:val="000000"/>
          <w:szCs w:val="21"/>
          <w:highlight w:val="none"/>
        </w:rPr>
      </w:r>
      <w:r/>
    </w:p>
    <w:p>
      <w:pPr>
        <w:pStyle w:val="864"/>
        <w:numPr>
          <w:ilvl w:val="0"/>
          <w:numId w:val="2"/>
        </w:numPr>
        <w:ind w:left="850" w:hanging="424"/>
        <w:spacing w:line="360" w:lineRule="auto"/>
        <w:rPr>
          <w:b/>
          <w:color w:val="000000"/>
          <w:szCs w:val="21"/>
          <w:highlight w:val="none"/>
        </w:rPr>
      </w:pPr>
      <w:r>
        <w:rPr>
          <w:b/>
          <w:color w:val="000000"/>
          <w:szCs w:val="21"/>
          <w:highlight w:val="none"/>
        </w:rPr>
        <w:t xml:space="preserve">投标文件说明</w:t>
      </w:r>
      <w:r>
        <w:rPr>
          <w:b/>
          <w:color w:val="000000"/>
          <w:szCs w:val="21"/>
          <w:highlight w:val="none"/>
        </w:rPr>
      </w:r>
      <w:r/>
    </w:p>
    <w:p>
      <w:pPr>
        <w:pStyle w:val="864"/>
        <w:numPr>
          <w:ilvl w:val="0"/>
          <w:numId w:val="3"/>
        </w:numPr>
        <w:ind w:left="850"/>
        <w:spacing w:line="360" w:lineRule="auto"/>
        <w:rPr>
          <w:b/>
          <w:color w:val="000000"/>
          <w:szCs w:val="21"/>
          <w:highlight w:val="none"/>
        </w:rPr>
      </w:pPr>
      <w:r>
        <w:rPr>
          <w:b/>
          <w:color w:val="000000"/>
          <w:szCs w:val="21"/>
          <w:highlight w:val="none"/>
        </w:rPr>
        <w:t xml:space="preserve">投标文件计量单位和使用文字</w:t>
      </w:r>
      <w:r>
        <w:rPr>
          <w:b/>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投标文件中所使用的计量单位，除招标文件中有特殊要求外，应采用国家法定计量单位。</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投标文件应使用中文编制，投标文件中必须使用其他文字的，必须附有中文译本。对于未附有中文译本和中文译本不准确的投标文件，由此引起对投标人不利后果的，招标代理人概不负责。</w:t>
      </w:r>
      <w:r>
        <w:rPr>
          <w:color w:val="000000"/>
          <w:szCs w:val="21"/>
          <w:highlight w:val="none"/>
        </w:rPr>
      </w:r>
      <w:r/>
    </w:p>
    <w:p>
      <w:pPr>
        <w:pStyle w:val="864"/>
        <w:numPr>
          <w:ilvl w:val="0"/>
          <w:numId w:val="3"/>
        </w:numPr>
        <w:ind w:left="850"/>
        <w:spacing w:line="360" w:lineRule="auto"/>
        <w:rPr>
          <w:b/>
          <w:color w:val="000000"/>
          <w:szCs w:val="21"/>
          <w:highlight w:val="none"/>
        </w:rPr>
      </w:pPr>
      <w:r>
        <w:rPr>
          <w:rFonts w:hint="eastAsia"/>
          <w:b/>
          <w:color w:val="000000"/>
          <w:szCs w:val="21"/>
          <w:highlight w:val="none"/>
        </w:rPr>
        <w:t xml:space="preserve">电子投标文件的组成和顺序</w:t>
      </w:r>
      <w:r>
        <w:rPr>
          <w:b/>
          <w:color w:val="000000"/>
          <w:szCs w:val="21"/>
          <w:highlight w:val="none"/>
        </w:rPr>
      </w:r>
      <w:r/>
    </w:p>
    <w:p>
      <w:pPr>
        <w:pStyle w:val="864"/>
        <w:numPr>
          <w:ilvl w:val="1"/>
          <w:numId w:val="3"/>
        </w:numPr>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基本目录：</w:t>
      </w:r>
      <w:r>
        <w:rPr>
          <w:rFonts w:ascii="宋体" w:hAnsi="宋体" w:cs="Arial"/>
          <w:color w:val="000000"/>
          <w:szCs w:val="21"/>
          <w:highlight w:val="none"/>
        </w:rPr>
      </w:r>
      <w:r/>
    </w:p>
    <w:p>
      <w:pPr>
        <w:pStyle w:val="864"/>
        <w:numPr>
          <w:ilvl w:val="2"/>
          <w:numId w:val="3"/>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封面；</w:t>
      </w:r>
      <w:r>
        <w:rPr>
          <w:rFonts w:ascii="宋体" w:hAnsi="宋体" w:cs="Arial"/>
          <w:color w:val="000000"/>
          <w:szCs w:val="21"/>
          <w:highlight w:val="none"/>
        </w:rPr>
      </w:r>
      <w:r/>
    </w:p>
    <w:p>
      <w:pPr>
        <w:pStyle w:val="864"/>
        <w:numPr>
          <w:ilvl w:val="2"/>
          <w:numId w:val="3"/>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开标一览表</w:t>
      </w:r>
      <w:r>
        <w:rPr>
          <w:rFonts w:ascii="宋体" w:hAnsi="宋体" w:cs="Arial"/>
          <w:color w:val="000000"/>
          <w:szCs w:val="21"/>
          <w:highlight w:val="none"/>
        </w:rPr>
        <w:t xml:space="preserve">（格式见第三章）；</w:t>
      </w:r>
      <w:r>
        <w:rPr>
          <w:rFonts w:ascii="宋体" w:hAnsi="宋体" w:cs="Arial"/>
          <w:color w:val="000000"/>
          <w:szCs w:val="21"/>
          <w:highlight w:val="none"/>
        </w:rPr>
      </w:r>
      <w:r/>
    </w:p>
    <w:p>
      <w:pPr>
        <w:pStyle w:val="864"/>
        <w:numPr>
          <w:ilvl w:val="2"/>
          <w:numId w:val="3"/>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公开分项报价</w:t>
      </w:r>
      <w:r>
        <w:rPr>
          <w:rFonts w:ascii="宋体" w:hAnsi="宋体" w:cs="Arial"/>
          <w:color w:val="000000"/>
          <w:szCs w:val="21"/>
          <w:highlight w:val="none"/>
        </w:rPr>
        <w:t xml:space="preserve">（格式见第三章）</w:t>
      </w:r>
      <w:r>
        <w:rPr>
          <w:rFonts w:hint="eastAsia" w:ascii="宋体" w:hAnsi="宋体" w:cs="Arial"/>
          <w:color w:val="000000"/>
          <w:szCs w:val="21"/>
          <w:highlight w:val="none"/>
        </w:rPr>
        <w:t xml:space="preserve">；</w:t>
      </w:r>
      <w:r>
        <w:rPr>
          <w:rFonts w:ascii="宋体" w:hAnsi="宋体" w:cs="Arial"/>
          <w:color w:val="000000"/>
          <w:szCs w:val="21"/>
          <w:highlight w:val="none"/>
        </w:rPr>
      </w:r>
      <w:r/>
    </w:p>
    <w:p>
      <w:pPr>
        <w:pStyle w:val="864"/>
        <w:numPr>
          <w:ilvl w:val="1"/>
          <w:numId w:val="3"/>
        </w:numPr>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资格条件：</w:t>
      </w:r>
      <w:r>
        <w:rPr>
          <w:rFonts w:ascii="宋体" w:hAnsi="宋体" w:cs="Arial"/>
          <w:color w:val="000000"/>
          <w:szCs w:val="21"/>
          <w:highlight w:val="none"/>
        </w:rPr>
      </w:r>
      <w:r/>
    </w:p>
    <w:p>
      <w:pPr>
        <w:pStyle w:val="864"/>
        <w:numPr>
          <w:ilvl w:val="2"/>
          <w:numId w:val="3"/>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满足《中华人民共和国政府采购法》第二十二条规定：</w:t>
      </w:r>
      <w:r>
        <w:rPr>
          <w:rFonts w:ascii="宋体" w:hAnsi="宋体" w:cs="Arial"/>
          <w:color w:val="000000"/>
          <w:szCs w:val="21"/>
          <w:highlight w:val="none"/>
        </w:rPr>
      </w:r>
      <w:r/>
    </w:p>
    <w:p>
      <w:pPr>
        <w:pStyle w:val="864"/>
        <w:ind w:left="0" w:firstLine="42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13.2.1.1</w:t>
      </w:r>
      <w:bookmarkStart w:id="19" w:name="_Hlk166688923"/>
      <w:r>
        <w:rPr>
          <w:rFonts w:hint="eastAsia" w:ascii="宋体" w:hAnsi="宋体"/>
          <w:szCs w:val="21"/>
          <w:highlight w:val="none"/>
        </w:rPr>
        <w:t xml:space="preserve">具有独立承担民事责任的能力（</w:t>
      </w:r>
      <w:r>
        <w:rPr>
          <w:rFonts w:hint="eastAsia" w:ascii="宋体" w:hAnsi="宋体"/>
          <w:b/>
          <w:bCs/>
          <w:szCs w:val="21"/>
          <w:highlight w:val="none"/>
        </w:rPr>
        <w:t xml:space="preserve">提供法人或者其他组织的营业执照等证明文件、自然人的身份证明</w:t>
      </w:r>
      <w:r>
        <w:rPr>
          <w:rFonts w:hint="eastAsia" w:ascii="宋体" w:hAnsi="宋体"/>
          <w:szCs w:val="21"/>
          <w:highlight w:val="none"/>
        </w:rPr>
        <w:t xml:space="preserve">）</w:t>
      </w:r>
      <w:r>
        <w:rPr>
          <w:rFonts w:hint="eastAsia" w:ascii="宋体" w:hAnsi="宋体" w:cs="Arial"/>
          <w:color w:val="000000"/>
          <w:szCs w:val="21"/>
          <w:highlight w:val="none"/>
        </w:rPr>
        <w:t xml:space="preserve">；</w:t>
      </w:r>
      <w:r>
        <w:rPr>
          <w:rFonts w:ascii="宋体" w:hAnsi="宋体" w:cs="Arial"/>
          <w:color w:val="000000"/>
          <w:szCs w:val="21"/>
          <w:highlight w:val="none"/>
        </w:rPr>
      </w:r>
      <w:r/>
    </w:p>
    <w:p>
      <w:pPr>
        <w:pStyle w:val="864"/>
        <w:ind w:left="0" w:firstLine="420"/>
        <w:spacing w:line="360" w:lineRule="auto"/>
        <w:rPr>
          <w:rFonts w:ascii="Segoe UI" w:hAnsi="Segoe UI" w:cs="Segoe UI"/>
          <w:color w:val="000000"/>
          <w:szCs w:val="21"/>
          <w:highlight w:val="none"/>
          <w:shd w:val="clear" w:color="auto" w:fill="fafafa"/>
        </w:rPr>
      </w:pPr>
      <w:r>
        <w:rPr>
          <w:rFonts w:hint="eastAsia" w:ascii="宋体" w:hAnsi="宋体" w:cs="Arial"/>
          <w:color w:val="000000"/>
          <w:szCs w:val="21"/>
          <w:highlight w:val="none"/>
        </w:rPr>
        <w:t xml:space="preserve">13.2.1.2具有良好的商业信誉和健全的财务会计制度</w:t>
      </w:r>
      <w:r>
        <w:rPr>
          <w:rFonts w:hint="eastAsia" w:ascii="宋体" w:hAnsi="宋体" w:cs="Arial"/>
          <w:color w:val="000000"/>
          <w:szCs w:val="21"/>
          <w:highlight w:val="none"/>
          <w:lang w:eastAsia="zh-CN"/>
        </w:rPr>
        <w:t xml:space="preserve">（</w:t>
      </w:r>
      <w:r>
        <w:rPr>
          <w:rFonts w:ascii="Segoe UI" w:hAnsi="Segoe UI" w:cs="Segoe UI"/>
          <w:b/>
          <w:bCs/>
          <w:color w:val="000000"/>
          <w:szCs w:val="21"/>
          <w:highlight w:val="none"/>
          <w:shd w:val="clear" w:color="auto" w:fill="fafafa"/>
        </w:rPr>
        <w:t xml:space="preserve">上一年度的财务状况报告</w:t>
      </w:r>
      <w:r>
        <w:rPr>
          <w:rFonts w:hint="eastAsia" w:ascii="Segoe UI" w:hAnsi="Segoe UI" w:cs="Segoe UI"/>
          <w:b/>
          <w:bCs/>
          <w:color w:val="000000"/>
          <w:szCs w:val="21"/>
          <w:highlight w:val="none"/>
          <w:shd w:val="clear" w:color="auto" w:fill="fafafa"/>
        </w:rPr>
        <w:t xml:space="preserve">或者财务报表</w:t>
      </w:r>
      <w:r>
        <w:rPr>
          <w:rFonts w:ascii="Segoe UI" w:hAnsi="Segoe UI" w:cs="Segoe UI"/>
          <w:b/>
          <w:bCs/>
          <w:color w:val="000000"/>
          <w:szCs w:val="21"/>
          <w:highlight w:val="none"/>
          <w:shd w:val="clear" w:color="auto" w:fill="fafafa"/>
        </w:rPr>
        <w:t xml:space="preserve">（成立不满一年</w:t>
      </w:r>
      <w:r>
        <w:rPr>
          <w:rFonts w:hint="eastAsia" w:ascii="Segoe UI" w:hAnsi="Segoe UI" w:cs="Segoe UI"/>
          <w:b/>
          <w:bCs/>
          <w:color w:val="000000"/>
          <w:szCs w:val="21"/>
          <w:highlight w:val="none"/>
          <w:shd w:val="clear" w:color="auto" w:fill="fafafa"/>
          <w:lang w:val="en-US" w:eastAsia="zh-CN"/>
        </w:rPr>
        <w:t xml:space="preserve">提供</w:t>
      </w:r>
      <w:r>
        <w:rPr>
          <w:rFonts w:hint="eastAsia" w:ascii="Segoe UI" w:hAnsi="Segoe UI" w:cs="Segoe UI"/>
          <w:b/>
          <w:bCs/>
          <w:color w:val="000000"/>
          <w:szCs w:val="21"/>
          <w:highlight w:val="none"/>
          <w:shd w:val="clear" w:color="auto" w:fill="fafafa"/>
          <w:lang w:eastAsia="zh-CN"/>
        </w:rPr>
        <w:t xml:space="preserve">银行资信证明</w:t>
      </w:r>
      <w:r>
        <w:rPr>
          <w:rFonts w:ascii="Segoe UI" w:hAnsi="Segoe UI" w:cs="Segoe UI"/>
          <w:b/>
          <w:bCs/>
          <w:color w:val="000000"/>
          <w:szCs w:val="21"/>
          <w:highlight w:val="none"/>
          <w:shd w:val="clear" w:color="auto" w:fill="fafafa"/>
        </w:rPr>
        <w:t xml:space="preserve">）</w:t>
      </w:r>
      <w:r>
        <w:rPr>
          <w:rFonts w:hint="eastAsia" w:ascii="宋体" w:hAnsi="宋体" w:cs="Arial"/>
          <w:color w:val="000000"/>
          <w:szCs w:val="21"/>
          <w:highlight w:val="none"/>
          <w:lang w:eastAsia="zh-CN"/>
        </w:rPr>
        <w:t xml:space="preserve">）</w:t>
      </w:r>
      <w:r>
        <w:rPr>
          <w:rFonts w:hint="eastAsia" w:ascii="Segoe UI" w:hAnsi="Segoe UI" w:cs="Segoe UI"/>
          <w:color w:val="000000"/>
          <w:szCs w:val="21"/>
          <w:highlight w:val="none"/>
          <w:shd w:val="clear" w:color="auto" w:fill="fafafa"/>
        </w:rPr>
        <w:t xml:space="preserve">；</w:t>
      </w:r>
      <w:r>
        <w:rPr>
          <w:rFonts w:ascii="Segoe UI" w:hAnsi="Segoe UI" w:cs="Segoe UI"/>
          <w:color w:val="000000"/>
          <w:szCs w:val="21"/>
          <w:highlight w:val="none"/>
          <w:shd w:val="clear" w:color="auto" w:fill="fafafa"/>
        </w:rPr>
      </w:r>
      <w:r/>
    </w:p>
    <w:p>
      <w:pPr>
        <w:pStyle w:val="864"/>
        <w:ind w:left="0" w:firstLine="42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13.2.1.3依法缴纳税收和社会保障资金的相关材料</w:t>
      </w:r>
      <w:r>
        <w:rPr>
          <w:rFonts w:hint="eastAsia" w:ascii="宋体" w:hAnsi="宋体" w:cs="Arial"/>
          <w:b/>
          <w:bCs/>
          <w:color w:val="000000"/>
          <w:szCs w:val="21"/>
          <w:highlight w:val="none"/>
        </w:rPr>
        <w:t xml:space="preserve">（提供近期1个月缴纳税收和社保资金证明，依法免税的或依法不需要缴纳社会保障资金的应提供相应文件说明）</w:t>
      </w:r>
      <w:r>
        <w:rPr>
          <w:rFonts w:hint="eastAsia" w:ascii="宋体" w:hAnsi="宋体" w:cs="Arial"/>
          <w:color w:val="000000"/>
          <w:szCs w:val="21"/>
          <w:highlight w:val="none"/>
        </w:rPr>
        <w:t xml:space="preserve">；</w:t>
      </w:r>
      <w:r>
        <w:rPr>
          <w:rFonts w:ascii="宋体" w:hAnsi="宋体" w:cs="Arial"/>
          <w:color w:val="000000"/>
          <w:szCs w:val="21"/>
          <w:highlight w:val="none"/>
        </w:rPr>
      </w:r>
      <w:r/>
    </w:p>
    <w:p>
      <w:pPr>
        <w:pStyle w:val="864"/>
        <w:ind w:left="0" w:firstLine="420"/>
        <w:spacing w:line="360" w:lineRule="auto"/>
        <w:rPr>
          <w:rFonts w:ascii="Segoe UI" w:hAnsi="Segoe UI" w:cs="Segoe UI"/>
          <w:color w:val="000000"/>
          <w:szCs w:val="21"/>
          <w:highlight w:val="none"/>
        </w:rPr>
      </w:pPr>
      <w:r>
        <w:rPr>
          <w:rFonts w:hint="eastAsia" w:ascii="宋体" w:hAnsi="宋体" w:cs="Arial"/>
          <w:color w:val="000000"/>
          <w:szCs w:val="21"/>
          <w:highlight w:val="none"/>
        </w:rPr>
        <w:t xml:space="preserve">13.2.1.4</w:t>
      </w:r>
      <w:r>
        <w:rPr>
          <w:rFonts w:ascii="Segoe UI" w:hAnsi="Segoe UI" w:cs="Segoe UI"/>
          <w:color w:val="000000"/>
          <w:szCs w:val="21"/>
          <w:highlight w:val="none"/>
        </w:rPr>
        <w:t xml:space="preserve">具备履行合同所必需的设备和专业技术能力</w:t>
      </w:r>
      <w:r>
        <w:rPr>
          <w:rFonts w:hint="eastAsia" w:ascii="宋体" w:hAnsi="宋体"/>
          <w:b/>
          <w:bCs/>
          <w:szCs w:val="21"/>
          <w:highlight w:val="none"/>
        </w:rPr>
        <w:t xml:space="preserve">（提供承诺函或提供相应证明材料）</w:t>
      </w:r>
      <w:r>
        <w:rPr>
          <w:rFonts w:hint="eastAsia" w:ascii="Segoe UI" w:hAnsi="Segoe UI" w:cs="Segoe UI"/>
          <w:color w:val="000000"/>
          <w:szCs w:val="21"/>
          <w:highlight w:val="none"/>
        </w:rPr>
        <w:t xml:space="preserve">；</w:t>
      </w:r>
      <w:r>
        <w:rPr>
          <w:rFonts w:ascii="Segoe UI" w:hAnsi="Segoe UI" w:cs="Segoe UI"/>
          <w:color w:val="000000"/>
          <w:szCs w:val="21"/>
          <w:highlight w:val="none"/>
        </w:rPr>
      </w:r>
      <w:r/>
    </w:p>
    <w:p>
      <w:pPr>
        <w:pStyle w:val="864"/>
        <w:ind w:left="0" w:firstLine="420"/>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13.2.1.5</w:t>
      </w:r>
      <w:r>
        <w:rPr>
          <w:rFonts w:ascii="Segoe UI" w:hAnsi="Segoe UI" w:cs="Segoe UI"/>
          <w:color w:val="000000"/>
          <w:szCs w:val="21"/>
          <w:highlight w:val="none"/>
        </w:rPr>
        <w:t xml:space="preserve">参加政府采购活动前3年内在经营活动中没有重大违法记录</w:t>
      </w:r>
      <w:r>
        <w:rPr>
          <w:rFonts w:hint="eastAsia" w:ascii="宋体" w:hAnsi="宋体"/>
          <w:b/>
          <w:bCs/>
          <w:szCs w:val="21"/>
          <w:highlight w:val="none"/>
        </w:rPr>
        <w:t xml:space="preserve">（提供承诺函或提供相应证明材料）</w:t>
      </w:r>
      <w:r>
        <w:rPr>
          <w:rFonts w:hint="eastAsia" w:ascii="Segoe UI" w:hAnsi="Segoe UI" w:cs="Segoe UI"/>
          <w:color w:val="000000"/>
          <w:szCs w:val="21"/>
          <w:highlight w:val="none"/>
        </w:rPr>
        <w:t xml:space="preserve">。</w:t>
      </w:r>
      <w:r>
        <w:rPr>
          <w:rFonts w:hint="eastAsia" w:ascii="宋体" w:hAnsi="宋体" w:cs="Arial"/>
          <w:color w:val="000000"/>
          <w:szCs w:val="21"/>
          <w:highlight w:val="none"/>
        </w:rPr>
      </w:r>
      <w:r/>
    </w:p>
    <w:p>
      <w:pPr>
        <w:pStyle w:val="864"/>
        <w:numPr>
          <w:ilvl w:val="2"/>
          <w:numId w:val="3"/>
        </w:numPr>
        <w:ind w:left="840"/>
        <w:spacing w:line="360" w:lineRule="auto"/>
        <w:rPr>
          <w:rFonts w:ascii="宋体" w:hAnsi="宋体" w:cs="Arial"/>
          <w:color w:val="000000"/>
          <w:szCs w:val="21"/>
          <w:highlight w:val="none"/>
        </w:rPr>
      </w:pPr>
      <w:r/>
      <w:bookmarkEnd w:id="19"/>
      <w:r>
        <w:rPr>
          <w:rFonts w:hint="eastAsia" w:ascii="宋体" w:hAnsi="宋体" w:cs="Arial"/>
          <w:color w:val="000000"/>
          <w:szCs w:val="21"/>
          <w:highlight w:val="none"/>
        </w:rPr>
        <w:t xml:space="preserve">本项目专门面向中小企业采购，投标人</w:t>
      </w:r>
      <w:r>
        <w:rPr>
          <w:rFonts w:hint="eastAsia" w:ascii="宋体" w:hAnsi="宋体" w:cs="Arial"/>
          <w:b/>
          <w:bCs/>
          <w:color w:val="000000"/>
          <w:szCs w:val="21"/>
          <w:highlight w:val="none"/>
        </w:rPr>
        <w:t xml:space="preserve">必须提供《中小企业声明函》或《残疾人福利性单位声明函》或由省级以上监狱管理局、戒毒管理局（含新疆生产建设兵团）出具的属于监狱企业的证明文件</w:t>
      </w:r>
      <w:r>
        <w:rPr>
          <w:rFonts w:hint="eastAsia" w:ascii="宋体" w:hAnsi="宋体" w:cs="Arial"/>
          <w:color w:val="000000"/>
          <w:szCs w:val="21"/>
          <w:highlight w:val="none"/>
        </w:rPr>
        <w:t xml:space="preserve">；</w:t>
      </w:r>
      <w:r>
        <w:rPr>
          <w:rFonts w:ascii="宋体" w:hAnsi="宋体" w:cs="Arial"/>
          <w:color w:val="000000"/>
          <w:szCs w:val="21"/>
          <w:highlight w:val="none"/>
        </w:rPr>
      </w:r>
      <w:r/>
    </w:p>
    <w:p>
      <w:pPr>
        <w:pStyle w:val="864"/>
        <w:numPr>
          <w:ilvl w:val="2"/>
          <w:numId w:val="3"/>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未被“信用中国”网站（www.creditchina.gov.cn）列入失信被执行人、重大税收违法案件当事人名单、政府采购严重失信行为记录名单，</w:t>
      </w:r>
      <w:r>
        <w:rPr>
          <w:rFonts w:hint="eastAsia" w:ascii="宋体" w:hAnsi="宋体"/>
          <w:b/>
          <w:bCs/>
          <w:color w:val="000000"/>
          <w:szCs w:val="21"/>
          <w:highlight w:val="none"/>
        </w:rPr>
        <w:t xml:space="preserve">提供网站对应查询截图（查询方式：“信用中国”首页→“信用服务”版块→根据要求分别查询）</w:t>
      </w:r>
      <w:r>
        <w:rPr>
          <w:rFonts w:hint="eastAsia" w:ascii="宋体" w:hAnsi="宋体" w:cs="Arial"/>
          <w:color w:val="000000"/>
          <w:szCs w:val="21"/>
          <w:highlight w:val="none"/>
        </w:rPr>
        <w:t xml:space="preserve">；</w:t>
      </w:r>
      <w:r>
        <w:rPr>
          <w:rFonts w:ascii="宋体" w:hAnsi="宋体" w:cs="Arial"/>
          <w:color w:val="000000"/>
          <w:szCs w:val="21"/>
          <w:highlight w:val="none"/>
        </w:rPr>
      </w:r>
      <w:r/>
    </w:p>
    <w:p>
      <w:pPr>
        <w:pStyle w:val="864"/>
        <w:numPr>
          <w:ilvl w:val="1"/>
          <w:numId w:val="3"/>
        </w:numPr>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符合性条件</w:t>
      </w:r>
      <w:r>
        <w:rPr>
          <w:rFonts w:ascii="宋体" w:hAnsi="宋体" w:cs="Arial"/>
          <w:color w:val="000000"/>
          <w:szCs w:val="21"/>
          <w:highlight w:val="none"/>
        </w:rPr>
      </w:r>
      <w:r/>
    </w:p>
    <w:p>
      <w:pPr>
        <w:pStyle w:val="864"/>
        <w:numPr>
          <w:ilvl w:val="2"/>
          <w:numId w:val="3"/>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偏离表（商务）</w:t>
      </w:r>
      <w:r>
        <w:rPr>
          <w:rFonts w:ascii="宋体" w:hAnsi="宋体" w:cs="Arial"/>
          <w:color w:val="000000"/>
          <w:szCs w:val="21"/>
          <w:highlight w:val="none"/>
        </w:rPr>
        <w:t xml:space="preserve">（格式见第三章）</w:t>
      </w:r>
      <w:r>
        <w:rPr>
          <w:rFonts w:hint="eastAsia" w:ascii="宋体" w:hAnsi="宋体" w:cs="Arial"/>
          <w:color w:val="000000"/>
          <w:szCs w:val="21"/>
          <w:highlight w:val="none"/>
        </w:rPr>
        <w:t xml:space="preserve">；</w:t>
      </w:r>
      <w:r>
        <w:rPr>
          <w:rFonts w:ascii="宋体" w:hAnsi="宋体" w:cs="Arial"/>
          <w:color w:val="000000"/>
          <w:szCs w:val="21"/>
          <w:highlight w:val="none"/>
        </w:rPr>
      </w:r>
      <w:r/>
    </w:p>
    <w:p>
      <w:pPr>
        <w:pStyle w:val="864"/>
        <w:numPr>
          <w:ilvl w:val="2"/>
          <w:numId w:val="3"/>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偏离表（技术）</w:t>
      </w:r>
      <w:r>
        <w:rPr>
          <w:rFonts w:ascii="宋体" w:hAnsi="宋体" w:cs="Arial"/>
          <w:color w:val="000000"/>
          <w:szCs w:val="21"/>
          <w:highlight w:val="none"/>
        </w:rPr>
        <w:t xml:space="preserve">（格式见第三章）</w:t>
      </w:r>
      <w:r>
        <w:rPr>
          <w:rFonts w:hint="eastAsia" w:ascii="宋体" w:hAnsi="宋体" w:cs="Arial"/>
          <w:color w:val="000000"/>
          <w:szCs w:val="21"/>
          <w:highlight w:val="none"/>
        </w:rPr>
        <w:t xml:space="preserve">；</w:t>
      </w:r>
      <w:r>
        <w:rPr>
          <w:rFonts w:ascii="宋体" w:hAnsi="宋体" w:cs="Arial"/>
          <w:color w:val="000000"/>
          <w:szCs w:val="21"/>
          <w:highlight w:val="none"/>
        </w:rPr>
      </w:r>
      <w:r/>
    </w:p>
    <w:p>
      <w:pPr>
        <w:pStyle w:val="864"/>
        <w:numPr>
          <w:ilvl w:val="2"/>
          <w:numId w:val="3"/>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投标承诺函</w:t>
      </w:r>
      <w:r>
        <w:rPr>
          <w:rFonts w:ascii="宋体" w:hAnsi="宋体" w:cs="Arial"/>
          <w:color w:val="000000"/>
          <w:szCs w:val="21"/>
          <w:highlight w:val="none"/>
        </w:rPr>
        <w:t xml:space="preserve">（格式见第三章）</w:t>
      </w:r>
      <w:r>
        <w:rPr>
          <w:rFonts w:hint="eastAsia" w:ascii="宋体" w:hAnsi="宋体" w:cs="Arial"/>
          <w:color w:val="000000"/>
          <w:szCs w:val="21"/>
          <w:highlight w:val="none"/>
        </w:rPr>
        <w:t xml:space="preserve">；</w:t>
      </w:r>
      <w:r>
        <w:rPr>
          <w:rFonts w:ascii="宋体" w:hAnsi="宋体" w:cs="Arial"/>
          <w:color w:val="000000"/>
          <w:szCs w:val="21"/>
          <w:highlight w:val="none"/>
        </w:rPr>
      </w:r>
      <w:r/>
    </w:p>
    <w:p>
      <w:pPr>
        <w:pStyle w:val="864"/>
        <w:numPr>
          <w:ilvl w:val="2"/>
          <w:numId w:val="3"/>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其他（</w:t>
      </w:r>
      <w:r>
        <w:rPr>
          <w:rFonts w:ascii="宋体" w:hAnsi="宋体" w:cs="Arial"/>
          <w:color w:val="000000"/>
          <w:szCs w:val="21"/>
          <w:highlight w:val="none"/>
        </w:rPr>
        <w:t xml:space="preserve">格式见第三章</w:t>
      </w:r>
      <w:r>
        <w:rPr>
          <w:rFonts w:hint="eastAsia" w:ascii="宋体" w:hAnsi="宋体" w:cs="Arial"/>
          <w:color w:val="000000"/>
          <w:szCs w:val="21"/>
          <w:highlight w:val="none"/>
        </w:rPr>
        <w:t xml:space="preserve">）；</w:t>
      </w:r>
      <w:r>
        <w:rPr>
          <w:rFonts w:ascii="宋体" w:hAnsi="宋体" w:cs="Arial"/>
          <w:color w:val="000000"/>
          <w:szCs w:val="21"/>
          <w:highlight w:val="none"/>
        </w:rPr>
      </w:r>
      <w:r/>
    </w:p>
    <w:p>
      <w:pPr>
        <w:pStyle w:val="864"/>
        <w:numPr>
          <w:ilvl w:val="1"/>
          <w:numId w:val="3"/>
        </w:numPr>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综合评审评分项：</w:t>
      </w:r>
      <w:r>
        <w:rPr>
          <w:rFonts w:ascii="宋体" w:hAnsi="宋体" w:cs="Arial"/>
          <w:color w:val="000000"/>
          <w:szCs w:val="21"/>
          <w:highlight w:val="none"/>
        </w:rPr>
      </w:r>
      <w:r/>
    </w:p>
    <w:p>
      <w:pPr>
        <w:pStyle w:val="864"/>
        <w:numPr>
          <w:ilvl w:val="2"/>
          <w:numId w:val="3"/>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评审所需的相关证明材料（技术方案、人员配置、业绩等）。</w:t>
      </w:r>
      <w:r>
        <w:rPr>
          <w:rFonts w:ascii="宋体" w:hAnsi="宋体" w:cs="Arial"/>
          <w:color w:val="000000"/>
          <w:szCs w:val="21"/>
          <w:highlight w:val="none"/>
        </w:rPr>
      </w:r>
      <w:r/>
    </w:p>
    <w:p>
      <w:pPr>
        <w:pStyle w:val="864"/>
        <w:numPr>
          <w:ilvl w:val="1"/>
          <w:numId w:val="3"/>
        </w:numPr>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价格折扣文件格式：</w:t>
      </w:r>
      <w:r>
        <w:rPr>
          <w:rFonts w:ascii="宋体" w:hAnsi="宋体" w:cs="Arial"/>
          <w:color w:val="000000"/>
          <w:szCs w:val="21"/>
          <w:highlight w:val="none"/>
        </w:rPr>
      </w:r>
      <w:r/>
    </w:p>
    <w:p>
      <w:pPr>
        <w:pStyle w:val="864"/>
        <w:numPr>
          <w:ilvl w:val="2"/>
          <w:numId w:val="3"/>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提供《中小企业声明函》（如有）</w:t>
      </w:r>
      <w:r>
        <w:rPr>
          <w:rFonts w:ascii="宋体" w:hAnsi="宋体" w:cs="Arial"/>
          <w:color w:val="000000"/>
          <w:szCs w:val="21"/>
          <w:highlight w:val="none"/>
        </w:rPr>
        <w:t xml:space="preserve">（格式见第三章）</w:t>
      </w:r>
      <w:r>
        <w:rPr>
          <w:rFonts w:hint="eastAsia" w:ascii="宋体" w:hAnsi="宋体" w:cs="Arial"/>
          <w:color w:val="000000"/>
          <w:szCs w:val="21"/>
          <w:highlight w:val="none"/>
        </w:rPr>
        <w:t xml:space="preserve">；</w:t>
      </w:r>
      <w:r>
        <w:rPr>
          <w:rFonts w:ascii="宋体" w:hAnsi="宋体" w:cs="Arial"/>
          <w:color w:val="000000"/>
          <w:szCs w:val="21"/>
          <w:highlight w:val="none"/>
        </w:rPr>
      </w:r>
      <w:r/>
    </w:p>
    <w:p>
      <w:pPr>
        <w:pStyle w:val="864"/>
        <w:numPr>
          <w:ilvl w:val="2"/>
          <w:numId w:val="3"/>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lang w:val="en-US" w:eastAsia="zh-CN"/>
        </w:rPr>
        <w:t xml:space="preserve">或</w:t>
      </w:r>
      <w:r>
        <w:rPr>
          <w:rFonts w:ascii="宋体" w:hAnsi="宋体" w:cs="Arial"/>
          <w:color w:val="000000"/>
          <w:szCs w:val="21"/>
          <w:highlight w:val="none"/>
        </w:rPr>
        <w:t xml:space="preserve">残疾人福利性单位声明函</w:t>
      </w:r>
      <w:r>
        <w:rPr>
          <w:rFonts w:hint="eastAsia" w:ascii="宋体" w:hAnsi="宋体" w:cs="Arial"/>
          <w:color w:val="000000"/>
          <w:szCs w:val="21"/>
          <w:highlight w:val="none"/>
        </w:rPr>
        <w:t xml:space="preserve">（如有）（</w:t>
      </w:r>
      <w:r>
        <w:rPr>
          <w:rFonts w:ascii="宋体" w:hAnsi="宋体" w:cs="Arial"/>
          <w:color w:val="000000"/>
          <w:szCs w:val="21"/>
          <w:highlight w:val="none"/>
        </w:rPr>
        <w:t xml:space="preserve">格式见第三章）</w:t>
      </w:r>
      <w:r>
        <w:rPr>
          <w:rFonts w:hint="eastAsia" w:ascii="宋体" w:hAnsi="宋体" w:cs="Arial"/>
          <w:color w:val="000000"/>
          <w:szCs w:val="21"/>
          <w:highlight w:val="none"/>
        </w:rPr>
        <w:t xml:space="preserve">；</w:t>
      </w:r>
      <w:r>
        <w:rPr>
          <w:rFonts w:ascii="宋体" w:hAnsi="宋体" w:cs="Arial"/>
          <w:color w:val="000000"/>
          <w:szCs w:val="21"/>
          <w:highlight w:val="none"/>
        </w:rPr>
      </w:r>
      <w:r/>
    </w:p>
    <w:p>
      <w:pPr>
        <w:pStyle w:val="864"/>
        <w:numPr>
          <w:ilvl w:val="2"/>
          <w:numId w:val="3"/>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lang w:val="en-US" w:eastAsia="zh-CN"/>
        </w:rPr>
        <w:t xml:space="preserve">或</w:t>
      </w:r>
      <w:r>
        <w:rPr>
          <w:rFonts w:hint="eastAsia" w:ascii="宋体" w:hAnsi="宋体" w:cs="Arial"/>
          <w:color w:val="000000"/>
          <w:szCs w:val="21"/>
          <w:highlight w:val="none"/>
        </w:rPr>
        <w:t xml:space="preserve">监狱企业证明文件（如有）。</w:t>
      </w:r>
      <w:r>
        <w:rPr>
          <w:rFonts w:ascii="宋体" w:hAnsi="宋体" w:cs="Arial"/>
          <w:color w:val="000000"/>
          <w:szCs w:val="21"/>
          <w:highlight w:val="none"/>
        </w:rPr>
      </w:r>
      <w:r/>
    </w:p>
    <w:p>
      <w:pPr>
        <w:pStyle w:val="864"/>
        <w:ind w:firstLine="420"/>
        <w:spacing w:line="360" w:lineRule="auto"/>
        <w:rPr>
          <w:rFonts w:ascii="宋体" w:hAnsi="宋体" w:cs="Arial"/>
          <w:color w:val="000000"/>
          <w:szCs w:val="21"/>
          <w:highlight w:val="none"/>
        </w:rPr>
      </w:pPr>
      <w:r>
        <w:rPr>
          <w:rFonts w:hint="eastAsia" w:ascii="宋体" w:hAnsi="宋体" w:cs="Arial"/>
          <w:b/>
          <w:bCs/>
          <w:szCs w:val="21"/>
          <w:highlight w:val="none"/>
        </w:rPr>
        <w:t xml:space="preserve">以上“13.2-13.3”为</w:t>
      </w:r>
      <w:r>
        <w:rPr>
          <w:rFonts w:hint="eastAsia" w:ascii="宋体" w:hAnsi="宋体" w:cs="Arial"/>
          <w:b/>
          <w:bCs/>
          <w:color w:val="000000"/>
          <w:szCs w:val="21"/>
          <w:highlight w:val="none"/>
        </w:rPr>
        <w:t xml:space="preserve">资格性、符合性审查须提供的资料，投标人必须提供并加盖电子公章。否则，投标文件将被认定为未实质性响应。</w:t>
      </w:r>
      <w:r>
        <w:rPr>
          <w:rFonts w:hint="eastAsia" w:ascii="宋体" w:hAnsi="宋体" w:cs="Arial"/>
          <w:color w:val="000000"/>
          <w:szCs w:val="21"/>
          <w:highlight w:val="none"/>
        </w:rPr>
        <w:t xml:space="preserve">投标人所提交的投标书（技术及相关文件部分）完整与否，将直接影响投标人的评分；</w:t>
      </w:r>
      <w:r>
        <w:rPr>
          <w:rFonts w:ascii="宋体" w:hAnsi="宋体" w:cs="Arial"/>
          <w:color w:val="000000"/>
          <w:szCs w:val="21"/>
          <w:highlight w:val="none"/>
        </w:rPr>
      </w:r>
      <w:r/>
    </w:p>
    <w:p>
      <w:pPr>
        <w:pStyle w:val="864"/>
        <w:numPr>
          <w:ilvl w:val="0"/>
          <w:numId w:val="3"/>
        </w:numPr>
        <w:ind w:left="850"/>
        <w:spacing w:line="360" w:lineRule="auto"/>
        <w:rPr>
          <w:b/>
          <w:color w:val="000000"/>
          <w:szCs w:val="21"/>
          <w:highlight w:val="none"/>
        </w:rPr>
      </w:pPr>
      <w:r>
        <w:rPr>
          <w:b/>
          <w:color w:val="000000"/>
          <w:szCs w:val="21"/>
          <w:highlight w:val="none"/>
        </w:rPr>
        <w:t xml:space="preserve">投标文件编制说明</w:t>
      </w:r>
      <w:r>
        <w:rPr>
          <w:b/>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电子投标文件按招标文件规定的格式制作，如果未按要求制作上传，可能导致投标无效。</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开标一览表为在开标仪式上网上唱标的内容，要求按格式填写，统一规范，不得自行增减内容（格式见第三章）。</w:t>
      </w:r>
      <w:r>
        <w:rPr>
          <w:color w:val="000000"/>
          <w:szCs w:val="21"/>
          <w:highlight w:val="none"/>
        </w:rPr>
      </w:r>
      <w:r/>
    </w:p>
    <w:p>
      <w:pPr>
        <w:pStyle w:val="864"/>
        <w:numPr>
          <w:ilvl w:val="0"/>
          <w:numId w:val="3"/>
        </w:numPr>
        <w:ind w:left="850"/>
        <w:spacing w:line="360" w:lineRule="auto"/>
        <w:rPr>
          <w:b/>
          <w:color w:val="000000"/>
          <w:szCs w:val="21"/>
          <w:highlight w:val="none"/>
        </w:rPr>
      </w:pPr>
      <w:r>
        <w:rPr>
          <w:b/>
          <w:color w:val="000000"/>
          <w:szCs w:val="21"/>
          <w:highlight w:val="none"/>
        </w:rPr>
        <w:t xml:space="preserve">对本次投标的详细说明的编制</w:t>
      </w:r>
      <w:r>
        <w:rPr>
          <w:b/>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对本次投标的详细说明由投标人视各自的情况自行编制，规格幅面应与正文一致，附于正文之后，与正文页码统一编目编码装订成册。</w:t>
      </w:r>
      <w:r>
        <w:rPr>
          <w:color w:val="000000"/>
          <w:szCs w:val="21"/>
          <w:highlight w:val="none"/>
        </w:rPr>
      </w:r>
      <w:r/>
    </w:p>
    <w:p>
      <w:pPr>
        <w:pStyle w:val="864"/>
        <w:numPr>
          <w:ilvl w:val="0"/>
          <w:numId w:val="3"/>
        </w:numPr>
        <w:ind w:left="850"/>
        <w:spacing w:line="360" w:lineRule="auto"/>
        <w:rPr>
          <w:b/>
          <w:color w:val="000000"/>
          <w:szCs w:val="21"/>
          <w:highlight w:val="none"/>
        </w:rPr>
      </w:pPr>
      <w:r>
        <w:rPr>
          <w:b/>
          <w:color w:val="000000"/>
          <w:szCs w:val="21"/>
          <w:highlight w:val="none"/>
        </w:rPr>
        <w:t xml:space="preserve">投标报价</w:t>
      </w:r>
      <w:r>
        <w:rPr>
          <w:b/>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投标报价，包括但不限于本项目服务过程的劳务、食宿、差旅、资料汇编、管理、保险、利润、税金、政策性文件规定及合同包含的所有风险、责任等各项应有费用。</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投标人应按《投标报价表》中的整个投标项目计算单价和总价。《投标报价表》中的每一单项均应计算并填写单价和总价，并由法定代表人或被授权人签署。</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投标人应对招标文件内所要采购的全部内容进行报价，只投其中部分内容者，则投标为无效标。但如果招标文件要求分标段投标的，但各标段应分别计算填写单价和总价。</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一项投标内容只允许一个报价，招标代理人不接受任何有选择性的投标报价。</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投标文件报价中的单价和总价全部采用人民币表示，合同的主要条款另有规定的除外。</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供应商的任何错漏、优惠、竞争性报价不得作为减轻责任、减少服务、增加收费、降低质量的理由。</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最低报价不能作为中标的保证。</w:t>
      </w:r>
      <w:r>
        <w:rPr>
          <w:color w:val="000000"/>
          <w:szCs w:val="21"/>
          <w:highlight w:val="none"/>
        </w:rPr>
      </w:r>
      <w:r/>
    </w:p>
    <w:p>
      <w:pPr>
        <w:pStyle w:val="864"/>
        <w:numPr>
          <w:ilvl w:val="0"/>
          <w:numId w:val="3"/>
        </w:numPr>
        <w:ind w:left="850"/>
        <w:spacing w:line="360" w:lineRule="auto"/>
        <w:rPr>
          <w:b/>
          <w:color w:val="000000"/>
          <w:szCs w:val="21"/>
          <w:highlight w:val="none"/>
        </w:rPr>
      </w:pPr>
      <w:r>
        <w:rPr>
          <w:b/>
          <w:color w:val="000000"/>
          <w:szCs w:val="21"/>
          <w:highlight w:val="none"/>
        </w:rPr>
        <w:t xml:space="preserve">投标文件的有效期</w:t>
      </w:r>
      <w:r>
        <w:rPr>
          <w:b/>
          <w:color w:val="000000"/>
          <w:szCs w:val="21"/>
          <w:highlight w:val="none"/>
        </w:rPr>
      </w:r>
      <w:r/>
    </w:p>
    <w:p>
      <w:pPr>
        <w:pStyle w:val="864"/>
        <w:numPr>
          <w:ilvl w:val="1"/>
          <w:numId w:val="3"/>
        </w:numPr>
        <w:ind w:left="0" w:firstLine="425"/>
        <w:spacing w:line="360" w:lineRule="auto"/>
        <w:rPr>
          <w:color w:val="000000"/>
          <w:szCs w:val="21"/>
          <w:highlight w:val="none"/>
        </w:rPr>
      </w:pPr>
      <w:r>
        <w:rPr>
          <w:b/>
          <w:color w:val="000000"/>
          <w:szCs w:val="21"/>
          <w:highlight w:val="none"/>
        </w:rPr>
        <w:t xml:space="preserve">本投标有效期从提交投标文件的截止之日起算后90天，投标书应保持有效。有效期短于这个规定期限的投标，将被拒绝。</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在特殊情况下，招标人可与投标人协商延长投标书的有效期。这种要求和答复都应以书面、传真或媒体发布的方式进行。 同意延长有效期的投标人不能修改投标文件，投标保证金的有效期也相应延长。拒绝接受延期要求的投标人的投标将被拒绝，但投标保证金不会被没收。</w:t>
      </w:r>
      <w:r>
        <w:rPr>
          <w:color w:val="000000"/>
          <w:szCs w:val="21"/>
          <w:highlight w:val="none"/>
        </w:rPr>
      </w:r>
      <w:r/>
    </w:p>
    <w:p>
      <w:pPr>
        <w:pStyle w:val="864"/>
        <w:numPr>
          <w:ilvl w:val="0"/>
          <w:numId w:val="2"/>
        </w:numPr>
        <w:ind w:left="850" w:hanging="424"/>
        <w:spacing w:line="360" w:lineRule="auto"/>
        <w:rPr>
          <w:b/>
          <w:color w:val="000000"/>
          <w:szCs w:val="21"/>
          <w:highlight w:val="none"/>
        </w:rPr>
      </w:pPr>
      <w:r>
        <w:rPr>
          <w:b/>
          <w:color w:val="000000"/>
          <w:szCs w:val="21"/>
          <w:highlight w:val="none"/>
        </w:rPr>
        <w:t xml:space="preserve">投标文件的提交</w:t>
      </w:r>
      <w:r>
        <w:rPr>
          <w:b/>
          <w:color w:val="000000"/>
          <w:szCs w:val="21"/>
          <w:highlight w:val="none"/>
        </w:rPr>
      </w:r>
      <w:r/>
    </w:p>
    <w:p>
      <w:pPr>
        <w:pStyle w:val="864"/>
        <w:numPr>
          <w:ilvl w:val="0"/>
          <w:numId w:val="3"/>
        </w:numPr>
        <w:ind w:left="850"/>
        <w:spacing w:line="360" w:lineRule="auto"/>
        <w:rPr>
          <w:b/>
          <w:color w:val="000000"/>
          <w:szCs w:val="21"/>
          <w:highlight w:val="none"/>
        </w:rPr>
      </w:pPr>
      <w:r>
        <w:rPr>
          <w:b/>
          <w:color w:val="000000"/>
          <w:szCs w:val="21"/>
          <w:highlight w:val="none"/>
        </w:rPr>
        <w:t xml:space="preserve">投标文件：</w:t>
      </w:r>
      <w:r>
        <w:rPr>
          <w:b/>
          <w:color w:val="000000"/>
          <w:szCs w:val="21"/>
          <w:highlight w:val="none"/>
        </w:rPr>
      </w:r>
      <w:r/>
    </w:p>
    <w:p>
      <w:pPr>
        <w:pStyle w:val="864"/>
        <w:numPr>
          <w:ilvl w:val="1"/>
          <w:numId w:val="3"/>
        </w:numPr>
        <w:ind w:left="0" w:firstLine="425"/>
        <w:spacing w:line="360" w:lineRule="auto"/>
        <w:rPr>
          <w:color w:val="000000"/>
          <w:szCs w:val="21"/>
          <w:highlight w:val="none"/>
        </w:rPr>
      </w:pPr>
      <w:r>
        <w:rPr>
          <w:rFonts w:hint="eastAsia" w:ascii="宋体" w:hAnsi="宋体" w:cs="Arial"/>
          <w:b/>
          <w:bCs/>
          <w:szCs w:val="21"/>
          <w:highlight w:val="none"/>
        </w:rPr>
        <w:t xml:space="preserve">本项目采用电子招投标形式</w:t>
      </w:r>
      <w:r>
        <w:rPr>
          <w:rFonts w:hint="eastAsia" w:ascii="宋体" w:hAnsi="宋体" w:cs="Arial"/>
          <w:szCs w:val="21"/>
          <w:highlight w:val="none"/>
        </w:rPr>
        <w:t xml:space="preserve">，请供应商按照《苏采云系统供应商操作手册》进行制作、上传电子投标文件。</w:t>
      </w:r>
      <w:r>
        <w:rPr>
          <w:color w:val="000000"/>
          <w:szCs w:val="21"/>
          <w:highlight w:val="none"/>
        </w:rPr>
      </w:r>
      <w:r/>
    </w:p>
    <w:p>
      <w:pPr>
        <w:pStyle w:val="864"/>
        <w:numPr>
          <w:ilvl w:val="0"/>
          <w:numId w:val="3"/>
        </w:numPr>
        <w:ind w:left="850"/>
        <w:spacing w:line="360" w:lineRule="auto"/>
        <w:rPr>
          <w:b/>
          <w:color w:val="000000"/>
          <w:szCs w:val="21"/>
          <w:highlight w:val="none"/>
        </w:rPr>
      </w:pPr>
      <w:r>
        <w:rPr>
          <w:b/>
          <w:color w:val="000000"/>
          <w:szCs w:val="21"/>
          <w:highlight w:val="none"/>
        </w:rPr>
        <w:t xml:space="preserve">投标截止时间</w:t>
      </w:r>
      <w:r>
        <w:rPr>
          <w:b/>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电子投标文件必须按《投标邀请函》规定的网上投标截止时间前提交，以系统内上传后显示的上传文件确认单为准。</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招标人推迟投标截止时间时，应以网上公布的形式，通知投标人，在这种情况下，招标人和投标人的权利和义务将受到新的截止期的约束。</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在投标截止时间以后上传的投标文件，招标人拒绝接收。</w:t>
      </w:r>
      <w:r>
        <w:rPr>
          <w:color w:val="000000"/>
          <w:szCs w:val="21"/>
          <w:highlight w:val="none"/>
        </w:rPr>
      </w:r>
      <w:r/>
    </w:p>
    <w:p>
      <w:pPr>
        <w:pStyle w:val="864"/>
        <w:numPr>
          <w:ilvl w:val="0"/>
          <w:numId w:val="3"/>
        </w:numPr>
        <w:ind w:left="850"/>
        <w:spacing w:line="360" w:lineRule="auto"/>
        <w:rPr>
          <w:b/>
          <w:color w:val="000000"/>
          <w:szCs w:val="21"/>
          <w:highlight w:val="none"/>
        </w:rPr>
      </w:pPr>
      <w:r>
        <w:rPr>
          <w:b/>
          <w:color w:val="000000"/>
          <w:szCs w:val="21"/>
          <w:highlight w:val="none"/>
        </w:rPr>
        <w:t xml:space="preserve">投标文件的修改和撤回</w:t>
      </w:r>
      <w:r>
        <w:rPr>
          <w:b/>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投标文件应当在提交投标文件的截止时间前通过供应商投标工具客户端进行提交。开标前，投标人可以撤回投标。</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在提交投标文件的截止时间前，投标人可以撤回或者修改投标文件。</w:t>
      </w:r>
      <w:r>
        <w:rPr>
          <w:color w:val="000000"/>
          <w:szCs w:val="21"/>
          <w:highlight w:val="none"/>
        </w:rPr>
      </w:r>
      <w:r/>
    </w:p>
    <w:p>
      <w:pPr>
        <w:pStyle w:val="864"/>
        <w:numPr>
          <w:ilvl w:val="0"/>
          <w:numId w:val="2"/>
        </w:numPr>
        <w:ind w:left="850" w:hanging="424"/>
        <w:spacing w:line="360" w:lineRule="auto"/>
        <w:rPr>
          <w:b/>
          <w:color w:val="000000"/>
          <w:szCs w:val="21"/>
          <w:highlight w:val="none"/>
        </w:rPr>
      </w:pPr>
      <w:r>
        <w:rPr>
          <w:b/>
          <w:color w:val="000000"/>
          <w:szCs w:val="21"/>
          <w:highlight w:val="none"/>
        </w:rPr>
        <w:t xml:space="preserve">开标和评标</w:t>
      </w:r>
      <w:r>
        <w:rPr>
          <w:b/>
          <w:color w:val="000000"/>
          <w:szCs w:val="21"/>
          <w:highlight w:val="none"/>
        </w:rPr>
      </w:r>
      <w:r/>
    </w:p>
    <w:p>
      <w:pPr>
        <w:pStyle w:val="864"/>
        <w:numPr>
          <w:ilvl w:val="0"/>
          <w:numId w:val="3"/>
        </w:numPr>
        <w:ind w:left="850"/>
        <w:spacing w:line="360" w:lineRule="auto"/>
        <w:rPr>
          <w:b/>
          <w:color w:val="000000"/>
          <w:szCs w:val="21"/>
          <w:highlight w:val="none"/>
        </w:rPr>
      </w:pPr>
      <w:r>
        <w:rPr>
          <w:b/>
          <w:color w:val="000000"/>
          <w:szCs w:val="21"/>
          <w:highlight w:val="none"/>
        </w:rPr>
        <w:t xml:space="preserve">开标</w:t>
      </w:r>
      <w:r>
        <w:rPr>
          <w:b/>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招标代理人按《投标邀请函》规定的时间、地点进行开标。开标仪式根据委托人授权由招标代理人主持。</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参加开标的投标人的法定代表人或被授权人应携带数字证书（CA）进行远程</w:t>
      </w:r>
      <w:r>
        <w:rPr>
          <w:rFonts w:hint="eastAsia"/>
          <w:color w:val="000000"/>
          <w:szCs w:val="21"/>
          <w:highlight w:val="none"/>
        </w:rPr>
        <w:t xml:space="preserve">开标</w:t>
      </w:r>
      <w:r>
        <w:rPr>
          <w:color w:val="000000"/>
          <w:szCs w:val="21"/>
          <w:highlight w:val="none"/>
        </w:rPr>
        <w:t xml:space="preserve">，</w:t>
      </w:r>
      <w:r>
        <w:rPr>
          <w:rFonts w:hint="eastAsia"/>
          <w:color w:val="000000"/>
          <w:szCs w:val="21"/>
          <w:highlight w:val="none"/>
        </w:rPr>
        <w:t xml:space="preserve">使用</w:t>
      </w:r>
      <w:r>
        <w:rPr>
          <w:color w:val="000000"/>
          <w:szCs w:val="21"/>
          <w:highlight w:val="none"/>
        </w:rPr>
        <w:t xml:space="preserve">数字证书（CA）</w:t>
      </w:r>
      <w:r>
        <w:rPr>
          <w:rFonts w:hint="eastAsia"/>
          <w:color w:val="000000"/>
          <w:szCs w:val="21"/>
          <w:highlight w:val="none"/>
        </w:rPr>
        <w:t xml:space="preserve">解密</w:t>
      </w:r>
      <w:r>
        <w:rPr>
          <w:color w:val="000000"/>
          <w:szCs w:val="21"/>
          <w:highlight w:val="none"/>
        </w:rPr>
        <w:t xml:space="preserve">时间超过10分钟的</w:t>
      </w:r>
      <w:r>
        <w:rPr>
          <w:rFonts w:hint="eastAsia"/>
          <w:color w:val="000000"/>
          <w:szCs w:val="21"/>
          <w:highlight w:val="none"/>
        </w:rPr>
        <w:t xml:space="preserve">，</w:t>
      </w:r>
      <w:r>
        <w:rPr>
          <w:color w:val="000000"/>
          <w:szCs w:val="21"/>
          <w:highlight w:val="none"/>
        </w:rPr>
        <w:t xml:space="preserve">视为无效投标。</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在开标时，有下列情况之一者将视为无效：</w:t>
      </w:r>
      <w:r>
        <w:rPr>
          <w:color w:val="000000"/>
          <w:szCs w:val="21"/>
          <w:highlight w:val="none"/>
        </w:rPr>
      </w:r>
      <w:r/>
    </w:p>
    <w:p>
      <w:pPr>
        <w:pStyle w:val="864"/>
        <w:numPr>
          <w:ilvl w:val="2"/>
          <w:numId w:val="3"/>
        </w:numPr>
        <w:ind w:left="426" w:firstLine="0"/>
        <w:spacing w:line="360" w:lineRule="auto"/>
        <w:rPr>
          <w:color w:val="000000"/>
          <w:szCs w:val="21"/>
          <w:highlight w:val="none"/>
        </w:rPr>
      </w:pPr>
      <w:r>
        <w:rPr>
          <w:color w:val="000000"/>
          <w:szCs w:val="21"/>
          <w:highlight w:val="none"/>
        </w:rPr>
        <w:t xml:space="preserve">不符合法律、法规和招标文件中规定的其他实质性要求的。</w:t>
      </w:r>
      <w:r>
        <w:rPr>
          <w:color w:val="000000"/>
          <w:szCs w:val="21"/>
          <w:highlight w:val="none"/>
        </w:rPr>
      </w:r>
      <w:r/>
    </w:p>
    <w:p>
      <w:pPr>
        <w:pStyle w:val="864"/>
        <w:numPr>
          <w:ilvl w:val="0"/>
          <w:numId w:val="3"/>
        </w:numPr>
        <w:ind w:left="850"/>
        <w:spacing w:line="360" w:lineRule="auto"/>
        <w:rPr>
          <w:b/>
          <w:color w:val="000000"/>
          <w:szCs w:val="21"/>
          <w:highlight w:val="none"/>
        </w:rPr>
      </w:pPr>
      <w:r>
        <w:rPr>
          <w:b/>
          <w:color w:val="000000"/>
          <w:szCs w:val="21"/>
          <w:highlight w:val="none"/>
        </w:rPr>
        <w:t xml:space="preserve">资格审查、信用查询</w:t>
      </w:r>
      <w:r>
        <w:rPr>
          <w:b/>
          <w:color w:val="000000"/>
          <w:szCs w:val="21"/>
          <w:highlight w:val="none"/>
        </w:rPr>
      </w:r>
      <w:r/>
    </w:p>
    <w:p>
      <w:pPr>
        <w:pStyle w:val="864"/>
        <w:numPr>
          <w:ilvl w:val="1"/>
          <w:numId w:val="3"/>
        </w:numPr>
        <w:ind w:left="0" w:firstLine="425"/>
        <w:spacing w:line="360" w:lineRule="auto"/>
        <w:rPr>
          <w:b/>
          <w:color w:val="000000"/>
          <w:szCs w:val="21"/>
          <w:highlight w:val="none"/>
        </w:rPr>
      </w:pPr>
      <w:r>
        <w:rPr>
          <w:b/>
          <w:color w:val="000000"/>
          <w:szCs w:val="21"/>
          <w:highlight w:val="none"/>
        </w:rPr>
        <w:t xml:space="preserve">公开招标采购项目开标结束后，采购人或者招标代理人应当依法对投标人的资格进行审查,未通过资格审查的视为无效投标。</w:t>
      </w:r>
      <w:r>
        <w:rPr>
          <w:b/>
          <w:color w:val="000000"/>
          <w:szCs w:val="21"/>
          <w:highlight w:val="none"/>
        </w:rPr>
      </w:r>
      <w:r/>
    </w:p>
    <w:p>
      <w:pPr>
        <w:pStyle w:val="864"/>
        <w:numPr>
          <w:ilvl w:val="1"/>
          <w:numId w:val="3"/>
        </w:numPr>
        <w:ind w:left="0" w:firstLine="425"/>
        <w:spacing w:line="360" w:lineRule="auto"/>
        <w:rPr>
          <w:b/>
          <w:color w:val="000000"/>
          <w:szCs w:val="21"/>
          <w:highlight w:val="none"/>
        </w:rPr>
      </w:pPr>
      <w:r>
        <w:rPr>
          <w:b/>
          <w:color w:val="000000"/>
          <w:szCs w:val="21"/>
          <w:highlight w:val="none"/>
        </w:rPr>
        <w:t xml:space="preserve">投标人根据资格要求提供相应资料供资格审查（具体要求详见第一章投标邀请）。</w:t>
      </w:r>
      <w:r>
        <w:rPr>
          <w:b/>
          <w:color w:val="000000"/>
          <w:szCs w:val="21"/>
          <w:highlight w:val="none"/>
        </w:rPr>
      </w:r>
      <w:r/>
    </w:p>
    <w:p>
      <w:pPr>
        <w:pStyle w:val="864"/>
        <w:numPr>
          <w:ilvl w:val="1"/>
          <w:numId w:val="3"/>
        </w:numPr>
        <w:ind w:left="0" w:firstLine="425"/>
        <w:spacing w:line="360" w:lineRule="auto"/>
        <w:rPr>
          <w:b/>
          <w:color w:val="000000"/>
          <w:szCs w:val="21"/>
          <w:highlight w:val="none"/>
        </w:rPr>
      </w:pPr>
      <w:r>
        <w:rPr>
          <w:rFonts w:hint="eastAsia" w:ascii="宋体" w:hAnsi="宋体" w:cs="Arial"/>
          <w:b/>
          <w:szCs w:val="21"/>
          <w:highlight w:val="none"/>
        </w:rPr>
        <w:t xml:space="preserve">投标人须在投标文件中提供通过“信用中国”网站(https://www.creditchina.gov.cn)渠道查询企业信用记录的网页截图或信用报告（查询时间不可早于招标公告发布日期）（如被列入“失信被执行人”、“重大税收违法失信主体名单”、“严重违法失信行为记录名单”及其他存在失信信息的投标人，不得参加本次采购活动）。</w:t>
      </w:r>
      <w:r>
        <w:rPr>
          <w:b/>
          <w:color w:val="000000"/>
          <w:szCs w:val="21"/>
          <w:highlight w:val="none"/>
        </w:rPr>
      </w:r>
      <w:r/>
    </w:p>
    <w:p>
      <w:pPr>
        <w:pStyle w:val="864"/>
        <w:numPr>
          <w:ilvl w:val="0"/>
          <w:numId w:val="3"/>
        </w:numPr>
        <w:ind w:left="850"/>
        <w:spacing w:line="360" w:lineRule="auto"/>
        <w:rPr>
          <w:b/>
          <w:color w:val="000000"/>
          <w:szCs w:val="21"/>
          <w:highlight w:val="none"/>
        </w:rPr>
      </w:pPr>
      <w:r>
        <w:rPr>
          <w:b/>
          <w:color w:val="000000"/>
          <w:szCs w:val="21"/>
          <w:highlight w:val="none"/>
        </w:rPr>
        <w:t xml:space="preserve">评标委员会或评标小组</w:t>
      </w:r>
      <w:r>
        <w:rPr>
          <w:b/>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评标委员会或评标小组（以下简称评标委员会）的评标工作由招标采购单位负责组织，具体评标事务由评标委员会负责，并独立履行法律、法规规定的职责。</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评标委员会或评标小组负责具体的评标事务，并独立履行以下职责：</w:t>
      </w:r>
      <w:r>
        <w:rPr>
          <w:color w:val="000000"/>
          <w:szCs w:val="21"/>
          <w:highlight w:val="none"/>
        </w:rPr>
      </w:r>
      <w:r/>
    </w:p>
    <w:p>
      <w:pPr>
        <w:pStyle w:val="864"/>
        <w:numPr>
          <w:ilvl w:val="2"/>
          <w:numId w:val="3"/>
        </w:numPr>
        <w:ind w:left="426" w:firstLine="0"/>
        <w:spacing w:line="360" w:lineRule="auto"/>
        <w:rPr>
          <w:color w:val="000000"/>
          <w:szCs w:val="21"/>
          <w:highlight w:val="none"/>
        </w:rPr>
      </w:pPr>
      <w:r>
        <w:rPr>
          <w:color w:val="000000"/>
          <w:szCs w:val="21"/>
          <w:highlight w:val="none"/>
        </w:rPr>
        <w:t xml:space="preserve">审查投标文件是否符合招标文件的要求，并作出评价。</w:t>
      </w:r>
      <w:r>
        <w:rPr>
          <w:color w:val="000000"/>
          <w:szCs w:val="21"/>
          <w:highlight w:val="none"/>
        </w:rPr>
      </w:r>
      <w:r/>
    </w:p>
    <w:p>
      <w:pPr>
        <w:pStyle w:val="864"/>
        <w:numPr>
          <w:ilvl w:val="2"/>
          <w:numId w:val="3"/>
        </w:numPr>
        <w:ind w:left="426" w:firstLine="0"/>
        <w:spacing w:line="360" w:lineRule="auto"/>
        <w:rPr>
          <w:color w:val="000000"/>
          <w:szCs w:val="21"/>
          <w:highlight w:val="none"/>
        </w:rPr>
      </w:pPr>
      <w:r>
        <w:rPr>
          <w:color w:val="000000"/>
          <w:szCs w:val="21"/>
          <w:highlight w:val="none"/>
        </w:rPr>
        <w:t xml:space="preserve">可以要求投标供应商对投标文件有关事项作出解释或澄清。</w:t>
      </w:r>
      <w:r>
        <w:rPr>
          <w:color w:val="000000"/>
          <w:szCs w:val="21"/>
          <w:highlight w:val="none"/>
        </w:rPr>
      </w:r>
      <w:r/>
    </w:p>
    <w:p>
      <w:pPr>
        <w:pStyle w:val="864"/>
        <w:numPr>
          <w:ilvl w:val="2"/>
          <w:numId w:val="3"/>
        </w:numPr>
        <w:ind w:left="426" w:firstLine="0"/>
        <w:spacing w:line="360" w:lineRule="auto"/>
        <w:rPr>
          <w:color w:val="000000"/>
          <w:szCs w:val="21"/>
          <w:highlight w:val="none"/>
        </w:rPr>
      </w:pPr>
      <w:r>
        <w:rPr>
          <w:color w:val="000000"/>
          <w:szCs w:val="21"/>
          <w:highlight w:val="none"/>
        </w:rPr>
        <w:t xml:space="preserve">推荐中标候选供应商名单，或者受招标人委托按照事先确定的办法直接确定中标人。</w:t>
      </w:r>
      <w:r>
        <w:rPr>
          <w:color w:val="000000"/>
          <w:szCs w:val="21"/>
          <w:highlight w:val="none"/>
        </w:rPr>
      </w:r>
      <w:r/>
    </w:p>
    <w:p>
      <w:pPr>
        <w:pStyle w:val="864"/>
        <w:numPr>
          <w:ilvl w:val="2"/>
          <w:numId w:val="3"/>
        </w:numPr>
        <w:ind w:left="426" w:firstLine="0"/>
        <w:spacing w:line="360" w:lineRule="auto"/>
        <w:rPr>
          <w:color w:val="000000"/>
          <w:szCs w:val="21"/>
          <w:highlight w:val="none"/>
        </w:rPr>
      </w:pPr>
      <w:r>
        <w:rPr>
          <w:color w:val="000000"/>
          <w:szCs w:val="21"/>
          <w:highlight w:val="none"/>
        </w:rPr>
        <w:t xml:space="preserve">向招标采购人或者有关部门报告非法干预评标工作的行为。</w:t>
      </w:r>
      <w:r>
        <w:rPr>
          <w:color w:val="000000"/>
          <w:szCs w:val="21"/>
          <w:highlight w:val="none"/>
        </w:rPr>
      </w:r>
      <w:r/>
    </w:p>
    <w:p>
      <w:pPr>
        <w:pStyle w:val="864"/>
        <w:numPr>
          <w:ilvl w:val="1"/>
          <w:numId w:val="3"/>
        </w:numPr>
        <w:ind w:left="0" w:firstLine="425"/>
        <w:spacing w:line="360" w:lineRule="auto"/>
        <w:rPr>
          <w:b/>
          <w:color w:val="000000"/>
          <w:szCs w:val="21"/>
          <w:highlight w:val="none"/>
        </w:rPr>
      </w:pPr>
      <w:r>
        <w:rPr>
          <w:b/>
          <w:color w:val="000000"/>
          <w:szCs w:val="21"/>
          <w:highlight w:val="none"/>
        </w:rPr>
        <w:t xml:space="preserve">评标委员会成员应当履行下列义务：</w:t>
      </w:r>
      <w:r>
        <w:rPr>
          <w:b/>
          <w:color w:val="000000"/>
          <w:szCs w:val="21"/>
          <w:highlight w:val="none"/>
        </w:rPr>
      </w:r>
      <w:r/>
    </w:p>
    <w:p>
      <w:pPr>
        <w:pStyle w:val="864"/>
        <w:numPr>
          <w:ilvl w:val="2"/>
          <w:numId w:val="3"/>
        </w:numPr>
        <w:ind w:left="426" w:firstLine="0"/>
        <w:spacing w:line="360" w:lineRule="auto"/>
        <w:rPr>
          <w:color w:val="000000"/>
          <w:szCs w:val="21"/>
          <w:highlight w:val="none"/>
        </w:rPr>
      </w:pPr>
      <w:r>
        <w:rPr>
          <w:color w:val="000000"/>
          <w:szCs w:val="21"/>
          <w:highlight w:val="none"/>
        </w:rPr>
        <w:t xml:space="preserve">遵纪守法，客观、公正、廉洁地履行职责。</w:t>
      </w:r>
      <w:r>
        <w:rPr>
          <w:color w:val="000000"/>
          <w:szCs w:val="21"/>
          <w:highlight w:val="none"/>
        </w:rPr>
      </w:r>
      <w:r/>
    </w:p>
    <w:p>
      <w:pPr>
        <w:pStyle w:val="864"/>
        <w:numPr>
          <w:ilvl w:val="2"/>
          <w:numId w:val="3"/>
        </w:numPr>
        <w:ind w:left="426" w:firstLine="0"/>
        <w:spacing w:line="360" w:lineRule="auto"/>
        <w:rPr>
          <w:color w:val="000000"/>
          <w:szCs w:val="21"/>
          <w:highlight w:val="none"/>
        </w:rPr>
      </w:pPr>
      <w:r>
        <w:rPr>
          <w:color w:val="000000"/>
          <w:szCs w:val="21"/>
          <w:highlight w:val="none"/>
        </w:rPr>
        <w:t xml:space="preserve">按照招标文件规定的评标办法和评标标准进行评标，对评审意见承担个人责任。</w:t>
      </w:r>
      <w:r>
        <w:rPr>
          <w:color w:val="000000"/>
          <w:szCs w:val="21"/>
          <w:highlight w:val="none"/>
        </w:rPr>
      </w:r>
      <w:r/>
    </w:p>
    <w:p>
      <w:pPr>
        <w:pStyle w:val="864"/>
        <w:numPr>
          <w:ilvl w:val="2"/>
          <w:numId w:val="3"/>
        </w:numPr>
        <w:ind w:left="426" w:firstLine="0"/>
        <w:spacing w:line="360" w:lineRule="auto"/>
        <w:rPr>
          <w:color w:val="000000"/>
          <w:szCs w:val="21"/>
          <w:highlight w:val="none"/>
        </w:rPr>
      </w:pPr>
      <w:r>
        <w:rPr>
          <w:color w:val="000000"/>
          <w:szCs w:val="21"/>
          <w:highlight w:val="none"/>
        </w:rPr>
        <w:t xml:space="preserve">对评标过程和结果，以及投标人的商业秘密保密。</w:t>
      </w:r>
      <w:r>
        <w:rPr>
          <w:color w:val="000000"/>
          <w:szCs w:val="21"/>
          <w:highlight w:val="none"/>
        </w:rPr>
      </w:r>
      <w:r/>
    </w:p>
    <w:p>
      <w:pPr>
        <w:pStyle w:val="864"/>
        <w:numPr>
          <w:ilvl w:val="2"/>
          <w:numId w:val="3"/>
        </w:numPr>
        <w:ind w:left="426" w:firstLine="0"/>
        <w:spacing w:line="360" w:lineRule="auto"/>
        <w:rPr>
          <w:color w:val="000000"/>
          <w:szCs w:val="21"/>
          <w:highlight w:val="none"/>
        </w:rPr>
      </w:pPr>
      <w:r>
        <w:rPr>
          <w:color w:val="000000"/>
          <w:szCs w:val="21"/>
          <w:highlight w:val="none"/>
        </w:rPr>
        <w:t xml:space="preserve">参与评标报告的起草。</w:t>
      </w:r>
      <w:r>
        <w:rPr>
          <w:color w:val="000000"/>
          <w:szCs w:val="21"/>
          <w:highlight w:val="none"/>
        </w:rPr>
      </w:r>
      <w:r/>
    </w:p>
    <w:p>
      <w:pPr>
        <w:pStyle w:val="864"/>
        <w:numPr>
          <w:ilvl w:val="2"/>
          <w:numId w:val="3"/>
        </w:numPr>
        <w:ind w:left="426" w:firstLine="0"/>
        <w:spacing w:line="360" w:lineRule="auto"/>
        <w:rPr>
          <w:color w:val="000000"/>
          <w:szCs w:val="21"/>
          <w:highlight w:val="none"/>
        </w:rPr>
      </w:pPr>
      <w:r>
        <w:rPr>
          <w:color w:val="000000"/>
          <w:szCs w:val="21"/>
          <w:highlight w:val="none"/>
        </w:rPr>
        <w:t xml:space="preserve">配合财政部门的投诉处理工作。</w:t>
      </w:r>
      <w:r>
        <w:rPr>
          <w:color w:val="000000"/>
          <w:szCs w:val="21"/>
          <w:highlight w:val="none"/>
        </w:rPr>
      </w:r>
      <w:r/>
    </w:p>
    <w:p>
      <w:pPr>
        <w:pStyle w:val="864"/>
        <w:numPr>
          <w:ilvl w:val="2"/>
          <w:numId w:val="3"/>
        </w:numPr>
        <w:ind w:left="426" w:firstLine="0"/>
        <w:spacing w:line="360" w:lineRule="auto"/>
        <w:rPr>
          <w:color w:val="000000"/>
          <w:szCs w:val="21"/>
          <w:highlight w:val="none"/>
        </w:rPr>
      </w:pPr>
      <w:r>
        <w:rPr>
          <w:color w:val="000000"/>
          <w:szCs w:val="21"/>
          <w:highlight w:val="none"/>
        </w:rPr>
        <w:t xml:space="preserve">配合招标采购人答复投标供应商提出的质疑。</w:t>
      </w:r>
      <w:r>
        <w:rPr>
          <w:color w:val="000000"/>
          <w:szCs w:val="21"/>
          <w:highlight w:val="none"/>
        </w:rPr>
      </w:r>
      <w:r/>
    </w:p>
    <w:p>
      <w:pPr>
        <w:pStyle w:val="864"/>
        <w:numPr>
          <w:ilvl w:val="1"/>
          <w:numId w:val="3"/>
        </w:numPr>
        <w:ind w:left="0" w:firstLine="425"/>
        <w:spacing w:line="360" w:lineRule="auto"/>
        <w:rPr>
          <w:b/>
          <w:color w:val="000000"/>
          <w:szCs w:val="21"/>
          <w:highlight w:val="none"/>
        </w:rPr>
      </w:pPr>
      <w:r>
        <w:rPr>
          <w:b/>
          <w:color w:val="000000"/>
          <w:szCs w:val="21"/>
          <w:highlight w:val="none"/>
        </w:rPr>
        <w:t xml:space="preserve">评标内容的保密</w:t>
      </w:r>
      <w:r>
        <w:rPr>
          <w:b/>
          <w:color w:val="000000"/>
          <w:szCs w:val="21"/>
          <w:highlight w:val="none"/>
        </w:rPr>
      </w:r>
      <w:r/>
    </w:p>
    <w:p>
      <w:pPr>
        <w:pStyle w:val="864"/>
        <w:numPr>
          <w:ilvl w:val="2"/>
          <w:numId w:val="3"/>
        </w:numPr>
        <w:ind w:left="426" w:firstLine="0"/>
        <w:spacing w:line="360" w:lineRule="auto"/>
        <w:rPr>
          <w:color w:val="000000"/>
          <w:szCs w:val="21"/>
          <w:highlight w:val="none"/>
        </w:rPr>
      </w:pPr>
      <w:r>
        <w:rPr>
          <w:color w:val="000000"/>
          <w:szCs w:val="21"/>
          <w:highlight w:val="none"/>
        </w:rPr>
        <w:t xml:space="preserve">公开开标后，直到宣布授予中标单位合同为止，凡属于审查、澄清、评价和比较投标的所有资料，有关授予合同的信息都不应向投标人或与评标无关的其他人泄露。</w:t>
      </w:r>
      <w:r>
        <w:rPr>
          <w:color w:val="000000"/>
          <w:szCs w:val="21"/>
          <w:highlight w:val="none"/>
        </w:rPr>
      </w:r>
      <w:r/>
    </w:p>
    <w:p>
      <w:pPr>
        <w:pStyle w:val="864"/>
        <w:numPr>
          <w:ilvl w:val="2"/>
          <w:numId w:val="3"/>
        </w:numPr>
        <w:ind w:left="426" w:firstLine="0"/>
        <w:spacing w:line="360" w:lineRule="auto"/>
        <w:rPr>
          <w:color w:val="000000"/>
          <w:szCs w:val="21"/>
          <w:highlight w:val="none"/>
        </w:rPr>
      </w:pPr>
      <w:r>
        <w:rPr>
          <w:color w:val="000000"/>
          <w:szCs w:val="21"/>
          <w:highlight w:val="none"/>
        </w:rPr>
        <w:t xml:space="preserve">在投标文件的审查、澄清、评价和比较以及授予合同的过程中，投标人对招标人和评标委员会成员施加影响的任何行为，都将取消其投标资格。</w:t>
      </w:r>
      <w:r>
        <w:rPr>
          <w:color w:val="000000"/>
          <w:szCs w:val="21"/>
          <w:highlight w:val="none"/>
        </w:rPr>
      </w:r>
      <w:r/>
    </w:p>
    <w:p>
      <w:pPr>
        <w:pStyle w:val="864"/>
        <w:numPr>
          <w:ilvl w:val="2"/>
          <w:numId w:val="3"/>
        </w:numPr>
        <w:ind w:left="426" w:firstLine="0"/>
        <w:spacing w:line="360" w:lineRule="auto"/>
        <w:rPr>
          <w:color w:val="000000"/>
          <w:szCs w:val="21"/>
          <w:highlight w:val="none"/>
        </w:rPr>
      </w:pPr>
      <w:r>
        <w:rPr>
          <w:color w:val="000000"/>
          <w:szCs w:val="21"/>
          <w:highlight w:val="none"/>
        </w:rPr>
        <w:t xml:space="preserve">在评标期间，招标人将通过指定联络人与投标人进行联系。</w:t>
      </w:r>
      <w:r>
        <w:rPr>
          <w:color w:val="000000"/>
          <w:szCs w:val="21"/>
          <w:highlight w:val="none"/>
        </w:rPr>
      </w:r>
      <w:r/>
    </w:p>
    <w:p>
      <w:pPr>
        <w:pStyle w:val="864"/>
        <w:numPr>
          <w:ilvl w:val="2"/>
          <w:numId w:val="3"/>
        </w:numPr>
        <w:ind w:left="426" w:firstLine="0"/>
        <w:spacing w:line="360" w:lineRule="auto"/>
        <w:rPr>
          <w:color w:val="000000"/>
          <w:szCs w:val="21"/>
          <w:highlight w:val="none"/>
        </w:rPr>
      </w:pPr>
      <w:r>
        <w:rPr>
          <w:color w:val="000000"/>
          <w:szCs w:val="21"/>
          <w:highlight w:val="none"/>
        </w:rPr>
        <w:t xml:space="preserve">评标委员会不向落标人解释原因。</w:t>
      </w:r>
      <w:r>
        <w:rPr>
          <w:color w:val="000000"/>
          <w:szCs w:val="21"/>
          <w:highlight w:val="none"/>
        </w:rPr>
      </w:r>
      <w:r/>
    </w:p>
    <w:p>
      <w:pPr>
        <w:pStyle w:val="864"/>
        <w:numPr>
          <w:ilvl w:val="0"/>
          <w:numId w:val="3"/>
        </w:numPr>
        <w:ind w:left="850"/>
        <w:spacing w:line="360" w:lineRule="auto"/>
        <w:rPr>
          <w:b/>
          <w:color w:val="000000"/>
          <w:szCs w:val="21"/>
          <w:highlight w:val="none"/>
        </w:rPr>
      </w:pPr>
      <w:r>
        <w:rPr>
          <w:b/>
          <w:color w:val="000000"/>
          <w:szCs w:val="21"/>
          <w:highlight w:val="none"/>
        </w:rPr>
        <w:t xml:space="preserve">对投标人及投标文件的审核</w:t>
      </w:r>
      <w:r>
        <w:rPr>
          <w:b/>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采购人或者招标代理人资格证明文件要求进行投标人资格审查，如缺少内容，视为无效投标；</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对价格的计算错误按下述原则修正：</w:t>
      </w:r>
      <w:r>
        <w:rPr>
          <w:color w:val="000000"/>
          <w:szCs w:val="21"/>
          <w:highlight w:val="none"/>
        </w:rPr>
      </w:r>
      <w:r/>
    </w:p>
    <w:p>
      <w:pPr>
        <w:pStyle w:val="864"/>
        <w:numPr>
          <w:ilvl w:val="2"/>
          <w:numId w:val="3"/>
        </w:numPr>
        <w:ind w:left="426" w:firstLine="0"/>
        <w:spacing w:line="360" w:lineRule="auto"/>
        <w:rPr>
          <w:color w:val="000000"/>
          <w:szCs w:val="21"/>
          <w:highlight w:val="none"/>
        </w:rPr>
      </w:pPr>
      <w:r>
        <w:rPr>
          <w:color w:val="000000"/>
          <w:szCs w:val="21"/>
          <w:highlight w:val="none"/>
        </w:rPr>
        <w:t xml:space="preserve">如果以文字表示的数据与数字表示的有差别，应以文字为准修正数字。</w:t>
      </w:r>
      <w:r>
        <w:rPr>
          <w:color w:val="000000"/>
          <w:szCs w:val="21"/>
          <w:highlight w:val="none"/>
        </w:rPr>
      </w:r>
      <w:r/>
    </w:p>
    <w:p>
      <w:pPr>
        <w:pStyle w:val="864"/>
        <w:numPr>
          <w:ilvl w:val="2"/>
          <w:numId w:val="3"/>
        </w:numPr>
        <w:ind w:left="426" w:firstLine="0"/>
        <w:spacing w:line="360" w:lineRule="auto"/>
        <w:rPr>
          <w:color w:val="000000"/>
          <w:szCs w:val="21"/>
          <w:highlight w:val="none"/>
        </w:rPr>
      </w:pPr>
      <w:r>
        <w:rPr>
          <w:color w:val="000000"/>
          <w:szCs w:val="21"/>
          <w:highlight w:val="none"/>
        </w:rPr>
        <w:t xml:space="preserve">对不同文字文本投标文件的解释发生异议的，以中文文本为准。</w:t>
      </w:r>
      <w:r>
        <w:rPr>
          <w:color w:val="000000"/>
          <w:szCs w:val="21"/>
          <w:highlight w:val="none"/>
        </w:rPr>
      </w:r>
      <w:r/>
    </w:p>
    <w:p>
      <w:pPr>
        <w:pStyle w:val="864"/>
        <w:numPr>
          <w:ilvl w:val="2"/>
          <w:numId w:val="3"/>
        </w:numPr>
        <w:ind w:left="426" w:firstLine="0"/>
        <w:spacing w:line="360" w:lineRule="auto"/>
        <w:rPr>
          <w:color w:val="000000"/>
          <w:szCs w:val="21"/>
          <w:highlight w:val="none"/>
        </w:rPr>
      </w:pPr>
      <w:r>
        <w:rPr>
          <w:color w:val="000000"/>
          <w:szCs w:val="21"/>
          <w:highlight w:val="none"/>
        </w:rPr>
        <w:t xml:space="preserve">投标人不同意以上修正，则其投标为无效投标。</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评标委员会对投标文件的判定，只依据投标内容本身，不依据开标后的任何外来证明。</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下列投标文件为无效投标：</w:t>
      </w:r>
      <w:r>
        <w:rPr>
          <w:color w:val="000000"/>
          <w:szCs w:val="21"/>
          <w:highlight w:val="none"/>
        </w:rPr>
      </w:r>
      <w:r/>
    </w:p>
    <w:p>
      <w:pPr>
        <w:pStyle w:val="864"/>
        <w:numPr>
          <w:ilvl w:val="2"/>
          <w:numId w:val="3"/>
        </w:numPr>
        <w:ind w:left="426" w:firstLine="0"/>
        <w:spacing w:line="360" w:lineRule="auto"/>
        <w:rPr>
          <w:color w:val="000000"/>
          <w:szCs w:val="21"/>
          <w:highlight w:val="none"/>
        </w:rPr>
      </w:pPr>
      <w:r>
        <w:rPr>
          <w:color w:val="000000"/>
          <w:szCs w:val="21"/>
          <w:highlight w:val="none"/>
        </w:rPr>
        <w:t xml:space="preserve">与招标文件有重大偏离。</w:t>
      </w:r>
      <w:r>
        <w:rPr>
          <w:color w:val="000000"/>
          <w:szCs w:val="21"/>
          <w:highlight w:val="none"/>
        </w:rPr>
      </w:r>
      <w:r/>
    </w:p>
    <w:p>
      <w:pPr>
        <w:pStyle w:val="864"/>
        <w:numPr>
          <w:ilvl w:val="2"/>
          <w:numId w:val="3"/>
        </w:numPr>
        <w:ind w:left="426" w:firstLine="0"/>
        <w:spacing w:line="360" w:lineRule="auto"/>
        <w:rPr>
          <w:color w:val="000000"/>
          <w:szCs w:val="21"/>
          <w:highlight w:val="none"/>
        </w:rPr>
      </w:pPr>
      <w:r>
        <w:rPr>
          <w:color w:val="000000"/>
          <w:szCs w:val="21"/>
          <w:highlight w:val="none"/>
        </w:rPr>
        <w:t xml:space="preserve">投标人的报价是选择性的。</w:t>
      </w:r>
      <w:r>
        <w:rPr>
          <w:color w:val="000000"/>
          <w:szCs w:val="21"/>
          <w:highlight w:val="none"/>
        </w:rPr>
      </w:r>
      <w:r/>
    </w:p>
    <w:p>
      <w:pPr>
        <w:pStyle w:val="864"/>
        <w:numPr>
          <w:ilvl w:val="2"/>
          <w:numId w:val="3"/>
        </w:numPr>
        <w:ind w:left="426" w:firstLine="0"/>
        <w:spacing w:line="360" w:lineRule="auto"/>
        <w:rPr>
          <w:color w:val="000000"/>
          <w:szCs w:val="21"/>
          <w:highlight w:val="none"/>
        </w:rPr>
      </w:pPr>
      <w:r>
        <w:rPr>
          <w:color w:val="000000"/>
          <w:szCs w:val="21"/>
          <w:highlight w:val="none"/>
        </w:rPr>
        <w:t xml:space="preserve">投标报价超过预算的。</w:t>
      </w:r>
      <w:r>
        <w:rPr>
          <w:color w:val="000000"/>
          <w:szCs w:val="21"/>
          <w:highlight w:val="none"/>
        </w:rPr>
      </w:r>
      <w:r/>
    </w:p>
    <w:p>
      <w:pPr>
        <w:pStyle w:val="864"/>
        <w:numPr>
          <w:ilvl w:val="2"/>
          <w:numId w:val="3"/>
        </w:numPr>
        <w:ind w:left="426" w:firstLine="0"/>
        <w:spacing w:line="360" w:lineRule="auto"/>
        <w:rPr>
          <w:color w:val="000000"/>
          <w:szCs w:val="21"/>
          <w:highlight w:val="none"/>
        </w:rPr>
      </w:pPr>
      <w:r>
        <w:rPr>
          <w:color w:val="000000"/>
          <w:szCs w:val="21"/>
          <w:highlight w:val="none"/>
        </w:rPr>
        <w:t xml:space="preserve">不具备招标文件中规定的资格要求。</w:t>
      </w:r>
      <w:r>
        <w:rPr>
          <w:color w:val="000000"/>
          <w:szCs w:val="21"/>
          <w:highlight w:val="none"/>
        </w:rPr>
      </w:r>
      <w:r/>
    </w:p>
    <w:p>
      <w:pPr>
        <w:pStyle w:val="864"/>
        <w:numPr>
          <w:ilvl w:val="2"/>
          <w:numId w:val="3"/>
        </w:numPr>
        <w:ind w:left="426" w:firstLine="0"/>
        <w:spacing w:line="360" w:lineRule="auto"/>
        <w:rPr>
          <w:color w:val="000000"/>
          <w:szCs w:val="21"/>
          <w:highlight w:val="none"/>
        </w:rPr>
      </w:pPr>
      <w:r>
        <w:rPr>
          <w:color w:val="000000"/>
          <w:szCs w:val="21"/>
          <w:highlight w:val="none"/>
        </w:rPr>
        <w:t xml:space="preserve">不同供应商的投标文件由同一单位或者个人编制。</w:t>
      </w:r>
      <w:r>
        <w:rPr>
          <w:color w:val="000000"/>
          <w:szCs w:val="21"/>
          <w:highlight w:val="none"/>
        </w:rPr>
      </w:r>
      <w:r/>
    </w:p>
    <w:p>
      <w:pPr>
        <w:pStyle w:val="864"/>
        <w:numPr>
          <w:ilvl w:val="2"/>
          <w:numId w:val="3"/>
        </w:numPr>
        <w:ind w:left="426" w:firstLine="0"/>
        <w:spacing w:line="360" w:lineRule="auto"/>
        <w:rPr>
          <w:color w:val="000000"/>
          <w:szCs w:val="21"/>
          <w:highlight w:val="none"/>
        </w:rPr>
      </w:pPr>
      <w:r>
        <w:rPr>
          <w:color w:val="000000"/>
          <w:szCs w:val="21"/>
          <w:highlight w:val="none"/>
        </w:rPr>
        <w:t xml:space="preserve">不同供应商委托同一单位或者个人办理投标事宜。</w:t>
      </w:r>
      <w:r>
        <w:rPr>
          <w:color w:val="000000"/>
          <w:szCs w:val="21"/>
          <w:highlight w:val="none"/>
        </w:rPr>
      </w:r>
      <w:r/>
    </w:p>
    <w:p>
      <w:pPr>
        <w:pStyle w:val="864"/>
        <w:numPr>
          <w:ilvl w:val="2"/>
          <w:numId w:val="3"/>
        </w:numPr>
        <w:ind w:left="426" w:firstLine="0"/>
        <w:spacing w:line="360" w:lineRule="auto"/>
        <w:rPr>
          <w:color w:val="000000"/>
          <w:szCs w:val="21"/>
          <w:highlight w:val="none"/>
        </w:rPr>
      </w:pPr>
      <w:r>
        <w:rPr>
          <w:color w:val="000000"/>
          <w:szCs w:val="21"/>
          <w:highlight w:val="none"/>
        </w:rPr>
        <w:t xml:space="preserve">不同供应商的投标文件载明的项目管理成员为同一人。</w:t>
      </w:r>
      <w:r>
        <w:rPr>
          <w:color w:val="000000"/>
          <w:szCs w:val="21"/>
          <w:highlight w:val="none"/>
        </w:rPr>
      </w:r>
      <w:r/>
    </w:p>
    <w:p>
      <w:pPr>
        <w:pStyle w:val="864"/>
        <w:numPr>
          <w:ilvl w:val="2"/>
          <w:numId w:val="3"/>
        </w:numPr>
        <w:ind w:left="426" w:firstLine="0"/>
        <w:spacing w:line="360" w:lineRule="auto"/>
        <w:rPr>
          <w:color w:val="000000"/>
          <w:szCs w:val="21"/>
          <w:highlight w:val="none"/>
        </w:rPr>
      </w:pPr>
      <w:r>
        <w:rPr>
          <w:color w:val="000000"/>
          <w:szCs w:val="21"/>
          <w:highlight w:val="none"/>
        </w:rPr>
        <w:t xml:space="preserve">不同供应商的投标文件异常一致。</w:t>
      </w:r>
      <w:r>
        <w:rPr>
          <w:color w:val="000000"/>
          <w:szCs w:val="21"/>
          <w:highlight w:val="none"/>
        </w:rPr>
      </w:r>
      <w:r/>
    </w:p>
    <w:p>
      <w:pPr>
        <w:pStyle w:val="864"/>
        <w:numPr>
          <w:ilvl w:val="2"/>
          <w:numId w:val="3"/>
        </w:numPr>
        <w:ind w:left="426" w:firstLine="0"/>
        <w:spacing w:line="360" w:lineRule="auto"/>
        <w:rPr>
          <w:color w:val="000000"/>
          <w:szCs w:val="21"/>
          <w:highlight w:val="none"/>
        </w:rPr>
      </w:pPr>
      <w:r>
        <w:rPr>
          <w:color w:val="000000"/>
          <w:szCs w:val="21"/>
          <w:highlight w:val="none"/>
        </w:rPr>
        <w:t xml:space="preserve">不同供应商的投标文件相互混装。</w:t>
      </w:r>
      <w:r>
        <w:rPr>
          <w:color w:val="000000"/>
          <w:szCs w:val="21"/>
          <w:highlight w:val="none"/>
        </w:rPr>
      </w:r>
      <w:r/>
    </w:p>
    <w:p>
      <w:pPr>
        <w:pStyle w:val="864"/>
        <w:numPr>
          <w:ilvl w:val="2"/>
          <w:numId w:val="3"/>
        </w:numPr>
        <w:ind w:left="426" w:firstLine="0"/>
        <w:spacing w:line="360" w:lineRule="auto"/>
        <w:rPr>
          <w:color w:val="000000"/>
          <w:szCs w:val="21"/>
          <w:highlight w:val="none"/>
        </w:rPr>
      </w:pPr>
      <w:r>
        <w:rPr>
          <w:color w:val="000000"/>
          <w:szCs w:val="21"/>
          <w:highlight w:val="none"/>
        </w:rPr>
        <w:t xml:space="preserve">不同供应商的法定代表人或委托代理人有夫妻、直系血亲关系的。</w:t>
      </w:r>
      <w:r>
        <w:rPr>
          <w:color w:val="000000"/>
          <w:szCs w:val="21"/>
          <w:highlight w:val="none"/>
        </w:rPr>
      </w:r>
      <w:r/>
    </w:p>
    <w:p>
      <w:pPr>
        <w:pStyle w:val="864"/>
        <w:numPr>
          <w:ilvl w:val="2"/>
          <w:numId w:val="3"/>
        </w:numPr>
        <w:ind w:left="426" w:firstLine="0"/>
        <w:spacing w:line="360" w:lineRule="auto"/>
        <w:rPr>
          <w:color w:val="000000"/>
          <w:szCs w:val="21"/>
          <w:highlight w:val="none"/>
        </w:rPr>
      </w:pPr>
      <w:r>
        <w:rPr>
          <w:color w:val="000000"/>
          <w:szCs w:val="21"/>
          <w:highlight w:val="none"/>
        </w:rPr>
        <w:t xml:space="preserve">不同供应商的负责人为同一人或者存在控股、管理关系的。</w:t>
      </w:r>
      <w:r>
        <w:rPr>
          <w:color w:val="000000"/>
          <w:szCs w:val="21"/>
          <w:highlight w:val="none"/>
        </w:rPr>
      </w:r>
      <w:r/>
    </w:p>
    <w:p>
      <w:pPr>
        <w:pStyle w:val="864"/>
        <w:numPr>
          <w:ilvl w:val="2"/>
          <w:numId w:val="3"/>
        </w:numPr>
        <w:ind w:left="426" w:firstLine="0"/>
        <w:spacing w:line="360" w:lineRule="auto"/>
        <w:rPr>
          <w:color w:val="000000"/>
          <w:szCs w:val="21"/>
          <w:highlight w:val="none"/>
        </w:rPr>
      </w:pPr>
      <w:r>
        <w:rPr>
          <w:color w:val="000000"/>
          <w:szCs w:val="21"/>
          <w:highlight w:val="none"/>
        </w:rPr>
        <w:t xml:space="preserve">不同供应商的委托代理人(或法定代表人、项目经理、项目总监、项目负责人等)在招标文件发布日上月至投标截止日当月在同一单位缴纳社会保险的。</w:t>
      </w:r>
      <w:r>
        <w:rPr>
          <w:color w:val="000000"/>
          <w:szCs w:val="21"/>
          <w:highlight w:val="none"/>
        </w:rPr>
      </w:r>
      <w:r/>
    </w:p>
    <w:p>
      <w:pPr>
        <w:pStyle w:val="864"/>
        <w:numPr>
          <w:ilvl w:val="2"/>
          <w:numId w:val="3"/>
        </w:numPr>
        <w:ind w:left="426" w:firstLine="0"/>
        <w:spacing w:line="360" w:lineRule="auto"/>
        <w:rPr>
          <w:color w:val="000000"/>
          <w:szCs w:val="21"/>
          <w:highlight w:val="none"/>
        </w:rPr>
      </w:pPr>
      <w:r>
        <w:rPr>
          <w:color w:val="000000"/>
          <w:szCs w:val="21"/>
          <w:highlight w:val="none"/>
        </w:rPr>
        <w:t xml:space="preserve">服务承诺和付款条件未响应招标要求的；</w:t>
      </w:r>
      <w:r>
        <w:rPr>
          <w:color w:val="000000"/>
          <w:szCs w:val="21"/>
          <w:highlight w:val="none"/>
        </w:rPr>
      </w:r>
      <w:r/>
    </w:p>
    <w:p>
      <w:pPr>
        <w:pStyle w:val="864"/>
        <w:numPr>
          <w:ilvl w:val="2"/>
          <w:numId w:val="3"/>
        </w:numPr>
        <w:ind w:left="426" w:firstLine="0"/>
        <w:spacing w:line="360" w:lineRule="auto"/>
        <w:rPr>
          <w:color w:val="000000"/>
          <w:szCs w:val="21"/>
          <w:highlight w:val="none"/>
        </w:rPr>
      </w:pPr>
      <w:r>
        <w:rPr>
          <w:color w:val="000000"/>
          <w:szCs w:val="21"/>
          <w:highlight w:val="none"/>
        </w:rPr>
        <w:t xml:space="preserve">特征码检查中，不同投标人上传采购文件所使用的电脑网卡信息一致的（如发现违法违规行为，将依法追究其法律责任）；</w:t>
      </w:r>
      <w:r>
        <w:rPr>
          <w:color w:val="000000"/>
          <w:szCs w:val="21"/>
          <w:highlight w:val="none"/>
        </w:rPr>
      </w:r>
      <w:r/>
    </w:p>
    <w:p>
      <w:pPr>
        <w:pStyle w:val="864"/>
        <w:numPr>
          <w:ilvl w:val="2"/>
          <w:numId w:val="3"/>
        </w:numPr>
        <w:ind w:left="426" w:firstLine="0"/>
        <w:spacing w:line="360" w:lineRule="auto"/>
        <w:rPr>
          <w:color w:val="000000"/>
          <w:szCs w:val="21"/>
          <w:highlight w:val="none"/>
        </w:rPr>
      </w:pPr>
      <w:r>
        <w:rPr>
          <w:color w:val="000000"/>
          <w:szCs w:val="21"/>
          <w:highlight w:val="none"/>
        </w:rPr>
        <w:t xml:space="preserve">不符合法律、法规和招标文件规定的其他实质性要求的。</w:t>
      </w:r>
      <w:r>
        <w:rPr>
          <w:color w:val="000000"/>
          <w:szCs w:val="21"/>
          <w:highlight w:val="none"/>
        </w:rPr>
      </w:r>
      <w:r/>
    </w:p>
    <w:p>
      <w:pPr>
        <w:pStyle w:val="864"/>
        <w:numPr>
          <w:ilvl w:val="2"/>
          <w:numId w:val="3"/>
        </w:numPr>
        <w:ind w:left="426" w:firstLine="0"/>
        <w:spacing w:line="360" w:lineRule="auto"/>
        <w:rPr>
          <w:color w:val="000000"/>
          <w:szCs w:val="21"/>
          <w:highlight w:val="none"/>
        </w:rPr>
      </w:pPr>
      <w:r>
        <w:rPr>
          <w:color w:val="000000"/>
          <w:szCs w:val="21"/>
          <w:highlight w:val="none"/>
        </w:rPr>
        <w:t xml:space="preserve">评标委员会认定的其它为无效投标的事项。</w:t>
      </w:r>
      <w:r>
        <w:rPr>
          <w:color w:val="000000"/>
          <w:szCs w:val="21"/>
          <w:highlight w:val="none"/>
        </w:rPr>
      </w:r>
      <w:r/>
    </w:p>
    <w:p>
      <w:pPr>
        <w:pStyle w:val="864"/>
        <w:numPr>
          <w:ilvl w:val="0"/>
          <w:numId w:val="3"/>
        </w:numPr>
        <w:ind w:left="850"/>
        <w:spacing w:line="360" w:lineRule="auto"/>
        <w:rPr>
          <w:b/>
          <w:color w:val="000000"/>
          <w:szCs w:val="21"/>
          <w:highlight w:val="none"/>
        </w:rPr>
      </w:pPr>
      <w:r>
        <w:rPr>
          <w:b/>
          <w:color w:val="000000"/>
          <w:szCs w:val="21"/>
          <w:highlight w:val="none"/>
        </w:rPr>
        <w:t xml:space="preserve">投标的澄清</w:t>
      </w:r>
      <w:r>
        <w:rPr>
          <w:b/>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评标委员会有权就投标文件中含混之处向投标人提出询问或澄清要求，投标人必须按照招标代理人通知的时间、地点派技术和商务人员进行澄清。</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必要时招标代理人可要求就澄清的问题作书面回答，该书面回答应有投标人的法定代表人或被授权人签署，并将作为投标内容的一部分。</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投标人对投标文件的澄清不得改变投标的价格及实质性内容。</w:t>
      </w:r>
      <w:r>
        <w:rPr>
          <w:color w:val="000000"/>
          <w:szCs w:val="21"/>
          <w:highlight w:val="none"/>
        </w:rPr>
      </w:r>
      <w:r/>
    </w:p>
    <w:p>
      <w:pPr>
        <w:pStyle w:val="864"/>
        <w:numPr>
          <w:ilvl w:val="0"/>
          <w:numId w:val="3"/>
        </w:numPr>
        <w:ind w:left="850"/>
        <w:spacing w:line="360" w:lineRule="auto"/>
        <w:rPr>
          <w:b/>
          <w:color w:val="000000"/>
          <w:szCs w:val="21"/>
          <w:highlight w:val="none"/>
        </w:rPr>
      </w:pPr>
      <w:r>
        <w:rPr>
          <w:b/>
          <w:color w:val="000000"/>
          <w:szCs w:val="21"/>
          <w:highlight w:val="none"/>
        </w:rPr>
        <w:t xml:space="preserve">废标</w:t>
      </w:r>
      <w:r>
        <w:rPr>
          <w:b/>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在招标过程中，出现下列情况之一的，应予废标：</w:t>
      </w:r>
      <w:r>
        <w:rPr>
          <w:color w:val="000000"/>
          <w:szCs w:val="21"/>
          <w:highlight w:val="none"/>
        </w:rPr>
      </w:r>
      <w:r/>
    </w:p>
    <w:p>
      <w:pPr>
        <w:pStyle w:val="864"/>
        <w:numPr>
          <w:ilvl w:val="2"/>
          <w:numId w:val="3"/>
        </w:numPr>
        <w:ind w:left="426" w:firstLine="0"/>
        <w:spacing w:line="360" w:lineRule="auto"/>
        <w:rPr>
          <w:b/>
          <w:color w:val="000000"/>
          <w:szCs w:val="21"/>
          <w:highlight w:val="none"/>
        </w:rPr>
      </w:pPr>
      <w:r>
        <w:rPr>
          <w:b/>
          <w:color w:val="000000"/>
          <w:szCs w:val="21"/>
          <w:highlight w:val="none"/>
        </w:rPr>
        <w:t xml:space="preserve">进入每个标段评审的实质性响应且具有得标权（已在前期各标段评审中获得了采购文件规定的得标上限数的供应商，不再具有该标段的得标权）的供应商少于3家的；</w:t>
      </w:r>
      <w:r>
        <w:rPr>
          <w:b/>
          <w:color w:val="000000"/>
          <w:szCs w:val="21"/>
          <w:highlight w:val="none"/>
        </w:rPr>
      </w:r>
      <w:r/>
    </w:p>
    <w:p>
      <w:pPr>
        <w:pStyle w:val="864"/>
        <w:numPr>
          <w:ilvl w:val="2"/>
          <w:numId w:val="3"/>
        </w:numPr>
        <w:ind w:left="426" w:firstLine="0"/>
        <w:spacing w:line="360" w:lineRule="auto"/>
        <w:rPr>
          <w:color w:val="000000"/>
          <w:szCs w:val="21"/>
          <w:highlight w:val="none"/>
        </w:rPr>
      </w:pPr>
      <w:r>
        <w:rPr>
          <w:color w:val="000000"/>
          <w:szCs w:val="21"/>
          <w:highlight w:val="none"/>
        </w:rPr>
        <w:t xml:space="preserve">出现影响采购公正的违法、违规行为的；</w:t>
      </w:r>
      <w:r>
        <w:rPr>
          <w:color w:val="000000"/>
          <w:szCs w:val="21"/>
          <w:highlight w:val="none"/>
        </w:rPr>
      </w:r>
      <w:r/>
    </w:p>
    <w:p>
      <w:pPr>
        <w:pStyle w:val="864"/>
        <w:numPr>
          <w:ilvl w:val="2"/>
          <w:numId w:val="3"/>
        </w:numPr>
        <w:ind w:left="426" w:firstLine="0"/>
        <w:spacing w:line="360" w:lineRule="auto"/>
        <w:rPr>
          <w:color w:val="000000"/>
          <w:szCs w:val="21"/>
          <w:highlight w:val="none"/>
        </w:rPr>
      </w:pPr>
      <w:r>
        <w:rPr>
          <w:color w:val="000000"/>
          <w:szCs w:val="21"/>
          <w:highlight w:val="none"/>
        </w:rPr>
        <w:t xml:space="preserve">投标人的报价均超过了采购预算，采购方不能支付的；</w:t>
      </w:r>
      <w:r>
        <w:rPr>
          <w:color w:val="000000"/>
          <w:szCs w:val="21"/>
          <w:highlight w:val="none"/>
        </w:rPr>
      </w:r>
      <w:r/>
    </w:p>
    <w:p>
      <w:pPr>
        <w:pStyle w:val="864"/>
        <w:numPr>
          <w:ilvl w:val="2"/>
          <w:numId w:val="3"/>
        </w:numPr>
        <w:ind w:left="426" w:firstLine="0"/>
        <w:spacing w:line="360" w:lineRule="auto"/>
        <w:rPr>
          <w:color w:val="000000"/>
          <w:szCs w:val="21"/>
          <w:highlight w:val="none"/>
        </w:rPr>
      </w:pPr>
      <w:r>
        <w:rPr>
          <w:color w:val="000000"/>
          <w:szCs w:val="21"/>
          <w:highlight w:val="none"/>
        </w:rPr>
        <w:t xml:space="preserve">因重大变故，采购任务取消的。</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废标后，招标人将把废标的理由通知所有投标人 。</w:t>
      </w:r>
      <w:r>
        <w:rPr>
          <w:color w:val="000000"/>
          <w:szCs w:val="21"/>
          <w:highlight w:val="none"/>
        </w:rPr>
      </w:r>
      <w:r/>
    </w:p>
    <w:p>
      <w:pPr>
        <w:pStyle w:val="864"/>
        <w:numPr>
          <w:ilvl w:val="0"/>
          <w:numId w:val="3"/>
        </w:numPr>
        <w:ind w:left="850"/>
        <w:spacing w:line="360" w:lineRule="auto"/>
        <w:rPr>
          <w:b/>
          <w:color w:val="000000"/>
          <w:szCs w:val="21"/>
          <w:highlight w:val="none"/>
        </w:rPr>
      </w:pPr>
      <w:r>
        <w:rPr>
          <w:b/>
          <w:color w:val="000000"/>
          <w:szCs w:val="21"/>
          <w:highlight w:val="none"/>
        </w:rPr>
        <w:t xml:space="preserve">投标文件的评价和比较</w:t>
      </w:r>
      <w:r>
        <w:rPr>
          <w:b/>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评标委员会将仅对按照本须知有关规定确定为实质上响应招标文件要求的投标文件进行评价和比较。</w:t>
      </w:r>
      <w:r>
        <w:rPr>
          <w:color w:val="000000"/>
          <w:szCs w:val="21"/>
          <w:highlight w:val="none"/>
        </w:rPr>
      </w:r>
      <w:r/>
    </w:p>
    <w:p>
      <w:pPr>
        <w:pStyle w:val="864"/>
        <w:numPr>
          <w:ilvl w:val="1"/>
          <w:numId w:val="3"/>
        </w:numPr>
        <w:ind w:left="0" w:firstLine="425"/>
        <w:spacing w:line="360" w:lineRule="auto"/>
        <w:rPr>
          <w:color w:val="000000"/>
          <w:szCs w:val="21"/>
          <w:highlight w:val="none"/>
        </w:rPr>
      </w:pPr>
      <w:r>
        <w:rPr>
          <w:color w:val="000000"/>
          <w:szCs w:val="21"/>
          <w:highlight w:val="none"/>
        </w:rPr>
        <w:t xml:space="preserve">评价和比较采用综合评分法，评标委员会严格按照招标文件的要求、条件、评分标准，对投标人所作的实质性响应内容进行比较。</w:t>
      </w:r>
      <w:r>
        <w:rPr>
          <w:color w:val="000000"/>
          <w:szCs w:val="21"/>
          <w:highlight w:val="none"/>
        </w:rPr>
      </w:r>
      <w:r/>
    </w:p>
    <w:p>
      <w:pPr>
        <w:pStyle w:val="864"/>
        <w:numPr>
          <w:ilvl w:val="0"/>
          <w:numId w:val="2"/>
        </w:numPr>
        <w:ind w:left="850" w:hanging="424"/>
        <w:spacing w:line="360" w:lineRule="auto"/>
        <w:rPr>
          <w:b/>
          <w:color w:val="000000"/>
          <w:szCs w:val="21"/>
          <w:highlight w:val="none"/>
        </w:rPr>
      </w:pPr>
      <w:r>
        <w:rPr>
          <w:b/>
          <w:color w:val="000000"/>
          <w:szCs w:val="21"/>
          <w:highlight w:val="none"/>
        </w:rPr>
        <w:t xml:space="preserve">授予合同</w:t>
      </w:r>
      <w:r>
        <w:rPr>
          <w:b/>
          <w:color w:val="000000"/>
          <w:szCs w:val="21"/>
          <w:highlight w:val="none"/>
        </w:rPr>
      </w:r>
      <w:r/>
    </w:p>
    <w:p>
      <w:pPr>
        <w:pStyle w:val="864"/>
        <w:numPr>
          <w:ilvl w:val="0"/>
          <w:numId w:val="4"/>
        </w:numPr>
        <w:ind w:left="850"/>
        <w:spacing w:line="360" w:lineRule="auto"/>
        <w:rPr>
          <w:b/>
          <w:color w:val="000000"/>
          <w:szCs w:val="21"/>
          <w:highlight w:val="none"/>
        </w:rPr>
      </w:pPr>
      <w:r>
        <w:rPr>
          <w:b/>
          <w:color w:val="000000"/>
          <w:szCs w:val="21"/>
          <w:highlight w:val="none"/>
        </w:rPr>
        <w:t xml:space="preserve">中标单位的确认</w:t>
      </w:r>
      <w:r>
        <w:rPr>
          <w:b/>
          <w:color w:val="000000"/>
          <w:szCs w:val="21"/>
          <w:highlight w:val="none"/>
        </w:rPr>
      </w:r>
      <w:r/>
    </w:p>
    <w:p>
      <w:pPr>
        <w:pStyle w:val="864"/>
        <w:numPr>
          <w:ilvl w:val="1"/>
          <w:numId w:val="4"/>
        </w:numPr>
        <w:ind w:left="0" w:firstLine="425"/>
        <w:spacing w:line="360" w:lineRule="auto"/>
        <w:rPr>
          <w:color w:val="000000"/>
          <w:szCs w:val="21"/>
          <w:highlight w:val="none"/>
        </w:rPr>
      </w:pPr>
      <w:r>
        <w:rPr>
          <w:color w:val="000000"/>
          <w:szCs w:val="21"/>
          <w:highlight w:val="none"/>
        </w:rPr>
        <w:t xml:space="preserve">评标委员会根据投标人资格审查情况，对投标文件进行评价和比较，按照评标办法和标准进行评标，并按招标人的委托向招标人推荐中标候选单位。</w:t>
      </w:r>
      <w:r>
        <w:rPr>
          <w:color w:val="000000"/>
          <w:szCs w:val="21"/>
          <w:highlight w:val="none"/>
        </w:rPr>
      </w:r>
      <w:r/>
    </w:p>
    <w:p>
      <w:pPr>
        <w:pStyle w:val="864"/>
        <w:numPr>
          <w:ilvl w:val="1"/>
          <w:numId w:val="4"/>
        </w:numPr>
        <w:ind w:left="0" w:firstLine="425"/>
        <w:spacing w:line="360" w:lineRule="auto"/>
        <w:rPr>
          <w:color w:val="000000"/>
          <w:szCs w:val="21"/>
          <w:highlight w:val="none"/>
        </w:rPr>
      </w:pPr>
      <w:r>
        <w:rPr>
          <w:color w:val="000000"/>
          <w:szCs w:val="21"/>
          <w:highlight w:val="none"/>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rPr>
          <w:color w:val="000000"/>
          <w:szCs w:val="21"/>
          <w:highlight w:val="none"/>
        </w:rPr>
      </w:r>
      <w:r/>
    </w:p>
    <w:p>
      <w:pPr>
        <w:pStyle w:val="864"/>
        <w:numPr>
          <w:ilvl w:val="0"/>
          <w:numId w:val="4"/>
        </w:numPr>
        <w:ind w:left="850"/>
        <w:spacing w:line="360" w:lineRule="auto"/>
        <w:rPr>
          <w:b/>
          <w:color w:val="000000"/>
          <w:szCs w:val="21"/>
          <w:highlight w:val="none"/>
        </w:rPr>
      </w:pPr>
      <w:r>
        <w:rPr>
          <w:b/>
          <w:color w:val="000000"/>
          <w:szCs w:val="21"/>
          <w:highlight w:val="none"/>
        </w:rPr>
        <w:t xml:space="preserve">合同授予标准</w:t>
      </w:r>
      <w:r>
        <w:rPr>
          <w:b/>
          <w:color w:val="000000"/>
          <w:szCs w:val="21"/>
          <w:highlight w:val="none"/>
        </w:rPr>
      </w:r>
      <w:r/>
    </w:p>
    <w:p>
      <w:pPr>
        <w:pStyle w:val="864"/>
        <w:numPr>
          <w:ilvl w:val="1"/>
          <w:numId w:val="4"/>
        </w:numPr>
        <w:ind w:left="0" w:firstLine="425"/>
        <w:spacing w:line="360" w:lineRule="auto"/>
        <w:rPr>
          <w:color w:val="000000"/>
          <w:szCs w:val="21"/>
          <w:highlight w:val="none"/>
        </w:rPr>
      </w:pPr>
      <w:r>
        <w:rPr>
          <w:color w:val="000000"/>
          <w:szCs w:val="21"/>
          <w:highlight w:val="none"/>
        </w:rPr>
        <w:t xml:space="preserve">确定为中标的投标人必须具有实施本合同的能力和资源。</w:t>
      </w:r>
      <w:r>
        <w:rPr>
          <w:color w:val="000000"/>
          <w:szCs w:val="21"/>
          <w:highlight w:val="none"/>
        </w:rPr>
      </w:r>
      <w:r/>
    </w:p>
    <w:p>
      <w:pPr>
        <w:pStyle w:val="864"/>
        <w:numPr>
          <w:ilvl w:val="0"/>
          <w:numId w:val="4"/>
        </w:numPr>
        <w:ind w:left="850"/>
        <w:spacing w:line="360" w:lineRule="auto"/>
        <w:rPr>
          <w:b/>
          <w:color w:val="000000"/>
          <w:szCs w:val="21"/>
          <w:highlight w:val="none"/>
        </w:rPr>
      </w:pPr>
      <w:r>
        <w:rPr>
          <w:b/>
          <w:color w:val="000000"/>
          <w:szCs w:val="21"/>
          <w:highlight w:val="none"/>
        </w:rPr>
        <w:t xml:space="preserve">中标通知书</w:t>
      </w:r>
      <w:r>
        <w:rPr>
          <w:b/>
          <w:color w:val="000000"/>
          <w:szCs w:val="21"/>
          <w:highlight w:val="none"/>
        </w:rPr>
      </w:r>
      <w:r/>
    </w:p>
    <w:p>
      <w:pPr>
        <w:pStyle w:val="864"/>
        <w:numPr>
          <w:ilvl w:val="1"/>
          <w:numId w:val="4"/>
        </w:numPr>
        <w:ind w:left="0" w:firstLine="425"/>
        <w:spacing w:line="360" w:lineRule="auto"/>
        <w:rPr>
          <w:color w:val="000000"/>
          <w:szCs w:val="21"/>
          <w:highlight w:val="none"/>
        </w:rPr>
      </w:pPr>
      <w:r>
        <w:rPr>
          <w:color w:val="000000"/>
          <w:szCs w:val="21"/>
          <w:highlight w:val="none"/>
        </w:rPr>
        <w:t xml:space="preserve">确定出中标单位后在投标有效期截止前，招标人将以书面形式通知中标的投标人其投标被接受。在中标通知书中给出中标单位的中标标价、交货时间、质量标准和有关合同签订的日期和地点。</w:t>
      </w:r>
      <w:r>
        <w:rPr>
          <w:color w:val="000000"/>
          <w:szCs w:val="21"/>
          <w:highlight w:val="none"/>
        </w:rPr>
      </w:r>
      <w:r/>
    </w:p>
    <w:p>
      <w:pPr>
        <w:pStyle w:val="864"/>
        <w:numPr>
          <w:ilvl w:val="1"/>
          <w:numId w:val="4"/>
        </w:numPr>
        <w:ind w:left="0" w:firstLine="425"/>
        <w:spacing w:line="360" w:lineRule="auto"/>
        <w:rPr>
          <w:color w:val="000000"/>
          <w:szCs w:val="21"/>
          <w:highlight w:val="none"/>
        </w:rPr>
      </w:pPr>
      <w:r>
        <w:rPr>
          <w:color w:val="000000"/>
          <w:szCs w:val="21"/>
          <w:highlight w:val="none"/>
        </w:rPr>
        <w:t xml:space="preserve">中标通知书将成为合同的组成部分。</w:t>
      </w:r>
      <w:r>
        <w:rPr>
          <w:color w:val="000000"/>
          <w:szCs w:val="21"/>
          <w:highlight w:val="none"/>
        </w:rPr>
      </w:r>
      <w:r/>
    </w:p>
    <w:p>
      <w:pPr>
        <w:pStyle w:val="864"/>
        <w:numPr>
          <w:ilvl w:val="0"/>
          <w:numId w:val="4"/>
        </w:numPr>
        <w:ind w:left="850"/>
        <w:spacing w:line="360" w:lineRule="auto"/>
        <w:rPr>
          <w:b/>
          <w:color w:val="000000"/>
          <w:szCs w:val="21"/>
          <w:highlight w:val="none"/>
        </w:rPr>
      </w:pPr>
      <w:r>
        <w:rPr>
          <w:b/>
          <w:color w:val="000000"/>
          <w:szCs w:val="21"/>
          <w:highlight w:val="none"/>
        </w:rPr>
        <w:t xml:space="preserve">合同的签订</w:t>
      </w:r>
      <w:r>
        <w:rPr>
          <w:b/>
          <w:color w:val="000000"/>
          <w:szCs w:val="21"/>
          <w:highlight w:val="none"/>
        </w:rPr>
      </w:r>
      <w:r/>
    </w:p>
    <w:p>
      <w:pPr>
        <w:pStyle w:val="864"/>
        <w:numPr>
          <w:ilvl w:val="1"/>
          <w:numId w:val="4"/>
        </w:numPr>
        <w:ind w:left="0" w:firstLine="425"/>
        <w:spacing w:line="360" w:lineRule="auto"/>
        <w:rPr>
          <w:color w:val="000000"/>
          <w:szCs w:val="21"/>
          <w:highlight w:val="none"/>
        </w:rPr>
      </w:pPr>
      <w:r>
        <w:rPr>
          <w:color w:val="000000"/>
          <w:szCs w:val="21"/>
          <w:highlight w:val="none"/>
        </w:rPr>
        <w:t xml:space="preserve">采购人应当自中标通知书发出之日起30日内，按照招标文件和中标人投标文件的规定，与中标人签订书面合同。所签订的合同不得对招标文件确定的事项和中标人投标文件作实质性修改。</w:t>
      </w:r>
      <w:r>
        <w:rPr>
          <w:color w:val="000000"/>
          <w:szCs w:val="21"/>
          <w:highlight w:val="none"/>
        </w:rPr>
      </w:r>
      <w:r/>
    </w:p>
    <w:p>
      <w:pPr>
        <w:pStyle w:val="864"/>
        <w:numPr>
          <w:ilvl w:val="1"/>
          <w:numId w:val="4"/>
        </w:numPr>
        <w:ind w:left="0" w:firstLine="425"/>
        <w:spacing w:line="360" w:lineRule="auto"/>
        <w:rPr>
          <w:color w:val="000000"/>
          <w:szCs w:val="21"/>
          <w:highlight w:val="none"/>
        </w:rPr>
      </w:pPr>
      <w:r>
        <w:rPr>
          <w:color w:val="000000"/>
          <w:szCs w:val="21"/>
          <w:highlight w:val="none"/>
        </w:rPr>
        <w:t xml:space="preserve">采购人不得向中标人提出任何不合理的要求作为签订合同的条件。</w:t>
      </w:r>
      <w:r>
        <w:rPr>
          <w:color w:val="000000"/>
          <w:szCs w:val="21"/>
          <w:highlight w:val="none"/>
        </w:rPr>
      </w:r>
      <w:r/>
    </w:p>
    <w:p>
      <w:pPr>
        <w:pStyle w:val="864"/>
        <w:numPr>
          <w:ilvl w:val="1"/>
          <w:numId w:val="4"/>
        </w:numPr>
        <w:ind w:left="0" w:firstLine="425"/>
        <w:spacing w:line="360" w:lineRule="auto"/>
        <w:rPr>
          <w:color w:val="000000"/>
          <w:szCs w:val="21"/>
          <w:highlight w:val="none"/>
        </w:rPr>
      </w:pPr>
      <w:r>
        <w:rPr>
          <w:color w:val="000000"/>
          <w:szCs w:val="21"/>
          <w:highlight w:val="none"/>
        </w:rPr>
        <w:t xml:space="preserve">中标单位应按中标通知书中规定的时间和地点，由法定代表人或授权委托人与甲方代表签订合同。否则按放弃中标权处理。</w:t>
      </w:r>
      <w:r>
        <w:rPr>
          <w:color w:val="000000"/>
          <w:szCs w:val="21"/>
          <w:highlight w:val="none"/>
        </w:rPr>
      </w:r>
      <w:r/>
    </w:p>
    <w:p>
      <w:pPr>
        <w:pStyle w:val="864"/>
        <w:numPr>
          <w:ilvl w:val="0"/>
          <w:numId w:val="2"/>
        </w:numPr>
        <w:ind w:left="850" w:hanging="424"/>
        <w:spacing w:line="360" w:lineRule="auto"/>
        <w:rPr>
          <w:b/>
          <w:color w:val="000000"/>
          <w:szCs w:val="21"/>
          <w:highlight w:val="none"/>
        </w:rPr>
      </w:pPr>
      <w:r>
        <w:rPr>
          <w:b/>
          <w:color w:val="000000"/>
          <w:szCs w:val="21"/>
          <w:highlight w:val="none"/>
        </w:rPr>
        <w:t xml:space="preserve">诚实信用</w:t>
      </w:r>
      <w:r>
        <w:rPr>
          <w:b/>
          <w:color w:val="000000"/>
          <w:szCs w:val="21"/>
          <w:highlight w:val="none"/>
        </w:rPr>
      </w:r>
      <w:r/>
    </w:p>
    <w:p>
      <w:pPr>
        <w:pStyle w:val="864"/>
        <w:numPr>
          <w:ilvl w:val="0"/>
          <w:numId w:val="4"/>
        </w:numPr>
        <w:ind w:left="850"/>
        <w:spacing w:line="360" w:lineRule="auto"/>
        <w:rPr>
          <w:b/>
          <w:color w:val="000000"/>
          <w:szCs w:val="21"/>
          <w:highlight w:val="none"/>
        </w:rPr>
      </w:pPr>
      <w:r>
        <w:rPr>
          <w:b/>
          <w:color w:val="000000"/>
          <w:szCs w:val="21"/>
          <w:highlight w:val="none"/>
        </w:rPr>
        <w:t xml:space="preserve">诚实信用</w:t>
      </w:r>
      <w:r>
        <w:rPr>
          <w:b/>
          <w:color w:val="000000"/>
          <w:szCs w:val="21"/>
          <w:highlight w:val="none"/>
        </w:rPr>
      </w:r>
      <w:r/>
    </w:p>
    <w:p>
      <w:pPr>
        <w:pStyle w:val="864"/>
        <w:numPr>
          <w:ilvl w:val="1"/>
          <w:numId w:val="4"/>
        </w:numPr>
        <w:ind w:left="0" w:firstLine="425"/>
        <w:spacing w:line="360" w:lineRule="auto"/>
        <w:rPr>
          <w:color w:val="000000"/>
          <w:szCs w:val="21"/>
          <w:highlight w:val="none"/>
        </w:rPr>
      </w:pPr>
      <w:r>
        <w:rPr>
          <w:color w:val="000000"/>
          <w:szCs w:val="21"/>
          <w:highlight w:val="none"/>
        </w:rPr>
        <w:t xml:space="preserve">供应商之间不得相互串通投标报价，不得妨碍其他供应商的公平竞争，不得损害采购人和其他供应商的合法权益。</w:t>
      </w:r>
      <w:r>
        <w:rPr>
          <w:color w:val="000000"/>
          <w:szCs w:val="21"/>
          <w:highlight w:val="none"/>
        </w:rPr>
      </w:r>
      <w:r/>
    </w:p>
    <w:p>
      <w:pPr>
        <w:pStyle w:val="864"/>
        <w:numPr>
          <w:ilvl w:val="1"/>
          <w:numId w:val="4"/>
        </w:numPr>
        <w:ind w:left="0" w:firstLine="425"/>
        <w:spacing w:line="360" w:lineRule="auto"/>
        <w:rPr>
          <w:color w:val="000000"/>
          <w:szCs w:val="21"/>
          <w:highlight w:val="none"/>
        </w:rPr>
      </w:pPr>
      <w:r>
        <w:rPr>
          <w:color w:val="000000"/>
          <w:szCs w:val="21"/>
          <w:highlight w:val="none"/>
        </w:rPr>
        <w:t xml:space="preserve">供应商不得虚假承诺，否则，按照提供虚假材料谋取中标处理。</w:t>
      </w:r>
      <w:r>
        <w:rPr>
          <w:color w:val="000000"/>
          <w:szCs w:val="21"/>
          <w:highlight w:val="none"/>
        </w:rPr>
      </w:r>
      <w:r/>
    </w:p>
    <w:p>
      <w:pPr>
        <w:pStyle w:val="864"/>
        <w:numPr>
          <w:ilvl w:val="1"/>
          <w:numId w:val="4"/>
        </w:numPr>
        <w:ind w:left="0" w:firstLine="425"/>
        <w:spacing w:line="360" w:lineRule="auto"/>
        <w:rPr>
          <w:color w:val="000000"/>
          <w:szCs w:val="21"/>
          <w:highlight w:val="none"/>
        </w:rPr>
      </w:pPr>
      <w:r>
        <w:rPr>
          <w:color w:val="000000"/>
          <w:szCs w:val="21"/>
          <w:highlight w:val="none"/>
        </w:rPr>
        <w:t xml:space="preserve">供应商应自觉遵守开标、评标纪律，扰乱现场秩序的，属于失信行为，根据《江苏省政府采购供应商监督管理暂行办法》和《昆山市政府采购供应商诚信管理暂行办法》，失信行为将被记入供应商诚信档案。</w:t>
      </w:r>
      <w:r>
        <w:rPr>
          <w:color w:val="000000"/>
          <w:szCs w:val="21"/>
          <w:highlight w:val="none"/>
        </w:rPr>
      </w:r>
      <w:r/>
    </w:p>
    <w:p>
      <w:pPr>
        <w:pStyle w:val="864"/>
        <w:numPr>
          <w:ilvl w:val="1"/>
          <w:numId w:val="4"/>
        </w:numPr>
        <w:ind w:left="0" w:firstLine="425"/>
        <w:spacing w:line="360" w:lineRule="auto"/>
        <w:rPr>
          <w:color w:val="000000"/>
          <w:szCs w:val="21"/>
          <w:highlight w:val="none"/>
        </w:rPr>
      </w:pPr>
      <w:r>
        <w:rPr>
          <w:color w:val="000000"/>
          <w:szCs w:val="21"/>
          <w:highlight w:val="none"/>
        </w:rPr>
        <w:t xml:space="preserve">供应商不得向工作人员、评标委员会成员行贿或者采取其他不正当手段谋取中标。经查实供应商有此行为的，政府采购管理部门将供应商列入不良行为记录名单，按照《政府采购法》有关规定处理。</w:t>
      </w:r>
      <w:r>
        <w:rPr>
          <w:color w:val="000000"/>
          <w:szCs w:val="21"/>
          <w:highlight w:val="none"/>
        </w:rPr>
      </w:r>
      <w:r/>
    </w:p>
    <w:p>
      <w:pPr>
        <w:pStyle w:val="864"/>
        <w:ind w:firstLine="422"/>
        <w:spacing w:line="360" w:lineRule="auto"/>
        <w:rPr>
          <w:b/>
          <w:color w:val="000000"/>
          <w:szCs w:val="21"/>
          <w:highlight w:val="none"/>
        </w:rPr>
      </w:pPr>
      <w:r>
        <w:rPr>
          <w:b/>
          <w:color w:val="000000"/>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rPr>
          <w:b/>
          <w:color w:val="000000"/>
          <w:szCs w:val="21"/>
          <w:highlight w:val="none"/>
        </w:rPr>
      </w:r>
      <w:r/>
    </w:p>
    <w:p>
      <w:pPr>
        <w:pStyle w:val="864"/>
        <w:numPr>
          <w:ilvl w:val="0"/>
          <w:numId w:val="2"/>
        </w:numPr>
        <w:ind w:left="850" w:hanging="424"/>
        <w:spacing w:line="360" w:lineRule="auto"/>
        <w:rPr>
          <w:b/>
          <w:color w:val="000000"/>
          <w:szCs w:val="21"/>
          <w:highlight w:val="none"/>
        </w:rPr>
      </w:pPr>
      <w:r>
        <w:rPr>
          <w:b/>
          <w:color w:val="000000"/>
          <w:szCs w:val="21"/>
          <w:highlight w:val="none"/>
        </w:rPr>
        <w:t xml:space="preserve">其他事项</w:t>
      </w:r>
      <w:r>
        <w:rPr>
          <w:b/>
          <w:color w:val="000000"/>
          <w:szCs w:val="21"/>
          <w:highlight w:val="none"/>
        </w:rPr>
      </w:r>
      <w:r/>
    </w:p>
    <w:p>
      <w:pPr>
        <w:pStyle w:val="864"/>
        <w:numPr>
          <w:ilvl w:val="0"/>
          <w:numId w:val="4"/>
        </w:numPr>
        <w:ind w:left="850"/>
        <w:spacing w:line="360" w:lineRule="auto"/>
        <w:rPr>
          <w:b/>
          <w:color w:val="000000"/>
          <w:szCs w:val="21"/>
          <w:highlight w:val="none"/>
        </w:rPr>
      </w:pPr>
      <w:r>
        <w:rPr>
          <w:b/>
          <w:color w:val="000000"/>
          <w:szCs w:val="21"/>
          <w:highlight w:val="none"/>
        </w:rPr>
        <w:t xml:space="preserve">中标服务费</w:t>
      </w:r>
      <w:r>
        <w:rPr>
          <w:b/>
          <w:color w:val="000000"/>
          <w:szCs w:val="21"/>
          <w:highlight w:val="none"/>
        </w:rPr>
      </w:r>
      <w:r/>
    </w:p>
    <w:p>
      <w:pPr>
        <w:pStyle w:val="864"/>
        <w:numPr>
          <w:ilvl w:val="1"/>
          <w:numId w:val="4"/>
        </w:numPr>
        <w:ind w:left="0" w:firstLine="425"/>
        <w:spacing w:line="360" w:lineRule="auto"/>
        <w:rPr>
          <w:color w:val="000000"/>
          <w:szCs w:val="21"/>
          <w:highlight w:val="none"/>
        </w:rPr>
      </w:pPr>
      <w:r>
        <w:rPr>
          <w:color w:val="000000"/>
          <w:szCs w:val="21"/>
          <w:highlight w:val="none"/>
        </w:rPr>
        <w:t xml:space="preserve">中标单位须按规定支付中标服务费。</w:t>
      </w:r>
      <w:r>
        <w:rPr>
          <w:color w:val="000000"/>
          <w:szCs w:val="21"/>
          <w:highlight w:val="none"/>
        </w:rPr>
      </w:r>
      <w:r/>
    </w:p>
    <w:p>
      <w:pPr>
        <w:pStyle w:val="864"/>
        <w:numPr>
          <w:ilvl w:val="1"/>
          <w:numId w:val="4"/>
        </w:numPr>
        <w:ind w:left="0" w:firstLine="425"/>
        <w:spacing w:line="360" w:lineRule="auto"/>
        <w:rPr>
          <w:b/>
          <w:color w:val="000000"/>
          <w:szCs w:val="21"/>
          <w:highlight w:val="none"/>
        </w:rPr>
      </w:pPr>
      <w:r>
        <w:rPr>
          <w:rFonts w:hint="eastAsia" w:ascii="宋体" w:hAnsi="宋体" w:cs="Arial"/>
          <w:b/>
          <w:color w:val="000000"/>
          <w:szCs w:val="21"/>
          <w:highlight w:val="none"/>
        </w:rPr>
        <w:t xml:space="preserve">按差额定率累进法计算收费: 按预算金额100万元以下，收取1.5%；100-500万元，收取1.1%；500-1000万元，收取0.8%；1000-5000万元，收取0.5%；5000-10000万元，收取0.25%；10000-100000万元，收取0.05%，最低不少于3000元；</w:t>
      </w:r>
      <w:r>
        <w:rPr>
          <w:rFonts w:hint="eastAsia" w:ascii="宋体" w:hAnsi="宋体" w:cs="Arial"/>
          <w:b/>
          <w:color w:val="000000"/>
          <w:szCs w:val="21"/>
          <w:highlight w:val="none"/>
        </w:rPr>
        <w:t xml:space="preserve">本项目成交服务费25978元</w:t>
      </w:r>
      <w:r>
        <w:rPr>
          <w:rFonts w:hint="eastAsia" w:ascii="宋体" w:hAnsi="宋体" w:cs="Arial"/>
          <w:b/>
          <w:color w:val="000000"/>
          <w:szCs w:val="21"/>
          <w:highlight w:val="none"/>
        </w:rPr>
        <w:t xml:space="preserve">。该费用由成交单位在领取成交通知书时向采购代理机构付清。</w:t>
      </w:r>
      <w:r>
        <w:rPr>
          <w:b/>
          <w:color w:val="000000"/>
          <w:szCs w:val="21"/>
          <w:highlight w:val="none"/>
        </w:rPr>
      </w:r>
      <w:r/>
    </w:p>
    <w:p>
      <w:pPr>
        <w:pStyle w:val="864"/>
        <w:ind w:left="425"/>
        <w:spacing w:line="360" w:lineRule="auto"/>
        <w:rPr>
          <w:rFonts w:hint="eastAsia"/>
          <w:b/>
          <w:color w:val="000000"/>
          <w:szCs w:val="21"/>
          <w:highlight w:val="none"/>
        </w:rPr>
      </w:pPr>
      <w:r>
        <w:rPr>
          <w:rFonts w:hint="eastAsia"/>
          <w:b/>
          <w:color w:val="000000"/>
          <w:szCs w:val="21"/>
          <w:highlight w:val="none"/>
        </w:rPr>
        <w:t xml:space="preserve">账户名称：艾菲尔（江苏）招投标股份有限公司  </w:t>
      </w:r>
      <w:r>
        <w:rPr>
          <w:rFonts w:hint="eastAsia"/>
          <w:b/>
          <w:color w:val="000000"/>
          <w:szCs w:val="21"/>
          <w:highlight w:val="none"/>
        </w:rPr>
      </w:r>
      <w:r/>
    </w:p>
    <w:p>
      <w:pPr>
        <w:pStyle w:val="864"/>
        <w:ind w:left="425"/>
        <w:spacing w:line="360" w:lineRule="auto"/>
        <w:rPr>
          <w:rFonts w:hint="eastAsia"/>
          <w:b/>
          <w:color w:val="000000"/>
          <w:szCs w:val="21"/>
          <w:highlight w:val="none"/>
        </w:rPr>
      </w:pPr>
      <w:r>
        <w:rPr>
          <w:rFonts w:hint="eastAsia"/>
          <w:b/>
          <w:color w:val="000000"/>
          <w:szCs w:val="21"/>
          <w:highlight w:val="none"/>
        </w:rPr>
        <w:t xml:space="preserve">帐  号：10548401040029877  </w:t>
      </w:r>
      <w:r>
        <w:rPr>
          <w:rFonts w:hint="eastAsia"/>
          <w:b/>
          <w:color w:val="000000"/>
          <w:szCs w:val="21"/>
          <w:highlight w:val="none"/>
        </w:rPr>
      </w:r>
      <w:r/>
    </w:p>
    <w:p>
      <w:pPr>
        <w:pStyle w:val="864"/>
        <w:ind w:left="425"/>
        <w:spacing w:line="360" w:lineRule="auto"/>
        <w:rPr>
          <w:b/>
          <w:color w:val="000000"/>
          <w:szCs w:val="21"/>
          <w:highlight w:val="none"/>
        </w:rPr>
      </w:pPr>
      <w:r>
        <w:rPr>
          <w:rFonts w:hint="eastAsia"/>
          <w:b/>
          <w:color w:val="000000"/>
          <w:szCs w:val="21"/>
          <w:highlight w:val="none"/>
        </w:rPr>
        <w:t xml:space="preserve">开户行：中国农业银行股份有限公司苏州商业街支行</w:t>
      </w:r>
      <w:r>
        <w:rPr>
          <w:b/>
          <w:color w:val="000000"/>
          <w:szCs w:val="21"/>
          <w:highlight w:val="none"/>
        </w:rPr>
      </w:r>
      <w:r/>
    </w:p>
    <w:p>
      <w:pPr>
        <w:pStyle w:val="864"/>
        <w:numPr>
          <w:ilvl w:val="1"/>
          <w:numId w:val="4"/>
        </w:numPr>
        <w:ind w:left="0" w:firstLine="425"/>
        <w:spacing w:line="360" w:lineRule="auto"/>
        <w:rPr>
          <w:color w:val="000000"/>
          <w:szCs w:val="21"/>
          <w:highlight w:val="none"/>
        </w:rPr>
      </w:pPr>
      <w:r>
        <w:rPr>
          <w:color w:val="000000"/>
          <w:szCs w:val="21"/>
          <w:highlight w:val="none"/>
        </w:rPr>
        <w:t xml:space="preserve">中标单位如果未按规定缴纳中标服务费，我单位保留诉讼的权利。</w:t>
      </w:r>
      <w:r>
        <w:rPr>
          <w:color w:val="000000"/>
          <w:szCs w:val="21"/>
          <w:highlight w:val="none"/>
        </w:rPr>
      </w:r>
      <w:r/>
    </w:p>
    <w:p>
      <w:pPr>
        <w:pStyle w:val="864"/>
        <w:numPr>
          <w:ilvl w:val="0"/>
          <w:numId w:val="4"/>
        </w:numPr>
        <w:ind w:left="850"/>
        <w:spacing w:line="360" w:lineRule="auto"/>
        <w:rPr>
          <w:b/>
          <w:color w:val="000000"/>
          <w:szCs w:val="21"/>
          <w:highlight w:val="none"/>
        </w:rPr>
      </w:pPr>
      <w:r>
        <w:rPr>
          <w:b/>
          <w:color w:val="000000"/>
          <w:szCs w:val="21"/>
          <w:highlight w:val="none"/>
        </w:rPr>
        <w:t xml:space="preserve">监督</w:t>
      </w:r>
      <w:r>
        <w:rPr>
          <w:b/>
          <w:color w:val="000000"/>
          <w:szCs w:val="21"/>
          <w:highlight w:val="none"/>
        </w:rPr>
      </w:r>
      <w:r/>
    </w:p>
    <w:p>
      <w:pPr>
        <w:pStyle w:val="864"/>
        <w:numPr>
          <w:ilvl w:val="1"/>
          <w:numId w:val="4"/>
        </w:numPr>
        <w:ind w:left="0" w:firstLine="425"/>
        <w:spacing w:line="360" w:lineRule="auto"/>
        <w:rPr>
          <w:b/>
          <w:color w:val="000000"/>
          <w:szCs w:val="21"/>
          <w:highlight w:val="none"/>
        </w:rPr>
      </w:pPr>
      <w:r>
        <w:rPr>
          <w:b/>
          <w:color w:val="000000"/>
          <w:szCs w:val="21"/>
          <w:highlight w:val="none"/>
        </w:rPr>
        <w:t xml:space="preserve">政府有关监督部门将对招投标全过程进行监督。</w:t>
      </w:r>
      <w:r>
        <w:rPr>
          <w:b/>
          <w:color w:val="000000"/>
          <w:szCs w:val="21"/>
          <w:highlight w:val="none"/>
        </w:rPr>
      </w:r>
      <w:r/>
    </w:p>
    <w:p>
      <w:pPr>
        <w:pStyle w:val="864"/>
        <w:numPr>
          <w:ilvl w:val="0"/>
          <w:numId w:val="4"/>
        </w:numPr>
        <w:ind w:left="850"/>
        <w:spacing w:line="360" w:lineRule="auto"/>
        <w:rPr>
          <w:b/>
          <w:color w:val="000000"/>
          <w:szCs w:val="21"/>
          <w:highlight w:val="none"/>
        </w:rPr>
      </w:pPr>
      <w:r>
        <w:rPr>
          <w:b/>
          <w:color w:val="000000"/>
          <w:szCs w:val="21"/>
          <w:highlight w:val="none"/>
        </w:rPr>
        <w:t xml:space="preserve">未尽事宜</w:t>
      </w:r>
      <w:r>
        <w:rPr>
          <w:b/>
          <w:color w:val="000000"/>
          <w:szCs w:val="21"/>
          <w:highlight w:val="none"/>
        </w:rPr>
      </w:r>
      <w:r/>
    </w:p>
    <w:p>
      <w:pPr>
        <w:pStyle w:val="864"/>
        <w:numPr>
          <w:ilvl w:val="1"/>
          <w:numId w:val="4"/>
        </w:numPr>
        <w:ind w:left="0" w:firstLine="425"/>
        <w:spacing w:line="360" w:lineRule="auto"/>
        <w:rPr>
          <w:b/>
          <w:color w:val="000000"/>
          <w:szCs w:val="21"/>
          <w:highlight w:val="none"/>
        </w:rPr>
      </w:pPr>
      <w:r>
        <w:rPr>
          <w:b/>
          <w:color w:val="000000"/>
          <w:szCs w:val="21"/>
          <w:highlight w:val="none"/>
        </w:rPr>
        <w:t xml:space="preserve">按《中华人民共和国政府采购法》及其他有关政府采购的法律法规的的规定执行。</w:t>
      </w:r>
      <w:r>
        <w:rPr>
          <w:b/>
          <w:color w:val="000000"/>
          <w:szCs w:val="21"/>
          <w:highlight w:val="none"/>
        </w:rPr>
      </w:r>
      <w:r/>
    </w:p>
    <w:p>
      <w:pPr>
        <w:pStyle w:val="1108"/>
        <w:tabs>
          <w:tab w:val="right" w:pos="8296" w:leader="dot"/>
        </w:tabs>
        <w:rPr>
          <w:b w:val="0"/>
          <w:color w:val="000000"/>
          <w:highlight w:val="none"/>
        </w:rPr>
      </w:pPr>
      <w:r>
        <w:rPr>
          <w:color w:val="000000"/>
          <w:sz w:val="24"/>
          <w:highlight w:val="none"/>
        </w:rPr>
        <w:br w:type="page" w:clear="all"/>
      </w:r>
      <w:bookmarkEnd w:id="1"/>
      <w:r>
        <w:rPr>
          <w:b w:val="0"/>
          <w:color w:val="000000"/>
          <w:highlight w:val="none"/>
        </w:rPr>
      </w:r>
      <w:r/>
    </w:p>
    <w:p>
      <w:pPr>
        <w:pStyle w:val="1126"/>
        <w:rPr>
          <w:bCs w:val="0"/>
          <w:color w:val="000000"/>
          <w:sz w:val="24"/>
          <w:szCs w:val="24"/>
          <w:highlight w:val="none"/>
        </w:rPr>
      </w:pPr>
      <w:r/>
      <w:bookmarkStart w:id="20" w:name="_Toc134091567"/>
      <w:r/>
      <w:bookmarkStart w:id="21" w:name="_Toc161752422"/>
      <w:r>
        <w:rPr>
          <w:rFonts w:hint="eastAsia"/>
          <w:bCs w:val="0"/>
          <w:color w:val="000000"/>
          <w:sz w:val="24"/>
          <w:szCs w:val="24"/>
          <w:highlight w:val="none"/>
        </w:rPr>
        <w:t xml:space="preserve">第三章  投标文件格式</w:t>
      </w:r>
      <w:bookmarkEnd w:id="20"/>
      <w:r/>
      <w:bookmarkEnd w:id="21"/>
      <w:r/>
      <w:bookmarkStart w:id="22" w:name="gpcItem_SubmitDocStruct"/>
      <w:r/>
      <w:bookmarkEnd w:id="22"/>
      <w:r>
        <w:rPr>
          <w:bCs w:val="0"/>
          <w:color w:val="000000"/>
          <w:sz w:val="24"/>
          <w:szCs w:val="24"/>
          <w:highlight w:val="none"/>
        </w:rPr>
      </w:r>
      <w:r/>
    </w:p>
    <w:p>
      <w:pPr>
        <w:pStyle w:val="1066"/>
        <w:ind w:firstLine="0"/>
        <w:spacing w:line="360" w:lineRule="auto"/>
        <w:rPr>
          <w:rFonts w:eastAsia="宋体"/>
          <w:b/>
          <w:color w:val="000000"/>
          <w:sz w:val="21"/>
          <w:szCs w:val="21"/>
          <w:highlight w:val="none"/>
        </w:rPr>
      </w:pPr>
      <w:r>
        <w:rPr>
          <w:rFonts w:eastAsia="宋体"/>
          <w:b/>
          <w:color w:val="000000"/>
          <w:sz w:val="21"/>
          <w:szCs w:val="21"/>
          <w:highlight w:val="none"/>
        </w:rPr>
        <w:t xml:space="preserve">说明：</w:t>
      </w:r>
      <w:r>
        <w:rPr>
          <w:rFonts w:eastAsia="宋体"/>
          <w:b/>
          <w:color w:val="000000"/>
          <w:sz w:val="21"/>
          <w:szCs w:val="21"/>
          <w:highlight w:val="none"/>
        </w:rPr>
      </w:r>
      <w:r/>
    </w:p>
    <w:p>
      <w:pPr>
        <w:pStyle w:val="1066"/>
        <w:ind w:firstLine="480"/>
        <w:spacing w:line="360" w:lineRule="auto"/>
        <w:rPr>
          <w:rFonts w:eastAsia="宋体"/>
          <w:b/>
          <w:color w:val="000000"/>
          <w:sz w:val="21"/>
          <w:szCs w:val="21"/>
          <w:highlight w:val="none"/>
        </w:rPr>
      </w:pPr>
      <w:r>
        <w:rPr>
          <w:rFonts w:eastAsia="宋体"/>
          <w:b/>
          <w:color w:val="000000"/>
          <w:sz w:val="21"/>
          <w:szCs w:val="21"/>
          <w:highlight w:val="none"/>
        </w:rPr>
        <w:t xml:space="preserve">对本章所有的投标书格式 ，投标方可根据自身情况进行补充和修改，但补充和修改不得造成与本格式内容有实质性的违背。</w:t>
      </w:r>
      <w:r>
        <w:rPr>
          <w:rFonts w:eastAsia="宋体"/>
          <w:b/>
          <w:color w:val="000000"/>
          <w:sz w:val="21"/>
          <w:szCs w:val="21"/>
          <w:highlight w:val="none"/>
        </w:rPr>
      </w:r>
      <w:r/>
    </w:p>
    <w:p>
      <w:pPr>
        <w:pStyle w:val="1066"/>
        <w:jc w:val="center"/>
        <w:spacing w:line="360" w:lineRule="auto"/>
        <w:rPr>
          <w:rFonts w:hint="eastAsia" w:ascii="宋体" w:eastAsia="宋体"/>
          <w:color w:val="000000"/>
          <w:highlight w:val="none"/>
        </w:rPr>
      </w:pPr>
      <w:r>
        <w:rPr>
          <w:rFonts w:ascii="宋体" w:hAnsi="宋体" w:eastAsia="宋体"/>
          <w:b/>
          <w:color w:val="000000"/>
          <w:sz w:val="21"/>
          <w:szCs w:val="21"/>
          <w:highlight w:val="none"/>
        </w:rPr>
        <w:br w:type="page" w:clear="all"/>
      </w:r>
      <w:r>
        <w:rPr>
          <w:rFonts w:hint="eastAsia" w:ascii="宋体" w:eastAsia="宋体"/>
          <w:color w:val="000000"/>
          <w:highlight w:val="none"/>
        </w:rPr>
      </w:r>
      <w:r/>
    </w:p>
    <w:p>
      <w:pPr>
        <w:pStyle w:val="1054"/>
        <w:spacing w:before="0" w:after="0" w:line="360" w:lineRule="auto"/>
        <w:rPr>
          <w:rFonts w:hint="eastAsia" w:ascii="宋体"/>
          <w:color w:val="000000"/>
          <w:sz w:val="24"/>
          <w:szCs w:val="24"/>
          <w:highlight w:val="none"/>
        </w:rPr>
      </w:pPr>
      <w:r/>
      <w:bookmarkStart w:id="23" w:name="_Ref367264170"/>
      <w:r/>
      <w:bookmarkStart w:id="24" w:name="_Ref504661219"/>
      <w:r/>
      <w:bookmarkStart w:id="25" w:name="_Toc161752423"/>
      <w:r/>
      <w:bookmarkStart w:id="26" w:name="_Toc134091568"/>
      <w:r>
        <w:rPr>
          <w:rFonts w:hint="eastAsia" w:ascii="宋体"/>
          <w:color w:val="000000"/>
          <w:sz w:val="24"/>
          <w:szCs w:val="24"/>
          <w:highlight w:val="none"/>
          <w:lang w:val="zh-CN"/>
        </w:rPr>
        <w:t xml:space="preserve">格式</w:t>
      </w:r>
      <w:r>
        <w:rPr>
          <w:rFonts w:hint="eastAsia" w:ascii="宋体"/>
          <w:color w:val="000000"/>
          <w:sz w:val="24"/>
          <w:szCs w:val="24"/>
          <w:highlight w:val="none"/>
        </w:rPr>
        <w:t xml:space="preserve">1、</w:t>
      </w:r>
      <w:bookmarkEnd w:id="23"/>
      <w:r>
        <w:rPr>
          <w:rFonts w:hint="eastAsia" w:ascii="宋体"/>
          <w:color w:val="000000"/>
          <w:sz w:val="24"/>
          <w:szCs w:val="24"/>
          <w:highlight w:val="none"/>
        </w:rPr>
        <w:t xml:space="preserve">（投标人）法定代表人授权委托书</w:t>
      </w:r>
      <w:bookmarkEnd w:id="24"/>
      <w:r/>
      <w:bookmarkEnd w:id="25"/>
      <w:r/>
      <w:bookmarkEnd w:id="26"/>
      <w:r>
        <w:rPr>
          <w:rFonts w:hint="eastAsia" w:ascii="宋体"/>
          <w:color w:val="000000"/>
          <w:sz w:val="24"/>
          <w:szCs w:val="24"/>
          <w:highlight w:val="none"/>
        </w:rPr>
      </w:r>
      <w:r/>
    </w:p>
    <w:p>
      <w:pPr>
        <w:pStyle w:val="1364"/>
        <w:spacing w:line="360" w:lineRule="auto"/>
        <w:rPr>
          <w:rFonts w:ascii="Times New Roman" w:hAnsi="Times New Roman" w:eastAsia="宋体"/>
          <w:color w:val="000000"/>
          <w:sz w:val="21"/>
          <w:szCs w:val="21"/>
          <w:highlight w:val="none"/>
          <w:u w:val="single"/>
        </w:rPr>
      </w:pPr>
      <w:r>
        <w:rPr>
          <w:rFonts w:ascii="Times New Roman" w:hAnsi="Times New Roman" w:eastAsia="宋体"/>
          <w:color w:val="000000"/>
          <w:sz w:val="21"/>
          <w:szCs w:val="21"/>
          <w:highlight w:val="none"/>
          <w:u w:val="single"/>
        </w:rPr>
      </w:r>
      <w:r/>
    </w:p>
    <w:p>
      <w:pPr>
        <w:pStyle w:val="1364"/>
        <w:spacing w:line="360" w:lineRule="auto"/>
        <w:rPr>
          <w:rFonts w:ascii="Times New Roman" w:hAnsi="Times New Roman" w:eastAsia="宋体"/>
          <w:color w:val="000000"/>
          <w:sz w:val="21"/>
          <w:szCs w:val="15"/>
          <w:highlight w:val="none"/>
        </w:rPr>
      </w:pPr>
      <w:r>
        <w:rPr>
          <w:rFonts w:ascii="Times New Roman" w:hAnsi="Times New Roman" w:eastAsia="宋体"/>
          <w:color w:val="000000"/>
          <w:sz w:val="21"/>
          <w:szCs w:val="21"/>
          <w:highlight w:val="none"/>
          <w:u w:val="single"/>
        </w:rPr>
        <w:t xml:space="preserve">苏州市昆山生态环境局</w:t>
      </w:r>
      <w:r>
        <w:rPr>
          <w:rFonts w:ascii="Times New Roman" w:hAnsi="Times New Roman" w:eastAsia="宋体"/>
          <w:color w:val="000000"/>
          <w:sz w:val="21"/>
          <w:szCs w:val="21"/>
          <w:highlight w:val="none"/>
        </w:rPr>
        <w:t xml:space="preserve">：</w:t>
      </w:r>
      <w:r>
        <w:rPr>
          <w:rFonts w:ascii="Times New Roman" w:hAnsi="Times New Roman" w:eastAsia="宋体"/>
          <w:color w:val="000000"/>
          <w:sz w:val="21"/>
          <w:szCs w:val="15"/>
          <w:highlight w:val="none"/>
        </w:rPr>
      </w:r>
      <w:r/>
    </w:p>
    <w:p>
      <w:pPr>
        <w:pStyle w:val="1066"/>
        <w:spacing w:line="360" w:lineRule="auto"/>
        <w:rPr>
          <w:rFonts w:eastAsia="宋体"/>
          <w:color w:val="000000"/>
          <w:sz w:val="21"/>
          <w:szCs w:val="21"/>
          <w:highlight w:val="none"/>
        </w:rPr>
      </w:pPr>
      <w:r>
        <w:rPr>
          <w:rFonts w:eastAsia="宋体"/>
          <w:color w:val="000000"/>
          <w:sz w:val="21"/>
          <w:szCs w:val="21"/>
          <w:highlight w:val="none"/>
        </w:rPr>
        <w:t xml:space="preserve">本授权委托书声明：我 </w:t>
      </w:r>
      <w:r>
        <w:rPr>
          <w:rFonts w:eastAsia="宋体"/>
          <w:color w:val="000000"/>
          <w:sz w:val="21"/>
          <w:szCs w:val="21"/>
          <w:highlight w:val="none"/>
          <w:u w:val="single"/>
        </w:rPr>
        <w:t xml:space="preserve">          </w:t>
      </w:r>
      <w:r>
        <w:rPr>
          <w:rFonts w:eastAsia="宋体"/>
          <w:color w:val="000000"/>
          <w:sz w:val="21"/>
          <w:szCs w:val="21"/>
          <w:highlight w:val="none"/>
        </w:rPr>
        <w:t xml:space="preserve">（姓名）系</w:t>
      </w:r>
      <w:r>
        <w:rPr>
          <w:rFonts w:eastAsia="宋体"/>
          <w:color w:val="000000"/>
          <w:sz w:val="21"/>
          <w:szCs w:val="21"/>
          <w:highlight w:val="none"/>
          <w:u w:val="single"/>
        </w:rPr>
        <w:t xml:space="preserve">             </w:t>
      </w:r>
      <w:r>
        <w:rPr>
          <w:rFonts w:eastAsia="宋体"/>
          <w:color w:val="000000"/>
          <w:sz w:val="21"/>
          <w:szCs w:val="21"/>
          <w:highlight w:val="none"/>
        </w:rPr>
        <w:t xml:space="preserve">（投标人名称）的法定代表人，现授权委托</w:t>
      </w:r>
      <w:r>
        <w:rPr>
          <w:rFonts w:eastAsia="宋体"/>
          <w:color w:val="000000"/>
          <w:sz w:val="21"/>
          <w:szCs w:val="21"/>
          <w:highlight w:val="none"/>
          <w:u w:val="single"/>
        </w:rPr>
        <w:t xml:space="preserve">              （</w:t>
      </w:r>
      <w:r>
        <w:rPr>
          <w:rFonts w:eastAsia="宋体"/>
          <w:color w:val="000000"/>
          <w:sz w:val="21"/>
          <w:szCs w:val="21"/>
          <w:highlight w:val="none"/>
        </w:rPr>
        <w:t xml:space="preserve">投标人名称）的</w:t>
      </w:r>
      <w:r>
        <w:rPr>
          <w:rFonts w:eastAsia="宋体"/>
          <w:color w:val="000000"/>
          <w:sz w:val="21"/>
          <w:szCs w:val="21"/>
          <w:highlight w:val="none"/>
          <w:u w:val="single"/>
        </w:rPr>
        <w:t xml:space="preserve">         </w:t>
      </w:r>
      <w:r>
        <w:rPr>
          <w:rFonts w:eastAsia="宋体"/>
          <w:color w:val="000000"/>
          <w:sz w:val="21"/>
          <w:szCs w:val="21"/>
          <w:highlight w:val="none"/>
        </w:rPr>
        <w:t xml:space="preserve">（姓名）为我公司被授权人，以本公司的名义参加</w:t>
      </w:r>
      <w:r>
        <w:rPr>
          <w:rFonts w:hint="eastAsia" w:eastAsia="宋体"/>
          <w:color w:val="000000"/>
          <w:sz w:val="21"/>
          <w:szCs w:val="21"/>
          <w:highlight w:val="none"/>
        </w:rPr>
        <w:t xml:space="preserve">艾菲尔（江苏）招投标股份有限公司</w:t>
      </w:r>
      <w:r>
        <w:rPr>
          <w:rFonts w:eastAsia="宋体"/>
          <w:color w:val="000000"/>
          <w:sz w:val="21"/>
          <w:szCs w:val="21"/>
          <w:highlight w:val="none"/>
        </w:rPr>
        <w:t xml:space="preserve">组织实施的</w:t>
      </w:r>
      <w:bookmarkStart w:id="27" w:name="_Hlk134084672"/>
      <w:r>
        <w:rPr>
          <w:rFonts w:hint="eastAsia" w:eastAsia="宋体"/>
          <w:color w:val="000000"/>
          <w:sz w:val="21"/>
          <w:szCs w:val="21"/>
          <w:highlight w:val="none"/>
          <w:u w:val="single"/>
          <w:lang w:eastAsia="zh-CN"/>
        </w:rPr>
        <w:t xml:space="preserve">空气质量保障项目（2026）</w:t>
      </w:r>
      <w:r>
        <w:rPr>
          <w:rFonts w:eastAsia="宋体"/>
          <w:color w:val="000000"/>
          <w:sz w:val="21"/>
          <w:szCs w:val="21"/>
          <w:highlight w:val="none"/>
          <w:u w:val="single"/>
        </w:rPr>
        <w:t xml:space="preserve">（</w:t>
      </w:r>
      <w:r>
        <w:rPr>
          <w:rFonts w:hint="eastAsia" w:eastAsia="宋体"/>
          <w:color w:val="000000"/>
          <w:sz w:val="21"/>
          <w:szCs w:val="21"/>
          <w:highlight w:val="none"/>
          <w:u w:val="single"/>
          <w:lang w:eastAsia="zh-CN"/>
        </w:rPr>
        <w:t xml:space="preserve">JSZC-320583-AFEJ-G2026-0004</w:t>
      </w:r>
      <w:r>
        <w:rPr>
          <w:rFonts w:eastAsia="宋体"/>
          <w:color w:val="000000"/>
          <w:sz w:val="21"/>
          <w:szCs w:val="21"/>
          <w:highlight w:val="none"/>
          <w:u w:val="single"/>
        </w:rPr>
        <w:t xml:space="preserve">）</w:t>
      </w:r>
      <w:bookmarkEnd w:id="27"/>
      <w:r>
        <w:rPr>
          <w:rFonts w:eastAsia="宋体"/>
          <w:color w:val="000000"/>
          <w:sz w:val="21"/>
          <w:szCs w:val="21"/>
          <w:highlight w:val="none"/>
        </w:rPr>
        <w:t xml:space="preserve">的招标活动。被授权人在开标、评标、合同谈判过程中所签署的一切文件和处理与这有关的一切事务，我均予以承认。</w:t>
      </w:r>
      <w:r>
        <w:rPr>
          <w:rFonts w:eastAsia="宋体"/>
          <w:color w:val="000000"/>
          <w:sz w:val="21"/>
          <w:szCs w:val="21"/>
          <w:highlight w:val="none"/>
        </w:rPr>
      </w:r>
      <w:r/>
    </w:p>
    <w:p>
      <w:pPr>
        <w:pStyle w:val="1066"/>
        <w:spacing w:line="360" w:lineRule="auto"/>
        <w:rPr>
          <w:rFonts w:eastAsia="宋体"/>
          <w:color w:val="000000"/>
          <w:sz w:val="21"/>
          <w:szCs w:val="21"/>
          <w:highlight w:val="none"/>
        </w:rPr>
      </w:pPr>
      <w:r>
        <w:rPr>
          <w:rFonts w:eastAsia="宋体"/>
          <w:color w:val="000000"/>
          <w:sz w:val="21"/>
          <w:szCs w:val="21"/>
          <w:highlight w:val="none"/>
        </w:rPr>
        <w:t xml:space="preserve">被授权人在授权委托书有效期内签署的所有文件不因授权委托的撤销而失效，除非有撤销授权委托的书面通知，本授权委托书自投标开始至合同履行完毕止。</w:t>
      </w:r>
      <w:r>
        <w:rPr>
          <w:rFonts w:eastAsia="宋体"/>
          <w:color w:val="000000"/>
          <w:sz w:val="21"/>
          <w:szCs w:val="21"/>
          <w:highlight w:val="none"/>
        </w:rPr>
      </w:r>
      <w:r/>
    </w:p>
    <w:p>
      <w:pPr>
        <w:pStyle w:val="1066"/>
        <w:spacing w:line="360" w:lineRule="auto"/>
        <w:rPr>
          <w:rFonts w:eastAsia="宋体"/>
          <w:color w:val="000000"/>
          <w:sz w:val="21"/>
          <w:szCs w:val="21"/>
          <w:highlight w:val="none"/>
        </w:rPr>
      </w:pPr>
      <w:r>
        <w:rPr>
          <w:rFonts w:eastAsia="宋体"/>
          <w:color w:val="000000"/>
          <w:sz w:val="21"/>
          <w:szCs w:val="21"/>
          <w:highlight w:val="none"/>
        </w:rPr>
        <w:t xml:space="preserve">被授权人无转委托权。特此委托。</w:t>
      </w:r>
      <w:r>
        <w:rPr>
          <w:rFonts w:eastAsia="宋体"/>
          <w:color w:val="000000"/>
          <w:sz w:val="21"/>
          <w:szCs w:val="21"/>
          <w:highlight w:val="none"/>
        </w:rPr>
      </w:r>
      <w:r/>
    </w:p>
    <w:p>
      <w:pPr>
        <w:pStyle w:val="1066"/>
        <w:spacing w:line="360" w:lineRule="auto"/>
        <w:rPr>
          <w:rFonts w:eastAsia="宋体"/>
          <w:color w:val="000000"/>
          <w:sz w:val="21"/>
          <w:szCs w:val="21"/>
          <w:highlight w:val="none"/>
        </w:rPr>
      </w:pPr>
      <w:r>
        <w:rPr>
          <w:rFonts w:eastAsia="宋体"/>
          <w:color w:val="000000"/>
          <w:sz w:val="21"/>
          <w:szCs w:val="21"/>
          <w:highlight w:val="none"/>
        </w:rPr>
        <w:t xml:space="preserve">    </w:t>
      </w:r>
      <w:r>
        <w:rPr>
          <w:rFonts w:eastAsia="宋体"/>
          <w:color w:val="000000"/>
          <w:sz w:val="21"/>
          <w:szCs w:val="21"/>
          <w:highlight w:val="none"/>
        </w:rPr>
      </w:r>
      <w:r/>
    </w:p>
    <w:p>
      <w:pPr>
        <w:pStyle w:val="1515"/>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投标人：（单位盖章）</w:t>
      </w:r>
      <w:r>
        <w:rPr>
          <w:rFonts w:ascii="Times New Roman" w:hAnsi="Times New Roman" w:eastAsia="宋体"/>
          <w:color w:val="000000"/>
          <w:sz w:val="21"/>
          <w:szCs w:val="21"/>
          <w:highlight w:val="none"/>
        </w:rPr>
      </w:r>
      <w:r/>
    </w:p>
    <w:p>
      <w:pPr>
        <w:pStyle w:val="1515"/>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法定代表人：（签字或盖章）</w:t>
      </w:r>
      <w:r>
        <w:rPr>
          <w:rFonts w:ascii="Times New Roman" w:hAnsi="Times New Roman" w:eastAsia="宋体"/>
          <w:color w:val="000000"/>
          <w:sz w:val="21"/>
          <w:szCs w:val="21"/>
          <w:highlight w:val="none"/>
        </w:rPr>
      </w:r>
      <w:r/>
    </w:p>
    <w:p>
      <w:pPr>
        <w:pStyle w:val="1515"/>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日期：    年  月  日</w:t>
      </w:r>
      <w:r>
        <w:rPr>
          <w:rFonts w:ascii="Times New Roman" w:hAnsi="Times New Roman" w:eastAsia="宋体"/>
          <w:color w:val="000000"/>
          <w:sz w:val="21"/>
          <w:szCs w:val="21"/>
          <w:highlight w:val="none"/>
        </w:rPr>
      </w:r>
      <w:r/>
    </w:p>
    <w:p>
      <w:pPr>
        <w:pStyle w:val="1066"/>
        <w:ind w:firstLine="48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1054"/>
        <w:spacing w:before="0" w:after="0" w:line="360" w:lineRule="auto"/>
        <w:rPr>
          <w:rFonts w:hint="eastAsia" w:ascii="宋体"/>
          <w:color w:val="000000"/>
          <w:sz w:val="24"/>
          <w:szCs w:val="24"/>
          <w:highlight w:val="none"/>
        </w:rPr>
      </w:pPr>
      <w:r/>
      <w:bookmarkStart w:id="28" w:name="_Ref367264171"/>
      <w:r>
        <w:rPr>
          <w:rFonts w:ascii="宋体"/>
          <w:color w:val="000000"/>
          <w:sz w:val="30"/>
          <w:szCs w:val="30"/>
          <w:highlight w:val="none"/>
          <w:lang w:val="zh-CN"/>
        </w:rPr>
        <w:br w:type="page" w:clear="all"/>
      </w:r>
      <w:bookmarkStart w:id="29" w:name="_Toc134091569"/>
      <w:r/>
      <w:bookmarkStart w:id="30" w:name="_Toc161752424"/>
      <w:r>
        <w:rPr>
          <w:rFonts w:hint="eastAsia" w:ascii="宋体"/>
          <w:color w:val="000000"/>
          <w:sz w:val="24"/>
          <w:szCs w:val="24"/>
          <w:highlight w:val="none"/>
          <w:lang w:val="zh-CN"/>
        </w:rPr>
        <w:t xml:space="preserve">格式</w:t>
      </w:r>
      <w:r>
        <w:rPr>
          <w:rFonts w:hint="eastAsia" w:ascii="宋体"/>
          <w:color w:val="000000"/>
          <w:sz w:val="24"/>
          <w:szCs w:val="24"/>
          <w:highlight w:val="none"/>
        </w:rPr>
        <w:t xml:space="preserve">2、投标承诺函</w:t>
      </w:r>
      <w:bookmarkEnd w:id="28"/>
      <w:r/>
      <w:bookmarkEnd w:id="29"/>
      <w:r/>
      <w:bookmarkEnd w:id="30"/>
      <w:r>
        <w:rPr>
          <w:rFonts w:hint="eastAsia" w:ascii="宋体"/>
          <w:color w:val="000000"/>
          <w:sz w:val="24"/>
          <w:szCs w:val="24"/>
          <w:highlight w:val="none"/>
        </w:rPr>
      </w:r>
      <w:r/>
    </w:p>
    <w:p>
      <w:pPr>
        <w:pStyle w:val="1066"/>
        <w:ind w:firstLine="0"/>
        <w:spacing w:line="360" w:lineRule="auto"/>
        <w:rPr>
          <w:rFonts w:ascii="宋体" w:hAnsi="宋体" w:eastAsia="宋体"/>
          <w:color w:val="000000"/>
          <w:szCs w:val="24"/>
          <w:highlight w:val="none"/>
          <w:u w:val="single"/>
        </w:rPr>
      </w:pPr>
      <w:r>
        <w:rPr>
          <w:rFonts w:ascii="宋体" w:hAnsi="宋体" w:eastAsia="宋体"/>
          <w:color w:val="000000"/>
          <w:szCs w:val="24"/>
          <w:highlight w:val="none"/>
          <w:u w:val="single"/>
        </w:rPr>
      </w:r>
      <w:r/>
    </w:p>
    <w:p>
      <w:pPr>
        <w:pStyle w:val="1066"/>
        <w:ind w:firstLine="0"/>
        <w:spacing w:line="360" w:lineRule="auto"/>
        <w:rPr>
          <w:rFonts w:eastAsia="宋体"/>
          <w:color w:val="000000"/>
          <w:sz w:val="21"/>
          <w:szCs w:val="21"/>
          <w:highlight w:val="none"/>
        </w:rPr>
      </w:pPr>
      <w:r>
        <w:rPr>
          <w:rFonts w:eastAsia="宋体"/>
          <w:color w:val="000000"/>
          <w:sz w:val="21"/>
          <w:szCs w:val="21"/>
          <w:highlight w:val="none"/>
          <w:u w:val="single"/>
        </w:rPr>
        <w:t xml:space="preserve">苏州市昆山生态环境局</w:t>
      </w:r>
      <w:r>
        <w:rPr>
          <w:rFonts w:eastAsia="宋体"/>
          <w:color w:val="000000"/>
          <w:sz w:val="21"/>
          <w:szCs w:val="21"/>
          <w:highlight w:val="none"/>
        </w:rPr>
        <w:t xml:space="preserve">：</w:t>
      </w:r>
      <w:r>
        <w:rPr>
          <w:rFonts w:eastAsia="宋体"/>
          <w:color w:val="000000"/>
          <w:sz w:val="21"/>
          <w:szCs w:val="21"/>
          <w:highlight w:val="none"/>
        </w:rPr>
      </w:r>
      <w:r/>
    </w:p>
    <w:p>
      <w:pPr>
        <w:pStyle w:val="864"/>
        <w:ind w:firstLine="420"/>
        <w:jc w:val="left"/>
        <w:spacing w:line="360" w:lineRule="auto"/>
        <w:rPr>
          <w:color w:val="000000"/>
          <w:highlight w:val="none"/>
        </w:rPr>
      </w:pPr>
      <w:r>
        <w:rPr>
          <w:color w:val="000000"/>
          <w:szCs w:val="21"/>
          <w:highlight w:val="none"/>
        </w:rPr>
        <w:t xml:space="preserve">经仔细阅读和研究，我方同意招标文件</w:t>
      </w:r>
      <w:r>
        <w:rPr>
          <w:color w:val="000000"/>
          <w:szCs w:val="21"/>
          <w:highlight w:val="none"/>
          <w:lang w:val="zh-CN"/>
        </w:rPr>
        <w:t xml:space="preserve">（包括补充文件）</w:t>
      </w:r>
      <w:r>
        <w:rPr>
          <w:color w:val="000000"/>
          <w:szCs w:val="21"/>
          <w:highlight w:val="none"/>
        </w:rPr>
        <w:t xml:space="preserve">的各条款要求，</w:t>
      </w:r>
      <w:r>
        <w:rPr>
          <w:color w:val="000000"/>
          <w:highlight w:val="none"/>
        </w:rPr>
        <w:t xml:space="preserve">自愿参加</w:t>
      </w:r>
      <w:r>
        <w:rPr>
          <w:rFonts w:hint="eastAsia"/>
          <w:iCs/>
          <w:color w:val="000000"/>
          <w:highlight w:val="none"/>
          <w:u w:val="single"/>
          <w:lang w:eastAsia="zh-CN"/>
        </w:rPr>
        <w:t xml:space="preserve">空气质量保障项目（2026）</w:t>
      </w:r>
      <w:r>
        <w:rPr>
          <w:iCs/>
          <w:color w:val="000000"/>
          <w:highlight w:val="none"/>
          <w:u w:val="single"/>
        </w:rPr>
        <w:t xml:space="preserve">（</w:t>
      </w:r>
      <w:r>
        <w:rPr>
          <w:rFonts w:hint="eastAsia"/>
          <w:iCs/>
          <w:color w:val="000000"/>
          <w:highlight w:val="none"/>
          <w:u w:val="single"/>
          <w:lang w:eastAsia="zh-CN"/>
        </w:rPr>
        <w:t xml:space="preserve">JSZC-320583-AFEJ-G2026-0004</w:t>
      </w:r>
      <w:r>
        <w:rPr>
          <w:iCs/>
          <w:color w:val="000000"/>
          <w:highlight w:val="none"/>
          <w:u w:val="single"/>
        </w:rPr>
        <w:t xml:space="preserve">）</w:t>
      </w:r>
      <w:r>
        <w:rPr>
          <w:color w:val="000000"/>
          <w:highlight w:val="none"/>
        </w:rPr>
        <w:t xml:space="preserve">的投标活动，并做出如下承诺：</w:t>
      </w:r>
      <w:r>
        <w:rPr>
          <w:color w:val="000000"/>
          <w:highlight w:val="none"/>
        </w:rPr>
      </w:r>
      <w:r/>
    </w:p>
    <w:p>
      <w:pPr>
        <w:pStyle w:val="864"/>
        <w:ind w:firstLine="420"/>
        <w:spacing w:line="360" w:lineRule="auto"/>
        <w:rPr>
          <w:color w:val="000000"/>
          <w:szCs w:val="21"/>
          <w:highlight w:val="none"/>
        </w:rPr>
      </w:pPr>
      <w:r>
        <w:rPr>
          <w:color w:val="000000"/>
          <w:szCs w:val="21"/>
          <w:highlight w:val="none"/>
        </w:rPr>
        <w:t xml:space="preserve">1.</w:t>
      </w:r>
      <w:r>
        <w:rPr>
          <w:color w:val="000000"/>
          <w:szCs w:val="21"/>
          <w:highlight w:val="none"/>
          <w:lang w:val="zh-CN"/>
        </w:rPr>
        <w:t xml:space="preserve">我方同意提供与投标有关的一切数据或资料，并保证所提供的投标文件及相关资料均真实有效，若有不实，由此产生的后果由我方承担；</w:t>
      </w:r>
      <w:r>
        <w:rPr>
          <w:color w:val="000000"/>
          <w:szCs w:val="21"/>
          <w:highlight w:val="none"/>
        </w:rPr>
      </w:r>
      <w:r/>
    </w:p>
    <w:p>
      <w:pPr>
        <w:pStyle w:val="864"/>
        <w:ind w:firstLine="420"/>
        <w:spacing w:line="360" w:lineRule="auto"/>
        <w:rPr>
          <w:color w:val="000000"/>
          <w:szCs w:val="21"/>
          <w:highlight w:val="none"/>
        </w:rPr>
      </w:pPr>
      <w:r>
        <w:rPr>
          <w:color w:val="000000"/>
          <w:szCs w:val="21"/>
          <w:highlight w:val="none"/>
        </w:rPr>
        <w:t xml:space="preserve">2.我方愿意按照招标文件的要求，响应该项目的全部实质性内容。 </w:t>
      </w:r>
      <w:r>
        <w:rPr>
          <w:color w:val="000000"/>
          <w:szCs w:val="21"/>
          <w:highlight w:val="none"/>
        </w:rPr>
      </w:r>
      <w:r/>
    </w:p>
    <w:p>
      <w:pPr>
        <w:pStyle w:val="864"/>
        <w:ind w:firstLine="420"/>
        <w:spacing w:line="360" w:lineRule="auto"/>
        <w:rPr>
          <w:color w:val="000000"/>
          <w:szCs w:val="21"/>
          <w:highlight w:val="none"/>
        </w:rPr>
      </w:pPr>
      <w:r>
        <w:rPr>
          <w:color w:val="000000"/>
          <w:highlight w:val="none"/>
        </w:rPr>
        <w:t xml:space="preserve">3.我方具有良好的商业信誉和健全的财务会计制度；</w:t>
      </w:r>
      <w:r>
        <w:rPr>
          <w:color w:val="000000"/>
          <w:szCs w:val="21"/>
          <w:highlight w:val="none"/>
        </w:rPr>
      </w:r>
      <w:r/>
    </w:p>
    <w:p>
      <w:pPr>
        <w:pStyle w:val="864"/>
        <w:ind w:firstLine="420"/>
        <w:spacing w:line="360" w:lineRule="auto"/>
        <w:rPr>
          <w:color w:val="000000"/>
          <w:szCs w:val="21"/>
          <w:highlight w:val="none"/>
        </w:rPr>
      </w:pPr>
      <w:r>
        <w:rPr>
          <w:color w:val="000000"/>
          <w:highlight w:val="none"/>
        </w:rPr>
        <w:t xml:space="preserve">4.我方</w:t>
      </w:r>
      <w:r>
        <w:rPr>
          <w:color w:val="000000"/>
          <w:szCs w:val="21"/>
          <w:highlight w:val="none"/>
        </w:rPr>
        <w:t xml:space="preserve">具有依法缴纳税收和社会保障资金的良好记录；</w:t>
      </w:r>
      <w:r>
        <w:rPr>
          <w:color w:val="000000"/>
          <w:szCs w:val="21"/>
          <w:highlight w:val="none"/>
        </w:rPr>
      </w:r>
      <w:r/>
    </w:p>
    <w:p>
      <w:pPr>
        <w:pStyle w:val="864"/>
        <w:ind w:firstLine="420"/>
        <w:spacing w:line="360" w:lineRule="auto"/>
        <w:rPr>
          <w:color w:val="000000"/>
          <w:szCs w:val="21"/>
          <w:highlight w:val="none"/>
        </w:rPr>
      </w:pPr>
      <w:r>
        <w:rPr>
          <w:color w:val="000000"/>
          <w:highlight w:val="none"/>
        </w:rPr>
        <w:t xml:space="preserve">5.我方具有履行合同所必需的设备和专业技术能力；</w:t>
      </w:r>
      <w:r>
        <w:rPr>
          <w:color w:val="000000"/>
          <w:szCs w:val="21"/>
          <w:highlight w:val="none"/>
        </w:rPr>
      </w:r>
      <w:r/>
    </w:p>
    <w:p>
      <w:pPr>
        <w:pStyle w:val="864"/>
        <w:ind w:firstLine="420"/>
        <w:spacing w:line="360" w:lineRule="auto"/>
        <w:rPr>
          <w:color w:val="000000"/>
          <w:szCs w:val="21"/>
          <w:highlight w:val="none"/>
        </w:rPr>
      </w:pPr>
      <w:r>
        <w:rPr>
          <w:color w:val="000000"/>
          <w:szCs w:val="21"/>
          <w:highlight w:val="none"/>
        </w:rPr>
        <w:t xml:space="preserve">6.我方参加本次政府采购活动前3年内在经营活动中无重大违法记录；</w:t>
      </w:r>
      <w:r>
        <w:rPr>
          <w:color w:val="000000"/>
          <w:szCs w:val="21"/>
          <w:highlight w:val="none"/>
        </w:rPr>
      </w:r>
      <w:r/>
    </w:p>
    <w:p>
      <w:pPr>
        <w:pStyle w:val="864"/>
        <w:ind w:firstLine="420"/>
        <w:spacing w:line="360" w:lineRule="auto"/>
        <w:rPr>
          <w:color w:val="000000"/>
          <w:szCs w:val="21"/>
          <w:highlight w:val="none"/>
        </w:rPr>
      </w:pPr>
      <w:r>
        <w:rPr>
          <w:color w:val="000000"/>
          <w:szCs w:val="21"/>
          <w:highlight w:val="none"/>
        </w:rPr>
        <w:t xml:space="preserve">7.我方最后报价含服务过程所发生的全部费用。</w:t>
      </w:r>
      <w:r>
        <w:rPr>
          <w:color w:val="000000"/>
          <w:szCs w:val="21"/>
          <w:highlight w:val="none"/>
        </w:rPr>
      </w:r>
      <w:r/>
    </w:p>
    <w:p>
      <w:pPr>
        <w:pStyle w:val="864"/>
        <w:ind w:firstLine="420"/>
        <w:spacing w:line="360" w:lineRule="auto"/>
        <w:rPr>
          <w:color w:val="000000"/>
          <w:szCs w:val="21"/>
          <w:highlight w:val="none"/>
        </w:rPr>
      </w:pPr>
      <w:r>
        <w:rPr>
          <w:color w:val="000000"/>
          <w:szCs w:val="21"/>
          <w:highlight w:val="none"/>
        </w:rPr>
        <w:t xml:space="preserve">8.我方同意按采购人确定的评标办法及评标标准，由评标专家进行评审；</w:t>
      </w:r>
      <w:r>
        <w:rPr>
          <w:color w:val="000000"/>
          <w:szCs w:val="21"/>
          <w:highlight w:val="none"/>
        </w:rPr>
      </w:r>
      <w:r/>
    </w:p>
    <w:p>
      <w:pPr>
        <w:pStyle w:val="864"/>
        <w:ind w:firstLine="420"/>
        <w:spacing w:line="360" w:lineRule="auto"/>
        <w:rPr>
          <w:color w:val="000000"/>
          <w:szCs w:val="21"/>
          <w:highlight w:val="none"/>
        </w:rPr>
      </w:pPr>
      <w:r>
        <w:rPr>
          <w:color w:val="000000"/>
          <w:szCs w:val="21"/>
          <w:highlight w:val="none"/>
        </w:rPr>
        <w:t xml:space="preserve">9.我方同意按招标文件中的规定，投标文件的有效期限为自开标日起三个月内；</w:t>
      </w:r>
      <w:r>
        <w:rPr>
          <w:color w:val="000000"/>
          <w:szCs w:val="21"/>
          <w:highlight w:val="none"/>
        </w:rPr>
      </w:r>
      <w:r/>
    </w:p>
    <w:p>
      <w:pPr>
        <w:pStyle w:val="864"/>
        <w:ind w:firstLine="420"/>
        <w:spacing w:line="360" w:lineRule="auto"/>
        <w:rPr>
          <w:color w:val="000000"/>
          <w:szCs w:val="21"/>
          <w:highlight w:val="none"/>
        </w:rPr>
      </w:pPr>
      <w:r>
        <w:rPr>
          <w:color w:val="000000"/>
          <w:highlight w:val="none"/>
        </w:rPr>
        <w:t xml:space="preserve">10.</w:t>
      </w:r>
      <w:r>
        <w:rPr>
          <w:color w:val="000000"/>
          <w:szCs w:val="21"/>
          <w:highlight w:val="none"/>
        </w:rPr>
        <w:t xml:space="preserve">我方同意采购人关于违约责任的认定方式和对违约责任的处罚；在履约过程中，如我方违约，我方愿意承担相应违约责任。</w:t>
      </w:r>
      <w:r>
        <w:rPr>
          <w:color w:val="000000"/>
          <w:szCs w:val="21"/>
          <w:highlight w:val="none"/>
        </w:rPr>
      </w:r>
      <w:r/>
    </w:p>
    <w:p>
      <w:pPr>
        <w:pStyle w:val="864"/>
        <w:ind w:firstLine="420"/>
        <w:jc w:val="left"/>
        <w:spacing w:line="360" w:lineRule="auto"/>
        <w:rPr>
          <w:color w:val="000000"/>
          <w:highlight w:val="none"/>
        </w:rPr>
      </w:pPr>
      <w:r>
        <w:rPr>
          <w:color w:val="000000"/>
          <w:highlight w:val="none"/>
        </w:rPr>
        <w:t xml:space="preserve">11.除不可抗力外，我方如果发生以下行为，将在行为发生的10个工作日内，向采购人支付本招标文件公布的预算价的2%作为违约赔偿金。</w:t>
      </w:r>
      <w:r>
        <w:rPr>
          <w:color w:val="000000"/>
          <w:highlight w:val="none"/>
        </w:rPr>
      </w:r>
      <w:r/>
    </w:p>
    <w:p>
      <w:pPr>
        <w:pStyle w:val="864"/>
        <w:ind w:firstLine="420"/>
        <w:jc w:val="left"/>
        <w:spacing w:line="360" w:lineRule="auto"/>
        <w:rPr>
          <w:color w:val="000000"/>
          <w:highlight w:val="none"/>
        </w:rPr>
      </w:pPr>
      <w:r>
        <w:rPr>
          <w:color w:val="000000"/>
          <w:highlight w:val="none"/>
        </w:rPr>
        <w:t xml:space="preserve">（1）在招标文件规定的投标有效期内进行实质上修改或撤回投标；</w:t>
      </w:r>
      <w:r>
        <w:rPr>
          <w:color w:val="000000"/>
          <w:highlight w:val="none"/>
        </w:rPr>
      </w:r>
      <w:r/>
    </w:p>
    <w:p>
      <w:pPr>
        <w:pStyle w:val="864"/>
        <w:ind w:firstLine="420"/>
        <w:jc w:val="left"/>
        <w:spacing w:line="360" w:lineRule="auto"/>
        <w:rPr>
          <w:color w:val="000000"/>
          <w:highlight w:val="none"/>
        </w:rPr>
      </w:pPr>
      <w:r>
        <w:rPr>
          <w:color w:val="000000"/>
          <w:highlight w:val="none"/>
        </w:rPr>
        <w:t xml:space="preserve">（2）中标后不依法与采购人签订合同；</w:t>
      </w:r>
      <w:r>
        <w:rPr>
          <w:color w:val="000000"/>
          <w:highlight w:val="none"/>
        </w:rPr>
      </w:r>
      <w:r/>
    </w:p>
    <w:p>
      <w:pPr>
        <w:pStyle w:val="864"/>
        <w:ind w:firstLine="420"/>
        <w:jc w:val="left"/>
        <w:spacing w:line="360" w:lineRule="auto"/>
        <w:rPr>
          <w:color w:val="000000"/>
          <w:highlight w:val="none"/>
        </w:rPr>
      </w:pPr>
      <w:r>
        <w:rPr>
          <w:color w:val="000000"/>
          <w:highlight w:val="none"/>
        </w:rPr>
        <w:t xml:space="preserve">（3）在投标文件中提供虚假材料；</w:t>
      </w:r>
      <w:r>
        <w:rPr>
          <w:color w:val="000000"/>
          <w:highlight w:val="none"/>
        </w:rPr>
      </w:r>
      <w:r/>
    </w:p>
    <w:p>
      <w:pPr>
        <w:pStyle w:val="864"/>
        <w:ind w:firstLine="420"/>
        <w:jc w:val="left"/>
        <w:spacing w:line="360" w:lineRule="auto"/>
        <w:rPr>
          <w:color w:val="000000"/>
          <w:highlight w:val="none"/>
        </w:rPr>
      </w:pPr>
      <w:r>
        <w:rPr>
          <w:color w:val="000000"/>
          <w:highlight w:val="none"/>
        </w:rPr>
        <w:t xml:space="preserve">（4）恶意串通；</w:t>
      </w:r>
      <w:r>
        <w:rPr>
          <w:color w:val="000000"/>
          <w:highlight w:val="none"/>
        </w:rPr>
      </w:r>
      <w:r/>
    </w:p>
    <w:p>
      <w:pPr>
        <w:pStyle w:val="864"/>
        <w:ind w:firstLine="420"/>
        <w:jc w:val="left"/>
        <w:spacing w:line="360" w:lineRule="auto"/>
        <w:rPr>
          <w:color w:val="000000"/>
          <w:highlight w:val="none"/>
        </w:rPr>
      </w:pPr>
      <w:r>
        <w:rPr>
          <w:color w:val="000000"/>
          <w:highlight w:val="none"/>
        </w:rPr>
        <w:t xml:space="preserve">（5）其他违法违规情形。</w:t>
      </w:r>
      <w:r>
        <w:rPr>
          <w:color w:val="000000"/>
          <w:highlight w:val="none"/>
        </w:rPr>
      </w:r>
      <w:r/>
    </w:p>
    <w:p>
      <w:pPr>
        <w:pStyle w:val="864"/>
        <w:ind w:firstLine="420"/>
        <w:spacing w:line="360" w:lineRule="auto"/>
        <w:rPr>
          <w:color w:val="000000"/>
          <w:szCs w:val="21"/>
          <w:highlight w:val="none"/>
        </w:rPr>
      </w:pPr>
      <w:r>
        <w:rPr>
          <w:color w:val="000000"/>
          <w:szCs w:val="21"/>
          <w:highlight w:val="none"/>
        </w:rPr>
        <w:t xml:space="preserve">12.我方知晓上述行为的法律后果，并认可本承诺函作为采购人要求我方履行违约赔偿的依据。</w:t>
      </w:r>
      <w:r>
        <w:rPr>
          <w:color w:val="000000"/>
          <w:szCs w:val="21"/>
          <w:highlight w:val="none"/>
        </w:rPr>
      </w:r>
      <w:r/>
    </w:p>
    <w:p>
      <w:pPr>
        <w:pStyle w:val="1323"/>
        <w:ind w:firstLine="420"/>
        <w:spacing w:line="360" w:lineRule="auto"/>
        <w:rPr>
          <w:rFonts w:ascii="Times New Roman"/>
          <w:color w:val="000000"/>
          <w:szCs w:val="21"/>
          <w:highlight w:val="none"/>
        </w:rPr>
      </w:pPr>
      <w:r>
        <w:rPr>
          <w:rFonts w:ascii="Times New Roman"/>
          <w:color w:val="000000"/>
          <w:szCs w:val="21"/>
          <w:highlight w:val="none"/>
        </w:rPr>
        <w:t xml:space="preserve">13.我单位同意招标人关于违约责任的认定方式和对违约责任的处罚；在服务过程中，如我单位违约，我单位愿意承担相应违约责任。</w:t>
      </w:r>
      <w:r>
        <w:rPr>
          <w:rFonts w:ascii="Times New Roman"/>
          <w:color w:val="000000"/>
          <w:szCs w:val="21"/>
          <w:highlight w:val="none"/>
        </w:rPr>
      </w:r>
      <w:r/>
    </w:p>
    <w:p>
      <w:pPr>
        <w:pStyle w:val="1226"/>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                         </w:t>
      </w:r>
      <w:r>
        <w:rPr>
          <w:rFonts w:ascii="Times New Roman" w:hAnsi="Times New Roman" w:eastAsia="宋体"/>
          <w:color w:val="000000"/>
          <w:sz w:val="21"/>
          <w:szCs w:val="21"/>
          <w:highlight w:val="none"/>
        </w:rPr>
      </w:r>
      <w:r/>
    </w:p>
    <w:p>
      <w:pPr>
        <w:pStyle w:val="1515"/>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投标人：（单位盖章）</w:t>
      </w:r>
      <w:r>
        <w:rPr>
          <w:rFonts w:ascii="Times New Roman" w:hAnsi="Times New Roman" w:eastAsia="宋体"/>
          <w:color w:val="000000"/>
          <w:sz w:val="21"/>
          <w:szCs w:val="21"/>
          <w:highlight w:val="none"/>
        </w:rPr>
      </w:r>
      <w:r/>
    </w:p>
    <w:p>
      <w:pPr>
        <w:pStyle w:val="1515"/>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法定代表人或被授权人：（签字或盖章）</w:t>
      </w:r>
      <w:r>
        <w:rPr>
          <w:rFonts w:ascii="Times New Roman" w:hAnsi="Times New Roman" w:eastAsia="宋体"/>
          <w:color w:val="000000"/>
          <w:sz w:val="21"/>
          <w:szCs w:val="21"/>
          <w:highlight w:val="none"/>
        </w:rPr>
      </w:r>
      <w:r/>
    </w:p>
    <w:p>
      <w:pPr>
        <w:pStyle w:val="1515"/>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日期：    年  月  日</w:t>
      </w:r>
      <w:r>
        <w:rPr>
          <w:rFonts w:ascii="Times New Roman" w:hAnsi="Times New Roman" w:eastAsia="宋体"/>
          <w:color w:val="000000"/>
          <w:sz w:val="21"/>
          <w:szCs w:val="21"/>
          <w:highlight w:val="none"/>
        </w:rPr>
      </w:r>
      <w:r/>
    </w:p>
    <w:p>
      <w:pPr>
        <w:pStyle w:val="1066"/>
        <w:ind w:firstLine="0"/>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1066"/>
        <w:ind w:firstLine="0"/>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1066"/>
        <w:ind w:firstLine="0"/>
        <w:rPr>
          <w:rFonts w:ascii="宋体" w:hAnsi="宋体" w:eastAsia="宋体"/>
          <w:b/>
          <w:color w:val="000000"/>
          <w:szCs w:val="24"/>
          <w:highlight w:val="none"/>
        </w:rPr>
      </w:pPr>
      <w:r>
        <w:rPr>
          <w:rFonts w:ascii="宋体" w:hAnsi="宋体" w:eastAsia="宋体"/>
          <w:b/>
          <w:color w:val="000000"/>
          <w:szCs w:val="24"/>
          <w:highlight w:val="none"/>
        </w:rPr>
        <w:br w:type="page" w:clear="all"/>
      </w:r>
      <w:r>
        <w:rPr>
          <w:rFonts w:ascii="宋体" w:hAnsi="宋体" w:eastAsia="宋体"/>
          <w:b/>
          <w:color w:val="000000"/>
          <w:szCs w:val="24"/>
          <w:highlight w:val="none"/>
        </w:rPr>
      </w:r>
      <w:r/>
    </w:p>
    <w:p>
      <w:pPr>
        <w:pStyle w:val="1054"/>
        <w:rPr>
          <w:rFonts w:ascii="宋体" w:cs="宋体"/>
          <w:bCs w:val="0"/>
          <w:color w:val="000000"/>
          <w:sz w:val="24"/>
          <w:szCs w:val="24"/>
          <w:highlight w:val="none"/>
          <w:lang w:val="zh-CN"/>
        </w:rPr>
      </w:pPr>
      <w:r/>
      <w:bookmarkStart w:id="31" w:name="_Ref62217903"/>
      <w:r/>
      <w:bookmarkStart w:id="32" w:name="_Toc161752426"/>
      <w:r/>
      <w:bookmarkStart w:id="33" w:name="_Toc134091571"/>
      <w:r>
        <w:rPr>
          <w:rFonts w:hint="eastAsia" w:ascii="宋体"/>
          <w:color w:val="000000"/>
          <w:sz w:val="24"/>
          <w:szCs w:val="24"/>
          <w:highlight w:val="none"/>
        </w:rPr>
        <w:t xml:space="preserve">格式3、</w:t>
      </w:r>
      <w:r>
        <w:rPr>
          <w:rFonts w:hint="eastAsia" w:ascii="宋体"/>
          <w:color w:val="000000"/>
          <w:sz w:val="24"/>
          <w:szCs w:val="24"/>
          <w:highlight w:val="none"/>
          <w:lang w:val="zh-CN"/>
        </w:rPr>
        <w:t xml:space="preserve">中小企业声明函</w:t>
      </w:r>
      <w:bookmarkEnd w:id="31"/>
      <w:r/>
      <w:bookmarkEnd w:id="32"/>
      <w:r/>
      <w:bookmarkEnd w:id="33"/>
      <w:r>
        <w:rPr>
          <w:rFonts w:ascii="宋体" w:cs="宋体"/>
          <w:bCs w:val="0"/>
          <w:color w:val="000000"/>
          <w:sz w:val="24"/>
          <w:szCs w:val="24"/>
          <w:highlight w:val="none"/>
          <w:lang w:val="zh-CN"/>
        </w:rPr>
      </w:r>
      <w:r/>
    </w:p>
    <w:p>
      <w:pPr>
        <w:pStyle w:val="1332"/>
        <w:ind w:right="-210"/>
        <w:jc w:val="center"/>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中小企业声明函（服务）</w:t>
      </w:r>
      <w:r>
        <w:rPr>
          <w:rFonts w:ascii="Times New Roman" w:hAnsi="Times New Roman" w:eastAsia="宋体"/>
          <w:color w:val="000000"/>
          <w:sz w:val="21"/>
          <w:szCs w:val="21"/>
          <w:highlight w:val="none"/>
        </w:rPr>
      </w:r>
      <w:r/>
    </w:p>
    <w:p>
      <w:pPr>
        <w:pStyle w:val="864"/>
        <w:ind w:firstLine="420"/>
        <w:spacing w:line="360" w:lineRule="auto"/>
        <w:rPr>
          <w:color w:val="000000"/>
          <w:szCs w:val="21"/>
          <w:highlight w:val="none"/>
          <w:lang w:val="zh-CN"/>
        </w:rPr>
      </w:pPr>
      <w:r>
        <w:rPr>
          <w:color w:val="000000"/>
          <w:szCs w:val="21"/>
          <w:highlight w:val="none"/>
          <w:lang w:val="zh-CN"/>
        </w:rPr>
        <w:t xml:space="preserve">本公司（联合体）郑重声明，根据《政府采购促进中小企业发展管理办法》（财库﹝2020﹞46 号）的规定，本公司（联合体）参加</w:t>
      </w:r>
      <w:r>
        <w:rPr>
          <w:rFonts w:hint="eastAsia"/>
          <w:color w:val="000000"/>
          <w:szCs w:val="21"/>
          <w:highlight w:val="none"/>
          <w:u w:val="single"/>
          <w:lang w:val="zh-CN"/>
        </w:rPr>
        <w:t xml:space="preserve">苏州市昆山生态环境局</w:t>
      </w:r>
      <w:r>
        <w:rPr>
          <w:color w:val="000000"/>
          <w:szCs w:val="21"/>
          <w:highlight w:val="none"/>
          <w:lang w:val="zh-CN"/>
        </w:rPr>
        <w:t xml:space="preserve">的</w:t>
      </w:r>
      <w:r>
        <w:rPr>
          <w:rFonts w:hint="eastAsia"/>
          <w:color w:val="000000"/>
          <w:szCs w:val="21"/>
          <w:highlight w:val="none"/>
          <w:u w:val="single"/>
          <w:lang w:val="zh-CN"/>
        </w:rPr>
        <w:t xml:space="preserve">空气质量保障项目（2026）</w:t>
      </w:r>
      <w:r>
        <w:rPr>
          <w:color w:val="000000"/>
          <w:szCs w:val="21"/>
          <w:highlight w:val="none"/>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szCs w:val="21"/>
          <w:highlight w:val="none"/>
          <w:lang w:val="zh-CN"/>
        </w:rPr>
      </w:r>
      <w:r/>
    </w:p>
    <w:p>
      <w:pPr>
        <w:pStyle w:val="1323"/>
        <w:ind w:firstLine="420"/>
        <w:spacing w:line="360" w:lineRule="auto"/>
        <w:rPr>
          <w:rFonts w:ascii="Times New Roman"/>
          <w:color w:val="000000"/>
          <w:szCs w:val="21"/>
          <w:highlight w:val="none"/>
          <w:lang w:val="zh-CN"/>
        </w:rPr>
      </w:pPr>
      <w:r>
        <w:rPr>
          <w:rFonts w:ascii="Times New Roman"/>
          <w:color w:val="000000"/>
          <w:szCs w:val="21"/>
          <w:highlight w:val="none"/>
        </w:rPr>
        <w:t xml:space="preserve">1.</w:t>
      </w:r>
      <w:r>
        <w:rPr>
          <w:rFonts w:hint="eastAsia" w:ascii="Times New Roman"/>
          <w:color w:val="000000"/>
          <w:szCs w:val="21"/>
          <w:highlight w:val="none"/>
          <w:u w:val="single"/>
          <w:lang w:eastAsia="zh-CN"/>
        </w:rPr>
        <w:t xml:space="preserve">空气质量保障项目（2026）</w:t>
      </w:r>
      <w:r>
        <w:rPr>
          <w:rFonts w:ascii="Times New Roman"/>
          <w:color w:val="000000"/>
          <w:szCs w:val="21"/>
          <w:highlight w:val="none"/>
        </w:rPr>
        <w:t xml:space="preserve">，属于</w:t>
      </w:r>
      <w:r>
        <w:rPr>
          <w:rFonts w:hint="eastAsia" w:ascii="Times New Roman"/>
          <w:color w:val="000000"/>
          <w:szCs w:val="21"/>
          <w:highlight w:val="none"/>
          <w:u w:val="single"/>
        </w:rPr>
        <w:t xml:space="preserve">其他未列明行业</w:t>
      </w:r>
      <w:r>
        <w:rPr>
          <w:rFonts w:ascii="Times New Roman"/>
          <w:color w:val="000000"/>
          <w:szCs w:val="21"/>
          <w:highlight w:val="none"/>
        </w:rPr>
        <w:t xml:space="preserve">；承建（承接）企业为</w:t>
      </w:r>
      <w:r>
        <w:rPr>
          <w:rFonts w:hint="eastAsia" w:ascii="Times New Roman"/>
          <w:color w:val="000000"/>
          <w:szCs w:val="21"/>
          <w:highlight w:val="none"/>
          <w:u w:val="single"/>
        </w:rPr>
        <w:t xml:space="preserve">    </w:t>
      </w:r>
      <w:r>
        <w:rPr>
          <w:rFonts w:ascii="Times New Roman"/>
          <w:color w:val="000000"/>
          <w:szCs w:val="21"/>
          <w:highlight w:val="none"/>
          <w:u w:val="single"/>
        </w:rPr>
        <w:t xml:space="preserve">（企业名称）</w:t>
      </w:r>
      <w:r>
        <w:rPr>
          <w:rFonts w:ascii="Times New Roman"/>
          <w:color w:val="000000"/>
          <w:szCs w:val="21"/>
          <w:highlight w:val="none"/>
        </w:rPr>
        <w:t xml:space="preserve">，</w:t>
      </w:r>
      <w:r>
        <w:rPr>
          <w:rFonts w:ascii="Times New Roman"/>
          <w:color w:val="000000"/>
          <w:szCs w:val="21"/>
          <w:highlight w:val="none"/>
          <w:lang w:val="zh-CN"/>
        </w:rPr>
        <w:t xml:space="preserve">从业人员</w:t>
      </w:r>
      <w:r>
        <w:rPr>
          <w:rFonts w:ascii="Times New Roman"/>
          <w:color w:val="000000"/>
          <w:szCs w:val="21"/>
          <w:highlight w:val="none"/>
          <w:u w:val="single"/>
          <w:lang w:val="zh-CN"/>
        </w:rPr>
        <w:t xml:space="preserve">     </w:t>
      </w:r>
      <w:r>
        <w:rPr>
          <w:rFonts w:ascii="Times New Roman"/>
          <w:color w:val="000000"/>
          <w:szCs w:val="21"/>
          <w:highlight w:val="none"/>
          <w:lang w:val="zh-CN"/>
        </w:rPr>
        <w:t xml:space="preserve">人，营业收入为</w:t>
      </w:r>
      <w:r>
        <w:rPr>
          <w:rFonts w:ascii="Times New Roman"/>
          <w:color w:val="000000"/>
          <w:szCs w:val="21"/>
          <w:highlight w:val="none"/>
          <w:u w:val="single"/>
          <w:lang w:val="zh-CN"/>
        </w:rPr>
        <w:t xml:space="preserve">     </w:t>
      </w:r>
      <w:r>
        <w:rPr>
          <w:rFonts w:ascii="Times New Roman"/>
          <w:color w:val="000000"/>
          <w:szCs w:val="21"/>
          <w:highlight w:val="none"/>
          <w:lang w:val="zh-CN"/>
        </w:rPr>
        <w:t xml:space="preserve">万元，资产总额为</w:t>
      </w:r>
      <w:r>
        <w:rPr>
          <w:rFonts w:ascii="Times New Roman"/>
          <w:color w:val="000000"/>
          <w:szCs w:val="21"/>
          <w:highlight w:val="none"/>
          <w:u w:val="single"/>
          <w:lang w:val="zh-CN"/>
        </w:rPr>
        <w:t xml:space="preserve">     </w:t>
      </w:r>
      <w:r>
        <w:rPr>
          <w:rFonts w:ascii="Times New Roman"/>
          <w:color w:val="000000"/>
          <w:szCs w:val="21"/>
          <w:highlight w:val="none"/>
          <w:lang w:val="zh-CN"/>
        </w:rPr>
        <w:t xml:space="preserve">万元，属于</w:t>
      </w:r>
      <w:r>
        <w:rPr>
          <w:rFonts w:hint="eastAsia" w:ascii="Times New Roman"/>
          <w:color w:val="000000"/>
          <w:szCs w:val="21"/>
          <w:highlight w:val="none"/>
          <w:u w:val="single"/>
          <w:lang w:val="zh-CN"/>
        </w:rPr>
        <w:t xml:space="preserve">    </w:t>
      </w:r>
      <w:r>
        <w:rPr>
          <w:rFonts w:ascii="Times New Roman"/>
          <w:color w:val="000000"/>
          <w:szCs w:val="21"/>
          <w:highlight w:val="none"/>
          <w:u w:val="single"/>
          <w:lang w:val="zh-CN"/>
        </w:rPr>
        <w:t xml:space="preserve">（中型企业、小型企业、微型企业）</w:t>
      </w:r>
      <w:r>
        <w:rPr>
          <w:rFonts w:ascii="Times New Roman"/>
          <w:color w:val="000000"/>
          <w:szCs w:val="21"/>
          <w:highlight w:val="none"/>
          <w:lang w:val="zh-CN"/>
        </w:rPr>
        <w:t xml:space="preserve">；</w:t>
      </w:r>
      <w:r>
        <w:rPr>
          <w:rFonts w:ascii="Times New Roman"/>
          <w:color w:val="000000"/>
          <w:szCs w:val="21"/>
          <w:highlight w:val="none"/>
          <w:lang w:val="zh-CN"/>
        </w:rPr>
      </w:r>
      <w:r/>
    </w:p>
    <w:p>
      <w:pPr>
        <w:pStyle w:val="864"/>
        <w:ind w:firstLine="420"/>
        <w:spacing w:line="360" w:lineRule="auto"/>
        <w:rPr>
          <w:color w:val="000000"/>
          <w:szCs w:val="21"/>
          <w:highlight w:val="none"/>
          <w:lang w:val="zh-CN"/>
        </w:rPr>
      </w:pPr>
      <w:r>
        <w:rPr>
          <w:color w:val="000000"/>
          <w:szCs w:val="21"/>
          <w:highlight w:val="none"/>
          <w:lang w:val="zh-CN"/>
        </w:rPr>
        <w:t xml:space="preserve">以上企业，不属于大企业的分支机构，不存在控股股东为大企业的情形，也不存在与大企业的负责人为同一人的情形。</w:t>
      </w:r>
      <w:r>
        <w:rPr>
          <w:color w:val="000000"/>
          <w:szCs w:val="21"/>
          <w:highlight w:val="none"/>
          <w:lang w:val="zh-CN"/>
        </w:rPr>
      </w:r>
      <w:r/>
    </w:p>
    <w:p>
      <w:pPr>
        <w:pStyle w:val="864"/>
        <w:ind w:firstLine="420"/>
        <w:spacing w:line="360" w:lineRule="auto"/>
        <w:rPr>
          <w:color w:val="000000"/>
          <w:szCs w:val="21"/>
          <w:highlight w:val="none"/>
          <w:lang w:val="zh-CN"/>
        </w:rPr>
      </w:pPr>
      <w:r>
        <w:rPr>
          <w:color w:val="000000"/>
          <w:szCs w:val="21"/>
          <w:highlight w:val="none"/>
          <w:lang w:val="zh-CN"/>
        </w:rPr>
        <w:t xml:space="preserve">本企业对上述声明内容的真实性负责。如有虚假，将依法承担相应责任。</w:t>
      </w:r>
      <w:r>
        <w:rPr>
          <w:color w:val="000000"/>
          <w:szCs w:val="21"/>
          <w:highlight w:val="none"/>
          <w:lang w:val="zh-CN"/>
        </w:rPr>
      </w:r>
      <w:r/>
    </w:p>
    <w:p>
      <w:pPr>
        <w:pStyle w:val="1332"/>
        <w:ind w:firstLine="420"/>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1364"/>
        <w:spacing w:line="360" w:lineRule="auto"/>
        <w:rPr>
          <w:rFonts w:ascii="Times New Roman" w:hAnsi="Times New Roman" w:eastAsia="宋体"/>
          <w:b/>
          <w:bCs/>
          <w:color w:val="000000"/>
          <w:sz w:val="21"/>
          <w:szCs w:val="21"/>
          <w:highlight w:val="none"/>
        </w:rPr>
      </w:pPr>
      <w:r>
        <w:rPr>
          <w:rFonts w:ascii="Times New Roman" w:hAnsi="Times New Roman" w:eastAsia="宋体"/>
          <w:b/>
          <w:bCs/>
          <w:color w:val="000000"/>
          <w:sz w:val="21"/>
          <w:szCs w:val="21"/>
          <w:highlight w:val="none"/>
        </w:rPr>
        <w:t xml:space="preserve">注：1.从业人员、营业收入、资产总额填报上一年度数据，无上一年度数据的新成立企业可不填报；</w:t>
      </w:r>
      <w:r>
        <w:rPr>
          <w:rFonts w:ascii="Times New Roman" w:hAnsi="Times New Roman" w:eastAsia="宋体"/>
          <w:b/>
          <w:bCs/>
          <w:color w:val="000000"/>
          <w:sz w:val="21"/>
          <w:szCs w:val="21"/>
          <w:highlight w:val="none"/>
        </w:rPr>
      </w:r>
      <w:r/>
    </w:p>
    <w:p>
      <w:pPr>
        <w:pStyle w:val="1364"/>
        <w:ind w:firstLine="422"/>
        <w:spacing w:line="360" w:lineRule="auto"/>
        <w:rPr>
          <w:rFonts w:ascii="Times New Roman" w:hAnsi="Times New Roman" w:eastAsia="宋体"/>
          <w:b/>
          <w:bCs/>
          <w:color w:val="000000"/>
          <w:sz w:val="21"/>
          <w:szCs w:val="21"/>
          <w:highlight w:val="none"/>
        </w:rPr>
      </w:pPr>
      <w:r>
        <w:rPr>
          <w:rFonts w:ascii="Times New Roman" w:hAnsi="Times New Roman" w:eastAsia="宋体"/>
          <w:b/>
          <w:bCs/>
          <w:color w:val="000000"/>
          <w:sz w:val="21"/>
          <w:szCs w:val="21"/>
          <w:highlight w:val="none"/>
        </w:rPr>
        <w:t xml:space="preserve">2.本次采购项目所属行业为</w:t>
      </w:r>
      <w:r>
        <w:rPr>
          <w:rFonts w:ascii="Times New Roman" w:hAnsi="Times New Roman" w:eastAsia="宋体"/>
          <w:b/>
          <w:bCs/>
          <w:color w:val="000000"/>
          <w:sz w:val="21"/>
          <w:szCs w:val="21"/>
          <w:highlight w:val="none"/>
          <w:u w:val="single"/>
        </w:rPr>
        <w:t xml:space="preserve">其他未列明行业</w:t>
      </w:r>
      <w:r>
        <w:rPr>
          <w:rFonts w:ascii="Times New Roman" w:hAnsi="Times New Roman" w:eastAsia="宋体"/>
          <w:b/>
          <w:bCs/>
          <w:color w:val="000000"/>
          <w:sz w:val="21"/>
          <w:szCs w:val="21"/>
          <w:highlight w:val="none"/>
        </w:rPr>
        <w:t xml:space="preserve">。中小微企业划型标准请根据《中小企业划型标准规定》（工信部联企业〔2011〕300号）。投标人提供的承诺函须按本项目规定行业填写，否则其声明函不予认可。</w:t>
      </w:r>
      <w:r>
        <w:rPr>
          <w:rFonts w:ascii="Times New Roman" w:hAnsi="Times New Roman" w:eastAsia="宋体"/>
          <w:b/>
          <w:bCs/>
          <w:color w:val="000000"/>
          <w:sz w:val="21"/>
          <w:szCs w:val="21"/>
          <w:highlight w:val="none"/>
        </w:rPr>
      </w:r>
      <w:r/>
    </w:p>
    <w:p>
      <w:pPr>
        <w:pStyle w:val="1364"/>
        <w:ind w:firstLine="422"/>
        <w:spacing w:line="360" w:lineRule="auto"/>
        <w:rPr>
          <w:rFonts w:ascii="Times New Roman" w:hAnsi="Times New Roman" w:eastAsia="宋体"/>
          <w:b/>
          <w:color w:val="000000"/>
          <w:sz w:val="21"/>
          <w:szCs w:val="21"/>
          <w:highlight w:val="none"/>
        </w:rPr>
      </w:pPr>
      <w:r>
        <w:rPr>
          <w:rFonts w:ascii="Times New Roman" w:hAnsi="Times New Roman" w:eastAsia="宋体"/>
          <w:b/>
          <w:bCs/>
          <w:color w:val="000000"/>
          <w:sz w:val="21"/>
          <w:szCs w:val="21"/>
          <w:highlight w:val="none"/>
        </w:rPr>
        <w:t xml:space="preserve">3.根据《政府采购促进中小企业发展管理办法》（财库[2020]46号）的相关规定，本项目专门面向中小企业采购，服务应全部由符合政策要求的中小企业承接，否则为无效标。残疾人福利性单位、监狱企业视同小型、微型企业。</w:t>
      </w:r>
      <w:r>
        <w:rPr>
          <w:rFonts w:ascii="Times New Roman" w:hAnsi="Times New Roman" w:eastAsia="宋体"/>
          <w:b/>
          <w:color w:val="000000"/>
          <w:sz w:val="21"/>
          <w:szCs w:val="21"/>
          <w:highlight w:val="none"/>
        </w:rPr>
      </w:r>
      <w:r/>
    </w:p>
    <w:p>
      <w:pPr>
        <w:pStyle w:val="864"/>
        <w:ind w:right="420"/>
        <w:jc w:val="right"/>
        <w:spacing w:line="360" w:lineRule="auto"/>
        <w:rPr>
          <w:color w:val="000000"/>
          <w:szCs w:val="21"/>
          <w:highlight w:val="none"/>
        </w:rPr>
      </w:pPr>
      <w:r>
        <w:rPr>
          <w:color w:val="000000"/>
          <w:szCs w:val="21"/>
          <w:highlight w:val="none"/>
        </w:rPr>
        <w:t xml:space="preserve">投标人：（公章）</w:t>
      </w:r>
      <w:r>
        <w:rPr>
          <w:color w:val="000000"/>
          <w:szCs w:val="21"/>
          <w:highlight w:val="none"/>
        </w:rPr>
      </w:r>
      <w:r/>
    </w:p>
    <w:p>
      <w:pPr>
        <w:pStyle w:val="864"/>
        <w:jc w:val="right"/>
        <w:spacing w:line="360" w:lineRule="auto"/>
        <w:rPr>
          <w:color w:val="000000"/>
          <w:szCs w:val="21"/>
          <w:highlight w:val="none"/>
        </w:rPr>
      </w:pPr>
      <w:r>
        <w:rPr>
          <w:color w:val="000000"/>
          <w:szCs w:val="21"/>
          <w:highlight w:val="none"/>
        </w:rPr>
        <w:t xml:space="preserve">日期：    年  月  日</w:t>
      </w:r>
      <w:r>
        <w:rPr>
          <w:color w:val="000000"/>
          <w:szCs w:val="21"/>
          <w:highlight w:val="none"/>
        </w:rPr>
      </w:r>
      <w:r/>
    </w:p>
    <w:p>
      <w:pPr>
        <w:pStyle w:val="864"/>
        <w:jc w:val="left"/>
        <w:spacing w:line="360" w:lineRule="exact"/>
        <w:rPr>
          <w:b/>
          <w:bCs/>
          <w:color w:val="000000"/>
          <w:szCs w:val="21"/>
          <w:highlight w:val="none"/>
        </w:rPr>
      </w:pPr>
      <w:r>
        <w:rPr>
          <w:b/>
          <w:bCs/>
          <w:color w:val="000000"/>
          <w:szCs w:val="21"/>
          <w:highlight w:val="none"/>
        </w:rPr>
        <w:br w:type="page" w:clear="all"/>
      </w:r>
      <w:r>
        <w:rPr>
          <w:b/>
          <w:bCs/>
          <w:color w:val="000000"/>
          <w:szCs w:val="21"/>
          <w:highlight w:val="none"/>
        </w:rPr>
        <w:t xml:space="preserve">附件</w:t>
      </w:r>
      <w:r>
        <w:rPr>
          <w:b/>
          <w:bCs/>
          <w:color w:val="000000"/>
          <w:szCs w:val="21"/>
          <w:highlight w:val="none"/>
        </w:rPr>
      </w:r>
      <w:r/>
    </w:p>
    <w:p>
      <w:pPr>
        <w:pStyle w:val="864"/>
        <w:jc w:val="left"/>
        <w:spacing w:before="100" w:beforeAutospacing="1" w:after="100" w:afterAutospacing="1" w:line="360" w:lineRule="auto"/>
        <w:widowControl/>
        <w:rPr>
          <w:b/>
          <w:bCs/>
          <w:color w:val="000000"/>
          <w:szCs w:val="21"/>
          <w:highlight w:val="none"/>
        </w:rPr>
      </w:pPr>
      <w:r>
        <w:rPr>
          <w:b/>
          <w:bCs/>
          <w:color w:val="000000"/>
          <w:szCs w:val="21"/>
          <w:highlight w:val="none"/>
        </w:rPr>
        <w:t xml:space="preserve">关于印发中小企业划型标准规定的通知</w:t>
      </w:r>
      <w:r>
        <w:rPr>
          <w:color w:val="000000"/>
          <w:szCs w:val="21"/>
          <w:highlight w:val="none"/>
        </w:rPr>
        <w:br w:type="textWrapping" w:clear="all"/>
      </w:r>
      <w:r>
        <w:rPr>
          <w:b/>
          <w:bCs/>
          <w:color w:val="000000"/>
          <w:szCs w:val="21"/>
          <w:highlight w:val="none"/>
        </w:rPr>
        <w:t xml:space="preserve">工信部联企业〔2011〕300号</w:t>
      </w:r>
      <w:r>
        <w:rPr>
          <w:b/>
          <w:bCs/>
          <w:color w:val="000000"/>
          <w:szCs w:val="21"/>
          <w:highlight w:val="none"/>
        </w:rPr>
      </w:r>
      <w:r/>
    </w:p>
    <w:p>
      <w:pPr>
        <w:pStyle w:val="864"/>
        <w:jc w:val="left"/>
        <w:spacing w:before="100" w:beforeAutospacing="1" w:after="100" w:afterAutospacing="1" w:line="360" w:lineRule="auto"/>
        <w:widowControl/>
        <w:rPr>
          <w:color w:val="000000"/>
          <w:szCs w:val="21"/>
          <w:highlight w:val="none"/>
        </w:rPr>
      </w:pPr>
      <w:r>
        <w:rPr>
          <w:color w:val="000000"/>
          <w:szCs w:val="21"/>
          <w:highlight w:val="none"/>
        </w:rPr>
        <w:t xml:space="preserve">各省、自治区、直辖市人民政府，国务院各部委、各直属机构及有关单位：</w:t>
      </w:r>
      <w:r>
        <w:rPr>
          <w:color w:val="000000"/>
          <w:szCs w:val="21"/>
          <w:highlight w:val="none"/>
        </w:rPr>
        <w:br w:type="textWrapping" w:clear="all"/>
      </w:r>
      <w:r>
        <w:rPr>
          <w:color w:val="000000"/>
          <w:szCs w:val="21"/>
          <w:highlight w:val="none"/>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color w:val="000000"/>
          <w:szCs w:val="21"/>
          <w:highlight w:val="none"/>
        </w:rPr>
        <w:br w:type="textWrapping" w:clear="all"/>
      </w:r>
      <w:r>
        <w:rPr>
          <w:color w:val="000000"/>
          <w:szCs w:val="21"/>
          <w:highlight w:val="none"/>
        </w:rPr>
        <w:t xml:space="preserve">　　　　　　　　　　　　　　　　　　　　　　 工业和信息化部　国家统计局</w:t>
      </w:r>
      <w:r>
        <w:rPr>
          <w:color w:val="000000"/>
          <w:szCs w:val="21"/>
          <w:highlight w:val="none"/>
        </w:rPr>
        <w:br w:type="textWrapping" w:clear="all"/>
      </w:r>
      <w:r>
        <w:rPr>
          <w:color w:val="000000"/>
          <w:szCs w:val="21"/>
          <w:highlight w:val="none"/>
        </w:rPr>
        <w:t xml:space="preserve">　　　　　　　　　　　　　　　　　　　　　　国家发展和改革委员会　财政部</w:t>
      </w:r>
      <w:r>
        <w:rPr>
          <w:color w:val="000000"/>
          <w:szCs w:val="21"/>
          <w:highlight w:val="none"/>
        </w:rPr>
        <w:br w:type="textWrapping" w:clear="all"/>
      </w:r>
      <w:r>
        <w:rPr>
          <w:color w:val="000000"/>
          <w:szCs w:val="21"/>
          <w:highlight w:val="none"/>
        </w:rPr>
        <w:t xml:space="preserve">　　　　　　　　　　　　　　　　　　　　　　　　二○一一年六月十八日</w:t>
      </w:r>
      <w:r>
        <w:rPr>
          <w:color w:val="000000"/>
          <w:szCs w:val="21"/>
          <w:highlight w:val="none"/>
        </w:rPr>
      </w:r>
      <w:r/>
    </w:p>
    <w:p>
      <w:pPr>
        <w:pStyle w:val="864"/>
        <w:jc w:val="left"/>
        <w:spacing w:before="100" w:beforeAutospacing="1" w:after="100" w:afterAutospacing="1" w:line="360" w:lineRule="auto"/>
        <w:widowControl/>
        <w:rPr>
          <w:color w:val="000000"/>
          <w:szCs w:val="21"/>
          <w:highlight w:val="none"/>
        </w:rPr>
      </w:pPr>
      <w:r>
        <w:rPr>
          <w:b/>
          <w:bCs/>
          <w:color w:val="000000"/>
          <w:szCs w:val="21"/>
          <w:highlight w:val="none"/>
        </w:rPr>
        <w:t xml:space="preserve">中小企业划型标准规定</w:t>
      </w:r>
      <w:r>
        <w:rPr>
          <w:color w:val="000000"/>
          <w:szCs w:val="21"/>
          <w:highlight w:val="none"/>
        </w:rPr>
      </w:r>
      <w:r/>
    </w:p>
    <w:p>
      <w:pPr>
        <w:pStyle w:val="864"/>
        <w:jc w:val="left"/>
        <w:rPr>
          <w:color w:val="000000"/>
          <w:szCs w:val="21"/>
          <w:highlight w:val="none"/>
        </w:rPr>
      </w:pPr>
      <w:r>
        <w:rPr>
          <w:color w:val="000000"/>
          <w:szCs w:val="21"/>
          <w:highlight w:val="none"/>
        </w:rPr>
        <w:t xml:space="preserve">　　一、根据《中华人民共和国中小企业促进法》和《国务院关于进一步促进中小企业发展的若干意见》(国发〔2009〕36号)，制定本规定。</w:t>
      </w:r>
      <w:r>
        <w:rPr>
          <w:color w:val="000000"/>
          <w:szCs w:val="21"/>
          <w:highlight w:val="none"/>
        </w:rPr>
        <w:br w:type="textWrapping" w:clear="all"/>
      </w:r>
      <w:r>
        <w:rPr>
          <w:color w:val="000000"/>
          <w:szCs w:val="21"/>
          <w:highlight w:val="none"/>
        </w:rPr>
        <w:t xml:space="preserve">　　二、中小企业划分为中型、小型、微型三种类型，具体标准根据企业从业人员、营业收入、资产总额等指标，结合行业特点制定。</w:t>
      </w:r>
      <w:r>
        <w:rPr>
          <w:color w:val="000000"/>
          <w:szCs w:val="21"/>
          <w:highlight w:val="none"/>
        </w:rPr>
        <w:br w:type="textWrapping" w:clear="all"/>
      </w:r>
      <w:r>
        <w:rPr>
          <w:color w:val="000000"/>
          <w:szCs w:val="21"/>
          <w:highlight w:val="none"/>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color w:val="000000"/>
          <w:szCs w:val="21"/>
          <w:highlight w:val="none"/>
        </w:rPr>
        <w:br w:type="textWrapping" w:clear="all"/>
      </w:r>
      <w:r>
        <w:rPr>
          <w:color w:val="000000"/>
          <w:szCs w:val="21"/>
          <w:highlight w:val="none"/>
        </w:rPr>
        <w:t xml:space="preserve">　　四、各行业划型标准为：</w:t>
      </w:r>
      <w:r>
        <w:rPr>
          <w:color w:val="000000"/>
          <w:szCs w:val="21"/>
          <w:highlight w:val="none"/>
        </w:rPr>
        <w:br w:type="textWrapping" w:clear="all"/>
      </w:r>
      <w:r>
        <w:rPr>
          <w:color w:val="000000"/>
          <w:szCs w:val="21"/>
          <w:highlight w:val="none"/>
        </w:rPr>
        <w:t xml:space="preserve">　　（一）农、林、牧、渔业。营业收入20000万元以下的为中小微型企业。其中，营业收入500万元及以上的为中型企业，营业收入50万元及以上的为小型企业，营业收入50万元以下的为微型企业。</w:t>
      </w:r>
      <w:r>
        <w:rPr>
          <w:color w:val="000000"/>
          <w:szCs w:val="21"/>
          <w:highlight w:val="none"/>
        </w:rPr>
        <w:br w:type="textWrapping" w:clear="all"/>
      </w:r>
      <w:r>
        <w:rPr>
          <w:color w:val="000000"/>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szCs w:val="21"/>
          <w:highlight w:val="none"/>
        </w:rPr>
        <w:br w:type="textWrapping" w:clear="all"/>
      </w:r>
      <w:r>
        <w:rPr>
          <w:color w:val="000000"/>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szCs w:val="21"/>
          <w:highlight w:val="none"/>
        </w:rPr>
        <w:br w:type="textWrapping" w:clear="all"/>
      </w:r>
      <w:r>
        <w:rPr>
          <w:color w:val="000000"/>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szCs w:val="21"/>
          <w:highlight w:val="none"/>
        </w:rPr>
        <w:br w:type="textWrapping" w:clear="all"/>
      </w:r>
      <w:r>
        <w:rPr>
          <w:color w:val="000000"/>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szCs w:val="21"/>
          <w:highlight w:val="none"/>
        </w:rPr>
        <w:br w:type="textWrapping" w:clear="all"/>
      </w:r>
      <w:r>
        <w:rPr>
          <w:color w:val="000000"/>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szCs w:val="21"/>
          <w:highlight w:val="none"/>
        </w:rPr>
        <w:br w:type="textWrapping" w:clear="all"/>
      </w:r>
      <w:r>
        <w:rPr>
          <w:color w:val="000000"/>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szCs w:val="21"/>
          <w:highlight w:val="none"/>
        </w:rPr>
        <w:br w:type="textWrapping" w:clear="all"/>
      </w:r>
      <w:r>
        <w:rPr>
          <w:color w:val="000000"/>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szCs w:val="21"/>
          <w:highlight w:val="none"/>
        </w:rPr>
        <w:br w:type="textWrapping" w:clear="all"/>
      </w:r>
      <w:r>
        <w:rPr>
          <w:color w:val="000000"/>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szCs w:val="21"/>
          <w:highlight w:val="none"/>
        </w:rPr>
        <w:br w:type="textWrapping" w:clear="all"/>
      </w:r>
      <w:r>
        <w:rPr>
          <w:color w:val="000000"/>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szCs w:val="21"/>
          <w:highlight w:val="none"/>
        </w:rPr>
        <w:br w:type="textWrapping" w:clear="all"/>
      </w:r>
      <w:r>
        <w:rPr>
          <w:color w:val="000000"/>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szCs w:val="21"/>
          <w:highlight w:val="none"/>
        </w:rPr>
        <w:br w:type="textWrapping" w:clear="all"/>
      </w:r>
      <w:r>
        <w:rPr>
          <w:color w:val="000000"/>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szCs w:val="21"/>
          <w:highlight w:val="none"/>
        </w:rPr>
        <w:br w:type="textWrapping" w:clear="all"/>
      </w:r>
      <w:r>
        <w:rPr>
          <w:color w:val="000000"/>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szCs w:val="21"/>
          <w:highlight w:val="none"/>
        </w:rPr>
        <w:br w:type="textWrapping" w:clear="all"/>
      </w:r>
      <w:r>
        <w:rPr>
          <w:color w:val="000000"/>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color w:val="000000"/>
          <w:szCs w:val="21"/>
          <w:highlight w:val="none"/>
        </w:rPr>
        <w:br w:type="textWrapping" w:clear="all"/>
      </w:r>
      <w:r>
        <w:rPr>
          <w:color w:val="000000"/>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szCs w:val="21"/>
          <w:highlight w:val="none"/>
        </w:rPr>
        <w:br w:type="textWrapping" w:clear="all"/>
      </w:r>
      <w:r>
        <w:rPr>
          <w:color w:val="000000"/>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rPr>
          <w:color w:val="000000"/>
          <w:szCs w:val="21"/>
          <w:highlight w:val="none"/>
        </w:rPr>
        <w:br w:type="textWrapping" w:clear="all"/>
      </w:r>
      <w:r>
        <w:rPr>
          <w:color w:val="000000"/>
          <w:szCs w:val="21"/>
          <w:highlight w:val="none"/>
        </w:rPr>
        <w:t xml:space="preserve">　　五、企业类型的划分以统计部门的统计数据为依据。</w:t>
      </w:r>
      <w:r>
        <w:rPr>
          <w:color w:val="000000"/>
          <w:szCs w:val="21"/>
          <w:highlight w:val="none"/>
        </w:rPr>
        <w:br w:type="textWrapping" w:clear="all"/>
      </w:r>
      <w:r>
        <w:rPr>
          <w:color w:val="000000"/>
          <w:szCs w:val="21"/>
          <w:highlight w:val="none"/>
        </w:rPr>
        <w:t xml:space="preserve">　　六、本规定适用于在中华人民共和国境内依法设立的各类所有制和各种组织形式的企业。个体工商户和本规定以外的行业，参照本规定进行划型。</w:t>
      </w:r>
      <w:r>
        <w:rPr>
          <w:color w:val="000000"/>
          <w:szCs w:val="21"/>
          <w:highlight w:val="none"/>
        </w:rPr>
        <w:br w:type="textWrapping" w:clear="all"/>
      </w:r>
      <w:r>
        <w:rPr>
          <w:color w:val="000000"/>
          <w:szCs w:val="21"/>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color w:val="000000"/>
          <w:szCs w:val="21"/>
          <w:highlight w:val="none"/>
        </w:rPr>
        <w:br w:type="textWrapping" w:clear="all"/>
      </w:r>
      <w:r>
        <w:rPr>
          <w:color w:val="000000"/>
          <w:szCs w:val="21"/>
          <w:highlight w:val="none"/>
        </w:rPr>
        <w:t xml:space="preserve">　　八、本规定由工业和信息化部、国家统计局会同有关部门根据《国民经济行业分类》修订情况和企业发展变化情况适时修订。</w:t>
      </w:r>
      <w:r>
        <w:rPr>
          <w:color w:val="000000"/>
          <w:szCs w:val="21"/>
          <w:highlight w:val="none"/>
        </w:rPr>
        <w:br w:type="textWrapping" w:clear="all"/>
      </w:r>
      <w:r>
        <w:rPr>
          <w:color w:val="000000"/>
          <w:szCs w:val="21"/>
          <w:highlight w:val="none"/>
        </w:rPr>
        <w:t xml:space="preserve">　　九、本规定由工业和信息化部、国家统计局会同有关部门负责解释。</w:t>
      </w:r>
      <w:r>
        <w:rPr>
          <w:color w:val="000000"/>
          <w:szCs w:val="21"/>
          <w:highlight w:val="none"/>
        </w:rPr>
        <w:br w:type="textWrapping" w:clear="all"/>
      </w:r>
      <w:r>
        <w:rPr>
          <w:color w:val="000000"/>
          <w:szCs w:val="21"/>
          <w:highlight w:val="none"/>
        </w:rPr>
        <w:t xml:space="preserve">　　十、本规定自发布之日起执行，原国家经贸委、原国家计委、财政部和国家统计局2003年颁布的《中小企业标准暂行规定》同时废止。</w:t>
      </w:r>
      <w:r>
        <w:rPr>
          <w:color w:val="000000"/>
          <w:szCs w:val="21"/>
          <w:highlight w:val="none"/>
        </w:rPr>
        <w:br w:type="page" w:clear="all"/>
      </w:r>
      <w:r>
        <w:rPr>
          <w:color w:val="000000"/>
          <w:szCs w:val="21"/>
          <w:highlight w:val="none"/>
        </w:rPr>
      </w:r>
      <w:r/>
    </w:p>
    <w:p>
      <w:pPr>
        <w:pStyle w:val="1054"/>
        <w:spacing w:before="0" w:after="0" w:line="360" w:lineRule="auto"/>
        <w:rPr>
          <w:color w:val="000000"/>
          <w:sz w:val="24"/>
          <w:szCs w:val="24"/>
          <w:highlight w:val="none"/>
        </w:rPr>
      </w:pPr>
      <w:r/>
      <w:bookmarkStart w:id="34" w:name="_Toc134091572"/>
      <w:r/>
      <w:bookmarkStart w:id="35" w:name="_Toc161752427"/>
      <w:r/>
      <w:bookmarkStart w:id="36" w:name="_Ref129774809"/>
      <w:r/>
      <w:bookmarkStart w:id="37" w:name="_Toc108612932"/>
      <w:r>
        <w:rPr>
          <w:rFonts w:hint="eastAsia" w:ascii="宋体"/>
          <w:color w:val="000000"/>
          <w:sz w:val="24"/>
          <w:szCs w:val="24"/>
          <w:highlight w:val="none"/>
        </w:rPr>
        <w:t xml:space="preserve">格式4、</w:t>
      </w:r>
      <w:r>
        <w:rPr>
          <w:color w:val="000000"/>
          <w:sz w:val="24"/>
          <w:szCs w:val="24"/>
          <w:highlight w:val="none"/>
        </w:rPr>
        <w:t xml:space="preserve">残疾人福利性单位声明函</w:t>
      </w:r>
      <w:bookmarkEnd w:id="34"/>
      <w:r/>
      <w:bookmarkEnd w:id="35"/>
      <w:r/>
      <w:bookmarkEnd w:id="36"/>
      <w:r/>
      <w:bookmarkEnd w:id="37"/>
      <w:r>
        <w:rPr>
          <w:color w:val="000000"/>
          <w:sz w:val="24"/>
          <w:szCs w:val="24"/>
          <w:highlight w:val="none"/>
        </w:rPr>
      </w:r>
      <w:r/>
    </w:p>
    <w:p>
      <w:pPr>
        <w:pStyle w:val="864"/>
        <w:rPr>
          <w:color w:val="000000"/>
          <w:highlight w:val="none"/>
        </w:rPr>
      </w:pPr>
      <w:r>
        <w:rPr>
          <w:color w:val="000000"/>
          <w:highlight w:val="none"/>
        </w:rPr>
      </w:r>
      <w:r/>
    </w:p>
    <w:p>
      <w:pPr>
        <w:pStyle w:val="1193"/>
        <w:ind w:firstLine="425"/>
        <w:jc w:val="center"/>
        <w:spacing w:line="360" w:lineRule="auto"/>
        <w:rPr>
          <w:rFonts w:hAnsi="宋体" w:eastAsia="宋体"/>
          <w:b/>
          <w:bCs/>
          <w:color w:val="000000"/>
          <w:sz w:val="21"/>
          <w:szCs w:val="21"/>
          <w:highlight w:val="none"/>
        </w:rPr>
      </w:pPr>
      <w:r>
        <w:rPr>
          <w:rFonts w:hAnsi="宋体" w:eastAsia="宋体"/>
          <w:b/>
          <w:bCs/>
          <w:color w:val="000000"/>
          <w:sz w:val="21"/>
          <w:szCs w:val="21"/>
          <w:highlight w:val="none"/>
        </w:rPr>
        <w:t xml:space="preserve">残疾人福利性单位声明函</w:t>
      </w:r>
      <w:r>
        <w:rPr>
          <w:rFonts w:hAnsi="宋体" w:eastAsia="宋体"/>
          <w:b/>
          <w:bCs/>
          <w:color w:val="000000"/>
          <w:sz w:val="21"/>
          <w:szCs w:val="21"/>
          <w:highlight w:val="none"/>
        </w:rPr>
      </w:r>
      <w:r/>
    </w:p>
    <w:p>
      <w:pPr>
        <w:pStyle w:val="1193"/>
        <w:ind w:firstLine="425"/>
        <w:jc w:val="center"/>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1193"/>
        <w:ind w:firstLine="425"/>
        <w:jc w:val="left"/>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宋体"/>
          <w:color w:val="000000"/>
          <w:sz w:val="21"/>
          <w:szCs w:val="21"/>
          <w:highlight w:val="none"/>
          <w:u w:val="single"/>
        </w:rPr>
        <w:t xml:space="preserve">苏州市昆山生态环境局</w:t>
      </w:r>
      <w:r>
        <w:rPr>
          <w:rFonts w:ascii="Times New Roman" w:hAnsi="Times New Roman" w:eastAsia="宋体"/>
          <w:color w:val="000000"/>
          <w:sz w:val="21"/>
          <w:szCs w:val="21"/>
          <w:highlight w:val="none"/>
        </w:rPr>
        <w:t xml:space="preserve">单位的</w:t>
      </w:r>
      <w:r>
        <w:rPr>
          <w:rFonts w:hint="eastAsia" w:ascii="Times New Roman" w:hAnsi="Times New Roman" w:eastAsia="宋体"/>
          <w:color w:val="000000"/>
          <w:sz w:val="21"/>
          <w:szCs w:val="21"/>
          <w:highlight w:val="none"/>
          <w:u w:val="single"/>
          <w:lang w:eastAsia="zh-CN"/>
        </w:rPr>
        <w:t xml:space="preserve">空气质量保障项目（2026）</w:t>
      </w:r>
      <w:r>
        <w:rPr>
          <w:rFonts w:ascii="Times New Roman" w:hAnsi="Times New Roman" w:eastAsia="宋体"/>
          <w:color w:val="000000"/>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ascii="Times New Roman" w:hAnsi="Times New Roman" w:eastAsia="宋体"/>
          <w:color w:val="000000"/>
          <w:sz w:val="21"/>
          <w:szCs w:val="21"/>
          <w:highlight w:val="none"/>
        </w:rPr>
      </w:r>
      <w:r/>
    </w:p>
    <w:p>
      <w:pPr>
        <w:pStyle w:val="1193"/>
        <w:ind w:firstLine="425"/>
        <w:jc w:val="left"/>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本单位对上述声明的真实性负责。如有虚假，将依法承担相应责任。</w:t>
      </w:r>
      <w:r>
        <w:rPr>
          <w:rFonts w:ascii="Times New Roman" w:hAnsi="Times New Roman" w:eastAsia="宋体"/>
          <w:color w:val="000000"/>
          <w:sz w:val="21"/>
          <w:szCs w:val="21"/>
          <w:highlight w:val="none"/>
        </w:rPr>
      </w:r>
      <w:r/>
    </w:p>
    <w:p>
      <w:pPr>
        <w:pStyle w:val="1193"/>
        <w:ind w:firstLine="425"/>
        <w:jc w:val="left"/>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1193"/>
        <w:ind w:firstLine="425"/>
        <w:jc w:val="right"/>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投标人：（单位盖章）</w:t>
      </w:r>
      <w:r>
        <w:rPr>
          <w:rFonts w:ascii="Times New Roman" w:hAnsi="Times New Roman" w:eastAsia="宋体"/>
          <w:color w:val="000000"/>
          <w:sz w:val="21"/>
          <w:szCs w:val="21"/>
          <w:highlight w:val="none"/>
        </w:rPr>
      </w:r>
      <w:r/>
    </w:p>
    <w:p>
      <w:pPr>
        <w:pStyle w:val="1193"/>
        <w:ind w:firstLine="425"/>
        <w:jc w:val="right"/>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日期：    年  月  日</w:t>
      </w:r>
      <w:r>
        <w:rPr>
          <w:rFonts w:ascii="Times New Roman" w:hAnsi="Times New Roman" w:eastAsia="宋体"/>
          <w:color w:val="000000"/>
          <w:sz w:val="21"/>
          <w:szCs w:val="21"/>
          <w:highlight w:val="none"/>
        </w:rPr>
      </w:r>
      <w:r/>
    </w:p>
    <w:p>
      <w:pPr>
        <w:pStyle w:val="1066"/>
        <w:ind w:firstLine="0"/>
        <w:rPr>
          <w:rFonts w:ascii="宋体" w:hAnsi="宋体" w:eastAsia="宋体"/>
          <w:color w:val="000000"/>
          <w:szCs w:val="24"/>
          <w:highlight w:val="none"/>
        </w:rPr>
      </w:pPr>
      <w:r>
        <w:rPr>
          <w:rFonts w:ascii="宋体" w:hAnsi="宋体" w:eastAsia="宋体"/>
          <w:color w:val="000000"/>
          <w:szCs w:val="24"/>
          <w:highlight w:val="none"/>
        </w:rPr>
      </w:r>
      <w:r/>
    </w:p>
    <w:p>
      <w:pPr>
        <w:pStyle w:val="1226"/>
        <w:ind w:firstLine="4620"/>
        <w:spacing w:line="400" w:lineRule="exact"/>
        <w:rPr>
          <w:rFonts w:hAnsi="宋体" w:eastAsia="宋体"/>
          <w:color w:val="000000"/>
          <w:sz w:val="24"/>
          <w:szCs w:val="24"/>
          <w:highlight w:val="none"/>
        </w:rPr>
      </w:pPr>
      <w:r>
        <w:rPr>
          <w:rFonts w:hAnsi="宋体" w:eastAsia="宋体"/>
          <w:color w:val="000000"/>
          <w:sz w:val="24"/>
          <w:szCs w:val="24"/>
          <w:highlight w:val="none"/>
        </w:rPr>
      </w:r>
      <w:r/>
    </w:p>
    <w:p>
      <w:pPr>
        <w:pStyle w:val="1226"/>
        <w:ind w:firstLine="4620"/>
        <w:spacing w:line="400" w:lineRule="exact"/>
        <w:rPr>
          <w:rFonts w:hAnsi="宋体" w:eastAsia="宋体"/>
          <w:color w:val="000000"/>
          <w:sz w:val="24"/>
          <w:szCs w:val="24"/>
          <w:highlight w:val="none"/>
        </w:rPr>
      </w:pPr>
      <w:r>
        <w:rPr>
          <w:rFonts w:hAnsi="宋体" w:eastAsia="宋体"/>
          <w:color w:val="000000"/>
          <w:sz w:val="24"/>
          <w:szCs w:val="24"/>
          <w:highlight w:val="none"/>
        </w:rPr>
        <w:br w:type="page" w:clear="all"/>
      </w:r>
      <w:r>
        <w:rPr>
          <w:rFonts w:hAnsi="宋体" w:eastAsia="宋体"/>
          <w:color w:val="000000"/>
          <w:sz w:val="24"/>
          <w:szCs w:val="24"/>
          <w:highlight w:val="none"/>
        </w:rPr>
      </w:r>
      <w:r/>
    </w:p>
    <w:p>
      <w:pPr>
        <w:pStyle w:val="1054"/>
        <w:spacing w:before="0" w:after="0" w:line="360" w:lineRule="auto"/>
        <w:rPr>
          <w:rFonts w:hint="eastAsia" w:ascii="宋体"/>
          <w:color w:val="000000"/>
          <w:sz w:val="24"/>
          <w:szCs w:val="24"/>
          <w:highlight w:val="none"/>
        </w:rPr>
      </w:pPr>
      <w:r/>
      <w:bookmarkStart w:id="38" w:name="_Toc161752428"/>
      <w:r/>
      <w:bookmarkStart w:id="39" w:name="_Toc134091573"/>
      <w:r/>
      <w:bookmarkStart w:id="40" w:name="_Ref62217910"/>
      <w:r>
        <w:rPr>
          <w:rFonts w:hint="eastAsia" w:ascii="宋体"/>
          <w:color w:val="000000"/>
          <w:sz w:val="24"/>
          <w:szCs w:val="24"/>
          <w:highlight w:val="none"/>
          <w:lang w:val="zh-CN"/>
        </w:rPr>
        <w:t xml:space="preserve">格式</w:t>
      </w:r>
      <w:r>
        <w:rPr>
          <w:rFonts w:hint="eastAsia" w:ascii="宋体"/>
          <w:color w:val="000000"/>
          <w:sz w:val="24"/>
          <w:szCs w:val="24"/>
          <w:highlight w:val="none"/>
        </w:rPr>
        <w:t xml:space="preserve">5、开标一览表</w:t>
      </w:r>
      <w:bookmarkEnd w:id="38"/>
      <w:r/>
      <w:bookmarkEnd w:id="39"/>
      <w:r/>
      <w:bookmarkEnd w:id="40"/>
      <w:r>
        <w:rPr>
          <w:rFonts w:hint="eastAsia" w:ascii="宋体"/>
          <w:color w:val="000000"/>
          <w:sz w:val="24"/>
          <w:szCs w:val="24"/>
          <w:highlight w:val="none"/>
        </w:rPr>
      </w:r>
      <w:r/>
    </w:p>
    <w:p>
      <w:pPr>
        <w:pStyle w:val="1226"/>
        <w:spacing w:line="360" w:lineRule="auto"/>
        <w:rPr>
          <w:rFonts w:ascii="Times New Roman" w:hAnsi="Times New Roman" w:eastAsia="宋体"/>
          <w:b/>
          <w:color w:val="000000"/>
          <w:sz w:val="18"/>
          <w:szCs w:val="18"/>
          <w:highlight w:val="none"/>
        </w:rPr>
      </w:pPr>
      <w:r>
        <w:rPr>
          <w:rFonts w:ascii="Times New Roman" w:hAnsi="Times New Roman" w:eastAsia="宋体"/>
          <w:b/>
          <w:color w:val="000000"/>
          <w:sz w:val="18"/>
          <w:szCs w:val="18"/>
          <w:highlight w:val="none"/>
        </w:rPr>
      </w:r>
      <w:r/>
    </w:p>
    <w:p>
      <w:pPr>
        <w:pStyle w:val="1479"/>
        <w:jc w:val="center"/>
        <w:spacing w:after="240"/>
        <w:rPr>
          <w:rFonts w:ascii="Times New Roman" w:hAnsi="Times New Roman" w:eastAsia="宋体"/>
          <w:color w:val="000000"/>
          <w:sz w:val="21"/>
          <w:szCs w:val="16"/>
          <w:highlight w:val="none"/>
        </w:rPr>
      </w:pPr>
      <w:r/>
      <w:bookmarkStart w:id="41" w:name="gpcItem_price_Horizontal"/>
      <w:r>
        <w:rPr>
          <w:rFonts w:ascii="Times New Roman" w:hAnsi="Times New Roman" w:eastAsia="宋体"/>
          <w:color w:val="000000"/>
          <w:sz w:val="21"/>
          <w:szCs w:val="16"/>
          <w:highlight w:val="none"/>
        </w:rPr>
        <w:t xml:space="preserve">开标一览表</w:t>
      </w:r>
      <w:r>
        <w:rPr>
          <w:rFonts w:ascii="Times New Roman" w:hAnsi="Times New Roman" w:eastAsia="宋体"/>
          <w:color w:val="000000"/>
          <w:sz w:val="21"/>
          <w:szCs w:val="16"/>
          <w:highlight w:val="none"/>
        </w:rPr>
      </w:r>
      <w:r/>
    </w:p>
    <w:p>
      <w:pPr>
        <w:pStyle w:val="1125"/>
        <w:rPr>
          <w:rFonts w:ascii="Times New Roman" w:hAnsi="Times New Roman" w:cs="Times New Roman"/>
          <w:color w:val="000000"/>
          <w:sz w:val="21"/>
          <w:szCs w:val="21"/>
          <w:highlight w:val="none"/>
        </w:rPr>
      </w:pPr>
      <w:r/>
      <w:bookmarkEnd w:id="41"/>
      <w:r>
        <w:rPr>
          <w:rFonts w:ascii="Times New Roman" w:hAnsi="Times New Roman" w:cs="Times New Roman"/>
          <w:color w:val="000000"/>
          <w:sz w:val="21"/>
          <w:szCs w:val="21"/>
          <w:highlight w:val="none"/>
        </w:rPr>
        <w:t xml:space="preserve">投标人全称（加盖公章）：</w:t>
      </w:r>
      <w:r>
        <w:rPr>
          <w:rFonts w:ascii="Times New Roman" w:hAnsi="Times New Roman" w:cs="Times New Roman"/>
          <w:color w:val="000000"/>
          <w:sz w:val="21"/>
          <w:szCs w:val="21"/>
          <w:highlight w:val="none"/>
        </w:rPr>
      </w:r>
      <w:r/>
    </w:p>
    <w:p>
      <w:pPr>
        <w:pStyle w:val="1125"/>
        <w:rPr>
          <w:rFonts w:hint="eastAsia" w:ascii="Times New Roman" w:hAnsi="Times New Roman" w:eastAsia="宋体" w:cs="Times New Roman"/>
          <w:color w:val="000000"/>
          <w:sz w:val="21"/>
          <w:szCs w:val="21"/>
          <w:highlight w:val="none"/>
          <w:lang w:eastAsia="zh-CN"/>
        </w:rPr>
      </w:pPr>
      <w:r>
        <w:rPr>
          <w:rFonts w:ascii="Times New Roman" w:hAnsi="Times New Roman" w:cs="Times New Roman"/>
          <w:color w:val="000000"/>
          <w:sz w:val="21"/>
          <w:szCs w:val="21"/>
          <w:highlight w:val="none"/>
        </w:rPr>
        <w:t xml:space="preserve">项目编号：</w:t>
      </w:r>
      <w:r>
        <w:rPr>
          <w:rFonts w:hint="eastAsia" w:ascii="Times New Roman" w:hAnsi="Times New Roman" w:cs="Times New Roman"/>
          <w:color w:val="000000"/>
          <w:sz w:val="21"/>
          <w:szCs w:val="21"/>
          <w:highlight w:val="none"/>
          <w:lang w:eastAsia="zh-CN"/>
        </w:rPr>
        <w:t xml:space="preserve">JSZC-320583-AFEJ-G2026-0004</w:t>
      </w:r>
      <w:r>
        <w:rPr>
          <w:rFonts w:hint="eastAsia" w:ascii="Times New Roman" w:hAnsi="Times New Roman" w:eastAsia="宋体" w:cs="Times New Roman"/>
          <w:color w:val="000000"/>
          <w:sz w:val="21"/>
          <w:szCs w:val="21"/>
          <w:highlight w:val="none"/>
          <w:lang w:eastAsia="zh-CN"/>
        </w:rPr>
      </w:r>
      <w:r/>
    </w:p>
    <w:p>
      <w:pPr>
        <w:pStyle w:val="1125"/>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分包号：</w:t>
      </w:r>
      <w:r>
        <w:rPr>
          <w:rFonts w:hint="eastAsia" w:ascii="Times New Roman" w:hAnsi="Times New Roman" w:cs="Times New Roman"/>
          <w:color w:val="000000"/>
          <w:sz w:val="21"/>
          <w:szCs w:val="21"/>
          <w:highlight w:val="none"/>
        </w:rPr>
        <w:t xml:space="preserve">采购包1</w:t>
      </w:r>
      <w:r>
        <w:rPr>
          <w:rFonts w:ascii="Times New Roman" w:hAnsi="Times New Roman" w:cs="Times New Roman"/>
          <w:color w:val="000000"/>
          <w:sz w:val="21"/>
          <w:szCs w:val="21"/>
          <w:highlight w:val="none"/>
        </w:rPr>
      </w:r>
      <w:r/>
    </w:p>
    <w:tbl>
      <w:tblPr>
        <w:tblW w:w="0" w:type="auto"/>
        <w:tblInd w:w="-4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4219"/>
        <w:gridCol w:w="5149"/>
      </w:tblGrid>
      <w:tr>
        <w:trPr>
          <w:trHeight w:val="818"/>
        </w:trPr>
        <w:tc>
          <w:tcPr>
            <w:tcW w:w="4219" w:type="dxa"/>
            <w:vAlign w:val="center"/>
            <w:textDirection w:val="lrTb"/>
            <w:noWrap w:val="false"/>
          </w:tcPr>
          <w:p>
            <w:pPr>
              <w:pStyle w:val="864"/>
              <w:jc w:val="left"/>
              <w:widowControl/>
              <w:rPr>
                <w:color w:val="000000"/>
                <w:szCs w:val="21"/>
                <w:highlight w:val="none"/>
              </w:rPr>
            </w:pPr>
            <w:r>
              <w:rPr>
                <w:color w:val="000000"/>
                <w:szCs w:val="21"/>
                <w:highlight w:val="none"/>
                <w:lang w:bidi="ar"/>
              </w:rPr>
              <w:t xml:space="preserve">项目名称</w:t>
            </w:r>
            <w:r>
              <w:rPr>
                <w:color w:val="000000"/>
                <w:szCs w:val="21"/>
                <w:highlight w:val="none"/>
              </w:rPr>
            </w:r>
            <w:r/>
          </w:p>
        </w:tc>
        <w:tc>
          <w:tcPr>
            <w:tcW w:w="5149" w:type="dxa"/>
            <w:vAlign w:val="center"/>
            <w:textDirection w:val="lrTb"/>
            <w:noWrap w:val="false"/>
          </w:tcPr>
          <w:p>
            <w:pPr>
              <w:pStyle w:val="864"/>
              <w:jc w:val="left"/>
              <w:widowControl/>
              <w:rPr>
                <w:color w:val="000000"/>
                <w:szCs w:val="21"/>
                <w:highlight w:val="none"/>
              </w:rPr>
            </w:pPr>
            <w:r>
              <w:rPr>
                <w:color w:val="000000"/>
                <w:szCs w:val="21"/>
                <w:highlight w:val="none"/>
                <w:lang w:bidi="ar"/>
              </w:rPr>
              <w:t xml:space="preserve">投标总报价</w:t>
            </w:r>
            <w:r>
              <w:rPr>
                <w:color w:val="000000"/>
                <w:szCs w:val="21"/>
                <w:highlight w:val="none"/>
              </w:rPr>
            </w:r>
            <w:r/>
          </w:p>
        </w:tc>
      </w:tr>
      <w:tr>
        <w:trPr>
          <w:trHeight w:val="818"/>
        </w:trPr>
        <w:tc>
          <w:tcPr>
            <w:tcW w:w="4219" w:type="dxa"/>
            <w:vAlign w:val="center"/>
            <w:textDirection w:val="lrTb"/>
            <w:noWrap w:val="false"/>
          </w:tcPr>
          <w:p>
            <w:pPr>
              <w:pStyle w:val="864"/>
              <w:rPr>
                <w:color w:val="000000"/>
                <w:szCs w:val="21"/>
                <w:highlight w:val="none"/>
              </w:rPr>
            </w:pPr>
            <w:r>
              <w:rPr>
                <w:rFonts w:hint="eastAsia"/>
                <w:color w:val="000000"/>
                <w:szCs w:val="21"/>
                <w:highlight w:val="none"/>
                <w:lang w:val="zh-CN"/>
              </w:rPr>
              <w:t xml:space="preserve">空气质量保障项目（2026）</w:t>
            </w:r>
            <w:r>
              <w:rPr>
                <w:color w:val="000000"/>
                <w:szCs w:val="21"/>
                <w:highlight w:val="none"/>
              </w:rPr>
            </w:r>
            <w:r/>
          </w:p>
        </w:tc>
        <w:tc>
          <w:tcPr>
            <w:tcW w:w="5149" w:type="dxa"/>
            <w:vAlign w:val="center"/>
            <w:textDirection w:val="lrTb"/>
            <w:noWrap w:val="false"/>
          </w:tcPr>
          <w:p>
            <w:pPr>
              <w:pStyle w:val="864"/>
              <w:jc w:val="left"/>
              <w:widowControl/>
              <w:rPr>
                <w:color w:val="000000"/>
                <w:szCs w:val="21"/>
                <w:highlight w:val="none"/>
              </w:rPr>
            </w:pPr>
            <w:r>
              <w:rPr>
                <w:color w:val="000000"/>
                <w:szCs w:val="21"/>
                <w:highlight w:val="none"/>
                <w:lang w:bidi="ar"/>
              </w:rPr>
              <w:t xml:space="preserve">小写：</w:t>
            </w:r>
            <w:r>
              <w:rPr>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0</wp:posOffset>
                      </wp:positionH>
                      <wp:positionV relativeFrom="paragraph">
                        <wp:posOffset>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2" o:spid="_x0000_s2" style="position:absolute;z-index:524288;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100000"/>
                    </v:shape>
                  </w:pict>
                </mc:Fallback>
              </mc:AlternateContent>
            </w:r>
            <w:r>
              <w:rPr>
                <w:color w:val="000000"/>
                <w:szCs w:val="21"/>
                <w:highlight w:val="none"/>
                <w:lang w:bidi="ar"/>
              </w:rPr>
              <w:t xml:space="preserve"> （元人民币）</w:t>
            </w:r>
            <w:r>
              <w:rPr>
                <w:color w:val="000000"/>
                <w:szCs w:val="21"/>
                <w:highlight w:val="none"/>
              </w:rPr>
            </w:r>
            <w:r/>
          </w:p>
        </w:tc>
      </w:tr>
      <w:tr>
        <w:trPr>
          <w:trHeight w:val="818"/>
        </w:trPr>
        <w:tc>
          <w:tcPr>
            <w:tcW w:w="4219" w:type="dxa"/>
            <w:vAlign w:val="center"/>
            <w:textDirection w:val="lrTb"/>
            <w:noWrap w:val="false"/>
          </w:tcPr>
          <w:p>
            <w:pPr>
              <w:pStyle w:val="864"/>
              <w:jc w:val="left"/>
              <w:widowControl/>
              <w:rPr>
                <w:color w:val="000000"/>
                <w:szCs w:val="21"/>
                <w:highlight w:val="none"/>
              </w:rPr>
            </w:pPr>
            <w:r>
              <w:rPr>
                <w:color w:val="000000"/>
                <w:szCs w:val="21"/>
                <w:highlight w:val="none"/>
                <w:lang w:bidi="ar"/>
              </w:rPr>
              <w:t xml:space="preserve">投标报价大写金额</w:t>
            </w:r>
            <w:r>
              <w:rPr>
                <w:color w:val="000000"/>
                <w:szCs w:val="21"/>
                <w:highlight w:val="none"/>
              </w:rPr>
            </w:r>
            <w:r/>
          </w:p>
        </w:tc>
        <w:tc>
          <w:tcPr>
            <w:tcW w:w="5149" w:type="dxa"/>
            <w:vAlign w:val="center"/>
            <w:textDirection w:val="lrTb"/>
            <w:noWrap w:val="false"/>
          </w:tcPr>
          <w:p>
            <w:pPr>
              <w:pStyle w:val="864"/>
              <w:jc w:val="left"/>
              <w:widowControl/>
              <w:rPr>
                <w:color w:val="000000"/>
                <w:szCs w:val="21"/>
                <w:highlight w:val="none"/>
              </w:rPr>
            </w:pPr>
            <w:r>
              <w:rPr>
                <w:color w:val="000000"/>
                <w:szCs w:val="21"/>
                <w:highlight w:val="none"/>
                <w:lang w:bidi="ar"/>
              </w:rPr>
              <w:t xml:space="preserve">金额大写 </w:t>
            </w:r>
            <w:r>
              <w:rPr>
                <w:color w:val="000000"/>
                <w:szCs w:val="21"/>
                <w:highlight w:val="none"/>
              </w:rPr>
            </w:r>
            <w:r/>
          </w:p>
        </w:tc>
      </w:tr>
    </w:tbl>
    <w:p>
      <w:pPr>
        <w:pStyle w:val="1125"/>
        <w:jc w:val="righ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日期：</w:t>
      </w:r>
      <w:r>
        <w:rPr>
          <w:rFonts w:ascii="Times New Roman" w:hAnsi="Times New Roman" w:cs="Times New Roman"/>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0</wp:posOffset>
                </wp:positionH>
                <wp:positionV relativeFrom="paragraph">
                  <wp:posOffset>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3" o:spid="_x0000_s3" style="position:absolute;z-index:251658241;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100000"/>
              </v:shape>
            </w:pict>
          </mc:Fallback>
        </mc:AlternateContent>
      </w:r>
      <w:r>
        <w:rPr>
          <w:rFonts w:hint="eastAsia" w:ascii="Times New Roman" w:hAnsi="Times New Roman" w:cs="Times New Roman"/>
          <w:color w:val="000000"/>
          <w:sz w:val="21"/>
          <w:szCs w:val="21"/>
          <w:highlight w:val="none"/>
        </w:rPr>
        <w:t xml:space="preserve">   </w:t>
      </w:r>
      <w:r>
        <w:rPr>
          <w:rFonts w:ascii="Times New Roman" w:hAnsi="Times New Roman" w:cs="Times New Roman"/>
          <w:color w:val="000000"/>
          <w:sz w:val="21"/>
          <w:szCs w:val="21"/>
          <w:highlight w:val="none"/>
        </w:rPr>
        <w:t xml:space="preserve"> 年 </w:t>
      </w:r>
      <w:r>
        <w:rPr>
          <w:rFonts w:ascii="Times New Roman" w:hAnsi="Times New Roman" w:cs="Times New Roman"/>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0</wp:posOffset>
                </wp:positionH>
                <wp:positionV relativeFrom="paragraph">
                  <wp:posOffset>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4" o:spid="_x0000_s4" style="position:absolute;z-index:25165824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100000"/>
              </v:shape>
            </w:pict>
          </mc:Fallback>
        </mc:AlternateContent>
      </w:r>
      <w:r>
        <w:rPr>
          <w:rFonts w:hint="eastAsia" w:ascii="Times New Roman" w:hAnsi="Times New Roman" w:cs="Times New Roman"/>
          <w:color w:val="000000"/>
          <w:sz w:val="21"/>
          <w:szCs w:val="21"/>
          <w:highlight w:val="none"/>
        </w:rPr>
        <w:t xml:space="preserve"> </w:t>
      </w:r>
      <w:r>
        <w:rPr>
          <w:rFonts w:ascii="Times New Roman" w:hAnsi="Times New Roman" w:cs="Times New Roman"/>
          <w:color w:val="000000"/>
          <w:sz w:val="21"/>
          <w:szCs w:val="21"/>
          <w:highlight w:val="none"/>
        </w:rPr>
        <w:t xml:space="preserve">月 </w:t>
      </w:r>
      <w:r>
        <w:rPr>
          <w:rFonts w:ascii="Times New Roman" w:hAnsi="Times New Roman" w:cs="Times New Roman"/>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0</wp:posOffset>
                </wp:positionH>
                <wp:positionV relativeFrom="paragraph">
                  <wp:posOffset>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5" o:spid="_x0000_s5" style="position:absolute;z-index:251658243;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100000"/>
              </v:shape>
            </w:pict>
          </mc:Fallback>
        </mc:AlternateContent>
      </w:r>
      <w:r>
        <w:rPr>
          <w:rFonts w:ascii="Times New Roman" w:hAnsi="Times New Roman" w:cs="Times New Roman"/>
          <w:color w:val="000000"/>
          <w:sz w:val="21"/>
          <w:szCs w:val="21"/>
          <w:highlight w:val="none"/>
        </w:rPr>
        <w:t xml:space="preserve"> 日</w:t>
      </w:r>
      <w:r>
        <w:rPr>
          <w:rFonts w:ascii="Times New Roman" w:hAnsi="Times New Roman" w:cs="Times New Roman"/>
          <w:color w:val="000000"/>
          <w:sz w:val="21"/>
          <w:szCs w:val="21"/>
          <w:highlight w:val="none"/>
        </w:rPr>
      </w:r>
      <w:r/>
    </w:p>
    <w:p>
      <w:pPr>
        <w:pStyle w:val="1226"/>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填写说明：</w:t>
      </w:r>
      <w:r>
        <w:rPr>
          <w:rFonts w:ascii="Times New Roman" w:hAnsi="Times New Roman" w:eastAsia="宋体"/>
          <w:color w:val="000000"/>
          <w:sz w:val="21"/>
          <w:szCs w:val="21"/>
          <w:highlight w:val="none"/>
        </w:rPr>
      </w:r>
      <w:r/>
    </w:p>
    <w:p>
      <w:pPr>
        <w:pStyle w:val="1226"/>
        <w:spacing w:line="360" w:lineRule="auto"/>
        <w:rPr>
          <w:rFonts w:ascii="Times New Roman" w:hAnsi="Times New Roman" w:eastAsia="宋体"/>
          <w:b/>
          <w:bCs/>
          <w:color w:val="000000"/>
          <w:sz w:val="21"/>
          <w:szCs w:val="21"/>
          <w:highlight w:val="none"/>
        </w:rPr>
      </w:pPr>
      <w:r>
        <w:rPr>
          <w:rFonts w:ascii="Times New Roman" w:hAnsi="Times New Roman" w:eastAsia="宋体"/>
          <w:b/>
          <w:bCs/>
          <w:color w:val="000000"/>
          <w:sz w:val="21"/>
          <w:szCs w:val="21"/>
          <w:highlight w:val="none"/>
        </w:rPr>
        <w:t xml:space="preserve">1、开标一览表必须加盖投标人公章（复印件无效）。</w:t>
      </w:r>
      <w:r>
        <w:rPr>
          <w:rFonts w:ascii="Times New Roman" w:hAnsi="Times New Roman" w:eastAsia="宋体"/>
          <w:b/>
          <w:bCs/>
          <w:color w:val="000000"/>
          <w:sz w:val="21"/>
          <w:szCs w:val="21"/>
          <w:highlight w:val="none"/>
        </w:rPr>
      </w:r>
      <w:r/>
    </w:p>
    <w:p>
      <w:pPr>
        <w:pStyle w:val="1226"/>
        <w:spacing w:line="360" w:lineRule="auto"/>
        <w:rPr>
          <w:rFonts w:ascii="Times New Roman" w:hAnsi="Times New Roman" w:eastAsia="宋体"/>
          <w:b/>
          <w:bCs/>
          <w:color w:val="000000"/>
          <w:sz w:val="21"/>
          <w:szCs w:val="21"/>
          <w:highlight w:val="none"/>
        </w:rPr>
      </w:pPr>
      <w:r>
        <w:rPr>
          <w:rFonts w:ascii="Times New Roman" w:hAnsi="Times New Roman" w:eastAsia="宋体"/>
          <w:b/>
          <w:bCs/>
          <w:color w:val="000000"/>
          <w:sz w:val="21"/>
          <w:szCs w:val="21"/>
          <w:highlight w:val="none"/>
        </w:rPr>
        <w:t xml:space="preserve">2、如有分包，投标人投任何一个包的标的，都需单独填写开标一览表。</w:t>
      </w:r>
      <w:r>
        <w:rPr>
          <w:rFonts w:ascii="Times New Roman" w:hAnsi="Times New Roman" w:eastAsia="宋体"/>
          <w:b/>
          <w:bCs/>
          <w:color w:val="000000"/>
          <w:sz w:val="21"/>
          <w:szCs w:val="21"/>
          <w:highlight w:val="none"/>
        </w:rPr>
      </w:r>
      <w:r/>
    </w:p>
    <w:p>
      <w:pPr>
        <w:pStyle w:val="1054"/>
        <w:spacing w:before="0" w:after="0" w:line="360" w:lineRule="auto"/>
        <w:rPr>
          <w:rFonts w:ascii="宋体"/>
          <w:color w:val="000000"/>
          <w:sz w:val="24"/>
          <w:szCs w:val="24"/>
          <w:highlight w:val="none"/>
          <w:lang w:val="zh-CN"/>
        </w:rPr>
      </w:pPr>
      <w:r>
        <w:rPr>
          <w:color w:val="000000"/>
          <w:highlight w:val="none"/>
        </w:rPr>
        <w:br w:type="page" w:clear="all"/>
      </w:r>
      <w:bookmarkStart w:id="42" w:name="_Ref416435053"/>
      <w:r/>
      <w:bookmarkStart w:id="43" w:name="_Ref445902474"/>
      <w:r/>
      <w:bookmarkStart w:id="44" w:name="_Ref504661243"/>
      <w:r/>
      <w:bookmarkStart w:id="45" w:name="_Toc161752429"/>
      <w:r/>
      <w:bookmarkStart w:id="46" w:name="_Ref62218800"/>
      <w:r/>
      <w:bookmarkStart w:id="47" w:name="_Toc134091574"/>
      <w:r>
        <w:rPr>
          <w:rFonts w:hint="eastAsia" w:ascii="宋体"/>
          <w:color w:val="000000"/>
          <w:sz w:val="24"/>
          <w:szCs w:val="24"/>
          <w:highlight w:val="none"/>
          <w:lang w:val="zh-CN"/>
        </w:rPr>
        <w:t xml:space="preserve">格式</w:t>
      </w:r>
      <w:r>
        <w:rPr>
          <w:rFonts w:hint="eastAsia" w:ascii="宋体"/>
          <w:color w:val="000000"/>
          <w:sz w:val="24"/>
          <w:szCs w:val="24"/>
          <w:highlight w:val="none"/>
        </w:rPr>
        <w:t xml:space="preserve">6</w:t>
      </w:r>
      <w:r>
        <w:rPr>
          <w:rFonts w:hint="eastAsia" w:ascii="宋体"/>
          <w:color w:val="000000"/>
          <w:sz w:val="24"/>
          <w:szCs w:val="24"/>
          <w:highlight w:val="none"/>
          <w:lang w:val="zh-CN"/>
        </w:rPr>
        <w:t xml:space="preserve">、</w:t>
      </w:r>
      <w:bookmarkEnd w:id="42"/>
      <w:r>
        <w:rPr>
          <w:rFonts w:hint="eastAsia" w:ascii="宋体"/>
          <w:color w:val="000000"/>
          <w:sz w:val="24"/>
          <w:szCs w:val="24"/>
          <w:highlight w:val="none"/>
          <w:lang w:val="zh-CN"/>
        </w:rPr>
        <w:t xml:space="preserve">报价明细</w:t>
      </w:r>
      <w:bookmarkEnd w:id="43"/>
      <w:r/>
      <w:bookmarkEnd w:id="44"/>
      <w:r>
        <w:rPr>
          <w:rFonts w:hint="eastAsia" w:ascii="宋体"/>
          <w:color w:val="000000"/>
          <w:sz w:val="24"/>
          <w:szCs w:val="24"/>
          <w:highlight w:val="none"/>
          <w:lang w:val="zh-CN"/>
        </w:rPr>
        <w:t xml:space="preserve">表</w:t>
      </w:r>
      <w:bookmarkEnd w:id="45"/>
      <w:r/>
      <w:bookmarkEnd w:id="46"/>
      <w:r/>
      <w:bookmarkEnd w:id="47"/>
      <w:r>
        <w:rPr>
          <w:rFonts w:ascii="宋体"/>
          <w:color w:val="000000"/>
          <w:sz w:val="24"/>
          <w:szCs w:val="24"/>
          <w:highlight w:val="none"/>
          <w:lang w:val="zh-CN"/>
        </w:rPr>
      </w:r>
      <w:r/>
    </w:p>
    <w:p>
      <w:pPr>
        <w:pStyle w:val="1479"/>
        <w:jc w:val="center"/>
        <w:spacing w:line="360" w:lineRule="auto"/>
        <w:rPr>
          <w:rFonts w:ascii="Times New Roman" w:hAnsi="Times New Roman" w:eastAsia="宋体"/>
          <w:color w:val="000000"/>
          <w:sz w:val="21"/>
          <w:szCs w:val="21"/>
          <w:highlight w:val="none"/>
        </w:rPr>
      </w:pPr>
      <w:r/>
      <w:bookmarkStart w:id="48" w:name="_Ref504661274"/>
      <w:r>
        <w:rPr>
          <w:rFonts w:hint="eastAsia" w:ascii="Times New Roman" w:hAnsi="Times New Roman" w:eastAsia="宋体"/>
          <w:color w:val="000000"/>
          <w:sz w:val="21"/>
          <w:szCs w:val="21"/>
          <w:highlight w:val="none"/>
          <w:u w:val="single"/>
          <w:lang w:eastAsia="zh-CN"/>
        </w:rPr>
        <w:t xml:space="preserve">空气质量保障项目（2026）</w:t>
      </w:r>
      <w:r>
        <w:rPr>
          <w:rFonts w:ascii="Times New Roman" w:hAnsi="Times New Roman" w:eastAsia="宋体"/>
          <w:color w:val="000000"/>
          <w:sz w:val="21"/>
          <w:szCs w:val="21"/>
          <w:highlight w:val="none"/>
        </w:rPr>
        <w:t xml:space="preserve">投标报价表</w:t>
      </w:r>
      <w:r>
        <w:rPr>
          <w:rFonts w:ascii="Times New Roman" w:hAnsi="Times New Roman" w:eastAsia="宋体"/>
          <w:color w:val="000000"/>
          <w:sz w:val="21"/>
          <w:szCs w:val="21"/>
          <w:highlight w:val="none"/>
        </w:rPr>
      </w:r>
      <w:r/>
    </w:p>
    <w:p>
      <w:pPr>
        <w:pStyle w:val="864"/>
        <w:spacing w:line="360" w:lineRule="auto"/>
        <w:rPr>
          <w:rFonts w:hint="eastAsia" w:eastAsia="宋体"/>
          <w:color w:val="000000"/>
          <w:szCs w:val="21"/>
          <w:highlight w:val="none"/>
          <w:lang w:eastAsia="zh-CN"/>
        </w:rPr>
      </w:pPr>
      <w:r>
        <w:rPr>
          <w:color w:val="000000"/>
          <w:szCs w:val="21"/>
          <w:highlight w:val="none"/>
        </w:rPr>
        <w:t xml:space="preserve">供应商名称：                                      招标编号： </w:t>
      </w:r>
      <w:r>
        <w:rPr>
          <w:rFonts w:hint="eastAsia"/>
          <w:color w:val="000000"/>
          <w:szCs w:val="21"/>
          <w:highlight w:val="none"/>
          <w:lang w:eastAsia="zh-CN"/>
        </w:rPr>
        <w:t xml:space="preserve">JSZC-320583-AFEJ-G2026-0004</w:t>
      </w:r>
      <w:r>
        <w:rPr>
          <w:rFonts w:hint="eastAsia" w:eastAsia="宋体"/>
          <w:color w:val="000000"/>
          <w:szCs w:val="21"/>
          <w:highlight w:val="none"/>
          <w:lang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318"/>
        <w:gridCol w:w="3193"/>
        <w:gridCol w:w="1454"/>
        <w:gridCol w:w="1030"/>
        <w:gridCol w:w="912"/>
      </w:tblGrid>
      <w:tr>
        <w:trPr>
          <w:trHeight w:val="741"/>
        </w:trPr>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pStyle w:val="864"/>
              <w:ind w:firstLine="420"/>
              <w:spacing w:line="360" w:lineRule="auto"/>
              <w:rPr>
                <w:rFonts w:hint="eastAsia" w:ascii="宋体"/>
                <w:color w:val="000000"/>
                <w:szCs w:val="21"/>
                <w:highlight w:val="none"/>
              </w:rPr>
            </w:pPr>
            <w:r>
              <w:rPr>
                <w:rFonts w:hint="eastAsia" w:ascii="宋体"/>
                <w:color w:val="000000"/>
                <w:szCs w:val="21"/>
                <w:highlight w:val="none"/>
              </w:rPr>
              <w:t xml:space="preserve">项目</w:t>
            </w:r>
            <w:r>
              <w:rPr>
                <w:rFonts w:hint="eastAsia"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193" w:type="dxa"/>
            <w:vAlign w:val="center"/>
            <w:textDirection w:val="lrTb"/>
            <w:noWrap w:val="false"/>
          </w:tcPr>
          <w:p>
            <w:pPr>
              <w:pStyle w:val="864"/>
              <w:ind w:firstLine="420"/>
              <w:spacing w:line="360" w:lineRule="auto"/>
              <w:rPr>
                <w:rFonts w:hint="eastAsia" w:ascii="宋体"/>
                <w:color w:val="000000"/>
                <w:szCs w:val="21"/>
                <w:highlight w:val="none"/>
              </w:rPr>
            </w:pPr>
            <w:r>
              <w:rPr>
                <w:rFonts w:hint="eastAsia" w:ascii="宋体"/>
                <w:color w:val="000000"/>
                <w:szCs w:val="21"/>
                <w:highlight w:val="none"/>
              </w:rPr>
              <w:t xml:space="preserve">内容</w:t>
            </w:r>
            <w:r>
              <w:rPr>
                <w:rFonts w:hint="eastAsia"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54" w:type="dxa"/>
            <w:vAlign w:val="center"/>
            <w:textDirection w:val="lrTb"/>
            <w:noWrap/>
          </w:tcPr>
          <w:p>
            <w:pPr>
              <w:pStyle w:val="864"/>
              <w:ind w:firstLine="420"/>
              <w:spacing w:line="360" w:lineRule="auto"/>
              <w:rPr>
                <w:rFonts w:hint="eastAsia" w:ascii="宋体"/>
                <w:color w:val="000000"/>
                <w:szCs w:val="21"/>
                <w:highlight w:val="none"/>
              </w:rPr>
            </w:pPr>
            <w:r>
              <w:rPr>
                <w:rFonts w:hint="eastAsia" w:ascii="宋体"/>
                <w:color w:val="000000"/>
                <w:szCs w:val="21"/>
                <w:highlight w:val="none"/>
              </w:rPr>
              <w:t xml:space="preserve">数量</w:t>
            </w:r>
            <w:r>
              <w:rPr>
                <w:rFonts w:hint="eastAsia"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0" w:type="dxa"/>
            <w:vAlign w:val="center"/>
            <w:textDirection w:val="lrTb"/>
            <w:noWrap/>
          </w:tcPr>
          <w:p>
            <w:pPr>
              <w:pStyle w:val="864"/>
              <w:jc w:val="center"/>
              <w:spacing w:line="360" w:lineRule="auto"/>
              <w:rPr>
                <w:rFonts w:hint="eastAsia"/>
                <w:color w:val="000000"/>
                <w:szCs w:val="21"/>
                <w:highlight w:val="none"/>
              </w:rPr>
            </w:pPr>
            <w:r>
              <w:rPr>
                <w:color w:val="000000"/>
                <w:szCs w:val="21"/>
                <w:highlight w:val="none"/>
              </w:rPr>
              <w:t xml:space="preserve">合</w:t>
            </w:r>
            <w:r>
              <w:rPr>
                <w:rFonts w:hint="eastAsia"/>
                <w:color w:val="000000"/>
                <w:szCs w:val="21"/>
                <w:highlight w:val="none"/>
              </w:rPr>
              <w:t xml:space="preserve">价</w:t>
            </w:r>
            <w:r>
              <w:rPr>
                <w:color w:val="000000"/>
                <w:szCs w:val="21"/>
                <w:highlight w:val="none"/>
              </w:rPr>
              <w:t xml:space="preserve">（元）</w:t>
            </w:r>
            <w:r>
              <w:rPr>
                <w:rFonts w:hint="eastAsia"/>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12" w:type="dxa"/>
            <w:vAlign w:val="center"/>
            <w:textDirection w:val="lrTb"/>
            <w:noWrap/>
          </w:tcPr>
          <w:p>
            <w:pPr>
              <w:pStyle w:val="864"/>
              <w:jc w:val="center"/>
              <w:spacing w:line="360" w:lineRule="auto"/>
              <w:rPr>
                <w:rFonts w:hint="eastAsia"/>
                <w:color w:val="000000"/>
                <w:szCs w:val="21"/>
                <w:highlight w:val="none"/>
              </w:rPr>
            </w:pPr>
            <w:r>
              <w:rPr>
                <w:color w:val="000000"/>
                <w:szCs w:val="21"/>
                <w:highlight w:val="none"/>
              </w:rPr>
              <w:t xml:space="preserve">备注</w:t>
            </w:r>
            <w:r>
              <w:rPr>
                <w:rFonts w:hint="eastAsia"/>
                <w:color w:val="000000"/>
                <w:szCs w:val="21"/>
                <w:highlight w:val="none"/>
              </w:rPr>
            </w:r>
            <w:r/>
          </w:p>
        </w:tc>
      </w:tr>
      <w:tr>
        <w:trPr>
          <w:trHeight w:val="741"/>
        </w:trPr>
        <w:tc>
          <w:tcPr>
            <w:gridSpan w:val="5"/>
            <w:tcBorders>
              <w:top w:val="single" w:color="000000" w:sz="4" w:space="0"/>
              <w:left w:val="single" w:color="000000" w:sz="4" w:space="0"/>
              <w:bottom w:val="single" w:color="000000" w:sz="4" w:space="0"/>
              <w:right w:val="single" w:color="000000" w:sz="4" w:space="0"/>
            </w:tcBorders>
            <w:tcW w:w="8907" w:type="dxa"/>
            <w:vAlign w:val="center"/>
            <w:textDirection w:val="lrTb"/>
            <w:noWrap w:val="false"/>
          </w:tcPr>
          <w:p>
            <w:pPr>
              <w:pStyle w:val="864"/>
              <w:ind w:firstLine="420"/>
              <w:spacing w:line="360" w:lineRule="auto"/>
              <w:rPr>
                <w:rFonts w:hint="eastAsia" w:ascii="宋体"/>
                <w:color w:val="000000"/>
                <w:szCs w:val="21"/>
                <w:highlight w:val="none"/>
              </w:rPr>
            </w:pPr>
            <w:r>
              <w:rPr>
                <w:rFonts w:hint="eastAsia" w:ascii="Times New Roman" w:hAnsi="Times New Roman" w:eastAsia="宋体"/>
                <w:color w:val="000000"/>
                <w:sz w:val="21"/>
                <w:szCs w:val="21"/>
                <w:highlight w:val="none"/>
                <w:u w:val="none"/>
                <w:lang w:eastAsia="zh-CN"/>
              </w:rPr>
              <w:t xml:space="preserve">空气质量保障项目（2026）</w:t>
            </w:r>
            <w:r>
              <w:rPr>
                <w:rFonts w:hint="eastAsia" w:ascii="宋体"/>
                <w:color w:val="000000"/>
                <w:szCs w:val="21"/>
                <w:highlight w:val="none"/>
              </w:rPr>
            </w:r>
            <w:r/>
          </w:p>
        </w:tc>
      </w:tr>
      <w:tr>
        <w:trPr>
          <w:trHeight w:val="1283"/>
        </w:trPr>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pStyle w:val="919"/>
              <w:rPr>
                <w:rFonts w:hint="eastAsia" w:ascii="宋体"/>
                <w:color w:val="000000"/>
                <w:szCs w:val="21"/>
                <w:highlight w:val="none"/>
              </w:rPr>
            </w:pPr>
            <w:r>
              <w:rPr>
                <w:color w:val="000000"/>
                <w:highlight w:val="none"/>
              </w:rPr>
              <w:t xml:space="preserve">区域空气质量综合分析</w:t>
            </w:r>
            <w:r>
              <w:rPr>
                <w:rFonts w:hint="eastAsia"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193" w:type="dxa"/>
            <w:vAlign w:val="center"/>
            <w:textDirection w:val="lrTb"/>
            <w:noWrap w:val="false"/>
          </w:tcPr>
          <w:p>
            <w:pPr>
              <w:pStyle w:val="919"/>
              <w:rPr>
                <w:rFonts w:hint="eastAsia" w:ascii="宋体"/>
                <w:color w:val="000000"/>
                <w:szCs w:val="21"/>
                <w:highlight w:val="none"/>
              </w:rPr>
            </w:pPr>
            <w:r>
              <w:rPr>
                <w:color w:val="000000"/>
                <w:highlight w:val="none"/>
              </w:rPr>
              <w:t xml:space="preserve">结合相关数据，运用各类模型，开展区域空气质量综合分析，把握区域空气质量变化规律，为科学、精准治气提供理论指导。</w:t>
            </w:r>
            <w:r>
              <w:rPr>
                <w:rFonts w:hint="eastAsia"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54" w:type="dxa"/>
            <w:vAlign w:val="center"/>
            <w:textDirection w:val="lrTb"/>
            <w:noWrap/>
          </w:tcPr>
          <w:p>
            <w:pPr>
              <w:pStyle w:val="919"/>
              <w:rPr>
                <w:rFonts w:hint="eastAsia" w:ascii="宋体"/>
                <w:color w:val="000000"/>
                <w:szCs w:val="21"/>
                <w:highlight w:val="none"/>
              </w:rPr>
            </w:pPr>
            <w:r>
              <w:rPr>
                <w:color w:val="000000"/>
                <w:highlight w:val="none"/>
              </w:rPr>
              <w:t xml:space="preserve">1年（分析、预报、评估）</w:t>
            </w:r>
            <w:r>
              <w:rPr>
                <w:rFonts w:hint="eastAsia"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0" w:type="dxa"/>
            <w:vAlign w:val="center"/>
            <w:textDirection w:val="lrTb"/>
            <w:noWrap/>
          </w:tcPr>
          <w:p>
            <w:pPr>
              <w:pStyle w:val="864"/>
              <w:ind w:firstLine="420"/>
              <w:spacing w:line="360" w:lineRule="auto"/>
              <w:rPr>
                <w:rFonts w:hint="eastAsia" w:ascii="宋体"/>
                <w:color w:val="000000"/>
                <w:szCs w:val="21"/>
                <w:highlight w:val="none"/>
              </w:rPr>
            </w:pPr>
            <w:r>
              <w:rPr>
                <w:rFonts w:hint="eastAsia"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12" w:type="dxa"/>
            <w:vAlign w:val="center"/>
            <w:textDirection w:val="lrTb"/>
            <w:noWrap/>
          </w:tcPr>
          <w:p>
            <w:pPr>
              <w:pStyle w:val="864"/>
              <w:ind w:firstLine="420"/>
              <w:spacing w:line="360" w:lineRule="auto"/>
              <w:rPr>
                <w:rFonts w:hint="eastAsia" w:ascii="宋体"/>
                <w:color w:val="000000"/>
                <w:szCs w:val="21"/>
                <w:highlight w:val="none"/>
              </w:rPr>
            </w:pPr>
            <w:r>
              <w:rPr>
                <w:rFonts w:hint="eastAsia" w:ascii="宋体"/>
                <w:color w:val="000000"/>
                <w:szCs w:val="21"/>
                <w:highlight w:val="none"/>
              </w:rPr>
            </w:r>
            <w:r/>
          </w:p>
        </w:tc>
      </w:tr>
      <w:tr>
        <w:trPr>
          <w:trHeight w:val="1220"/>
        </w:trPr>
        <w:tc>
          <w:tcPr>
            <w:tcBorders>
              <w:top w:val="single" w:color="000000" w:sz="4" w:space="0"/>
              <w:left w:val="single" w:color="000000" w:sz="4" w:space="0"/>
              <w:bottom w:val="none" w:color="000000" w:sz="0" w:space="0"/>
              <w:right w:val="single" w:color="000000" w:sz="4" w:space="0"/>
            </w:tcBorders>
            <w:tcW w:w="2318" w:type="dxa"/>
            <w:vAlign w:val="center"/>
            <w:vMerge w:val="restart"/>
            <w:textDirection w:val="lrTb"/>
            <w:noWrap w:val="false"/>
          </w:tcPr>
          <w:p>
            <w:pPr>
              <w:pStyle w:val="919"/>
              <w:rPr>
                <w:rFonts w:hint="eastAsia" w:ascii="宋体"/>
                <w:color w:val="000000"/>
                <w:szCs w:val="21"/>
                <w:highlight w:val="none"/>
              </w:rPr>
            </w:pPr>
            <w:r>
              <w:rPr>
                <w:color w:val="000000"/>
                <w:highlight w:val="none"/>
              </w:rPr>
              <w:t xml:space="preserve">常规天气点位巡查、重污染天气应急管控服务</w:t>
            </w:r>
            <w:r>
              <w:rPr>
                <w:rFonts w:hint="eastAsia" w:ascii="宋体"/>
                <w:color w:val="000000"/>
                <w:szCs w:val="21"/>
                <w:highlight w:val="none"/>
              </w:rPr>
            </w:r>
            <w:r/>
          </w:p>
        </w:tc>
        <w:tc>
          <w:tcPr>
            <w:tcBorders>
              <w:top w:val="single" w:color="000000" w:sz="4" w:space="0"/>
              <w:left w:val="none" w:color="000000" w:sz="4" w:space="0"/>
              <w:bottom w:val="none" w:color="000000" w:sz="0" w:space="0"/>
              <w:right w:val="single" w:color="000000" w:sz="4" w:space="0"/>
            </w:tcBorders>
            <w:tcW w:w="3193" w:type="dxa"/>
            <w:vAlign w:val="center"/>
            <w:vMerge w:val="restart"/>
            <w:textDirection w:val="lrTb"/>
            <w:noWrap w:val="false"/>
          </w:tcPr>
          <w:p>
            <w:pPr>
              <w:pStyle w:val="919"/>
              <w:rPr>
                <w:rFonts w:hint="eastAsia" w:ascii="宋体"/>
                <w:color w:val="000000"/>
                <w:szCs w:val="21"/>
                <w:highlight w:val="none"/>
              </w:rPr>
            </w:pPr>
            <w:r>
              <w:rPr>
                <w:color w:val="000000"/>
                <w:highlight w:val="none"/>
              </w:rPr>
              <w:t xml:space="preserve">围绕重点大气监测点位，建立并动态更新污染分级管控清单，组织专业团队，协同乡镇（开发区），常规天气时开展日常巡查，站点数据异常突高情况开展站点微环境应急排查；重污染天气时，围绕江苏省、苏州市相关要求，依托管控清单全面开展应急管控工作。</w:t>
            </w:r>
            <w:r>
              <w:rPr>
                <w:rFonts w:hint="eastAsia"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54" w:type="dxa"/>
            <w:vAlign w:val="center"/>
            <w:textDirection w:val="lrTb"/>
            <w:noWrap/>
          </w:tcPr>
          <w:p>
            <w:pPr>
              <w:pStyle w:val="919"/>
              <w:rPr>
                <w:rFonts w:hint="eastAsia" w:ascii="宋体"/>
                <w:color w:val="000000"/>
                <w:szCs w:val="21"/>
                <w:highlight w:val="none"/>
              </w:rPr>
            </w:pPr>
            <w:r>
              <w:rPr>
                <w:rFonts w:ascii="宋体"/>
                <w:color w:val="000000"/>
                <w:szCs w:val="21"/>
                <w:highlight w:val="none"/>
              </w:rPr>
              <w:t xml:space="preserve">污染源清单及一张图、重污染分级管控清单</w:t>
            </w:r>
            <w:r>
              <w:rPr>
                <w:rFonts w:hint="eastAsia" w:asci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pStyle w:val="864"/>
              <w:ind w:firstLine="420"/>
              <w:spacing w:line="360" w:lineRule="auto"/>
              <w:rPr>
                <w:rFonts w:hint="eastAsia" w:ascii="宋体"/>
                <w:color w:val="000000"/>
                <w:szCs w:val="21"/>
                <w:highlight w:val="none"/>
              </w:rPr>
            </w:pPr>
            <w:r>
              <w:rPr>
                <w:rFonts w:hint="eastAsia" w:ascii="宋体"/>
                <w:color w:val="000000"/>
                <w:szCs w:val="21"/>
                <w:highlight w:val="none"/>
              </w:rPr>
            </w:r>
            <w:r/>
          </w:p>
        </w:tc>
        <w:tc>
          <w:tcPr>
            <w:tcBorders>
              <w:top w:val="single" w:color="000000" w:sz="4" w:space="0"/>
              <w:left w:val="single" w:color="000000" w:sz="4" w:space="0"/>
              <w:bottom w:val="none" w:color="000000" w:sz="0" w:space="0"/>
              <w:right w:val="single" w:color="000000" w:sz="4" w:space="0"/>
            </w:tcBorders>
            <w:tcW w:w="912" w:type="dxa"/>
            <w:vAlign w:val="center"/>
            <w:vMerge w:val="restart"/>
            <w:textDirection w:val="lrTb"/>
            <w:noWrap/>
          </w:tcPr>
          <w:p>
            <w:pPr>
              <w:pStyle w:val="864"/>
              <w:ind w:firstLine="420"/>
              <w:spacing w:line="360" w:lineRule="auto"/>
              <w:rPr>
                <w:rFonts w:hint="eastAsia" w:ascii="宋体"/>
                <w:color w:val="000000"/>
                <w:szCs w:val="21"/>
                <w:highlight w:val="none"/>
              </w:rPr>
            </w:pPr>
            <w:r>
              <w:rPr>
                <w:rFonts w:hint="eastAsia" w:ascii="宋体"/>
                <w:color w:val="000000"/>
                <w:szCs w:val="21"/>
                <w:highlight w:val="none"/>
              </w:rPr>
            </w:r>
            <w:r/>
          </w:p>
        </w:tc>
      </w:tr>
      <w:tr>
        <w:trPr>
          <w:trHeight w:val="1220"/>
        </w:trPr>
        <w:tc>
          <w:tcPr>
            <w:tcBorders>
              <w:top w:val="none" w:color="000000" w:sz="0" w:space="0"/>
              <w:left w:val="single" w:color="000000" w:sz="4" w:space="0"/>
              <w:bottom w:val="single" w:color="000000" w:sz="4" w:space="0"/>
              <w:right w:val="single" w:color="000000" w:sz="4" w:space="0"/>
            </w:tcBorders>
            <w:tcW w:w="2318" w:type="dxa"/>
            <w:vAlign w:val="center"/>
            <w:vMerge w:val="continue"/>
            <w:textDirection w:val="lrTb"/>
            <w:noWrap w:val="false"/>
          </w:tcPr>
          <w:p>
            <w:pPr>
              <w:pStyle w:val="919"/>
              <w:rPr>
                <w:highlight w:val="none"/>
              </w:rPr>
            </w:pPr>
            <w:r>
              <w:rPr>
                <w:highlight w:val="none"/>
              </w:rPr>
            </w:r>
            <w:r/>
          </w:p>
        </w:tc>
        <w:tc>
          <w:tcPr>
            <w:tcBorders>
              <w:top w:val="none" w:color="000000" w:sz="0" w:space="0"/>
              <w:left w:val="none" w:color="000000" w:sz="4" w:space="0"/>
              <w:bottom w:val="single" w:color="000000" w:sz="4" w:space="0"/>
              <w:right w:val="single" w:color="000000" w:sz="4" w:space="0"/>
            </w:tcBorders>
            <w:tcW w:w="3193" w:type="dxa"/>
            <w:vAlign w:val="center"/>
            <w:vMerge w:val="continue"/>
            <w:textDirection w:val="lrTb"/>
            <w:noWrap w:val="false"/>
          </w:tcPr>
          <w:p>
            <w:pPr>
              <w:pStyle w:val="919"/>
              <w:rPr>
                <w:highlight w:val="none"/>
              </w:rPr>
            </w:pPr>
            <w:r>
              <w:rPr>
                <w:highlight w:val="none"/>
              </w:rPr>
            </w:r>
            <w:r/>
          </w:p>
        </w:tc>
        <w:tc>
          <w:tcPr>
            <w:tcBorders>
              <w:top w:val="single" w:color="000000" w:sz="4" w:space="0"/>
              <w:left w:val="none" w:color="000000" w:sz="4" w:space="0"/>
              <w:bottom w:val="single" w:color="000000" w:sz="4" w:space="0"/>
              <w:right w:val="single" w:color="000000" w:sz="4" w:space="0"/>
            </w:tcBorders>
            <w:tcW w:w="1454" w:type="dxa"/>
            <w:vAlign w:val="center"/>
            <w:textDirection w:val="lrTb"/>
            <w:noWrap/>
          </w:tcPr>
          <w:p>
            <w:pPr>
              <w:pStyle w:val="919"/>
              <w:rPr>
                <w:rFonts w:hint="eastAsia" w:ascii="宋体"/>
                <w:color w:val="000000"/>
                <w:szCs w:val="21"/>
                <w:highlight w:val="none"/>
                <w:lang w:val="en-US" w:eastAsia="zh-CN"/>
              </w:rPr>
            </w:pPr>
            <w:r>
              <w:rPr>
                <w:color w:val="000000"/>
                <w:highlight w:val="none"/>
              </w:rPr>
              <w:t xml:space="preserve">服务1年（常规天异常排查及月报编制、重污染天管控落实抽查及报告编制）、含现场排查人员</w:t>
            </w:r>
            <w:r>
              <w:rPr>
                <w:rFonts w:hint="eastAsia" w:ascii="宋体"/>
                <w:color w:val="000000"/>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pStyle w:val="864"/>
              <w:ind w:firstLine="0"/>
              <w:jc w:val="center"/>
              <w:spacing w:line="360" w:lineRule="auto"/>
              <w:rPr>
                <w:rFonts w:hint="eastAsia" w:ascii="宋体"/>
                <w:color w:val="000000"/>
                <w:szCs w:val="21"/>
                <w:highlight w:val="none"/>
                <w:lang w:val="en-US" w:eastAsia="zh-CN"/>
              </w:rPr>
            </w:pPr>
            <w:r>
              <w:rPr>
                <w:rFonts w:hint="eastAsia" w:ascii="宋体"/>
                <w:color w:val="000000"/>
                <w:szCs w:val="21"/>
                <w:highlight w:val="none"/>
                <w:lang w:val="en-US" w:eastAsia="zh-CN"/>
              </w:rPr>
            </w:r>
            <w:r/>
          </w:p>
        </w:tc>
        <w:tc>
          <w:tcPr>
            <w:tcBorders>
              <w:top w:val="none" w:color="000000" w:sz="0" w:space="0"/>
              <w:left w:val="single" w:color="000000" w:sz="4" w:space="0"/>
              <w:bottom w:val="single" w:color="000000" w:sz="4" w:space="0"/>
              <w:right w:val="single" w:color="000000" w:sz="4" w:space="0"/>
            </w:tcBorders>
            <w:tcW w:w="912" w:type="dxa"/>
            <w:vAlign w:val="center"/>
            <w:vMerge w:val="continue"/>
            <w:textDirection w:val="lrTb"/>
            <w:noWrap/>
          </w:tcPr>
          <w:p>
            <w:pPr>
              <w:pStyle w:val="864"/>
              <w:ind w:firstLine="0"/>
              <w:jc w:val="center"/>
              <w:spacing w:line="360" w:lineRule="auto"/>
              <w:rPr>
                <w:rFonts w:hint="eastAsia" w:ascii="宋体"/>
                <w:color w:val="000000"/>
                <w:szCs w:val="21"/>
                <w:highlight w:val="none"/>
                <w:lang w:val="en-US" w:eastAsia="zh-CN"/>
              </w:rPr>
            </w:pPr>
            <w:r>
              <w:rPr>
                <w:rFonts w:hint="eastAsia" w:ascii="宋体"/>
                <w:color w:val="000000"/>
                <w:szCs w:val="21"/>
                <w:highlight w:val="none"/>
                <w:lang w:val="en-US" w:eastAsia="zh-CN"/>
              </w:rPr>
            </w:r>
            <w:r/>
          </w:p>
        </w:tc>
      </w:tr>
      <w:tr>
        <w:trPr>
          <w:trHeight w:val="303"/>
        </w:trPr>
        <w:tc>
          <w:tcPr>
            <w:tcBorders>
              <w:top w:val="single" w:color="000000" w:sz="4" w:space="0"/>
              <w:left w:val="single" w:color="000000" w:sz="4" w:space="0"/>
              <w:bottom w:val="none" w:color="000000" w:sz="0" w:space="0"/>
              <w:right w:val="single" w:color="000000" w:sz="4" w:space="0"/>
            </w:tcBorders>
            <w:tcW w:w="2318" w:type="dxa"/>
            <w:vAlign w:val="center"/>
            <w:vMerge w:val="restart"/>
            <w:textDirection w:val="lrTb"/>
            <w:noWrap w:val="false"/>
          </w:tcPr>
          <w:p>
            <w:pPr>
              <w:pStyle w:val="919"/>
              <w:rPr>
                <w:rFonts w:hint="eastAsia" w:ascii="宋体"/>
                <w:color w:val="000000"/>
                <w:szCs w:val="21"/>
                <w:highlight w:val="none"/>
              </w:rPr>
            </w:pPr>
            <w:r>
              <w:rPr>
                <w:color w:val="000000"/>
                <w:highlight w:val="none"/>
              </w:rPr>
              <w:t xml:space="preserve">整合各类监测数据，开展溯源及专项分析</w:t>
            </w:r>
            <w:r>
              <w:rPr>
                <w:rFonts w:hint="eastAsia" w:ascii="宋体"/>
                <w:color w:val="000000"/>
                <w:szCs w:val="21"/>
                <w:highlight w:val="none"/>
              </w:rPr>
            </w:r>
            <w:r/>
          </w:p>
        </w:tc>
        <w:tc>
          <w:tcPr>
            <w:tcBorders>
              <w:top w:val="single" w:color="000000" w:sz="4" w:space="0"/>
              <w:left w:val="none" w:color="000000" w:sz="4" w:space="0"/>
              <w:bottom w:val="none" w:color="000000" w:sz="0" w:space="0"/>
              <w:right w:val="single" w:color="000000" w:sz="4" w:space="0"/>
            </w:tcBorders>
            <w:tcW w:w="3193" w:type="dxa"/>
            <w:vAlign w:val="center"/>
            <w:vMerge w:val="restart"/>
            <w:textDirection w:val="lrTb"/>
            <w:noWrap w:val="false"/>
          </w:tcPr>
          <w:p>
            <w:pPr>
              <w:pStyle w:val="919"/>
              <w:rPr>
                <w:rFonts w:hint="eastAsia" w:ascii="宋体"/>
                <w:color w:val="000000"/>
                <w:szCs w:val="21"/>
                <w:highlight w:val="none"/>
              </w:rPr>
            </w:pPr>
            <w:r>
              <w:rPr>
                <w:color w:val="000000"/>
                <w:highlight w:val="none"/>
              </w:rPr>
              <w:t xml:space="preserve">依托搭载监测设备的无人机飞航、走航车、道路积尘走航等监测数据，结合各类大气监测站点监测数据，结合常规天气站点数值突高情景、重污染天气期间开展源项溯源及开展专项分析。</w:t>
            </w:r>
            <w:r>
              <w:rPr>
                <w:rFonts w:hint="eastAsia"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54" w:type="dxa"/>
            <w:vAlign w:val="center"/>
            <w:textDirection w:val="lrTb"/>
            <w:noWrap/>
          </w:tcPr>
          <w:p>
            <w:pPr>
              <w:pStyle w:val="919"/>
              <w:rPr>
                <w:rFonts w:hint="eastAsia" w:ascii="宋体"/>
                <w:color w:val="000000"/>
                <w:szCs w:val="21"/>
                <w:highlight w:val="none"/>
              </w:rPr>
            </w:pPr>
            <w:r>
              <w:rPr>
                <w:rFonts w:ascii="宋体"/>
                <w:color w:val="000000"/>
                <w:szCs w:val="21"/>
                <w:highlight w:val="none"/>
              </w:rPr>
              <w:t xml:space="preserve">常规走航报告60份</w:t>
            </w:r>
            <w:r>
              <w:rPr>
                <w:rFonts w:hint="eastAsia"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0" w:type="dxa"/>
            <w:vAlign w:val="center"/>
            <w:textDirection w:val="lrTb"/>
            <w:noWrap/>
          </w:tcPr>
          <w:p>
            <w:pPr>
              <w:pStyle w:val="864"/>
              <w:ind w:firstLine="420"/>
              <w:spacing w:line="360" w:lineRule="auto"/>
              <w:rPr>
                <w:rFonts w:hint="eastAsia" w:ascii="宋体"/>
                <w:color w:val="000000"/>
                <w:szCs w:val="21"/>
                <w:highlight w:val="none"/>
              </w:rPr>
            </w:pPr>
            <w:r>
              <w:rPr>
                <w:rFonts w:hint="eastAsia" w:ascii="宋体"/>
                <w:color w:val="000000"/>
                <w:szCs w:val="21"/>
                <w:highlight w:val="none"/>
              </w:rPr>
            </w:r>
            <w:r/>
          </w:p>
        </w:tc>
        <w:tc>
          <w:tcPr>
            <w:tcBorders>
              <w:top w:val="single" w:color="000000" w:sz="4" w:space="0"/>
              <w:left w:val="none" w:color="000000" w:sz="4" w:space="0"/>
              <w:bottom w:val="none" w:color="000000" w:sz="0" w:space="0"/>
              <w:right w:val="single" w:color="000000" w:sz="4" w:space="0"/>
            </w:tcBorders>
            <w:tcW w:w="912" w:type="dxa"/>
            <w:vAlign w:val="center"/>
            <w:vMerge w:val="restart"/>
            <w:textDirection w:val="lrTb"/>
            <w:noWrap/>
          </w:tcPr>
          <w:p>
            <w:pPr>
              <w:pStyle w:val="864"/>
              <w:ind w:firstLine="420"/>
              <w:spacing w:line="360" w:lineRule="auto"/>
              <w:rPr>
                <w:rFonts w:hint="eastAsia" w:ascii="宋体"/>
                <w:color w:val="000000"/>
                <w:szCs w:val="21"/>
                <w:highlight w:val="none"/>
              </w:rPr>
            </w:pPr>
            <w:r>
              <w:rPr>
                <w:rFonts w:hint="eastAsia" w:ascii="宋体"/>
                <w:color w:val="000000"/>
                <w:szCs w:val="21"/>
                <w:highlight w:val="none"/>
              </w:rPr>
            </w:r>
            <w:r/>
          </w:p>
        </w:tc>
      </w:tr>
      <w:tr>
        <w:trPr>
          <w:trHeight w:val="303"/>
        </w:trPr>
        <w:tc>
          <w:tcPr>
            <w:tcBorders>
              <w:top w:val="none" w:color="000000" w:sz="0" w:space="0"/>
              <w:left w:val="single" w:color="000000" w:sz="4" w:space="0"/>
              <w:bottom w:val="none" w:color="000000" w:sz="0" w:space="0"/>
              <w:right w:val="single" w:color="000000" w:sz="4" w:space="0"/>
            </w:tcBorders>
            <w:tcW w:w="2318" w:type="dxa"/>
            <w:vAlign w:val="center"/>
            <w:vMerge w:val="continue"/>
            <w:textDirection w:val="lrTb"/>
            <w:noWrap w:val="false"/>
          </w:tcPr>
          <w:p>
            <w:pPr>
              <w:pStyle w:val="919"/>
              <w:rPr>
                <w:highlight w:val="none"/>
              </w:rPr>
            </w:pPr>
            <w:r>
              <w:rPr>
                <w:highlight w:val="none"/>
              </w:rPr>
            </w:r>
            <w:r/>
          </w:p>
        </w:tc>
        <w:tc>
          <w:tcPr>
            <w:tcBorders>
              <w:top w:val="none" w:color="000000" w:sz="0" w:space="0"/>
              <w:left w:val="none" w:color="000000" w:sz="4" w:space="0"/>
              <w:bottom w:val="none" w:color="000000" w:sz="0" w:space="0"/>
              <w:right w:val="single" w:color="000000" w:sz="4" w:space="0"/>
            </w:tcBorders>
            <w:tcW w:w="3193" w:type="dxa"/>
            <w:vAlign w:val="center"/>
            <w:vMerge w:val="continue"/>
            <w:textDirection w:val="lrTb"/>
            <w:noWrap w:val="false"/>
          </w:tcPr>
          <w:p>
            <w:pPr>
              <w:pStyle w:val="919"/>
              <w:rPr>
                <w:highlight w:val="none"/>
              </w:rPr>
            </w:pPr>
            <w:r>
              <w:rPr>
                <w:highlight w:val="none"/>
              </w:rPr>
            </w:r>
            <w:r/>
          </w:p>
        </w:tc>
        <w:tc>
          <w:tcPr>
            <w:tcBorders>
              <w:top w:val="single" w:color="000000" w:sz="4" w:space="0"/>
              <w:left w:val="none" w:color="000000" w:sz="4" w:space="0"/>
              <w:bottom w:val="single" w:color="000000" w:sz="4" w:space="0"/>
              <w:right w:val="single" w:color="000000" w:sz="4" w:space="0"/>
            </w:tcBorders>
            <w:tcW w:w="1454" w:type="dxa"/>
            <w:vAlign w:val="center"/>
            <w:textDirection w:val="lrTb"/>
            <w:noWrap/>
          </w:tcPr>
          <w:p>
            <w:pPr>
              <w:pStyle w:val="919"/>
              <w:rPr>
                <w:rFonts w:hint="eastAsia" w:ascii="宋体"/>
                <w:color w:val="000000"/>
                <w:szCs w:val="21"/>
                <w:highlight w:val="none"/>
              </w:rPr>
            </w:pPr>
            <w:r>
              <w:rPr>
                <w:rFonts w:ascii="宋体"/>
                <w:color w:val="000000"/>
                <w:szCs w:val="21"/>
                <w:highlight w:val="none"/>
              </w:rPr>
              <w:t xml:space="preserve">道路积尘走航报告12份</w:t>
            </w:r>
            <w:r>
              <w:rPr>
                <w:rFonts w:hint="eastAsia"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0" w:type="dxa"/>
            <w:vAlign w:val="center"/>
            <w:textDirection w:val="lrTb"/>
            <w:noWrap/>
          </w:tcPr>
          <w:p>
            <w:pPr>
              <w:pStyle w:val="864"/>
              <w:ind w:firstLine="420"/>
              <w:spacing w:line="360" w:lineRule="auto"/>
              <w:rPr>
                <w:rFonts w:hint="eastAsia" w:ascii="宋体"/>
                <w:color w:val="000000"/>
                <w:szCs w:val="21"/>
                <w:highlight w:val="none"/>
              </w:rPr>
            </w:pPr>
            <w:r>
              <w:rPr>
                <w:rFonts w:hint="eastAsia" w:ascii="宋体"/>
                <w:color w:val="000000"/>
                <w:szCs w:val="21"/>
                <w:highlight w:val="none"/>
              </w:rPr>
            </w:r>
            <w:r/>
          </w:p>
        </w:tc>
        <w:tc>
          <w:tcPr>
            <w:tcBorders>
              <w:top w:val="none" w:color="000000" w:sz="0" w:space="0"/>
              <w:left w:val="none" w:color="000000" w:sz="4" w:space="0"/>
              <w:bottom w:val="none" w:color="000000" w:sz="0" w:space="0"/>
              <w:right w:val="single" w:color="000000" w:sz="4" w:space="0"/>
            </w:tcBorders>
            <w:tcW w:w="912" w:type="dxa"/>
            <w:vAlign w:val="center"/>
            <w:vMerge w:val="continue"/>
            <w:textDirection w:val="lrTb"/>
            <w:noWrap/>
          </w:tcPr>
          <w:p>
            <w:pPr>
              <w:pStyle w:val="864"/>
              <w:ind w:firstLine="420"/>
              <w:spacing w:line="360" w:lineRule="auto"/>
              <w:rPr>
                <w:rFonts w:hint="eastAsia" w:ascii="宋体"/>
                <w:color w:val="000000"/>
                <w:szCs w:val="21"/>
                <w:highlight w:val="none"/>
              </w:rPr>
            </w:pPr>
            <w:r>
              <w:rPr>
                <w:rFonts w:hint="eastAsia" w:ascii="宋体"/>
                <w:color w:val="000000"/>
                <w:szCs w:val="21"/>
                <w:highlight w:val="none"/>
              </w:rPr>
            </w:r>
            <w:r/>
          </w:p>
        </w:tc>
      </w:tr>
      <w:tr>
        <w:trPr>
          <w:trHeight w:val="303"/>
        </w:trPr>
        <w:tc>
          <w:tcPr>
            <w:tcBorders>
              <w:top w:val="none" w:color="000000" w:sz="0" w:space="0"/>
              <w:left w:val="single" w:color="000000" w:sz="4" w:space="0"/>
              <w:bottom w:val="none" w:color="000000" w:sz="0" w:space="0"/>
              <w:right w:val="single" w:color="000000" w:sz="4" w:space="0"/>
            </w:tcBorders>
            <w:tcW w:w="2318" w:type="dxa"/>
            <w:vAlign w:val="center"/>
            <w:vMerge w:val="continue"/>
            <w:textDirection w:val="lrTb"/>
            <w:noWrap w:val="false"/>
          </w:tcPr>
          <w:p>
            <w:pPr>
              <w:pStyle w:val="919"/>
              <w:rPr>
                <w:rFonts w:hint="eastAsia" w:ascii="宋体"/>
                <w:color w:val="000000"/>
                <w:szCs w:val="21"/>
                <w:highlight w:val="none"/>
              </w:rPr>
            </w:pPr>
            <w:r>
              <w:rPr>
                <w:rFonts w:hint="eastAsia" w:ascii="宋体"/>
                <w:color w:val="000000"/>
                <w:szCs w:val="21"/>
                <w:highlight w:val="none"/>
              </w:rPr>
            </w:r>
            <w:r/>
          </w:p>
        </w:tc>
        <w:tc>
          <w:tcPr>
            <w:tcBorders>
              <w:top w:val="none" w:color="000000" w:sz="0" w:space="0"/>
              <w:left w:val="none" w:color="000000" w:sz="4" w:space="0"/>
              <w:bottom w:val="none" w:color="000000" w:sz="0" w:space="0"/>
              <w:right w:val="single" w:color="000000" w:sz="4" w:space="0"/>
            </w:tcBorders>
            <w:tcW w:w="3193" w:type="dxa"/>
            <w:vAlign w:val="center"/>
            <w:vMerge w:val="continue"/>
            <w:textDirection w:val="lrTb"/>
            <w:noWrap w:val="false"/>
          </w:tcPr>
          <w:p>
            <w:pPr>
              <w:pStyle w:val="919"/>
              <w:rPr>
                <w:rFonts w:hint="eastAsia" w:ascii="宋体"/>
                <w:color w:val="000000"/>
                <w:szCs w:val="21"/>
                <w:highlight w:val="none"/>
              </w:rPr>
            </w:pPr>
            <w:r>
              <w:rPr>
                <w:rFonts w:hint="eastAsia"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54" w:type="dxa"/>
            <w:vAlign w:val="center"/>
            <w:textDirection w:val="lrTb"/>
            <w:noWrap/>
          </w:tcPr>
          <w:p>
            <w:pPr>
              <w:pStyle w:val="919"/>
              <w:rPr>
                <w:rFonts w:hint="eastAsia" w:ascii="宋体"/>
                <w:color w:val="000000"/>
                <w:szCs w:val="21"/>
                <w:highlight w:val="none"/>
              </w:rPr>
            </w:pPr>
            <w:r>
              <w:rPr>
                <w:rFonts w:ascii="宋体"/>
                <w:color w:val="000000"/>
                <w:szCs w:val="21"/>
                <w:highlight w:val="none"/>
              </w:rPr>
              <w:t xml:space="preserve">无人机飞航报告15份</w:t>
            </w:r>
            <w:r>
              <w:rPr>
                <w:rFonts w:hint="eastAsia"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0" w:type="dxa"/>
            <w:vAlign w:val="center"/>
            <w:textDirection w:val="lrTb"/>
            <w:noWrap/>
          </w:tcPr>
          <w:p>
            <w:pPr>
              <w:pStyle w:val="864"/>
              <w:ind w:firstLine="420"/>
              <w:spacing w:line="360" w:lineRule="auto"/>
              <w:rPr>
                <w:rFonts w:hint="eastAsia" w:ascii="宋体"/>
                <w:color w:val="000000"/>
                <w:szCs w:val="21"/>
                <w:highlight w:val="none"/>
              </w:rPr>
            </w:pPr>
            <w:r>
              <w:rPr>
                <w:rFonts w:hint="eastAsia" w:ascii="宋体"/>
                <w:color w:val="000000"/>
                <w:szCs w:val="21"/>
                <w:highlight w:val="none"/>
              </w:rPr>
            </w:r>
            <w:r/>
          </w:p>
        </w:tc>
        <w:tc>
          <w:tcPr>
            <w:tcBorders>
              <w:top w:val="none" w:color="000000" w:sz="0" w:space="0"/>
              <w:left w:val="none" w:color="000000" w:sz="4" w:space="0"/>
              <w:bottom w:val="none" w:color="000000" w:sz="0" w:space="0"/>
              <w:right w:val="single" w:color="000000" w:sz="4" w:space="0"/>
            </w:tcBorders>
            <w:tcW w:w="912" w:type="dxa"/>
            <w:vAlign w:val="center"/>
            <w:vMerge w:val="continue"/>
            <w:textDirection w:val="lrTb"/>
            <w:noWrap/>
          </w:tcPr>
          <w:p>
            <w:pPr>
              <w:pStyle w:val="864"/>
              <w:ind w:firstLine="420"/>
              <w:spacing w:line="360" w:lineRule="auto"/>
              <w:rPr>
                <w:rFonts w:hint="eastAsia" w:ascii="宋体"/>
                <w:color w:val="000000"/>
                <w:szCs w:val="21"/>
                <w:highlight w:val="none"/>
              </w:rPr>
            </w:pPr>
            <w:r>
              <w:rPr>
                <w:rFonts w:hint="eastAsia" w:ascii="宋体"/>
                <w:color w:val="000000"/>
                <w:szCs w:val="21"/>
                <w:highlight w:val="none"/>
              </w:rPr>
            </w:r>
            <w:r/>
          </w:p>
        </w:tc>
      </w:tr>
      <w:tr>
        <w:trPr>
          <w:trHeight w:val="303"/>
        </w:trPr>
        <w:tc>
          <w:tcPr>
            <w:tcBorders>
              <w:top w:val="none" w:color="000000" w:sz="0" w:space="0"/>
              <w:left w:val="single" w:color="000000" w:sz="4" w:space="0"/>
              <w:bottom w:val="single" w:color="000000" w:sz="4" w:space="0"/>
              <w:right w:val="single" w:color="000000" w:sz="4" w:space="0"/>
            </w:tcBorders>
            <w:tcW w:w="2318" w:type="dxa"/>
            <w:vAlign w:val="center"/>
            <w:vMerge w:val="continue"/>
            <w:textDirection w:val="lrTb"/>
            <w:noWrap w:val="false"/>
          </w:tcPr>
          <w:p>
            <w:pPr>
              <w:pStyle w:val="919"/>
              <w:rPr>
                <w:rFonts w:hint="eastAsia" w:ascii="宋体"/>
                <w:color w:val="000000"/>
                <w:szCs w:val="21"/>
                <w:highlight w:val="none"/>
              </w:rPr>
            </w:pPr>
            <w:r>
              <w:rPr>
                <w:rFonts w:hint="eastAsia" w:ascii="宋体"/>
                <w:color w:val="000000"/>
                <w:szCs w:val="21"/>
                <w:highlight w:val="none"/>
              </w:rPr>
            </w:r>
            <w:r/>
          </w:p>
        </w:tc>
        <w:tc>
          <w:tcPr>
            <w:tcBorders>
              <w:top w:val="none" w:color="000000" w:sz="0" w:space="0"/>
              <w:left w:val="none" w:color="000000" w:sz="4" w:space="0"/>
              <w:bottom w:val="single" w:color="000000" w:sz="4" w:space="0"/>
              <w:right w:val="single" w:color="000000" w:sz="4" w:space="0"/>
            </w:tcBorders>
            <w:tcW w:w="3193" w:type="dxa"/>
            <w:vAlign w:val="center"/>
            <w:vMerge w:val="continue"/>
            <w:textDirection w:val="lrTb"/>
            <w:noWrap w:val="false"/>
          </w:tcPr>
          <w:p>
            <w:pPr>
              <w:pStyle w:val="919"/>
              <w:rPr>
                <w:rFonts w:hint="eastAsia" w:ascii="宋体"/>
                <w:color w:val="000000"/>
                <w:szCs w:val="21"/>
                <w:highlight w:val="none"/>
              </w:rPr>
            </w:pPr>
            <w:r>
              <w:rPr>
                <w:rFonts w:hint="eastAsia"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54" w:type="dxa"/>
            <w:vAlign w:val="center"/>
            <w:textDirection w:val="lrTb"/>
            <w:noWrap/>
          </w:tcPr>
          <w:p>
            <w:pPr>
              <w:pStyle w:val="919"/>
              <w:rPr>
                <w:rFonts w:hint="eastAsia" w:ascii="宋体"/>
                <w:color w:val="000000"/>
                <w:szCs w:val="21"/>
                <w:highlight w:val="none"/>
              </w:rPr>
            </w:pPr>
            <w:r>
              <w:rPr>
                <w:color w:val="000000"/>
                <w:highlight w:val="none"/>
              </w:rPr>
              <w:t xml:space="preserve">溯源及专项分析报告6份</w:t>
            </w:r>
            <w:r>
              <w:rPr>
                <w:rFonts w:hint="eastAsia"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0" w:type="dxa"/>
            <w:vAlign w:val="center"/>
            <w:textDirection w:val="lrTb"/>
            <w:noWrap/>
          </w:tcPr>
          <w:p>
            <w:pPr>
              <w:pStyle w:val="864"/>
              <w:ind w:firstLine="420"/>
              <w:spacing w:line="360" w:lineRule="auto"/>
              <w:rPr>
                <w:rFonts w:hint="eastAsia" w:ascii="宋体"/>
                <w:color w:val="000000"/>
                <w:szCs w:val="21"/>
                <w:highlight w:val="none"/>
              </w:rPr>
            </w:pPr>
            <w:r>
              <w:rPr>
                <w:rFonts w:hint="eastAsia" w:ascii="宋体"/>
                <w:color w:val="000000"/>
                <w:szCs w:val="21"/>
                <w:highlight w:val="none"/>
              </w:rPr>
            </w:r>
            <w:r/>
          </w:p>
        </w:tc>
        <w:tc>
          <w:tcPr>
            <w:tcBorders>
              <w:top w:val="none" w:color="000000" w:sz="0" w:space="0"/>
              <w:left w:val="none" w:color="000000" w:sz="4" w:space="0"/>
              <w:bottom w:val="single" w:color="000000" w:sz="4" w:space="0"/>
              <w:right w:val="single" w:color="000000" w:sz="4" w:space="0"/>
            </w:tcBorders>
            <w:tcW w:w="912" w:type="dxa"/>
            <w:vAlign w:val="center"/>
            <w:vMerge w:val="continue"/>
            <w:textDirection w:val="lrTb"/>
            <w:noWrap/>
          </w:tcPr>
          <w:p>
            <w:pPr>
              <w:pStyle w:val="864"/>
              <w:ind w:firstLine="420"/>
              <w:spacing w:line="360" w:lineRule="auto"/>
              <w:rPr>
                <w:rFonts w:hint="eastAsia" w:ascii="宋体"/>
                <w:color w:val="000000"/>
                <w:szCs w:val="21"/>
                <w:highlight w:val="none"/>
              </w:rPr>
            </w:pPr>
            <w:r>
              <w:rPr>
                <w:rFonts w:hint="eastAsia" w:ascii="宋体"/>
                <w:color w:val="000000"/>
                <w:szCs w:val="21"/>
                <w:highlight w:val="none"/>
              </w:rPr>
            </w:r>
            <w:r/>
          </w:p>
        </w:tc>
      </w:tr>
      <w:tr>
        <w:trPr>
          <w:trHeight w:val="2257"/>
        </w:trPr>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pStyle w:val="919"/>
              <w:rPr>
                <w:rFonts w:hint="eastAsia" w:ascii="宋体"/>
                <w:color w:val="000000"/>
                <w:szCs w:val="21"/>
                <w:highlight w:val="none"/>
              </w:rPr>
            </w:pPr>
            <w:r>
              <w:rPr>
                <w:color w:val="000000"/>
                <w:highlight w:val="none"/>
              </w:rPr>
              <w:t xml:space="preserve">协助优化区域空气质量保障体系，开展重点行业及重点源项专项调研</w:t>
            </w:r>
            <w:r>
              <w:rPr>
                <w:rFonts w:hint="eastAsia"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193" w:type="dxa"/>
            <w:vAlign w:val="center"/>
            <w:textDirection w:val="lrTb"/>
            <w:noWrap w:val="false"/>
          </w:tcPr>
          <w:p>
            <w:pPr>
              <w:pStyle w:val="919"/>
              <w:rPr>
                <w:rFonts w:hint="eastAsia" w:ascii="宋体"/>
                <w:color w:val="000000"/>
                <w:szCs w:val="21"/>
                <w:highlight w:val="none"/>
              </w:rPr>
            </w:pPr>
            <w:r>
              <w:rPr>
                <w:color w:val="000000"/>
                <w:highlight w:val="none"/>
              </w:rPr>
              <w:t xml:space="preserve">配合管理部门，协助优化空气质量保障体系，协同乡镇（开发区）系统联动，定期开展空气质量会商及智慧调度；结合本地化清单，定向开展重点行业及重点源项专项调研，帮扶指导重点行业及重点源精细化提升。</w:t>
            </w:r>
            <w:r>
              <w:rPr>
                <w:rFonts w:hint="eastAsia"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54" w:type="dxa"/>
            <w:vAlign w:val="center"/>
            <w:textDirection w:val="lrTb"/>
            <w:noWrap/>
          </w:tcPr>
          <w:p>
            <w:pPr>
              <w:pStyle w:val="919"/>
              <w:rPr>
                <w:rFonts w:hint="eastAsia" w:ascii="宋体"/>
                <w:color w:val="000000"/>
                <w:szCs w:val="21"/>
                <w:highlight w:val="none"/>
              </w:rPr>
            </w:pPr>
            <w:r>
              <w:rPr>
                <w:color w:val="000000"/>
                <w:highlight w:val="none"/>
              </w:rPr>
              <w:t xml:space="preserve">1年</w:t>
            </w:r>
            <w:r>
              <w:rPr>
                <w:rFonts w:hint="eastAsia"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0" w:type="dxa"/>
            <w:vAlign w:val="center"/>
            <w:textDirection w:val="lrTb"/>
            <w:noWrap/>
          </w:tcPr>
          <w:p>
            <w:pPr>
              <w:pStyle w:val="864"/>
              <w:ind w:firstLine="420"/>
              <w:spacing w:line="360" w:lineRule="auto"/>
              <w:rPr>
                <w:rFonts w:hint="eastAsia" w:ascii="宋体"/>
                <w:color w:val="000000"/>
                <w:szCs w:val="21"/>
                <w:highlight w:val="none"/>
              </w:rPr>
            </w:pPr>
            <w:r>
              <w:rPr>
                <w:rFonts w:hint="eastAsia"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12" w:type="dxa"/>
            <w:vAlign w:val="center"/>
            <w:textDirection w:val="lrTb"/>
            <w:noWrap/>
          </w:tcPr>
          <w:p>
            <w:pPr>
              <w:pStyle w:val="864"/>
              <w:ind w:firstLine="420"/>
              <w:spacing w:line="360" w:lineRule="auto"/>
              <w:rPr>
                <w:rFonts w:hint="eastAsia" w:ascii="宋体"/>
                <w:color w:val="000000"/>
                <w:szCs w:val="21"/>
                <w:highlight w:val="none"/>
              </w:rPr>
            </w:pPr>
            <w:r>
              <w:rPr>
                <w:rFonts w:hint="eastAsia" w:ascii="宋体"/>
                <w:color w:val="000000"/>
                <w:szCs w:val="21"/>
                <w:highlight w:val="none"/>
              </w:rPr>
            </w:r>
            <w:r/>
          </w:p>
        </w:tc>
      </w:tr>
      <w:tr>
        <w:trPr>
          <w:trHeight w:val="947"/>
        </w:trPr>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pStyle w:val="919"/>
              <w:rPr>
                <w:rFonts w:hint="eastAsia" w:ascii="宋体"/>
                <w:color w:val="000000"/>
                <w:szCs w:val="21"/>
                <w:highlight w:val="none"/>
              </w:rPr>
            </w:pPr>
            <w:r>
              <w:rPr>
                <w:rFonts w:hint="eastAsia"/>
                <w:color w:val="000000"/>
                <w:highlight w:val="none"/>
                <w:lang w:val="en-US" w:eastAsia="zh-CN"/>
              </w:rPr>
              <w:t xml:space="preserve">2名技术人员</w:t>
            </w:r>
            <w:r>
              <w:rPr>
                <w:rFonts w:hint="eastAsia"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193" w:type="dxa"/>
            <w:vAlign w:val="center"/>
            <w:textDirection w:val="lrTb"/>
            <w:noWrap w:val="false"/>
          </w:tcPr>
          <w:p>
            <w:pPr>
              <w:pStyle w:val="919"/>
              <w:rPr>
                <w:rFonts w:hint="eastAsia" w:ascii="宋体"/>
                <w:color w:val="000000"/>
                <w:szCs w:val="21"/>
                <w:highlight w:val="none"/>
              </w:rPr>
            </w:pPr>
            <w:r>
              <w:rPr>
                <w:rFonts w:ascii="宋体"/>
                <w:color w:val="000000"/>
                <w:szCs w:val="21"/>
                <w:highlight w:val="none"/>
              </w:rPr>
              <w:t xml:space="preserve">提供</w:t>
            </w:r>
            <w:r>
              <w:rPr>
                <w:rFonts w:hint="eastAsia" w:ascii="宋体"/>
                <w:color w:val="000000"/>
                <w:szCs w:val="21"/>
                <w:highlight w:val="none"/>
                <w:lang w:eastAsia="zh-CN"/>
              </w:rPr>
              <w:t xml:space="preserve">现场巡查、技术指导等专业</w:t>
            </w:r>
            <w:r>
              <w:rPr>
                <w:rFonts w:ascii="宋体"/>
                <w:color w:val="000000"/>
                <w:szCs w:val="21"/>
                <w:highlight w:val="none"/>
              </w:rPr>
              <w:t xml:space="preserve">服务</w:t>
            </w:r>
            <w:r>
              <w:rPr>
                <w:rFonts w:hint="eastAsia" w:ascii="宋体"/>
                <w:color w:val="000000"/>
                <w:szCs w:val="21"/>
                <w:highlight w:val="none"/>
                <w:lang w:eastAsia="zh-CN"/>
              </w:rPr>
              <w:t xml:space="preserve">，与甲方对接，及时响应</w:t>
            </w:r>
            <w:r>
              <w:rPr>
                <w:rFonts w:hint="eastAsia"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54" w:type="dxa"/>
            <w:vAlign w:val="center"/>
            <w:textDirection w:val="lrTb"/>
            <w:noWrap/>
          </w:tcPr>
          <w:p>
            <w:pPr>
              <w:pStyle w:val="919"/>
              <w:rPr>
                <w:rFonts w:hint="eastAsia" w:ascii="宋体"/>
                <w:color w:val="000000"/>
                <w:szCs w:val="21"/>
                <w:highlight w:val="none"/>
              </w:rPr>
            </w:pPr>
            <w:r>
              <w:rPr>
                <w:color w:val="000000"/>
                <w:highlight w:val="none"/>
              </w:rPr>
              <w:t xml:space="preserve">1年</w:t>
            </w:r>
            <w:r>
              <w:rPr>
                <w:rFonts w:hint="eastAsia"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030" w:type="dxa"/>
            <w:vAlign w:val="center"/>
            <w:textDirection w:val="lrTb"/>
            <w:noWrap/>
          </w:tcPr>
          <w:p>
            <w:pPr>
              <w:pStyle w:val="864"/>
              <w:ind w:firstLine="420"/>
              <w:spacing w:line="360" w:lineRule="auto"/>
              <w:rPr>
                <w:rFonts w:hint="eastAsia" w:ascii="宋体"/>
                <w:color w:val="000000"/>
                <w:szCs w:val="21"/>
                <w:highlight w:val="none"/>
              </w:rPr>
            </w:pPr>
            <w:r>
              <w:rPr>
                <w:rFonts w:hint="eastAsia"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12" w:type="dxa"/>
            <w:vAlign w:val="center"/>
            <w:textDirection w:val="lrTb"/>
            <w:noWrap/>
          </w:tcPr>
          <w:p>
            <w:pPr>
              <w:pStyle w:val="864"/>
              <w:ind w:firstLine="420"/>
              <w:spacing w:line="360" w:lineRule="auto"/>
              <w:rPr>
                <w:rFonts w:hint="eastAsia" w:ascii="宋体"/>
                <w:color w:val="000000"/>
                <w:szCs w:val="21"/>
                <w:highlight w:val="none"/>
              </w:rPr>
            </w:pPr>
            <w:r>
              <w:rPr>
                <w:rFonts w:hint="eastAsia" w:ascii="宋体"/>
                <w:color w:val="000000"/>
                <w:szCs w:val="21"/>
                <w:highlight w:val="none"/>
              </w:rPr>
            </w:r>
            <w:r/>
          </w:p>
        </w:tc>
      </w:tr>
    </w:tbl>
    <w:p>
      <w:pPr>
        <w:pStyle w:val="864"/>
        <w:spacing w:line="360" w:lineRule="auto"/>
        <w:rPr>
          <w:color w:val="000000"/>
          <w:szCs w:val="21"/>
          <w:highlight w:val="none"/>
        </w:rPr>
      </w:pPr>
      <w:r>
        <w:rPr>
          <w:color w:val="000000"/>
          <w:szCs w:val="21"/>
          <w:highlight w:val="none"/>
        </w:rPr>
      </w:r>
      <w:r/>
    </w:p>
    <w:p>
      <w:pPr>
        <w:pStyle w:val="1515"/>
        <w:spacing w:line="360" w:lineRule="auto"/>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注：以上费用包括完成项目内容所涉及到的人工（包括但不限于完成服务内容涉及的其他专家的工资、福利费、保险费用）、交通、通讯、食宿、加班、技术支持与培训及相关劳务支出等完成该项目工作所发生的全部费用以及投标人企业利润、税金和政策性文件规定及合同包含的所有风险、责任等一切费用，除本合同约定由甲方支付的价款外，甲方不再需向乙方支付其他任何费用。</w:t>
      </w:r>
      <w:r>
        <w:rPr>
          <w:rFonts w:ascii="Times New Roman" w:hAnsi="Times New Roman" w:eastAsia="宋体"/>
          <w:color w:val="000000"/>
          <w:sz w:val="21"/>
          <w:szCs w:val="21"/>
          <w:highlight w:val="none"/>
        </w:rPr>
      </w:r>
      <w:r/>
    </w:p>
    <w:p>
      <w:pPr>
        <w:pStyle w:val="1515"/>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1515"/>
        <w:spacing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r>
      <w:r/>
    </w:p>
    <w:p>
      <w:pPr>
        <w:pStyle w:val="1515"/>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投标人：（单位盖章）</w:t>
      </w:r>
      <w:r>
        <w:rPr>
          <w:rFonts w:ascii="Times New Roman" w:hAnsi="Times New Roman" w:eastAsia="宋体"/>
          <w:color w:val="000000"/>
          <w:sz w:val="21"/>
          <w:szCs w:val="21"/>
          <w:highlight w:val="none"/>
        </w:rPr>
      </w:r>
      <w:r/>
    </w:p>
    <w:p>
      <w:pPr>
        <w:pStyle w:val="1515"/>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法定代表人或被授权人：（签字或盖章）</w:t>
      </w:r>
      <w:r>
        <w:rPr>
          <w:rFonts w:ascii="Times New Roman" w:hAnsi="Times New Roman" w:eastAsia="宋体"/>
          <w:color w:val="000000"/>
          <w:sz w:val="21"/>
          <w:szCs w:val="21"/>
          <w:highlight w:val="none"/>
        </w:rPr>
      </w:r>
      <w:r/>
    </w:p>
    <w:p>
      <w:pPr>
        <w:pStyle w:val="1515"/>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日期： </w:t>
      </w:r>
      <w:r>
        <w:rPr>
          <w:rFonts w:hint="eastAsia" w:ascii="Times New Roman" w:hAnsi="Times New Roman" w:eastAsia="宋体"/>
          <w:color w:val="000000"/>
          <w:sz w:val="21"/>
          <w:szCs w:val="21"/>
          <w:highlight w:val="none"/>
        </w:rPr>
        <w:t xml:space="preserve"> </w:t>
      </w:r>
      <w:r>
        <w:rPr>
          <w:rFonts w:ascii="Times New Roman" w:hAnsi="Times New Roman" w:eastAsia="宋体"/>
          <w:color w:val="000000"/>
          <w:sz w:val="21"/>
          <w:szCs w:val="21"/>
          <w:highlight w:val="none"/>
        </w:rPr>
        <w:t xml:space="preserve">  年  月  日</w:t>
      </w:r>
      <w:r>
        <w:rPr>
          <w:rFonts w:ascii="Times New Roman" w:hAnsi="Times New Roman" w:eastAsia="宋体"/>
          <w:color w:val="000000"/>
          <w:sz w:val="21"/>
          <w:szCs w:val="21"/>
          <w:highlight w:val="none"/>
        </w:rPr>
      </w:r>
      <w:r/>
    </w:p>
    <w:p>
      <w:pPr>
        <w:pStyle w:val="864"/>
        <w:jc w:val="right"/>
        <w:rPr>
          <w:rFonts w:hAnsi="宋体"/>
          <w:color w:val="000000"/>
          <w:szCs w:val="21"/>
          <w:highlight w:val="none"/>
        </w:rPr>
      </w:pPr>
      <w:r>
        <w:rPr>
          <w:rFonts w:hAnsi="宋体"/>
          <w:color w:val="000000"/>
          <w:szCs w:val="21"/>
          <w:highlight w:val="none"/>
        </w:rPr>
        <w:t xml:space="preserve">     </w:t>
      </w:r>
      <w:r>
        <w:rPr>
          <w:color w:val="000000"/>
          <w:highlight w:val="none"/>
        </w:rPr>
        <w:br w:type="page" w:clear="all"/>
      </w:r>
      <w:r>
        <w:rPr>
          <w:rFonts w:hAnsi="宋体"/>
          <w:color w:val="000000"/>
          <w:szCs w:val="21"/>
          <w:highlight w:val="none"/>
        </w:rPr>
      </w:r>
      <w:r/>
    </w:p>
    <w:p>
      <w:pPr>
        <w:pStyle w:val="1054"/>
        <w:ind w:left="567" w:hanging="567"/>
        <w:spacing w:before="120" w:after="120" w:line="240" w:lineRule="auto"/>
        <w:rPr>
          <w:rFonts w:ascii="宋体" w:cs="宋体"/>
          <w:color w:val="000000"/>
          <w:sz w:val="24"/>
          <w:szCs w:val="24"/>
          <w:highlight w:val="none"/>
        </w:rPr>
      </w:pPr>
      <w:r/>
      <w:bookmarkEnd w:id="48"/>
      <w:r/>
      <w:bookmarkStart w:id="49" w:name="_中小企业声明函"/>
      <w:r/>
      <w:bookmarkEnd w:id="49"/>
      <w:r/>
      <w:bookmarkStart w:id="50" w:name="_Toc161752430"/>
      <w:r/>
      <w:bookmarkStart w:id="51" w:name="_Toc134091575"/>
      <w:r/>
      <w:bookmarkStart w:id="52" w:name="_Ref22898688"/>
      <w:r/>
      <w:bookmarkStart w:id="53" w:name="_Toc497431311"/>
      <w:r/>
      <w:bookmarkStart w:id="54" w:name="_Ref343881462"/>
      <w:r/>
      <w:bookmarkStart w:id="55" w:name="_Ref62217947"/>
      <w:r>
        <w:rPr>
          <w:rFonts w:hint="eastAsia" w:ascii="宋体" w:cs="宋体"/>
          <w:color w:val="000000"/>
          <w:sz w:val="24"/>
          <w:szCs w:val="24"/>
          <w:highlight w:val="none"/>
        </w:rPr>
        <w:t xml:space="preserve">格式7、偏离表</w:t>
      </w:r>
      <w:bookmarkEnd w:id="50"/>
      <w:r/>
      <w:bookmarkEnd w:id="51"/>
      <w:r/>
      <w:bookmarkEnd w:id="52"/>
      <w:r/>
      <w:bookmarkEnd w:id="53"/>
      <w:r/>
      <w:bookmarkEnd w:id="54"/>
      <w:r/>
      <w:bookmarkEnd w:id="55"/>
      <w:r>
        <w:rPr>
          <w:rFonts w:ascii="宋体" w:cs="宋体"/>
          <w:color w:val="000000"/>
          <w:sz w:val="24"/>
          <w:szCs w:val="24"/>
          <w:highlight w:val="none"/>
        </w:rPr>
      </w:r>
      <w:r/>
    </w:p>
    <w:p>
      <w:pPr>
        <w:pStyle w:val="864"/>
        <w:spacing w:line="280" w:lineRule="exact"/>
        <w:rPr>
          <w:rFonts w:ascii="宋体" w:hAnsi="宋体"/>
          <w:color w:val="000000"/>
          <w:szCs w:val="21"/>
          <w:highlight w:val="none"/>
        </w:rPr>
      </w:pPr>
      <w:r/>
      <w:bookmarkStart w:id="56" w:name="_Toc140761638"/>
      <w:r/>
      <w:bookmarkStart w:id="57" w:name="_Hlk162859141"/>
      <w:r>
        <w:rPr>
          <w:rFonts w:hint="eastAsia" w:ascii="宋体" w:hAnsi="宋体"/>
          <w:color w:val="000000"/>
          <w:szCs w:val="21"/>
          <w:highlight w:val="none"/>
        </w:rPr>
        <w:t xml:space="preserve">1、偏离表（商务）：</w:t>
      </w:r>
      <w:bookmarkEnd w:id="56"/>
      <w:r>
        <w:rPr>
          <w:rFonts w:ascii="宋体" w:hAnsi="宋体"/>
          <w:color w:val="000000"/>
          <w:szCs w:val="21"/>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center"/>
            <w:textDirection w:val="lrTb"/>
            <w:noWrap w:val="false"/>
          </w:tcPr>
          <w:p>
            <w:pPr>
              <w:pStyle w:val="1066"/>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项      目</w:t>
            </w:r>
            <w:r>
              <w:rPr>
                <w:rFonts w:ascii="宋体" w:hAnsi="宋体" w:eastAsia="宋体"/>
                <w:color w:val="000000"/>
                <w:sz w:val="21"/>
                <w:szCs w:val="21"/>
                <w:highlight w:val="none"/>
              </w:rPr>
            </w:r>
            <w:r/>
          </w:p>
        </w:tc>
        <w:tc>
          <w:tcPr>
            <w:tcW w:w="2130" w:type="dxa"/>
            <w:vAlign w:val="center"/>
            <w:textDirection w:val="lrTb"/>
            <w:noWrap w:val="false"/>
          </w:tcPr>
          <w:p>
            <w:pPr>
              <w:pStyle w:val="1066"/>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招标要求（详见招标文件）</w:t>
            </w:r>
            <w:r>
              <w:rPr>
                <w:rFonts w:ascii="宋体" w:hAnsi="宋体" w:eastAsia="宋体"/>
                <w:color w:val="000000"/>
                <w:sz w:val="21"/>
                <w:szCs w:val="21"/>
                <w:highlight w:val="none"/>
              </w:rPr>
            </w:r>
            <w:r/>
          </w:p>
        </w:tc>
        <w:tc>
          <w:tcPr>
            <w:tcW w:w="1944" w:type="dxa"/>
            <w:vAlign w:val="center"/>
            <w:textDirection w:val="lrTb"/>
            <w:noWrap w:val="false"/>
          </w:tcPr>
          <w:p>
            <w:pPr>
              <w:pStyle w:val="1066"/>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投标内容（响应情况）</w:t>
            </w:r>
            <w:r>
              <w:rPr>
                <w:rFonts w:ascii="宋体" w:hAnsi="宋体" w:eastAsia="宋体"/>
                <w:color w:val="000000"/>
                <w:sz w:val="21"/>
                <w:szCs w:val="21"/>
                <w:highlight w:val="none"/>
              </w:rPr>
            </w:r>
            <w:r/>
          </w:p>
        </w:tc>
        <w:tc>
          <w:tcPr>
            <w:tcW w:w="2318" w:type="dxa"/>
            <w:vAlign w:val="center"/>
            <w:textDirection w:val="lrTb"/>
            <w:noWrap w:val="false"/>
          </w:tcPr>
          <w:p>
            <w:pPr>
              <w:pStyle w:val="1066"/>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偏离说明（正偏离、无偏离、负偏离）</w:t>
            </w:r>
            <w:r>
              <w:rPr>
                <w:rFonts w:ascii="宋体" w:hAnsi="宋体" w:eastAsia="宋体"/>
                <w:color w:val="000000"/>
                <w:sz w:val="21"/>
                <w:szCs w:val="21"/>
                <w:highlight w:val="none"/>
              </w:rPr>
            </w:r>
            <w:r/>
          </w:p>
        </w:tc>
      </w:tr>
      <w:tr>
        <w:trPr/>
        <w:tc>
          <w:tcPr>
            <w:tcW w:w="2130" w:type="dxa"/>
            <w:vAlign w:val="center"/>
            <w:textDirection w:val="lrTb"/>
            <w:noWrap w:val="false"/>
          </w:tcPr>
          <w:p>
            <w:pPr>
              <w:pStyle w:val="1066"/>
              <w:ind w:firstLine="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工期（服务期）</w:t>
            </w:r>
            <w:r>
              <w:rPr>
                <w:rFonts w:ascii="宋体" w:hAnsi="宋体" w:eastAsia="宋体"/>
                <w:color w:val="000000"/>
                <w:sz w:val="21"/>
                <w:szCs w:val="21"/>
                <w:highlight w:val="none"/>
              </w:rPr>
            </w:r>
            <w:r/>
          </w:p>
        </w:tc>
        <w:tc>
          <w:tcPr>
            <w:tcW w:w="2130" w:type="dxa"/>
            <w:vAlign w:val="top"/>
            <w:textDirection w:val="lrTb"/>
            <w:noWrap w:val="false"/>
          </w:tcPr>
          <w:p>
            <w:pPr>
              <w:pStyle w:val="106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106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106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1066"/>
              <w:ind w:firstLine="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响应时间</w:t>
            </w:r>
            <w:r>
              <w:rPr>
                <w:rFonts w:ascii="宋体" w:hAnsi="宋体" w:eastAsia="宋体"/>
                <w:color w:val="000000"/>
                <w:sz w:val="21"/>
                <w:szCs w:val="21"/>
                <w:highlight w:val="none"/>
              </w:rPr>
            </w:r>
            <w:r/>
          </w:p>
        </w:tc>
        <w:tc>
          <w:tcPr>
            <w:tcW w:w="2130" w:type="dxa"/>
            <w:vAlign w:val="top"/>
            <w:textDirection w:val="lrTb"/>
            <w:noWrap w:val="false"/>
          </w:tcPr>
          <w:p>
            <w:pPr>
              <w:pStyle w:val="106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106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106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1066"/>
              <w:ind w:firstLine="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质保期（如有）</w:t>
            </w:r>
            <w:r>
              <w:rPr>
                <w:rFonts w:ascii="宋体" w:hAnsi="宋体" w:eastAsia="宋体"/>
                <w:color w:val="000000"/>
                <w:sz w:val="21"/>
                <w:szCs w:val="21"/>
                <w:highlight w:val="none"/>
              </w:rPr>
            </w:r>
            <w:r/>
          </w:p>
        </w:tc>
        <w:tc>
          <w:tcPr>
            <w:tcW w:w="2130" w:type="dxa"/>
            <w:vAlign w:val="top"/>
            <w:textDirection w:val="lrTb"/>
            <w:noWrap w:val="false"/>
          </w:tcPr>
          <w:p>
            <w:pPr>
              <w:pStyle w:val="106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106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106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1066"/>
              <w:ind w:firstLine="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付款方式</w:t>
            </w:r>
            <w:r>
              <w:rPr>
                <w:rFonts w:ascii="宋体" w:hAnsi="宋体" w:eastAsia="宋体"/>
                <w:color w:val="000000"/>
                <w:sz w:val="21"/>
                <w:szCs w:val="21"/>
                <w:highlight w:val="none"/>
              </w:rPr>
            </w:r>
            <w:r/>
          </w:p>
        </w:tc>
        <w:tc>
          <w:tcPr>
            <w:tcW w:w="2130" w:type="dxa"/>
            <w:vAlign w:val="top"/>
            <w:textDirection w:val="lrTb"/>
            <w:noWrap w:val="false"/>
          </w:tcPr>
          <w:p>
            <w:pPr>
              <w:pStyle w:val="106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106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106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1066"/>
              <w:ind w:firstLine="0"/>
              <w:jc w:val="both"/>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130" w:type="dxa"/>
            <w:vAlign w:val="top"/>
            <w:textDirection w:val="lrTb"/>
            <w:noWrap w:val="false"/>
          </w:tcPr>
          <w:p>
            <w:pPr>
              <w:pStyle w:val="106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106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106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bl>
    <w:p>
      <w:pPr>
        <w:pStyle w:val="1066"/>
        <w:ind w:firstLine="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投标人（单位盖章）：</w:t>
      </w:r>
      <w:r>
        <w:rPr>
          <w:rFonts w:ascii="宋体" w:hAnsi="宋体" w:eastAsia="宋体"/>
          <w:color w:val="000000"/>
          <w:sz w:val="21"/>
          <w:szCs w:val="21"/>
          <w:highlight w:val="none"/>
        </w:rPr>
      </w:r>
      <w:r/>
    </w:p>
    <w:p>
      <w:pPr>
        <w:pStyle w:val="1066"/>
        <w:ind w:firstLine="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法定代表人或被授权人（签字或盖章）：                         年  月  日</w:t>
      </w:r>
      <w:r>
        <w:rPr>
          <w:rFonts w:hint="eastAsia" w:ascii="宋体" w:hAnsi="宋体" w:eastAsia="宋体"/>
          <w:color w:val="000000"/>
          <w:sz w:val="21"/>
          <w:szCs w:val="21"/>
          <w:highlight w:val="none"/>
        </w:rPr>
      </w:r>
      <w:r/>
    </w:p>
    <w:p>
      <w:pPr>
        <w:pStyle w:val="864"/>
        <w:spacing w:line="280" w:lineRule="exact"/>
        <w:rPr>
          <w:rFonts w:hint="eastAsia" w:ascii="宋体" w:hAnsi="宋体" w:cs="Arial"/>
          <w:color w:val="000000"/>
          <w:szCs w:val="21"/>
          <w:highlight w:val="none"/>
        </w:rPr>
      </w:pPr>
      <w:r>
        <w:rPr>
          <w:rFonts w:hint="eastAsia" w:ascii="宋体" w:hAnsi="宋体" w:cs="Arial"/>
          <w:color w:val="000000"/>
          <w:szCs w:val="21"/>
          <w:highlight w:val="none"/>
        </w:rPr>
      </w:r>
      <w:r/>
    </w:p>
    <w:p>
      <w:pPr>
        <w:pStyle w:val="106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864"/>
        <w:spacing w:line="280" w:lineRule="exact"/>
        <w:rPr>
          <w:rFonts w:ascii="宋体" w:hAnsi="宋体"/>
          <w:color w:val="000000"/>
          <w:szCs w:val="21"/>
          <w:highlight w:val="none"/>
        </w:rPr>
      </w:pPr>
      <w:r/>
      <w:bookmarkStart w:id="58" w:name="_Toc140761639"/>
      <w:r/>
      <w:bookmarkStart w:id="59" w:name="_Ref501489596"/>
      <w:r>
        <w:rPr>
          <w:rFonts w:hint="eastAsia" w:ascii="宋体" w:hAnsi="宋体"/>
          <w:color w:val="000000"/>
          <w:szCs w:val="21"/>
          <w:highlight w:val="none"/>
        </w:rPr>
        <w:t xml:space="preserve">2、偏离表（技术）：</w:t>
      </w:r>
      <w:bookmarkEnd w:id="58"/>
      <w:r/>
      <w:bookmarkEnd w:id="59"/>
      <w:r>
        <w:rPr>
          <w:rFonts w:ascii="宋体" w:hAnsi="宋体"/>
          <w:color w:val="000000"/>
          <w:szCs w:val="21"/>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center"/>
            <w:textDirection w:val="lrTb"/>
            <w:noWrap w:val="false"/>
          </w:tcPr>
          <w:p>
            <w:pPr>
              <w:pStyle w:val="1066"/>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项      目</w:t>
            </w:r>
            <w:r>
              <w:rPr>
                <w:rFonts w:ascii="宋体" w:hAnsi="宋体" w:eastAsia="宋体"/>
                <w:color w:val="000000"/>
                <w:sz w:val="21"/>
                <w:szCs w:val="21"/>
                <w:highlight w:val="none"/>
              </w:rPr>
            </w:r>
            <w:r/>
          </w:p>
        </w:tc>
        <w:tc>
          <w:tcPr>
            <w:tcW w:w="2130" w:type="dxa"/>
            <w:vAlign w:val="center"/>
            <w:textDirection w:val="lrTb"/>
            <w:noWrap w:val="false"/>
          </w:tcPr>
          <w:p>
            <w:pPr>
              <w:pStyle w:val="1066"/>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招标要求（详见招标文件）</w:t>
            </w:r>
            <w:r>
              <w:rPr>
                <w:rFonts w:ascii="宋体" w:hAnsi="宋体" w:eastAsia="宋体"/>
                <w:color w:val="000000"/>
                <w:sz w:val="21"/>
                <w:szCs w:val="21"/>
                <w:highlight w:val="none"/>
              </w:rPr>
            </w:r>
            <w:r/>
          </w:p>
        </w:tc>
        <w:tc>
          <w:tcPr>
            <w:tcW w:w="1944" w:type="dxa"/>
            <w:vAlign w:val="center"/>
            <w:textDirection w:val="lrTb"/>
            <w:noWrap w:val="false"/>
          </w:tcPr>
          <w:p>
            <w:pPr>
              <w:pStyle w:val="1066"/>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投标内容（响应情况）</w:t>
            </w:r>
            <w:r>
              <w:rPr>
                <w:rFonts w:ascii="宋体" w:hAnsi="宋体" w:eastAsia="宋体"/>
                <w:color w:val="000000"/>
                <w:sz w:val="21"/>
                <w:szCs w:val="21"/>
                <w:highlight w:val="none"/>
              </w:rPr>
            </w:r>
            <w:r/>
          </w:p>
        </w:tc>
        <w:tc>
          <w:tcPr>
            <w:tcW w:w="2318" w:type="dxa"/>
            <w:vAlign w:val="center"/>
            <w:textDirection w:val="lrTb"/>
            <w:noWrap w:val="false"/>
          </w:tcPr>
          <w:p>
            <w:pPr>
              <w:pStyle w:val="1066"/>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偏离说明（正偏离、无偏离、负偏离）</w:t>
            </w:r>
            <w:r>
              <w:rPr>
                <w:rFonts w:ascii="宋体" w:hAnsi="宋体" w:eastAsia="宋体"/>
                <w:color w:val="000000"/>
                <w:sz w:val="21"/>
                <w:szCs w:val="21"/>
                <w:highlight w:val="none"/>
              </w:rPr>
            </w:r>
            <w:r/>
          </w:p>
        </w:tc>
      </w:tr>
      <w:tr>
        <w:trPr/>
        <w:tc>
          <w:tcPr>
            <w:tcW w:w="2130" w:type="dxa"/>
            <w:vAlign w:val="center"/>
            <w:textDirection w:val="lrTb"/>
            <w:noWrap w:val="false"/>
          </w:tcPr>
          <w:p>
            <w:pPr>
              <w:pStyle w:val="1066"/>
              <w:ind w:firstLine="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标的物</w:t>
            </w:r>
            <w:r>
              <w:rPr>
                <w:rFonts w:ascii="宋体" w:hAnsi="宋体" w:eastAsia="宋体"/>
                <w:color w:val="000000"/>
                <w:sz w:val="21"/>
                <w:szCs w:val="21"/>
                <w:highlight w:val="none"/>
              </w:rPr>
            </w:r>
            <w:r/>
          </w:p>
        </w:tc>
        <w:tc>
          <w:tcPr>
            <w:tcW w:w="2130" w:type="dxa"/>
            <w:vAlign w:val="top"/>
            <w:textDirection w:val="lrTb"/>
            <w:noWrap w:val="false"/>
          </w:tcPr>
          <w:p>
            <w:pPr>
              <w:pStyle w:val="106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106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106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1066"/>
              <w:ind w:firstLine="0"/>
              <w:jc w:val="both"/>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tc>
        <w:tc>
          <w:tcPr>
            <w:tcW w:w="2130" w:type="dxa"/>
            <w:vAlign w:val="top"/>
            <w:textDirection w:val="lrTb"/>
            <w:noWrap w:val="false"/>
          </w:tcPr>
          <w:p>
            <w:pPr>
              <w:pStyle w:val="106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106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106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1066"/>
              <w:ind w:firstLine="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tc>
        <w:tc>
          <w:tcPr>
            <w:tcW w:w="2130" w:type="dxa"/>
            <w:vAlign w:val="top"/>
            <w:textDirection w:val="lrTb"/>
            <w:noWrap w:val="false"/>
          </w:tcPr>
          <w:p>
            <w:pPr>
              <w:pStyle w:val="106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106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106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1066"/>
              <w:ind w:firstLine="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tc>
        <w:tc>
          <w:tcPr>
            <w:tcW w:w="2130" w:type="dxa"/>
            <w:vAlign w:val="top"/>
            <w:textDirection w:val="lrTb"/>
            <w:noWrap w:val="false"/>
          </w:tcPr>
          <w:p>
            <w:pPr>
              <w:pStyle w:val="106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106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106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1066"/>
              <w:ind w:firstLine="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…………（根据采购内容自行列明）</w:t>
            </w:r>
            <w:r>
              <w:rPr>
                <w:rFonts w:ascii="宋体" w:hAnsi="宋体" w:eastAsia="宋体"/>
                <w:color w:val="000000"/>
                <w:sz w:val="21"/>
                <w:szCs w:val="21"/>
                <w:highlight w:val="none"/>
              </w:rPr>
            </w:r>
            <w:r/>
          </w:p>
        </w:tc>
        <w:tc>
          <w:tcPr>
            <w:tcW w:w="2130" w:type="dxa"/>
            <w:vAlign w:val="top"/>
            <w:textDirection w:val="lrTb"/>
            <w:noWrap w:val="false"/>
          </w:tcPr>
          <w:p>
            <w:pPr>
              <w:pStyle w:val="106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106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1066"/>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bl>
    <w:p>
      <w:pPr>
        <w:pStyle w:val="1066"/>
        <w:ind w:firstLine="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投标人（单位盖章）：</w:t>
      </w:r>
      <w:r>
        <w:rPr>
          <w:rFonts w:ascii="宋体" w:hAnsi="宋体" w:eastAsia="宋体"/>
          <w:color w:val="000000"/>
          <w:sz w:val="21"/>
          <w:szCs w:val="21"/>
          <w:highlight w:val="none"/>
        </w:rPr>
      </w:r>
      <w:r/>
    </w:p>
    <w:p>
      <w:pPr>
        <w:pStyle w:val="1066"/>
        <w:ind w:firstLine="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法定代表人或被授权人（签字或盖章）：                         年  月  日</w:t>
      </w:r>
      <w:r>
        <w:rPr>
          <w:rFonts w:hint="eastAsia" w:ascii="宋体" w:hAnsi="宋体" w:eastAsia="宋体"/>
          <w:color w:val="000000"/>
          <w:sz w:val="21"/>
          <w:szCs w:val="21"/>
          <w:highlight w:val="none"/>
        </w:rPr>
      </w:r>
      <w:r/>
    </w:p>
    <w:p>
      <w:pPr>
        <w:pStyle w:val="864"/>
        <w:spacing w:line="280" w:lineRule="exact"/>
        <w:rPr>
          <w:rFonts w:hint="eastAsia" w:ascii="宋体" w:hAnsi="宋体"/>
          <w:color w:val="000000"/>
          <w:szCs w:val="21"/>
          <w:highlight w:val="none"/>
        </w:rPr>
      </w:pPr>
      <w:r>
        <w:rPr>
          <w:rFonts w:hint="eastAsia" w:ascii="宋体" w:hAnsi="宋体"/>
          <w:color w:val="000000"/>
          <w:szCs w:val="21"/>
          <w:highlight w:val="none"/>
        </w:rPr>
      </w:r>
      <w:r/>
    </w:p>
    <w:p>
      <w:pPr>
        <w:pStyle w:val="864"/>
        <w:spacing w:line="280" w:lineRule="exact"/>
        <w:rPr>
          <w:rFonts w:ascii="宋体" w:hAnsi="宋体"/>
          <w:color w:val="000000"/>
          <w:szCs w:val="21"/>
          <w:highlight w:val="none"/>
        </w:rPr>
      </w:pPr>
      <w:r>
        <w:rPr>
          <w:rFonts w:ascii="宋体" w:hAnsi="宋体"/>
          <w:color w:val="000000"/>
          <w:szCs w:val="21"/>
          <w:highlight w:val="none"/>
        </w:rPr>
        <w:t xml:space="preserve">注：如无特殊注明，只需注明有偏离部分，全无偏离的，注明无偏离即可。</w:t>
      </w:r>
      <w:r>
        <w:rPr>
          <w:rFonts w:ascii="宋体" w:hAnsi="宋体"/>
          <w:color w:val="000000"/>
          <w:szCs w:val="21"/>
          <w:highlight w:val="none"/>
        </w:rPr>
      </w:r>
      <w:r/>
    </w:p>
    <w:p>
      <w:pPr>
        <w:pStyle w:val="1066"/>
        <w:ind w:firstLine="0"/>
        <w:spacing w:line="360" w:lineRule="auto"/>
        <w:rPr>
          <w:rFonts w:hint="eastAsia" w:ascii="宋体" w:hAnsi="宋体" w:eastAsia="宋体"/>
          <w:color w:val="000000"/>
          <w:szCs w:val="24"/>
          <w:highlight w:val="none"/>
        </w:rPr>
      </w:pPr>
      <w:r/>
      <w:bookmarkEnd w:id="57"/>
      <w:r>
        <w:rPr>
          <w:rFonts w:ascii="宋体" w:hAnsi="宋体" w:eastAsia="宋体"/>
          <w:color w:val="000000"/>
          <w:szCs w:val="24"/>
          <w:highlight w:val="none"/>
        </w:rPr>
        <w:br w:type="page" w:clear="all"/>
      </w:r>
      <w:r>
        <w:rPr>
          <w:rFonts w:hint="eastAsia" w:ascii="宋体" w:hAnsi="宋体" w:eastAsia="宋体"/>
          <w:color w:val="000000"/>
          <w:szCs w:val="24"/>
          <w:highlight w:val="none"/>
        </w:rPr>
      </w:r>
      <w:r/>
    </w:p>
    <w:p>
      <w:pPr>
        <w:pStyle w:val="1054"/>
        <w:ind w:left="567" w:hanging="567"/>
        <w:spacing w:before="0" w:after="0" w:line="360" w:lineRule="auto"/>
        <w:rPr>
          <w:rFonts w:hint="eastAsia" w:ascii="宋体"/>
          <w:color w:val="000000"/>
          <w:sz w:val="24"/>
          <w:szCs w:val="24"/>
          <w:highlight w:val="none"/>
          <w:lang w:val="zh-CN"/>
        </w:rPr>
      </w:pPr>
      <w:r/>
      <w:bookmarkStart w:id="60" w:name="_Toc134091576"/>
      <w:r/>
      <w:bookmarkStart w:id="61" w:name="_Toc161752431"/>
      <w:r/>
      <w:bookmarkStart w:id="62" w:name="_Ref504661308"/>
      <w:r>
        <w:rPr>
          <w:rFonts w:hint="eastAsia" w:ascii="宋体"/>
          <w:color w:val="000000"/>
          <w:sz w:val="24"/>
          <w:szCs w:val="24"/>
          <w:highlight w:val="none"/>
          <w:lang w:val="zh-CN"/>
        </w:rPr>
        <w:t xml:space="preserve">格式</w:t>
      </w:r>
      <w:r>
        <w:rPr>
          <w:rFonts w:hint="eastAsia" w:ascii="宋体"/>
          <w:color w:val="000000"/>
          <w:sz w:val="24"/>
          <w:szCs w:val="24"/>
          <w:highlight w:val="none"/>
        </w:rPr>
        <w:t xml:space="preserve">8</w:t>
      </w:r>
      <w:r>
        <w:rPr>
          <w:rFonts w:hint="eastAsia" w:ascii="宋体"/>
          <w:color w:val="000000"/>
          <w:sz w:val="24"/>
          <w:szCs w:val="24"/>
          <w:highlight w:val="none"/>
          <w:lang w:val="zh-CN"/>
        </w:rPr>
        <w:t xml:space="preserve">、项目组人员一览表</w:t>
      </w:r>
      <w:bookmarkEnd w:id="60"/>
      <w:r/>
      <w:bookmarkEnd w:id="61"/>
      <w:r/>
      <w:bookmarkEnd w:id="62"/>
      <w:r>
        <w:rPr>
          <w:rFonts w:hint="eastAsia" w:ascii="宋体"/>
          <w:color w:val="000000"/>
          <w:sz w:val="24"/>
          <w:szCs w:val="24"/>
          <w:highlight w:val="none"/>
          <w:lang w:val="zh-CN"/>
        </w:rPr>
      </w:r>
      <w:r/>
    </w:p>
    <w:p>
      <w:pPr>
        <w:pStyle w:val="864"/>
        <w:jc w:val="center"/>
        <w:spacing w:line="360" w:lineRule="auto"/>
        <w:rPr>
          <w:color w:val="000000"/>
          <w:szCs w:val="21"/>
          <w:highlight w:val="none"/>
        </w:rPr>
      </w:pPr>
      <w:r>
        <w:rPr>
          <w:b/>
          <w:color w:val="000000"/>
          <w:szCs w:val="21"/>
          <w:highlight w:val="none"/>
        </w:rPr>
        <w:t xml:space="preserve">项目组成员一览表</w:t>
      </w:r>
      <w:r>
        <w:rPr>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459"/>
        <w:gridCol w:w="1459"/>
        <w:gridCol w:w="1459"/>
        <w:gridCol w:w="1459"/>
        <w:gridCol w:w="1459"/>
        <w:gridCol w:w="1459"/>
      </w:tblGrid>
      <w:tr>
        <w:trPr>
          <w:trHeight w:val="731" w:hRule="exact"/>
        </w:trPr>
        <w:tc>
          <w:tcPr>
            <w:tcW w:w="817" w:type="dxa"/>
            <w:vAlign w:val="center"/>
            <w:textDirection w:val="lrTb"/>
            <w:noWrap w:val="false"/>
          </w:tcPr>
          <w:p>
            <w:pPr>
              <w:pStyle w:val="1066"/>
              <w:ind w:firstLine="0"/>
              <w:jc w:val="center"/>
              <w:rPr>
                <w:rFonts w:eastAsia="宋体"/>
                <w:color w:val="000000"/>
                <w:sz w:val="21"/>
                <w:szCs w:val="21"/>
                <w:highlight w:val="none"/>
              </w:rPr>
            </w:pPr>
            <w:r>
              <w:rPr>
                <w:rFonts w:eastAsia="宋体"/>
                <w:color w:val="000000"/>
                <w:sz w:val="21"/>
                <w:szCs w:val="21"/>
                <w:highlight w:val="none"/>
              </w:rPr>
              <w:t xml:space="preserve">序号</w:t>
            </w:r>
            <w:r>
              <w:rPr>
                <w:rFonts w:eastAsia="宋体"/>
                <w:color w:val="000000"/>
                <w:sz w:val="21"/>
                <w:szCs w:val="21"/>
                <w:highlight w:val="none"/>
              </w:rPr>
            </w:r>
            <w:r/>
          </w:p>
        </w:tc>
        <w:tc>
          <w:tcPr>
            <w:tcW w:w="1459" w:type="dxa"/>
            <w:vAlign w:val="center"/>
            <w:textDirection w:val="lrTb"/>
            <w:noWrap w:val="false"/>
          </w:tcPr>
          <w:p>
            <w:pPr>
              <w:pStyle w:val="1066"/>
              <w:ind w:firstLine="0"/>
              <w:jc w:val="center"/>
              <w:rPr>
                <w:rFonts w:eastAsia="宋体"/>
                <w:color w:val="000000"/>
                <w:sz w:val="21"/>
                <w:szCs w:val="21"/>
                <w:highlight w:val="none"/>
              </w:rPr>
            </w:pPr>
            <w:r>
              <w:rPr>
                <w:rFonts w:eastAsia="宋体"/>
                <w:color w:val="000000"/>
                <w:sz w:val="21"/>
                <w:szCs w:val="21"/>
                <w:highlight w:val="none"/>
              </w:rPr>
              <w:t xml:space="preserve">岗位</w:t>
            </w:r>
            <w:r>
              <w:rPr>
                <w:rFonts w:eastAsia="宋体"/>
                <w:color w:val="000000"/>
                <w:sz w:val="21"/>
                <w:szCs w:val="21"/>
                <w:highlight w:val="none"/>
              </w:rPr>
            </w:r>
            <w:r/>
          </w:p>
        </w:tc>
        <w:tc>
          <w:tcPr>
            <w:tcW w:w="1459" w:type="dxa"/>
            <w:vAlign w:val="center"/>
            <w:textDirection w:val="lrTb"/>
            <w:noWrap w:val="false"/>
          </w:tcPr>
          <w:p>
            <w:pPr>
              <w:pStyle w:val="1066"/>
              <w:ind w:firstLine="0"/>
              <w:jc w:val="center"/>
              <w:rPr>
                <w:rFonts w:eastAsia="宋体"/>
                <w:color w:val="000000"/>
                <w:sz w:val="21"/>
                <w:szCs w:val="21"/>
                <w:highlight w:val="none"/>
              </w:rPr>
            </w:pPr>
            <w:r>
              <w:rPr>
                <w:rFonts w:eastAsia="宋体"/>
                <w:color w:val="000000"/>
                <w:sz w:val="21"/>
                <w:szCs w:val="21"/>
                <w:highlight w:val="none"/>
              </w:rPr>
              <w:t xml:space="preserve">姓名</w:t>
            </w:r>
            <w:r>
              <w:rPr>
                <w:rFonts w:eastAsia="宋体"/>
                <w:color w:val="000000"/>
                <w:sz w:val="21"/>
                <w:szCs w:val="21"/>
                <w:highlight w:val="none"/>
              </w:rPr>
            </w:r>
            <w:r/>
          </w:p>
        </w:tc>
        <w:tc>
          <w:tcPr>
            <w:tcW w:w="1459" w:type="dxa"/>
            <w:vAlign w:val="center"/>
            <w:textDirection w:val="lrTb"/>
            <w:noWrap w:val="false"/>
          </w:tcPr>
          <w:p>
            <w:pPr>
              <w:pStyle w:val="1066"/>
              <w:ind w:firstLine="0"/>
              <w:jc w:val="center"/>
              <w:rPr>
                <w:rFonts w:eastAsia="宋体"/>
                <w:color w:val="000000"/>
                <w:sz w:val="21"/>
                <w:szCs w:val="21"/>
                <w:highlight w:val="none"/>
              </w:rPr>
            </w:pPr>
            <w:r>
              <w:rPr>
                <w:rFonts w:eastAsia="宋体"/>
                <w:color w:val="000000"/>
                <w:sz w:val="21"/>
                <w:szCs w:val="21"/>
                <w:highlight w:val="none"/>
              </w:rPr>
              <w:t xml:space="preserve">执业资格</w:t>
            </w:r>
            <w:r>
              <w:rPr>
                <w:rFonts w:eastAsia="宋体"/>
                <w:color w:val="000000"/>
                <w:sz w:val="21"/>
                <w:szCs w:val="21"/>
                <w:highlight w:val="none"/>
              </w:rPr>
            </w:r>
            <w:r/>
          </w:p>
        </w:tc>
        <w:tc>
          <w:tcPr>
            <w:tcW w:w="1459" w:type="dxa"/>
            <w:vAlign w:val="center"/>
            <w:textDirection w:val="lrTb"/>
            <w:noWrap w:val="false"/>
          </w:tcPr>
          <w:p>
            <w:pPr>
              <w:pStyle w:val="1066"/>
              <w:ind w:firstLine="0"/>
              <w:jc w:val="center"/>
              <w:rPr>
                <w:rFonts w:eastAsia="宋体"/>
                <w:color w:val="000000"/>
                <w:sz w:val="21"/>
                <w:szCs w:val="21"/>
                <w:highlight w:val="none"/>
              </w:rPr>
            </w:pPr>
            <w:r>
              <w:rPr>
                <w:rFonts w:hint="eastAsia" w:eastAsia="宋体"/>
                <w:color w:val="000000"/>
                <w:sz w:val="21"/>
                <w:szCs w:val="21"/>
                <w:highlight w:val="none"/>
              </w:rPr>
              <w:t xml:space="preserve">职称</w:t>
            </w:r>
            <w:r>
              <w:rPr>
                <w:rFonts w:eastAsia="宋体"/>
                <w:color w:val="000000"/>
                <w:sz w:val="21"/>
                <w:szCs w:val="21"/>
                <w:highlight w:val="none"/>
              </w:rPr>
            </w:r>
            <w:r/>
          </w:p>
        </w:tc>
        <w:tc>
          <w:tcPr>
            <w:tcW w:w="1459" w:type="dxa"/>
            <w:vAlign w:val="center"/>
            <w:textDirection w:val="lrTb"/>
            <w:noWrap w:val="false"/>
          </w:tcPr>
          <w:p>
            <w:pPr>
              <w:pStyle w:val="1066"/>
              <w:ind w:firstLine="0"/>
              <w:jc w:val="center"/>
              <w:rPr>
                <w:rFonts w:hint="eastAsia" w:eastAsia="宋体"/>
                <w:color w:val="000000"/>
                <w:sz w:val="21"/>
                <w:szCs w:val="21"/>
                <w:highlight w:val="none"/>
              </w:rPr>
            </w:pPr>
            <w:r>
              <w:rPr>
                <w:rFonts w:hint="eastAsia" w:eastAsia="宋体"/>
                <w:color w:val="000000"/>
                <w:sz w:val="21"/>
                <w:szCs w:val="21"/>
                <w:highlight w:val="none"/>
              </w:rPr>
              <w:t xml:space="preserve">年龄</w:t>
            </w:r>
            <w:r>
              <w:rPr>
                <w:rFonts w:hint="eastAsia" w:eastAsia="宋体"/>
                <w:color w:val="000000"/>
                <w:sz w:val="21"/>
                <w:szCs w:val="21"/>
                <w:highlight w:val="none"/>
              </w:rPr>
            </w:r>
            <w:r/>
          </w:p>
        </w:tc>
        <w:tc>
          <w:tcPr>
            <w:tcW w:w="1459" w:type="dxa"/>
            <w:vAlign w:val="center"/>
            <w:textDirection w:val="lrTb"/>
            <w:noWrap w:val="false"/>
          </w:tcPr>
          <w:p>
            <w:pPr>
              <w:pStyle w:val="1066"/>
              <w:ind w:firstLine="0"/>
              <w:jc w:val="center"/>
              <w:rPr>
                <w:rFonts w:eastAsia="宋体"/>
                <w:color w:val="000000"/>
                <w:sz w:val="21"/>
                <w:szCs w:val="21"/>
                <w:highlight w:val="none"/>
              </w:rPr>
            </w:pPr>
            <w:r>
              <w:rPr>
                <w:rFonts w:eastAsia="宋体"/>
                <w:color w:val="000000"/>
                <w:sz w:val="21"/>
                <w:szCs w:val="21"/>
                <w:highlight w:val="none"/>
              </w:rPr>
              <w:t xml:space="preserve">备注</w:t>
            </w:r>
            <w:r>
              <w:rPr>
                <w:rFonts w:eastAsia="宋体"/>
                <w:color w:val="000000"/>
                <w:sz w:val="21"/>
                <w:szCs w:val="21"/>
                <w:highlight w:val="none"/>
              </w:rPr>
            </w:r>
            <w:r/>
          </w:p>
        </w:tc>
      </w:tr>
      <w:tr>
        <w:trPr>
          <w:trHeight w:val="454" w:hRule="exact"/>
        </w:trPr>
        <w:tc>
          <w:tcPr>
            <w:tcW w:w="817" w:type="dxa"/>
            <w:vAlign w:val="center"/>
            <w:textDirection w:val="lrTb"/>
            <w:noWrap w:val="false"/>
          </w:tcPr>
          <w:p>
            <w:pPr>
              <w:pStyle w:val="1066"/>
              <w:ind w:firstLine="0"/>
              <w:jc w:val="center"/>
              <w:rPr>
                <w:rFonts w:eastAsia="宋体"/>
                <w:color w:val="000000"/>
                <w:sz w:val="21"/>
                <w:szCs w:val="21"/>
                <w:highlight w:val="none"/>
              </w:rPr>
            </w:pPr>
            <w:r>
              <w:rPr>
                <w:rFonts w:eastAsia="宋体"/>
                <w:color w:val="000000"/>
                <w:sz w:val="21"/>
                <w:szCs w:val="21"/>
                <w:highlight w:val="none"/>
              </w:rPr>
              <w:t xml:space="preserve">1</w:t>
            </w:r>
            <w:r>
              <w:rPr>
                <w:rFonts w:eastAsia="宋体"/>
                <w:color w:val="000000"/>
                <w:sz w:val="21"/>
                <w:szCs w:val="21"/>
                <w:highlight w:val="none"/>
              </w:rPr>
            </w:r>
            <w:r/>
          </w:p>
        </w:tc>
        <w:tc>
          <w:tcPr>
            <w:tcW w:w="1459" w:type="dxa"/>
            <w:vAlign w:val="center"/>
            <w:textDirection w:val="lrTb"/>
            <w:noWrap w:val="false"/>
          </w:tcPr>
          <w:p>
            <w:pPr>
              <w:pStyle w:val="1066"/>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66"/>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66"/>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66"/>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66"/>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66"/>
              <w:ind w:firstLine="0"/>
              <w:jc w:val="center"/>
              <w:rPr>
                <w:rFonts w:eastAsia="宋体"/>
                <w:color w:val="000000"/>
                <w:sz w:val="21"/>
                <w:szCs w:val="21"/>
                <w:highlight w:val="none"/>
              </w:rPr>
            </w:pPr>
            <w:r>
              <w:rPr>
                <w:rFonts w:eastAsia="宋体"/>
                <w:color w:val="000000"/>
                <w:sz w:val="21"/>
                <w:szCs w:val="21"/>
                <w:highlight w:val="none"/>
              </w:rPr>
            </w:r>
            <w:r/>
          </w:p>
        </w:tc>
      </w:tr>
      <w:tr>
        <w:trPr>
          <w:trHeight w:val="454" w:hRule="exact"/>
        </w:trPr>
        <w:tc>
          <w:tcPr>
            <w:tcW w:w="817" w:type="dxa"/>
            <w:vAlign w:val="center"/>
            <w:textDirection w:val="lrTb"/>
            <w:noWrap w:val="false"/>
          </w:tcPr>
          <w:p>
            <w:pPr>
              <w:pStyle w:val="1066"/>
              <w:ind w:firstLine="0"/>
              <w:jc w:val="center"/>
              <w:rPr>
                <w:rFonts w:eastAsia="宋体"/>
                <w:color w:val="000000"/>
                <w:sz w:val="21"/>
                <w:szCs w:val="21"/>
                <w:highlight w:val="none"/>
              </w:rPr>
            </w:pPr>
            <w:r>
              <w:rPr>
                <w:rFonts w:eastAsia="宋体"/>
                <w:color w:val="000000"/>
                <w:sz w:val="21"/>
                <w:szCs w:val="21"/>
                <w:highlight w:val="none"/>
              </w:rPr>
              <w:t xml:space="preserve">2</w:t>
            </w:r>
            <w:r>
              <w:rPr>
                <w:rFonts w:eastAsia="宋体"/>
                <w:color w:val="000000"/>
                <w:sz w:val="21"/>
                <w:szCs w:val="21"/>
                <w:highlight w:val="none"/>
              </w:rPr>
            </w:r>
            <w:r/>
          </w:p>
        </w:tc>
        <w:tc>
          <w:tcPr>
            <w:tcW w:w="1459" w:type="dxa"/>
            <w:vAlign w:val="center"/>
            <w:textDirection w:val="lrTb"/>
            <w:noWrap w:val="false"/>
          </w:tcPr>
          <w:p>
            <w:pPr>
              <w:pStyle w:val="1066"/>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66"/>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66"/>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66"/>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66"/>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66"/>
              <w:ind w:firstLine="0"/>
              <w:jc w:val="center"/>
              <w:rPr>
                <w:rFonts w:eastAsia="宋体"/>
                <w:color w:val="000000"/>
                <w:sz w:val="21"/>
                <w:szCs w:val="21"/>
                <w:highlight w:val="none"/>
              </w:rPr>
            </w:pPr>
            <w:r>
              <w:rPr>
                <w:rFonts w:eastAsia="宋体"/>
                <w:color w:val="000000"/>
                <w:sz w:val="21"/>
                <w:szCs w:val="21"/>
                <w:highlight w:val="none"/>
              </w:rPr>
            </w:r>
            <w:r/>
          </w:p>
        </w:tc>
      </w:tr>
      <w:tr>
        <w:trPr>
          <w:trHeight w:val="454" w:hRule="exact"/>
        </w:trPr>
        <w:tc>
          <w:tcPr>
            <w:tcW w:w="817" w:type="dxa"/>
            <w:vAlign w:val="center"/>
            <w:textDirection w:val="lrTb"/>
            <w:noWrap w:val="false"/>
          </w:tcPr>
          <w:p>
            <w:pPr>
              <w:pStyle w:val="1066"/>
              <w:ind w:firstLine="0"/>
              <w:jc w:val="center"/>
              <w:rPr>
                <w:rFonts w:eastAsia="宋体"/>
                <w:color w:val="000000"/>
                <w:sz w:val="21"/>
                <w:szCs w:val="21"/>
                <w:highlight w:val="none"/>
              </w:rPr>
            </w:pPr>
            <w:r>
              <w:rPr>
                <w:rFonts w:eastAsia="宋体"/>
                <w:color w:val="000000"/>
                <w:sz w:val="21"/>
                <w:szCs w:val="21"/>
                <w:highlight w:val="none"/>
              </w:rPr>
              <w:t xml:space="preserve">3</w:t>
            </w:r>
            <w:r>
              <w:rPr>
                <w:rFonts w:eastAsia="宋体"/>
                <w:color w:val="000000"/>
                <w:sz w:val="21"/>
                <w:szCs w:val="21"/>
                <w:highlight w:val="none"/>
              </w:rPr>
            </w:r>
            <w:r/>
          </w:p>
        </w:tc>
        <w:tc>
          <w:tcPr>
            <w:tcW w:w="1459" w:type="dxa"/>
            <w:vAlign w:val="center"/>
            <w:textDirection w:val="lrTb"/>
            <w:noWrap w:val="false"/>
          </w:tcPr>
          <w:p>
            <w:pPr>
              <w:pStyle w:val="1066"/>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66"/>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66"/>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66"/>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66"/>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66"/>
              <w:ind w:firstLine="0"/>
              <w:jc w:val="center"/>
              <w:rPr>
                <w:rFonts w:eastAsia="宋体"/>
                <w:color w:val="000000"/>
                <w:sz w:val="21"/>
                <w:szCs w:val="21"/>
                <w:highlight w:val="none"/>
              </w:rPr>
            </w:pPr>
            <w:r>
              <w:rPr>
                <w:rFonts w:eastAsia="宋体"/>
                <w:color w:val="000000"/>
                <w:sz w:val="21"/>
                <w:szCs w:val="21"/>
                <w:highlight w:val="none"/>
              </w:rPr>
            </w:r>
            <w:r/>
          </w:p>
        </w:tc>
      </w:tr>
      <w:tr>
        <w:trPr>
          <w:trHeight w:val="454" w:hRule="exact"/>
        </w:trPr>
        <w:tc>
          <w:tcPr>
            <w:tcW w:w="817" w:type="dxa"/>
            <w:vAlign w:val="center"/>
            <w:textDirection w:val="lrTb"/>
            <w:noWrap w:val="false"/>
          </w:tcPr>
          <w:p>
            <w:pPr>
              <w:pStyle w:val="1066"/>
              <w:ind w:firstLine="0"/>
              <w:jc w:val="center"/>
              <w:rPr>
                <w:rFonts w:eastAsia="宋体"/>
                <w:color w:val="000000"/>
                <w:sz w:val="21"/>
                <w:szCs w:val="21"/>
                <w:highlight w:val="none"/>
              </w:rPr>
            </w:pPr>
            <w:r>
              <w:rPr>
                <w:rFonts w:eastAsia="宋体"/>
                <w:color w:val="000000"/>
                <w:sz w:val="21"/>
                <w:szCs w:val="21"/>
                <w:highlight w:val="none"/>
              </w:rPr>
              <w:t xml:space="preserve">…</w:t>
            </w:r>
            <w:r>
              <w:rPr>
                <w:rFonts w:eastAsia="宋体"/>
                <w:color w:val="000000"/>
                <w:sz w:val="21"/>
                <w:szCs w:val="21"/>
                <w:highlight w:val="none"/>
              </w:rPr>
            </w:r>
            <w:r/>
          </w:p>
        </w:tc>
        <w:tc>
          <w:tcPr>
            <w:tcW w:w="1459" w:type="dxa"/>
            <w:vAlign w:val="center"/>
            <w:textDirection w:val="lrTb"/>
            <w:noWrap w:val="false"/>
          </w:tcPr>
          <w:p>
            <w:pPr>
              <w:pStyle w:val="1066"/>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66"/>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66"/>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66"/>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66"/>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66"/>
              <w:ind w:firstLine="0"/>
              <w:jc w:val="center"/>
              <w:rPr>
                <w:rFonts w:eastAsia="宋体"/>
                <w:color w:val="000000"/>
                <w:sz w:val="21"/>
                <w:szCs w:val="21"/>
                <w:highlight w:val="none"/>
              </w:rPr>
            </w:pPr>
            <w:r>
              <w:rPr>
                <w:rFonts w:eastAsia="宋体"/>
                <w:color w:val="000000"/>
                <w:sz w:val="21"/>
                <w:szCs w:val="21"/>
                <w:highlight w:val="none"/>
              </w:rPr>
            </w:r>
            <w:r/>
          </w:p>
        </w:tc>
      </w:tr>
      <w:tr>
        <w:trPr>
          <w:trHeight w:val="454" w:hRule="exact"/>
        </w:trPr>
        <w:tc>
          <w:tcPr>
            <w:tcW w:w="817" w:type="dxa"/>
            <w:vAlign w:val="center"/>
            <w:textDirection w:val="lrTb"/>
            <w:noWrap w:val="false"/>
          </w:tcPr>
          <w:p>
            <w:pPr>
              <w:pStyle w:val="1066"/>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66"/>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66"/>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66"/>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66"/>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66"/>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66"/>
              <w:ind w:firstLine="0"/>
              <w:jc w:val="center"/>
              <w:rPr>
                <w:rFonts w:eastAsia="宋体"/>
                <w:color w:val="000000"/>
                <w:sz w:val="21"/>
                <w:szCs w:val="21"/>
                <w:highlight w:val="none"/>
              </w:rPr>
            </w:pPr>
            <w:r>
              <w:rPr>
                <w:rFonts w:eastAsia="宋体"/>
                <w:color w:val="000000"/>
                <w:sz w:val="21"/>
                <w:szCs w:val="21"/>
                <w:highlight w:val="none"/>
              </w:rPr>
            </w:r>
            <w:r/>
          </w:p>
        </w:tc>
      </w:tr>
    </w:tbl>
    <w:p>
      <w:pPr>
        <w:pStyle w:val="864"/>
        <w:rPr>
          <w:color w:val="000000"/>
          <w:szCs w:val="21"/>
          <w:highlight w:val="none"/>
        </w:rPr>
      </w:pPr>
      <w:r>
        <w:rPr>
          <w:color w:val="000000"/>
          <w:szCs w:val="21"/>
          <w:highlight w:val="none"/>
        </w:rPr>
      </w:r>
      <w:r/>
    </w:p>
    <w:p>
      <w:pPr>
        <w:pStyle w:val="864"/>
        <w:ind w:firstLine="525"/>
        <w:spacing w:line="480" w:lineRule="auto"/>
        <w:rPr>
          <w:color w:val="000000"/>
          <w:szCs w:val="21"/>
          <w:highlight w:val="none"/>
        </w:rPr>
      </w:pPr>
      <w:r>
        <w:rPr>
          <w:color w:val="000000"/>
          <w:szCs w:val="21"/>
          <w:highlight w:val="none"/>
        </w:rPr>
      </w:r>
      <w:r/>
    </w:p>
    <w:p>
      <w:pPr>
        <w:pStyle w:val="1515"/>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投标人：（单位盖章）</w:t>
      </w:r>
      <w:r>
        <w:rPr>
          <w:rFonts w:ascii="Times New Roman" w:hAnsi="Times New Roman" w:eastAsia="宋体"/>
          <w:color w:val="000000"/>
          <w:sz w:val="21"/>
          <w:szCs w:val="21"/>
          <w:highlight w:val="none"/>
        </w:rPr>
      </w:r>
      <w:r/>
    </w:p>
    <w:p>
      <w:pPr>
        <w:pStyle w:val="1515"/>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法定代表人或被授权人：（签字或盖章）</w:t>
      </w:r>
      <w:r>
        <w:rPr>
          <w:rFonts w:ascii="Times New Roman" w:hAnsi="Times New Roman" w:eastAsia="宋体"/>
          <w:color w:val="000000"/>
          <w:sz w:val="21"/>
          <w:szCs w:val="21"/>
          <w:highlight w:val="none"/>
        </w:rPr>
      </w:r>
      <w:r/>
    </w:p>
    <w:p>
      <w:pPr>
        <w:pStyle w:val="1515"/>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日期：</w:t>
      </w:r>
      <w:r>
        <w:rPr>
          <w:rFonts w:hint="eastAsia" w:ascii="Times New Roman" w:hAnsi="Times New Roman" w:eastAsia="宋体"/>
          <w:color w:val="000000"/>
          <w:sz w:val="21"/>
          <w:szCs w:val="21"/>
          <w:highlight w:val="none"/>
        </w:rPr>
        <w:t xml:space="preserve"> </w:t>
      </w:r>
      <w:r>
        <w:rPr>
          <w:rFonts w:ascii="Times New Roman" w:hAnsi="Times New Roman" w:eastAsia="宋体"/>
          <w:color w:val="000000"/>
          <w:sz w:val="21"/>
          <w:szCs w:val="21"/>
          <w:highlight w:val="none"/>
        </w:rPr>
        <w:t xml:space="preserve">   年  月  日</w:t>
      </w:r>
      <w:r>
        <w:rPr>
          <w:rFonts w:ascii="Times New Roman" w:hAnsi="Times New Roman" w:eastAsia="宋体"/>
          <w:color w:val="000000"/>
          <w:sz w:val="21"/>
          <w:szCs w:val="21"/>
          <w:highlight w:val="none"/>
        </w:rPr>
      </w:r>
      <w:r/>
    </w:p>
    <w:p>
      <w:pPr>
        <w:pStyle w:val="1364"/>
        <w:ind w:firstLine="405"/>
        <w:spacing w:line="360" w:lineRule="auto"/>
        <w:rPr>
          <w:rFonts w:hint="eastAsia" w:eastAsia="宋体" w:cs="宋体"/>
          <w:color w:val="000000"/>
          <w:sz w:val="21"/>
          <w:szCs w:val="21"/>
          <w:highlight w:val="none"/>
        </w:rPr>
      </w:pPr>
      <w:r>
        <w:rPr>
          <w:rFonts w:hint="eastAsia" w:eastAsia="宋体" w:cs="宋体"/>
          <w:color w:val="000000"/>
          <w:sz w:val="21"/>
          <w:szCs w:val="21"/>
          <w:highlight w:val="none"/>
        </w:rPr>
        <w:br w:type="page" w:clear="all"/>
      </w:r>
      <w:r>
        <w:rPr>
          <w:rFonts w:hint="eastAsia" w:eastAsia="宋体" w:cs="宋体"/>
          <w:color w:val="000000"/>
          <w:sz w:val="21"/>
          <w:szCs w:val="21"/>
          <w:highlight w:val="none"/>
        </w:rPr>
      </w:r>
      <w:r/>
    </w:p>
    <w:p>
      <w:pPr>
        <w:pStyle w:val="1054"/>
        <w:ind w:left="567" w:hanging="567"/>
        <w:spacing w:before="0" w:after="0" w:line="360" w:lineRule="auto"/>
        <w:rPr>
          <w:rFonts w:hint="eastAsia" w:ascii="宋体"/>
          <w:b w:val="0"/>
          <w:color w:val="000000"/>
          <w:sz w:val="24"/>
          <w:szCs w:val="24"/>
          <w:highlight w:val="none"/>
        </w:rPr>
      </w:pPr>
      <w:r/>
      <w:bookmarkStart w:id="63" w:name="_Ref416435073"/>
      <w:r/>
      <w:bookmarkStart w:id="64" w:name="_Ref445902493"/>
      <w:r/>
      <w:bookmarkStart w:id="65" w:name="_Toc161752432"/>
      <w:r/>
      <w:bookmarkStart w:id="66" w:name="_Ref62217993"/>
      <w:r/>
      <w:bookmarkStart w:id="67" w:name="_Toc134091577"/>
      <w:r/>
      <w:bookmarkStart w:id="68" w:name="_Ref62218053"/>
      <w:r/>
      <w:bookmarkStart w:id="69" w:name="_Ref504661387"/>
      <w:r>
        <w:rPr>
          <w:rFonts w:hint="eastAsia" w:ascii="宋体"/>
          <w:color w:val="000000"/>
          <w:sz w:val="24"/>
          <w:szCs w:val="24"/>
          <w:highlight w:val="none"/>
          <w:lang w:val="zh-CN"/>
        </w:rPr>
        <w:t xml:space="preserve">格式</w:t>
      </w:r>
      <w:r>
        <w:rPr>
          <w:rFonts w:hint="eastAsia" w:ascii="宋体"/>
          <w:color w:val="000000"/>
          <w:sz w:val="24"/>
          <w:szCs w:val="24"/>
          <w:highlight w:val="none"/>
        </w:rPr>
        <w:t xml:space="preserve">9、</w:t>
      </w:r>
      <w:bookmarkEnd w:id="63"/>
      <w:r/>
      <w:bookmarkEnd w:id="64"/>
      <w:r>
        <w:rPr>
          <w:rFonts w:hint="eastAsia" w:ascii="宋体"/>
          <w:color w:val="000000"/>
          <w:sz w:val="24"/>
          <w:szCs w:val="24"/>
          <w:highlight w:val="none"/>
        </w:rPr>
        <w:t xml:space="preserve">类似业绩一览表</w:t>
      </w:r>
      <w:bookmarkEnd w:id="65"/>
      <w:r/>
      <w:bookmarkEnd w:id="66"/>
      <w:r/>
      <w:bookmarkEnd w:id="67"/>
      <w:r>
        <w:rPr>
          <w:rFonts w:hint="eastAsia" w:ascii="宋体"/>
          <w:b w:val="0"/>
          <w:color w:val="000000"/>
          <w:sz w:val="24"/>
          <w:szCs w:val="24"/>
          <w:highlight w:val="none"/>
        </w:rPr>
      </w:r>
      <w:r/>
    </w:p>
    <w:p>
      <w:pPr>
        <w:pStyle w:val="1340"/>
        <w:jc w:val="center"/>
        <w:rPr>
          <w:rFonts w:ascii="Times New Roman" w:hAnsi="Times New Roman" w:eastAsia="宋体"/>
          <w:b/>
          <w:bCs/>
          <w:color w:val="000000"/>
          <w:sz w:val="21"/>
          <w:szCs w:val="21"/>
          <w:highlight w:val="none"/>
        </w:rPr>
      </w:pPr>
      <w:r>
        <w:rPr>
          <w:rFonts w:ascii="Times New Roman" w:hAnsi="Times New Roman" w:eastAsia="宋体"/>
          <w:b/>
          <w:bCs/>
          <w:color w:val="000000"/>
          <w:sz w:val="21"/>
          <w:szCs w:val="21"/>
          <w:highlight w:val="none"/>
        </w:rPr>
        <w:t xml:space="preserve">类似业绩一览表</w:t>
      </w:r>
      <w:r>
        <w:rPr>
          <w:rFonts w:ascii="Times New Roman" w:hAnsi="Times New Roman" w:eastAsia="宋体"/>
          <w:b/>
          <w:bCs/>
          <w:color w:val="000000"/>
          <w:sz w:val="21"/>
          <w:szCs w:val="21"/>
          <w:highlight w:val="non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87"/>
        <w:gridCol w:w="2082"/>
        <w:gridCol w:w="2082"/>
        <w:gridCol w:w="2082"/>
        <w:gridCol w:w="1878"/>
      </w:tblGrid>
      <w:tr>
        <w:trPr>
          <w:cantSplit/>
          <w:trHeight w:val="740"/>
        </w:trPr>
        <w:tc>
          <w:tcPr>
            <w:tcW w:w="1287" w:type="dxa"/>
            <w:vAlign w:val="center"/>
            <w:textDirection w:val="lrTb"/>
            <w:noWrap w:val="false"/>
          </w:tcPr>
          <w:p>
            <w:pPr>
              <w:pStyle w:val="864"/>
              <w:jc w:val="center"/>
              <w:spacing w:line="400" w:lineRule="exact"/>
              <w:rPr>
                <w:color w:val="000000"/>
                <w:szCs w:val="21"/>
                <w:highlight w:val="none"/>
              </w:rPr>
            </w:pPr>
            <w:r>
              <w:rPr>
                <w:color w:val="000000"/>
                <w:szCs w:val="21"/>
                <w:highlight w:val="none"/>
              </w:rPr>
              <w:t xml:space="preserve">序号</w:t>
            </w:r>
            <w:r>
              <w:rPr>
                <w:color w:val="000000"/>
                <w:szCs w:val="21"/>
                <w:highlight w:val="none"/>
              </w:rPr>
            </w:r>
            <w:r/>
          </w:p>
        </w:tc>
        <w:tc>
          <w:tcPr>
            <w:tcW w:w="2082" w:type="dxa"/>
            <w:vAlign w:val="center"/>
            <w:textDirection w:val="lrTb"/>
            <w:noWrap w:val="false"/>
          </w:tcPr>
          <w:p>
            <w:pPr>
              <w:pStyle w:val="864"/>
              <w:jc w:val="center"/>
              <w:spacing w:line="400" w:lineRule="exact"/>
              <w:rPr>
                <w:color w:val="000000"/>
                <w:szCs w:val="21"/>
                <w:highlight w:val="none"/>
              </w:rPr>
            </w:pPr>
            <w:r>
              <w:rPr>
                <w:color w:val="000000"/>
                <w:szCs w:val="21"/>
                <w:highlight w:val="none"/>
              </w:rPr>
              <w:t xml:space="preserve">项目名称</w:t>
            </w:r>
            <w:r>
              <w:rPr>
                <w:color w:val="000000"/>
                <w:szCs w:val="21"/>
                <w:highlight w:val="none"/>
              </w:rPr>
            </w:r>
            <w:r/>
          </w:p>
        </w:tc>
        <w:tc>
          <w:tcPr>
            <w:tcW w:w="2082" w:type="dxa"/>
            <w:vAlign w:val="center"/>
            <w:textDirection w:val="lrTb"/>
            <w:noWrap w:val="false"/>
          </w:tcPr>
          <w:p>
            <w:pPr>
              <w:pStyle w:val="864"/>
              <w:jc w:val="center"/>
              <w:spacing w:line="400" w:lineRule="exact"/>
              <w:rPr>
                <w:color w:val="000000"/>
                <w:szCs w:val="21"/>
                <w:highlight w:val="none"/>
              </w:rPr>
            </w:pPr>
            <w:r>
              <w:rPr>
                <w:color w:val="000000"/>
                <w:szCs w:val="21"/>
                <w:highlight w:val="none"/>
              </w:rPr>
              <w:t xml:space="preserve">委托人</w:t>
            </w:r>
            <w:r>
              <w:rPr>
                <w:color w:val="000000"/>
                <w:szCs w:val="21"/>
                <w:highlight w:val="none"/>
              </w:rPr>
            </w:r>
            <w:r/>
          </w:p>
        </w:tc>
        <w:tc>
          <w:tcPr>
            <w:tcW w:w="2082" w:type="dxa"/>
            <w:vAlign w:val="center"/>
            <w:textDirection w:val="lrTb"/>
            <w:noWrap w:val="false"/>
          </w:tcPr>
          <w:p>
            <w:pPr>
              <w:pStyle w:val="864"/>
              <w:jc w:val="center"/>
              <w:spacing w:line="400" w:lineRule="exact"/>
              <w:rPr>
                <w:color w:val="000000"/>
                <w:szCs w:val="21"/>
                <w:highlight w:val="none"/>
              </w:rPr>
            </w:pPr>
            <w:r>
              <w:rPr>
                <w:color w:val="000000"/>
                <w:szCs w:val="21"/>
                <w:highlight w:val="none"/>
              </w:rPr>
              <w:t xml:space="preserve">合同</w:t>
            </w:r>
            <w:r>
              <w:rPr>
                <w:rFonts w:hint="eastAsia"/>
                <w:color w:val="000000"/>
                <w:szCs w:val="21"/>
                <w:highlight w:val="none"/>
              </w:rPr>
              <w:t xml:space="preserve">签订日</w:t>
            </w:r>
            <w:r>
              <w:rPr>
                <w:color w:val="000000"/>
                <w:szCs w:val="21"/>
                <w:highlight w:val="none"/>
              </w:rPr>
              <w:t xml:space="preserve">期</w:t>
            </w:r>
            <w:r>
              <w:rPr>
                <w:color w:val="000000"/>
                <w:szCs w:val="21"/>
                <w:highlight w:val="none"/>
              </w:rPr>
            </w:r>
            <w:r/>
          </w:p>
        </w:tc>
        <w:tc>
          <w:tcPr>
            <w:tcW w:w="1878" w:type="dxa"/>
            <w:vAlign w:val="center"/>
            <w:textDirection w:val="lrTb"/>
            <w:noWrap w:val="false"/>
          </w:tcPr>
          <w:p>
            <w:pPr>
              <w:pStyle w:val="864"/>
              <w:jc w:val="center"/>
              <w:spacing w:line="400" w:lineRule="exact"/>
              <w:rPr>
                <w:color w:val="000000"/>
                <w:szCs w:val="21"/>
                <w:highlight w:val="none"/>
              </w:rPr>
            </w:pPr>
            <w:r>
              <w:rPr>
                <w:color w:val="000000"/>
                <w:szCs w:val="21"/>
                <w:highlight w:val="none"/>
              </w:rPr>
              <w:t xml:space="preserve">备注</w:t>
            </w:r>
            <w:r>
              <w:rPr>
                <w:color w:val="000000"/>
                <w:szCs w:val="21"/>
                <w:highlight w:val="none"/>
              </w:rPr>
            </w:r>
            <w:r/>
          </w:p>
        </w:tc>
      </w:tr>
      <w:tr>
        <w:trPr>
          <w:cantSplit/>
          <w:trHeight w:val="510" w:hRule="exact"/>
        </w:trPr>
        <w:tc>
          <w:tcPr>
            <w:tcW w:w="1287" w:type="dxa"/>
            <w:vAlign w:val="center"/>
            <w:textDirection w:val="lrTb"/>
            <w:noWrap w:val="false"/>
          </w:tcPr>
          <w:p>
            <w:pPr>
              <w:pStyle w:val="864"/>
              <w:jc w:val="center"/>
              <w:spacing w:line="400" w:lineRule="exact"/>
              <w:rPr>
                <w:color w:val="000000"/>
                <w:szCs w:val="21"/>
                <w:highlight w:val="none"/>
              </w:rPr>
            </w:pPr>
            <w:r>
              <w:rPr>
                <w:color w:val="000000"/>
                <w:szCs w:val="21"/>
                <w:highlight w:val="none"/>
              </w:rPr>
              <w:t xml:space="preserve">1</w:t>
            </w:r>
            <w:r>
              <w:rPr>
                <w:color w:val="000000"/>
                <w:szCs w:val="21"/>
                <w:highlight w:val="none"/>
              </w:rPr>
            </w:r>
            <w:r/>
          </w:p>
        </w:tc>
        <w:tc>
          <w:tcPr>
            <w:tcW w:w="2082" w:type="dxa"/>
            <w:vAlign w:val="center"/>
            <w:textDirection w:val="lrTb"/>
            <w:noWrap w:val="false"/>
          </w:tcPr>
          <w:p>
            <w:pPr>
              <w:pStyle w:val="864"/>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864"/>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864"/>
              <w:jc w:val="center"/>
              <w:spacing w:line="400" w:lineRule="exact"/>
              <w:rPr>
                <w:color w:val="000000"/>
                <w:szCs w:val="21"/>
                <w:highlight w:val="none"/>
              </w:rPr>
            </w:pPr>
            <w:r>
              <w:rPr>
                <w:color w:val="000000"/>
                <w:szCs w:val="21"/>
                <w:highlight w:val="none"/>
              </w:rPr>
            </w:r>
            <w:r/>
          </w:p>
        </w:tc>
        <w:tc>
          <w:tcPr>
            <w:tcW w:w="1878" w:type="dxa"/>
            <w:vAlign w:val="center"/>
            <w:textDirection w:val="lrTb"/>
            <w:noWrap w:val="false"/>
          </w:tcPr>
          <w:p>
            <w:pPr>
              <w:pStyle w:val="864"/>
              <w:jc w:val="center"/>
              <w:spacing w:line="400" w:lineRule="exact"/>
              <w:rPr>
                <w:color w:val="000000"/>
                <w:szCs w:val="21"/>
                <w:highlight w:val="none"/>
              </w:rPr>
            </w:pPr>
            <w:r>
              <w:rPr>
                <w:color w:val="000000"/>
                <w:szCs w:val="21"/>
                <w:highlight w:val="none"/>
              </w:rPr>
            </w:r>
            <w:r/>
          </w:p>
        </w:tc>
      </w:tr>
      <w:tr>
        <w:trPr>
          <w:cantSplit/>
          <w:trHeight w:val="510" w:hRule="exact"/>
        </w:trPr>
        <w:tc>
          <w:tcPr>
            <w:tcW w:w="1287" w:type="dxa"/>
            <w:vAlign w:val="center"/>
            <w:textDirection w:val="lrTb"/>
            <w:noWrap w:val="false"/>
          </w:tcPr>
          <w:p>
            <w:pPr>
              <w:pStyle w:val="864"/>
              <w:jc w:val="center"/>
              <w:spacing w:line="400" w:lineRule="exact"/>
              <w:rPr>
                <w:color w:val="000000"/>
                <w:szCs w:val="21"/>
                <w:highlight w:val="none"/>
              </w:rPr>
            </w:pPr>
            <w:r>
              <w:rPr>
                <w:color w:val="000000"/>
                <w:szCs w:val="21"/>
                <w:highlight w:val="none"/>
              </w:rPr>
              <w:t xml:space="preserve">2</w:t>
            </w:r>
            <w:r>
              <w:rPr>
                <w:color w:val="000000"/>
                <w:szCs w:val="21"/>
                <w:highlight w:val="none"/>
              </w:rPr>
            </w:r>
            <w:r/>
          </w:p>
        </w:tc>
        <w:tc>
          <w:tcPr>
            <w:tcW w:w="2082" w:type="dxa"/>
            <w:vAlign w:val="center"/>
            <w:textDirection w:val="lrTb"/>
            <w:noWrap w:val="false"/>
          </w:tcPr>
          <w:p>
            <w:pPr>
              <w:pStyle w:val="864"/>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864"/>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864"/>
              <w:jc w:val="center"/>
              <w:spacing w:line="400" w:lineRule="exact"/>
              <w:rPr>
                <w:color w:val="000000"/>
                <w:szCs w:val="21"/>
                <w:highlight w:val="none"/>
              </w:rPr>
            </w:pPr>
            <w:r>
              <w:rPr>
                <w:color w:val="000000"/>
                <w:szCs w:val="21"/>
                <w:highlight w:val="none"/>
              </w:rPr>
            </w:r>
            <w:r/>
          </w:p>
        </w:tc>
        <w:tc>
          <w:tcPr>
            <w:tcW w:w="1878" w:type="dxa"/>
            <w:vAlign w:val="center"/>
            <w:textDirection w:val="lrTb"/>
            <w:noWrap w:val="false"/>
          </w:tcPr>
          <w:p>
            <w:pPr>
              <w:pStyle w:val="864"/>
              <w:jc w:val="center"/>
              <w:spacing w:line="400" w:lineRule="exact"/>
              <w:rPr>
                <w:color w:val="000000"/>
                <w:szCs w:val="21"/>
                <w:highlight w:val="none"/>
              </w:rPr>
            </w:pPr>
            <w:r>
              <w:rPr>
                <w:color w:val="000000"/>
                <w:szCs w:val="21"/>
                <w:highlight w:val="none"/>
              </w:rPr>
            </w:r>
            <w:r/>
          </w:p>
        </w:tc>
      </w:tr>
      <w:tr>
        <w:trPr>
          <w:cantSplit/>
          <w:trHeight w:val="510" w:hRule="exact"/>
        </w:trPr>
        <w:tc>
          <w:tcPr>
            <w:tcW w:w="1287" w:type="dxa"/>
            <w:vAlign w:val="center"/>
            <w:textDirection w:val="lrTb"/>
            <w:noWrap w:val="false"/>
          </w:tcPr>
          <w:p>
            <w:pPr>
              <w:pStyle w:val="864"/>
              <w:jc w:val="center"/>
              <w:spacing w:line="400" w:lineRule="exact"/>
              <w:rPr>
                <w:color w:val="000000"/>
                <w:szCs w:val="21"/>
                <w:highlight w:val="none"/>
              </w:rPr>
            </w:pPr>
            <w:r>
              <w:rPr>
                <w:color w:val="000000"/>
                <w:szCs w:val="21"/>
                <w:highlight w:val="none"/>
              </w:rPr>
              <w:t xml:space="preserve">3</w:t>
            </w:r>
            <w:r>
              <w:rPr>
                <w:color w:val="000000"/>
                <w:szCs w:val="21"/>
                <w:highlight w:val="none"/>
              </w:rPr>
            </w:r>
            <w:r/>
          </w:p>
        </w:tc>
        <w:tc>
          <w:tcPr>
            <w:tcW w:w="2082" w:type="dxa"/>
            <w:vAlign w:val="center"/>
            <w:textDirection w:val="lrTb"/>
            <w:noWrap w:val="false"/>
          </w:tcPr>
          <w:p>
            <w:pPr>
              <w:pStyle w:val="864"/>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864"/>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864"/>
              <w:jc w:val="center"/>
              <w:spacing w:line="400" w:lineRule="exact"/>
              <w:rPr>
                <w:color w:val="000000"/>
                <w:szCs w:val="21"/>
                <w:highlight w:val="none"/>
              </w:rPr>
            </w:pPr>
            <w:r>
              <w:rPr>
                <w:color w:val="000000"/>
                <w:szCs w:val="21"/>
                <w:highlight w:val="none"/>
              </w:rPr>
            </w:r>
            <w:r/>
          </w:p>
        </w:tc>
        <w:tc>
          <w:tcPr>
            <w:tcW w:w="1878" w:type="dxa"/>
            <w:vAlign w:val="center"/>
            <w:textDirection w:val="lrTb"/>
            <w:noWrap w:val="false"/>
          </w:tcPr>
          <w:p>
            <w:pPr>
              <w:pStyle w:val="864"/>
              <w:jc w:val="center"/>
              <w:spacing w:line="400" w:lineRule="exact"/>
              <w:rPr>
                <w:color w:val="000000"/>
                <w:szCs w:val="21"/>
                <w:highlight w:val="none"/>
              </w:rPr>
            </w:pPr>
            <w:r>
              <w:rPr>
                <w:color w:val="000000"/>
                <w:szCs w:val="21"/>
                <w:highlight w:val="none"/>
              </w:rPr>
            </w:r>
            <w:r/>
          </w:p>
        </w:tc>
      </w:tr>
      <w:tr>
        <w:trPr>
          <w:cantSplit/>
          <w:trHeight w:val="510" w:hRule="exact"/>
        </w:trPr>
        <w:tc>
          <w:tcPr>
            <w:tcW w:w="1287" w:type="dxa"/>
            <w:vAlign w:val="center"/>
            <w:textDirection w:val="lrTb"/>
            <w:noWrap w:val="false"/>
          </w:tcPr>
          <w:p>
            <w:pPr>
              <w:pStyle w:val="864"/>
              <w:jc w:val="center"/>
              <w:spacing w:line="400" w:lineRule="exact"/>
              <w:rPr>
                <w:color w:val="000000"/>
                <w:szCs w:val="21"/>
                <w:highlight w:val="none"/>
              </w:rPr>
            </w:pPr>
            <w:r>
              <w:rPr>
                <w:color w:val="000000"/>
                <w:szCs w:val="21"/>
                <w:highlight w:val="none"/>
              </w:rPr>
              <w:t xml:space="preserve">4</w:t>
            </w:r>
            <w:r>
              <w:rPr>
                <w:color w:val="000000"/>
                <w:szCs w:val="21"/>
                <w:highlight w:val="none"/>
              </w:rPr>
            </w:r>
            <w:r/>
          </w:p>
        </w:tc>
        <w:tc>
          <w:tcPr>
            <w:tcW w:w="2082" w:type="dxa"/>
            <w:vAlign w:val="center"/>
            <w:textDirection w:val="lrTb"/>
            <w:noWrap w:val="false"/>
          </w:tcPr>
          <w:p>
            <w:pPr>
              <w:pStyle w:val="864"/>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864"/>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864"/>
              <w:jc w:val="center"/>
              <w:spacing w:line="400" w:lineRule="exact"/>
              <w:rPr>
                <w:color w:val="000000"/>
                <w:szCs w:val="21"/>
                <w:highlight w:val="none"/>
              </w:rPr>
            </w:pPr>
            <w:r>
              <w:rPr>
                <w:color w:val="000000"/>
                <w:szCs w:val="21"/>
                <w:highlight w:val="none"/>
              </w:rPr>
            </w:r>
            <w:r/>
          </w:p>
        </w:tc>
        <w:tc>
          <w:tcPr>
            <w:tcW w:w="1878" w:type="dxa"/>
            <w:vAlign w:val="center"/>
            <w:textDirection w:val="lrTb"/>
            <w:noWrap w:val="false"/>
          </w:tcPr>
          <w:p>
            <w:pPr>
              <w:pStyle w:val="864"/>
              <w:jc w:val="center"/>
              <w:spacing w:line="400" w:lineRule="exact"/>
              <w:rPr>
                <w:color w:val="000000"/>
                <w:szCs w:val="21"/>
                <w:highlight w:val="none"/>
              </w:rPr>
            </w:pPr>
            <w:r>
              <w:rPr>
                <w:color w:val="000000"/>
                <w:szCs w:val="21"/>
                <w:highlight w:val="none"/>
              </w:rPr>
            </w:r>
            <w:r/>
          </w:p>
        </w:tc>
      </w:tr>
      <w:tr>
        <w:trPr>
          <w:cantSplit/>
          <w:trHeight w:val="510" w:hRule="exact"/>
        </w:trPr>
        <w:tc>
          <w:tcPr>
            <w:tcW w:w="1287" w:type="dxa"/>
            <w:vAlign w:val="center"/>
            <w:textDirection w:val="lrTb"/>
            <w:noWrap w:val="false"/>
          </w:tcPr>
          <w:p>
            <w:pPr>
              <w:pStyle w:val="864"/>
              <w:jc w:val="center"/>
              <w:spacing w:line="400" w:lineRule="exact"/>
              <w:rPr>
                <w:color w:val="000000"/>
                <w:szCs w:val="21"/>
                <w:highlight w:val="none"/>
              </w:rPr>
            </w:pPr>
            <w:r>
              <w:rPr>
                <w:color w:val="000000"/>
                <w:szCs w:val="21"/>
                <w:highlight w:val="none"/>
              </w:rPr>
              <w:t xml:space="preserve">5</w:t>
            </w:r>
            <w:r>
              <w:rPr>
                <w:color w:val="000000"/>
                <w:szCs w:val="21"/>
                <w:highlight w:val="none"/>
              </w:rPr>
            </w:r>
            <w:r/>
          </w:p>
        </w:tc>
        <w:tc>
          <w:tcPr>
            <w:tcW w:w="2082" w:type="dxa"/>
            <w:vAlign w:val="center"/>
            <w:textDirection w:val="lrTb"/>
            <w:noWrap w:val="false"/>
          </w:tcPr>
          <w:p>
            <w:pPr>
              <w:pStyle w:val="864"/>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864"/>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864"/>
              <w:jc w:val="center"/>
              <w:spacing w:line="400" w:lineRule="exact"/>
              <w:rPr>
                <w:color w:val="000000"/>
                <w:szCs w:val="21"/>
                <w:highlight w:val="none"/>
              </w:rPr>
            </w:pPr>
            <w:r>
              <w:rPr>
                <w:color w:val="000000"/>
                <w:szCs w:val="21"/>
                <w:highlight w:val="none"/>
              </w:rPr>
            </w:r>
            <w:r/>
          </w:p>
        </w:tc>
        <w:tc>
          <w:tcPr>
            <w:tcW w:w="1878" w:type="dxa"/>
            <w:vAlign w:val="center"/>
            <w:textDirection w:val="lrTb"/>
            <w:noWrap w:val="false"/>
          </w:tcPr>
          <w:p>
            <w:pPr>
              <w:pStyle w:val="864"/>
              <w:jc w:val="center"/>
              <w:spacing w:line="400" w:lineRule="exact"/>
              <w:rPr>
                <w:color w:val="000000"/>
                <w:szCs w:val="21"/>
                <w:highlight w:val="none"/>
              </w:rPr>
            </w:pPr>
            <w:r>
              <w:rPr>
                <w:color w:val="000000"/>
                <w:szCs w:val="21"/>
                <w:highlight w:val="none"/>
              </w:rPr>
            </w:r>
            <w:r/>
          </w:p>
        </w:tc>
      </w:tr>
      <w:tr>
        <w:trPr>
          <w:cantSplit/>
          <w:trHeight w:val="510" w:hRule="exact"/>
        </w:trPr>
        <w:tc>
          <w:tcPr>
            <w:tcW w:w="1287" w:type="dxa"/>
            <w:vAlign w:val="center"/>
            <w:textDirection w:val="lrTb"/>
            <w:noWrap w:val="false"/>
          </w:tcPr>
          <w:p>
            <w:pPr>
              <w:pStyle w:val="864"/>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864"/>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864"/>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864"/>
              <w:jc w:val="center"/>
              <w:spacing w:line="400" w:lineRule="exact"/>
              <w:rPr>
                <w:color w:val="000000"/>
                <w:szCs w:val="21"/>
                <w:highlight w:val="none"/>
              </w:rPr>
            </w:pPr>
            <w:r>
              <w:rPr>
                <w:color w:val="000000"/>
                <w:szCs w:val="21"/>
                <w:highlight w:val="none"/>
              </w:rPr>
            </w:r>
            <w:r/>
          </w:p>
        </w:tc>
        <w:tc>
          <w:tcPr>
            <w:tcW w:w="1878" w:type="dxa"/>
            <w:vAlign w:val="center"/>
            <w:textDirection w:val="lrTb"/>
            <w:noWrap w:val="false"/>
          </w:tcPr>
          <w:p>
            <w:pPr>
              <w:pStyle w:val="864"/>
              <w:jc w:val="center"/>
              <w:spacing w:line="400" w:lineRule="exact"/>
              <w:rPr>
                <w:color w:val="000000"/>
                <w:szCs w:val="21"/>
                <w:highlight w:val="none"/>
              </w:rPr>
            </w:pPr>
            <w:r>
              <w:rPr>
                <w:color w:val="000000"/>
                <w:szCs w:val="21"/>
                <w:highlight w:val="none"/>
              </w:rPr>
            </w:r>
            <w:r/>
          </w:p>
        </w:tc>
      </w:tr>
      <w:tr>
        <w:trPr>
          <w:cantSplit/>
          <w:trHeight w:val="510" w:hRule="exact"/>
        </w:trPr>
        <w:tc>
          <w:tcPr>
            <w:tcW w:w="1287" w:type="dxa"/>
            <w:vAlign w:val="center"/>
            <w:textDirection w:val="lrTb"/>
            <w:noWrap w:val="false"/>
          </w:tcPr>
          <w:p>
            <w:pPr>
              <w:pStyle w:val="864"/>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864"/>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864"/>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864"/>
              <w:jc w:val="center"/>
              <w:spacing w:line="400" w:lineRule="exact"/>
              <w:rPr>
                <w:color w:val="000000"/>
                <w:szCs w:val="21"/>
                <w:highlight w:val="none"/>
              </w:rPr>
            </w:pPr>
            <w:r>
              <w:rPr>
                <w:color w:val="000000"/>
                <w:szCs w:val="21"/>
                <w:highlight w:val="none"/>
              </w:rPr>
            </w:r>
            <w:r/>
          </w:p>
        </w:tc>
        <w:tc>
          <w:tcPr>
            <w:tcW w:w="1878" w:type="dxa"/>
            <w:vAlign w:val="center"/>
            <w:textDirection w:val="lrTb"/>
            <w:noWrap w:val="false"/>
          </w:tcPr>
          <w:p>
            <w:pPr>
              <w:pStyle w:val="864"/>
              <w:jc w:val="center"/>
              <w:spacing w:line="400" w:lineRule="exact"/>
              <w:rPr>
                <w:color w:val="000000"/>
                <w:szCs w:val="21"/>
                <w:highlight w:val="none"/>
              </w:rPr>
            </w:pPr>
            <w:r>
              <w:rPr>
                <w:color w:val="000000"/>
                <w:szCs w:val="21"/>
                <w:highlight w:val="none"/>
              </w:rPr>
            </w:r>
            <w:r/>
          </w:p>
        </w:tc>
      </w:tr>
      <w:tr>
        <w:trPr>
          <w:cantSplit/>
          <w:trHeight w:val="510" w:hRule="exact"/>
        </w:trPr>
        <w:tc>
          <w:tcPr>
            <w:tcW w:w="1287" w:type="dxa"/>
            <w:vAlign w:val="center"/>
            <w:textDirection w:val="lrTb"/>
            <w:noWrap w:val="false"/>
          </w:tcPr>
          <w:p>
            <w:pPr>
              <w:pStyle w:val="864"/>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864"/>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864"/>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pStyle w:val="864"/>
              <w:jc w:val="center"/>
              <w:spacing w:line="400" w:lineRule="exact"/>
              <w:rPr>
                <w:color w:val="000000"/>
                <w:szCs w:val="21"/>
                <w:highlight w:val="none"/>
              </w:rPr>
            </w:pPr>
            <w:r>
              <w:rPr>
                <w:color w:val="000000"/>
                <w:szCs w:val="21"/>
                <w:highlight w:val="none"/>
              </w:rPr>
            </w:r>
            <w:r/>
          </w:p>
        </w:tc>
        <w:tc>
          <w:tcPr>
            <w:tcW w:w="1878" w:type="dxa"/>
            <w:vAlign w:val="center"/>
            <w:textDirection w:val="lrTb"/>
            <w:noWrap w:val="false"/>
          </w:tcPr>
          <w:p>
            <w:pPr>
              <w:pStyle w:val="864"/>
              <w:jc w:val="center"/>
              <w:spacing w:line="400" w:lineRule="exact"/>
              <w:rPr>
                <w:color w:val="000000"/>
                <w:szCs w:val="21"/>
                <w:highlight w:val="none"/>
              </w:rPr>
            </w:pPr>
            <w:r>
              <w:rPr>
                <w:color w:val="000000"/>
                <w:szCs w:val="21"/>
                <w:highlight w:val="none"/>
              </w:rPr>
            </w:r>
            <w:r/>
          </w:p>
        </w:tc>
      </w:tr>
    </w:tbl>
    <w:p>
      <w:pPr>
        <w:pStyle w:val="1066"/>
        <w:ind w:firstLine="0"/>
        <w:spacing w:line="360" w:lineRule="auto"/>
        <w:rPr>
          <w:rFonts w:eastAsia="宋体"/>
          <w:b/>
          <w:color w:val="000000"/>
          <w:sz w:val="21"/>
          <w:szCs w:val="21"/>
          <w:highlight w:val="none"/>
        </w:rPr>
      </w:pPr>
      <w:r>
        <w:rPr>
          <w:rFonts w:eastAsia="宋体"/>
          <w:b/>
          <w:color w:val="000000"/>
          <w:sz w:val="21"/>
          <w:szCs w:val="21"/>
          <w:highlight w:val="none"/>
        </w:rPr>
      </w:r>
      <w:r/>
    </w:p>
    <w:p>
      <w:pPr>
        <w:pStyle w:val="1515"/>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投标人：（单位盖章）</w:t>
      </w:r>
      <w:r>
        <w:rPr>
          <w:rFonts w:ascii="Times New Roman" w:hAnsi="Times New Roman" w:eastAsia="宋体"/>
          <w:color w:val="000000"/>
          <w:sz w:val="21"/>
          <w:szCs w:val="21"/>
          <w:highlight w:val="none"/>
        </w:rPr>
      </w:r>
      <w:r/>
    </w:p>
    <w:p>
      <w:pPr>
        <w:pStyle w:val="1515"/>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法定代表人或被授权人：（签字或盖章）</w:t>
      </w:r>
      <w:r>
        <w:rPr>
          <w:rFonts w:ascii="Times New Roman" w:hAnsi="Times New Roman" w:eastAsia="宋体"/>
          <w:color w:val="000000"/>
          <w:sz w:val="21"/>
          <w:szCs w:val="21"/>
          <w:highlight w:val="none"/>
        </w:rPr>
      </w:r>
      <w:r/>
    </w:p>
    <w:p>
      <w:pPr>
        <w:pStyle w:val="1515"/>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日期：   年   月  日</w:t>
      </w:r>
      <w:r>
        <w:rPr>
          <w:rFonts w:ascii="Times New Roman" w:hAnsi="Times New Roman" w:eastAsia="宋体"/>
          <w:color w:val="000000"/>
          <w:sz w:val="21"/>
          <w:szCs w:val="21"/>
          <w:highlight w:val="none"/>
        </w:rPr>
      </w:r>
      <w:r/>
    </w:p>
    <w:p>
      <w:pPr>
        <w:pStyle w:val="1066"/>
        <w:ind w:left="0" w:firstLine="0"/>
        <w:rPr>
          <w:rFonts w:hint="eastAsia"/>
          <w:color w:val="000000"/>
          <w:highlight w:val="none"/>
        </w:rPr>
        <w:sectPr>
          <w:headerReference w:type="default" r:id="rId9"/>
          <w:footerReference w:type="default" r:id="rId11"/>
          <w:footerReference w:type="first" r:id="rId12"/>
          <w:footnotePr/>
          <w:endnotePr/>
          <w:type w:val="nextPage"/>
          <w:pgSz w:w="11907" w:h="16840" w:orient="portrait"/>
          <w:pgMar w:top="1418" w:right="1134" w:bottom="1134" w:left="1418" w:header="851" w:footer="992" w:gutter="0"/>
          <w:pgBorders w:display="allPages" w:offsetFrom="page" w:zOrder="front">
            <w:bottom w:color="ffffff" w:space="24" w:sz="4" w:val="single"/>
            <w:left w:color="ffffff" w:space="24" w:sz="4" w:val="single"/>
            <w:right w:color="ffffff" w:space="24" w:sz="4" w:val="single"/>
            <w:top w:color="ffffff" w:space="24" w:sz="4" w:val="single"/>
          </w:pgBorders>
          <w:cols w:num="1" w:sep="0" w:space="1701" w:equalWidth="1"/>
          <w:docGrid w:linePitch="360"/>
          <w:titlePg/>
        </w:sectPr>
      </w:pPr>
      <w:r>
        <w:rPr>
          <w:rFonts w:hint="eastAsia"/>
          <w:color w:val="000000"/>
          <w:highlight w:val="none"/>
        </w:rPr>
      </w:r>
      <w:r/>
    </w:p>
    <w:p>
      <w:pPr>
        <w:pStyle w:val="1054"/>
        <w:ind w:left="567" w:hanging="567"/>
        <w:spacing w:before="0" w:after="0" w:line="360" w:lineRule="auto"/>
        <w:rPr>
          <w:rFonts w:hint="eastAsia" w:ascii="宋体" w:hAnsi="Arial" w:cs="Times New Roman"/>
          <w:color w:val="000000"/>
          <w:sz w:val="24"/>
          <w:szCs w:val="24"/>
          <w:highlight w:val="none"/>
          <w:lang w:val="zh-CN"/>
        </w:rPr>
      </w:pPr>
      <w:r/>
      <w:bookmarkEnd w:id="68"/>
      <w:r/>
      <w:bookmarkEnd w:id="69"/>
      <w:r/>
      <w:bookmarkStart w:id="70" w:name="_Toc134091570"/>
      <w:r/>
      <w:bookmarkStart w:id="71" w:name="_Toc228443437"/>
      <w:r/>
      <w:bookmarkStart w:id="72" w:name="_Ref504661263"/>
      <w:r/>
      <w:bookmarkStart w:id="73" w:name="_Toc134091579"/>
      <w:r/>
      <w:bookmarkStart w:id="74" w:name="_Toc161752434"/>
      <w:r/>
      <w:bookmarkStart w:id="75" w:name="_Toc42248838"/>
      <w:r>
        <w:rPr>
          <w:rFonts w:hint="eastAsia" w:ascii="宋体" w:hAnsi="Arial" w:cs="Times New Roman"/>
          <w:color w:val="000000"/>
          <w:sz w:val="24"/>
          <w:szCs w:val="24"/>
          <w:highlight w:val="none"/>
          <w:lang w:val="zh-CN"/>
        </w:rPr>
        <w:t xml:space="preserve">格式</w:t>
      </w:r>
      <w:r>
        <w:rPr>
          <w:rFonts w:hint="eastAsia" w:ascii="宋体" w:hAnsi="Arial" w:cs="Times New Roman"/>
          <w:color w:val="000000"/>
          <w:sz w:val="24"/>
          <w:szCs w:val="24"/>
          <w:highlight w:val="none"/>
          <w:lang w:val="en-US" w:eastAsia="zh-CN"/>
        </w:rPr>
        <w:t xml:space="preserve">10</w:t>
      </w:r>
      <w:r>
        <w:rPr>
          <w:rFonts w:hint="eastAsia" w:ascii="宋体" w:hAnsi="Arial" w:cs="Times New Roman"/>
          <w:color w:val="000000"/>
          <w:sz w:val="24"/>
          <w:szCs w:val="24"/>
          <w:highlight w:val="none"/>
          <w:lang w:val="zh-CN"/>
        </w:rPr>
        <w:t xml:space="preserve">、投标人情况表</w:t>
      </w:r>
      <w:bookmarkEnd w:id="70"/>
      <w:r/>
      <w:bookmarkEnd w:id="71"/>
      <w:r/>
      <w:bookmarkEnd w:id="72"/>
      <w:r>
        <w:rPr>
          <w:rFonts w:hint="eastAsia" w:ascii="宋体" w:hAnsi="Arial" w:cs="Times New Roman"/>
          <w:color w:val="000000"/>
          <w:sz w:val="24"/>
          <w:szCs w:val="24"/>
          <w:highlight w:val="none"/>
          <w:lang w:val="zh-CN"/>
        </w:rPr>
      </w:r>
      <w:r/>
    </w:p>
    <w:p>
      <w:pPr>
        <w:pStyle w:val="864"/>
        <w:jc w:val="center"/>
        <w:spacing w:line="300" w:lineRule="auto"/>
        <w:rPr>
          <w:rFonts w:ascii="宋体" w:hAnsi="宋体"/>
          <w:b/>
          <w:bCs/>
          <w:szCs w:val="21"/>
          <w:highlight w:val="none"/>
        </w:rPr>
      </w:pPr>
      <w:r>
        <w:rPr>
          <w:rFonts w:hint="eastAsia" w:ascii="宋体" w:hAnsi="Arial" w:cs="Times New Roman"/>
          <w:b/>
          <w:bCs/>
          <w:color w:val="000000"/>
          <w:sz w:val="24"/>
          <w:szCs w:val="24"/>
          <w:highlight w:val="none"/>
          <w:lang w:val="zh-CN"/>
        </w:rPr>
        <w:t xml:space="preserve">投标人情况表</w:t>
      </w:r>
      <w:r>
        <w:rPr>
          <w:rFonts w:ascii="宋体" w:hAnsi="宋体"/>
          <w:b/>
          <w:bCs/>
          <w:szCs w:val="21"/>
          <w:highlight w:val="none"/>
        </w:rPr>
      </w:r>
      <w:r/>
    </w:p>
    <w:p>
      <w:pPr>
        <w:pStyle w:val="864"/>
        <w:spacing w:line="300" w:lineRule="auto"/>
        <w:rPr>
          <w:rFonts w:ascii="宋体" w:hAnsi="宋体"/>
          <w:szCs w:val="21"/>
          <w:highlight w:val="none"/>
        </w:rPr>
      </w:pPr>
      <w:r>
        <w:rPr>
          <w:rFonts w:ascii="宋体" w:hAnsi="宋体"/>
          <w:szCs w:val="21"/>
          <w:highlight w:val="none"/>
        </w:rPr>
        <w:t xml:space="preserve">单位名称（公章）：</w:t>
      </w:r>
      <w:r>
        <w:rPr>
          <w:rFonts w:ascii="宋体" w:hAnsi="宋体"/>
          <w:szCs w:val="21"/>
          <w:highlight w:val="none"/>
          <w:u w:val="single"/>
        </w:rPr>
        <w:t xml:space="preserve">                       </w:t>
      </w:r>
      <w:r>
        <w:rPr>
          <w:rFonts w:ascii="宋体" w:hAnsi="宋体"/>
          <w:szCs w:val="21"/>
          <w:highlight w:val="none"/>
        </w:rPr>
      </w:r>
      <w:r/>
    </w:p>
    <w:tbl>
      <w:tblPr>
        <w:tblW w:w="9342"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49"/>
        <w:gridCol w:w="1897"/>
        <w:gridCol w:w="547"/>
        <w:gridCol w:w="1721"/>
        <w:gridCol w:w="1701"/>
        <w:gridCol w:w="709"/>
        <w:gridCol w:w="2118"/>
      </w:tblGrid>
      <w:tr>
        <w:trPr>
          <w:trHeight w:val="645"/>
        </w:trPr>
        <w:tc>
          <w:tcPr>
            <w:tcW w:w="649" w:type="dxa"/>
            <w:vAlign w:val="center"/>
            <w:textDirection w:val="lrTb"/>
            <w:noWrap w:val="false"/>
          </w:tcPr>
          <w:p>
            <w:pPr>
              <w:pStyle w:val="1066"/>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1</w:t>
            </w:r>
            <w:r>
              <w:rPr>
                <w:rFonts w:ascii="宋体" w:hAnsi="宋体" w:eastAsia="宋体"/>
                <w:sz w:val="21"/>
                <w:szCs w:val="21"/>
                <w:highlight w:val="none"/>
              </w:rPr>
            </w:r>
            <w:r/>
          </w:p>
        </w:tc>
        <w:tc>
          <w:tcPr>
            <w:tcW w:w="1897" w:type="dxa"/>
            <w:vAlign w:val="center"/>
            <w:textDirection w:val="lrTb"/>
            <w:noWrap w:val="false"/>
          </w:tcPr>
          <w:p>
            <w:pPr>
              <w:pStyle w:val="1066"/>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法定代表人</w:t>
            </w:r>
            <w:r>
              <w:rPr>
                <w:rFonts w:ascii="宋体" w:hAnsi="宋体" w:eastAsia="宋体"/>
                <w:sz w:val="21"/>
                <w:szCs w:val="21"/>
                <w:highlight w:val="none"/>
              </w:rPr>
            </w:r>
            <w:r/>
          </w:p>
        </w:tc>
        <w:tc>
          <w:tcPr>
            <w:gridSpan w:val="2"/>
            <w:tcW w:w="2268" w:type="dxa"/>
            <w:vAlign w:val="center"/>
            <w:textDirection w:val="lrTb"/>
            <w:noWrap w:val="false"/>
          </w:tcPr>
          <w:p>
            <w:pPr>
              <w:pStyle w:val="1066"/>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r>
            <w:r/>
          </w:p>
        </w:tc>
        <w:tc>
          <w:tcPr>
            <w:tcW w:w="1701" w:type="dxa"/>
            <w:vAlign w:val="center"/>
            <w:textDirection w:val="lrTb"/>
            <w:noWrap w:val="false"/>
          </w:tcPr>
          <w:p>
            <w:pPr>
              <w:pStyle w:val="1066"/>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公司成立日期</w:t>
            </w:r>
            <w:r>
              <w:rPr>
                <w:rFonts w:ascii="宋体" w:hAnsi="宋体" w:eastAsia="宋体"/>
                <w:sz w:val="21"/>
                <w:szCs w:val="21"/>
                <w:highlight w:val="none"/>
              </w:rPr>
            </w:r>
            <w:r/>
          </w:p>
        </w:tc>
        <w:tc>
          <w:tcPr>
            <w:gridSpan w:val="2"/>
            <w:tcW w:w="2827" w:type="dxa"/>
            <w:vAlign w:val="center"/>
            <w:textDirection w:val="lrTb"/>
            <w:noWrap w:val="false"/>
          </w:tcPr>
          <w:p>
            <w:pPr>
              <w:pStyle w:val="1066"/>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W w:w="649" w:type="dxa"/>
            <w:vAlign w:val="center"/>
            <w:textDirection w:val="lrTb"/>
            <w:noWrap w:val="false"/>
          </w:tcPr>
          <w:p>
            <w:pPr>
              <w:pStyle w:val="1066"/>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2</w:t>
            </w:r>
            <w:r>
              <w:rPr>
                <w:rFonts w:ascii="宋体" w:hAnsi="宋体" w:eastAsia="宋体"/>
                <w:sz w:val="21"/>
                <w:szCs w:val="21"/>
                <w:highlight w:val="none"/>
              </w:rPr>
            </w:r>
            <w:r/>
          </w:p>
        </w:tc>
        <w:tc>
          <w:tcPr>
            <w:tcW w:w="1897" w:type="dxa"/>
            <w:vAlign w:val="center"/>
            <w:textDirection w:val="lrTb"/>
            <w:noWrap w:val="false"/>
          </w:tcPr>
          <w:p>
            <w:pPr>
              <w:pStyle w:val="1066"/>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总部地址</w:t>
            </w:r>
            <w:r>
              <w:rPr>
                <w:rFonts w:ascii="宋体" w:hAnsi="宋体" w:eastAsia="宋体"/>
                <w:sz w:val="21"/>
                <w:szCs w:val="21"/>
                <w:highlight w:val="none"/>
              </w:rPr>
            </w:r>
            <w:r/>
          </w:p>
        </w:tc>
        <w:tc>
          <w:tcPr>
            <w:gridSpan w:val="5"/>
            <w:tcW w:w="6796" w:type="dxa"/>
            <w:vAlign w:val="center"/>
            <w:textDirection w:val="lrTb"/>
            <w:noWrap w:val="false"/>
          </w:tcPr>
          <w:p>
            <w:pPr>
              <w:pStyle w:val="1066"/>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W w:w="649" w:type="dxa"/>
            <w:vAlign w:val="center"/>
            <w:textDirection w:val="lrTb"/>
            <w:noWrap w:val="false"/>
          </w:tcPr>
          <w:p>
            <w:pPr>
              <w:pStyle w:val="1066"/>
              <w:ind w:firstLine="0"/>
              <w:jc w:val="center"/>
              <w:spacing w:line="300" w:lineRule="auto"/>
              <w:rPr>
                <w:rFonts w:hint="eastAsia" w:ascii="宋体" w:hAnsi="宋体" w:eastAsia="宋体"/>
                <w:sz w:val="21"/>
                <w:szCs w:val="21"/>
                <w:highlight w:val="none"/>
              </w:rPr>
            </w:pPr>
            <w:r>
              <w:rPr>
                <w:rFonts w:hint="eastAsia" w:ascii="宋体" w:hAnsi="宋体" w:eastAsia="宋体"/>
                <w:sz w:val="21"/>
                <w:szCs w:val="21"/>
                <w:highlight w:val="none"/>
              </w:rPr>
              <w:t xml:space="preserve">3</w:t>
            </w:r>
            <w:r>
              <w:rPr>
                <w:rFonts w:hint="eastAsia" w:ascii="宋体" w:hAnsi="宋体" w:eastAsia="宋体"/>
                <w:sz w:val="21"/>
                <w:szCs w:val="21"/>
                <w:highlight w:val="none"/>
              </w:rPr>
            </w:r>
            <w:r/>
          </w:p>
        </w:tc>
        <w:tc>
          <w:tcPr>
            <w:tcW w:w="1897" w:type="dxa"/>
            <w:vAlign w:val="center"/>
            <w:textDirection w:val="lrTb"/>
            <w:noWrap w:val="false"/>
          </w:tcPr>
          <w:p>
            <w:pPr>
              <w:pStyle w:val="1066"/>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电话</w:t>
            </w:r>
            <w:r>
              <w:rPr>
                <w:rFonts w:ascii="宋体" w:hAnsi="宋体" w:eastAsia="宋体"/>
                <w:sz w:val="21"/>
                <w:szCs w:val="21"/>
                <w:highlight w:val="none"/>
              </w:rPr>
            </w:r>
            <w:r/>
          </w:p>
        </w:tc>
        <w:tc>
          <w:tcPr>
            <w:gridSpan w:val="2"/>
            <w:tcW w:w="2268" w:type="dxa"/>
            <w:vAlign w:val="center"/>
            <w:textDirection w:val="lrTb"/>
            <w:noWrap w:val="false"/>
          </w:tcPr>
          <w:p>
            <w:pPr>
              <w:pStyle w:val="1066"/>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r>
            <w:r/>
          </w:p>
        </w:tc>
        <w:tc>
          <w:tcPr>
            <w:tcW w:w="1701" w:type="dxa"/>
            <w:vAlign w:val="center"/>
            <w:textDirection w:val="lrTb"/>
            <w:noWrap w:val="false"/>
          </w:tcPr>
          <w:p>
            <w:pPr>
              <w:pStyle w:val="1066"/>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联系人</w:t>
            </w:r>
            <w:r>
              <w:rPr>
                <w:rFonts w:ascii="宋体" w:hAnsi="宋体" w:eastAsia="宋体"/>
                <w:sz w:val="21"/>
                <w:szCs w:val="21"/>
                <w:highlight w:val="none"/>
              </w:rPr>
            </w:r>
            <w:r/>
          </w:p>
        </w:tc>
        <w:tc>
          <w:tcPr>
            <w:gridSpan w:val="2"/>
            <w:tcW w:w="2827" w:type="dxa"/>
            <w:vAlign w:val="center"/>
            <w:textDirection w:val="lrTb"/>
            <w:noWrap w:val="false"/>
          </w:tcPr>
          <w:p>
            <w:pPr>
              <w:pStyle w:val="1066"/>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r>
            <w:r/>
          </w:p>
        </w:tc>
      </w:tr>
      <w:tr>
        <w:trPr>
          <w:trHeight w:val="625"/>
        </w:trPr>
        <w:tc>
          <w:tcPr>
            <w:tcW w:w="649" w:type="dxa"/>
            <w:vAlign w:val="center"/>
            <w:textDirection w:val="lrTb"/>
            <w:noWrap w:val="false"/>
          </w:tcPr>
          <w:p>
            <w:pPr>
              <w:pStyle w:val="1066"/>
              <w:ind w:firstLine="0"/>
              <w:jc w:val="center"/>
              <w:spacing w:line="300" w:lineRule="auto"/>
              <w:rPr>
                <w:rFonts w:hint="eastAsia" w:ascii="宋体" w:hAnsi="宋体" w:eastAsia="宋体"/>
                <w:sz w:val="21"/>
                <w:szCs w:val="21"/>
                <w:highlight w:val="none"/>
              </w:rPr>
            </w:pPr>
            <w:r>
              <w:rPr>
                <w:rFonts w:hint="eastAsia" w:ascii="宋体" w:hAnsi="宋体" w:eastAsia="宋体"/>
                <w:sz w:val="21"/>
                <w:szCs w:val="21"/>
                <w:highlight w:val="none"/>
              </w:rPr>
              <w:t xml:space="preserve">4</w:t>
            </w:r>
            <w:r>
              <w:rPr>
                <w:rFonts w:hint="eastAsia" w:ascii="宋体" w:hAnsi="宋体" w:eastAsia="宋体"/>
                <w:sz w:val="21"/>
                <w:szCs w:val="21"/>
                <w:highlight w:val="none"/>
              </w:rPr>
            </w:r>
            <w:r/>
          </w:p>
        </w:tc>
        <w:tc>
          <w:tcPr>
            <w:tcW w:w="1897" w:type="dxa"/>
            <w:vAlign w:val="center"/>
            <w:textDirection w:val="lrTb"/>
            <w:noWrap w:val="false"/>
          </w:tcPr>
          <w:p>
            <w:pPr>
              <w:pStyle w:val="1066"/>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传真</w:t>
            </w:r>
            <w:r>
              <w:rPr>
                <w:rFonts w:ascii="宋体" w:hAnsi="宋体" w:eastAsia="宋体"/>
                <w:sz w:val="21"/>
                <w:szCs w:val="21"/>
                <w:highlight w:val="none"/>
              </w:rPr>
            </w:r>
            <w:r/>
          </w:p>
        </w:tc>
        <w:tc>
          <w:tcPr>
            <w:gridSpan w:val="2"/>
            <w:tcW w:w="2268" w:type="dxa"/>
            <w:vAlign w:val="center"/>
            <w:textDirection w:val="lrTb"/>
            <w:noWrap w:val="false"/>
          </w:tcPr>
          <w:p>
            <w:pPr>
              <w:pStyle w:val="1066"/>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r>
            <w:r/>
          </w:p>
        </w:tc>
        <w:tc>
          <w:tcPr>
            <w:tcW w:w="1701" w:type="dxa"/>
            <w:vAlign w:val="center"/>
            <w:textDirection w:val="lrTb"/>
            <w:noWrap w:val="false"/>
          </w:tcPr>
          <w:p>
            <w:pPr>
              <w:pStyle w:val="1066"/>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电子邮箱</w:t>
            </w:r>
            <w:r>
              <w:rPr>
                <w:rFonts w:ascii="宋体" w:hAnsi="宋体" w:eastAsia="宋体"/>
                <w:sz w:val="21"/>
                <w:szCs w:val="21"/>
                <w:highlight w:val="none"/>
              </w:rPr>
            </w:r>
            <w:r/>
          </w:p>
        </w:tc>
        <w:tc>
          <w:tcPr>
            <w:gridSpan w:val="2"/>
            <w:tcW w:w="2827" w:type="dxa"/>
            <w:vAlign w:val="center"/>
            <w:textDirection w:val="lrTb"/>
            <w:noWrap w:val="false"/>
          </w:tcPr>
          <w:p>
            <w:pPr>
              <w:pStyle w:val="1066"/>
              <w:ind w:firstLine="0"/>
              <w:jc w:val="both"/>
              <w:spacing w:line="300" w:lineRule="auto"/>
              <w:rPr>
                <w:rFonts w:ascii="宋体" w:hAnsi="宋体" w:eastAsia="宋体"/>
                <w:b/>
                <w:sz w:val="21"/>
                <w:szCs w:val="21"/>
                <w:highlight w:val="none"/>
              </w:rPr>
            </w:pPr>
            <w:r>
              <w:rPr>
                <w:rFonts w:ascii="宋体" w:hAnsi="宋体" w:eastAsia="宋体"/>
                <w:b/>
                <w:sz w:val="21"/>
                <w:szCs w:val="21"/>
                <w:highlight w:val="none"/>
              </w:rPr>
            </w:r>
            <w:r/>
          </w:p>
        </w:tc>
      </w:tr>
      <w:tr>
        <w:trPr>
          <w:trHeight w:val="645"/>
        </w:trPr>
        <w:tc>
          <w:tcPr>
            <w:tcW w:w="649" w:type="dxa"/>
            <w:vAlign w:val="center"/>
            <w:textDirection w:val="lrTb"/>
            <w:noWrap w:val="false"/>
          </w:tcPr>
          <w:p>
            <w:pPr>
              <w:pStyle w:val="1066"/>
              <w:ind w:firstLine="0"/>
              <w:jc w:val="center"/>
              <w:spacing w:line="300" w:lineRule="auto"/>
              <w:rPr>
                <w:rFonts w:hint="eastAsia" w:ascii="宋体" w:hAnsi="宋体" w:eastAsia="宋体"/>
                <w:sz w:val="21"/>
                <w:szCs w:val="21"/>
                <w:highlight w:val="none"/>
              </w:rPr>
            </w:pPr>
            <w:r>
              <w:rPr>
                <w:rFonts w:hint="eastAsia" w:ascii="宋体" w:hAnsi="宋体" w:eastAsia="宋体"/>
                <w:sz w:val="21"/>
                <w:szCs w:val="21"/>
                <w:highlight w:val="none"/>
              </w:rPr>
              <w:t xml:space="preserve">5</w:t>
            </w:r>
            <w:r>
              <w:rPr>
                <w:rFonts w:hint="eastAsia" w:ascii="宋体" w:hAnsi="宋体" w:eastAsia="宋体"/>
                <w:sz w:val="21"/>
                <w:szCs w:val="21"/>
                <w:highlight w:val="none"/>
              </w:rPr>
            </w:r>
            <w:r/>
          </w:p>
        </w:tc>
        <w:tc>
          <w:tcPr>
            <w:tcW w:w="1897" w:type="dxa"/>
            <w:vAlign w:val="center"/>
            <w:textDirection w:val="lrTb"/>
            <w:noWrap w:val="false"/>
          </w:tcPr>
          <w:p>
            <w:pPr>
              <w:pStyle w:val="864"/>
              <w:jc w:val="center"/>
              <w:rPr>
                <w:rFonts w:ascii="宋体" w:hAnsi="宋体"/>
                <w:szCs w:val="21"/>
                <w:highlight w:val="none"/>
              </w:rPr>
            </w:pPr>
            <w:r>
              <w:rPr>
                <w:rFonts w:ascii="宋体" w:hAnsi="宋体"/>
                <w:szCs w:val="21"/>
                <w:highlight w:val="none"/>
              </w:rPr>
              <w:t xml:space="preserve">单位从业人员数量</w:t>
            </w:r>
            <w:r>
              <w:rPr>
                <w:rFonts w:ascii="宋体" w:hAnsi="宋体"/>
                <w:szCs w:val="21"/>
                <w:highlight w:val="none"/>
              </w:rPr>
            </w:r>
            <w:r/>
          </w:p>
        </w:tc>
        <w:tc>
          <w:tcPr>
            <w:gridSpan w:val="2"/>
            <w:tcW w:w="2268" w:type="dxa"/>
            <w:vAlign w:val="center"/>
            <w:textDirection w:val="lrTb"/>
            <w:noWrap w:val="false"/>
          </w:tcPr>
          <w:p>
            <w:pPr>
              <w:pStyle w:val="1066"/>
              <w:ind w:right="840" w:firstLine="0"/>
              <w:jc w:val="right"/>
              <w:spacing w:line="300" w:lineRule="auto"/>
              <w:rPr>
                <w:rFonts w:ascii="宋体" w:hAnsi="宋体" w:eastAsia="宋体"/>
                <w:sz w:val="21"/>
                <w:szCs w:val="21"/>
                <w:highlight w:val="none"/>
              </w:rPr>
            </w:pPr>
            <w:r>
              <w:rPr>
                <w:rFonts w:ascii="宋体" w:hAnsi="宋体" w:eastAsia="宋体"/>
                <w:sz w:val="21"/>
                <w:szCs w:val="21"/>
                <w:highlight w:val="none"/>
              </w:rPr>
              <w:t xml:space="preserve">人</w:t>
            </w:r>
            <w:r>
              <w:rPr>
                <w:rFonts w:ascii="宋体" w:hAnsi="宋体" w:eastAsia="宋体"/>
                <w:sz w:val="21"/>
                <w:szCs w:val="21"/>
                <w:highlight w:val="none"/>
              </w:rPr>
            </w:r>
            <w:r/>
          </w:p>
        </w:tc>
        <w:tc>
          <w:tcPr>
            <w:gridSpan w:val="2"/>
            <w:tcW w:w="2410" w:type="dxa"/>
            <w:vAlign w:val="center"/>
            <w:textDirection w:val="lrTb"/>
            <w:noWrap w:val="false"/>
          </w:tcPr>
          <w:p>
            <w:pPr>
              <w:pStyle w:val="1066"/>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单位202</w:t>
            </w:r>
            <w:r>
              <w:rPr>
                <w:rFonts w:hint="eastAsia" w:ascii="宋体" w:hAnsi="宋体" w:eastAsia="宋体"/>
                <w:sz w:val="21"/>
                <w:szCs w:val="21"/>
                <w:highlight w:val="none"/>
              </w:rPr>
              <w:t xml:space="preserve">5</w:t>
            </w:r>
            <w:r>
              <w:rPr>
                <w:rFonts w:ascii="宋体" w:hAnsi="宋体" w:eastAsia="宋体"/>
                <w:sz w:val="21"/>
                <w:szCs w:val="21"/>
                <w:highlight w:val="none"/>
              </w:rPr>
              <w:t xml:space="preserve">年总营业收入</w:t>
            </w:r>
            <w:r>
              <w:rPr>
                <w:rFonts w:ascii="宋体" w:hAnsi="宋体" w:eastAsia="宋体"/>
                <w:sz w:val="21"/>
                <w:szCs w:val="21"/>
                <w:highlight w:val="none"/>
              </w:rPr>
            </w:r>
            <w:r/>
          </w:p>
        </w:tc>
        <w:tc>
          <w:tcPr>
            <w:tcW w:w="2118" w:type="dxa"/>
            <w:vAlign w:val="center"/>
            <w:textDirection w:val="lrTb"/>
            <w:noWrap w:val="false"/>
          </w:tcPr>
          <w:p>
            <w:pPr>
              <w:pStyle w:val="1066"/>
              <w:ind w:firstLine="147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万元</w:t>
            </w:r>
            <w:r>
              <w:rPr>
                <w:rFonts w:ascii="宋体" w:hAnsi="宋体" w:eastAsia="宋体"/>
                <w:sz w:val="21"/>
                <w:szCs w:val="21"/>
                <w:highlight w:val="none"/>
              </w:rPr>
            </w:r>
            <w:r/>
          </w:p>
        </w:tc>
      </w:tr>
      <w:tr>
        <w:trPr>
          <w:trHeight w:val="1767"/>
        </w:trPr>
        <w:tc>
          <w:tcPr>
            <w:tcW w:w="649" w:type="dxa"/>
            <w:vAlign w:val="center"/>
            <w:textDirection w:val="lrTb"/>
            <w:noWrap w:val="false"/>
          </w:tcPr>
          <w:p>
            <w:pPr>
              <w:pStyle w:val="1066"/>
              <w:ind w:firstLine="0"/>
              <w:jc w:val="center"/>
              <w:spacing w:line="300" w:lineRule="auto"/>
              <w:rPr>
                <w:rFonts w:hint="eastAsia" w:ascii="宋体" w:hAnsi="宋体" w:eastAsia="宋体"/>
                <w:sz w:val="21"/>
                <w:szCs w:val="21"/>
                <w:highlight w:val="none"/>
              </w:rPr>
            </w:pPr>
            <w:r>
              <w:rPr>
                <w:rFonts w:hint="eastAsia" w:ascii="宋体" w:hAnsi="宋体" w:eastAsia="宋体"/>
                <w:sz w:val="21"/>
                <w:szCs w:val="21"/>
                <w:highlight w:val="none"/>
              </w:rPr>
              <w:t xml:space="preserve">6</w:t>
            </w:r>
            <w:r>
              <w:rPr>
                <w:rFonts w:hint="eastAsia" w:ascii="宋体" w:hAnsi="宋体" w:eastAsia="宋体"/>
                <w:sz w:val="21"/>
                <w:szCs w:val="21"/>
                <w:highlight w:val="none"/>
              </w:rPr>
            </w:r>
            <w:r/>
          </w:p>
        </w:tc>
        <w:tc>
          <w:tcPr>
            <w:gridSpan w:val="6"/>
            <w:tcW w:w="8693" w:type="dxa"/>
            <w:vAlign w:val="center"/>
            <w:textDirection w:val="lrTb"/>
            <w:noWrap w:val="false"/>
          </w:tcPr>
          <w:p>
            <w:pPr>
              <w:pStyle w:val="1066"/>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主营范围</w:t>
            </w:r>
            <w:r>
              <w:rPr>
                <w:rFonts w:ascii="宋体" w:hAnsi="宋体" w:eastAsia="宋体"/>
                <w:sz w:val="21"/>
                <w:szCs w:val="21"/>
                <w:highlight w:val="none"/>
              </w:rPr>
            </w:r>
            <w:r/>
          </w:p>
          <w:p>
            <w:pPr>
              <w:pStyle w:val="1066"/>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1._____________________________________</w:t>
            </w:r>
            <w:r>
              <w:rPr>
                <w:rFonts w:ascii="宋体" w:hAnsi="宋体" w:eastAsia="宋体"/>
                <w:sz w:val="21"/>
                <w:szCs w:val="21"/>
                <w:highlight w:val="none"/>
              </w:rPr>
            </w:r>
            <w:r/>
          </w:p>
          <w:p>
            <w:pPr>
              <w:pStyle w:val="1066"/>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2._____________________________________</w:t>
            </w:r>
            <w:r>
              <w:rPr>
                <w:rFonts w:ascii="宋体" w:hAnsi="宋体" w:eastAsia="宋体"/>
                <w:sz w:val="21"/>
                <w:szCs w:val="21"/>
                <w:highlight w:val="none"/>
              </w:rPr>
            </w:r>
            <w:r/>
          </w:p>
          <w:p>
            <w:pPr>
              <w:pStyle w:val="1066"/>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3._____________________________________</w:t>
            </w:r>
            <w:r>
              <w:rPr>
                <w:rFonts w:ascii="宋体" w:hAnsi="宋体" w:eastAsia="宋体"/>
                <w:sz w:val="21"/>
                <w:szCs w:val="21"/>
                <w:highlight w:val="none"/>
              </w:rPr>
            </w:r>
            <w:r/>
          </w:p>
        </w:tc>
      </w:tr>
      <w:tr>
        <w:trPr>
          <w:trHeight w:val="1548"/>
        </w:trPr>
        <w:tc>
          <w:tcPr>
            <w:tcW w:w="649" w:type="dxa"/>
            <w:vAlign w:val="center"/>
            <w:textDirection w:val="lrTb"/>
            <w:noWrap w:val="false"/>
          </w:tcPr>
          <w:p>
            <w:pPr>
              <w:pStyle w:val="1066"/>
              <w:ind w:firstLine="0"/>
              <w:jc w:val="center"/>
              <w:spacing w:line="300" w:lineRule="auto"/>
              <w:rPr>
                <w:rFonts w:hint="eastAsia" w:ascii="宋体" w:hAnsi="宋体" w:eastAsia="宋体"/>
                <w:sz w:val="21"/>
                <w:szCs w:val="21"/>
                <w:highlight w:val="none"/>
              </w:rPr>
            </w:pPr>
            <w:r>
              <w:rPr>
                <w:rFonts w:hint="eastAsia" w:ascii="宋体" w:hAnsi="宋体" w:eastAsia="宋体"/>
                <w:sz w:val="21"/>
                <w:szCs w:val="21"/>
                <w:highlight w:val="none"/>
              </w:rPr>
              <w:t xml:space="preserve">7</w:t>
            </w:r>
            <w:r>
              <w:rPr>
                <w:rFonts w:hint="eastAsia" w:ascii="宋体" w:hAnsi="宋体" w:eastAsia="宋体"/>
                <w:sz w:val="21"/>
                <w:szCs w:val="21"/>
                <w:highlight w:val="none"/>
              </w:rPr>
            </w:r>
            <w:r/>
          </w:p>
        </w:tc>
        <w:tc>
          <w:tcPr>
            <w:gridSpan w:val="2"/>
            <w:tcW w:w="2444" w:type="dxa"/>
            <w:vAlign w:val="center"/>
            <w:textDirection w:val="lrTb"/>
            <w:noWrap w:val="false"/>
          </w:tcPr>
          <w:p>
            <w:pPr>
              <w:pStyle w:val="1066"/>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最近3年内在经营过程中受到何种奖励或处分</w:t>
            </w:r>
            <w:r>
              <w:rPr>
                <w:rFonts w:ascii="宋体" w:hAnsi="宋体" w:eastAsia="宋体"/>
                <w:sz w:val="21"/>
                <w:szCs w:val="21"/>
                <w:highlight w:val="none"/>
              </w:rPr>
            </w:r>
            <w:r/>
          </w:p>
        </w:tc>
        <w:tc>
          <w:tcPr>
            <w:gridSpan w:val="4"/>
            <w:tcW w:w="6249" w:type="dxa"/>
            <w:vAlign w:val="top"/>
            <w:textDirection w:val="lrTb"/>
            <w:noWrap w:val="false"/>
          </w:tcPr>
          <w:p>
            <w:pPr>
              <w:pStyle w:val="1066"/>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r>
            <w:r/>
          </w:p>
        </w:tc>
      </w:tr>
      <w:tr>
        <w:trPr>
          <w:trHeight w:val="618"/>
        </w:trPr>
        <w:tc>
          <w:tcPr>
            <w:tcW w:w="649" w:type="dxa"/>
            <w:vAlign w:val="center"/>
            <w:textDirection w:val="lrTb"/>
            <w:noWrap w:val="false"/>
          </w:tcPr>
          <w:p>
            <w:pPr>
              <w:pStyle w:val="1066"/>
              <w:ind w:firstLine="0"/>
              <w:jc w:val="center"/>
              <w:spacing w:line="300" w:lineRule="auto"/>
              <w:rPr>
                <w:rFonts w:hint="eastAsia" w:ascii="宋体" w:hAnsi="宋体" w:eastAsia="宋体"/>
                <w:sz w:val="21"/>
                <w:szCs w:val="21"/>
                <w:highlight w:val="none"/>
              </w:rPr>
            </w:pPr>
            <w:r>
              <w:rPr>
                <w:rFonts w:hint="eastAsia" w:ascii="宋体" w:hAnsi="宋体" w:eastAsia="宋体"/>
                <w:sz w:val="21"/>
                <w:szCs w:val="21"/>
                <w:highlight w:val="none"/>
              </w:rPr>
              <w:t xml:space="preserve">8</w:t>
            </w:r>
            <w:r>
              <w:rPr>
                <w:rFonts w:hint="eastAsia" w:ascii="宋体" w:hAnsi="宋体" w:eastAsia="宋体"/>
                <w:sz w:val="21"/>
                <w:szCs w:val="21"/>
                <w:highlight w:val="none"/>
              </w:rPr>
            </w:r>
            <w:r/>
          </w:p>
        </w:tc>
        <w:tc>
          <w:tcPr>
            <w:gridSpan w:val="2"/>
            <w:tcW w:w="2444" w:type="dxa"/>
            <w:vAlign w:val="top"/>
            <w:textDirection w:val="lrTb"/>
            <w:noWrap w:val="false"/>
          </w:tcPr>
          <w:p>
            <w:pPr>
              <w:pStyle w:val="1066"/>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最近3年内有无因售假、售劣或是其他原因被消费者投诉或起诉的情况及说明</w:t>
            </w:r>
            <w:r>
              <w:rPr>
                <w:rFonts w:ascii="宋体" w:hAnsi="宋体" w:eastAsia="宋体"/>
                <w:sz w:val="21"/>
                <w:szCs w:val="21"/>
                <w:highlight w:val="none"/>
              </w:rPr>
            </w:r>
            <w:r/>
          </w:p>
        </w:tc>
        <w:tc>
          <w:tcPr>
            <w:gridSpan w:val="4"/>
            <w:tcW w:w="6249" w:type="dxa"/>
            <w:vAlign w:val="top"/>
            <w:textDirection w:val="lrTb"/>
            <w:noWrap w:val="false"/>
          </w:tcPr>
          <w:p>
            <w:pPr>
              <w:pStyle w:val="1066"/>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r>
            <w:r/>
          </w:p>
        </w:tc>
      </w:tr>
      <w:tr>
        <w:trPr>
          <w:trHeight w:val="1392"/>
        </w:trPr>
        <w:tc>
          <w:tcPr>
            <w:tcW w:w="649" w:type="dxa"/>
            <w:vAlign w:val="center"/>
            <w:textDirection w:val="lrTb"/>
            <w:noWrap w:val="false"/>
          </w:tcPr>
          <w:p>
            <w:pPr>
              <w:pStyle w:val="1066"/>
              <w:ind w:firstLine="0"/>
              <w:jc w:val="center"/>
              <w:spacing w:line="300" w:lineRule="auto"/>
              <w:rPr>
                <w:rFonts w:hint="eastAsia" w:ascii="宋体" w:hAnsi="宋体" w:eastAsia="宋体"/>
                <w:sz w:val="21"/>
                <w:szCs w:val="21"/>
                <w:highlight w:val="none"/>
              </w:rPr>
            </w:pPr>
            <w:r>
              <w:rPr>
                <w:rFonts w:hint="eastAsia" w:ascii="宋体" w:hAnsi="宋体" w:eastAsia="宋体"/>
                <w:sz w:val="21"/>
                <w:szCs w:val="21"/>
                <w:highlight w:val="none"/>
              </w:rPr>
              <w:t xml:space="preserve">9</w:t>
            </w:r>
            <w:r>
              <w:rPr>
                <w:rFonts w:hint="eastAsia" w:ascii="宋体" w:hAnsi="宋体" w:eastAsia="宋体"/>
                <w:sz w:val="21"/>
                <w:szCs w:val="21"/>
                <w:highlight w:val="none"/>
              </w:rPr>
            </w:r>
            <w:r/>
          </w:p>
        </w:tc>
        <w:tc>
          <w:tcPr>
            <w:gridSpan w:val="6"/>
            <w:tcW w:w="8693" w:type="dxa"/>
            <w:vAlign w:val="center"/>
            <w:textDirection w:val="lrTb"/>
            <w:noWrap w:val="false"/>
          </w:tcPr>
          <w:p>
            <w:pPr>
              <w:pStyle w:val="1066"/>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其他需要说明的情况</w:t>
            </w:r>
            <w:r>
              <w:rPr>
                <w:rFonts w:ascii="宋体" w:hAnsi="宋体" w:eastAsia="宋体"/>
                <w:sz w:val="21"/>
                <w:szCs w:val="21"/>
                <w:highlight w:val="none"/>
              </w:rPr>
            </w:r>
            <w:r/>
          </w:p>
        </w:tc>
      </w:tr>
    </w:tbl>
    <w:p>
      <w:pPr>
        <w:pStyle w:val="1066"/>
        <w:ind w:firstLine="0"/>
        <w:rPr>
          <w:rFonts w:ascii="宋体" w:hAnsi="宋体" w:eastAsia="宋体"/>
          <w:sz w:val="21"/>
          <w:szCs w:val="21"/>
          <w:highlight w:val="none"/>
        </w:rPr>
      </w:pPr>
      <w:r>
        <w:rPr>
          <w:rFonts w:ascii="宋体" w:hAnsi="宋体" w:eastAsia="宋体"/>
          <w:sz w:val="21"/>
          <w:szCs w:val="21"/>
          <w:highlight w:val="none"/>
        </w:rPr>
      </w:r>
      <w:r/>
    </w:p>
    <w:p>
      <w:pPr>
        <w:pStyle w:val="1066"/>
        <w:ind w:firstLine="0"/>
        <w:rPr>
          <w:rFonts w:ascii="宋体" w:hAnsi="宋体" w:eastAsia="宋体"/>
          <w:b/>
          <w:szCs w:val="24"/>
          <w:highlight w:val="none"/>
        </w:rPr>
      </w:pPr>
      <w:r>
        <w:rPr>
          <w:rFonts w:ascii="宋体" w:hAnsi="宋体" w:eastAsia="宋体"/>
          <w:b/>
          <w:szCs w:val="24"/>
          <w:highlight w:val="none"/>
        </w:rPr>
      </w:r>
      <w:r/>
    </w:p>
    <w:p>
      <w:pPr>
        <w:pStyle w:val="1126"/>
        <w:rPr>
          <w:rFonts w:hint="eastAsia"/>
          <w:color w:val="000000"/>
          <w:sz w:val="24"/>
          <w:szCs w:val="24"/>
          <w:highlight w:val="none"/>
        </w:rPr>
      </w:pPr>
      <w:r>
        <w:rPr>
          <w:rFonts w:hint="eastAsia"/>
          <w:bCs w:val="0"/>
          <w:color w:val="000000"/>
          <w:sz w:val="24"/>
          <w:szCs w:val="24"/>
          <w:highlight w:val="none"/>
        </w:rPr>
        <w:br w:type="page" w:clear="all"/>
      </w:r>
      <w:r>
        <w:rPr>
          <w:rFonts w:hint="eastAsia"/>
          <w:color w:val="000000"/>
          <w:sz w:val="24"/>
          <w:szCs w:val="24"/>
          <w:highlight w:val="none"/>
        </w:rPr>
      </w:r>
    </w:p>
    <w:p>
      <w:pPr>
        <w:pStyle w:val="813"/>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附件</w:t>
      </w:r>
      <w:r>
        <w:rPr>
          <w:rFonts w:ascii="SimSun" w:hAnsi="SimSun" w:eastAsia="SimSun" w:cs="SimSun"/>
          <w:b/>
          <w:color w:val="000000"/>
          <w:sz w:val="24"/>
        </w:rPr>
        <w:t xml:space="preserve">11.</w:t>
      </w:r>
      <w:r>
        <w:rPr>
          <w:rFonts w:ascii="SimHei" w:hAnsi="SimHei" w:eastAsia="SimHei" w:cs="SimHei"/>
          <w:b/>
          <w:color w:val="000000"/>
          <w:sz w:val="24"/>
        </w:rPr>
        <w:t xml:space="preserve">关于资格文件的声明函</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关于资格文件的声明函</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艾菲尔（江苏）招投标股份有限公司</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本公司愿就由贵公司组织实施的编号为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号（项目编号）的磋商采购活动进行响应。本公司所提交的响应文件中所有关于磋商资格的文件、证明和陈述均是真实的、准确的。若与真实情况不符，本公司愿意承担由此而产生的一切后果。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供应商名称：（公章） </w:t>
      </w:r>
      <w:r/>
    </w:p>
    <w:p>
      <w:pPr>
        <w:ind w:left="0" w:right="0" w:firstLine="24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法定代表人或被授权人：（签字或盖章）</w:t>
      </w:r>
      <w:r/>
    </w:p>
    <w:p>
      <w:pPr>
        <w:pStyle w:val="1126"/>
        <w:rPr>
          <w:rFonts w:hint="eastAsia"/>
          <w:color w:val="000000"/>
          <w:sz w:val="24"/>
          <w:szCs w:val="24"/>
          <w:highlight w:val="none"/>
        </w:rPr>
      </w:pPr>
      <w:r>
        <w:rPr>
          <w:rFonts w:ascii="SimSun" w:hAnsi="SimSun" w:eastAsia="SimSun" w:cs="SimSun"/>
          <w:color w:val="000000"/>
          <w:sz w:val="24"/>
        </w:rPr>
        <w:t xml:space="preserve">                                                      日期：  年  月  日</w:t>
      </w:r>
      <w:r>
        <w:rPr>
          <w:rFonts w:hint="eastAsia"/>
          <w:bCs w:val="0"/>
          <w:color w:val="000000"/>
          <w:sz w:val="24"/>
          <w:szCs w:val="24"/>
          <w:highlight w:val="none"/>
        </w:rPr>
        <w:br w:type="page" w:clear="all"/>
      </w:r>
      <w:r>
        <w:rPr>
          <w:bCs w:val="0"/>
          <w:color w:val="000000"/>
          <w:sz w:val="24"/>
          <w:szCs w:val="24"/>
          <w:highlight w:val="none"/>
        </w:rPr>
      </w:r>
      <w:r/>
    </w:p>
    <w:p>
      <w:pPr>
        <w:pStyle w:val="1126"/>
        <w:rPr>
          <w:rFonts w:hint="eastAsia"/>
          <w:color w:val="000000"/>
          <w:sz w:val="24"/>
          <w:szCs w:val="24"/>
          <w:highlight w:val="none"/>
        </w:rPr>
      </w:pPr>
      <w:r>
        <w:rPr>
          <w:rFonts w:hint="eastAsia"/>
          <w:color w:val="000000"/>
          <w:sz w:val="24"/>
          <w:szCs w:val="24"/>
          <w:highlight w:val="none"/>
        </w:rPr>
      </w:r>
      <w:r>
        <w:rPr>
          <w:rFonts w:hint="eastAsia"/>
          <w:bCs w:val="0"/>
          <w:color w:val="000000"/>
          <w:sz w:val="24"/>
          <w:szCs w:val="24"/>
          <w:highlight w:val="none"/>
        </w:rPr>
        <w:t xml:space="preserve">第四章  采购需求</w:t>
      </w:r>
      <w:bookmarkEnd w:id="73"/>
      <w:r/>
      <w:bookmarkEnd w:id="74"/>
      <w:r/>
      <w:r/>
      <w:r>
        <w:rPr>
          <w:rFonts w:hint="eastAsia"/>
          <w:color w:val="000000"/>
          <w:sz w:val="24"/>
          <w:szCs w:val="24"/>
          <w:highlight w:val="none"/>
        </w:rPr>
      </w:r>
    </w:p>
    <w:p>
      <w:pPr>
        <w:pStyle w:val="864"/>
        <w:ind w:firstLine="420"/>
        <w:spacing w:line="360" w:lineRule="auto"/>
        <w:rPr>
          <w:rFonts w:hint="eastAsia" w:ascii="宋体"/>
          <w:color w:val="000000"/>
          <w:szCs w:val="21"/>
          <w:highlight w:val="none"/>
        </w:rPr>
      </w:pPr>
      <w:r>
        <w:rPr>
          <w:rFonts w:hint="eastAsia" w:ascii="宋体"/>
          <w:color w:val="000000"/>
          <w:szCs w:val="21"/>
          <w:highlight w:val="none"/>
        </w:rPr>
        <w:t xml:space="preserve">受苏州市昆山生态环境局的委托，艾菲尔（江苏）招投标股份有限公司作为招标代理人，为委托人拟采购的</w:t>
      </w:r>
      <w:r>
        <w:rPr>
          <w:rFonts w:hint="eastAsia" w:ascii="宋体"/>
          <w:color w:val="000000"/>
          <w:szCs w:val="21"/>
          <w:highlight w:val="none"/>
          <w:lang w:eastAsia="zh-CN"/>
        </w:rPr>
        <w:t xml:space="preserve">空气质量保障项目（2026）</w:t>
      </w:r>
      <w:r>
        <w:rPr>
          <w:rFonts w:hint="eastAsia" w:ascii="宋体"/>
          <w:color w:val="000000"/>
          <w:szCs w:val="21"/>
          <w:highlight w:val="none"/>
        </w:rPr>
        <w:t xml:space="preserve">项目进行公开招标。</w:t>
      </w:r>
      <w:r>
        <w:rPr>
          <w:rFonts w:hint="eastAsia" w:ascii="宋体"/>
          <w:color w:val="000000"/>
          <w:szCs w:val="21"/>
          <w:highlight w:val="none"/>
        </w:rPr>
      </w:r>
      <w:r/>
    </w:p>
    <w:p>
      <w:pPr>
        <w:pStyle w:val="864"/>
        <w:ind w:firstLine="420"/>
        <w:spacing w:line="360" w:lineRule="auto"/>
        <w:rPr>
          <w:rFonts w:hint="eastAsia" w:ascii="宋体"/>
          <w:color w:val="000000"/>
          <w:szCs w:val="21"/>
          <w:highlight w:val="none"/>
        </w:rPr>
      </w:pPr>
      <w:r>
        <w:rPr>
          <w:rFonts w:hint="eastAsia" w:ascii="宋体"/>
          <w:color w:val="000000"/>
          <w:szCs w:val="21"/>
          <w:highlight w:val="none"/>
        </w:rPr>
        <w:t xml:space="preserve">一、项目基本情况</w:t>
      </w:r>
      <w:r>
        <w:rPr>
          <w:rFonts w:hint="eastAsia" w:ascii="宋体"/>
          <w:color w:val="000000"/>
          <w:szCs w:val="21"/>
          <w:highlight w:val="none"/>
        </w:rPr>
      </w:r>
      <w:r/>
    </w:p>
    <w:p>
      <w:pPr>
        <w:pStyle w:val="864"/>
        <w:ind w:firstLine="420"/>
        <w:spacing w:line="360" w:lineRule="auto"/>
        <w:rPr>
          <w:rFonts w:hint="eastAsia" w:ascii="宋体"/>
          <w:color w:val="000000"/>
          <w:szCs w:val="21"/>
          <w:highlight w:val="none"/>
        </w:rPr>
      </w:pPr>
      <w:r>
        <w:rPr>
          <w:rFonts w:hint="eastAsia" w:ascii="宋体"/>
          <w:color w:val="000000"/>
          <w:szCs w:val="21"/>
          <w:highlight w:val="none"/>
        </w:rPr>
        <w:t xml:space="preserve">1、项目编号：</w:t>
      </w:r>
      <w:r>
        <w:rPr>
          <w:rFonts w:hint="eastAsia" w:ascii="宋体"/>
          <w:color w:val="000000"/>
          <w:szCs w:val="21"/>
          <w:highlight w:val="none"/>
          <w:lang w:eastAsia="zh-CN"/>
        </w:rPr>
        <w:t xml:space="preserve">JSZC-320583-AFEJ-G2026-0004</w:t>
      </w:r>
      <w:r>
        <w:rPr>
          <w:rFonts w:hint="eastAsia" w:ascii="宋体"/>
          <w:color w:val="000000"/>
          <w:szCs w:val="21"/>
          <w:highlight w:val="none"/>
        </w:rPr>
        <w:t xml:space="preserve"> </w:t>
      </w:r>
      <w:r>
        <w:rPr>
          <w:rFonts w:hint="eastAsia" w:ascii="宋体"/>
          <w:color w:val="000000"/>
          <w:szCs w:val="21"/>
          <w:highlight w:val="none"/>
        </w:rPr>
      </w:r>
      <w:r/>
    </w:p>
    <w:p>
      <w:pPr>
        <w:pStyle w:val="864"/>
        <w:ind w:firstLine="420"/>
        <w:spacing w:line="360" w:lineRule="auto"/>
        <w:rPr>
          <w:rFonts w:hint="eastAsia" w:ascii="宋体"/>
          <w:color w:val="000000"/>
          <w:szCs w:val="21"/>
          <w:highlight w:val="none"/>
        </w:rPr>
      </w:pPr>
      <w:r/>
      <w:bookmarkStart w:id="76" w:name="_Hlk37847209"/>
      <w:r>
        <w:rPr>
          <w:rFonts w:hint="eastAsia" w:ascii="宋体"/>
          <w:color w:val="000000"/>
          <w:szCs w:val="21"/>
          <w:highlight w:val="none"/>
        </w:rPr>
        <w:t xml:space="preserve">2、项目名称</w:t>
      </w:r>
      <w:bookmarkEnd w:id="76"/>
      <w:r>
        <w:rPr>
          <w:rFonts w:hint="eastAsia" w:ascii="宋体"/>
          <w:color w:val="000000"/>
          <w:szCs w:val="21"/>
          <w:highlight w:val="none"/>
        </w:rPr>
        <w:t xml:space="preserve">：</w:t>
      </w:r>
      <w:r>
        <w:rPr>
          <w:rFonts w:hint="eastAsia" w:ascii="宋体"/>
          <w:color w:val="000000"/>
          <w:szCs w:val="21"/>
          <w:highlight w:val="none"/>
          <w:lang w:eastAsia="zh-CN"/>
        </w:rPr>
        <w:t xml:space="preserve">空气质量保障项目（2026）</w:t>
      </w:r>
      <w:r>
        <w:rPr>
          <w:rFonts w:hint="eastAsia" w:ascii="宋体"/>
          <w:color w:val="000000"/>
          <w:szCs w:val="21"/>
          <w:highlight w:val="none"/>
        </w:rPr>
      </w:r>
      <w:r/>
    </w:p>
    <w:p>
      <w:pPr>
        <w:pStyle w:val="864"/>
        <w:ind w:firstLine="420"/>
        <w:spacing w:line="360" w:lineRule="auto"/>
        <w:rPr>
          <w:rFonts w:hint="eastAsia" w:ascii="宋体"/>
          <w:color w:val="000000"/>
          <w:szCs w:val="21"/>
          <w:highlight w:val="none"/>
        </w:rPr>
      </w:pPr>
      <w:r>
        <w:rPr>
          <w:rFonts w:hint="eastAsia" w:ascii="宋体"/>
          <w:color w:val="000000"/>
          <w:szCs w:val="21"/>
          <w:highlight w:val="none"/>
        </w:rPr>
        <w:t xml:space="preserve">3、项目概况：</w:t>
      </w:r>
      <w:r>
        <w:rPr>
          <w:rFonts w:hint="eastAsia" w:ascii="宋体"/>
          <w:szCs w:val="21"/>
          <w:highlight w:val="none"/>
        </w:rPr>
        <w:t xml:space="preserve">昆山市空气质量改善第三方专业技术支撑服务，工作内容包含：区域空气质量综合分析；常规天气点位巡查、重污染天气应急管控等服务；结合监测数据及排放源项，依托VOCs走航、飞航及</w:t>
      </w:r>
      <w:r>
        <w:rPr>
          <w:rFonts w:hint="eastAsia"/>
          <w:highlight w:val="none"/>
        </w:rPr>
        <w:t xml:space="preserve">积尘走航等移动监测手段</w:t>
      </w:r>
      <w:r>
        <w:rPr>
          <w:rFonts w:hint="eastAsia" w:ascii="宋体"/>
          <w:szCs w:val="21"/>
          <w:highlight w:val="none"/>
        </w:rPr>
        <w:t xml:space="preserve">，开展溯源；协助优化昆山环境空气质量保障工作体系，</w:t>
      </w:r>
      <w:bookmarkStart w:id="77" w:name="OLE_LINK3"/>
      <w:r>
        <w:rPr>
          <w:rFonts w:hint="eastAsia" w:ascii="宋体"/>
          <w:szCs w:val="21"/>
          <w:highlight w:val="none"/>
        </w:rPr>
        <w:t xml:space="preserve">开展空气质量会商、结合本地化清单，定向开展重点行业及重点源项专项调研，动态调度工作进展；协同乡镇（开发区）系统联动，综合提升全市精准、科学、依法精细化治气水平，进而保障区域空气质量</w:t>
      </w:r>
      <w:bookmarkEnd w:id="77"/>
      <w:r>
        <w:rPr>
          <w:rFonts w:hint="eastAsia" w:ascii="宋体"/>
          <w:szCs w:val="21"/>
          <w:highlight w:val="none"/>
        </w:rPr>
        <w:t xml:space="preserve">。</w:t>
      </w:r>
      <w:r>
        <w:rPr>
          <w:rFonts w:hint="eastAsia" w:ascii="宋体"/>
          <w:color w:val="000000"/>
          <w:szCs w:val="21"/>
          <w:highlight w:val="none"/>
        </w:rPr>
      </w:r>
      <w:r/>
    </w:p>
    <w:p>
      <w:pPr>
        <w:pStyle w:val="864"/>
        <w:ind w:firstLine="420"/>
        <w:spacing w:line="360" w:lineRule="auto"/>
        <w:rPr>
          <w:rFonts w:hint="eastAsia" w:ascii="宋体"/>
          <w:color w:val="000000"/>
          <w:szCs w:val="21"/>
          <w:highlight w:val="none"/>
        </w:rPr>
      </w:pPr>
      <w:r>
        <w:rPr>
          <w:rFonts w:hint="eastAsia" w:ascii="宋体"/>
          <w:color w:val="000000"/>
          <w:szCs w:val="21"/>
          <w:highlight w:val="none"/>
        </w:rPr>
        <w:t xml:space="preserve">4、服务期：自合同签订之日起一年（具体起始日期以合同签订日期为准）。</w:t>
      </w:r>
      <w:r>
        <w:rPr>
          <w:rFonts w:hint="eastAsia" w:ascii="宋体"/>
          <w:color w:val="000000"/>
          <w:szCs w:val="21"/>
          <w:highlight w:val="none"/>
        </w:rPr>
      </w:r>
      <w:r/>
    </w:p>
    <w:p>
      <w:pPr>
        <w:pStyle w:val="864"/>
        <w:ind w:firstLine="420"/>
        <w:spacing w:line="360" w:lineRule="auto"/>
        <w:rPr>
          <w:rFonts w:hint="eastAsia" w:ascii="宋体"/>
          <w:color w:val="000000"/>
          <w:szCs w:val="21"/>
          <w:highlight w:val="none"/>
        </w:rPr>
      </w:pPr>
      <w:r>
        <w:rPr>
          <w:rFonts w:hint="eastAsia" w:ascii="宋体"/>
          <w:color w:val="000000"/>
          <w:szCs w:val="21"/>
          <w:highlight w:val="none"/>
        </w:rPr>
        <w:t xml:space="preserve">5、质量要求：服务质量达到相关标准及满足采购人要求。</w:t>
      </w:r>
      <w:r>
        <w:rPr>
          <w:rFonts w:hint="eastAsia" w:ascii="宋体"/>
          <w:color w:val="000000"/>
          <w:szCs w:val="21"/>
          <w:highlight w:val="none"/>
        </w:rPr>
      </w:r>
      <w:r/>
    </w:p>
    <w:p>
      <w:pPr>
        <w:pStyle w:val="864"/>
        <w:ind w:firstLine="420"/>
        <w:spacing w:line="360" w:lineRule="auto"/>
        <w:rPr>
          <w:rFonts w:hint="eastAsia" w:ascii="宋体"/>
          <w:color w:val="000000"/>
          <w:szCs w:val="21"/>
          <w:highlight w:val="none"/>
        </w:rPr>
      </w:pPr>
      <w:r/>
      <w:bookmarkStart w:id="78" w:name="_Toc135826236"/>
      <w:r>
        <w:rPr>
          <w:rFonts w:hint="eastAsia" w:ascii="宋体"/>
          <w:color w:val="000000"/>
          <w:szCs w:val="21"/>
          <w:highlight w:val="none"/>
        </w:rPr>
        <w:t xml:space="preserve">二、服务内容及要求</w:t>
      </w:r>
      <w:bookmarkEnd w:id="78"/>
      <w:r>
        <w:rPr>
          <w:rFonts w:hint="eastAsia" w:ascii="宋体"/>
          <w:color w:val="000000"/>
          <w:szCs w:val="21"/>
          <w:highlight w:val="none"/>
        </w:rPr>
      </w:r>
      <w:r/>
    </w:p>
    <w:p>
      <w:pPr>
        <w:pStyle w:val="864"/>
        <w:ind w:firstLine="420"/>
        <w:spacing w:line="360" w:lineRule="auto"/>
        <w:rPr>
          <w:rFonts w:hint="eastAsia" w:ascii="宋体"/>
          <w:szCs w:val="21"/>
          <w:highlight w:val="none"/>
        </w:rPr>
      </w:pPr>
      <w:r/>
      <w:bookmarkStart w:id="79" w:name="_Toc135826237"/>
      <w:r>
        <w:rPr>
          <w:rFonts w:hint="eastAsia" w:ascii="宋体"/>
          <w:szCs w:val="21"/>
          <w:highlight w:val="none"/>
        </w:rPr>
        <w:t xml:space="preserve">1、项目背景</w:t>
      </w:r>
      <w:bookmarkEnd w:id="79"/>
      <w:r>
        <w:rPr>
          <w:rFonts w:hint="eastAsia" w:ascii="宋体"/>
          <w:szCs w:val="21"/>
          <w:highlight w:val="none"/>
        </w:rPr>
      </w:r>
      <w:r/>
    </w:p>
    <w:p>
      <w:pPr>
        <w:pStyle w:val="864"/>
        <w:ind w:firstLine="420"/>
        <w:jc w:val="left"/>
        <w:spacing w:line="360" w:lineRule="auto"/>
        <w:widowControl/>
        <w:rPr>
          <w:rFonts w:hint="eastAsia"/>
          <w:highlight w:val="none"/>
        </w:rPr>
      </w:pPr>
      <w:r/>
      <w:bookmarkStart w:id="80" w:name="_Hlk104381782"/>
      <w:r/>
      <w:bookmarkStart w:id="81" w:name="_Toc135826238"/>
      <w:r>
        <w:rPr>
          <w:rFonts w:hint="eastAsia"/>
          <w:highlight w:val="none"/>
          <w:lang w:bidi="ar"/>
        </w:rPr>
        <w:t xml:space="preserve">2026年空气质量开局形势严峻，各项大气污染指标同比反弹态势明显，大气污染防治工作面临较大挑战。当前，昆山市大气污染防治工作已进入攻坚克难阶段，在现有空气质量基础上，进一步改善的空间持续收窄、达标攻坚压力日益加大，全力压降内源污染、强化污染天气应急应对，仍是昆山市大气污染防治工作的有效攻坚路径。为切实改善全市大气环境质量，提升点位周边空气质量保障的科学性与精准性，本次拟启动2026-2027年昆山市空气质量保障项目。</w:t>
      </w:r>
      <w:r>
        <w:rPr>
          <w:rFonts w:hint="eastAsia"/>
          <w:highlight w:val="none"/>
        </w:rPr>
      </w:r>
      <w:r/>
    </w:p>
    <w:p>
      <w:pPr>
        <w:pStyle w:val="864"/>
        <w:numPr>
          <w:ilvl w:val="0"/>
          <w:numId w:val="5"/>
        </w:numPr>
        <w:ind w:firstLine="420"/>
        <w:spacing w:line="360" w:lineRule="auto"/>
        <w:rPr>
          <w:rFonts w:hint="eastAsia" w:ascii="宋体"/>
          <w:szCs w:val="21"/>
          <w:highlight w:val="none"/>
        </w:rPr>
      </w:pPr>
      <w:r/>
      <w:bookmarkEnd w:id="80"/>
      <w:r/>
      <w:bookmarkEnd w:id="81"/>
      <w:r/>
      <w:bookmarkStart w:id="82" w:name="_Toc135826239"/>
      <w:r>
        <w:rPr>
          <w:rFonts w:hint="eastAsia" w:ascii="宋体"/>
          <w:szCs w:val="21"/>
          <w:highlight w:val="none"/>
        </w:rPr>
        <w:t xml:space="preserve">项目依据</w:t>
      </w:r>
      <w:r>
        <w:rPr>
          <w:rFonts w:hint="eastAsia" w:ascii="宋体"/>
          <w:szCs w:val="21"/>
          <w:highlight w:val="none"/>
        </w:rPr>
      </w:r>
      <w:r/>
    </w:p>
    <w:p>
      <w:pPr>
        <w:pStyle w:val="864"/>
        <w:numPr>
          <w:ilvl w:val="0"/>
          <w:numId w:val="6"/>
        </w:numPr>
        <w:spacing w:line="360" w:lineRule="auto"/>
        <w:rPr>
          <w:highlight w:val="none"/>
        </w:rPr>
      </w:pPr>
      <w:r>
        <w:rPr>
          <w:rFonts w:hint="eastAsia"/>
          <w:highlight w:val="none"/>
        </w:rPr>
        <w:t xml:space="preserve">《中华人民共和国大气污染防治法》（主席令第三十二号）</w:t>
      </w:r>
      <w:r>
        <w:rPr>
          <w:highlight w:val="none"/>
        </w:rPr>
      </w:r>
      <w:r/>
    </w:p>
    <w:p>
      <w:pPr>
        <w:pStyle w:val="864"/>
        <w:numPr>
          <w:ilvl w:val="0"/>
          <w:numId w:val="6"/>
        </w:numPr>
        <w:spacing w:line="360" w:lineRule="auto"/>
        <w:rPr>
          <w:highlight w:val="none"/>
        </w:rPr>
      </w:pPr>
      <w:r>
        <w:rPr>
          <w:rFonts w:hint="eastAsia"/>
          <w:highlight w:val="none"/>
        </w:rPr>
        <w:t xml:space="preserve">《中共中央、国务院关于深入打好污染防治攻坚战的意见》</w:t>
      </w:r>
      <w:r>
        <w:rPr>
          <w:highlight w:val="none"/>
        </w:rPr>
      </w:r>
      <w:r/>
    </w:p>
    <w:p>
      <w:pPr>
        <w:pStyle w:val="864"/>
        <w:numPr>
          <w:ilvl w:val="0"/>
          <w:numId w:val="6"/>
        </w:numPr>
        <w:spacing w:line="360" w:lineRule="auto"/>
        <w:rPr>
          <w:highlight w:val="none"/>
        </w:rPr>
      </w:pPr>
      <w:r>
        <w:rPr>
          <w:rFonts w:hint="eastAsia"/>
          <w:highlight w:val="none"/>
        </w:rPr>
        <w:t xml:space="preserve">《空气质量持续改善行动计划》（国发〔2023〕24号）</w:t>
      </w:r>
      <w:r>
        <w:rPr>
          <w:highlight w:val="none"/>
        </w:rPr>
      </w:r>
      <w:r/>
    </w:p>
    <w:p>
      <w:pPr>
        <w:pStyle w:val="864"/>
        <w:numPr>
          <w:ilvl w:val="0"/>
          <w:numId w:val="6"/>
        </w:numPr>
        <w:spacing w:line="360" w:lineRule="auto"/>
        <w:rPr>
          <w:rFonts w:hint="eastAsia"/>
          <w:highlight w:val="none"/>
        </w:rPr>
      </w:pPr>
      <w:r>
        <w:rPr>
          <w:rFonts w:hint="eastAsia"/>
          <w:highlight w:val="none"/>
        </w:rPr>
        <w:t xml:space="preserve">《中共中央、国务院关于全面推进美丽中国建设的意见》</w:t>
      </w:r>
      <w:r>
        <w:rPr>
          <w:rFonts w:hint="eastAsia"/>
          <w:highlight w:val="none"/>
        </w:rPr>
      </w:r>
      <w:r/>
    </w:p>
    <w:p>
      <w:pPr>
        <w:pStyle w:val="864"/>
        <w:numPr>
          <w:ilvl w:val="0"/>
          <w:numId w:val="6"/>
        </w:numPr>
        <w:spacing w:line="360" w:lineRule="auto"/>
        <w:rPr>
          <w:highlight w:val="none"/>
        </w:rPr>
      </w:pPr>
      <w:r>
        <w:rPr>
          <w:rFonts w:hint="eastAsia"/>
          <w:highlight w:val="none"/>
        </w:rPr>
        <w:t xml:space="preserve">《苏州市2025年大气污染防治工作计划》；</w:t>
      </w:r>
      <w:r>
        <w:rPr>
          <w:highlight w:val="none"/>
        </w:rPr>
      </w:r>
      <w:r/>
    </w:p>
    <w:p>
      <w:pPr>
        <w:pStyle w:val="864"/>
        <w:numPr>
          <w:ilvl w:val="0"/>
          <w:numId w:val="6"/>
        </w:numPr>
        <w:spacing w:line="360" w:lineRule="auto"/>
        <w:rPr>
          <w:highlight w:val="none"/>
        </w:rPr>
      </w:pPr>
      <w:r>
        <w:rPr>
          <w:rFonts w:hint="eastAsia"/>
          <w:highlight w:val="none"/>
        </w:rPr>
        <w:t xml:space="preserve">《苏州市“十四五”生态环境保护规划》（依托大气环境质量优化提升战略合作，开展大气环境质量分析、污染来源解析、专家帮扶指导等工作，提升科学治理水平）；</w:t>
      </w:r>
      <w:r>
        <w:rPr>
          <w:highlight w:val="none"/>
        </w:rPr>
      </w:r>
      <w:r/>
    </w:p>
    <w:p>
      <w:pPr>
        <w:pStyle w:val="864"/>
        <w:numPr>
          <w:ilvl w:val="0"/>
          <w:numId w:val="6"/>
        </w:numPr>
        <w:spacing w:line="360" w:lineRule="auto"/>
        <w:rPr>
          <w:highlight w:val="none"/>
        </w:rPr>
      </w:pPr>
      <w:r>
        <w:rPr>
          <w:rFonts w:hint="eastAsia"/>
          <w:highlight w:val="none"/>
        </w:rPr>
        <w:t xml:space="preserve">《江苏省“1+13”专家支撑团队工作指南》；</w:t>
      </w:r>
      <w:r>
        <w:rPr>
          <w:highlight w:val="none"/>
        </w:rPr>
      </w:r>
      <w:r/>
    </w:p>
    <w:p>
      <w:pPr>
        <w:pStyle w:val="864"/>
        <w:numPr>
          <w:ilvl w:val="0"/>
          <w:numId w:val="6"/>
        </w:numPr>
        <w:spacing w:line="360" w:lineRule="auto"/>
        <w:rPr>
          <w:highlight w:val="none"/>
        </w:rPr>
      </w:pPr>
      <w:r>
        <w:rPr>
          <w:rFonts w:hint="eastAsia"/>
          <w:highlight w:val="none"/>
        </w:rPr>
        <w:t xml:space="preserve">《市政府关于印发苏州市空气质量持续改善行动计划实施方案的通知》（持续开展 PM2.5和臭氧协同控制科技攻关）；</w:t>
      </w:r>
      <w:r>
        <w:rPr>
          <w:highlight w:val="none"/>
        </w:rPr>
      </w:r>
      <w:r/>
    </w:p>
    <w:p>
      <w:pPr>
        <w:pStyle w:val="864"/>
        <w:ind w:firstLine="420"/>
        <w:spacing w:line="360" w:lineRule="auto"/>
        <w:rPr>
          <w:rFonts w:hint="eastAsia" w:ascii="宋体"/>
          <w:szCs w:val="21"/>
          <w:highlight w:val="none"/>
        </w:rPr>
      </w:pPr>
      <w:r>
        <w:rPr>
          <w:rFonts w:hint="eastAsia" w:ascii="宋体"/>
          <w:szCs w:val="21"/>
          <w:highlight w:val="none"/>
        </w:rPr>
        <w:t xml:space="preserve">3、服务内容</w:t>
      </w:r>
      <w:bookmarkEnd w:id="82"/>
      <w:r>
        <w:rPr>
          <w:rFonts w:hint="eastAsia" w:ascii="宋体"/>
          <w:szCs w:val="21"/>
          <w:highlight w:val="none"/>
        </w:rPr>
      </w:r>
      <w:r/>
    </w:p>
    <w:p>
      <w:pPr>
        <w:pStyle w:val="864"/>
        <w:ind w:firstLine="420"/>
        <w:jc w:val="left"/>
        <w:spacing w:line="360" w:lineRule="auto"/>
        <w:widowControl/>
        <w:rPr>
          <w:rFonts w:hint="eastAsia"/>
          <w:highlight w:val="none"/>
          <w:lang w:bidi="ar"/>
        </w:rPr>
      </w:pPr>
      <w:r/>
      <w:bookmarkStart w:id="83" w:name="_Toc135826240"/>
      <w:r>
        <w:rPr>
          <w:rFonts w:hint="eastAsia"/>
          <w:highlight w:val="none"/>
          <w:lang w:bidi="ar"/>
        </w:rPr>
        <w:t xml:space="preserve">通过引入第三方服务团队提供动态跟踪服务，综合运用各项有效技术，智慧调度各相关板块协同推进空气质量保障工作。</w:t>
      </w:r>
      <w:r>
        <w:rPr>
          <w:rFonts w:hint="eastAsia"/>
          <w:highlight w:val="none"/>
          <w:lang w:bidi="ar"/>
        </w:rPr>
      </w:r>
      <w:r/>
    </w:p>
    <w:p>
      <w:pPr>
        <w:pStyle w:val="864"/>
        <w:ind w:firstLine="0"/>
        <w:spacing w:line="360" w:lineRule="auto"/>
        <w:rPr>
          <w:rFonts w:hint="eastAsia" w:ascii="宋体"/>
          <w:szCs w:val="21"/>
          <w:highlight w:val="none"/>
        </w:rPr>
      </w:pPr>
      <w:r/>
      <w:bookmarkEnd w:id="83"/>
      <w:r>
        <w:rPr>
          <w:rFonts w:hint="eastAsia" w:ascii="宋体"/>
          <w:szCs w:val="21"/>
          <w:highlight w:val="none"/>
        </w:rPr>
        <w:t xml:space="preserve">（一）区域空气质量综合分析</w:t>
      </w:r>
      <w:r>
        <w:rPr>
          <w:rFonts w:hint="eastAsia" w:ascii="宋体"/>
          <w:szCs w:val="21"/>
          <w:highlight w:val="none"/>
        </w:rPr>
      </w:r>
      <w:r/>
    </w:p>
    <w:p>
      <w:pPr>
        <w:pStyle w:val="864"/>
        <w:ind w:firstLine="420"/>
        <w:spacing w:line="360" w:lineRule="auto"/>
        <w:rPr>
          <w:highlight w:val="none"/>
        </w:rPr>
      </w:pPr>
      <w:r>
        <w:rPr>
          <w:rFonts w:hint="eastAsia"/>
          <w:highlight w:val="none"/>
        </w:rPr>
        <w:t xml:space="preserve">结合相关数据，运用各类模型，开展区域空气质量综合分析，把握区域空气质量变化规律，为科学、精准治气提供理论指导。</w:t>
      </w:r>
      <w:r>
        <w:rPr>
          <w:highlight w:val="none"/>
        </w:rPr>
      </w:r>
      <w:r/>
    </w:p>
    <w:p>
      <w:pPr>
        <w:pStyle w:val="864"/>
        <w:ind w:firstLine="0"/>
        <w:spacing w:line="360" w:lineRule="auto"/>
        <w:rPr>
          <w:rFonts w:hint="eastAsia" w:ascii="宋体"/>
          <w:szCs w:val="21"/>
          <w:highlight w:val="none"/>
        </w:rPr>
      </w:pPr>
      <w:r>
        <w:rPr>
          <w:rFonts w:hint="eastAsia" w:ascii="宋体"/>
          <w:szCs w:val="21"/>
          <w:highlight w:val="none"/>
        </w:rPr>
        <w:t xml:space="preserve">（二）常规天气点位巡查、重污染天气应急管控服务</w:t>
      </w:r>
      <w:r>
        <w:rPr>
          <w:rFonts w:hint="eastAsia" w:ascii="宋体"/>
          <w:szCs w:val="21"/>
          <w:highlight w:val="none"/>
        </w:rPr>
      </w:r>
      <w:r/>
    </w:p>
    <w:p>
      <w:pPr>
        <w:pStyle w:val="864"/>
        <w:ind w:firstLine="420"/>
        <w:spacing w:line="360" w:lineRule="auto"/>
        <w:rPr>
          <w:rFonts w:hint="eastAsia"/>
          <w:highlight w:val="none"/>
        </w:rPr>
      </w:pPr>
      <w:r>
        <w:rPr>
          <w:rFonts w:hint="eastAsia"/>
          <w:highlight w:val="none"/>
        </w:rPr>
        <w:t xml:space="preserve">围绕重点大气监测点位，建立并动态更新污染分级管控清单，组织专业团队，协同乡镇（开发区），常规天气时开展日常巡查，站点数据异常突高情况开展站点微环境应急排查；重污染天气时，围绕江苏省、苏州市相关要求，依托管控清单全面开展应急管控工作。</w:t>
      </w:r>
      <w:r>
        <w:rPr>
          <w:rFonts w:hint="eastAsia"/>
          <w:highlight w:val="none"/>
        </w:rPr>
      </w:r>
      <w:r/>
    </w:p>
    <w:p>
      <w:pPr>
        <w:pStyle w:val="864"/>
        <w:ind w:firstLine="0"/>
        <w:spacing w:line="360" w:lineRule="auto"/>
        <w:rPr>
          <w:rFonts w:ascii="宋体"/>
          <w:szCs w:val="21"/>
          <w:highlight w:val="none"/>
        </w:rPr>
      </w:pPr>
      <w:r>
        <w:rPr>
          <w:rFonts w:hint="eastAsia" w:ascii="宋体"/>
          <w:szCs w:val="21"/>
          <w:highlight w:val="none"/>
        </w:rPr>
        <w:t xml:space="preserve">（三）整合各类监测数据，开展溯源及专项分析</w:t>
      </w:r>
      <w:r>
        <w:rPr>
          <w:rFonts w:ascii="宋体"/>
          <w:szCs w:val="21"/>
          <w:highlight w:val="none"/>
        </w:rPr>
      </w:r>
      <w:r/>
    </w:p>
    <w:p>
      <w:pPr>
        <w:pStyle w:val="864"/>
        <w:ind w:firstLine="420"/>
        <w:jc w:val="left"/>
        <w:spacing w:line="360" w:lineRule="auto"/>
        <w:widowControl/>
        <w:rPr>
          <w:highlight w:val="none"/>
        </w:rPr>
      </w:pPr>
      <w:r>
        <w:rPr>
          <w:rFonts w:hint="eastAsia"/>
          <w:highlight w:val="none"/>
          <w:lang w:bidi="ar"/>
        </w:rPr>
        <w:t xml:space="preserve">依托</w:t>
      </w:r>
      <w:r>
        <w:rPr>
          <w:rFonts w:hint="eastAsia"/>
          <w:highlight w:val="none"/>
        </w:rPr>
        <w:t xml:space="preserve">搭载监测设备的无人机飞航、VOCs走航车及积尘走航车等监测数据，结合各类大气监测站点监测数据，结合常规天气站点数值突高情景、重污染天气期间</w:t>
      </w:r>
      <w:r>
        <w:rPr>
          <w:rFonts w:hint="eastAsia" w:ascii="宋体" w:hAnsi="宋体" w:cs="宋体"/>
          <w:szCs w:val="21"/>
          <w:highlight w:val="none"/>
        </w:rPr>
        <w:t xml:space="preserve">开展源项溯源及</w:t>
      </w:r>
      <w:r>
        <w:rPr>
          <w:rFonts w:hint="eastAsia"/>
          <w:highlight w:val="none"/>
        </w:rPr>
        <w:t xml:space="preserve">开展专项分析。</w:t>
      </w:r>
      <w:r>
        <w:rPr>
          <w:highlight w:val="none"/>
        </w:rPr>
      </w:r>
      <w:r/>
    </w:p>
    <w:p>
      <w:pPr>
        <w:pStyle w:val="864"/>
        <w:ind w:firstLine="0"/>
        <w:spacing w:line="360" w:lineRule="auto"/>
        <w:rPr>
          <w:highlight w:val="none"/>
        </w:rPr>
      </w:pPr>
      <w:r>
        <w:rPr>
          <w:rFonts w:hint="eastAsia"/>
          <w:highlight w:val="none"/>
        </w:rPr>
        <w:t xml:space="preserve">（四）协助优化区域空气质量保障体系，开展</w:t>
      </w:r>
      <w:r>
        <w:rPr>
          <w:rFonts w:hint="eastAsia" w:ascii="宋体"/>
          <w:szCs w:val="21"/>
          <w:highlight w:val="none"/>
        </w:rPr>
        <w:t xml:space="preserve">重点行业及重点源项专项调研</w:t>
      </w:r>
      <w:r>
        <w:rPr>
          <w:highlight w:val="none"/>
        </w:rPr>
      </w:r>
      <w:r/>
    </w:p>
    <w:p>
      <w:pPr>
        <w:pStyle w:val="864"/>
        <w:ind w:firstLine="420"/>
        <w:spacing w:line="360" w:lineRule="auto"/>
        <w:rPr>
          <w:rFonts w:hint="eastAsia"/>
          <w:highlight w:val="none"/>
        </w:rPr>
      </w:pPr>
      <w:r>
        <w:rPr>
          <w:rFonts w:hint="eastAsia" w:ascii="宋体"/>
          <w:szCs w:val="21"/>
          <w:highlight w:val="none"/>
        </w:rPr>
        <w:t xml:space="preserve">配合管理部门，协助优化空气质量保障体系，协同乡镇（开发区）系统联动，定期开展空气质量会商及智慧调度；结合本地化清单，定向开展重点行业及重点源项专项调研，帮扶</w:t>
      </w:r>
      <w:r>
        <w:rPr>
          <w:rFonts w:hint="eastAsia"/>
          <w:highlight w:val="none"/>
        </w:rPr>
        <w:t xml:space="preserve">指导重点行业及重点源精细化提升。</w:t>
      </w:r>
      <w:r>
        <w:rPr>
          <w:rFonts w:hint="eastAsia"/>
          <w:highlight w:val="none"/>
        </w:rPr>
      </w:r>
      <w:r/>
    </w:p>
    <w:p>
      <w:pPr>
        <w:pStyle w:val="864"/>
        <w:ind w:firstLine="420"/>
        <w:spacing w:line="360" w:lineRule="auto"/>
        <w:rPr>
          <w:rFonts w:ascii="宋体"/>
          <w:szCs w:val="21"/>
          <w:highlight w:val="none"/>
        </w:rPr>
      </w:pPr>
      <w:r/>
      <w:bookmarkStart w:id="84" w:name="_Toc135826253"/>
      <w:r>
        <w:rPr>
          <w:rFonts w:hint="eastAsia" w:ascii="宋体"/>
          <w:szCs w:val="21"/>
          <w:highlight w:val="none"/>
        </w:rPr>
        <w:t xml:space="preserve">3、人员要求</w:t>
      </w:r>
      <w:r>
        <w:rPr>
          <w:rFonts w:ascii="宋体"/>
          <w:szCs w:val="21"/>
          <w:highlight w:val="none"/>
        </w:rPr>
      </w:r>
      <w:r/>
    </w:p>
    <w:p>
      <w:pPr>
        <w:pStyle w:val="864"/>
        <w:ind w:firstLine="420"/>
        <w:spacing w:line="360" w:lineRule="auto"/>
        <w:rPr>
          <w:rFonts w:hint="eastAsia" w:ascii="宋体"/>
          <w:szCs w:val="21"/>
          <w:highlight w:val="none"/>
        </w:rPr>
      </w:pPr>
      <w:r>
        <w:rPr>
          <w:rFonts w:hint="eastAsia" w:ascii="宋体"/>
          <w:szCs w:val="21"/>
          <w:highlight w:val="none"/>
        </w:rPr>
        <w:t xml:space="preserve">本项目配备一个实施项目组，至少包含1名项目负责人、1名技术负责人、1名质控负责人、2名</w:t>
      </w:r>
      <w:r>
        <w:rPr>
          <w:rFonts w:hint="eastAsia" w:ascii="宋体"/>
          <w:szCs w:val="21"/>
          <w:highlight w:val="none"/>
          <w:lang w:eastAsia="zh-CN"/>
        </w:rPr>
        <w:t xml:space="preserve">技术人员。</w:t>
      </w:r>
      <w:bookmarkEnd w:id="84"/>
      <w:r/>
      <w:bookmarkStart w:id="85" w:name="_Toc135826254"/>
      <w:r>
        <w:rPr>
          <w:rFonts w:hint="eastAsia" w:ascii="宋体"/>
          <w:szCs w:val="21"/>
          <w:highlight w:val="none"/>
        </w:rPr>
        <w:t xml:space="preserve">人员要求：提供</w:t>
      </w:r>
      <w:r>
        <w:rPr>
          <w:rFonts w:hint="eastAsia" w:ascii="宋体"/>
          <w:szCs w:val="21"/>
          <w:highlight w:val="none"/>
          <w:lang w:eastAsia="zh-CN"/>
        </w:rPr>
        <w:t xml:space="preserve">现场巡查、技术指导等专业</w:t>
      </w:r>
      <w:r>
        <w:rPr>
          <w:rFonts w:hint="eastAsia" w:ascii="宋体"/>
          <w:szCs w:val="21"/>
          <w:highlight w:val="none"/>
        </w:rPr>
        <w:t xml:space="preserve">服务，善于合作、执行力强、政治素质和业务素质好、工作效率高</w:t>
      </w:r>
      <w:bookmarkEnd w:id="85"/>
      <w:r/>
      <w:bookmarkStart w:id="86" w:name="_Toc135826255"/>
      <w:r>
        <w:rPr>
          <w:rFonts w:hint="eastAsia" w:ascii="宋体"/>
          <w:szCs w:val="21"/>
          <w:highlight w:val="none"/>
          <w:lang w:eastAsia="zh-CN"/>
        </w:rPr>
        <w:t xml:space="preserve">，</w:t>
      </w:r>
      <w:r>
        <w:rPr>
          <w:rFonts w:hint="eastAsia" w:ascii="宋体"/>
          <w:szCs w:val="21"/>
          <w:highlight w:val="none"/>
        </w:rPr>
        <w:t xml:space="preserve">2名</w:t>
      </w:r>
      <w:r>
        <w:rPr>
          <w:rFonts w:hint="eastAsia" w:ascii="宋体"/>
          <w:szCs w:val="21"/>
          <w:highlight w:val="none"/>
          <w:lang w:eastAsia="zh-CN"/>
        </w:rPr>
        <w:t xml:space="preserve">技术人员与甲方专门对接，</w:t>
      </w:r>
      <w:r>
        <w:rPr>
          <w:rFonts w:hint="eastAsia" w:ascii="宋体"/>
          <w:szCs w:val="21"/>
          <w:highlight w:val="none"/>
          <w:lang w:val="en-US" w:eastAsia="zh-CN"/>
        </w:rPr>
        <w:t xml:space="preserve">及时响应</w:t>
      </w:r>
      <w:r>
        <w:rPr>
          <w:rFonts w:hint="eastAsia" w:ascii="宋体"/>
          <w:szCs w:val="21"/>
          <w:highlight w:val="none"/>
        </w:rPr>
        <w:t xml:space="preserve">。甲方有权要求乙方更换不能胜任本次</w:t>
      </w:r>
      <w:r>
        <w:rPr>
          <w:rFonts w:hint="eastAsia" w:ascii="宋体"/>
          <w:szCs w:val="21"/>
          <w:highlight w:val="none"/>
          <w:lang w:eastAsia="zh-CN"/>
        </w:rPr>
        <w:t xml:space="preserve">技术</w:t>
      </w:r>
      <w:r>
        <w:rPr>
          <w:rFonts w:hint="eastAsia" w:ascii="宋体"/>
          <w:szCs w:val="21"/>
          <w:highlight w:val="none"/>
        </w:rPr>
        <w:t xml:space="preserve">服务人员，其它情况乙方不得随意更换人员，更换人员必须经甲方同意。</w:t>
      </w:r>
      <w:bookmarkEnd w:id="86"/>
      <w:r>
        <w:rPr>
          <w:rFonts w:hint="eastAsia" w:ascii="宋体"/>
          <w:szCs w:val="21"/>
          <w:highlight w:val="none"/>
        </w:rPr>
      </w:r>
      <w:r/>
    </w:p>
    <w:p>
      <w:pPr>
        <w:pStyle w:val="864"/>
        <w:numPr>
          <w:ilvl w:val="0"/>
          <w:numId w:val="7"/>
        </w:numPr>
        <w:ind w:firstLine="420"/>
        <w:spacing w:line="360" w:lineRule="auto"/>
        <w:rPr>
          <w:rFonts w:hint="eastAsia" w:ascii="宋体"/>
          <w:szCs w:val="21"/>
          <w:highlight w:val="none"/>
        </w:rPr>
      </w:pPr>
      <w:r/>
      <w:bookmarkStart w:id="87" w:name="_Toc135826258"/>
      <w:r>
        <w:rPr>
          <w:rFonts w:hint="eastAsia" w:ascii="宋体"/>
          <w:szCs w:val="21"/>
          <w:highlight w:val="none"/>
        </w:rPr>
        <w:t xml:space="preserve">设备要求</w:t>
      </w:r>
      <w:r>
        <w:rPr>
          <w:rFonts w:hint="eastAsia" w:ascii="宋体"/>
          <w:szCs w:val="21"/>
          <w:highlight w:val="none"/>
        </w:rPr>
      </w:r>
      <w:r/>
    </w:p>
    <w:p>
      <w:pPr>
        <w:pStyle w:val="864"/>
        <w:ind w:firstLine="422"/>
        <w:spacing w:line="360" w:lineRule="auto"/>
        <w:tabs>
          <w:tab w:val="left" w:pos="420" w:leader="none"/>
        </w:tabs>
        <w:rPr>
          <w:rFonts w:ascii="宋体" w:hAnsi="宋体"/>
          <w:b/>
          <w:bCs/>
          <w:szCs w:val="21"/>
          <w:highlight w:val="none"/>
        </w:rPr>
      </w:pPr>
      <w:r>
        <w:rPr>
          <w:rFonts w:hint="eastAsia" w:ascii="宋体" w:hAnsi="宋体"/>
          <w:b/>
          <w:bCs/>
          <w:szCs w:val="21"/>
          <w:highlight w:val="none"/>
        </w:rPr>
        <w:t xml:space="preserve">（一）VOCs 走航监测服务</w:t>
      </w:r>
      <w:r>
        <w:rPr>
          <w:rFonts w:ascii="宋体" w:hAnsi="宋体"/>
          <w:b/>
          <w:bCs/>
          <w:szCs w:val="21"/>
          <w:highlight w:val="none"/>
        </w:rPr>
      </w:r>
      <w:r/>
    </w:p>
    <w:p>
      <w:pPr>
        <w:pStyle w:val="864"/>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（1）全部车载设备正常运行的情况下，续航时间＞6小时。</w:t>
      </w:r>
      <w:r>
        <w:rPr>
          <w:rFonts w:ascii="宋体" w:hAnsi="宋体"/>
          <w:szCs w:val="21"/>
          <w:highlight w:val="none"/>
        </w:rPr>
      </w:r>
      <w:r/>
    </w:p>
    <w:p>
      <w:pPr>
        <w:pStyle w:val="864"/>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（2）常规参数设备（秒级数据）：包括</w:t>
      </w:r>
      <w:r>
        <w:rPr>
          <w:rFonts w:hint="eastAsia"/>
          <w:highlight w:val="none"/>
        </w:rPr>
        <w:t xml:space="preserve">PM</w:t>
      </w:r>
      <w:r>
        <w:rPr>
          <w:rFonts w:hint="eastAsia"/>
          <w:highlight w:val="none"/>
          <w:vertAlign w:val="subscript"/>
        </w:rPr>
        <w:t xml:space="preserve">2.5</w:t>
      </w:r>
      <w:r>
        <w:rPr>
          <w:rFonts w:hint="eastAsia"/>
          <w:highlight w:val="none"/>
        </w:rPr>
        <w:t xml:space="preserve">、PM</w:t>
      </w:r>
      <w:r>
        <w:rPr>
          <w:rFonts w:hint="eastAsia"/>
          <w:highlight w:val="none"/>
          <w:vertAlign w:val="subscript"/>
        </w:rPr>
        <w:t xml:space="preserve">10</w:t>
      </w:r>
      <w:r>
        <w:rPr>
          <w:rFonts w:hint="eastAsia"/>
          <w:highlight w:val="none"/>
        </w:rPr>
        <w:t xml:space="preserve">、</w:t>
      </w:r>
      <w:r>
        <w:rPr>
          <w:highlight w:val="none"/>
        </w:rPr>
        <w:t xml:space="preserve">O</w:t>
      </w:r>
      <w:r>
        <w:rPr>
          <w:highlight w:val="none"/>
          <w:vertAlign w:val="subscript"/>
        </w:rPr>
        <w:t xml:space="preserve">3</w:t>
      </w:r>
      <w:r>
        <w:rPr>
          <w:rFonts w:hint="eastAsia"/>
          <w:highlight w:val="none"/>
        </w:rPr>
        <w:t xml:space="preserve">、</w:t>
      </w:r>
      <w:r>
        <w:rPr>
          <w:highlight w:val="none"/>
        </w:rPr>
        <w:t xml:space="preserve">SO₂</w:t>
      </w:r>
      <w:r>
        <w:rPr>
          <w:rFonts w:hint="eastAsia"/>
          <w:highlight w:val="none"/>
        </w:rPr>
        <w:t xml:space="preserve">、</w:t>
      </w:r>
      <w:r>
        <w:rPr>
          <w:highlight w:val="none"/>
        </w:rPr>
        <w:t xml:space="preserve">NO₂</w:t>
      </w:r>
      <w:r>
        <w:rPr>
          <w:rFonts w:hint="eastAsia"/>
          <w:highlight w:val="none"/>
        </w:rPr>
        <w:t xml:space="preserve">、CO</w:t>
      </w:r>
      <w:r>
        <w:rPr>
          <w:rFonts w:hint="eastAsia" w:ascii="宋体" w:hAnsi="宋体"/>
          <w:szCs w:val="21"/>
          <w:highlight w:val="none"/>
        </w:rPr>
        <w:t xml:space="preserve">分析仪。</w:t>
      </w:r>
      <w:r>
        <w:rPr>
          <w:rFonts w:ascii="宋体" w:hAnsi="宋体"/>
          <w:szCs w:val="21"/>
          <w:highlight w:val="none"/>
        </w:rPr>
      </w:r>
      <w:r/>
    </w:p>
    <w:p>
      <w:pPr>
        <w:pStyle w:val="864"/>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（3）VOCs监测设备：至少包括VOCs快速响应仪、VOCs组分分析仪。</w:t>
      </w:r>
      <w:r>
        <w:rPr>
          <w:rFonts w:ascii="宋体" w:hAnsi="宋体"/>
          <w:szCs w:val="21"/>
          <w:highlight w:val="none"/>
        </w:rPr>
      </w:r>
      <w:r/>
    </w:p>
    <w:p>
      <w:pPr>
        <w:pStyle w:val="864"/>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（4）</w:t>
      </w:r>
      <w:bookmarkStart w:id="88" w:name="OLE_LINK2"/>
      <w:r>
        <w:rPr>
          <w:rFonts w:hint="eastAsia" w:ascii="宋体" w:hAnsi="宋体"/>
          <w:szCs w:val="21"/>
          <w:highlight w:val="none"/>
        </w:rPr>
        <w:t xml:space="preserve">气象设备：至少包括气象五参数分析仪</w:t>
      </w:r>
      <w:bookmarkEnd w:id="88"/>
      <w:r>
        <w:rPr>
          <w:rFonts w:hint="eastAsia" w:ascii="宋体" w:hAnsi="宋体"/>
          <w:szCs w:val="21"/>
          <w:highlight w:val="none"/>
        </w:rPr>
        <w:t xml:space="preserve">。</w:t>
      </w:r>
      <w:r>
        <w:rPr>
          <w:rFonts w:ascii="宋体" w:hAnsi="宋体"/>
          <w:szCs w:val="21"/>
          <w:highlight w:val="none"/>
        </w:rPr>
      </w:r>
      <w:r/>
    </w:p>
    <w:p>
      <w:pPr>
        <w:pStyle w:val="864"/>
        <w:ind w:firstLine="422"/>
        <w:spacing w:line="360" w:lineRule="auto"/>
        <w:tabs>
          <w:tab w:val="left" w:pos="420" w:leader="none"/>
        </w:tabs>
        <w:rPr>
          <w:rFonts w:ascii="宋体" w:hAnsi="宋体"/>
          <w:b/>
          <w:bCs/>
          <w:szCs w:val="21"/>
          <w:highlight w:val="none"/>
        </w:rPr>
      </w:pPr>
      <w:r>
        <w:rPr>
          <w:rFonts w:hint="eastAsia" w:ascii="宋体" w:hAnsi="宋体"/>
          <w:b/>
          <w:bCs/>
          <w:szCs w:val="21"/>
          <w:highlight w:val="none"/>
        </w:rPr>
        <w:t xml:space="preserve">（二）道路积尘走航监测服务</w:t>
      </w:r>
      <w:r>
        <w:rPr>
          <w:rFonts w:ascii="宋体" w:hAnsi="宋体"/>
          <w:b/>
          <w:bCs/>
          <w:szCs w:val="21"/>
          <w:highlight w:val="none"/>
        </w:rPr>
      </w:r>
      <w:r/>
    </w:p>
    <w:p>
      <w:pPr>
        <w:pStyle w:val="864"/>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（1）道路积尘监测仪</w:t>
      </w:r>
      <w:r>
        <w:rPr>
          <w:rFonts w:ascii="宋体" w:hAnsi="宋体"/>
          <w:szCs w:val="21"/>
          <w:highlight w:val="none"/>
        </w:rPr>
      </w:r>
      <w:r/>
    </w:p>
    <w:p>
      <w:pPr>
        <w:pStyle w:val="864"/>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①监测仪采样时，每间隔1s采样一个数值。</w:t>
      </w:r>
      <w:r>
        <w:rPr>
          <w:rFonts w:ascii="宋体" w:hAnsi="宋体"/>
          <w:szCs w:val="21"/>
          <w:highlight w:val="none"/>
        </w:rPr>
      </w:r>
      <w:r/>
    </w:p>
    <w:p>
      <w:pPr>
        <w:pStyle w:val="864"/>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②能够保证在环境温度应处于-10℃至40℃之间，环境相对湿度小于等于80%，环境风力低于4级的情况下，不影响道路积尘监测仪的正常使用。</w:t>
      </w:r>
      <w:r>
        <w:rPr>
          <w:rFonts w:ascii="宋体" w:hAnsi="宋体"/>
          <w:szCs w:val="21"/>
          <w:highlight w:val="none"/>
        </w:rPr>
      </w:r>
      <w:r/>
    </w:p>
    <w:p>
      <w:pPr>
        <w:pStyle w:val="864"/>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（2）数据采集模块</w:t>
      </w:r>
      <w:r>
        <w:rPr>
          <w:rFonts w:ascii="宋体" w:hAnsi="宋体"/>
          <w:szCs w:val="21"/>
          <w:highlight w:val="none"/>
        </w:rPr>
      </w:r>
      <w:r/>
    </w:p>
    <w:p>
      <w:pPr>
        <w:pStyle w:val="864"/>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①数采模块对监测设备进行运行控制和数据传输至电脑系统。</w:t>
      </w:r>
      <w:r>
        <w:rPr>
          <w:rFonts w:ascii="宋体" w:hAnsi="宋体"/>
          <w:szCs w:val="21"/>
          <w:highlight w:val="none"/>
        </w:rPr>
      </w:r>
      <w:r/>
    </w:p>
    <w:p>
      <w:pPr>
        <w:pStyle w:val="864"/>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②数采模块的工作环境：温度 -10℃～+50℃，相对湿度5%-95%，无结露。</w:t>
      </w:r>
      <w:r>
        <w:rPr>
          <w:rFonts w:ascii="宋体" w:hAnsi="宋体"/>
          <w:szCs w:val="21"/>
          <w:highlight w:val="none"/>
        </w:rPr>
      </w:r>
      <w:r/>
    </w:p>
    <w:p>
      <w:pPr>
        <w:pStyle w:val="864"/>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（3）道路积尘监测系统软件</w:t>
      </w:r>
      <w:r>
        <w:rPr>
          <w:rFonts w:ascii="宋体" w:hAnsi="宋体"/>
          <w:szCs w:val="21"/>
          <w:highlight w:val="none"/>
        </w:rPr>
      </w:r>
      <w:r/>
    </w:p>
    <w:p>
      <w:pPr>
        <w:pStyle w:val="864"/>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①软件能够监测设备的调控管理与实时在线数据显示。</w:t>
      </w:r>
      <w:r>
        <w:rPr>
          <w:rFonts w:ascii="宋体" w:hAnsi="宋体"/>
          <w:szCs w:val="21"/>
          <w:highlight w:val="none"/>
        </w:rPr>
      </w:r>
      <w:r/>
    </w:p>
    <w:p>
      <w:pPr>
        <w:pStyle w:val="864"/>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②软件应显示监测仪的数据、实时车速、温湿度和GPS信息。</w:t>
      </w:r>
      <w:r>
        <w:rPr>
          <w:rFonts w:ascii="宋体" w:hAnsi="宋体"/>
          <w:szCs w:val="21"/>
          <w:highlight w:val="none"/>
        </w:rPr>
      </w:r>
      <w:r/>
    </w:p>
    <w:p>
      <w:pPr>
        <w:pStyle w:val="864"/>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（4）道路积尘负荷监测服务</w:t>
      </w:r>
      <w:r>
        <w:rPr>
          <w:rFonts w:ascii="宋体" w:hAnsi="宋体"/>
          <w:szCs w:val="21"/>
          <w:highlight w:val="none"/>
        </w:rPr>
      </w:r>
      <w:r/>
    </w:p>
    <w:p>
      <w:pPr>
        <w:pStyle w:val="864"/>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①对指定的区域道路进行监测。</w:t>
      </w:r>
      <w:r>
        <w:rPr>
          <w:rFonts w:ascii="宋体" w:hAnsi="宋体"/>
          <w:szCs w:val="21"/>
          <w:highlight w:val="none"/>
        </w:rPr>
      </w:r>
      <w:r/>
    </w:p>
    <w:p>
      <w:pPr>
        <w:pStyle w:val="864"/>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②监测过程中，随时接受采购人的考核和抽查，包括现场抽查、软件监督等形式 。</w:t>
      </w:r>
      <w:r>
        <w:rPr>
          <w:rFonts w:ascii="宋体" w:hAnsi="宋体"/>
          <w:szCs w:val="21"/>
          <w:highlight w:val="none"/>
        </w:rPr>
      </w:r>
      <w:r/>
    </w:p>
    <w:p>
      <w:pPr>
        <w:pStyle w:val="890"/>
        <w:ind w:firstLine="0"/>
        <w:spacing w:line="360" w:lineRule="auto"/>
        <w:rPr>
          <w:b/>
          <w:bCs/>
          <w:highlight w:val="none"/>
        </w:rPr>
      </w:pPr>
      <w:r>
        <w:rPr>
          <w:rFonts w:hint="eastAsia"/>
          <w:b/>
          <w:bCs/>
          <w:highlight w:val="none"/>
        </w:rPr>
        <w:t xml:space="preserve">（三）无人机飞航服务</w:t>
      </w:r>
      <w:r>
        <w:rPr>
          <w:b/>
          <w:bCs/>
          <w:highlight w:val="none"/>
        </w:rPr>
      </w:r>
      <w:r/>
    </w:p>
    <w:p>
      <w:pPr>
        <w:pStyle w:val="864"/>
        <w:ind w:firstLine="420"/>
        <w:spacing w:line="360" w:lineRule="auto"/>
        <w:rPr>
          <w:highlight w:val="none"/>
        </w:rPr>
      </w:pPr>
      <w:r>
        <w:rPr>
          <w:highlight w:val="none"/>
        </w:rPr>
        <w:t xml:space="preserve">①飞航要求：单次累计有效飞行时长不低于100分钟；</w:t>
      </w:r>
      <w:r>
        <w:rPr>
          <w:highlight w:val="none"/>
        </w:rPr>
      </w:r>
      <w:r/>
    </w:p>
    <w:p>
      <w:pPr>
        <w:pStyle w:val="864"/>
        <w:ind w:firstLine="420"/>
        <w:spacing w:line="360" w:lineRule="auto"/>
        <w:rPr>
          <w:highlight w:val="none"/>
        </w:rPr>
      </w:pPr>
      <w:r>
        <w:rPr>
          <w:highlight w:val="none"/>
        </w:rPr>
        <w:t xml:space="preserve">②监测要求：常规监测PM2.5、PM10、TVOC、SO₂、CO、NO₂；</w:t>
      </w:r>
      <w:r>
        <w:rPr>
          <w:highlight w:val="none"/>
        </w:rPr>
      </w:r>
      <w:r/>
    </w:p>
    <w:p>
      <w:pPr>
        <w:pStyle w:val="864"/>
        <w:ind w:firstLine="420"/>
        <w:spacing w:line="360" w:lineRule="auto"/>
        <w:rPr>
          <w:highlight w:val="none"/>
        </w:rPr>
      </w:pPr>
      <w:r>
        <w:rPr>
          <w:rFonts w:hint="eastAsia"/>
          <w:highlight w:val="none"/>
        </w:rPr>
        <w:t xml:space="preserve">③</w:t>
      </w:r>
      <w:r>
        <w:rPr>
          <w:highlight w:val="none"/>
        </w:rPr>
        <w:t xml:space="preserve">平台要求：配套平台可实时查看各监测因子指数、地图等相关信息；</w:t>
      </w:r>
      <w:r>
        <w:rPr>
          <w:highlight w:val="none"/>
        </w:rPr>
      </w:r>
      <w:r/>
    </w:p>
    <w:p>
      <w:pPr>
        <w:pStyle w:val="864"/>
        <w:ind w:firstLine="420"/>
        <w:spacing w:line="360" w:lineRule="auto"/>
        <w:rPr>
          <w:highlight w:val="none"/>
        </w:rPr>
      </w:pPr>
      <w:r>
        <w:rPr>
          <w:rFonts w:hint="eastAsia"/>
          <w:highlight w:val="none"/>
        </w:rPr>
        <w:t xml:space="preserve">④</w:t>
      </w:r>
      <w:r>
        <w:rPr>
          <w:highlight w:val="none"/>
        </w:rPr>
        <w:t xml:space="preserve">数据与报告要求：支持在线下载巡查报告及原始数据；</w:t>
      </w:r>
      <w:r>
        <w:rPr>
          <w:highlight w:val="none"/>
        </w:rPr>
      </w:r>
      <w:r/>
    </w:p>
    <w:p>
      <w:pPr>
        <w:pStyle w:val="864"/>
        <w:numPr>
          <w:ilvl w:val="0"/>
          <w:numId w:val="7"/>
        </w:numPr>
        <w:spacing w:line="360" w:lineRule="auto"/>
        <w:rPr>
          <w:rFonts w:hint="eastAsia" w:ascii="宋体"/>
          <w:szCs w:val="21"/>
          <w:highlight w:val="none"/>
        </w:rPr>
      </w:pPr>
      <w:r>
        <w:rPr>
          <w:rFonts w:hint="eastAsia" w:ascii="宋体"/>
          <w:szCs w:val="21"/>
          <w:highlight w:val="none"/>
        </w:rPr>
        <w:t xml:space="preserve">成果要求</w:t>
      </w:r>
      <w:bookmarkEnd w:id="87"/>
      <w:r>
        <w:rPr>
          <w:rFonts w:hint="eastAsia" w:ascii="宋体"/>
          <w:szCs w:val="21"/>
          <w:highlight w:val="none"/>
        </w:rPr>
      </w:r>
      <w:r/>
    </w:p>
    <w:p>
      <w:pPr>
        <w:pStyle w:val="864"/>
        <w:numPr>
          <w:ilvl w:val="0"/>
          <w:numId w:val="8"/>
        </w:numPr>
        <w:spacing w:line="360" w:lineRule="auto"/>
        <w:rPr>
          <w:rFonts w:hint="eastAsia" w:ascii="宋体"/>
          <w:szCs w:val="21"/>
          <w:highlight w:val="none"/>
        </w:rPr>
      </w:pPr>
      <w:r>
        <w:rPr>
          <w:rFonts w:hint="eastAsia" w:ascii="宋体"/>
          <w:szCs w:val="21"/>
          <w:highlight w:val="none"/>
        </w:rPr>
        <w:t xml:space="preserve">污染源清单及一张图、重污染分级管控清单。</w:t>
      </w:r>
      <w:r>
        <w:rPr>
          <w:rFonts w:hint="eastAsia" w:ascii="宋体"/>
          <w:szCs w:val="21"/>
          <w:highlight w:val="none"/>
        </w:rPr>
      </w:r>
      <w:r/>
    </w:p>
    <w:p>
      <w:pPr>
        <w:pStyle w:val="864"/>
        <w:numPr>
          <w:ilvl w:val="0"/>
          <w:numId w:val="8"/>
        </w:numPr>
        <w:spacing w:line="360" w:lineRule="auto"/>
        <w:rPr>
          <w:rFonts w:hint="eastAsia" w:ascii="宋体"/>
          <w:szCs w:val="21"/>
          <w:highlight w:val="none"/>
        </w:rPr>
      </w:pPr>
      <w:r>
        <w:rPr>
          <w:rFonts w:hint="eastAsia" w:ascii="宋体"/>
          <w:szCs w:val="21"/>
          <w:highlight w:val="none"/>
        </w:rPr>
        <w:t xml:space="preserve">VOCs走航报告60份、道路积尘走航报告12份、无人机飞航报告15份。</w:t>
      </w:r>
      <w:r>
        <w:rPr>
          <w:rFonts w:hint="eastAsia" w:ascii="宋体"/>
          <w:szCs w:val="21"/>
          <w:highlight w:val="none"/>
        </w:rPr>
      </w:r>
      <w:r/>
    </w:p>
    <w:p>
      <w:pPr>
        <w:pStyle w:val="864"/>
        <w:numPr>
          <w:ilvl w:val="0"/>
          <w:numId w:val="8"/>
        </w:numPr>
        <w:spacing w:line="360" w:lineRule="auto"/>
        <w:rPr>
          <w:rFonts w:hint="eastAsia" w:ascii="宋体"/>
          <w:color w:val="000000"/>
          <w:szCs w:val="21"/>
          <w:highlight w:val="none"/>
        </w:rPr>
      </w:pPr>
      <w:r>
        <w:rPr>
          <w:rFonts w:ascii="黑体" w:hAnsi="黑体" w:eastAsia="宋体" w:cs="黑体"/>
          <w:bCs/>
          <w:color w:val="000000"/>
          <w:szCs w:val="36"/>
          <w:highlight w:val="none"/>
          <w:u w:val="none"/>
          <w:lang w:bidi="ar"/>
        </w:rPr>
        <w:t xml:space="preserve">环境空气质量日报、</w:t>
      </w:r>
      <w:r>
        <w:rPr>
          <w:rFonts w:ascii="黑体" w:hAnsi="黑体" w:eastAsia="宋体" w:cs="黑体"/>
          <w:bCs/>
          <w:color w:val="000000"/>
          <w:szCs w:val="36"/>
          <w:highlight w:val="none"/>
          <w:lang w:bidi="ar"/>
        </w:rPr>
        <w:t xml:space="preserve">环境空气质量月报、环境空气质量专项分析报告</w:t>
      </w:r>
      <w:r>
        <w:rPr>
          <w:rFonts w:hint="eastAsia" w:ascii="宋体"/>
          <w:color w:val="000000"/>
          <w:szCs w:val="21"/>
          <w:highlight w:val="none"/>
        </w:rPr>
        <w:t xml:space="preserve">。</w:t>
      </w:r>
      <w:r>
        <w:rPr>
          <w:rFonts w:hint="eastAsia" w:ascii="宋体"/>
          <w:color w:val="000000"/>
          <w:szCs w:val="21"/>
          <w:highlight w:val="none"/>
        </w:rPr>
      </w:r>
      <w:r/>
    </w:p>
    <w:p>
      <w:pPr>
        <w:pStyle w:val="864"/>
        <w:numPr>
          <w:ilvl w:val="0"/>
          <w:numId w:val="8"/>
        </w:numPr>
        <w:spacing w:line="360" w:lineRule="auto"/>
        <w:rPr>
          <w:rFonts w:hint="eastAsia" w:ascii="宋体" w:hAnsi="Times New Roman" w:eastAsia="宋体" w:cs="Times New Roman"/>
          <w:szCs w:val="21"/>
          <w:highlight w:val="none"/>
        </w:rPr>
      </w:pPr>
      <w:r>
        <w:rPr>
          <w:rFonts w:hint="eastAsia" w:ascii="宋体" w:hAnsi="Times New Roman" w:eastAsia="宋体" w:cs="Times New Roman"/>
          <w:szCs w:val="21"/>
          <w:highlight w:val="none"/>
        </w:rPr>
        <w:t xml:space="preserve">昆山市2026年空气质量保障年度总结报告。</w:t>
      </w:r>
      <w:r>
        <w:rPr>
          <w:rFonts w:hint="eastAsia" w:ascii="宋体" w:hAnsi="Times New Roman" w:eastAsia="宋体" w:cs="Times New Roman"/>
          <w:szCs w:val="21"/>
          <w:highlight w:val="none"/>
        </w:rPr>
      </w:r>
      <w:r/>
    </w:p>
    <w:p>
      <w:pPr>
        <w:pStyle w:val="864"/>
        <w:numPr>
          <w:ilvl w:val="0"/>
          <w:numId w:val="8"/>
        </w:numPr>
        <w:spacing w:line="360" w:lineRule="auto"/>
        <w:rPr>
          <w:rFonts w:hint="eastAsia" w:ascii="宋体" w:hAnsi="Times New Roman" w:eastAsia="宋体" w:cs="Times New Roman"/>
          <w:szCs w:val="21"/>
          <w:highlight w:val="none"/>
        </w:rPr>
      </w:pPr>
      <w:r>
        <w:rPr>
          <w:rFonts w:hint="eastAsia" w:ascii="宋体" w:hAnsi="Times New Roman" w:eastAsia="宋体" w:cs="Times New Roman"/>
          <w:szCs w:val="21"/>
          <w:highlight w:val="none"/>
        </w:rPr>
        <w:t xml:space="preserve">重点行业及重点源项专项调研报告。</w:t>
      </w:r>
      <w:r>
        <w:rPr>
          <w:rFonts w:hint="eastAsia" w:ascii="宋体" w:hAnsi="Times New Roman" w:eastAsia="宋体" w:cs="Times New Roman"/>
          <w:szCs w:val="21"/>
          <w:highlight w:val="none"/>
        </w:rPr>
      </w:r>
      <w:r/>
    </w:p>
    <w:tbl>
      <w:tblPr>
        <w:tblW w:w="484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4"/>
        <w:gridCol w:w="1629"/>
        <w:gridCol w:w="4305"/>
        <w:gridCol w:w="2577"/>
      </w:tblGrid>
      <w:tr>
        <w:trPr/>
        <w:tc>
          <w:tcPr>
            <w:tcW w:w="269" w:type="dxa"/>
            <w:vAlign w:val="center"/>
            <w:textDirection w:val="lrTb"/>
            <w:noWrap w:val="false"/>
          </w:tcPr>
          <w:p>
            <w:pPr>
              <w:pStyle w:val="919"/>
              <w:rPr>
                <w:color w:val="000000"/>
                <w:highlight w:val="none"/>
              </w:rPr>
            </w:pPr>
            <w:r>
              <w:rPr>
                <w:color w:val="000000"/>
                <w:highlight w:val="none"/>
              </w:rPr>
              <w:t xml:space="preserve">序号</w:t>
            </w:r>
            <w:r>
              <w:rPr>
                <w:color w:val="000000"/>
                <w:highlight w:val="none"/>
              </w:rPr>
            </w:r>
            <w:r/>
          </w:p>
        </w:tc>
        <w:tc>
          <w:tcPr>
            <w:tcW w:w="905" w:type="dxa"/>
            <w:vAlign w:val="center"/>
            <w:textDirection w:val="lrTb"/>
            <w:noWrap w:val="false"/>
          </w:tcPr>
          <w:p>
            <w:pPr>
              <w:pStyle w:val="919"/>
              <w:rPr>
                <w:color w:val="000000"/>
                <w:highlight w:val="none"/>
              </w:rPr>
            </w:pPr>
            <w:r>
              <w:rPr>
                <w:color w:val="000000"/>
                <w:highlight w:val="none"/>
              </w:rPr>
              <w:t xml:space="preserve">项目</w:t>
            </w:r>
            <w:r>
              <w:rPr>
                <w:color w:val="000000"/>
                <w:highlight w:val="none"/>
              </w:rPr>
            </w:r>
            <w:r/>
          </w:p>
        </w:tc>
        <w:tc>
          <w:tcPr>
            <w:tcW w:w="2392" w:type="dxa"/>
            <w:vAlign w:val="center"/>
            <w:textDirection w:val="lrTb"/>
            <w:noWrap w:val="false"/>
          </w:tcPr>
          <w:p>
            <w:pPr>
              <w:pStyle w:val="919"/>
              <w:rPr>
                <w:color w:val="000000"/>
                <w:highlight w:val="none"/>
              </w:rPr>
            </w:pPr>
            <w:r>
              <w:rPr>
                <w:color w:val="000000"/>
                <w:highlight w:val="none"/>
              </w:rPr>
              <w:t xml:space="preserve">服务内容</w:t>
            </w:r>
            <w:r>
              <w:rPr>
                <w:color w:val="000000"/>
                <w:highlight w:val="none"/>
              </w:rPr>
            </w:r>
            <w:r/>
          </w:p>
        </w:tc>
        <w:tc>
          <w:tcPr>
            <w:tcW w:w="1432" w:type="dxa"/>
            <w:vAlign w:val="center"/>
            <w:textDirection w:val="lrTb"/>
            <w:noWrap w:val="false"/>
          </w:tcPr>
          <w:p>
            <w:pPr>
              <w:pStyle w:val="919"/>
              <w:rPr>
                <w:color w:val="000000"/>
                <w:highlight w:val="none"/>
              </w:rPr>
            </w:pPr>
            <w:r>
              <w:rPr>
                <w:color w:val="000000"/>
                <w:highlight w:val="none"/>
              </w:rPr>
              <w:t xml:space="preserve">数量</w:t>
            </w:r>
            <w:r>
              <w:rPr>
                <w:color w:val="000000"/>
                <w:highlight w:val="none"/>
              </w:rPr>
            </w:r>
            <w:r/>
          </w:p>
        </w:tc>
      </w:tr>
      <w:tr>
        <w:trPr/>
        <w:tc>
          <w:tcPr>
            <w:tcW w:w="269" w:type="dxa"/>
            <w:vAlign w:val="center"/>
            <w:textDirection w:val="lrTb"/>
            <w:noWrap w:val="false"/>
          </w:tcPr>
          <w:p>
            <w:pPr>
              <w:pStyle w:val="919"/>
              <w:rPr>
                <w:color w:val="000000"/>
                <w:highlight w:val="none"/>
              </w:rPr>
            </w:pPr>
            <w:r>
              <w:rPr>
                <w:color w:val="000000"/>
                <w:highlight w:val="none"/>
              </w:rPr>
              <w:t xml:space="preserve">1</w:t>
            </w:r>
            <w:r>
              <w:rPr>
                <w:color w:val="000000"/>
                <w:highlight w:val="none"/>
              </w:rPr>
            </w:r>
            <w:r/>
          </w:p>
        </w:tc>
        <w:tc>
          <w:tcPr>
            <w:tcW w:w="905" w:type="dxa"/>
            <w:vAlign w:val="center"/>
            <w:textDirection w:val="lrTb"/>
            <w:noWrap w:val="false"/>
          </w:tcPr>
          <w:p>
            <w:pPr>
              <w:pStyle w:val="919"/>
              <w:rPr>
                <w:color w:val="000000"/>
                <w:highlight w:val="none"/>
              </w:rPr>
            </w:pPr>
            <w:r>
              <w:rPr>
                <w:color w:val="000000"/>
                <w:highlight w:val="none"/>
              </w:rPr>
              <w:t xml:space="preserve">区域空气质量综合分析</w:t>
            </w:r>
            <w:r>
              <w:rPr>
                <w:color w:val="000000"/>
                <w:highlight w:val="none"/>
              </w:rPr>
            </w:r>
            <w:r/>
          </w:p>
        </w:tc>
        <w:tc>
          <w:tcPr>
            <w:tcW w:w="2392" w:type="dxa"/>
            <w:vAlign w:val="center"/>
            <w:textDirection w:val="lrTb"/>
            <w:noWrap w:val="false"/>
          </w:tcPr>
          <w:p>
            <w:pPr>
              <w:pStyle w:val="919"/>
              <w:rPr>
                <w:color w:val="000000"/>
                <w:highlight w:val="none"/>
              </w:rPr>
            </w:pPr>
            <w:r>
              <w:rPr>
                <w:color w:val="000000"/>
                <w:highlight w:val="none"/>
              </w:rPr>
              <w:t xml:space="preserve">结合相关数据，运用各类模型，开展区域空气质量综合分析，把握区域空气质量变化规律，为科学、精准治气提供理论指导。</w:t>
            </w:r>
            <w:r>
              <w:rPr>
                <w:color w:val="000000"/>
                <w:highlight w:val="none"/>
              </w:rPr>
            </w:r>
            <w:r/>
          </w:p>
        </w:tc>
        <w:tc>
          <w:tcPr>
            <w:tcW w:w="1432" w:type="dxa"/>
            <w:vAlign w:val="center"/>
            <w:textDirection w:val="lrTb"/>
            <w:noWrap w:val="false"/>
          </w:tcPr>
          <w:p>
            <w:pPr>
              <w:pStyle w:val="919"/>
              <w:rPr>
                <w:color w:val="000000"/>
                <w:highlight w:val="none"/>
              </w:rPr>
            </w:pPr>
            <w:r>
              <w:rPr>
                <w:color w:val="000000"/>
                <w:highlight w:val="none"/>
              </w:rPr>
              <w:t xml:space="preserve">1年（分析、预报、评估）</w:t>
            </w:r>
            <w:r>
              <w:rPr>
                <w:color w:val="000000"/>
                <w:highlight w:val="none"/>
              </w:rPr>
            </w:r>
            <w:r/>
          </w:p>
        </w:tc>
      </w:tr>
      <w:tr>
        <w:trPr/>
        <w:tc>
          <w:tcPr>
            <w:tcW w:w="269" w:type="dxa"/>
            <w:vAlign w:val="center"/>
            <w:vMerge w:val="restart"/>
            <w:textDirection w:val="lrTb"/>
            <w:noWrap w:val="false"/>
          </w:tcPr>
          <w:p>
            <w:pPr>
              <w:pStyle w:val="919"/>
              <w:rPr>
                <w:color w:val="000000"/>
                <w:highlight w:val="none"/>
              </w:rPr>
            </w:pPr>
            <w:r>
              <w:rPr>
                <w:color w:val="000000"/>
                <w:highlight w:val="none"/>
              </w:rPr>
              <w:t xml:space="preserve">2</w:t>
            </w:r>
            <w:r>
              <w:rPr>
                <w:color w:val="000000"/>
                <w:highlight w:val="none"/>
              </w:rPr>
            </w:r>
            <w:r/>
          </w:p>
        </w:tc>
        <w:tc>
          <w:tcPr>
            <w:tcW w:w="905" w:type="dxa"/>
            <w:vAlign w:val="center"/>
            <w:vMerge w:val="restart"/>
            <w:textDirection w:val="lrTb"/>
            <w:noWrap w:val="false"/>
          </w:tcPr>
          <w:p>
            <w:pPr>
              <w:pStyle w:val="919"/>
              <w:rPr>
                <w:color w:val="000000"/>
                <w:highlight w:val="none"/>
              </w:rPr>
            </w:pPr>
            <w:r>
              <w:rPr>
                <w:color w:val="000000"/>
                <w:highlight w:val="none"/>
              </w:rPr>
              <w:t xml:space="preserve">常规天气点位巡查、重污染天气应急管控服务</w:t>
            </w:r>
            <w:r>
              <w:rPr>
                <w:color w:val="000000"/>
                <w:highlight w:val="none"/>
              </w:rPr>
            </w:r>
            <w:r/>
          </w:p>
        </w:tc>
        <w:tc>
          <w:tcPr>
            <w:tcW w:w="2392" w:type="dxa"/>
            <w:vAlign w:val="center"/>
            <w:vMerge w:val="restart"/>
            <w:textDirection w:val="lrTb"/>
            <w:noWrap w:val="false"/>
          </w:tcPr>
          <w:p>
            <w:pPr>
              <w:pStyle w:val="919"/>
              <w:rPr>
                <w:color w:val="000000"/>
                <w:highlight w:val="none"/>
              </w:rPr>
            </w:pPr>
            <w:r>
              <w:rPr>
                <w:color w:val="000000"/>
                <w:highlight w:val="none"/>
              </w:rPr>
              <w:t xml:space="preserve">围绕重点大气监测点位，建立并动态更新污染分级管控清单，组织专业团队，协同乡镇（开发区），常规天气时开展日常巡查，站点数据异常突高情况开展站点微环境应急排查；重污染天气时，围绕江苏省、苏州市相关要求，依托管控清单全面开展应急管控工作。</w:t>
            </w:r>
            <w:r>
              <w:rPr>
                <w:color w:val="000000"/>
                <w:highlight w:val="none"/>
              </w:rPr>
            </w:r>
            <w:r/>
          </w:p>
        </w:tc>
        <w:tc>
          <w:tcPr>
            <w:tcW w:w="1432" w:type="dxa"/>
            <w:vAlign w:val="center"/>
            <w:textDirection w:val="lrTb"/>
            <w:noWrap w:val="false"/>
          </w:tcPr>
          <w:p>
            <w:pPr>
              <w:pStyle w:val="919"/>
              <w:rPr>
                <w:color w:val="000000"/>
                <w:highlight w:val="none"/>
              </w:rPr>
            </w:pPr>
            <w:r>
              <w:rPr>
                <w:rFonts w:ascii="宋体"/>
                <w:color w:val="000000"/>
                <w:szCs w:val="21"/>
                <w:highlight w:val="none"/>
              </w:rPr>
              <w:t xml:space="preserve">污染源清单及一张图、重污染分级管控清单</w:t>
            </w:r>
            <w:r>
              <w:rPr>
                <w:color w:val="000000"/>
                <w:highlight w:val="none"/>
              </w:rPr>
            </w:r>
            <w:r/>
          </w:p>
        </w:tc>
      </w:tr>
      <w:tr>
        <w:trPr/>
        <w:tc>
          <w:tcPr>
            <w:tcW w:w="269" w:type="dxa"/>
            <w:vAlign w:val="center"/>
            <w:vMerge w:val="continue"/>
            <w:textDirection w:val="lrTb"/>
            <w:noWrap w:val="false"/>
          </w:tcPr>
          <w:p>
            <w:pPr>
              <w:pStyle w:val="919"/>
              <w:rPr>
                <w:color w:val="000000"/>
                <w:highlight w:val="none"/>
              </w:rPr>
            </w:pPr>
            <w:r>
              <w:rPr>
                <w:color w:val="000000"/>
                <w:highlight w:val="none"/>
              </w:rPr>
            </w:r>
            <w:r/>
          </w:p>
        </w:tc>
        <w:tc>
          <w:tcPr>
            <w:tcW w:w="905" w:type="dxa"/>
            <w:vAlign w:val="center"/>
            <w:vMerge w:val="continue"/>
            <w:textDirection w:val="lrTb"/>
            <w:noWrap w:val="false"/>
          </w:tcPr>
          <w:p>
            <w:pPr>
              <w:pStyle w:val="919"/>
              <w:rPr>
                <w:color w:val="000000"/>
                <w:highlight w:val="none"/>
              </w:rPr>
            </w:pPr>
            <w:r>
              <w:rPr>
                <w:color w:val="000000"/>
                <w:highlight w:val="none"/>
              </w:rPr>
            </w:r>
            <w:r/>
          </w:p>
        </w:tc>
        <w:tc>
          <w:tcPr>
            <w:tcW w:w="2392" w:type="dxa"/>
            <w:vAlign w:val="center"/>
            <w:vMerge w:val="continue"/>
            <w:textDirection w:val="lrTb"/>
            <w:noWrap w:val="false"/>
          </w:tcPr>
          <w:p>
            <w:pPr>
              <w:pStyle w:val="919"/>
              <w:rPr>
                <w:color w:val="000000"/>
                <w:highlight w:val="none"/>
              </w:rPr>
            </w:pPr>
            <w:r>
              <w:rPr>
                <w:color w:val="000000"/>
                <w:highlight w:val="none"/>
              </w:rPr>
            </w:r>
            <w:r/>
          </w:p>
        </w:tc>
        <w:tc>
          <w:tcPr>
            <w:tcW w:w="1432" w:type="dxa"/>
            <w:vAlign w:val="center"/>
            <w:textDirection w:val="lrTb"/>
            <w:noWrap w:val="false"/>
          </w:tcPr>
          <w:p>
            <w:pPr>
              <w:pStyle w:val="919"/>
              <w:rPr>
                <w:color w:val="000000"/>
                <w:highlight w:val="none"/>
              </w:rPr>
            </w:pPr>
            <w:r>
              <w:rPr>
                <w:color w:val="000000"/>
                <w:highlight w:val="none"/>
              </w:rPr>
              <w:t xml:space="preserve">服务1年（常规天异常排查及月报编制、重污染天管控落实抽查及报告编制）、含现场排查人员</w:t>
            </w:r>
            <w:r>
              <w:rPr>
                <w:color w:val="000000"/>
                <w:highlight w:val="none"/>
              </w:rPr>
            </w:r>
            <w:r/>
          </w:p>
        </w:tc>
      </w:tr>
      <w:tr>
        <w:trPr/>
        <w:tc>
          <w:tcPr>
            <w:tcW w:w="269" w:type="dxa"/>
            <w:vAlign w:val="center"/>
            <w:vMerge w:val="restart"/>
            <w:textDirection w:val="lrTb"/>
            <w:noWrap w:val="false"/>
          </w:tcPr>
          <w:p>
            <w:pPr>
              <w:pStyle w:val="919"/>
              <w:rPr>
                <w:color w:val="000000"/>
                <w:highlight w:val="none"/>
              </w:rPr>
            </w:pPr>
            <w:r>
              <w:rPr>
                <w:color w:val="000000"/>
                <w:highlight w:val="none"/>
              </w:rPr>
              <w:t xml:space="preserve">3</w:t>
            </w:r>
            <w:r>
              <w:rPr>
                <w:color w:val="000000"/>
                <w:highlight w:val="none"/>
              </w:rPr>
            </w:r>
            <w:r/>
          </w:p>
        </w:tc>
        <w:tc>
          <w:tcPr>
            <w:tcW w:w="905" w:type="dxa"/>
            <w:vAlign w:val="center"/>
            <w:vMerge w:val="restart"/>
            <w:textDirection w:val="lrTb"/>
            <w:noWrap w:val="false"/>
          </w:tcPr>
          <w:p>
            <w:pPr>
              <w:pStyle w:val="919"/>
              <w:rPr>
                <w:color w:val="000000"/>
                <w:highlight w:val="none"/>
              </w:rPr>
            </w:pPr>
            <w:r>
              <w:rPr>
                <w:color w:val="000000"/>
                <w:highlight w:val="none"/>
              </w:rPr>
              <w:t xml:space="preserve">整合各类监测数据，开展溯源及专项分析</w:t>
            </w:r>
            <w:r>
              <w:rPr>
                <w:color w:val="000000"/>
                <w:highlight w:val="none"/>
              </w:rPr>
            </w:r>
            <w:r/>
          </w:p>
        </w:tc>
        <w:tc>
          <w:tcPr>
            <w:tcW w:w="2392" w:type="dxa"/>
            <w:vAlign w:val="center"/>
            <w:vMerge w:val="restart"/>
            <w:textDirection w:val="lrTb"/>
            <w:noWrap w:val="false"/>
          </w:tcPr>
          <w:p>
            <w:pPr>
              <w:pStyle w:val="919"/>
              <w:rPr>
                <w:color w:val="000000"/>
                <w:highlight w:val="none"/>
              </w:rPr>
            </w:pPr>
            <w:r>
              <w:rPr>
                <w:color w:val="000000"/>
                <w:highlight w:val="none"/>
              </w:rPr>
              <w:t xml:space="preserve">依托搭载监测设备的无人机飞航、走航车、道路积尘走航等监测数据，结合各类大气监测站点监测数据，结合常规天气站点数值突高情景、重污染天气期间开展源项溯源及开展专项分析。</w:t>
            </w:r>
            <w:r>
              <w:rPr>
                <w:color w:val="000000"/>
                <w:highlight w:val="none"/>
              </w:rPr>
            </w:r>
            <w:r/>
          </w:p>
        </w:tc>
        <w:tc>
          <w:tcPr>
            <w:tcW w:w="1432" w:type="dxa"/>
            <w:vAlign w:val="center"/>
            <w:textDirection w:val="lrTb"/>
            <w:noWrap w:val="false"/>
          </w:tcPr>
          <w:p>
            <w:pPr>
              <w:pStyle w:val="919"/>
              <w:rPr>
                <w:color w:val="000000"/>
                <w:highlight w:val="none"/>
              </w:rPr>
            </w:pPr>
            <w:r>
              <w:rPr>
                <w:rFonts w:ascii="宋体"/>
                <w:color w:val="000000"/>
                <w:szCs w:val="21"/>
                <w:highlight w:val="none"/>
              </w:rPr>
              <w:t xml:space="preserve">常规走航报告60份</w:t>
            </w:r>
            <w:r>
              <w:rPr>
                <w:color w:val="000000"/>
                <w:highlight w:val="none"/>
              </w:rPr>
            </w:r>
            <w:r/>
          </w:p>
        </w:tc>
      </w:tr>
      <w:tr>
        <w:trPr/>
        <w:tc>
          <w:tcPr>
            <w:tcW w:w="269" w:type="dxa"/>
            <w:vAlign w:val="center"/>
            <w:vMerge w:val="continue"/>
            <w:textDirection w:val="lrTb"/>
            <w:noWrap w:val="false"/>
          </w:tcPr>
          <w:p>
            <w:pPr>
              <w:pStyle w:val="919"/>
              <w:rPr>
                <w:color w:val="000000"/>
                <w:highlight w:val="none"/>
              </w:rPr>
            </w:pPr>
            <w:r>
              <w:rPr>
                <w:color w:val="000000"/>
                <w:highlight w:val="none"/>
              </w:rPr>
            </w:r>
            <w:r/>
          </w:p>
        </w:tc>
        <w:tc>
          <w:tcPr>
            <w:tcW w:w="905" w:type="dxa"/>
            <w:vAlign w:val="center"/>
            <w:vMerge w:val="continue"/>
            <w:textDirection w:val="lrTb"/>
            <w:noWrap w:val="false"/>
          </w:tcPr>
          <w:p>
            <w:pPr>
              <w:pStyle w:val="919"/>
              <w:rPr>
                <w:color w:val="000000"/>
                <w:highlight w:val="none"/>
              </w:rPr>
            </w:pPr>
            <w:r>
              <w:rPr>
                <w:color w:val="000000"/>
                <w:highlight w:val="none"/>
              </w:rPr>
            </w:r>
            <w:r/>
          </w:p>
        </w:tc>
        <w:tc>
          <w:tcPr>
            <w:tcW w:w="2392" w:type="dxa"/>
            <w:vAlign w:val="center"/>
            <w:vMerge w:val="continue"/>
            <w:textDirection w:val="lrTb"/>
            <w:noWrap w:val="false"/>
          </w:tcPr>
          <w:p>
            <w:pPr>
              <w:pStyle w:val="919"/>
              <w:rPr>
                <w:color w:val="000000"/>
                <w:highlight w:val="none"/>
              </w:rPr>
            </w:pPr>
            <w:r>
              <w:rPr>
                <w:color w:val="000000"/>
                <w:highlight w:val="none"/>
              </w:rPr>
            </w:r>
            <w:r/>
          </w:p>
        </w:tc>
        <w:tc>
          <w:tcPr>
            <w:tcW w:w="1432" w:type="dxa"/>
            <w:vAlign w:val="center"/>
            <w:textDirection w:val="lrTb"/>
            <w:noWrap w:val="false"/>
          </w:tcPr>
          <w:p>
            <w:pPr>
              <w:pStyle w:val="919"/>
              <w:rPr>
                <w:color w:val="000000"/>
                <w:highlight w:val="none"/>
              </w:rPr>
            </w:pPr>
            <w:r>
              <w:rPr>
                <w:rFonts w:ascii="宋体"/>
                <w:color w:val="000000"/>
                <w:szCs w:val="21"/>
                <w:highlight w:val="none"/>
              </w:rPr>
              <w:t xml:space="preserve">道路积尘走航报告12份</w:t>
            </w:r>
            <w:r>
              <w:rPr>
                <w:color w:val="000000"/>
                <w:highlight w:val="none"/>
              </w:rPr>
            </w:r>
            <w:r/>
          </w:p>
        </w:tc>
      </w:tr>
      <w:tr>
        <w:trPr/>
        <w:tc>
          <w:tcPr>
            <w:tcW w:w="269" w:type="dxa"/>
            <w:vAlign w:val="center"/>
            <w:vMerge w:val="continue"/>
            <w:textDirection w:val="lrTb"/>
            <w:noWrap w:val="false"/>
          </w:tcPr>
          <w:p>
            <w:pPr>
              <w:pStyle w:val="919"/>
              <w:rPr>
                <w:color w:val="000000"/>
                <w:highlight w:val="none"/>
              </w:rPr>
            </w:pPr>
            <w:r>
              <w:rPr>
                <w:color w:val="000000"/>
                <w:highlight w:val="none"/>
              </w:rPr>
            </w:r>
            <w:r/>
          </w:p>
        </w:tc>
        <w:tc>
          <w:tcPr>
            <w:tcW w:w="905" w:type="dxa"/>
            <w:vAlign w:val="center"/>
            <w:vMerge w:val="continue"/>
            <w:textDirection w:val="lrTb"/>
            <w:noWrap w:val="false"/>
          </w:tcPr>
          <w:p>
            <w:pPr>
              <w:pStyle w:val="919"/>
              <w:rPr>
                <w:color w:val="000000"/>
                <w:highlight w:val="none"/>
              </w:rPr>
            </w:pPr>
            <w:r>
              <w:rPr>
                <w:color w:val="000000"/>
                <w:highlight w:val="none"/>
              </w:rPr>
            </w:r>
            <w:r/>
          </w:p>
        </w:tc>
        <w:tc>
          <w:tcPr>
            <w:tcW w:w="2392" w:type="dxa"/>
            <w:vAlign w:val="center"/>
            <w:vMerge w:val="continue"/>
            <w:textDirection w:val="lrTb"/>
            <w:noWrap w:val="false"/>
          </w:tcPr>
          <w:p>
            <w:pPr>
              <w:pStyle w:val="919"/>
              <w:rPr>
                <w:color w:val="000000"/>
                <w:highlight w:val="none"/>
              </w:rPr>
            </w:pPr>
            <w:r>
              <w:rPr>
                <w:color w:val="000000"/>
                <w:highlight w:val="none"/>
              </w:rPr>
            </w:r>
            <w:r/>
          </w:p>
        </w:tc>
        <w:tc>
          <w:tcPr>
            <w:tcW w:w="1432" w:type="dxa"/>
            <w:vAlign w:val="center"/>
            <w:textDirection w:val="lrTb"/>
            <w:noWrap w:val="false"/>
          </w:tcPr>
          <w:p>
            <w:pPr>
              <w:pStyle w:val="919"/>
              <w:rPr>
                <w:color w:val="000000"/>
                <w:highlight w:val="none"/>
              </w:rPr>
            </w:pPr>
            <w:r>
              <w:rPr>
                <w:rFonts w:ascii="宋体"/>
                <w:color w:val="000000"/>
                <w:szCs w:val="21"/>
                <w:highlight w:val="none"/>
              </w:rPr>
              <w:t xml:space="preserve">无人机飞航报告15份</w:t>
            </w:r>
            <w:r>
              <w:rPr>
                <w:color w:val="000000"/>
                <w:highlight w:val="none"/>
              </w:rPr>
            </w:r>
            <w:r/>
          </w:p>
        </w:tc>
      </w:tr>
      <w:tr>
        <w:trPr/>
        <w:tc>
          <w:tcPr>
            <w:tcW w:w="269" w:type="dxa"/>
            <w:vAlign w:val="center"/>
            <w:vMerge w:val="continue"/>
            <w:textDirection w:val="lrTb"/>
            <w:noWrap w:val="false"/>
          </w:tcPr>
          <w:p>
            <w:pPr>
              <w:pStyle w:val="919"/>
              <w:rPr>
                <w:color w:val="000000"/>
                <w:highlight w:val="none"/>
              </w:rPr>
            </w:pPr>
            <w:r>
              <w:rPr>
                <w:color w:val="000000"/>
                <w:highlight w:val="none"/>
              </w:rPr>
            </w:r>
            <w:r/>
          </w:p>
        </w:tc>
        <w:tc>
          <w:tcPr>
            <w:tcW w:w="905" w:type="dxa"/>
            <w:vAlign w:val="center"/>
            <w:vMerge w:val="continue"/>
            <w:textDirection w:val="lrTb"/>
            <w:noWrap w:val="false"/>
          </w:tcPr>
          <w:p>
            <w:pPr>
              <w:pStyle w:val="919"/>
              <w:rPr>
                <w:color w:val="000000"/>
                <w:highlight w:val="none"/>
              </w:rPr>
            </w:pPr>
            <w:r>
              <w:rPr>
                <w:color w:val="000000"/>
                <w:highlight w:val="none"/>
              </w:rPr>
            </w:r>
            <w:r/>
          </w:p>
        </w:tc>
        <w:tc>
          <w:tcPr>
            <w:tcW w:w="2392" w:type="dxa"/>
            <w:vAlign w:val="center"/>
            <w:vMerge w:val="continue"/>
            <w:textDirection w:val="lrTb"/>
            <w:noWrap w:val="false"/>
          </w:tcPr>
          <w:p>
            <w:pPr>
              <w:pStyle w:val="919"/>
              <w:rPr>
                <w:color w:val="000000"/>
                <w:highlight w:val="none"/>
              </w:rPr>
            </w:pPr>
            <w:r>
              <w:rPr>
                <w:color w:val="000000"/>
                <w:highlight w:val="none"/>
              </w:rPr>
            </w:r>
            <w:r/>
          </w:p>
        </w:tc>
        <w:tc>
          <w:tcPr>
            <w:tcW w:w="1432" w:type="dxa"/>
            <w:vAlign w:val="center"/>
            <w:textDirection w:val="lrTb"/>
            <w:noWrap w:val="false"/>
          </w:tcPr>
          <w:p>
            <w:pPr>
              <w:pStyle w:val="919"/>
              <w:rPr>
                <w:color w:val="000000"/>
                <w:highlight w:val="none"/>
              </w:rPr>
            </w:pPr>
            <w:r>
              <w:rPr>
                <w:color w:val="000000"/>
                <w:highlight w:val="none"/>
              </w:rPr>
              <w:t xml:space="preserve">溯源及专项分析报告6份</w:t>
            </w:r>
            <w:r>
              <w:rPr>
                <w:color w:val="000000"/>
                <w:highlight w:val="none"/>
              </w:rPr>
            </w:r>
            <w:r/>
          </w:p>
        </w:tc>
      </w:tr>
      <w:tr>
        <w:trPr/>
        <w:tc>
          <w:tcPr>
            <w:tcW w:w="269" w:type="dxa"/>
            <w:vAlign w:val="center"/>
            <w:textDirection w:val="lrTb"/>
            <w:noWrap w:val="false"/>
          </w:tcPr>
          <w:p>
            <w:pPr>
              <w:pStyle w:val="919"/>
              <w:rPr>
                <w:color w:val="000000"/>
                <w:highlight w:val="none"/>
              </w:rPr>
            </w:pPr>
            <w:r>
              <w:rPr>
                <w:color w:val="000000"/>
                <w:highlight w:val="none"/>
              </w:rPr>
              <w:t xml:space="preserve">4</w:t>
            </w:r>
            <w:r>
              <w:rPr>
                <w:color w:val="000000"/>
                <w:highlight w:val="none"/>
              </w:rPr>
            </w:r>
            <w:r/>
          </w:p>
        </w:tc>
        <w:tc>
          <w:tcPr>
            <w:tcW w:w="905" w:type="dxa"/>
            <w:vAlign w:val="center"/>
            <w:textDirection w:val="lrTb"/>
            <w:noWrap w:val="false"/>
          </w:tcPr>
          <w:p>
            <w:pPr>
              <w:pStyle w:val="919"/>
              <w:rPr>
                <w:color w:val="000000"/>
                <w:highlight w:val="none"/>
              </w:rPr>
            </w:pPr>
            <w:r>
              <w:rPr>
                <w:color w:val="000000"/>
                <w:highlight w:val="none"/>
              </w:rPr>
              <w:t xml:space="preserve">协助优化区域空气质量保障体系，开展重点行业及重点源项专项调研</w:t>
            </w:r>
            <w:r>
              <w:rPr>
                <w:color w:val="000000"/>
                <w:highlight w:val="none"/>
              </w:rPr>
            </w:r>
            <w:r/>
          </w:p>
        </w:tc>
        <w:tc>
          <w:tcPr>
            <w:tcW w:w="2392" w:type="dxa"/>
            <w:vAlign w:val="center"/>
            <w:textDirection w:val="lrTb"/>
            <w:noWrap w:val="false"/>
          </w:tcPr>
          <w:p>
            <w:pPr>
              <w:pStyle w:val="919"/>
              <w:rPr>
                <w:color w:val="000000"/>
                <w:highlight w:val="none"/>
              </w:rPr>
            </w:pPr>
            <w:r>
              <w:rPr>
                <w:color w:val="000000"/>
                <w:highlight w:val="none"/>
              </w:rPr>
              <w:t xml:space="preserve">配合管理部门，协助优化空气质量保障体系，协同乡镇（开发区）系统联动，定期开展空气质量会商及智慧调度；结合本地化清单，定向开展重点行业及重点源项专项调研，帮扶指导重点行业及重点源精细化提升。</w:t>
            </w:r>
            <w:r>
              <w:rPr>
                <w:color w:val="000000"/>
                <w:highlight w:val="none"/>
              </w:rPr>
            </w:r>
            <w:r/>
          </w:p>
        </w:tc>
        <w:tc>
          <w:tcPr>
            <w:tcW w:w="1432" w:type="dxa"/>
            <w:vAlign w:val="center"/>
            <w:textDirection w:val="lrTb"/>
            <w:noWrap w:val="false"/>
          </w:tcPr>
          <w:p>
            <w:pPr>
              <w:pStyle w:val="919"/>
              <w:rPr>
                <w:color w:val="000000"/>
                <w:highlight w:val="none"/>
              </w:rPr>
            </w:pPr>
            <w:r>
              <w:rPr>
                <w:color w:val="000000"/>
                <w:highlight w:val="none"/>
              </w:rPr>
              <w:t xml:space="preserve">1年</w:t>
            </w:r>
            <w:r>
              <w:rPr>
                <w:color w:val="000000"/>
                <w:highlight w:val="none"/>
              </w:rPr>
            </w:r>
            <w:r/>
          </w:p>
        </w:tc>
      </w:tr>
      <w:tr>
        <w:trPr/>
        <w:tc>
          <w:tcPr>
            <w:tcW w:w="269" w:type="dxa"/>
            <w:vAlign w:val="center"/>
            <w:textDirection w:val="lrTb"/>
            <w:noWrap w:val="false"/>
          </w:tcPr>
          <w:p>
            <w:pPr>
              <w:pStyle w:val="919"/>
              <w:rPr>
                <w:color w:val="000000"/>
                <w:highlight w:val="none"/>
              </w:rPr>
            </w:pPr>
            <w:r>
              <w:rPr>
                <w:color w:val="000000"/>
                <w:highlight w:val="none"/>
              </w:rPr>
              <w:t xml:space="preserve">5</w:t>
            </w:r>
            <w:r>
              <w:rPr>
                <w:color w:val="000000"/>
                <w:highlight w:val="none"/>
              </w:rPr>
            </w:r>
            <w:r/>
          </w:p>
        </w:tc>
        <w:tc>
          <w:tcPr>
            <w:tcW w:w="905" w:type="dxa"/>
            <w:vAlign w:val="center"/>
            <w:textDirection w:val="lrTb"/>
            <w:noWrap w:val="false"/>
          </w:tcPr>
          <w:p>
            <w:pPr>
              <w:pStyle w:val="919"/>
              <w:rPr>
                <w:rFonts w:hint="eastAsia" w:eastAsia="宋体"/>
                <w:color w:val="000000"/>
                <w:highlight w:val="none"/>
                <w:lang w:val="en-US" w:eastAsia="zh-CN"/>
              </w:rPr>
            </w:pPr>
            <w:r>
              <w:rPr>
                <w:rFonts w:hint="eastAsia"/>
                <w:color w:val="000000"/>
                <w:highlight w:val="none"/>
                <w:lang w:val="en-US" w:eastAsia="zh-CN"/>
              </w:rPr>
              <w:t xml:space="preserve">2名技术人员</w:t>
            </w:r>
            <w:r>
              <w:rPr>
                <w:rFonts w:hint="eastAsia" w:eastAsia="宋体"/>
                <w:color w:val="000000"/>
                <w:highlight w:val="none"/>
                <w:lang w:val="en-US" w:eastAsia="zh-CN"/>
              </w:rPr>
            </w:r>
            <w:r/>
          </w:p>
        </w:tc>
        <w:tc>
          <w:tcPr>
            <w:tcW w:w="2392" w:type="dxa"/>
            <w:vAlign w:val="center"/>
            <w:textDirection w:val="lrTb"/>
            <w:noWrap w:val="false"/>
          </w:tcPr>
          <w:p>
            <w:pPr>
              <w:pStyle w:val="919"/>
              <w:rPr>
                <w:rFonts w:eastAsia="宋体"/>
                <w:color w:val="000000"/>
                <w:highlight w:val="none"/>
                <w:lang w:val="en-US" w:eastAsia="zh-CN"/>
              </w:rPr>
            </w:pPr>
            <w:r>
              <w:rPr>
                <w:rFonts w:ascii="宋体"/>
                <w:color w:val="000000"/>
                <w:szCs w:val="21"/>
                <w:highlight w:val="none"/>
              </w:rPr>
              <w:t xml:space="preserve">提供</w:t>
            </w:r>
            <w:r>
              <w:rPr>
                <w:rFonts w:hint="eastAsia" w:ascii="宋体"/>
                <w:color w:val="000000"/>
                <w:szCs w:val="21"/>
                <w:highlight w:val="none"/>
                <w:lang w:eastAsia="zh-CN"/>
              </w:rPr>
              <w:t xml:space="preserve">现场巡查、技术指导等专业</w:t>
            </w:r>
            <w:r>
              <w:rPr>
                <w:rFonts w:ascii="宋体"/>
                <w:color w:val="000000"/>
                <w:szCs w:val="21"/>
                <w:highlight w:val="none"/>
              </w:rPr>
              <w:t xml:space="preserve">服务</w:t>
            </w:r>
            <w:r>
              <w:rPr>
                <w:rFonts w:hint="eastAsia" w:ascii="宋体"/>
                <w:color w:val="000000"/>
                <w:szCs w:val="21"/>
                <w:highlight w:val="none"/>
                <w:lang w:eastAsia="zh-CN"/>
              </w:rPr>
              <w:t xml:space="preserve">，与甲方对接，及时响应</w:t>
            </w:r>
            <w:r>
              <w:rPr>
                <w:rFonts w:eastAsia="宋体"/>
                <w:color w:val="000000"/>
                <w:highlight w:val="none"/>
                <w:lang w:val="en-US" w:eastAsia="zh-CN"/>
              </w:rPr>
            </w:r>
            <w:r/>
          </w:p>
        </w:tc>
        <w:tc>
          <w:tcPr>
            <w:tcW w:w="1432" w:type="dxa"/>
            <w:vAlign w:val="center"/>
            <w:textDirection w:val="lrTb"/>
            <w:noWrap w:val="false"/>
          </w:tcPr>
          <w:p>
            <w:pPr>
              <w:pStyle w:val="919"/>
              <w:rPr>
                <w:color w:val="000000"/>
                <w:highlight w:val="none"/>
              </w:rPr>
            </w:pPr>
            <w:r>
              <w:rPr>
                <w:color w:val="000000"/>
                <w:highlight w:val="none"/>
              </w:rPr>
              <w:t xml:space="preserve">1年</w:t>
            </w:r>
            <w:r>
              <w:rPr>
                <w:color w:val="000000"/>
                <w:highlight w:val="none"/>
              </w:rPr>
            </w:r>
            <w:r/>
          </w:p>
        </w:tc>
      </w:tr>
    </w:tbl>
    <w:p>
      <w:pPr>
        <w:pStyle w:val="864"/>
        <w:spacing w:line="360" w:lineRule="auto"/>
        <w:rPr>
          <w:rFonts w:hint="eastAsia" w:ascii="宋体"/>
          <w:color w:val="000000"/>
          <w:szCs w:val="21"/>
          <w:highlight w:val="none"/>
        </w:rPr>
      </w:pPr>
      <w:r>
        <w:rPr>
          <w:rFonts w:hint="eastAsia" w:ascii="宋体"/>
          <w:color w:val="000000"/>
          <w:szCs w:val="21"/>
          <w:highlight w:val="none"/>
        </w:rPr>
      </w:r>
      <w:r/>
    </w:p>
    <w:p>
      <w:pPr>
        <w:pStyle w:val="864"/>
        <w:ind w:firstLine="480"/>
        <w:jc w:val="center"/>
        <w:spacing w:line="360" w:lineRule="auto"/>
        <w:rPr>
          <w:rFonts w:ascii="宋体" w:hAnsi="宋体"/>
          <w:b/>
          <w:color w:val="000000"/>
          <w:sz w:val="24"/>
          <w:highlight w:val="none"/>
        </w:rPr>
        <w:outlineLvl w:val="0"/>
      </w:pPr>
      <w:r/>
      <w:bookmarkStart w:id="90" w:name="_Toc161752435"/>
      <w:r>
        <w:rPr>
          <w:rFonts w:hint="eastAsia" w:ascii="宋体" w:hAnsi="宋体"/>
          <w:b/>
          <w:color w:val="000000"/>
          <w:sz w:val="24"/>
          <w:highlight w:val="none"/>
        </w:rPr>
        <w:t xml:space="preserve">第五章  合同文本</w:t>
      </w:r>
      <w:bookmarkEnd w:id="90"/>
      <w:r>
        <w:rPr>
          <w:rFonts w:ascii="宋体" w:hAnsi="宋体"/>
          <w:b/>
          <w:color w:val="000000"/>
          <w:sz w:val="24"/>
          <w:highlight w:val="none"/>
        </w:rPr>
      </w:r>
      <w:r/>
    </w:p>
    <w:p>
      <w:pPr>
        <w:pStyle w:val="864"/>
        <w:ind w:firstLine="480"/>
        <w:spacing w:line="360" w:lineRule="auto"/>
        <w:rPr>
          <w:rFonts w:hint="eastAsia" w:ascii="宋体" w:hAnsi="宋体"/>
          <w:color w:val="000000"/>
          <w:sz w:val="24"/>
          <w:highlight w:val="none"/>
        </w:rPr>
      </w:pPr>
      <w:r/>
      <w:bookmarkEnd w:id="75"/>
      <w:r/>
      <w:bookmarkStart w:id="91" w:name="_Toc528060756"/>
      <w:r/>
      <w:bookmarkStart w:id="92" w:name="_Toc134091581"/>
      <w:r>
        <w:rPr>
          <w:rFonts w:hint="eastAsia" w:ascii="宋体" w:hAnsi="宋体"/>
          <w:color w:val="000000"/>
          <w:sz w:val="24"/>
          <w:highlight w:val="none"/>
        </w:rPr>
      </w:r>
      <w:r/>
    </w:p>
    <w:p>
      <w:pPr>
        <w:pStyle w:val="864"/>
        <w:ind w:firstLine="48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甲方： 苏州市昆山生态环境局     </w:t>
      </w:r>
      <w:r>
        <w:rPr>
          <w:rFonts w:hint="eastAsia" w:ascii="宋体" w:hAnsi="宋体"/>
          <w:color w:val="000000"/>
          <w:sz w:val="21"/>
          <w:szCs w:val="21"/>
          <w:highlight w:val="none"/>
        </w:rPr>
      </w:r>
      <w:r/>
    </w:p>
    <w:p>
      <w:pPr>
        <w:pStyle w:val="864"/>
        <w:ind w:firstLine="48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联系人：                 </w:t>
      </w:r>
      <w:r>
        <w:rPr>
          <w:rFonts w:hint="eastAsia" w:ascii="宋体" w:hAnsi="宋体"/>
          <w:color w:val="000000"/>
          <w:sz w:val="21"/>
          <w:szCs w:val="21"/>
          <w:highlight w:val="none"/>
        </w:rPr>
      </w:r>
      <w:r/>
    </w:p>
    <w:p>
      <w:pPr>
        <w:pStyle w:val="864"/>
        <w:ind w:firstLine="48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电话：                  </w:t>
      </w:r>
      <w:r>
        <w:rPr>
          <w:rFonts w:hint="eastAsia" w:ascii="宋体" w:hAnsi="宋体"/>
          <w:color w:val="000000"/>
          <w:sz w:val="21"/>
          <w:szCs w:val="21"/>
          <w:highlight w:val="none"/>
        </w:rPr>
      </w:r>
      <w:r/>
    </w:p>
    <w:p>
      <w:pPr>
        <w:pStyle w:val="876"/>
        <w:rPr>
          <w:rFonts w:eastAsia="宋体"/>
          <w:lang w:val="en-US" w:eastAsia="zh-CN"/>
        </w:rPr>
      </w:pPr>
      <w:r>
        <w:rPr>
          <w:rFonts w:hint="eastAsia" w:ascii="宋体" w:hAnsi="宋体"/>
          <w:color w:val="000000"/>
          <w:sz w:val="21"/>
          <w:szCs w:val="21"/>
          <w:highlight w:val="none"/>
          <w:lang w:val="en-US" w:eastAsia="zh-CN"/>
        </w:rPr>
        <w:t xml:space="preserve">地址：</w:t>
      </w:r>
      <w:r>
        <w:rPr>
          <w:rFonts w:eastAsia="宋体"/>
          <w:lang w:val="en-US" w:eastAsia="zh-CN"/>
        </w:rPr>
      </w:r>
      <w:r/>
    </w:p>
    <w:p>
      <w:pPr>
        <w:pStyle w:val="864"/>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pStyle w:val="864"/>
        <w:ind w:firstLine="48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乙方： </w:t>
      </w:r>
      <w:r>
        <w:rPr>
          <w:rFonts w:hint="eastAsia" w:ascii="宋体" w:hAnsi="宋体"/>
          <w:color w:val="000000"/>
          <w:sz w:val="21"/>
          <w:szCs w:val="21"/>
          <w:highlight w:val="none"/>
        </w:rPr>
      </w:r>
      <w:r/>
    </w:p>
    <w:p>
      <w:pPr>
        <w:pStyle w:val="864"/>
        <w:ind w:firstLine="48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联系人：</w:t>
      </w:r>
      <w:r>
        <w:rPr>
          <w:rFonts w:hint="eastAsia" w:ascii="宋体" w:hAnsi="宋体"/>
          <w:color w:val="000000"/>
          <w:sz w:val="21"/>
          <w:szCs w:val="21"/>
          <w:highlight w:val="none"/>
        </w:rPr>
      </w:r>
      <w:r/>
    </w:p>
    <w:p>
      <w:pPr>
        <w:pStyle w:val="864"/>
        <w:ind w:firstLine="48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电话：  </w:t>
      </w:r>
      <w:r>
        <w:rPr>
          <w:rFonts w:hint="eastAsia" w:ascii="宋体" w:hAnsi="宋体"/>
          <w:color w:val="000000"/>
          <w:sz w:val="21"/>
          <w:szCs w:val="21"/>
          <w:highlight w:val="none"/>
        </w:rPr>
      </w:r>
      <w:r/>
    </w:p>
    <w:p>
      <w:pPr>
        <w:pStyle w:val="876"/>
        <w:rPr>
          <w:rFonts w:eastAsia="宋体"/>
          <w:lang w:val="en-US" w:eastAsia="zh-CN"/>
        </w:rPr>
      </w:pPr>
      <w:r>
        <w:rPr>
          <w:rFonts w:hint="eastAsia"/>
          <w:lang w:val="en-US" w:eastAsia="zh-CN"/>
        </w:rPr>
        <w:t xml:space="preserve">地址：</w:t>
      </w:r>
      <w:r>
        <w:rPr>
          <w:rFonts w:eastAsia="宋体"/>
          <w:lang w:val="en-US" w:eastAsia="zh-CN"/>
        </w:rPr>
      </w:r>
      <w:r/>
    </w:p>
    <w:p>
      <w:pPr>
        <w:pStyle w:val="864"/>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根据</w:t>
      </w:r>
      <w:r>
        <w:rPr>
          <w:rFonts w:hint="eastAsia" w:ascii="宋体" w:hAnsi="宋体"/>
          <w:color w:val="000000"/>
          <w:sz w:val="21"/>
          <w:szCs w:val="21"/>
          <w:highlight w:val="none"/>
          <w:u w:val="single"/>
        </w:rPr>
        <w:t xml:space="preserve">艾菲尔（江苏）招投标股份有限公司</w:t>
      </w:r>
      <w:r>
        <w:rPr>
          <w:rFonts w:hint="eastAsia" w:ascii="宋体" w:hAnsi="宋体"/>
          <w:color w:val="000000"/>
          <w:sz w:val="21"/>
          <w:szCs w:val="21"/>
          <w:highlight w:val="none"/>
        </w:rPr>
        <w:t xml:space="preserve">采购编号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i w:val="0"/>
          <w:iCs w:val="0"/>
          <w:caps w:val="0"/>
          <w:color w:val="000000"/>
          <w:spacing w:val="0"/>
          <w:sz w:val="21"/>
          <w:szCs w:val="21"/>
          <w:highlight w:val="none"/>
          <w:u w:val="single"/>
          <w:shd w:val="clear" w:color="auto" w:fill="auto"/>
        </w:rPr>
        <w:t xml:space="preserve">JSZC-320583-AFEJ-G2026-0004</w:t>
      </w:r>
      <w:r>
        <w:rPr>
          <w:rFonts w:hint="eastAsia" w:ascii="宋体" w:hAnsi="宋体" w:eastAsia="宋体" w:cs="宋体"/>
          <w:color w:val="000000"/>
          <w:sz w:val="21"/>
          <w:szCs w:val="21"/>
          <w:highlight w:val="none"/>
          <w:u w:val="single"/>
        </w:rPr>
        <w:t xml:space="preserve">号</w:t>
      </w:r>
      <w:r>
        <w:rPr>
          <w:rFonts w:hint="eastAsia" w:ascii="宋体" w:hAnsi="宋体"/>
          <w:color w:val="000000"/>
          <w:sz w:val="21"/>
          <w:szCs w:val="21"/>
          <w:highlight w:val="none"/>
        </w:rPr>
        <w:t xml:space="preserve">采购文件及</w:t>
      </w:r>
      <w:r>
        <w:rPr>
          <w:rFonts w:hint="eastAsia" w:ascii="宋体" w:hAnsi="宋体"/>
          <w:color w:val="000000"/>
          <w:sz w:val="21"/>
          <w:szCs w:val="21"/>
          <w:highlight w:val="none"/>
          <w:lang w:val="en-US" w:eastAsia="zh-CN"/>
        </w:rPr>
        <w:t xml:space="preserve">乙方</w:t>
      </w:r>
      <w:r>
        <w:rPr>
          <w:rFonts w:hint="eastAsia" w:ascii="宋体" w:hAnsi="宋体"/>
          <w:color w:val="000000"/>
          <w:sz w:val="21"/>
          <w:szCs w:val="21"/>
          <w:highlight w:val="none"/>
        </w:rPr>
        <w:t xml:space="preserve">的响应文件和成交通知书，甲乙双方就此次成交的</w:t>
      </w:r>
      <w:r>
        <w:rPr>
          <w:rFonts w:hint="eastAsia" w:ascii="宋体" w:hAnsi="宋体" w:cs="宋体"/>
          <w:color w:val="000000"/>
          <w:sz w:val="21"/>
          <w:szCs w:val="21"/>
          <w:highlight w:val="none"/>
          <w:u w:val="single"/>
          <w:lang w:eastAsia="zh-CN"/>
        </w:rPr>
        <w:t xml:space="preserve">空气质量保障项目（2026）（</w:t>
      </w:r>
      <w:r>
        <w:rPr>
          <w:rFonts w:hint="eastAsia" w:ascii="宋体" w:hAnsi="宋体" w:cs="宋体"/>
          <w:color w:val="000000"/>
          <w:sz w:val="21"/>
          <w:szCs w:val="21"/>
          <w:highlight w:val="none"/>
          <w:u w:val="single"/>
          <w:lang w:val="en-US" w:eastAsia="zh-CN"/>
        </w:rPr>
        <w:t xml:space="preserve">采购编号：</w:t>
      </w:r>
      <w:r>
        <w:rPr>
          <w:rFonts w:hint="eastAsia" w:ascii="宋体" w:hAnsi="宋体" w:eastAsia="宋体" w:cs="宋体"/>
          <w:i w:val="0"/>
          <w:iCs w:val="0"/>
          <w:caps w:val="0"/>
          <w:color w:val="000000"/>
          <w:spacing w:val="0"/>
          <w:sz w:val="21"/>
          <w:szCs w:val="21"/>
          <w:highlight w:val="none"/>
          <w:u w:val="single"/>
          <w:shd w:val="clear" w:color="auto" w:fill="auto"/>
        </w:rPr>
        <w:t xml:space="preserve">JSZC-320583-AFEJ-G2026-0004</w:t>
      </w:r>
      <w:r>
        <w:rPr>
          <w:rFonts w:hint="eastAsia" w:ascii="宋体" w:hAnsi="宋体" w:cs="宋体"/>
          <w:color w:val="000000"/>
          <w:sz w:val="21"/>
          <w:szCs w:val="21"/>
          <w:highlight w:val="none"/>
          <w:u w:val="single"/>
          <w:lang w:eastAsia="zh-CN"/>
        </w:rPr>
        <w:t xml:space="preserve">）</w:t>
      </w:r>
      <w:r>
        <w:rPr>
          <w:rFonts w:hint="eastAsia" w:ascii="宋体" w:hAnsi="宋体"/>
          <w:color w:val="000000"/>
          <w:sz w:val="21"/>
          <w:szCs w:val="21"/>
          <w:highlight w:val="none"/>
        </w:rPr>
        <w:t xml:space="preserve">的购销事宜，签订本合同书。</w:t>
      </w:r>
      <w:r>
        <w:rPr>
          <w:rFonts w:ascii="宋体" w:hAnsi="宋体"/>
          <w:color w:val="000000"/>
          <w:sz w:val="21"/>
          <w:szCs w:val="21"/>
          <w:highlight w:val="none"/>
        </w:rPr>
      </w:r>
      <w:r/>
    </w:p>
    <w:p>
      <w:pPr>
        <w:pStyle w:val="864"/>
        <w:numPr>
          <w:ilvl w:val="0"/>
          <w:numId w:val="9"/>
        </w:numPr>
        <w:ind w:firstLine="420"/>
        <w:spacing w:line="360" w:lineRule="auto"/>
        <w:rPr>
          <w:rFonts w:hint="eastAsia" w:ascii="宋体" w:hAnsi="宋体" w:cs="经典仿宋简"/>
          <w:b/>
          <w:bCs/>
          <w:color w:val="000000"/>
          <w:sz w:val="21"/>
          <w:szCs w:val="21"/>
          <w:highlight w:val="none"/>
        </w:rPr>
      </w:pPr>
      <w:r>
        <w:rPr>
          <w:rFonts w:hint="eastAsia" w:ascii="宋体" w:hAnsi="宋体" w:cs="经典仿宋简"/>
          <w:b/>
          <w:bCs/>
          <w:color w:val="000000"/>
          <w:sz w:val="21"/>
          <w:szCs w:val="21"/>
          <w:highlight w:val="none"/>
        </w:rPr>
        <w:t xml:space="preserve">合同的标的物</w:t>
      </w:r>
      <w:r>
        <w:rPr>
          <w:rFonts w:hint="eastAsia" w:ascii="宋体" w:hAnsi="宋体" w:cs="经典仿宋简"/>
          <w:b/>
          <w:bCs/>
          <w:color w:val="000000"/>
          <w:sz w:val="21"/>
          <w:szCs w:val="21"/>
          <w:highlight w:val="none"/>
        </w:rPr>
      </w:r>
      <w:r/>
    </w:p>
    <w:p>
      <w:pPr>
        <w:pStyle w:val="864"/>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合同范围：苏州市昆山生态环境局的</w:t>
      </w:r>
      <w:r>
        <w:rPr>
          <w:rFonts w:hint="eastAsia" w:ascii="宋体" w:hAnsi="宋体" w:cs="宋体"/>
          <w:color w:val="000000"/>
          <w:sz w:val="21"/>
          <w:szCs w:val="21"/>
          <w:highlight w:val="none"/>
          <w:lang w:eastAsia="zh-CN"/>
        </w:rPr>
        <w:t xml:space="preserve">空气质量保障项目（2026）</w:t>
      </w:r>
      <w:r>
        <w:rPr>
          <w:rFonts w:hint="eastAsia" w:ascii="宋体" w:hAnsi="宋体"/>
          <w:color w:val="000000"/>
          <w:sz w:val="21"/>
          <w:szCs w:val="21"/>
          <w:highlight w:val="none"/>
        </w:rPr>
        <w:t xml:space="preserve">，乙方在服务期内按照国家及行业合格标准及满足</w:t>
      </w:r>
      <w:r>
        <w:rPr>
          <w:rFonts w:hint="eastAsia" w:ascii="宋体" w:hAnsi="宋体"/>
          <w:color w:val="000000"/>
          <w:sz w:val="21"/>
          <w:szCs w:val="21"/>
          <w:highlight w:val="none"/>
          <w:lang w:val="en-US" w:eastAsia="zh-CN"/>
        </w:rPr>
        <w:t xml:space="preserve">甲方</w:t>
      </w:r>
      <w:r>
        <w:rPr>
          <w:rFonts w:hint="eastAsia" w:ascii="宋体" w:hAnsi="宋体"/>
          <w:color w:val="000000"/>
          <w:sz w:val="21"/>
          <w:szCs w:val="21"/>
          <w:highlight w:val="none"/>
        </w:rPr>
        <w:t xml:space="preserve">要求，协助苏州市昆山生态环境局完成相关工作。</w:t>
      </w:r>
      <w:r>
        <w:rPr>
          <w:rFonts w:hint="eastAsia" w:ascii="宋体" w:hAnsi="宋体"/>
          <w:color w:val="000000"/>
          <w:sz w:val="21"/>
          <w:szCs w:val="21"/>
          <w:highlight w:val="none"/>
        </w:rPr>
      </w:r>
      <w:r/>
    </w:p>
    <w:p>
      <w:pPr>
        <w:pStyle w:val="864"/>
        <w:ind w:firstLine="420"/>
        <w:spacing w:line="360" w:lineRule="auto"/>
        <w:rPr>
          <w:rFonts w:hint="eastAsia" w:ascii="宋体"/>
          <w:szCs w:val="21"/>
          <w:highlight w:val="none"/>
          <w:lang w:val="en-US" w:eastAsia="zh-CN"/>
        </w:rPr>
      </w:pPr>
      <w:r>
        <w:rPr>
          <w:rFonts w:hint="eastAsia" w:ascii="宋体"/>
          <w:color w:val="000000"/>
          <w:szCs w:val="21"/>
          <w:highlight w:val="none"/>
        </w:rPr>
        <w:t xml:space="preserve">服务内容及要求</w:t>
      </w:r>
      <w:r>
        <w:rPr>
          <w:rFonts w:hint="eastAsia" w:ascii="宋体"/>
          <w:szCs w:val="21"/>
          <w:highlight w:val="none"/>
          <w:lang w:val="en-US" w:eastAsia="zh-CN"/>
        </w:rPr>
        <w:t xml:space="preserve">：</w:t>
      </w:r>
      <w:r>
        <w:rPr>
          <w:rFonts w:hint="eastAsia" w:ascii="宋体"/>
          <w:szCs w:val="21"/>
          <w:highlight w:val="none"/>
          <w:lang w:val="en-US" w:eastAsia="zh-CN"/>
        </w:rPr>
      </w:r>
      <w:r/>
    </w:p>
    <w:p>
      <w:pPr>
        <w:pStyle w:val="864"/>
        <w:ind w:firstLine="420"/>
        <w:jc w:val="left"/>
        <w:spacing w:line="360" w:lineRule="auto"/>
        <w:widowControl/>
        <w:rPr>
          <w:rFonts w:hint="eastAsia"/>
          <w:highlight w:val="none"/>
          <w:lang w:bidi="ar"/>
        </w:rPr>
      </w:pPr>
      <w:r>
        <w:rPr>
          <w:rFonts w:hint="eastAsia" w:ascii="宋体"/>
          <w:szCs w:val="21"/>
          <w:highlight w:val="none"/>
          <w:lang w:val="en-US" w:eastAsia="zh-CN"/>
        </w:rPr>
        <w:t xml:space="preserve">1、</w:t>
      </w:r>
      <w:r>
        <w:rPr>
          <w:rFonts w:hint="eastAsia" w:ascii="宋体"/>
          <w:szCs w:val="21"/>
          <w:highlight w:val="none"/>
        </w:rPr>
        <w:t xml:space="preserve">服务内容</w:t>
      </w:r>
      <w:r>
        <w:rPr>
          <w:rFonts w:hint="eastAsia" w:ascii="宋体"/>
          <w:szCs w:val="21"/>
          <w:highlight w:val="none"/>
          <w:lang w:eastAsia="zh-CN"/>
        </w:rPr>
        <w:t xml:space="preserve">：</w:t>
      </w:r>
      <w:r>
        <w:rPr>
          <w:rFonts w:hint="eastAsia"/>
          <w:highlight w:val="none"/>
          <w:lang w:bidi="ar"/>
        </w:rPr>
        <w:t xml:space="preserve">通过引入第三方服务团队提供动态跟踪服务，综合运用各项有效技术，智慧调度各相关板块协同推进空气质量保障工作。</w:t>
      </w:r>
      <w:r>
        <w:rPr>
          <w:rFonts w:hint="eastAsia"/>
          <w:highlight w:val="none"/>
          <w:lang w:bidi="ar"/>
        </w:rPr>
      </w:r>
      <w:r/>
    </w:p>
    <w:p>
      <w:pPr>
        <w:pStyle w:val="864"/>
        <w:ind w:firstLine="0"/>
        <w:spacing w:line="360" w:lineRule="auto"/>
        <w:rPr>
          <w:rFonts w:hint="eastAsia" w:ascii="宋体"/>
          <w:szCs w:val="21"/>
          <w:highlight w:val="none"/>
        </w:rPr>
      </w:pPr>
      <w:r>
        <w:rPr>
          <w:rFonts w:hint="eastAsia" w:ascii="宋体"/>
          <w:szCs w:val="21"/>
          <w:highlight w:val="none"/>
        </w:rPr>
        <w:t xml:space="preserve">（一）区域空气质量综合分析</w:t>
      </w:r>
      <w:r>
        <w:rPr>
          <w:rFonts w:hint="eastAsia" w:ascii="宋体"/>
          <w:szCs w:val="21"/>
          <w:highlight w:val="none"/>
        </w:rPr>
      </w:r>
      <w:r/>
    </w:p>
    <w:p>
      <w:pPr>
        <w:pStyle w:val="864"/>
        <w:ind w:firstLine="420"/>
        <w:spacing w:line="360" w:lineRule="auto"/>
        <w:rPr>
          <w:highlight w:val="none"/>
        </w:rPr>
      </w:pPr>
      <w:r>
        <w:rPr>
          <w:rFonts w:hint="eastAsia"/>
          <w:highlight w:val="none"/>
        </w:rPr>
        <w:t xml:space="preserve">结合相关数据，运用各类模型，开展区域空气质量综合分析，把握区域空气质量变化规律，为科学、精准治气提供理论指导。</w:t>
      </w:r>
      <w:r>
        <w:rPr>
          <w:highlight w:val="none"/>
        </w:rPr>
      </w:r>
      <w:r/>
    </w:p>
    <w:p>
      <w:pPr>
        <w:pStyle w:val="864"/>
        <w:ind w:firstLine="0"/>
        <w:spacing w:line="360" w:lineRule="auto"/>
        <w:rPr>
          <w:rFonts w:hint="eastAsia" w:ascii="宋体"/>
          <w:szCs w:val="21"/>
          <w:highlight w:val="none"/>
        </w:rPr>
      </w:pPr>
      <w:r>
        <w:rPr>
          <w:rFonts w:hint="eastAsia" w:ascii="宋体"/>
          <w:szCs w:val="21"/>
          <w:highlight w:val="none"/>
        </w:rPr>
        <w:t xml:space="preserve">（二）常规天气点位巡查、重污染天气应急管控服务</w:t>
      </w:r>
      <w:r>
        <w:rPr>
          <w:rFonts w:hint="eastAsia" w:ascii="宋体"/>
          <w:szCs w:val="21"/>
          <w:highlight w:val="none"/>
        </w:rPr>
      </w:r>
      <w:r/>
    </w:p>
    <w:p>
      <w:pPr>
        <w:pStyle w:val="864"/>
        <w:ind w:firstLine="420"/>
        <w:spacing w:line="360" w:lineRule="auto"/>
        <w:rPr>
          <w:rFonts w:hint="eastAsia"/>
          <w:highlight w:val="none"/>
        </w:rPr>
      </w:pPr>
      <w:r>
        <w:rPr>
          <w:rFonts w:hint="eastAsia"/>
          <w:highlight w:val="none"/>
        </w:rPr>
        <w:t xml:space="preserve">围绕重点大气监测点位，建立并动态更新污染分级管控清单，组织专业团队，协同乡镇（开发区），常规天气时开展日常巡查，站点数据异常突高情况开展站点微环境应急排查；重污染天气时，围绕江苏省、苏州市相关要求，依托管控清单全面开展应急管控工作。</w:t>
      </w:r>
      <w:r>
        <w:rPr>
          <w:rFonts w:hint="eastAsia"/>
          <w:highlight w:val="none"/>
        </w:rPr>
      </w:r>
      <w:r/>
    </w:p>
    <w:p>
      <w:pPr>
        <w:pStyle w:val="864"/>
        <w:ind w:firstLine="0"/>
        <w:spacing w:line="360" w:lineRule="auto"/>
        <w:rPr>
          <w:rFonts w:ascii="宋体"/>
          <w:szCs w:val="21"/>
          <w:highlight w:val="none"/>
        </w:rPr>
      </w:pPr>
      <w:r>
        <w:rPr>
          <w:rFonts w:hint="eastAsia" w:ascii="宋体"/>
          <w:szCs w:val="21"/>
          <w:highlight w:val="none"/>
        </w:rPr>
        <w:t xml:space="preserve">（三）整合各类监测数据，开展溯源及专项分析</w:t>
      </w:r>
      <w:r>
        <w:rPr>
          <w:rFonts w:ascii="宋体"/>
          <w:szCs w:val="21"/>
          <w:highlight w:val="none"/>
        </w:rPr>
      </w:r>
      <w:r/>
    </w:p>
    <w:p>
      <w:pPr>
        <w:pStyle w:val="864"/>
        <w:ind w:firstLine="420"/>
        <w:jc w:val="left"/>
        <w:spacing w:line="360" w:lineRule="auto"/>
        <w:widowControl/>
        <w:rPr>
          <w:highlight w:val="none"/>
        </w:rPr>
      </w:pPr>
      <w:r>
        <w:rPr>
          <w:rFonts w:hint="eastAsia"/>
          <w:highlight w:val="none"/>
          <w:lang w:bidi="ar"/>
        </w:rPr>
        <w:t xml:space="preserve">依托</w:t>
      </w:r>
      <w:r>
        <w:rPr>
          <w:rFonts w:hint="eastAsia"/>
          <w:highlight w:val="none"/>
        </w:rPr>
        <w:t xml:space="preserve">搭载监测设备的无人机飞航、VOCs走航车及积尘走航车等监测数据，结合各类大气监测站点监测数据，结合常规天气站点数值突高情景、重污染天气期间</w:t>
      </w:r>
      <w:r>
        <w:rPr>
          <w:rFonts w:hint="eastAsia" w:ascii="宋体" w:hAnsi="宋体" w:cs="宋体"/>
          <w:szCs w:val="21"/>
          <w:highlight w:val="none"/>
        </w:rPr>
        <w:t xml:space="preserve">开展源项溯源及</w:t>
      </w:r>
      <w:r>
        <w:rPr>
          <w:rFonts w:hint="eastAsia"/>
          <w:highlight w:val="none"/>
        </w:rPr>
        <w:t xml:space="preserve">开展专项分析。</w:t>
      </w:r>
      <w:r>
        <w:rPr>
          <w:highlight w:val="none"/>
        </w:rPr>
      </w:r>
      <w:r/>
    </w:p>
    <w:p>
      <w:pPr>
        <w:pStyle w:val="864"/>
        <w:ind w:firstLine="0"/>
        <w:spacing w:line="360" w:lineRule="auto"/>
        <w:rPr>
          <w:highlight w:val="none"/>
        </w:rPr>
      </w:pPr>
      <w:r>
        <w:rPr>
          <w:rFonts w:hint="eastAsia"/>
          <w:highlight w:val="none"/>
        </w:rPr>
        <w:t xml:space="preserve">（四）协助优化区域空气质量保障体系，开展</w:t>
      </w:r>
      <w:r>
        <w:rPr>
          <w:rFonts w:hint="eastAsia" w:ascii="宋体"/>
          <w:szCs w:val="21"/>
          <w:highlight w:val="none"/>
        </w:rPr>
        <w:t xml:space="preserve">重点行业及重点源项专项调研</w:t>
      </w:r>
      <w:r>
        <w:rPr>
          <w:highlight w:val="none"/>
        </w:rPr>
      </w:r>
      <w:r/>
    </w:p>
    <w:p>
      <w:pPr>
        <w:pStyle w:val="864"/>
        <w:ind w:firstLine="420"/>
        <w:spacing w:line="360" w:lineRule="auto"/>
        <w:rPr>
          <w:rFonts w:hint="eastAsia"/>
          <w:highlight w:val="none"/>
        </w:rPr>
      </w:pPr>
      <w:r>
        <w:rPr>
          <w:rFonts w:hint="eastAsia" w:ascii="宋体"/>
          <w:szCs w:val="21"/>
          <w:highlight w:val="none"/>
        </w:rPr>
        <w:t xml:space="preserve">配合管理部门，协助优化空气质量保障体系，协同乡镇（开发区）系统联动，定期开展空气质量会商及智慧调度；结合本地化清单，定向开展重点行业及重点源项专项调研，帮扶</w:t>
      </w:r>
      <w:r>
        <w:rPr>
          <w:rFonts w:hint="eastAsia"/>
          <w:highlight w:val="none"/>
        </w:rPr>
        <w:t xml:space="preserve">指导重点行业及重点源精细化提升。</w:t>
      </w:r>
      <w:r>
        <w:rPr>
          <w:rFonts w:hint="eastAsia"/>
          <w:highlight w:val="none"/>
        </w:rPr>
      </w:r>
      <w:r/>
    </w:p>
    <w:p>
      <w:pPr>
        <w:pStyle w:val="864"/>
        <w:ind w:firstLine="420"/>
        <w:spacing w:line="360" w:lineRule="auto"/>
        <w:rPr>
          <w:rFonts w:ascii="宋体"/>
          <w:szCs w:val="21"/>
          <w:highlight w:val="none"/>
        </w:rPr>
      </w:pPr>
      <w:r>
        <w:rPr>
          <w:rFonts w:hint="eastAsia" w:ascii="宋体"/>
          <w:szCs w:val="21"/>
          <w:highlight w:val="none"/>
          <w:lang w:val="en-US" w:eastAsia="zh-CN"/>
        </w:rPr>
        <w:t xml:space="preserve">2</w:t>
      </w:r>
      <w:r>
        <w:rPr>
          <w:rFonts w:hint="eastAsia" w:ascii="宋体"/>
          <w:szCs w:val="21"/>
          <w:highlight w:val="none"/>
        </w:rPr>
        <w:t xml:space="preserve">、人员要求</w:t>
      </w:r>
      <w:r>
        <w:rPr>
          <w:rFonts w:ascii="宋体"/>
          <w:szCs w:val="21"/>
          <w:highlight w:val="none"/>
        </w:rPr>
      </w:r>
      <w:r/>
    </w:p>
    <w:p>
      <w:pPr>
        <w:pStyle w:val="864"/>
        <w:ind w:firstLine="420"/>
        <w:spacing w:line="360" w:lineRule="auto"/>
        <w:rPr>
          <w:rFonts w:hint="eastAsia" w:ascii="宋体"/>
          <w:szCs w:val="21"/>
          <w:highlight w:val="none"/>
        </w:rPr>
      </w:pPr>
      <w:r>
        <w:rPr>
          <w:rFonts w:hint="eastAsia" w:ascii="宋体"/>
          <w:szCs w:val="21"/>
          <w:highlight w:val="none"/>
        </w:rPr>
        <w:t xml:space="preserve">本项目配备一个实施项目组，至少包含1名项目负责人、1名技术负责人、1名质控负责人、2名</w:t>
      </w:r>
      <w:r>
        <w:rPr>
          <w:rFonts w:hint="eastAsia" w:ascii="宋体"/>
          <w:szCs w:val="21"/>
          <w:highlight w:val="none"/>
          <w:lang w:eastAsia="zh-CN"/>
        </w:rPr>
        <w:t xml:space="preserve">技术人员。</w:t>
      </w:r>
      <w:r>
        <w:rPr>
          <w:rFonts w:hint="eastAsia" w:ascii="宋体"/>
          <w:szCs w:val="21"/>
          <w:highlight w:val="none"/>
        </w:rPr>
        <w:t xml:space="preserve">人员要求：提供</w:t>
      </w:r>
      <w:r>
        <w:rPr>
          <w:rFonts w:hint="eastAsia" w:ascii="宋体"/>
          <w:szCs w:val="21"/>
          <w:highlight w:val="none"/>
          <w:lang w:eastAsia="zh-CN"/>
        </w:rPr>
        <w:t xml:space="preserve">现场巡查、技术指导等专业</w:t>
      </w:r>
      <w:r>
        <w:rPr>
          <w:rFonts w:hint="eastAsia" w:ascii="宋体"/>
          <w:szCs w:val="21"/>
          <w:highlight w:val="none"/>
        </w:rPr>
        <w:t xml:space="preserve">服务，善于合作、执行力强、政治素质和业务素质好、工作效率高</w:t>
      </w:r>
      <w:r>
        <w:rPr>
          <w:rFonts w:hint="eastAsia" w:ascii="宋体"/>
          <w:szCs w:val="21"/>
          <w:highlight w:val="none"/>
          <w:lang w:eastAsia="zh-CN"/>
        </w:rPr>
        <w:t xml:space="preserve">，</w:t>
      </w:r>
      <w:r>
        <w:rPr>
          <w:rFonts w:hint="eastAsia" w:ascii="宋体"/>
          <w:szCs w:val="21"/>
          <w:highlight w:val="none"/>
        </w:rPr>
        <w:t xml:space="preserve">2名</w:t>
      </w:r>
      <w:r>
        <w:rPr>
          <w:rFonts w:hint="eastAsia" w:ascii="宋体"/>
          <w:szCs w:val="21"/>
          <w:highlight w:val="none"/>
          <w:lang w:eastAsia="zh-CN"/>
        </w:rPr>
        <w:t xml:space="preserve">技术人员与甲方专门对接，</w:t>
      </w:r>
      <w:r>
        <w:rPr>
          <w:rFonts w:hint="eastAsia" w:ascii="宋体"/>
          <w:szCs w:val="21"/>
          <w:highlight w:val="none"/>
          <w:lang w:val="en-US" w:eastAsia="zh-CN"/>
        </w:rPr>
        <w:t xml:space="preserve">及时响应</w:t>
      </w:r>
      <w:r>
        <w:rPr>
          <w:rFonts w:hint="eastAsia" w:ascii="宋体"/>
          <w:szCs w:val="21"/>
          <w:highlight w:val="none"/>
        </w:rPr>
        <w:t xml:space="preserve">。甲方有权要求乙方更换不能胜任本次</w:t>
      </w:r>
      <w:r>
        <w:rPr>
          <w:rFonts w:hint="eastAsia" w:ascii="宋体"/>
          <w:szCs w:val="21"/>
          <w:highlight w:val="none"/>
          <w:lang w:eastAsia="zh-CN"/>
        </w:rPr>
        <w:t xml:space="preserve">技术</w:t>
      </w:r>
      <w:r>
        <w:rPr>
          <w:rFonts w:hint="eastAsia" w:ascii="宋体"/>
          <w:szCs w:val="21"/>
          <w:highlight w:val="none"/>
        </w:rPr>
        <w:t xml:space="preserve">服务人员，其它情况乙方不得随意更换人员，更换人员必须经甲方同意。</w:t>
      </w:r>
      <w:r>
        <w:rPr>
          <w:rFonts w:hint="eastAsia" w:ascii="宋体"/>
          <w:szCs w:val="21"/>
          <w:highlight w:val="none"/>
        </w:rPr>
      </w:r>
      <w:r/>
    </w:p>
    <w:p>
      <w:pPr>
        <w:pStyle w:val="864"/>
        <w:numPr>
          <w:ilvl w:val="0"/>
          <w:numId w:val="0"/>
        </w:numPr>
        <w:ind w:firstLine="420"/>
        <w:spacing w:line="360" w:lineRule="auto"/>
        <w:rPr>
          <w:rFonts w:hint="eastAsia" w:ascii="宋体"/>
          <w:szCs w:val="21"/>
          <w:highlight w:val="none"/>
        </w:rPr>
      </w:pPr>
      <w:r>
        <w:rPr>
          <w:rFonts w:hint="eastAsia" w:ascii="宋体"/>
          <w:szCs w:val="21"/>
          <w:highlight w:val="none"/>
          <w:lang w:val="en-US" w:eastAsia="zh-CN"/>
        </w:rPr>
        <w:t xml:space="preserve">3、</w:t>
      </w:r>
      <w:r>
        <w:rPr>
          <w:rFonts w:hint="eastAsia" w:ascii="宋体"/>
          <w:szCs w:val="21"/>
          <w:highlight w:val="none"/>
        </w:rPr>
        <w:t xml:space="preserve">设备要求</w:t>
      </w:r>
      <w:r>
        <w:rPr>
          <w:rFonts w:hint="eastAsia" w:ascii="宋体"/>
          <w:szCs w:val="21"/>
          <w:highlight w:val="none"/>
        </w:rPr>
      </w:r>
      <w:r/>
    </w:p>
    <w:p>
      <w:pPr>
        <w:pStyle w:val="864"/>
        <w:ind w:firstLine="422"/>
        <w:spacing w:line="360" w:lineRule="auto"/>
        <w:tabs>
          <w:tab w:val="left" w:pos="420" w:leader="none"/>
        </w:tabs>
        <w:rPr>
          <w:rFonts w:ascii="宋体" w:hAnsi="宋体"/>
          <w:b/>
          <w:bCs/>
          <w:szCs w:val="21"/>
          <w:highlight w:val="none"/>
        </w:rPr>
      </w:pPr>
      <w:r>
        <w:rPr>
          <w:rFonts w:hint="eastAsia" w:ascii="宋体" w:hAnsi="宋体"/>
          <w:b/>
          <w:bCs/>
          <w:szCs w:val="21"/>
          <w:highlight w:val="none"/>
        </w:rPr>
        <w:t xml:space="preserve">（一）VOCs 走航监测服务</w:t>
      </w:r>
      <w:r>
        <w:rPr>
          <w:rFonts w:ascii="宋体" w:hAnsi="宋体"/>
          <w:b/>
          <w:bCs/>
          <w:szCs w:val="21"/>
          <w:highlight w:val="none"/>
        </w:rPr>
      </w:r>
      <w:r/>
    </w:p>
    <w:p>
      <w:pPr>
        <w:pStyle w:val="864"/>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（1）全部车载设备正常运行的情况下，续航时间＞6小时。</w:t>
      </w:r>
      <w:r>
        <w:rPr>
          <w:rFonts w:ascii="宋体" w:hAnsi="宋体"/>
          <w:szCs w:val="21"/>
          <w:highlight w:val="none"/>
        </w:rPr>
      </w:r>
      <w:r/>
    </w:p>
    <w:p>
      <w:pPr>
        <w:pStyle w:val="864"/>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（2）常规参数设备（秒级数据）：包括</w:t>
      </w:r>
      <w:r>
        <w:rPr>
          <w:rFonts w:hint="eastAsia"/>
          <w:highlight w:val="none"/>
        </w:rPr>
        <w:t xml:space="preserve">PM</w:t>
      </w:r>
      <w:r>
        <w:rPr>
          <w:rFonts w:hint="eastAsia"/>
          <w:highlight w:val="none"/>
          <w:vertAlign w:val="subscript"/>
        </w:rPr>
        <w:t xml:space="preserve">2.5</w:t>
      </w:r>
      <w:r>
        <w:rPr>
          <w:rFonts w:hint="eastAsia"/>
          <w:highlight w:val="none"/>
        </w:rPr>
        <w:t xml:space="preserve">、PM</w:t>
      </w:r>
      <w:r>
        <w:rPr>
          <w:rFonts w:hint="eastAsia"/>
          <w:highlight w:val="none"/>
          <w:vertAlign w:val="subscript"/>
        </w:rPr>
        <w:t xml:space="preserve">10</w:t>
      </w:r>
      <w:r>
        <w:rPr>
          <w:rFonts w:hint="eastAsia"/>
          <w:highlight w:val="none"/>
        </w:rPr>
        <w:t xml:space="preserve">、</w:t>
      </w:r>
      <w:r>
        <w:rPr>
          <w:highlight w:val="none"/>
        </w:rPr>
        <w:t xml:space="preserve">O</w:t>
      </w:r>
      <w:r>
        <w:rPr>
          <w:highlight w:val="none"/>
          <w:vertAlign w:val="subscript"/>
        </w:rPr>
        <w:t xml:space="preserve">3</w:t>
      </w:r>
      <w:r>
        <w:rPr>
          <w:rFonts w:hint="eastAsia"/>
          <w:highlight w:val="none"/>
        </w:rPr>
        <w:t xml:space="preserve">、</w:t>
      </w:r>
      <w:r>
        <w:rPr>
          <w:highlight w:val="none"/>
        </w:rPr>
        <w:t xml:space="preserve">SO₂</w:t>
      </w:r>
      <w:r>
        <w:rPr>
          <w:rFonts w:hint="eastAsia"/>
          <w:highlight w:val="none"/>
        </w:rPr>
        <w:t xml:space="preserve">、</w:t>
      </w:r>
      <w:r>
        <w:rPr>
          <w:highlight w:val="none"/>
        </w:rPr>
        <w:t xml:space="preserve">NO₂</w:t>
      </w:r>
      <w:r>
        <w:rPr>
          <w:rFonts w:hint="eastAsia"/>
          <w:highlight w:val="none"/>
        </w:rPr>
        <w:t xml:space="preserve">、CO</w:t>
      </w:r>
      <w:r>
        <w:rPr>
          <w:rFonts w:hint="eastAsia" w:ascii="宋体" w:hAnsi="宋体"/>
          <w:szCs w:val="21"/>
          <w:highlight w:val="none"/>
        </w:rPr>
        <w:t xml:space="preserve">分析仪。</w:t>
      </w:r>
      <w:r>
        <w:rPr>
          <w:rFonts w:ascii="宋体" w:hAnsi="宋体"/>
          <w:szCs w:val="21"/>
          <w:highlight w:val="none"/>
        </w:rPr>
      </w:r>
      <w:r/>
    </w:p>
    <w:p>
      <w:pPr>
        <w:pStyle w:val="864"/>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（3）VOCs监测设备：至少包括VOCs快速响应仪、VOCs组分分析仪。</w:t>
      </w:r>
      <w:r>
        <w:rPr>
          <w:rFonts w:ascii="宋体" w:hAnsi="宋体"/>
          <w:szCs w:val="21"/>
          <w:highlight w:val="none"/>
        </w:rPr>
      </w:r>
      <w:r/>
    </w:p>
    <w:p>
      <w:pPr>
        <w:pStyle w:val="864"/>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（4）气象设备：至少包括气象五参数分析仪。</w:t>
      </w:r>
      <w:r>
        <w:rPr>
          <w:rFonts w:ascii="宋体" w:hAnsi="宋体"/>
          <w:szCs w:val="21"/>
          <w:highlight w:val="none"/>
        </w:rPr>
      </w:r>
      <w:r/>
    </w:p>
    <w:p>
      <w:pPr>
        <w:pStyle w:val="864"/>
        <w:ind w:firstLine="422"/>
        <w:spacing w:line="360" w:lineRule="auto"/>
        <w:tabs>
          <w:tab w:val="left" w:pos="420" w:leader="none"/>
        </w:tabs>
        <w:rPr>
          <w:rFonts w:ascii="宋体" w:hAnsi="宋体"/>
          <w:b/>
          <w:bCs/>
          <w:szCs w:val="21"/>
          <w:highlight w:val="none"/>
        </w:rPr>
      </w:pPr>
      <w:r>
        <w:rPr>
          <w:rFonts w:hint="eastAsia" w:ascii="宋体" w:hAnsi="宋体"/>
          <w:b/>
          <w:bCs/>
          <w:szCs w:val="21"/>
          <w:highlight w:val="none"/>
        </w:rPr>
        <w:t xml:space="preserve">（二）道路积尘走航监测服务</w:t>
      </w:r>
      <w:r>
        <w:rPr>
          <w:rFonts w:ascii="宋体" w:hAnsi="宋体"/>
          <w:b/>
          <w:bCs/>
          <w:szCs w:val="21"/>
          <w:highlight w:val="none"/>
        </w:rPr>
      </w:r>
      <w:r/>
    </w:p>
    <w:p>
      <w:pPr>
        <w:pStyle w:val="864"/>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（1）道路积尘监测仪</w:t>
      </w:r>
      <w:r>
        <w:rPr>
          <w:rFonts w:ascii="宋体" w:hAnsi="宋体"/>
          <w:szCs w:val="21"/>
          <w:highlight w:val="none"/>
        </w:rPr>
      </w:r>
      <w:r/>
    </w:p>
    <w:p>
      <w:pPr>
        <w:pStyle w:val="864"/>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①监测仪采样时，每间隔1s采样一个数值。</w:t>
      </w:r>
      <w:r>
        <w:rPr>
          <w:rFonts w:ascii="宋体" w:hAnsi="宋体"/>
          <w:szCs w:val="21"/>
          <w:highlight w:val="none"/>
        </w:rPr>
      </w:r>
      <w:r/>
    </w:p>
    <w:p>
      <w:pPr>
        <w:pStyle w:val="864"/>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②能够保证在环境温度应处于-10℃至40℃之间，环境相对湿度小于等于80%，环境风力低于4级的情况下，不影响道路积尘监测仪的正常使用。</w:t>
      </w:r>
      <w:r>
        <w:rPr>
          <w:rFonts w:ascii="宋体" w:hAnsi="宋体"/>
          <w:szCs w:val="21"/>
          <w:highlight w:val="none"/>
        </w:rPr>
      </w:r>
      <w:r/>
    </w:p>
    <w:p>
      <w:pPr>
        <w:pStyle w:val="864"/>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（2）数据采集模块</w:t>
      </w:r>
      <w:r>
        <w:rPr>
          <w:rFonts w:ascii="宋体" w:hAnsi="宋体"/>
          <w:szCs w:val="21"/>
          <w:highlight w:val="none"/>
        </w:rPr>
      </w:r>
      <w:r/>
    </w:p>
    <w:p>
      <w:pPr>
        <w:pStyle w:val="864"/>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①数采模块对监测设备进行运行控制和数据传输至电脑系统。</w:t>
      </w:r>
      <w:r>
        <w:rPr>
          <w:rFonts w:ascii="宋体" w:hAnsi="宋体"/>
          <w:szCs w:val="21"/>
          <w:highlight w:val="none"/>
        </w:rPr>
      </w:r>
      <w:r/>
    </w:p>
    <w:p>
      <w:pPr>
        <w:pStyle w:val="864"/>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②数采模块的工作环境：温度 -10℃～+50℃，相对湿度5%-95%，无结露。</w:t>
      </w:r>
      <w:r>
        <w:rPr>
          <w:rFonts w:ascii="宋体" w:hAnsi="宋体"/>
          <w:szCs w:val="21"/>
          <w:highlight w:val="none"/>
        </w:rPr>
      </w:r>
      <w:r/>
    </w:p>
    <w:p>
      <w:pPr>
        <w:pStyle w:val="864"/>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（3）道路积尘监测系统软件</w:t>
      </w:r>
      <w:r>
        <w:rPr>
          <w:rFonts w:ascii="宋体" w:hAnsi="宋体"/>
          <w:szCs w:val="21"/>
          <w:highlight w:val="none"/>
        </w:rPr>
      </w:r>
      <w:r/>
    </w:p>
    <w:p>
      <w:pPr>
        <w:pStyle w:val="864"/>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①软件能够监测设备的调控管理与实时在线数据显示。</w:t>
      </w:r>
      <w:r>
        <w:rPr>
          <w:rFonts w:ascii="宋体" w:hAnsi="宋体"/>
          <w:szCs w:val="21"/>
          <w:highlight w:val="none"/>
        </w:rPr>
      </w:r>
      <w:r/>
    </w:p>
    <w:p>
      <w:pPr>
        <w:pStyle w:val="864"/>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②软件应显示监测仪的数据、实时车速、温湿度和GPS信息。</w:t>
      </w:r>
      <w:r>
        <w:rPr>
          <w:rFonts w:ascii="宋体" w:hAnsi="宋体"/>
          <w:szCs w:val="21"/>
          <w:highlight w:val="none"/>
        </w:rPr>
      </w:r>
      <w:r/>
    </w:p>
    <w:p>
      <w:pPr>
        <w:pStyle w:val="864"/>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（4）道路积尘负荷监测服务</w:t>
      </w:r>
      <w:r>
        <w:rPr>
          <w:rFonts w:ascii="宋体" w:hAnsi="宋体"/>
          <w:szCs w:val="21"/>
          <w:highlight w:val="none"/>
        </w:rPr>
      </w:r>
      <w:r/>
    </w:p>
    <w:p>
      <w:pPr>
        <w:pStyle w:val="864"/>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①对指定的区域道路进行监测。</w:t>
      </w:r>
      <w:r>
        <w:rPr>
          <w:rFonts w:ascii="宋体" w:hAnsi="宋体"/>
          <w:szCs w:val="21"/>
          <w:highlight w:val="none"/>
        </w:rPr>
      </w:r>
      <w:r/>
    </w:p>
    <w:p>
      <w:pPr>
        <w:pStyle w:val="864"/>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②监测过程中，随时接受采购人的考核和抽查，包括现场抽查、软件监督等形式 。</w:t>
      </w:r>
      <w:r>
        <w:rPr>
          <w:rFonts w:ascii="宋体" w:hAnsi="宋体"/>
          <w:szCs w:val="21"/>
          <w:highlight w:val="none"/>
        </w:rPr>
      </w:r>
      <w:r/>
    </w:p>
    <w:p>
      <w:pPr>
        <w:pStyle w:val="890"/>
        <w:ind w:firstLine="0"/>
        <w:spacing w:line="360" w:lineRule="auto"/>
        <w:rPr>
          <w:b/>
          <w:bCs/>
          <w:highlight w:val="none"/>
        </w:rPr>
      </w:pPr>
      <w:r>
        <w:rPr>
          <w:rFonts w:hint="eastAsia"/>
          <w:b/>
          <w:bCs/>
          <w:highlight w:val="none"/>
        </w:rPr>
        <w:t xml:space="preserve">（三）无人机飞航服务</w:t>
      </w:r>
      <w:r>
        <w:rPr>
          <w:b/>
          <w:bCs/>
          <w:highlight w:val="none"/>
        </w:rPr>
      </w:r>
      <w:r/>
    </w:p>
    <w:p>
      <w:pPr>
        <w:pStyle w:val="864"/>
        <w:ind w:firstLine="420"/>
        <w:spacing w:line="360" w:lineRule="auto"/>
        <w:rPr>
          <w:highlight w:val="none"/>
        </w:rPr>
      </w:pPr>
      <w:r>
        <w:rPr>
          <w:highlight w:val="none"/>
        </w:rPr>
        <w:t xml:space="preserve">①飞航要求：单次累计有效飞行时长不低于100分钟；</w:t>
      </w:r>
      <w:r>
        <w:rPr>
          <w:highlight w:val="none"/>
        </w:rPr>
      </w:r>
      <w:r/>
    </w:p>
    <w:p>
      <w:pPr>
        <w:pStyle w:val="864"/>
        <w:ind w:firstLine="420"/>
        <w:spacing w:line="360" w:lineRule="auto"/>
        <w:rPr>
          <w:highlight w:val="none"/>
        </w:rPr>
      </w:pPr>
      <w:r>
        <w:rPr>
          <w:highlight w:val="none"/>
        </w:rPr>
        <w:t xml:space="preserve">②监测要求：常规监测PM2.5、PM10、TVOC、SO₂、CO、NO₂；</w:t>
      </w:r>
      <w:r>
        <w:rPr>
          <w:highlight w:val="none"/>
        </w:rPr>
      </w:r>
      <w:r/>
    </w:p>
    <w:p>
      <w:pPr>
        <w:pStyle w:val="864"/>
        <w:ind w:firstLine="420"/>
        <w:spacing w:line="360" w:lineRule="auto"/>
        <w:rPr>
          <w:highlight w:val="none"/>
        </w:rPr>
      </w:pPr>
      <w:r>
        <w:rPr>
          <w:rFonts w:hint="eastAsia"/>
          <w:highlight w:val="none"/>
        </w:rPr>
        <w:t xml:space="preserve">③</w:t>
      </w:r>
      <w:r>
        <w:rPr>
          <w:highlight w:val="none"/>
        </w:rPr>
        <w:t xml:space="preserve">平台要求：配套平台可实时查看各监测因子指数、地图等相关信息；</w:t>
      </w:r>
      <w:r>
        <w:rPr>
          <w:highlight w:val="none"/>
        </w:rPr>
      </w:r>
      <w:r/>
    </w:p>
    <w:p>
      <w:pPr>
        <w:pStyle w:val="864"/>
        <w:ind w:firstLine="420"/>
        <w:spacing w:line="360" w:lineRule="auto"/>
        <w:rPr>
          <w:highlight w:val="none"/>
        </w:rPr>
      </w:pPr>
      <w:r>
        <w:rPr>
          <w:rFonts w:hint="eastAsia"/>
          <w:highlight w:val="none"/>
        </w:rPr>
        <w:t xml:space="preserve">④</w:t>
      </w:r>
      <w:r>
        <w:rPr>
          <w:highlight w:val="none"/>
        </w:rPr>
        <w:t xml:space="preserve">数据与报告要求：支持在线下载巡查报告及原始数据；</w:t>
      </w:r>
      <w:r>
        <w:rPr>
          <w:highlight w:val="none"/>
        </w:rPr>
      </w:r>
      <w:r/>
    </w:p>
    <w:p>
      <w:pPr>
        <w:pStyle w:val="864"/>
        <w:numPr>
          <w:ilvl w:val="0"/>
          <w:numId w:val="0"/>
        </w:numPr>
        <w:ind w:firstLine="420"/>
        <w:spacing w:line="360" w:lineRule="auto"/>
        <w:rPr>
          <w:rFonts w:hint="eastAsia" w:ascii="宋体"/>
          <w:szCs w:val="21"/>
          <w:highlight w:val="none"/>
        </w:rPr>
      </w:pPr>
      <w:r>
        <w:rPr>
          <w:rFonts w:hint="eastAsia" w:ascii="宋体"/>
          <w:szCs w:val="21"/>
          <w:highlight w:val="none"/>
          <w:lang w:val="en-US" w:eastAsia="zh-CN"/>
        </w:rPr>
        <w:t xml:space="preserve">4、</w:t>
      </w:r>
      <w:r>
        <w:rPr>
          <w:rFonts w:hint="eastAsia" w:ascii="宋体"/>
          <w:szCs w:val="21"/>
          <w:highlight w:val="none"/>
        </w:rPr>
        <w:t xml:space="preserve">成果要求</w:t>
      </w:r>
      <w:r>
        <w:rPr>
          <w:rFonts w:hint="eastAsia" w:ascii="宋体"/>
          <w:szCs w:val="21"/>
          <w:highlight w:val="none"/>
        </w:rPr>
      </w:r>
      <w:r/>
    </w:p>
    <w:p>
      <w:pPr>
        <w:pStyle w:val="864"/>
        <w:numPr>
          <w:ilvl w:val="0"/>
          <w:numId w:val="8"/>
        </w:numPr>
        <w:spacing w:line="360" w:lineRule="auto"/>
        <w:rPr>
          <w:rFonts w:hint="eastAsia" w:ascii="宋体"/>
          <w:szCs w:val="21"/>
          <w:highlight w:val="none"/>
        </w:rPr>
      </w:pPr>
      <w:r>
        <w:rPr>
          <w:rFonts w:hint="eastAsia" w:ascii="宋体"/>
          <w:szCs w:val="21"/>
          <w:highlight w:val="none"/>
        </w:rPr>
        <w:t xml:space="preserve">污染源清单及一张图、重污染分级管控清单。</w:t>
      </w:r>
      <w:r>
        <w:rPr>
          <w:rFonts w:hint="eastAsia" w:ascii="宋体"/>
          <w:szCs w:val="21"/>
          <w:highlight w:val="none"/>
        </w:rPr>
      </w:r>
      <w:r/>
    </w:p>
    <w:p>
      <w:pPr>
        <w:pStyle w:val="864"/>
        <w:numPr>
          <w:ilvl w:val="0"/>
          <w:numId w:val="8"/>
        </w:numPr>
        <w:spacing w:line="360" w:lineRule="auto"/>
        <w:rPr>
          <w:rFonts w:hint="eastAsia" w:ascii="宋体"/>
          <w:szCs w:val="21"/>
          <w:highlight w:val="none"/>
        </w:rPr>
      </w:pPr>
      <w:r>
        <w:rPr>
          <w:rFonts w:hint="eastAsia" w:ascii="宋体"/>
          <w:szCs w:val="21"/>
          <w:highlight w:val="none"/>
        </w:rPr>
        <w:t xml:space="preserve">VOCs走航报告60份、道路积尘走航报告12份、无人机飞航报告15份。</w:t>
      </w:r>
      <w:r>
        <w:rPr>
          <w:rFonts w:hint="eastAsia" w:ascii="宋体"/>
          <w:szCs w:val="21"/>
          <w:highlight w:val="none"/>
        </w:rPr>
      </w:r>
      <w:r/>
    </w:p>
    <w:p>
      <w:pPr>
        <w:pStyle w:val="864"/>
        <w:numPr>
          <w:ilvl w:val="0"/>
          <w:numId w:val="8"/>
        </w:numPr>
        <w:spacing w:line="360" w:lineRule="auto"/>
        <w:rPr>
          <w:rFonts w:hint="eastAsia" w:ascii="宋体"/>
          <w:color w:val="000000"/>
          <w:szCs w:val="21"/>
          <w:highlight w:val="none"/>
        </w:rPr>
      </w:pPr>
      <w:r>
        <w:rPr>
          <w:rFonts w:ascii="黑体" w:hAnsi="黑体" w:eastAsia="宋体" w:cs="黑体"/>
          <w:bCs/>
          <w:color w:val="000000"/>
          <w:szCs w:val="36"/>
          <w:highlight w:val="none"/>
          <w:u w:val="none"/>
          <w:lang w:bidi="ar"/>
        </w:rPr>
        <w:t xml:space="preserve">环境空气质量日报、</w:t>
      </w:r>
      <w:r>
        <w:rPr>
          <w:rFonts w:ascii="黑体" w:hAnsi="黑体" w:eastAsia="宋体" w:cs="黑体"/>
          <w:bCs/>
          <w:color w:val="000000"/>
          <w:szCs w:val="36"/>
          <w:highlight w:val="none"/>
          <w:lang w:bidi="ar"/>
        </w:rPr>
        <w:t xml:space="preserve">环境空气质量月报、环境空气质量专项分析报告</w:t>
      </w:r>
      <w:r>
        <w:rPr>
          <w:rFonts w:hint="eastAsia" w:ascii="宋体"/>
          <w:color w:val="000000"/>
          <w:szCs w:val="21"/>
          <w:highlight w:val="none"/>
        </w:rPr>
        <w:t xml:space="preserve">。</w:t>
      </w:r>
      <w:r>
        <w:rPr>
          <w:rFonts w:hint="eastAsia" w:ascii="宋体"/>
          <w:color w:val="000000"/>
          <w:szCs w:val="21"/>
          <w:highlight w:val="none"/>
        </w:rPr>
      </w:r>
      <w:r/>
    </w:p>
    <w:p>
      <w:pPr>
        <w:pStyle w:val="864"/>
        <w:numPr>
          <w:ilvl w:val="0"/>
          <w:numId w:val="8"/>
        </w:numPr>
        <w:spacing w:line="360" w:lineRule="auto"/>
        <w:rPr>
          <w:rFonts w:hint="eastAsia" w:ascii="宋体" w:hAnsi="Times New Roman" w:eastAsia="宋体" w:cs="Times New Roman"/>
          <w:szCs w:val="21"/>
          <w:highlight w:val="none"/>
        </w:rPr>
      </w:pPr>
      <w:r>
        <w:rPr>
          <w:rFonts w:hint="eastAsia" w:ascii="宋体" w:hAnsi="Times New Roman" w:eastAsia="宋体" w:cs="Times New Roman"/>
          <w:szCs w:val="21"/>
          <w:highlight w:val="none"/>
        </w:rPr>
        <w:t xml:space="preserve">昆山市2026年空气质量保障年度总结报告。</w:t>
      </w:r>
      <w:r>
        <w:rPr>
          <w:rFonts w:hint="eastAsia" w:ascii="宋体" w:hAnsi="Times New Roman" w:eastAsia="宋体" w:cs="Times New Roman"/>
          <w:szCs w:val="21"/>
          <w:highlight w:val="none"/>
        </w:rPr>
      </w:r>
      <w:r/>
    </w:p>
    <w:p>
      <w:pPr>
        <w:pStyle w:val="864"/>
        <w:numPr>
          <w:ilvl w:val="0"/>
          <w:numId w:val="8"/>
        </w:numPr>
        <w:spacing w:line="360" w:lineRule="auto"/>
        <w:rPr>
          <w:rFonts w:hint="eastAsia" w:ascii="宋体" w:hAnsi="Times New Roman" w:eastAsia="宋体" w:cs="Times New Roman"/>
          <w:szCs w:val="21"/>
          <w:highlight w:val="none"/>
        </w:rPr>
      </w:pPr>
      <w:r>
        <w:rPr>
          <w:rFonts w:hint="eastAsia" w:ascii="宋体" w:hAnsi="Times New Roman" w:eastAsia="宋体" w:cs="Times New Roman"/>
          <w:szCs w:val="21"/>
          <w:highlight w:val="none"/>
        </w:rPr>
        <w:t xml:space="preserve">重点行业及重点源项专项调研报告。</w:t>
      </w:r>
      <w:r>
        <w:rPr>
          <w:rFonts w:hint="eastAsia" w:ascii="宋体" w:hAnsi="Times New Roman" w:eastAsia="宋体" w:cs="Times New Roman"/>
          <w:szCs w:val="21"/>
          <w:highlight w:val="none"/>
        </w:rPr>
      </w:r>
      <w:r/>
    </w:p>
    <w:tbl>
      <w:tblPr>
        <w:tblW w:w="484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4"/>
        <w:gridCol w:w="1629"/>
        <w:gridCol w:w="4305"/>
        <w:gridCol w:w="2577"/>
      </w:tblGrid>
      <w:tr>
        <w:trPr/>
        <w:tc>
          <w:tcPr>
            <w:tcW w:w="269" w:type="dxa"/>
            <w:vAlign w:val="center"/>
            <w:textDirection w:val="lrTb"/>
            <w:noWrap w:val="false"/>
          </w:tcPr>
          <w:p>
            <w:pPr>
              <w:pStyle w:val="919"/>
              <w:rPr>
                <w:color w:val="000000"/>
                <w:highlight w:val="none"/>
              </w:rPr>
            </w:pPr>
            <w:r>
              <w:rPr>
                <w:color w:val="000000"/>
                <w:highlight w:val="none"/>
              </w:rPr>
              <w:t xml:space="preserve">序号</w:t>
            </w:r>
            <w:r>
              <w:rPr>
                <w:color w:val="000000"/>
                <w:highlight w:val="none"/>
              </w:rPr>
            </w:r>
            <w:r/>
          </w:p>
        </w:tc>
        <w:tc>
          <w:tcPr>
            <w:tcW w:w="905" w:type="dxa"/>
            <w:vAlign w:val="center"/>
            <w:textDirection w:val="lrTb"/>
            <w:noWrap w:val="false"/>
          </w:tcPr>
          <w:p>
            <w:pPr>
              <w:pStyle w:val="919"/>
              <w:rPr>
                <w:color w:val="000000"/>
                <w:highlight w:val="none"/>
              </w:rPr>
            </w:pPr>
            <w:r>
              <w:rPr>
                <w:color w:val="000000"/>
                <w:highlight w:val="none"/>
              </w:rPr>
              <w:t xml:space="preserve">项目</w:t>
            </w:r>
            <w:r>
              <w:rPr>
                <w:color w:val="000000"/>
                <w:highlight w:val="none"/>
              </w:rPr>
            </w:r>
            <w:r/>
          </w:p>
        </w:tc>
        <w:tc>
          <w:tcPr>
            <w:tcW w:w="2392" w:type="dxa"/>
            <w:vAlign w:val="center"/>
            <w:textDirection w:val="lrTb"/>
            <w:noWrap w:val="false"/>
          </w:tcPr>
          <w:p>
            <w:pPr>
              <w:pStyle w:val="919"/>
              <w:rPr>
                <w:color w:val="000000"/>
                <w:highlight w:val="none"/>
              </w:rPr>
            </w:pPr>
            <w:r>
              <w:rPr>
                <w:color w:val="000000"/>
                <w:highlight w:val="none"/>
              </w:rPr>
              <w:t xml:space="preserve">服务内容</w:t>
            </w:r>
            <w:r>
              <w:rPr>
                <w:color w:val="000000"/>
                <w:highlight w:val="none"/>
              </w:rPr>
            </w:r>
            <w:r/>
          </w:p>
        </w:tc>
        <w:tc>
          <w:tcPr>
            <w:tcW w:w="1432" w:type="dxa"/>
            <w:vAlign w:val="center"/>
            <w:textDirection w:val="lrTb"/>
            <w:noWrap w:val="false"/>
          </w:tcPr>
          <w:p>
            <w:pPr>
              <w:pStyle w:val="919"/>
              <w:rPr>
                <w:color w:val="000000"/>
                <w:highlight w:val="none"/>
              </w:rPr>
            </w:pPr>
            <w:r>
              <w:rPr>
                <w:color w:val="000000"/>
                <w:highlight w:val="none"/>
              </w:rPr>
              <w:t xml:space="preserve">数量</w:t>
            </w:r>
            <w:r>
              <w:rPr>
                <w:color w:val="000000"/>
                <w:highlight w:val="none"/>
              </w:rPr>
            </w:r>
            <w:r/>
          </w:p>
        </w:tc>
      </w:tr>
      <w:tr>
        <w:trPr/>
        <w:tc>
          <w:tcPr>
            <w:tcW w:w="269" w:type="dxa"/>
            <w:vAlign w:val="center"/>
            <w:textDirection w:val="lrTb"/>
            <w:noWrap w:val="false"/>
          </w:tcPr>
          <w:p>
            <w:pPr>
              <w:pStyle w:val="919"/>
              <w:rPr>
                <w:color w:val="000000"/>
                <w:highlight w:val="none"/>
              </w:rPr>
            </w:pPr>
            <w:r>
              <w:rPr>
                <w:color w:val="000000"/>
                <w:highlight w:val="none"/>
              </w:rPr>
              <w:t xml:space="preserve">1</w:t>
            </w:r>
            <w:r>
              <w:rPr>
                <w:color w:val="000000"/>
                <w:highlight w:val="none"/>
              </w:rPr>
            </w:r>
            <w:r/>
          </w:p>
        </w:tc>
        <w:tc>
          <w:tcPr>
            <w:tcW w:w="905" w:type="dxa"/>
            <w:vAlign w:val="center"/>
            <w:textDirection w:val="lrTb"/>
            <w:noWrap w:val="false"/>
          </w:tcPr>
          <w:p>
            <w:pPr>
              <w:pStyle w:val="919"/>
              <w:rPr>
                <w:color w:val="000000"/>
                <w:highlight w:val="none"/>
              </w:rPr>
            </w:pPr>
            <w:r>
              <w:rPr>
                <w:color w:val="000000"/>
                <w:highlight w:val="none"/>
              </w:rPr>
              <w:t xml:space="preserve">区域空气质量综合分析</w:t>
            </w:r>
            <w:r>
              <w:rPr>
                <w:color w:val="000000"/>
                <w:highlight w:val="none"/>
              </w:rPr>
            </w:r>
            <w:r/>
          </w:p>
        </w:tc>
        <w:tc>
          <w:tcPr>
            <w:tcW w:w="2392" w:type="dxa"/>
            <w:vAlign w:val="center"/>
            <w:textDirection w:val="lrTb"/>
            <w:noWrap w:val="false"/>
          </w:tcPr>
          <w:p>
            <w:pPr>
              <w:pStyle w:val="919"/>
              <w:rPr>
                <w:color w:val="000000"/>
                <w:highlight w:val="none"/>
              </w:rPr>
            </w:pPr>
            <w:r>
              <w:rPr>
                <w:color w:val="000000"/>
                <w:highlight w:val="none"/>
              </w:rPr>
              <w:t xml:space="preserve">结合相关数据，运用各类模型，开展区域空气质量综合分析，把握区域空气质量变化规律，为科学、精准治气提供理论指导。</w:t>
            </w:r>
            <w:r>
              <w:rPr>
                <w:color w:val="000000"/>
                <w:highlight w:val="none"/>
              </w:rPr>
            </w:r>
            <w:r/>
          </w:p>
        </w:tc>
        <w:tc>
          <w:tcPr>
            <w:tcW w:w="1432" w:type="dxa"/>
            <w:vAlign w:val="center"/>
            <w:textDirection w:val="lrTb"/>
            <w:noWrap w:val="false"/>
          </w:tcPr>
          <w:p>
            <w:pPr>
              <w:pStyle w:val="919"/>
              <w:rPr>
                <w:color w:val="000000"/>
                <w:highlight w:val="none"/>
              </w:rPr>
            </w:pPr>
            <w:r>
              <w:rPr>
                <w:color w:val="000000"/>
                <w:highlight w:val="none"/>
              </w:rPr>
              <w:t xml:space="preserve">1年（分析、预报、评估）</w:t>
            </w:r>
            <w:r>
              <w:rPr>
                <w:color w:val="000000"/>
                <w:highlight w:val="none"/>
              </w:rPr>
            </w:r>
            <w:r/>
          </w:p>
        </w:tc>
      </w:tr>
      <w:tr>
        <w:trPr/>
        <w:tc>
          <w:tcPr>
            <w:tcW w:w="269" w:type="dxa"/>
            <w:vAlign w:val="center"/>
            <w:vMerge w:val="restart"/>
            <w:textDirection w:val="lrTb"/>
            <w:noWrap w:val="false"/>
          </w:tcPr>
          <w:p>
            <w:pPr>
              <w:pStyle w:val="919"/>
              <w:rPr>
                <w:color w:val="000000"/>
                <w:highlight w:val="none"/>
              </w:rPr>
            </w:pPr>
            <w:r>
              <w:rPr>
                <w:color w:val="000000"/>
                <w:highlight w:val="none"/>
              </w:rPr>
              <w:t xml:space="preserve">2</w:t>
            </w:r>
            <w:r>
              <w:rPr>
                <w:color w:val="000000"/>
                <w:highlight w:val="none"/>
              </w:rPr>
            </w:r>
            <w:r/>
          </w:p>
        </w:tc>
        <w:tc>
          <w:tcPr>
            <w:tcW w:w="905" w:type="dxa"/>
            <w:vAlign w:val="center"/>
            <w:vMerge w:val="restart"/>
            <w:textDirection w:val="lrTb"/>
            <w:noWrap w:val="false"/>
          </w:tcPr>
          <w:p>
            <w:pPr>
              <w:pStyle w:val="919"/>
              <w:rPr>
                <w:color w:val="000000"/>
                <w:highlight w:val="none"/>
              </w:rPr>
            </w:pPr>
            <w:r>
              <w:rPr>
                <w:color w:val="000000"/>
                <w:highlight w:val="none"/>
              </w:rPr>
              <w:t xml:space="preserve">常规天气点位巡查、重污染天气应急管控服务</w:t>
            </w:r>
            <w:r>
              <w:rPr>
                <w:color w:val="000000"/>
                <w:highlight w:val="none"/>
              </w:rPr>
            </w:r>
            <w:r/>
          </w:p>
        </w:tc>
        <w:tc>
          <w:tcPr>
            <w:tcW w:w="2392" w:type="dxa"/>
            <w:vAlign w:val="center"/>
            <w:vMerge w:val="restart"/>
            <w:textDirection w:val="lrTb"/>
            <w:noWrap w:val="false"/>
          </w:tcPr>
          <w:p>
            <w:pPr>
              <w:pStyle w:val="919"/>
              <w:rPr>
                <w:color w:val="000000"/>
                <w:highlight w:val="none"/>
              </w:rPr>
            </w:pPr>
            <w:r>
              <w:rPr>
                <w:color w:val="000000"/>
                <w:highlight w:val="none"/>
              </w:rPr>
              <w:t xml:space="preserve">围绕重点大气监测点位，建立并动态更新污染分级管控清单，组织专业团队，协同乡镇（开发区），常规天气时开展日常巡查，站点数据异常突高情况开展站点微环境应急排查；重污染天气时，围绕江苏省、苏州市相关要求，依托管控清单全面开展应急管控工作。</w:t>
            </w:r>
            <w:r>
              <w:rPr>
                <w:color w:val="000000"/>
                <w:highlight w:val="none"/>
              </w:rPr>
            </w:r>
            <w:r/>
          </w:p>
        </w:tc>
        <w:tc>
          <w:tcPr>
            <w:tcW w:w="1432" w:type="dxa"/>
            <w:vAlign w:val="center"/>
            <w:textDirection w:val="lrTb"/>
            <w:noWrap w:val="false"/>
          </w:tcPr>
          <w:p>
            <w:pPr>
              <w:pStyle w:val="919"/>
              <w:rPr>
                <w:color w:val="000000"/>
                <w:highlight w:val="none"/>
              </w:rPr>
            </w:pPr>
            <w:r>
              <w:rPr>
                <w:rFonts w:ascii="宋体"/>
                <w:color w:val="000000"/>
                <w:szCs w:val="21"/>
                <w:highlight w:val="none"/>
              </w:rPr>
              <w:t xml:space="preserve">污染源清单及一张图、重污染分级管控清单</w:t>
            </w:r>
            <w:r>
              <w:rPr>
                <w:color w:val="000000"/>
                <w:highlight w:val="none"/>
              </w:rPr>
            </w:r>
            <w:r/>
          </w:p>
        </w:tc>
      </w:tr>
      <w:tr>
        <w:trPr/>
        <w:tc>
          <w:tcPr>
            <w:tcW w:w="269" w:type="dxa"/>
            <w:vAlign w:val="center"/>
            <w:vMerge w:val="continue"/>
            <w:textDirection w:val="lrTb"/>
            <w:noWrap w:val="false"/>
          </w:tcPr>
          <w:p>
            <w:pPr>
              <w:pStyle w:val="919"/>
              <w:rPr>
                <w:color w:val="000000"/>
                <w:highlight w:val="none"/>
              </w:rPr>
            </w:pPr>
            <w:r>
              <w:rPr>
                <w:color w:val="000000"/>
                <w:highlight w:val="none"/>
              </w:rPr>
            </w:r>
            <w:r/>
          </w:p>
        </w:tc>
        <w:tc>
          <w:tcPr>
            <w:tcW w:w="905" w:type="dxa"/>
            <w:vAlign w:val="center"/>
            <w:vMerge w:val="continue"/>
            <w:textDirection w:val="lrTb"/>
            <w:noWrap w:val="false"/>
          </w:tcPr>
          <w:p>
            <w:pPr>
              <w:pStyle w:val="919"/>
              <w:rPr>
                <w:color w:val="000000"/>
                <w:highlight w:val="none"/>
              </w:rPr>
            </w:pPr>
            <w:r>
              <w:rPr>
                <w:color w:val="000000"/>
                <w:highlight w:val="none"/>
              </w:rPr>
            </w:r>
            <w:r/>
          </w:p>
        </w:tc>
        <w:tc>
          <w:tcPr>
            <w:tcW w:w="2392" w:type="dxa"/>
            <w:vAlign w:val="center"/>
            <w:vMerge w:val="continue"/>
            <w:textDirection w:val="lrTb"/>
            <w:noWrap w:val="false"/>
          </w:tcPr>
          <w:p>
            <w:pPr>
              <w:pStyle w:val="919"/>
              <w:rPr>
                <w:color w:val="000000"/>
                <w:highlight w:val="none"/>
              </w:rPr>
            </w:pPr>
            <w:r>
              <w:rPr>
                <w:color w:val="000000"/>
                <w:highlight w:val="none"/>
              </w:rPr>
            </w:r>
            <w:r/>
          </w:p>
        </w:tc>
        <w:tc>
          <w:tcPr>
            <w:tcW w:w="1432" w:type="dxa"/>
            <w:vAlign w:val="center"/>
            <w:textDirection w:val="lrTb"/>
            <w:noWrap w:val="false"/>
          </w:tcPr>
          <w:p>
            <w:pPr>
              <w:pStyle w:val="919"/>
              <w:rPr>
                <w:color w:val="000000"/>
                <w:highlight w:val="none"/>
              </w:rPr>
            </w:pPr>
            <w:r>
              <w:rPr>
                <w:color w:val="000000"/>
                <w:highlight w:val="none"/>
              </w:rPr>
              <w:t xml:space="preserve">服务1年（常规天异常排查及月报编制、重污染天管控落实抽查及报告编制）、含现场排查人员</w:t>
            </w:r>
            <w:r>
              <w:rPr>
                <w:color w:val="000000"/>
                <w:highlight w:val="none"/>
              </w:rPr>
            </w:r>
            <w:r/>
          </w:p>
        </w:tc>
      </w:tr>
      <w:tr>
        <w:trPr/>
        <w:tc>
          <w:tcPr>
            <w:tcW w:w="269" w:type="dxa"/>
            <w:vAlign w:val="center"/>
            <w:vMerge w:val="restart"/>
            <w:textDirection w:val="lrTb"/>
            <w:noWrap w:val="false"/>
          </w:tcPr>
          <w:p>
            <w:pPr>
              <w:pStyle w:val="919"/>
              <w:rPr>
                <w:color w:val="000000"/>
                <w:highlight w:val="none"/>
              </w:rPr>
            </w:pPr>
            <w:r>
              <w:rPr>
                <w:color w:val="000000"/>
                <w:highlight w:val="none"/>
              </w:rPr>
              <w:t xml:space="preserve">3</w:t>
            </w:r>
            <w:r>
              <w:rPr>
                <w:color w:val="000000"/>
                <w:highlight w:val="none"/>
              </w:rPr>
            </w:r>
            <w:r/>
          </w:p>
        </w:tc>
        <w:tc>
          <w:tcPr>
            <w:tcW w:w="905" w:type="dxa"/>
            <w:vAlign w:val="center"/>
            <w:vMerge w:val="restart"/>
            <w:textDirection w:val="lrTb"/>
            <w:noWrap w:val="false"/>
          </w:tcPr>
          <w:p>
            <w:pPr>
              <w:pStyle w:val="919"/>
              <w:rPr>
                <w:color w:val="000000"/>
                <w:highlight w:val="none"/>
              </w:rPr>
            </w:pPr>
            <w:r>
              <w:rPr>
                <w:color w:val="000000"/>
                <w:highlight w:val="none"/>
              </w:rPr>
              <w:t xml:space="preserve">整合各类监测数据，开展溯源及专项分析</w:t>
            </w:r>
            <w:r>
              <w:rPr>
                <w:color w:val="000000"/>
                <w:highlight w:val="none"/>
              </w:rPr>
            </w:r>
            <w:r/>
          </w:p>
        </w:tc>
        <w:tc>
          <w:tcPr>
            <w:tcW w:w="2392" w:type="dxa"/>
            <w:vAlign w:val="center"/>
            <w:vMerge w:val="restart"/>
            <w:textDirection w:val="lrTb"/>
            <w:noWrap w:val="false"/>
          </w:tcPr>
          <w:p>
            <w:pPr>
              <w:pStyle w:val="919"/>
              <w:rPr>
                <w:color w:val="000000"/>
                <w:highlight w:val="none"/>
              </w:rPr>
            </w:pPr>
            <w:r>
              <w:rPr>
                <w:color w:val="000000"/>
                <w:highlight w:val="none"/>
              </w:rPr>
              <w:t xml:space="preserve">依托搭载监测设备的无人机飞航、走航车、道路积尘走航等监测数据，结合各类大气监测站点监测数据，结合常规天气站点数值突高情景、重污染天气期间开展源项溯源及开展专项分析。</w:t>
            </w:r>
            <w:r>
              <w:rPr>
                <w:color w:val="000000"/>
                <w:highlight w:val="none"/>
              </w:rPr>
            </w:r>
            <w:r/>
          </w:p>
        </w:tc>
        <w:tc>
          <w:tcPr>
            <w:tcW w:w="1432" w:type="dxa"/>
            <w:vAlign w:val="center"/>
            <w:textDirection w:val="lrTb"/>
            <w:noWrap w:val="false"/>
          </w:tcPr>
          <w:p>
            <w:pPr>
              <w:pStyle w:val="919"/>
              <w:rPr>
                <w:color w:val="000000"/>
                <w:highlight w:val="none"/>
              </w:rPr>
            </w:pPr>
            <w:r>
              <w:rPr>
                <w:rFonts w:ascii="宋体"/>
                <w:color w:val="000000"/>
                <w:szCs w:val="21"/>
                <w:highlight w:val="none"/>
              </w:rPr>
              <w:t xml:space="preserve">常规走航报告60份</w:t>
            </w:r>
            <w:r>
              <w:rPr>
                <w:color w:val="000000"/>
                <w:highlight w:val="none"/>
              </w:rPr>
            </w:r>
            <w:r/>
          </w:p>
        </w:tc>
      </w:tr>
      <w:tr>
        <w:trPr/>
        <w:tc>
          <w:tcPr>
            <w:tcW w:w="269" w:type="dxa"/>
            <w:vAlign w:val="center"/>
            <w:vMerge w:val="continue"/>
            <w:textDirection w:val="lrTb"/>
            <w:noWrap w:val="false"/>
          </w:tcPr>
          <w:p>
            <w:pPr>
              <w:pStyle w:val="919"/>
              <w:rPr>
                <w:color w:val="000000"/>
                <w:highlight w:val="none"/>
              </w:rPr>
            </w:pPr>
            <w:r>
              <w:rPr>
                <w:color w:val="000000"/>
                <w:highlight w:val="none"/>
              </w:rPr>
            </w:r>
            <w:r/>
          </w:p>
        </w:tc>
        <w:tc>
          <w:tcPr>
            <w:tcW w:w="905" w:type="dxa"/>
            <w:vAlign w:val="center"/>
            <w:vMerge w:val="continue"/>
            <w:textDirection w:val="lrTb"/>
            <w:noWrap w:val="false"/>
          </w:tcPr>
          <w:p>
            <w:pPr>
              <w:pStyle w:val="919"/>
              <w:rPr>
                <w:color w:val="000000"/>
                <w:highlight w:val="none"/>
              </w:rPr>
            </w:pPr>
            <w:r>
              <w:rPr>
                <w:color w:val="000000"/>
                <w:highlight w:val="none"/>
              </w:rPr>
            </w:r>
            <w:r/>
          </w:p>
        </w:tc>
        <w:tc>
          <w:tcPr>
            <w:tcW w:w="2392" w:type="dxa"/>
            <w:vAlign w:val="center"/>
            <w:vMerge w:val="continue"/>
            <w:textDirection w:val="lrTb"/>
            <w:noWrap w:val="false"/>
          </w:tcPr>
          <w:p>
            <w:pPr>
              <w:pStyle w:val="919"/>
              <w:rPr>
                <w:color w:val="000000"/>
                <w:highlight w:val="none"/>
              </w:rPr>
            </w:pPr>
            <w:r>
              <w:rPr>
                <w:color w:val="000000"/>
                <w:highlight w:val="none"/>
              </w:rPr>
            </w:r>
            <w:r/>
          </w:p>
        </w:tc>
        <w:tc>
          <w:tcPr>
            <w:tcW w:w="1432" w:type="dxa"/>
            <w:vAlign w:val="center"/>
            <w:textDirection w:val="lrTb"/>
            <w:noWrap w:val="false"/>
          </w:tcPr>
          <w:p>
            <w:pPr>
              <w:pStyle w:val="919"/>
              <w:rPr>
                <w:color w:val="000000"/>
                <w:highlight w:val="none"/>
              </w:rPr>
            </w:pPr>
            <w:r>
              <w:rPr>
                <w:rFonts w:ascii="宋体"/>
                <w:color w:val="000000"/>
                <w:szCs w:val="21"/>
                <w:highlight w:val="none"/>
              </w:rPr>
              <w:t xml:space="preserve">道路积尘走航报告12份</w:t>
            </w:r>
            <w:r>
              <w:rPr>
                <w:color w:val="000000"/>
                <w:highlight w:val="none"/>
              </w:rPr>
            </w:r>
            <w:r/>
          </w:p>
        </w:tc>
      </w:tr>
      <w:tr>
        <w:trPr/>
        <w:tc>
          <w:tcPr>
            <w:tcW w:w="269" w:type="dxa"/>
            <w:vAlign w:val="center"/>
            <w:vMerge w:val="continue"/>
            <w:textDirection w:val="lrTb"/>
            <w:noWrap w:val="false"/>
          </w:tcPr>
          <w:p>
            <w:pPr>
              <w:pStyle w:val="919"/>
              <w:rPr>
                <w:color w:val="000000"/>
                <w:highlight w:val="none"/>
              </w:rPr>
            </w:pPr>
            <w:r>
              <w:rPr>
                <w:color w:val="000000"/>
                <w:highlight w:val="none"/>
              </w:rPr>
            </w:r>
            <w:r/>
          </w:p>
        </w:tc>
        <w:tc>
          <w:tcPr>
            <w:tcW w:w="905" w:type="dxa"/>
            <w:vAlign w:val="center"/>
            <w:vMerge w:val="continue"/>
            <w:textDirection w:val="lrTb"/>
            <w:noWrap w:val="false"/>
          </w:tcPr>
          <w:p>
            <w:pPr>
              <w:pStyle w:val="919"/>
              <w:rPr>
                <w:color w:val="000000"/>
                <w:highlight w:val="none"/>
              </w:rPr>
            </w:pPr>
            <w:r>
              <w:rPr>
                <w:color w:val="000000"/>
                <w:highlight w:val="none"/>
              </w:rPr>
            </w:r>
            <w:r/>
          </w:p>
        </w:tc>
        <w:tc>
          <w:tcPr>
            <w:tcW w:w="2392" w:type="dxa"/>
            <w:vAlign w:val="center"/>
            <w:vMerge w:val="continue"/>
            <w:textDirection w:val="lrTb"/>
            <w:noWrap w:val="false"/>
          </w:tcPr>
          <w:p>
            <w:pPr>
              <w:pStyle w:val="919"/>
              <w:rPr>
                <w:color w:val="000000"/>
                <w:highlight w:val="none"/>
              </w:rPr>
            </w:pPr>
            <w:r>
              <w:rPr>
                <w:color w:val="000000"/>
                <w:highlight w:val="none"/>
              </w:rPr>
            </w:r>
            <w:r/>
          </w:p>
        </w:tc>
        <w:tc>
          <w:tcPr>
            <w:tcW w:w="1432" w:type="dxa"/>
            <w:vAlign w:val="center"/>
            <w:textDirection w:val="lrTb"/>
            <w:noWrap w:val="false"/>
          </w:tcPr>
          <w:p>
            <w:pPr>
              <w:pStyle w:val="919"/>
              <w:rPr>
                <w:color w:val="000000"/>
                <w:highlight w:val="none"/>
              </w:rPr>
            </w:pPr>
            <w:r>
              <w:rPr>
                <w:rFonts w:ascii="宋体"/>
                <w:color w:val="000000"/>
                <w:szCs w:val="21"/>
                <w:highlight w:val="none"/>
              </w:rPr>
              <w:t xml:space="preserve">无人机飞航报告15份</w:t>
            </w:r>
            <w:r>
              <w:rPr>
                <w:color w:val="000000"/>
                <w:highlight w:val="none"/>
              </w:rPr>
            </w:r>
            <w:r/>
          </w:p>
        </w:tc>
      </w:tr>
      <w:tr>
        <w:trPr/>
        <w:tc>
          <w:tcPr>
            <w:tcW w:w="269" w:type="dxa"/>
            <w:vAlign w:val="center"/>
            <w:vMerge w:val="continue"/>
            <w:textDirection w:val="lrTb"/>
            <w:noWrap w:val="false"/>
          </w:tcPr>
          <w:p>
            <w:pPr>
              <w:pStyle w:val="919"/>
              <w:rPr>
                <w:color w:val="000000"/>
                <w:highlight w:val="none"/>
              </w:rPr>
            </w:pPr>
            <w:r>
              <w:rPr>
                <w:color w:val="000000"/>
                <w:highlight w:val="none"/>
              </w:rPr>
            </w:r>
            <w:r/>
          </w:p>
        </w:tc>
        <w:tc>
          <w:tcPr>
            <w:tcW w:w="905" w:type="dxa"/>
            <w:vAlign w:val="center"/>
            <w:vMerge w:val="continue"/>
            <w:textDirection w:val="lrTb"/>
            <w:noWrap w:val="false"/>
          </w:tcPr>
          <w:p>
            <w:pPr>
              <w:pStyle w:val="919"/>
              <w:rPr>
                <w:color w:val="000000"/>
                <w:highlight w:val="none"/>
              </w:rPr>
            </w:pPr>
            <w:r>
              <w:rPr>
                <w:color w:val="000000"/>
                <w:highlight w:val="none"/>
              </w:rPr>
            </w:r>
            <w:r/>
          </w:p>
        </w:tc>
        <w:tc>
          <w:tcPr>
            <w:tcW w:w="2392" w:type="dxa"/>
            <w:vAlign w:val="center"/>
            <w:vMerge w:val="continue"/>
            <w:textDirection w:val="lrTb"/>
            <w:noWrap w:val="false"/>
          </w:tcPr>
          <w:p>
            <w:pPr>
              <w:pStyle w:val="919"/>
              <w:rPr>
                <w:color w:val="000000"/>
                <w:highlight w:val="none"/>
              </w:rPr>
            </w:pPr>
            <w:r>
              <w:rPr>
                <w:color w:val="000000"/>
                <w:highlight w:val="none"/>
              </w:rPr>
            </w:r>
            <w:r/>
          </w:p>
        </w:tc>
        <w:tc>
          <w:tcPr>
            <w:tcW w:w="1432" w:type="dxa"/>
            <w:vAlign w:val="center"/>
            <w:textDirection w:val="lrTb"/>
            <w:noWrap w:val="false"/>
          </w:tcPr>
          <w:p>
            <w:pPr>
              <w:pStyle w:val="919"/>
              <w:rPr>
                <w:color w:val="000000"/>
                <w:highlight w:val="none"/>
              </w:rPr>
            </w:pPr>
            <w:r>
              <w:rPr>
                <w:color w:val="000000"/>
                <w:highlight w:val="none"/>
              </w:rPr>
              <w:t xml:space="preserve">溯源及专项分析报告6份</w:t>
            </w:r>
            <w:r>
              <w:rPr>
                <w:color w:val="000000"/>
                <w:highlight w:val="none"/>
              </w:rPr>
            </w:r>
            <w:r/>
          </w:p>
        </w:tc>
      </w:tr>
      <w:tr>
        <w:trPr/>
        <w:tc>
          <w:tcPr>
            <w:tcW w:w="269" w:type="dxa"/>
            <w:vAlign w:val="center"/>
            <w:textDirection w:val="lrTb"/>
            <w:noWrap w:val="false"/>
          </w:tcPr>
          <w:p>
            <w:pPr>
              <w:pStyle w:val="919"/>
              <w:rPr>
                <w:color w:val="000000"/>
                <w:highlight w:val="none"/>
              </w:rPr>
            </w:pPr>
            <w:r>
              <w:rPr>
                <w:color w:val="000000"/>
                <w:highlight w:val="none"/>
              </w:rPr>
              <w:t xml:space="preserve">4</w:t>
            </w:r>
            <w:r>
              <w:rPr>
                <w:color w:val="000000"/>
                <w:highlight w:val="none"/>
              </w:rPr>
            </w:r>
            <w:r/>
          </w:p>
        </w:tc>
        <w:tc>
          <w:tcPr>
            <w:tcW w:w="905" w:type="dxa"/>
            <w:vAlign w:val="center"/>
            <w:textDirection w:val="lrTb"/>
            <w:noWrap w:val="false"/>
          </w:tcPr>
          <w:p>
            <w:pPr>
              <w:pStyle w:val="919"/>
              <w:rPr>
                <w:color w:val="000000"/>
                <w:highlight w:val="none"/>
              </w:rPr>
            </w:pPr>
            <w:r>
              <w:rPr>
                <w:color w:val="000000"/>
                <w:highlight w:val="none"/>
              </w:rPr>
              <w:t xml:space="preserve">协助优化区域空气质量保障体系，开展重点行业及重点源项专项调研</w:t>
            </w:r>
            <w:r>
              <w:rPr>
                <w:color w:val="000000"/>
                <w:highlight w:val="none"/>
              </w:rPr>
            </w:r>
            <w:r/>
          </w:p>
        </w:tc>
        <w:tc>
          <w:tcPr>
            <w:tcW w:w="2392" w:type="dxa"/>
            <w:vAlign w:val="center"/>
            <w:textDirection w:val="lrTb"/>
            <w:noWrap w:val="false"/>
          </w:tcPr>
          <w:p>
            <w:pPr>
              <w:pStyle w:val="919"/>
              <w:rPr>
                <w:color w:val="000000"/>
                <w:highlight w:val="none"/>
              </w:rPr>
            </w:pPr>
            <w:r>
              <w:rPr>
                <w:color w:val="000000"/>
                <w:highlight w:val="none"/>
              </w:rPr>
              <w:t xml:space="preserve">配合管理部门，协助优化空气质量保障体系，协同乡镇（开发区）系统联动，定期开展空气质量会商及智慧调度；结合本地化清单，定向开展重点行业及重点源项专项调研，帮扶指导重点行业及重点源精细化提升。</w:t>
            </w:r>
            <w:r>
              <w:rPr>
                <w:color w:val="000000"/>
                <w:highlight w:val="none"/>
              </w:rPr>
            </w:r>
            <w:r/>
          </w:p>
        </w:tc>
        <w:tc>
          <w:tcPr>
            <w:tcW w:w="1432" w:type="dxa"/>
            <w:vAlign w:val="center"/>
            <w:textDirection w:val="lrTb"/>
            <w:noWrap w:val="false"/>
          </w:tcPr>
          <w:p>
            <w:pPr>
              <w:pStyle w:val="919"/>
              <w:rPr>
                <w:color w:val="000000"/>
                <w:highlight w:val="none"/>
              </w:rPr>
            </w:pPr>
            <w:r>
              <w:rPr>
                <w:color w:val="000000"/>
                <w:highlight w:val="none"/>
              </w:rPr>
              <w:t xml:space="preserve">1年</w:t>
            </w:r>
            <w:r>
              <w:rPr>
                <w:color w:val="000000"/>
                <w:highlight w:val="none"/>
              </w:rPr>
            </w:r>
            <w:r/>
          </w:p>
        </w:tc>
      </w:tr>
      <w:tr>
        <w:trPr/>
        <w:tc>
          <w:tcPr>
            <w:tcW w:w="269" w:type="dxa"/>
            <w:vAlign w:val="center"/>
            <w:textDirection w:val="lrTb"/>
            <w:noWrap w:val="false"/>
          </w:tcPr>
          <w:p>
            <w:pPr>
              <w:pStyle w:val="919"/>
              <w:rPr>
                <w:color w:val="000000"/>
                <w:highlight w:val="none"/>
              </w:rPr>
            </w:pPr>
            <w:r>
              <w:rPr>
                <w:color w:val="000000"/>
                <w:highlight w:val="none"/>
              </w:rPr>
              <w:t xml:space="preserve">5</w:t>
            </w:r>
            <w:r>
              <w:rPr>
                <w:color w:val="000000"/>
                <w:highlight w:val="none"/>
              </w:rPr>
            </w:r>
            <w:r/>
          </w:p>
        </w:tc>
        <w:tc>
          <w:tcPr>
            <w:tcW w:w="905" w:type="dxa"/>
            <w:vAlign w:val="center"/>
            <w:textDirection w:val="lrTb"/>
            <w:noWrap w:val="false"/>
          </w:tcPr>
          <w:p>
            <w:pPr>
              <w:pStyle w:val="919"/>
              <w:rPr>
                <w:rFonts w:hint="eastAsia" w:eastAsia="宋体"/>
                <w:color w:val="000000"/>
                <w:highlight w:val="none"/>
                <w:lang w:val="en-US" w:eastAsia="zh-CN"/>
              </w:rPr>
            </w:pPr>
            <w:r>
              <w:rPr>
                <w:rFonts w:hint="eastAsia"/>
                <w:color w:val="000000"/>
                <w:highlight w:val="none"/>
                <w:lang w:val="en-US" w:eastAsia="zh-CN"/>
              </w:rPr>
              <w:t xml:space="preserve">2名技术人员</w:t>
            </w:r>
            <w:r>
              <w:rPr>
                <w:rFonts w:hint="eastAsia" w:eastAsia="宋体"/>
                <w:color w:val="000000"/>
                <w:highlight w:val="none"/>
                <w:lang w:val="en-US" w:eastAsia="zh-CN"/>
              </w:rPr>
            </w:r>
            <w:r/>
          </w:p>
        </w:tc>
        <w:tc>
          <w:tcPr>
            <w:tcW w:w="2392" w:type="dxa"/>
            <w:vAlign w:val="center"/>
            <w:textDirection w:val="lrTb"/>
            <w:noWrap w:val="false"/>
          </w:tcPr>
          <w:p>
            <w:pPr>
              <w:pStyle w:val="919"/>
              <w:rPr>
                <w:rFonts w:eastAsia="宋体"/>
                <w:color w:val="000000"/>
                <w:highlight w:val="none"/>
                <w:lang w:val="en-US" w:eastAsia="zh-CN"/>
              </w:rPr>
            </w:pPr>
            <w:r>
              <w:rPr>
                <w:rFonts w:ascii="宋体"/>
                <w:color w:val="000000"/>
                <w:szCs w:val="21"/>
                <w:highlight w:val="none"/>
              </w:rPr>
              <w:t xml:space="preserve">提供</w:t>
            </w:r>
            <w:r>
              <w:rPr>
                <w:rFonts w:hint="eastAsia" w:ascii="宋体"/>
                <w:color w:val="000000"/>
                <w:szCs w:val="21"/>
                <w:highlight w:val="none"/>
                <w:lang w:eastAsia="zh-CN"/>
              </w:rPr>
              <w:t xml:space="preserve">现场巡查、技术指导等专业</w:t>
            </w:r>
            <w:r>
              <w:rPr>
                <w:rFonts w:ascii="宋体"/>
                <w:color w:val="000000"/>
                <w:szCs w:val="21"/>
                <w:highlight w:val="none"/>
              </w:rPr>
              <w:t xml:space="preserve">服务</w:t>
            </w:r>
            <w:r>
              <w:rPr>
                <w:rFonts w:hint="eastAsia" w:ascii="宋体"/>
                <w:color w:val="000000"/>
                <w:szCs w:val="21"/>
                <w:highlight w:val="none"/>
                <w:lang w:eastAsia="zh-CN"/>
              </w:rPr>
              <w:t xml:space="preserve">，与甲方对接，及时响应</w:t>
            </w:r>
            <w:r>
              <w:rPr>
                <w:rFonts w:eastAsia="宋体"/>
                <w:color w:val="000000"/>
                <w:highlight w:val="none"/>
                <w:lang w:val="en-US" w:eastAsia="zh-CN"/>
              </w:rPr>
            </w:r>
            <w:r/>
          </w:p>
        </w:tc>
        <w:tc>
          <w:tcPr>
            <w:tcW w:w="1432" w:type="dxa"/>
            <w:vAlign w:val="center"/>
            <w:textDirection w:val="lrTb"/>
            <w:noWrap w:val="false"/>
          </w:tcPr>
          <w:p>
            <w:pPr>
              <w:pStyle w:val="919"/>
              <w:rPr>
                <w:color w:val="000000"/>
                <w:highlight w:val="none"/>
              </w:rPr>
            </w:pPr>
            <w:r>
              <w:rPr>
                <w:color w:val="000000"/>
                <w:highlight w:val="none"/>
              </w:rPr>
              <w:t xml:space="preserve">1年</w:t>
            </w:r>
            <w:r>
              <w:rPr>
                <w:color w:val="000000"/>
                <w:highlight w:val="none"/>
              </w:rPr>
            </w:r>
            <w:r/>
          </w:p>
        </w:tc>
      </w:tr>
    </w:tbl>
    <w:p>
      <w:pPr>
        <w:pStyle w:val="864"/>
        <w:ind w:firstLine="420"/>
        <w:spacing w:line="360" w:lineRule="auto"/>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r>
      <w:r/>
    </w:p>
    <w:p>
      <w:pPr>
        <w:pStyle w:val="864"/>
        <w:ind w:firstLine="422"/>
        <w:spacing w:line="360" w:lineRule="auto"/>
        <w:rPr>
          <w:rFonts w:hint="eastAsia" w:ascii="宋体" w:hAnsi="宋体"/>
          <w:b/>
          <w:bCs/>
          <w:color w:val="000000"/>
          <w:sz w:val="21"/>
          <w:szCs w:val="21"/>
          <w:highlight w:val="none"/>
        </w:rPr>
      </w:pPr>
      <w:r>
        <w:rPr>
          <w:rFonts w:hint="eastAsia" w:ascii="宋体" w:hAnsi="宋体"/>
          <w:b/>
          <w:bCs/>
          <w:color w:val="000000"/>
          <w:sz w:val="21"/>
          <w:szCs w:val="21"/>
          <w:highlight w:val="none"/>
          <w:lang w:val="zh-CN"/>
        </w:rPr>
        <w:t xml:space="preserve">下列文件为本合同不可分割部分：</w:t>
      </w:r>
      <w:r>
        <w:rPr>
          <w:rFonts w:hint="eastAsia" w:ascii="宋体" w:hAnsi="宋体"/>
          <w:b/>
          <w:bCs/>
          <w:color w:val="000000"/>
          <w:sz w:val="21"/>
          <w:szCs w:val="21"/>
          <w:highlight w:val="none"/>
        </w:rPr>
      </w:r>
      <w:r/>
    </w:p>
    <w:p>
      <w:pPr>
        <w:pStyle w:val="864"/>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A</w:t>
      </w:r>
      <w:r>
        <w:rPr>
          <w:rFonts w:hint="eastAsia" w:ascii="宋体" w:hAnsi="宋体"/>
          <w:color w:val="000000"/>
          <w:sz w:val="21"/>
          <w:szCs w:val="21"/>
          <w:highlight w:val="none"/>
        </w:rPr>
        <w:t xml:space="preserve">.招标</w:t>
      </w:r>
      <w:r>
        <w:rPr>
          <w:rFonts w:hint="eastAsia" w:ascii="宋体" w:hAnsi="宋体"/>
          <w:color w:val="000000"/>
          <w:sz w:val="21"/>
          <w:szCs w:val="21"/>
          <w:highlight w:val="none"/>
          <w:lang w:val="zh-CN"/>
        </w:rPr>
        <w:t xml:space="preserve">文件；</w:t>
      </w:r>
      <w:r>
        <w:rPr>
          <w:rFonts w:hint="eastAsia" w:ascii="宋体" w:hAnsi="宋体"/>
          <w:color w:val="000000"/>
          <w:sz w:val="21"/>
          <w:szCs w:val="21"/>
          <w:highlight w:val="none"/>
        </w:rPr>
      </w:r>
      <w:r/>
    </w:p>
    <w:p>
      <w:pPr>
        <w:pStyle w:val="864"/>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B</w:t>
      </w:r>
      <w:r>
        <w:rPr>
          <w:rFonts w:hint="eastAsia" w:ascii="宋体" w:hAnsi="宋体"/>
          <w:color w:val="000000"/>
          <w:sz w:val="21"/>
          <w:szCs w:val="21"/>
          <w:highlight w:val="none"/>
        </w:rPr>
        <w:t xml:space="preserve">.投标文件及其附件（含投标人在评标期间递交和确认并经招标人同意的对有关问题的补充资料和澄清文件等）</w:t>
      </w:r>
      <w:r>
        <w:rPr>
          <w:rFonts w:hint="eastAsia" w:ascii="宋体" w:hAnsi="宋体"/>
          <w:color w:val="000000"/>
          <w:sz w:val="21"/>
          <w:szCs w:val="21"/>
          <w:highlight w:val="none"/>
          <w:lang w:val="zh-CN"/>
        </w:rPr>
        <w:t xml:space="preserve">；</w:t>
      </w:r>
      <w:r>
        <w:rPr>
          <w:rFonts w:hint="eastAsia" w:ascii="宋体" w:hAnsi="宋体"/>
          <w:color w:val="000000"/>
          <w:sz w:val="21"/>
          <w:szCs w:val="21"/>
          <w:highlight w:val="none"/>
        </w:rPr>
      </w:r>
      <w:r/>
    </w:p>
    <w:p>
      <w:pPr>
        <w:pStyle w:val="864"/>
        <w:ind w:firstLine="420"/>
        <w:spacing w:line="360" w:lineRule="auto"/>
        <w:rPr>
          <w:rFonts w:hint="eastAsia" w:ascii="宋体" w:hAnsi="宋体"/>
          <w:color w:val="000000"/>
          <w:sz w:val="21"/>
          <w:szCs w:val="21"/>
          <w:highlight w:val="none"/>
          <w:lang w:val="zh-CN"/>
        </w:rPr>
      </w:pPr>
      <w:r>
        <w:rPr>
          <w:rFonts w:hint="eastAsia" w:ascii="宋体" w:hAnsi="宋体"/>
          <w:color w:val="000000"/>
          <w:sz w:val="21"/>
          <w:szCs w:val="21"/>
          <w:highlight w:val="none"/>
          <w:lang w:val="en-US" w:eastAsia="zh-CN"/>
        </w:rPr>
        <w:t xml:space="preserve">C</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zh-CN"/>
        </w:rPr>
        <w:t xml:space="preserve">成交通知书；</w:t>
      </w:r>
      <w:r>
        <w:rPr>
          <w:rFonts w:hint="eastAsia" w:ascii="宋体" w:hAnsi="宋体"/>
          <w:color w:val="000000"/>
          <w:sz w:val="21"/>
          <w:szCs w:val="21"/>
          <w:highlight w:val="none"/>
          <w:lang w:val="zh-CN"/>
        </w:rPr>
      </w:r>
      <w:r/>
    </w:p>
    <w:p>
      <w:pPr>
        <w:pStyle w:val="864"/>
        <w:ind w:firstLine="420"/>
        <w:spacing w:line="360" w:lineRule="auto"/>
        <w:rPr>
          <w:rFonts w:hint="eastAsia" w:ascii="宋体" w:hAnsi="宋体"/>
          <w:color w:val="000000"/>
          <w:sz w:val="21"/>
          <w:szCs w:val="21"/>
          <w:highlight w:val="none"/>
          <w:lang w:val="zh-CN"/>
        </w:rPr>
      </w:pPr>
      <w:r>
        <w:rPr>
          <w:rFonts w:hint="eastAsia" w:ascii="宋体" w:hAnsi="宋体"/>
          <w:color w:val="000000"/>
          <w:sz w:val="21"/>
          <w:szCs w:val="21"/>
          <w:highlight w:val="none"/>
          <w:lang w:val="en-US" w:eastAsia="zh-CN"/>
        </w:rPr>
        <w:t xml:space="preserve">D</w:t>
      </w:r>
      <w:r>
        <w:rPr>
          <w:rFonts w:hint="eastAsia" w:ascii="宋体" w:hAnsi="宋体"/>
          <w:color w:val="000000"/>
          <w:sz w:val="21"/>
          <w:szCs w:val="21"/>
          <w:highlight w:val="none"/>
        </w:rPr>
        <w:t xml:space="preserve">.本合同书及</w:t>
      </w:r>
      <w:r>
        <w:rPr>
          <w:rFonts w:hint="eastAsia" w:ascii="宋体" w:hAnsi="宋体"/>
          <w:color w:val="000000"/>
          <w:sz w:val="21"/>
          <w:szCs w:val="21"/>
          <w:highlight w:val="none"/>
          <w:lang w:val="zh-CN"/>
        </w:rPr>
        <w:t xml:space="preserve">合同附件（如有）。</w:t>
      </w:r>
      <w:r>
        <w:rPr>
          <w:rFonts w:hint="eastAsia" w:ascii="宋体" w:hAnsi="宋体"/>
          <w:color w:val="000000"/>
          <w:sz w:val="21"/>
          <w:szCs w:val="21"/>
          <w:highlight w:val="none"/>
          <w:lang w:val="zh-CN"/>
        </w:rPr>
      </w:r>
      <w:r/>
    </w:p>
    <w:p>
      <w:pPr>
        <w:pStyle w:val="864"/>
        <w:ind w:firstLine="480"/>
        <w:spacing w:line="360" w:lineRule="auto"/>
        <w:rPr>
          <w:rFonts w:ascii="宋体" w:hAnsi="宋体"/>
          <w:color w:val="000000"/>
          <w:sz w:val="21"/>
          <w:szCs w:val="21"/>
          <w:highlight w:val="none"/>
        </w:rPr>
      </w:pPr>
      <w:r>
        <w:rPr>
          <w:rFonts w:hint="eastAsia" w:ascii="宋体" w:hAnsi="宋体"/>
          <w:b/>
          <w:bCs/>
          <w:color w:val="000000"/>
          <w:sz w:val="21"/>
          <w:szCs w:val="21"/>
          <w:highlight w:val="none"/>
        </w:rPr>
        <w:t xml:space="preserve">二、服务日期：</w:t>
      </w:r>
      <w:r>
        <w:rPr>
          <w:rFonts w:hint="eastAsia" w:ascii="宋体" w:hAnsi="宋体"/>
          <w:color w:val="000000"/>
          <w:sz w:val="21"/>
          <w:szCs w:val="21"/>
          <w:highlight w:val="none"/>
          <w:u w:val="single"/>
        </w:rPr>
        <w:t xml:space="preserve">从  </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u w:val="single"/>
        </w:rPr>
        <w:t xml:space="preserve">年   月   日至    年   月 </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u w:val="single"/>
        </w:rPr>
        <w:t xml:space="preserve"> 日止。</w:t>
      </w:r>
      <w:r>
        <w:rPr>
          <w:rFonts w:hint="eastAsia" w:ascii="宋体" w:hAnsi="宋体"/>
          <w:color w:val="000000"/>
          <w:sz w:val="21"/>
          <w:szCs w:val="21"/>
          <w:highlight w:val="none"/>
        </w:rPr>
        <w:t xml:space="preserve">（期限：壹年）</w:t>
      </w:r>
      <w:r>
        <w:rPr>
          <w:rFonts w:ascii="宋体" w:hAnsi="宋体"/>
          <w:color w:val="000000"/>
          <w:sz w:val="21"/>
          <w:szCs w:val="21"/>
          <w:highlight w:val="none"/>
        </w:rPr>
      </w:r>
      <w:r/>
    </w:p>
    <w:p>
      <w:pPr>
        <w:pStyle w:val="864"/>
        <w:ind w:firstLine="480"/>
        <w:spacing w:line="360" w:lineRule="auto"/>
        <w:rPr>
          <w:rFonts w:ascii="宋体" w:hAnsi="宋体"/>
          <w:b/>
          <w:bCs/>
          <w:color w:val="000000"/>
          <w:sz w:val="21"/>
          <w:szCs w:val="21"/>
          <w:highlight w:val="none"/>
        </w:rPr>
      </w:pPr>
      <w:r>
        <w:rPr>
          <w:rFonts w:hint="eastAsia" w:ascii="宋体" w:hAnsi="宋体"/>
          <w:b/>
          <w:bCs/>
          <w:color w:val="000000"/>
          <w:sz w:val="21"/>
          <w:szCs w:val="21"/>
          <w:highlight w:val="none"/>
        </w:rPr>
        <w:t xml:space="preserve">三、服务费用：</w:t>
      </w:r>
      <w:r>
        <w:rPr>
          <w:rFonts w:ascii="宋体" w:hAnsi="宋体"/>
          <w:b/>
          <w:bCs/>
          <w:color w:val="000000"/>
          <w:sz w:val="21"/>
          <w:szCs w:val="21"/>
          <w:highlight w:val="none"/>
        </w:rPr>
      </w:r>
      <w:r/>
    </w:p>
    <w:p>
      <w:pPr>
        <w:pStyle w:val="864"/>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1.合同价格按此次成交价格执行。</w:t>
      </w:r>
      <w:r>
        <w:rPr>
          <w:rFonts w:ascii="宋体" w:hAnsi="宋体"/>
          <w:color w:val="000000"/>
          <w:sz w:val="21"/>
          <w:szCs w:val="21"/>
          <w:highlight w:val="none"/>
        </w:rPr>
      </w:r>
      <w:r/>
    </w:p>
    <w:p>
      <w:pPr>
        <w:pStyle w:val="864"/>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2.合同金额：合同总金额为人民币</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 元，合同金额，包含交通费、伙食费及一切其他可能发生的费用。</w:t>
      </w:r>
      <w:r>
        <w:rPr>
          <w:rFonts w:ascii="宋体" w:hAnsi="宋体"/>
          <w:color w:val="000000"/>
          <w:sz w:val="21"/>
          <w:szCs w:val="21"/>
          <w:highlight w:val="none"/>
        </w:rPr>
      </w:r>
      <w:r/>
    </w:p>
    <w:p>
      <w:pPr>
        <w:pStyle w:val="864"/>
        <w:ind w:firstLine="48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3.履约保证金：无</w:t>
      </w:r>
      <w:r>
        <w:rPr>
          <w:rFonts w:hint="eastAsia" w:ascii="宋体" w:hAnsi="宋体"/>
          <w:color w:val="000000"/>
          <w:sz w:val="21"/>
          <w:szCs w:val="21"/>
          <w:highlight w:val="none"/>
        </w:rPr>
      </w:r>
      <w:r/>
    </w:p>
    <w:p>
      <w:pPr>
        <w:pStyle w:val="864"/>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4.付款步骤：</w:t>
      </w:r>
      <w:r>
        <w:rPr>
          <w:rFonts w:ascii="宋体" w:hAnsi="宋体"/>
          <w:color w:val="000000"/>
          <w:sz w:val="21"/>
          <w:szCs w:val="21"/>
          <w:highlight w:val="none"/>
        </w:rPr>
      </w:r>
      <w:r/>
    </w:p>
    <w:p>
      <w:pPr>
        <w:pStyle w:val="864"/>
        <w:ind w:firstLine="480"/>
        <w:spacing w:line="360" w:lineRule="auto"/>
        <w:rPr>
          <w:rFonts w:hint="eastAsia" w:ascii="宋体" w:hAnsi="宋体" w:cs="Times New Roman"/>
          <w:color w:val="000000"/>
          <w:sz w:val="21"/>
          <w:szCs w:val="21"/>
          <w:highlight w:val="none"/>
        </w:rPr>
      </w:pPr>
      <w:r>
        <w:rPr>
          <w:rFonts w:hint="eastAsia" w:ascii="宋体" w:hAnsi="宋体"/>
          <w:color w:val="000000"/>
          <w:sz w:val="21"/>
          <w:szCs w:val="21"/>
          <w:highlight w:val="none"/>
        </w:rPr>
        <w:t xml:space="preserve">合同签订后1</w:t>
      </w:r>
      <w:r>
        <w:rPr>
          <w:rFonts w:ascii="宋体" w:hAnsi="宋体"/>
          <w:color w:val="000000"/>
          <w:sz w:val="21"/>
          <w:szCs w:val="21"/>
          <w:highlight w:val="none"/>
        </w:rPr>
        <w:t xml:space="preserve">0</w:t>
      </w:r>
      <w:r>
        <w:rPr>
          <w:rFonts w:hint="eastAsia" w:ascii="宋体" w:hAnsi="宋体"/>
          <w:color w:val="000000"/>
          <w:sz w:val="21"/>
          <w:szCs w:val="21"/>
          <w:highlight w:val="none"/>
        </w:rPr>
        <w:t xml:space="preserve">个工作日内，甲方向乙方支付合同金额30%，服务期满</w:t>
      </w:r>
      <w:r>
        <w:rPr>
          <w:rFonts w:hint="eastAsia" w:ascii="宋体" w:hAnsi="宋体"/>
          <w:color w:val="000000"/>
          <w:sz w:val="21"/>
          <w:szCs w:val="21"/>
          <w:highlight w:val="none"/>
          <w:lang w:val="en-US" w:eastAsia="zh-CN"/>
        </w:rPr>
        <w:t xml:space="preserve">8</w:t>
      </w:r>
      <w:r>
        <w:rPr>
          <w:rFonts w:hint="eastAsia" w:ascii="宋体" w:hAnsi="宋体"/>
          <w:color w:val="000000"/>
          <w:sz w:val="21"/>
          <w:szCs w:val="21"/>
          <w:highlight w:val="none"/>
        </w:rPr>
        <w:t xml:space="preserve">个月，</w:t>
      </w:r>
      <w:r>
        <w:rPr>
          <w:rFonts w:hint="eastAsia" w:ascii="宋体" w:hAnsi="宋体"/>
          <w:color w:val="000000"/>
          <w:sz w:val="21"/>
          <w:szCs w:val="21"/>
          <w:highlight w:val="none"/>
          <w:lang w:val="en-US" w:eastAsia="zh-CN"/>
        </w:rPr>
        <w:t xml:space="preserve">经甲方评估乙方</w:t>
      </w:r>
      <w:r>
        <w:rPr>
          <w:rFonts w:hint="eastAsia" w:ascii="宋体" w:hAnsi="宋体"/>
          <w:color w:val="000000"/>
          <w:sz w:val="21"/>
          <w:szCs w:val="21"/>
          <w:highlight w:val="none"/>
        </w:rPr>
        <w:t xml:space="preserve">通过中期汇报</w:t>
      </w:r>
      <w:r>
        <w:rPr>
          <w:rFonts w:hint="eastAsia" w:ascii="宋体" w:hAnsi="宋体"/>
          <w:color w:val="000000"/>
          <w:sz w:val="21"/>
          <w:szCs w:val="21"/>
          <w:highlight w:val="none"/>
          <w:lang w:val="en-US" w:eastAsia="zh-CN"/>
        </w:rPr>
        <w:t xml:space="preserve">并收到合格发票后</w:t>
      </w:r>
      <w:r>
        <w:rPr>
          <w:rFonts w:hint="eastAsia" w:ascii="宋体" w:hAnsi="宋体"/>
          <w:color w:val="000000"/>
          <w:sz w:val="21"/>
          <w:szCs w:val="21"/>
          <w:highlight w:val="none"/>
        </w:rPr>
        <w:t xml:space="preserve">，甲方向乙方支付合同金额的</w:t>
      </w:r>
      <w:r>
        <w:rPr>
          <w:rFonts w:hint="eastAsia" w:ascii="宋体" w:hAnsi="宋体"/>
          <w:color w:val="000000"/>
          <w:sz w:val="21"/>
          <w:szCs w:val="21"/>
          <w:highlight w:val="none"/>
          <w:lang w:val="en-US" w:eastAsia="zh-CN"/>
        </w:rPr>
        <w:t xml:space="preserve">40</w:t>
      </w:r>
      <w:r>
        <w:rPr>
          <w:rFonts w:hint="eastAsia" w:ascii="宋体" w:hAnsi="宋体"/>
          <w:color w:val="000000"/>
          <w:sz w:val="21"/>
          <w:szCs w:val="21"/>
          <w:highlight w:val="none"/>
        </w:rPr>
        <w:t xml:space="preserve">%</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其中合同金额的10%作为第一阶段考核金额，根据第一阶段考核结果予以支付</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w:t>
      </w:r>
      <w:bookmarkStart w:id="93" w:name="OLE_LINK1"/>
      <w:r>
        <w:rPr>
          <w:rFonts w:hint="eastAsia" w:ascii="宋体" w:hAnsi="宋体" w:cs="宋体"/>
          <w:color w:val="000000"/>
          <w:sz w:val="21"/>
          <w:szCs w:val="21"/>
          <w:highlight w:val="none"/>
        </w:rPr>
        <w:t xml:space="preserve">服务</w:t>
      </w:r>
      <w:r>
        <w:rPr>
          <w:rFonts w:hint="eastAsia" w:ascii="宋体" w:hAnsi="宋体" w:cs="宋体"/>
          <w:color w:val="000000"/>
          <w:sz w:val="21"/>
          <w:szCs w:val="21"/>
          <w:highlight w:val="none"/>
          <w:lang w:val="en-US" w:eastAsia="zh-CN"/>
        </w:rPr>
        <w:t xml:space="preserve">期届满前</w:t>
      </w:r>
      <w:r>
        <w:rPr>
          <w:rFonts w:hint="eastAsia" w:ascii="宋体" w:hAnsi="宋体" w:cs="宋体"/>
          <w:color w:val="000000"/>
          <w:sz w:val="21"/>
          <w:szCs w:val="21"/>
          <w:highlight w:val="none"/>
        </w:rPr>
        <w:t xml:space="preserve">，乙方</w:t>
      </w:r>
      <w:r>
        <w:rPr>
          <w:rFonts w:hint="eastAsia" w:ascii="宋体" w:hAnsi="宋体" w:cs="宋体"/>
          <w:color w:val="000000"/>
          <w:sz w:val="21"/>
          <w:szCs w:val="21"/>
          <w:highlight w:val="none"/>
          <w:lang w:val="en-US" w:eastAsia="zh-CN"/>
        </w:rPr>
        <w:t xml:space="preserve">应</w:t>
      </w:r>
      <w:r>
        <w:rPr>
          <w:rFonts w:hint="eastAsia" w:ascii="宋体" w:hAnsi="宋体" w:cs="宋体"/>
          <w:color w:val="000000"/>
          <w:sz w:val="21"/>
          <w:szCs w:val="21"/>
          <w:highlight w:val="none"/>
        </w:rPr>
        <w:t xml:space="preserve">提供总结性评估报告，经甲方评估乙方完成服务要求</w:t>
      </w:r>
      <w:r>
        <w:rPr>
          <w:rFonts w:hint="eastAsia" w:ascii="宋体" w:hAnsi="宋体" w:cs="宋体"/>
          <w:color w:val="000000"/>
          <w:sz w:val="21"/>
          <w:szCs w:val="21"/>
          <w:highlight w:val="none"/>
          <w:lang w:val="en-US" w:eastAsia="zh-CN"/>
        </w:rPr>
        <w:t xml:space="preserve">并收到合格发票</w:t>
      </w:r>
      <w:r>
        <w:rPr>
          <w:rFonts w:hint="eastAsia" w:ascii="宋体" w:hAnsi="宋体" w:cs="宋体"/>
          <w:color w:val="000000"/>
          <w:sz w:val="21"/>
          <w:szCs w:val="21"/>
          <w:highlight w:val="none"/>
        </w:rPr>
        <w:t xml:space="preserve">后，</w:t>
      </w:r>
      <w:r>
        <w:rPr>
          <w:rFonts w:hint="eastAsia" w:ascii="宋体" w:hAnsi="宋体" w:cs="宋体"/>
          <w:color w:val="000000"/>
          <w:sz w:val="21"/>
          <w:szCs w:val="21"/>
          <w:highlight w:val="none"/>
          <w:lang w:val="en-US" w:eastAsia="zh-CN"/>
        </w:rPr>
        <w:t xml:space="preserve">甲方</w:t>
      </w:r>
      <w:r>
        <w:rPr>
          <w:rFonts w:hint="eastAsia" w:ascii="宋体" w:hAnsi="宋体" w:cs="宋体"/>
          <w:color w:val="000000"/>
          <w:sz w:val="21"/>
          <w:szCs w:val="21"/>
          <w:highlight w:val="none"/>
        </w:rPr>
        <w:t xml:space="preserve">支付</w:t>
      </w:r>
      <w:r>
        <w:rPr>
          <w:rFonts w:hint="eastAsia" w:ascii="宋体" w:hAnsi="宋体" w:cs="宋体"/>
          <w:color w:val="000000"/>
          <w:sz w:val="21"/>
          <w:szCs w:val="21"/>
          <w:highlight w:val="none"/>
          <w:lang w:val="en-US" w:eastAsia="zh-CN"/>
        </w:rPr>
        <w:t xml:space="preserve">剩余</w:t>
      </w:r>
      <w:r>
        <w:rPr>
          <w:rFonts w:hint="eastAsia" w:ascii="宋体" w:hAnsi="宋体" w:cs="宋体"/>
          <w:color w:val="000000"/>
          <w:sz w:val="21"/>
          <w:szCs w:val="21"/>
          <w:highlight w:val="none"/>
        </w:rPr>
        <w:t xml:space="preserve">合同金额的</w:t>
      </w:r>
      <w:r>
        <w:rPr>
          <w:rFonts w:hint="eastAsia" w:ascii="宋体" w:hAnsi="宋体" w:cs="宋体"/>
          <w:color w:val="000000"/>
          <w:sz w:val="21"/>
          <w:szCs w:val="21"/>
          <w:highlight w:val="none"/>
          <w:lang w:val="en-US" w:eastAsia="zh-CN"/>
        </w:rPr>
        <w:t xml:space="preserve">30</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其中</w:t>
      </w:r>
      <w:r>
        <w:rPr>
          <w:rFonts w:hint="eastAsia" w:ascii="宋体" w:hAnsi="宋体"/>
          <w:color w:val="000000"/>
          <w:sz w:val="21"/>
          <w:szCs w:val="21"/>
          <w:highlight w:val="none"/>
          <w:lang w:val="en-US" w:eastAsia="zh-CN"/>
        </w:rPr>
        <w:t xml:space="preserve">合同金额的10%作为第二阶段考核金额，根据第二阶段考核结果予以支付</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。考核要求如下：</w:t>
      </w:r>
      <w:r>
        <w:rPr>
          <w:rFonts w:hint="eastAsia" w:ascii="宋体" w:hAnsi="宋体" w:cs="Times New Roman"/>
          <w:color w:val="000000"/>
          <w:sz w:val="21"/>
          <w:szCs w:val="21"/>
          <w:highlight w:val="none"/>
        </w:rPr>
      </w:r>
      <w:r/>
    </w:p>
    <w:p>
      <w:pPr>
        <w:pStyle w:val="864"/>
        <w:ind w:firstLine="420"/>
        <w:spacing w:line="5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第一阶段考核：2026年，确保昆山市</w:t>
      </w:r>
      <w:r>
        <w:rPr>
          <w:rFonts w:hint="eastAsia" w:ascii="宋体" w:hAnsi="宋体" w:cs="宋体"/>
          <w:color w:val="000000"/>
          <w:sz w:val="21"/>
          <w:szCs w:val="21"/>
          <w:highlight w:val="none"/>
        </w:rPr>
        <w:t xml:space="preserve">空气质量优良率、PM</w:t>
      </w:r>
      <w:r>
        <w:rPr>
          <w:rFonts w:hint="eastAsia" w:ascii="宋体" w:hAnsi="宋体" w:cs="宋体"/>
          <w:color w:val="000000"/>
          <w:sz w:val="21"/>
          <w:szCs w:val="21"/>
          <w:highlight w:val="none"/>
          <w:vertAlign w:val="subscript"/>
        </w:rPr>
        <w:t xml:space="preserve">2.5</w:t>
      </w:r>
      <w:r>
        <w:rPr>
          <w:rFonts w:hint="eastAsia" w:ascii="宋体" w:hAnsi="宋体" w:cs="宋体"/>
          <w:color w:val="000000"/>
          <w:sz w:val="21"/>
          <w:szCs w:val="21"/>
          <w:highlight w:val="none"/>
        </w:rPr>
        <w:t xml:space="preserve">浓度完成</w:t>
      </w:r>
      <w:r>
        <w:rPr>
          <w:rFonts w:hint="eastAsia" w:ascii="宋体" w:hAnsi="宋体" w:cs="宋体"/>
          <w:color w:val="000000"/>
          <w:sz w:val="21"/>
          <w:szCs w:val="21"/>
          <w:highlight w:val="none"/>
          <w:lang w:eastAsia="zh-CN"/>
        </w:rPr>
        <w:t xml:space="preserve">年度目标，</w:t>
      </w:r>
      <w:r>
        <w:rPr>
          <w:rFonts w:hint="eastAsia" w:ascii="宋体" w:hAnsi="宋体" w:cs="宋体"/>
          <w:color w:val="000000"/>
          <w:sz w:val="21"/>
          <w:szCs w:val="21"/>
          <w:highlight w:val="none"/>
        </w:rPr>
        <w:t xml:space="preserve">优良率及PM</w:t>
      </w:r>
      <w:r>
        <w:rPr>
          <w:rFonts w:hint="eastAsia" w:ascii="宋体" w:hAnsi="宋体" w:cs="宋体"/>
          <w:color w:val="000000"/>
          <w:sz w:val="21"/>
          <w:szCs w:val="21"/>
          <w:highlight w:val="none"/>
          <w:vertAlign w:val="subscript"/>
        </w:rPr>
        <w:t xml:space="preserve">2.5</w:t>
      </w:r>
      <w:r>
        <w:rPr>
          <w:rFonts w:hint="eastAsia" w:ascii="宋体" w:hAnsi="宋体" w:cs="宋体"/>
          <w:color w:val="000000"/>
          <w:sz w:val="21"/>
          <w:szCs w:val="21"/>
          <w:highlight w:val="none"/>
        </w:rPr>
        <w:t xml:space="preserve">浓度各占合同金额的5%。若完成以上两项指标，支付</w:t>
      </w:r>
      <w:r>
        <w:rPr>
          <w:rFonts w:hint="eastAsia" w:ascii="宋体" w:hAnsi="宋体" w:cs="宋体"/>
          <w:color w:val="000000"/>
          <w:sz w:val="21"/>
          <w:szCs w:val="21"/>
          <w:highlight w:val="none"/>
          <w:lang w:val="en-US" w:eastAsia="zh-CN"/>
        </w:rPr>
        <w:t xml:space="preserve">合同金额的10%</w:t>
      </w:r>
      <w:r>
        <w:rPr>
          <w:rFonts w:hint="eastAsia" w:ascii="宋体" w:hAnsi="宋体" w:cs="宋体"/>
          <w:color w:val="000000"/>
          <w:sz w:val="21"/>
          <w:szCs w:val="21"/>
          <w:highlight w:val="none"/>
        </w:rPr>
        <w:t xml:space="preserve">。优良率若低于指标要求，优良天数每减少1天扣考核金额的5%，最高扣合同额的5%；PM</w:t>
      </w:r>
      <w:r>
        <w:rPr>
          <w:rFonts w:hint="eastAsia" w:ascii="宋体" w:hAnsi="宋体" w:cs="宋体"/>
          <w:color w:val="000000"/>
          <w:sz w:val="21"/>
          <w:szCs w:val="21"/>
          <w:highlight w:val="none"/>
          <w:vertAlign w:val="subscript"/>
        </w:rPr>
        <w:t xml:space="preserve">2.5</w:t>
      </w:r>
      <w:r>
        <w:rPr>
          <w:rFonts w:hint="eastAsia" w:ascii="宋体" w:hAnsi="宋体" w:cs="宋体"/>
          <w:color w:val="000000"/>
          <w:sz w:val="21"/>
          <w:szCs w:val="21"/>
          <w:highlight w:val="none"/>
        </w:rPr>
        <w:t xml:space="preserve">浓度若低于指标要求，每高1μg/m³扣考核金额的20%，最高扣合同额的5%。</w:t>
      </w:r>
      <w:bookmarkEnd w:id="93"/>
      <w:r>
        <w:rPr>
          <w:rFonts w:hint="eastAsia" w:ascii="宋体" w:hAnsi="宋体" w:cs="宋体"/>
          <w:color w:val="000000"/>
          <w:sz w:val="21"/>
          <w:szCs w:val="21"/>
          <w:highlight w:val="none"/>
        </w:rPr>
      </w:r>
      <w:r/>
    </w:p>
    <w:p>
      <w:pPr>
        <w:pStyle w:val="864"/>
        <w:ind w:firstLine="420"/>
        <w:spacing w:line="500" w:lineRule="exact"/>
        <w:rPr>
          <w:rFonts w:hint="eastAsia"/>
        </w:rPr>
      </w:pPr>
      <w:r>
        <w:rPr>
          <w:rFonts w:hint="eastAsia" w:ascii="宋体" w:hAnsi="宋体" w:cs="宋体"/>
          <w:color w:val="000000"/>
          <w:sz w:val="21"/>
          <w:szCs w:val="21"/>
          <w:highlight w:val="none"/>
          <w:lang w:val="en-US" w:eastAsia="zh-CN"/>
        </w:rPr>
        <w:t xml:space="preserve">第二阶段考核：2027年1-6月，确保昆山市</w:t>
      </w:r>
      <w:r>
        <w:rPr>
          <w:rFonts w:hint="eastAsia" w:ascii="宋体" w:hAnsi="宋体" w:cs="宋体"/>
          <w:color w:val="000000"/>
          <w:sz w:val="21"/>
          <w:szCs w:val="21"/>
          <w:highlight w:val="none"/>
        </w:rPr>
        <w:t xml:space="preserve">空气质量优良率、PM</w:t>
      </w:r>
      <w:r>
        <w:rPr>
          <w:rFonts w:hint="eastAsia" w:ascii="宋体" w:hAnsi="宋体" w:cs="宋体"/>
          <w:color w:val="000000"/>
          <w:sz w:val="21"/>
          <w:szCs w:val="21"/>
          <w:highlight w:val="none"/>
          <w:vertAlign w:val="subscript"/>
        </w:rPr>
        <w:t xml:space="preserve">2.5</w:t>
      </w:r>
      <w:r>
        <w:rPr>
          <w:rFonts w:hint="eastAsia" w:ascii="宋体" w:hAnsi="宋体" w:cs="宋体"/>
          <w:color w:val="000000"/>
          <w:sz w:val="21"/>
          <w:szCs w:val="21"/>
          <w:highlight w:val="none"/>
        </w:rPr>
        <w:t xml:space="preserve">浓度</w:t>
      </w:r>
      <w:r>
        <w:rPr>
          <w:rFonts w:hint="eastAsia" w:ascii="宋体" w:hAnsi="宋体" w:cs="宋体"/>
          <w:color w:val="000000"/>
          <w:sz w:val="21"/>
          <w:szCs w:val="21"/>
          <w:highlight w:val="none"/>
          <w:lang w:val="en-US" w:eastAsia="zh-CN"/>
        </w:rPr>
        <w:t xml:space="preserve">同比持平或有所改善</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优良率及PM</w:t>
      </w:r>
      <w:r>
        <w:rPr>
          <w:rFonts w:hint="eastAsia" w:ascii="宋体" w:hAnsi="宋体" w:cs="宋体"/>
          <w:color w:val="000000"/>
          <w:sz w:val="21"/>
          <w:szCs w:val="21"/>
          <w:highlight w:val="none"/>
          <w:vertAlign w:val="subscript"/>
        </w:rPr>
        <w:t xml:space="preserve">2.5</w:t>
      </w:r>
      <w:r>
        <w:rPr>
          <w:rFonts w:hint="eastAsia" w:ascii="宋体" w:hAnsi="宋体" w:cs="宋体"/>
          <w:color w:val="000000"/>
          <w:sz w:val="21"/>
          <w:szCs w:val="21"/>
          <w:highlight w:val="none"/>
        </w:rPr>
        <w:t xml:space="preserve">浓度各占合同金额的5%。若完成以上两项指标，支付</w:t>
      </w:r>
      <w:r>
        <w:rPr>
          <w:rFonts w:hint="eastAsia" w:ascii="宋体" w:hAnsi="宋体" w:cs="宋体"/>
          <w:color w:val="000000"/>
          <w:sz w:val="21"/>
          <w:szCs w:val="21"/>
          <w:highlight w:val="none"/>
          <w:lang w:val="en-US" w:eastAsia="zh-CN"/>
        </w:rPr>
        <w:t xml:space="preserve">合同金额的10%</w:t>
      </w:r>
      <w:r>
        <w:rPr>
          <w:rFonts w:hint="eastAsia" w:ascii="宋体" w:hAnsi="宋体" w:cs="宋体"/>
          <w:color w:val="000000"/>
          <w:sz w:val="21"/>
          <w:szCs w:val="21"/>
          <w:highlight w:val="none"/>
        </w:rPr>
        <w:t xml:space="preserve">。优良率若低于指标要求，优良天数每减少1天扣考核金额的5%，最高扣合同额的5%；PM</w:t>
      </w:r>
      <w:r>
        <w:rPr>
          <w:rFonts w:hint="eastAsia" w:ascii="宋体" w:hAnsi="宋体" w:cs="宋体"/>
          <w:color w:val="000000"/>
          <w:sz w:val="21"/>
          <w:szCs w:val="21"/>
          <w:highlight w:val="none"/>
          <w:vertAlign w:val="subscript"/>
        </w:rPr>
        <w:t xml:space="preserve">2.5</w:t>
      </w:r>
      <w:r>
        <w:rPr>
          <w:rFonts w:hint="eastAsia" w:ascii="宋体" w:hAnsi="宋体" w:cs="宋体"/>
          <w:color w:val="000000"/>
          <w:sz w:val="21"/>
          <w:szCs w:val="21"/>
          <w:highlight w:val="none"/>
        </w:rPr>
        <w:t xml:space="preserve">浓度若低于指标要求，每高</w:t>
      </w:r>
      <w:r>
        <w:rPr>
          <w:rFonts w:hint="eastAsia" w:ascii="宋体" w:hAnsi="宋体" w:cs="宋体"/>
          <w:color w:val="000000"/>
          <w:sz w:val="21"/>
          <w:szCs w:val="21"/>
          <w:highlight w:val="none"/>
          <w:lang w:val="en-US" w:eastAsia="zh-CN"/>
        </w:rPr>
        <w:t xml:space="preserve">0.1</w:t>
      </w:r>
      <w:r>
        <w:rPr>
          <w:rFonts w:hint="eastAsia" w:ascii="宋体" w:hAnsi="宋体" w:cs="宋体"/>
          <w:color w:val="000000"/>
          <w:sz w:val="21"/>
          <w:szCs w:val="21"/>
          <w:highlight w:val="none"/>
        </w:rPr>
        <w:t xml:space="preserve">μg/m³扣考核金额的</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%，最高扣合同额的5</w:t>
      </w:r>
      <w:r>
        <w:rPr>
          <w:rFonts w:hint="eastAsia" w:ascii="宋体" w:hAnsi="宋体" w:eastAsia="宋体" w:cs="宋体"/>
          <w:color w:val="000000"/>
          <w:sz w:val="21"/>
          <w:szCs w:val="21"/>
          <w:highlight w:val="none"/>
        </w:rPr>
        <w:t xml:space="preserve">%。</w:t>
      </w:r>
      <w:r>
        <w:rPr>
          <w:rFonts w:hint="eastAsia"/>
        </w:rPr>
      </w:r>
      <w:r/>
    </w:p>
    <w:p>
      <w:pPr>
        <w:pStyle w:val="864"/>
        <w:ind w:firstLine="420"/>
        <w:spacing w:line="5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5.乙方账户信息：1）银行账户；2）数字人民币支付。</w:t>
      </w:r>
      <w:r>
        <w:rPr>
          <w:rFonts w:hint="eastAsia" w:ascii="宋体" w:hAnsi="宋体" w:eastAsia="宋体" w:cs="宋体"/>
          <w:color w:val="000000"/>
          <w:sz w:val="21"/>
          <w:szCs w:val="21"/>
          <w:highlight w:val="none"/>
          <w:lang w:val="en-US" w:eastAsia="zh-CN"/>
        </w:rPr>
      </w:r>
      <w:r/>
    </w:p>
    <w:p>
      <w:pPr>
        <w:pStyle w:val="864"/>
        <w:ind w:firstLine="48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（1）银行账户</w:t>
      </w:r>
      <w:r>
        <w:rPr>
          <w:rFonts w:hint="eastAsia" w:ascii="宋体" w:hAnsi="宋体" w:eastAsia="宋体" w:cs="Times New Roman"/>
          <w:color w:val="000000"/>
          <w:sz w:val="21"/>
          <w:szCs w:val="21"/>
          <w:highlight w:val="none"/>
          <w:lang w:val="en-US" w:eastAsia="zh-CN"/>
        </w:rPr>
      </w:r>
      <w:r/>
    </w:p>
    <w:p>
      <w:pPr>
        <w:pStyle w:val="864"/>
        <w:ind w:firstLine="48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户名：</w:t>
      </w:r>
      <w:r>
        <w:rPr>
          <w:rFonts w:hint="eastAsia" w:ascii="宋体" w:hAnsi="宋体" w:eastAsia="宋体" w:cs="Times New Roman"/>
          <w:color w:val="000000"/>
          <w:sz w:val="21"/>
          <w:szCs w:val="21"/>
          <w:highlight w:val="none"/>
          <w:lang w:val="en-US" w:eastAsia="zh-CN"/>
        </w:rPr>
      </w:r>
      <w:r/>
    </w:p>
    <w:p>
      <w:pPr>
        <w:pStyle w:val="864"/>
        <w:ind w:firstLine="48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收款账号：</w:t>
      </w:r>
      <w:r>
        <w:rPr>
          <w:rFonts w:hint="eastAsia" w:ascii="宋体" w:hAnsi="宋体" w:eastAsia="宋体" w:cs="Times New Roman"/>
          <w:color w:val="000000"/>
          <w:sz w:val="21"/>
          <w:szCs w:val="21"/>
          <w:highlight w:val="none"/>
          <w:lang w:val="en-US" w:eastAsia="zh-CN"/>
        </w:rPr>
      </w:r>
      <w:r/>
    </w:p>
    <w:p>
      <w:pPr>
        <w:pStyle w:val="864"/>
        <w:ind w:firstLine="48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开户行：</w:t>
      </w:r>
      <w:r>
        <w:rPr>
          <w:rFonts w:hint="eastAsia" w:ascii="宋体" w:hAnsi="宋体" w:eastAsia="宋体" w:cs="Times New Roman"/>
          <w:color w:val="000000"/>
          <w:sz w:val="21"/>
          <w:szCs w:val="21"/>
          <w:highlight w:val="none"/>
          <w:lang w:val="en-US" w:eastAsia="zh-CN"/>
        </w:rPr>
      </w:r>
      <w:r/>
    </w:p>
    <w:p>
      <w:pPr>
        <w:pStyle w:val="864"/>
        <w:ind w:firstLine="48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（2）数字人民币账户</w:t>
      </w:r>
      <w:r>
        <w:rPr>
          <w:rFonts w:hint="eastAsia" w:ascii="宋体" w:hAnsi="宋体" w:eastAsia="宋体" w:cs="Times New Roman"/>
          <w:color w:val="000000"/>
          <w:sz w:val="21"/>
          <w:szCs w:val="21"/>
          <w:highlight w:val="none"/>
          <w:lang w:val="en-US" w:eastAsia="zh-CN"/>
        </w:rPr>
      </w:r>
      <w:r/>
    </w:p>
    <w:p>
      <w:pPr>
        <w:pStyle w:val="864"/>
        <w:ind w:firstLine="48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账户名：</w:t>
      </w:r>
      <w:r>
        <w:rPr>
          <w:rFonts w:hint="eastAsia" w:ascii="宋体" w:hAnsi="宋体" w:eastAsia="宋体" w:cs="Times New Roman"/>
          <w:color w:val="000000"/>
          <w:sz w:val="21"/>
          <w:szCs w:val="21"/>
          <w:highlight w:val="none"/>
          <w:lang w:val="en-US" w:eastAsia="zh-CN"/>
        </w:rPr>
      </w:r>
      <w:r/>
    </w:p>
    <w:p>
      <w:pPr>
        <w:pStyle w:val="864"/>
        <w:ind w:firstLine="48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账号：</w:t>
      </w:r>
      <w:r>
        <w:rPr>
          <w:rFonts w:hint="eastAsia" w:ascii="宋体" w:hAnsi="宋体" w:eastAsia="宋体" w:cs="Times New Roman"/>
          <w:color w:val="000000"/>
          <w:sz w:val="21"/>
          <w:szCs w:val="21"/>
          <w:highlight w:val="none"/>
          <w:lang w:val="en-US" w:eastAsia="zh-CN"/>
        </w:rPr>
      </w:r>
      <w:r/>
    </w:p>
    <w:p>
      <w:pPr>
        <w:pStyle w:val="864"/>
        <w:ind w:firstLine="48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开户行：</w:t>
      </w:r>
      <w:r>
        <w:rPr>
          <w:rFonts w:hint="eastAsia" w:ascii="宋体" w:hAnsi="宋体" w:eastAsia="宋体" w:cs="Times New Roman"/>
          <w:color w:val="000000"/>
          <w:sz w:val="21"/>
          <w:szCs w:val="21"/>
          <w:highlight w:val="none"/>
          <w:lang w:val="en-US" w:eastAsia="zh-CN"/>
        </w:rPr>
      </w:r>
      <w:r/>
    </w:p>
    <w:p>
      <w:pPr>
        <w:pStyle w:val="864"/>
        <w:ind w:firstLine="48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数字钱包ID：</w:t>
      </w:r>
      <w:r>
        <w:rPr>
          <w:rFonts w:hint="eastAsia" w:ascii="宋体" w:hAnsi="宋体" w:eastAsia="宋体" w:cs="Times New Roman"/>
          <w:color w:val="000000"/>
          <w:sz w:val="21"/>
          <w:szCs w:val="21"/>
          <w:highlight w:val="none"/>
          <w:lang w:val="en-US" w:eastAsia="zh-CN"/>
        </w:rPr>
      </w:r>
      <w:r/>
    </w:p>
    <w:p>
      <w:pPr>
        <w:pStyle w:val="864"/>
        <w:ind w:firstLine="48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6.若乙方提供数字人民币账户的，需将账户信息同时录入至苏采云系统。乙方银行账户如需变更，应至少于付款期限届满前10个工作日书面通知甲方，否则产生的一切责任、因变更引起的额外费用由乙方承担。</w:t>
      </w:r>
      <w:r>
        <w:rPr>
          <w:rFonts w:hint="eastAsia" w:ascii="宋体" w:hAnsi="宋体" w:eastAsia="宋体" w:cs="Times New Roman"/>
          <w:color w:val="000000"/>
          <w:sz w:val="21"/>
          <w:szCs w:val="21"/>
          <w:highlight w:val="none"/>
          <w:lang w:val="en-US" w:eastAsia="zh-CN"/>
        </w:rPr>
      </w:r>
      <w:r/>
    </w:p>
    <w:p>
      <w:pPr>
        <w:pStyle w:val="864"/>
        <w:ind w:firstLine="48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7.乙方应提供合格发票作为甲方付款的前提，若由于乙方未能及时开具发票、提供的账户有误等可归结于乙方的原因，导致甲方逾期付款的，甲方不承担任何逾期付款的责任。</w:t>
      </w:r>
      <w:r>
        <w:rPr>
          <w:rFonts w:hint="eastAsia" w:ascii="宋体" w:hAnsi="宋体" w:eastAsia="宋体" w:cs="Times New Roman"/>
          <w:color w:val="000000"/>
          <w:sz w:val="21"/>
          <w:szCs w:val="21"/>
          <w:highlight w:val="none"/>
          <w:lang w:val="en-US" w:eastAsia="zh-CN"/>
        </w:rPr>
      </w:r>
      <w:r/>
    </w:p>
    <w:p>
      <w:pPr>
        <w:pStyle w:val="864"/>
        <w:ind w:firstLine="480"/>
        <w:spacing w:line="360" w:lineRule="auto"/>
        <w:rPr>
          <w:rFonts w:ascii="宋体" w:hAnsi="宋体"/>
          <w:b/>
          <w:bCs/>
          <w:color w:val="000000"/>
          <w:sz w:val="21"/>
          <w:szCs w:val="21"/>
          <w:highlight w:val="none"/>
        </w:rPr>
      </w:pPr>
      <w:r>
        <w:rPr>
          <w:rFonts w:hint="eastAsia" w:ascii="宋体" w:hAnsi="宋体"/>
          <w:b/>
          <w:bCs/>
          <w:color w:val="000000"/>
          <w:sz w:val="21"/>
          <w:szCs w:val="21"/>
          <w:highlight w:val="none"/>
        </w:rPr>
        <w:t xml:space="preserve">四、甲乙双方义务及责任：</w:t>
      </w:r>
      <w:r>
        <w:rPr>
          <w:rFonts w:ascii="宋体" w:hAnsi="宋体"/>
          <w:b/>
          <w:bCs/>
          <w:color w:val="000000"/>
          <w:sz w:val="21"/>
          <w:szCs w:val="21"/>
          <w:highlight w:val="none"/>
        </w:rPr>
      </w:r>
      <w:r/>
    </w:p>
    <w:p>
      <w:pPr>
        <w:pStyle w:val="864"/>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A、甲方责任和义务：</w:t>
      </w:r>
      <w:r>
        <w:rPr>
          <w:rFonts w:ascii="宋体" w:hAnsi="宋体"/>
          <w:color w:val="000000"/>
          <w:sz w:val="21"/>
          <w:szCs w:val="21"/>
          <w:highlight w:val="none"/>
        </w:rPr>
      </w:r>
      <w:r/>
    </w:p>
    <w:p>
      <w:pPr>
        <w:pStyle w:val="864"/>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1、按协议规定支付报酬。</w:t>
      </w:r>
      <w:r>
        <w:rPr>
          <w:rFonts w:ascii="宋体" w:hAnsi="宋体"/>
          <w:color w:val="000000"/>
          <w:sz w:val="21"/>
          <w:szCs w:val="21"/>
          <w:highlight w:val="none"/>
        </w:rPr>
      </w:r>
      <w:r/>
    </w:p>
    <w:p>
      <w:pPr>
        <w:pStyle w:val="864"/>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B、乙方责任及义务：</w:t>
      </w:r>
      <w:r>
        <w:rPr>
          <w:rFonts w:ascii="宋体" w:hAnsi="宋体"/>
          <w:color w:val="000000"/>
          <w:sz w:val="21"/>
          <w:szCs w:val="21"/>
          <w:highlight w:val="none"/>
        </w:rPr>
      </w:r>
      <w:r/>
    </w:p>
    <w:p>
      <w:pPr>
        <w:pStyle w:val="864"/>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1、乙方负责提供</w:t>
      </w:r>
      <w:r>
        <w:rPr>
          <w:rFonts w:hint="eastAsia" w:ascii="宋体" w:hAnsi="宋体"/>
          <w:color w:val="000000"/>
          <w:sz w:val="21"/>
          <w:szCs w:val="21"/>
          <w:highlight w:val="none"/>
          <w:lang w:val="en-US" w:eastAsia="zh-CN"/>
        </w:rPr>
        <w:t xml:space="preserve">走航及协助</w:t>
      </w:r>
      <w:r>
        <w:rPr>
          <w:rFonts w:hint="eastAsia" w:ascii="宋体" w:hAnsi="宋体"/>
          <w:color w:val="000000"/>
          <w:sz w:val="21"/>
          <w:szCs w:val="21"/>
          <w:highlight w:val="none"/>
        </w:rPr>
        <w:t xml:space="preserve">检查所需车辆</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无人机等设施设备</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864"/>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w:t>
      </w:r>
      <w:r>
        <w:rPr>
          <w:rFonts w:hint="eastAsia" w:ascii="宋体" w:hAnsi="宋体"/>
          <w:color w:val="000000"/>
          <w:sz w:val="21"/>
          <w:szCs w:val="21"/>
          <w:highlight w:val="none"/>
          <w:lang w:val="en-US" w:eastAsia="zh-CN"/>
        </w:rPr>
        <w:t xml:space="preserve">组建专门的实施项目团队，配备的负责人及专业人员需具备相应的资质要求或技能，</w:t>
      </w:r>
      <w:r>
        <w:rPr>
          <w:rFonts w:hint="eastAsia" w:ascii="宋体" w:hAnsi="宋体"/>
          <w:color w:val="000000"/>
          <w:sz w:val="21"/>
          <w:szCs w:val="21"/>
          <w:highlight w:val="none"/>
        </w:rPr>
        <w:t xml:space="preserve">应有高度责任感，严格按照</w:t>
      </w:r>
      <w:r>
        <w:rPr>
          <w:rFonts w:hint="eastAsia" w:ascii="宋体" w:hAnsi="宋体"/>
          <w:color w:val="000000"/>
          <w:sz w:val="21"/>
          <w:szCs w:val="21"/>
          <w:highlight w:val="none"/>
          <w:lang w:val="en-US" w:eastAsia="zh-CN"/>
        </w:rPr>
        <w:t xml:space="preserve">国家规定和行业规范的要求</w:t>
      </w:r>
      <w:r>
        <w:rPr>
          <w:rFonts w:hint="eastAsia" w:ascii="宋体" w:hAnsi="宋体"/>
          <w:color w:val="000000"/>
          <w:sz w:val="21"/>
          <w:szCs w:val="21"/>
          <w:highlight w:val="none"/>
        </w:rPr>
        <w:t xml:space="preserve">落实工作；</w:t>
      </w:r>
      <w:r>
        <w:rPr>
          <w:rFonts w:ascii="宋体" w:hAnsi="宋体"/>
          <w:color w:val="000000"/>
          <w:sz w:val="21"/>
          <w:szCs w:val="21"/>
          <w:highlight w:val="none"/>
        </w:rPr>
      </w:r>
      <w:r/>
    </w:p>
    <w:p>
      <w:pPr>
        <w:pStyle w:val="864"/>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3、检查中的所有资料，根据甲方要求必须详尽，同时一律在</w:t>
      </w:r>
      <w:r>
        <w:rPr>
          <w:rFonts w:hint="eastAsia" w:ascii="宋体" w:hAnsi="宋体"/>
          <w:color w:val="000000"/>
          <w:sz w:val="21"/>
          <w:szCs w:val="21"/>
          <w:highlight w:val="none"/>
          <w:lang w:val="en-US" w:eastAsia="zh-CN"/>
        </w:rPr>
        <w:t xml:space="preserve">每次检查</w:t>
      </w:r>
      <w:r>
        <w:rPr>
          <w:rFonts w:hint="eastAsia" w:ascii="宋体" w:hAnsi="宋体"/>
          <w:color w:val="000000"/>
          <w:sz w:val="21"/>
          <w:szCs w:val="21"/>
          <w:highlight w:val="none"/>
        </w:rPr>
        <w:t xml:space="preserve">结束后汇总分析并提交至甲方</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任何情况下均不得单独进入被检查对象开展检查活动</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864"/>
        <w:ind w:firstLine="48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4、在</w:t>
      </w:r>
      <w:r>
        <w:rPr>
          <w:rFonts w:hint="eastAsia" w:ascii="宋体" w:hAnsi="宋体"/>
          <w:color w:val="000000"/>
          <w:sz w:val="21"/>
          <w:szCs w:val="21"/>
          <w:highlight w:val="none"/>
          <w:lang w:val="en-US" w:eastAsia="zh-CN"/>
        </w:rPr>
        <w:t xml:space="preserve">协助</w:t>
      </w:r>
      <w:r>
        <w:rPr>
          <w:rFonts w:hint="eastAsia" w:ascii="宋体" w:hAnsi="宋体"/>
          <w:color w:val="000000"/>
          <w:sz w:val="21"/>
          <w:szCs w:val="21"/>
          <w:highlight w:val="none"/>
        </w:rPr>
        <w:t xml:space="preserve">甲方开展检查工作期间，不得以任何形式推广、推销公司业务。</w:t>
      </w:r>
      <w:r>
        <w:rPr>
          <w:rFonts w:hint="eastAsia" w:ascii="宋体" w:hAnsi="宋体"/>
          <w:color w:val="000000"/>
          <w:sz w:val="21"/>
          <w:szCs w:val="21"/>
          <w:highlight w:val="none"/>
        </w:rPr>
      </w:r>
      <w:r/>
    </w:p>
    <w:p>
      <w:pPr>
        <w:pStyle w:val="864"/>
        <w:ind w:firstLine="480"/>
        <w:spacing w:line="360" w:lineRule="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5、乙方及其专业人员应当遵守保密原则，对因订立和执行本合同过程中所了解或知悉或获取的对方的一切信息、国家秘密、商业秘密和个人隐私以及合同成果予以保密，在本合同服务期内及本合同解除或终止后均不得向甲方以外的第三方提供保密信息，除非得到甲方的同意或者属于法律、行政法规允许的范围。</w:t>
      </w:r>
      <w:r>
        <w:rPr>
          <w:rFonts w:hint="eastAsia" w:ascii="宋体" w:hAnsi="宋体"/>
          <w:color w:val="000000"/>
          <w:sz w:val="21"/>
          <w:szCs w:val="21"/>
          <w:highlight w:val="none"/>
          <w:lang w:val="en-US" w:eastAsia="zh-CN"/>
        </w:rPr>
      </w:r>
      <w:r/>
    </w:p>
    <w:p>
      <w:pPr>
        <w:pStyle w:val="864"/>
        <w:ind w:firstLine="480"/>
        <w:spacing w:line="360" w:lineRule="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6、甲方提交给乙方使用的相关资料，其知识产权仍归甲方所有。除为本合同目的而使用之外，乙方不得复制、使用及提供给第三方。乙方出具的意见报告等相关内容的知识产权归属甲方。</w:t>
      </w:r>
      <w:r>
        <w:rPr>
          <w:rFonts w:hint="eastAsia" w:ascii="宋体" w:hAnsi="宋体"/>
          <w:color w:val="000000"/>
          <w:sz w:val="21"/>
          <w:szCs w:val="21"/>
          <w:highlight w:val="none"/>
          <w:lang w:val="en-US" w:eastAsia="zh-CN"/>
        </w:rPr>
      </w:r>
      <w:r/>
    </w:p>
    <w:p>
      <w:pPr>
        <w:pStyle w:val="876"/>
        <w:rPr>
          <w:rFonts w:hint="eastAsia" w:ascii="宋体" w:hAnsi="宋体" w:eastAsia="宋体" w:cs="Times New Roman"/>
          <w:color w:val="000000"/>
          <w:sz w:val="21"/>
          <w:szCs w:val="21"/>
          <w:highlight w:val="none"/>
        </w:rPr>
      </w:pPr>
      <w:r>
        <w:rPr>
          <w:rFonts w:hint="eastAsia" w:eastAsia="宋体" w:cs="Times New Roman"/>
          <w:color w:val="000000"/>
          <w:sz w:val="21"/>
          <w:szCs w:val="21"/>
          <w:highlight w:val="none"/>
          <w:lang w:val="en-US" w:eastAsia="zh-CN"/>
        </w:rPr>
        <w:t xml:space="preserve">7.</w:t>
      </w:r>
      <w:r>
        <w:rPr>
          <w:rFonts w:hint="eastAsia" w:ascii="宋体" w:hAnsi="宋体" w:eastAsia="宋体" w:cs="Times New Roman"/>
          <w:color w:val="000000"/>
          <w:sz w:val="21"/>
          <w:szCs w:val="21"/>
          <w:highlight w:val="none"/>
        </w:rPr>
        <w:t xml:space="preserve">乙方承诺廉洁履约，杜绝任何形式的商业贿赂行为</w:t>
      </w:r>
      <w:r>
        <w:rPr>
          <w:rFonts w:hint="eastAsia" w:eastAsia="宋体" w:cs="Times New Roman"/>
          <w:color w:val="000000"/>
          <w:sz w:val="21"/>
          <w:szCs w:val="21"/>
          <w:highlight w:val="none"/>
          <w:lang w:eastAsia="zh-CN"/>
        </w:rPr>
        <w:t xml:space="preserve">，</w:t>
      </w:r>
      <w:r>
        <w:rPr>
          <w:rFonts w:hint="eastAsia" w:eastAsia="宋体" w:cs="Times New Roman"/>
          <w:color w:val="000000"/>
          <w:sz w:val="21"/>
          <w:szCs w:val="21"/>
          <w:highlight w:val="none"/>
          <w:lang w:val="en-US" w:eastAsia="zh-CN"/>
        </w:rPr>
        <w:t xml:space="preserve">并</w:t>
      </w:r>
      <w:r>
        <w:rPr>
          <w:rFonts w:hint="eastAsia" w:ascii="宋体" w:hAnsi="宋体" w:eastAsia="宋体" w:cs="Times New Roman"/>
          <w:color w:val="000000"/>
          <w:sz w:val="21"/>
          <w:szCs w:val="21"/>
          <w:highlight w:val="none"/>
        </w:rPr>
        <w:t xml:space="preserve">主动接受相关部门和社会公众监督。</w:t>
      </w:r>
      <w:r>
        <w:rPr>
          <w:rFonts w:hint="eastAsia" w:ascii="宋体" w:hAnsi="宋体" w:eastAsia="宋体" w:cs="Times New Roman"/>
          <w:color w:val="000000"/>
          <w:sz w:val="21"/>
          <w:szCs w:val="21"/>
          <w:highlight w:val="none"/>
        </w:rPr>
      </w:r>
      <w:r/>
    </w:p>
    <w:p>
      <w:pPr>
        <w:pStyle w:val="876"/>
        <w:rPr>
          <w:rFonts w:hint="eastAsia" w:ascii="宋体" w:hAnsi="宋体" w:eastAsia="宋体" w:cs="Times New Roman"/>
          <w:color w:val="000000"/>
          <w:sz w:val="21"/>
          <w:szCs w:val="21"/>
          <w:highlight w:val="none"/>
        </w:rPr>
      </w:pPr>
      <w:r>
        <w:rPr>
          <w:rFonts w:hint="eastAsia" w:eastAsia="宋体" w:cs="Times New Roman"/>
          <w:color w:val="000000"/>
          <w:sz w:val="21"/>
          <w:szCs w:val="21"/>
          <w:highlight w:val="none"/>
          <w:lang w:val="en-US" w:eastAsia="zh-CN"/>
        </w:rPr>
        <w:t xml:space="preserve">8.</w:t>
      </w:r>
      <w:r>
        <w:rPr>
          <w:rFonts w:hint="eastAsia" w:ascii="宋体" w:hAnsi="宋体" w:eastAsia="宋体" w:cs="Times New Roman"/>
          <w:color w:val="000000"/>
          <w:sz w:val="21"/>
          <w:szCs w:val="21"/>
          <w:highlight w:val="none"/>
        </w:rPr>
        <w:t xml:space="preserve">不向甲方工作人员及其亲属提供礼品礼金、有价证券、购物券、回扣、佣金、咨询费、劳务费、赞助费、宣传费、宴请等</w:t>
      </w:r>
      <w:r>
        <w:rPr>
          <w:rFonts w:hint="eastAsia"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不为甲方工作人员报销各种消费凭证</w:t>
      </w:r>
      <w:r>
        <w:rPr>
          <w:rFonts w:hint="eastAsia"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其旅游、娱乐等费用。</w:t>
      </w:r>
      <w:r>
        <w:rPr>
          <w:rFonts w:hint="eastAsia" w:ascii="宋体" w:hAnsi="宋体" w:eastAsia="宋体" w:cs="Times New Roman"/>
          <w:color w:val="000000"/>
          <w:sz w:val="21"/>
          <w:szCs w:val="21"/>
          <w:highlight w:val="none"/>
        </w:rPr>
      </w:r>
      <w:r/>
    </w:p>
    <w:p>
      <w:pPr>
        <w:pStyle w:val="876"/>
        <w:rPr>
          <w:rFonts w:hint="eastAsia" w:eastAsia="宋体" w:cs="Times New Roman"/>
          <w:color w:val="ff0000"/>
          <w:sz w:val="21"/>
          <w:szCs w:val="21"/>
          <w:highlight w:val="none"/>
          <w:lang w:val="en-US" w:eastAsia="zh-CN"/>
        </w:rPr>
      </w:pPr>
      <w:r>
        <w:rPr>
          <w:rFonts w:hint="eastAsia" w:eastAsia="宋体" w:cs="Times New Roman"/>
          <w:color w:val="000000"/>
          <w:sz w:val="21"/>
          <w:szCs w:val="21"/>
          <w:highlight w:val="none"/>
          <w:lang w:val="en-US" w:eastAsia="zh-CN"/>
        </w:rPr>
        <w:t xml:space="preserve">9.</w:t>
      </w:r>
      <w:r>
        <w:rPr>
          <w:rFonts w:hint="eastAsia" w:ascii="宋体" w:hAnsi="宋体" w:eastAsia="宋体" w:cs="Times New Roman"/>
          <w:color w:val="000000"/>
          <w:sz w:val="21"/>
          <w:szCs w:val="21"/>
          <w:highlight w:val="none"/>
        </w:rPr>
        <w:t xml:space="preserve">乙方运维期间不得对环境监测设备进行人为干扰（如调整数据、修改仪器参数、弄虚作假等），违者甲方有权解除合同并追究法律责任。</w:t>
      </w:r>
      <w:r>
        <w:rPr>
          <w:rFonts w:hint="eastAsia" w:eastAsia="宋体" w:cs="Times New Roman"/>
          <w:color w:val="ff0000"/>
          <w:sz w:val="21"/>
          <w:szCs w:val="21"/>
          <w:highlight w:val="none"/>
          <w:lang w:val="en-US" w:eastAsia="zh-CN"/>
        </w:rPr>
      </w:r>
      <w:r/>
    </w:p>
    <w:p>
      <w:pPr>
        <w:pStyle w:val="864"/>
        <w:ind w:firstLine="480"/>
        <w:spacing w:line="360" w:lineRule="auto"/>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五、违约责任：</w:t>
      </w:r>
      <w:r>
        <w:rPr>
          <w:rFonts w:hint="eastAsia" w:ascii="宋体" w:hAnsi="宋体"/>
          <w:b/>
          <w:bCs/>
          <w:color w:val="000000"/>
          <w:sz w:val="21"/>
          <w:szCs w:val="21"/>
          <w:highlight w:val="none"/>
        </w:rPr>
      </w:r>
      <w:r/>
    </w:p>
    <w:p>
      <w:pPr>
        <w:pStyle w:val="864"/>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A、</w:t>
      </w:r>
      <w:r>
        <w:rPr>
          <w:rFonts w:ascii="宋体" w:hAnsi="宋体"/>
          <w:color w:val="000000"/>
          <w:sz w:val="21"/>
          <w:szCs w:val="21"/>
          <w:highlight w:val="none"/>
        </w:rPr>
        <w:t xml:space="preserve">甲方违约责任及违约金支付：</w:t>
      </w:r>
      <w:r>
        <w:rPr>
          <w:rFonts w:ascii="宋体" w:hAnsi="宋体"/>
          <w:color w:val="000000"/>
          <w:sz w:val="21"/>
          <w:szCs w:val="21"/>
          <w:highlight w:val="none"/>
        </w:rPr>
      </w:r>
      <w:r/>
    </w:p>
    <w:p>
      <w:pPr>
        <w:pStyle w:val="864"/>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t xml:space="preserve">在合同生效后，甲方无理由要求终止服务的，应向乙方偿付合同总价款的5%，作为违约金，违约金不足以补偿损失的，乙方有权要求甲方补足；</w:t>
      </w:r>
      <w:r>
        <w:rPr>
          <w:rFonts w:ascii="宋体" w:hAnsi="宋体"/>
          <w:color w:val="000000"/>
          <w:sz w:val="21"/>
          <w:szCs w:val="21"/>
          <w:highlight w:val="none"/>
        </w:rPr>
      </w:r>
      <w:r/>
    </w:p>
    <w:p>
      <w:pPr>
        <w:pStyle w:val="864"/>
        <w:ind w:left="479"/>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甲方违反合同规定，拒绝接受乙方提供服务，应当承担乙方由此造成的损失。</w:t>
      </w:r>
      <w:r>
        <w:rPr>
          <w:rFonts w:ascii="宋体" w:hAnsi="宋体"/>
          <w:color w:val="000000"/>
          <w:sz w:val="21"/>
          <w:szCs w:val="21"/>
          <w:highlight w:val="none"/>
        </w:rPr>
      </w:r>
      <w:r/>
    </w:p>
    <w:p>
      <w:pPr>
        <w:pStyle w:val="864"/>
        <w:ind w:left="479"/>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B、</w:t>
      </w:r>
      <w:r>
        <w:rPr>
          <w:rFonts w:ascii="宋体" w:hAnsi="宋体"/>
          <w:color w:val="000000"/>
          <w:sz w:val="21"/>
          <w:szCs w:val="21"/>
          <w:highlight w:val="none"/>
        </w:rPr>
        <w:t xml:space="preserve">乙方违约责任及违约金支付：</w:t>
      </w:r>
      <w:r>
        <w:rPr>
          <w:rFonts w:ascii="宋体" w:hAnsi="宋体"/>
          <w:color w:val="000000"/>
          <w:sz w:val="21"/>
          <w:szCs w:val="21"/>
          <w:highlight w:val="none"/>
        </w:rPr>
      </w:r>
      <w:r/>
    </w:p>
    <w:p>
      <w:pPr>
        <w:pStyle w:val="864"/>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t xml:space="preserve">乙方不能提供服务的，或服务不合格从而影响甲方按期正常使用的，应向甲方偿付合同总价款5%的违约金，违约金不足以补偿损失的甲方有权要求乙方补足。</w:t>
      </w:r>
      <w:r>
        <w:rPr>
          <w:rFonts w:ascii="宋体" w:hAnsi="宋体"/>
          <w:color w:val="000000"/>
          <w:sz w:val="21"/>
          <w:szCs w:val="21"/>
          <w:highlight w:val="none"/>
        </w:rPr>
      </w:r>
      <w:r/>
    </w:p>
    <w:p>
      <w:pPr>
        <w:pStyle w:val="876"/>
        <w:rPr>
          <w:rFonts w:eastAsia="宋体"/>
          <w:lang w:val="en-US" w:eastAsia="zh-CN"/>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乙方逾期提供服务的，应与甲方和政府采购管理部门协商，甲方仍有需求的，乙方应立即提供服务</w:t>
      </w:r>
      <w:r>
        <w:rPr>
          <w:rFonts w:hint="eastAsia" w:ascii="宋体" w:hAnsi="宋体"/>
          <w:color w:val="000000"/>
          <w:sz w:val="21"/>
          <w:szCs w:val="21"/>
          <w:highlight w:val="none"/>
          <w:lang w:val="en-US" w:eastAsia="zh-CN"/>
        </w:rPr>
        <w:t xml:space="preserve">并</w:t>
      </w:r>
      <w:r>
        <w:rPr>
          <w:rFonts w:ascii="宋体" w:hAnsi="宋体"/>
          <w:color w:val="000000"/>
          <w:sz w:val="21"/>
          <w:szCs w:val="21"/>
          <w:highlight w:val="none"/>
        </w:rPr>
        <w:t xml:space="preserve">按照逾期服务的</w:t>
      </w:r>
      <w:r>
        <w:rPr>
          <w:rFonts w:hint="eastAsia" w:ascii="宋体" w:hAnsi="宋体"/>
          <w:color w:val="000000"/>
          <w:sz w:val="21"/>
          <w:szCs w:val="21"/>
          <w:highlight w:val="none"/>
          <w:lang w:val="en-US" w:eastAsia="zh-CN"/>
        </w:rPr>
        <w:t xml:space="preserve">期间，以</w:t>
      </w:r>
      <w:r>
        <w:rPr>
          <w:rFonts w:ascii="宋体" w:hAnsi="宋体"/>
          <w:color w:val="000000"/>
          <w:sz w:val="21"/>
          <w:szCs w:val="21"/>
          <w:highlight w:val="none"/>
        </w:rPr>
        <w:t xml:space="preserve">每天万分之四支付逾期违约金，同时承担甲方因此遭致的损失费用。</w:t>
      </w:r>
      <w:r>
        <w:rPr>
          <w:rFonts w:eastAsia="宋体"/>
          <w:lang w:val="en-US" w:eastAsia="zh-CN"/>
        </w:rPr>
      </w:r>
      <w:r/>
    </w:p>
    <w:p>
      <w:pPr>
        <w:pStyle w:val="864"/>
        <w:ind w:firstLine="48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3、乙方必须自己完成合同内容，不得转包、分包，否则，甲方有权要求乙方赔偿损失，并追究乙方</w:t>
      </w:r>
      <w:r>
        <w:rPr>
          <w:rFonts w:ascii="宋体" w:hAnsi="宋体"/>
          <w:color w:val="000000"/>
          <w:sz w:val="21"/>
          <w:szCs w:val="21"/>
          <w:highlight w:val="none"/>
        </w:rPr>
        <w:t xml:space="preserve">合同总价款5%的违约金</w:t>
      </w:r>
      <w:r>
        <w:rPr>
          <w:rFonts w:hint="eastAsia" w:ascii="宋体" w:hAnsi="宋体"/>
          <w:color w:val="000000"/>
          <w:sz w:val="21"/>
          <w:szCs w:val="21"/>
          <w:highlight w:val="none"/>
        </w:rPr>
        <w:t xml:space="preserve">，且甲方有权解除合同。</w:t>
      </w:r>
      <w:r>
        <w:rPr>
          <w:rFonts w:hint="eastAsia" w:ascii="宋体" w:hAnsi="宋体"/>
          <w:color w:val="000000"/>
          <w:sz w:val="21"/>
          <w:szCs w:val="21"/>
          <w:highlight w:val="none"/>
        </w:rPr>
      </w:r>
      <w:r/>
    </w:p>
    <w:p>
      <w:pPr>
        <w:pStyle w:val="864"/>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4、若乙方未遵守保密义务，出现泄漏甲方或第三方秘密的情形，甲方有权要求乙方赔偿损失，并追究乙方合同总金额</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%的违约金，且甲方有权解除合同。情节严重涉及违法犯罪的，依法移交司法机关处理。</w:t>
      </w:r>
      <w:r>
        <w:rPr>
          <w:rFonts w:ascii="宋体" w:hAnsi="宋体"/>
          <w:color w:val="000000"/>
          <w:sz w:val="21"/>
          <w:szCs w:val="21"/>
          <w:highlight w:val="none"/>
        </w:rPr>
      </w:r>
      <w:r/>
    </w:p>
    <w:p>
      <w:pPr>
        <w:pStyle w:val="864"/>
        <w:ind w:firstLine="48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5、若因乙方侵犯甲方知识产权，甲方有权终止与乙方的合作，解除合同</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追究乙方合同总金额</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%的违约金</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并赔偿全部损失</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876"/>
        <w:rPr>
          <w:rFonts w:hint="eastAsia"/>
          <w:sz w:val="22"/>
          <w:szCs w:val="22"/>
        </w:rPr>
      </w:pPr>
      <w:r>
        <w:rPr>
          <w:rFonts w:hint="eastAsia"/>
          <w:sz w:val="22"/>
          <w:szCs w:val="22"/>
          <w:lang w:val="en-US" w:eastAsia="zh-CN"/>
        </w:rPr>
        <w:t xml:space="preserve">6、若乙方在协助甲方开展检查工作期间，出现以任何形式推广、推销公司业务的行为，甲方有权利解除合同，并不予支付全部的合同价款。</w:t>
      </w:r>
      <w:r>
        <w:rPr>
          <w:rFonts w:hint="eastAsia"/>
          <w:sz w:val="22"/>
          <w:szCs w:val="22"/>
        </w:rPr>
      </w:r>
      <w:r/>
    </w:p>
    <w:p>
      <w:pPr>
        <w:pStyle w:val="864"/>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7  </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采购文件规定的其他违约情形。   </w:t>
      </w:r>
      <w:r>
        <w:rPr>
          <w:rFonts w:ascii="宋体" w:hAnsi="宋体"/>
          <w:color w:val="000000"/>
          <w:sz w:val="21"/>
          <w:szCs w:val="21"/>
          <w:highlight w:val="none"/>
        </w:rPr>
      </w:r>
      <w:r/>
    </w:p>
    <w:p>
      <w:pPr>
        <w:pStyle w:val="864"/>
        <w:ind w:firstLine="480"/>
        <w:spacing w:line="360" w:lineRule="auto"/>
        <w:rPr>
          <w:rFonts w:ascii="宋体" w:hAnsi="宋体"/>
          <w:b/>
          <w:bCs/>
          <w:color w:val="000000"/>
          <w:sz w:val="21"/>
          <w:szCs w:val="21"/>
          <w:highlight w:val="none"/>
        </w:rPr>
      </w:pPr>
      <w:r>
        <w:rPr>
          <w:rFonts w:hint="eastAsia" w:ascii="宋体" w:hAnsi="宋体"/>
          <w:b/>
          <w:bCs/>
          <w:color w:val="000000"/>
          <w:sz w:val="21"/>
          <w:szCs w:val="21"/>
          <w:highlight w:val="none"/>
        </w:rPr>
        <w:t xml:space="preserve"> 六、不可抗力</w:t>
      </w:r>
      <w:r>
        <w:rPr>
          <w:rFonts w:ascii="宋体" w:hAnsi="宋体"/>
          <w:b/>
          <w:bCs/>
          <w:color w:val="000000"/>
          <w:sz w:val="21"/>
          <w:szCs w:val="21"/>
          <w:highlight w:val="none"/>
        </w:rPr>
      </w:r>
      <w:r/>
    </w:p>
    <w:p>
      <w:pPr>
        <w:pStyle w:val="864"/>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1、甲、乙双方如果因不可抗力而导致合同义务的延误或不能履行，不承担没收履约保证金、误期赔偿或终止合同的责任。</w:t>
      </w:r>
      <w:r>
        <w:rPr>
          <w:rFonts w:ascii="宋体" w:hAnsi="宋体"/>
          <w:color w:val="000000"/>
          <w:sz w:val="21"/>
          <w:szCs w:val="21"/>
          <w:highlight w:val="none"/>
        </w:rPr>
      </w:r>
      <w:r/>
    </w:p>
    <w:p>
      <w:pPr>
        <w:pStyle w:val="864"/>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2、本条所述的“不可抗力”系指下列甲、乙双方无法控制、不可预见的事件，但不包括甲、乙双方的违约或疏忽。这些事件包括：战争、严重火灾、洪水、台风、地震以及其他甲方和乙方商定的事件。</w:t>
      </w:r>
      <w:r>
        <w:rPr>
          <w:rFonts w:ascii="宋体" w:hAnsi="宋体"/>
          <w:color w:val="000000"/>
          <w:sz w:val="21"/>
          <w:szCs w:val="21"/>
          <w:highlight w:val="none"/>
        </w:rPr>
      </w:r>
      <w:r/>
    </w:p>
    <w:p>
      <w:pPr>
        <w:pStyle w:val="864"/>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定点供应商义务的协议。</w:t>
      </w:r>
      <w:r>
        <w:rPr>
          <w:rFonts w:ascii="宋体" w:hAnsi="宋体"/>
          <w:color w:val="000000"/>
          <w:sz w:val="21"/>
          <w:szCs w:val="21"/>
          <w:highlight w:val="none"/>
        </w:rPr>
      </w:r>
      <w:r/>
    </w:p>
    <w:p>
      <w:pPr>
        <w:pStyle w:val="864"/>
        <w:ind w:firstLine="480"/>
        <w:spacing w:line="360" w:lineRule="auto"/>
        <w:rPr>
          <w:rFonts w:ascii="宋体" w:hAnsi="宋体"/>
          <w:b/>
          <w:bCs/>
          <w:color w:val="000000"/>
          <w:sz w:val="21"/>
          <w:szCs w:val="21"/>
          <w:highlight w:val="none"/>
        </w:rPr>
      </w:pPr>
      <w:r>
        <w:rPr>
          <w:rFonts w:hint="eastAsia" w:ascii="宋体" w:hAnsi="宋体"/>
          <w:b/>
          <w:bCs/>
          <w:color w:val="000000"/>
          <w:sz w:val="21"/>
          <w:szCs w:val="21"/>
          <w:highlight w:val="none"/>
        </w:rPr>
        <w:t xml:space="preserve">七、合同的解除</w:t>
      </w:r>
      <w:r>
        <w:rPr>
          <w:rFonts w:ascii="宋体" w:hAnsi="宋体"/>
          <w:b/>
          <w:bCs/>
          <w:color w:val="000000"/>
          <w:sz w:val="21"/>
          <w:szCs w:val="21"/>
          <w:highlight w:val="none"/>
        </w:rPr>
      </w:r>
      <w:r/>
    </w:p>
    <w:p>
      <w:pPr>
        <w:pStyle w:val="864"/>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1、甲方和乙方</w:t>
      </w:r>
      <w:r>
        <w:rPr>
          <w:rFonts w:hint="eastAsia" w:ascii="宋体" w:hAnsi="宋体"/>
          <w:color w:val="000000"/>
          <w:sz w:val="21"/>
          <w:szCs w:val="21"/>
          <w:highlight w:val="none"/>
          <w:lang w:val="en-US" w:eastAsia="zh-CN"/>
        </w:rPr>
        <w:t xml:space="preserve">均</w:t>
      </w:r>
      <w:r>
        <w:rPr>
          <w:rFonts w:hint="eastAsia" w:ascii="宋体" w:hAnsi="宋体"/>
          <w:color w:val="000000"/>
          <w:sz w:val="21"/>
          <w:szCs w:val="21"/>
          <w:highlight w:val="none"/>
        </w:rPr>
        <w:t xml:space="preserve">不得擅自</w:t>
      </w:r>
      <w:r>
        <w:rPr>
          <w:rFonts w:hint="eastAsia" w:ascii="宋体" w:hAnsi="宋体"/>
          <w:color w:val="000000"/>
          <w:sz w:val="21"/>
          <w:szCs w:val="21"/>
          <w:highlight w:val="none"/>
          <w:lang w:val="en-US" w:eastAsia="zh-CN"/>
        </w:rPr>
        <w:t xml:space="preserve">单方面</w:t>
      </w:r>
      <w:r>
        <w:rPr>
          <w:rFonts w:hint="eastAsia" w:ascii="宋体" w:hAnsi="宋体"/>
          <w:color w:val="000000"/>
          <w:sz w:val="21"/>
          <w:szCs w:val="21"/>
          <w:highlight w:val="none"/>
        </w:rPr>
        <w:t xml:space="preserve">解除合同。</w:t>
      </w:r>
      <w:r>
        <w:rPr>
          <w:rFonts w:ascii="宋体" w:hAnsi="宋体"/>
          <w:color w:val="000000"/>
          <w:sz w:val="21"/>
          <w:szCs w:val="21"/>
          <w:highlight w:val="none"/>
        </w:rPr>
      </w:r>
      <w:r/>
    </w:p>
    <w:p>
      <w:pPr>
        <w:pStyle w:val="864"/>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2、有权解除合同的一方，应当在违约事实或不可抗力发生之后三十天内书面通知对方提出解除合同，合同在书面通知到达对方时解除。</w:t>
      </w:r>
      <w:r>
        <w:rPr>
          <w:rFonts w:ascii="宋体" w:hAnsi="宋体"/>
          <w:color w:val="000000"/>
          <w:sz w:val="21"/>
          <w:szCs w:val="21"/>
          <w:highlight w:val="none"/>
        </w:rPr>
      </w:r>
      <w:r/>
    </w:p>
    <w:p>
      <w:pPr>
        <w:pStyle w:val="864"/>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3、合同的部分和全部都不得擅自转让。</w:t>
      </w:r>
      <w:r>
        <w:rPr>
          <w:rFonts w:ascii="宋体" w:hAnsi="宋体"/>
          <w:color w:val="000000"/>
          <w:sz w:val="21"/>
          <w:szCs w:val="21"/>
          <w:highlight w:val="none"/>
        </w:rPr>
      </w:r>
      <w:r/>
    </w:p>
    <w:p>
      <w:pPr>
        <w:pStyle w:val="864"/>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4、出现下列情况之一</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双方</w:t>
      </w:r>
      <w:r>
        <w:rPr>
          <w:rFonts w:hint="eastAsia" w:ascii="宋体" w:hAnsi="宋体"/>
          <w:color w:val="000000"/>
          <w:sz w:val="21"/>
          <w:szCs w:val="21"/>
          <w:highlight w:val="none"/>
        </w:rPr>
        <w:t xml:space="preserve">可以解除合同：</w:t>
      </w:r>
      <w:r>
        <w:rPr>
          <w:rFonts w:ascii="宋体" w:hAnsi="宋体"/>
          <w:color w:val="000000"/>
          <w:sz w:val="21"/>
          <w:szCs w:val="21"/>
          <w:highlight w:val="none"/>
        </w:rPr>
      </w:r>
      <w:r/>
    </w:p>
    <w:p>
      <w:pPr>
        <w:pStyle w:val="864"/>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（1）在合同有效期内，乙方被行业主管部门警告或取消经营资格的；</w:t>
      </w:r>
      <w:r>
        <w:rPr>
          <w:rFonts w:ascii="宋体" w:hAnsi="宋体"/>
          <w:color w:val="000000"/>
          <w:sz w:val="21"/>
          <w:szCs w:val="21"/>
          <w:highlight w:val="none"/>
        </w:rPr>
      </w:r>
      <w:r/>
    </w:p>
    <w:p>
      <w:pPr>
        <w:pStyle w:val="864"/>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乙方</w:t>
      </w:r>
      <w:r>
        <w:rPr>
          <w:rFonts w:hint="eastAsia" w:ascii="宋体" w:hAnsi="宋体"/>
          <w:color w:val="000000"/>
          <w:sz w:val="21"/>
          <w:szCs w:val="21"/>
          <w:highlight w:val="none"/>
        </w:rPr>
        <w:t xml:space="preserve">未按承诺的价格提供服务的；</w:t>
      </w:r>
      <w:r>
        <w:rPr>
          <w:rFonts w:ascii="宋体" w:hAnsi="宋体"/>
          <w:color w:val="000000"/>
          <w:sz w:val="21"/>
          <w:szCs w:val="21"/>
          <w:highlight w:val="none"/>
        </w:rPr>
      </w:r>
      <w:r/>
    </w:p>
    <w:p>
      <w:pPr>
        <w:pStyle w:val="864"/>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rPr>
        <w:t xml:space="preserve">）乙方有编造数据、弄虚作假或其他影响</w:t>
      </w:r>
      <w:r>
        <w:rPr>
          <w:rFonts w:hint="eastAsia" w:ascii="宋体" w:hAnsi="宋体"/>
          <w:color w:val="000000"/>
          <w:sz w:val="21"/>
          <w:szCs w:val="21"/>
          <w:highlight w:val="none"/>
          <w:lang w:val="en-US" w:eastAsia="zh-CN"/>
        </w:rPr>
        <w:t xml:space="preserve">检查</w:t>
      </w:r>
      <w:r>
        <w:rPr>
          <w:rFonts w:hint="eastAsia" w:ascii="宋体" w:hAnsi="宋体"/>
          <w:color w:val="000000"/>
          <w:sz w:val="21"/>
          <w:szCs w:val="21"/>
          <w:highlight w:val="none"/>
        </w:rPr>
        <w:t xml:space="preserve">活动的行为，经查实的。</w:t>
      </w:r>
      <w:r>
        <w:rPr>
          <w:rFonts w:ascii="宋体" w:hAnsi="宋体"/>
          <w:color w:val="000000"/>
          <w:sz w:val="21"/>
          <w:szCs w:val="21"/>
          <w:highlight w:val="none"/>
        </w:rPr>
      </w:r>
      <w:r/>
    </w:p>
    <w:p>
      <w:pPr>
        <w:pStyle w:val="864"/>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符合</w:t>
      </w:r>
      <w:r>
        <w:rPr>
          <w:rFonts w:hint="eastAsia" w:ascii="宋体" w:hAnsi="宋体"/>
          <w:color w:val="000000"/>
          <w:sz w:val="21"/>
          <w:szCs w:val="21"/>
          <w:highlight w:val="none"/>
        </w:rPr>
        <w:t xml:space="preserve">本招标文件中有关解除合同的其他条款约定的。</w:t>
      </w:r>
      <w:r>
        <w:rPr>
          <w:rFonts w:ascii="宋体" w:hAnsi="宋体"/>
          <w:color w:val="000000"/>
          <w:sz w:val="21"/>
          <w:szCs w:val="21"/>
          <w:highlight w:val="none"/>
        </w:rPr>
      </w:r>
      <w:r/>
    </w:p>
    <w:p>
      <w:pPr>
        <w:pStyle w:val="864"/>
        <w:ind w:firstLine="480"/>
        <w:spacing w:line="360" w:lineRule="auto"/>
        <w:rPr>
          <w:rFonts w:ascii="宋体" w:hAnsi="宋体"/>
          <w:b/>
          <w:bCs/>
          <w:color w:val="000000"/>
          <w:sz w:val="21"/>
          <w:szCs w:val="21"/>
          <w:highlight w:val="none"/>
        </w:rPr>
      </w:pPr>
      <w:r>
        <w:rPr>
          <w:rFonts w:hint="eastAsia" w:ascii="宋体" w:hAnsi="宋体"/>
          <w:b/>
          <w:bCs/>
          <w:color w:val="000000"/>
          <w:sz w:val="21"/>
          <w:szCs w:val="21"/>
          <w:highlight w:val="none"/>
        </w:rPr>
        <w:t xml:space="preserve">八、争议处置</w:t>
      </w:r>
      <w:r>
        <w:rPr>
          <w:rFonts w:ascii="宋体" w:hAnsi="宋体"/>
          <w:b/>
          <w:bCs/>
          <w:color w:val="000000"/>
          <w:sz w:val="21"/>
          <w:szCs w:val="21"/>
          <w:highlight w:val="none"/>
        </w:rPr>
      </w:r>
      <w:r/>
    </w:p>
    <w:p>
      <w:pPr>
        <w:pStyle w:val="864"/>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在执行本合同中所发生的一切争议，各方（甲方、乙方）应通过友好协商的办法进行解决，如协商不能解决的，有关当事方可提请甲方单位所在地人民法院进行裁决。</w:t>
      </w:r>
      <w:r>
        <w:rPr>
          <w:rFonts w:ascii="宋体" w:hAnsi="宋体"/>
          <w:color w:val="000000"/>
          <w:sz w:val="21"/>
          <w:szCs w:val="21"/>
          <w:highlight w:val="none"/>
        </w:rPr>
      </w:r>
      <w:r/>
    </w:p>
    <w:p>
      <w:pPr>
        <w:pStyle w:val="864"/>
        <w:ind w:firstLine="480"/>
        <w:spacing w:line="360" w:lineRule="auto"/>
        <w:rPr>
          <w:rFonts w:ascii="宋体" w:hAnsi="宋体"/>
          <w:b/>
          <w:bCs/>
          <w:color w:val="000000"/>
          <w:sz w:val="21"/>
          <w:szCs w:val="21"/>
          <w:highlight w:val="none"/>
        </w:rPr>
      </w:pPr>
      <w:r>
        <w:rPr>
          <w:rFonts w:hint="eastAsia" w:ascii="宋体" w:hAnsi="宋体"/>
          <w:b/>
          <w:bCs/>
          <w:color w:val="000000"/>
          <w:sz w:val="21"/>
          <w:szCs w:val="21"/>
          <w:highlight w:val="none"/>
        </w:rPr>
        <w:t xml:space="preserve">九、合同生效及其他</w:t>
      </w:r>
      <w:r>
        <w:rPr>
          <w:rFonts w:ascii="宋体" w:hAnsi="宋体"/>
          <w:b/>
          <w:bCs/>
          <w:color w:val="000000"/>
          <w:sz w:val="21"/>
          <w:szCs w:val="21"/>
          <w:highlight w:val="none"/>
        </w:rPr>
      </w:r>
      <w:r/>
    </w:p>
    <w:p>
      <w:pPr>
        <w:pStyle w:val="864"/>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1、本合同</w:t>
      </w:r>
      <w:r>
        <w:rPr>
          <w:rFonts w:hint="eastAsia" w:ascii="宋体" w:hAnsi="宋体"/>
          <w:color w:val="000000"/>
          <w:sz w:val="21"/>
          <w:szCs w:val="21"/>
          <w:highlight w:val="none"/>
          <w:lang w:val="en-US" w:eastAsia="zh-CN"/>
        </w:rPr>
        <w:t xml:space="preserve">一式四份双方各执两份，</w:t>
      </w:r>
      <w:r>
        <w:rPr>
          <w:rFonts w:hint="eastAsia" w:ascii="宋体" w:hAnsi="宋体"/>
          <w:color w:val="000000"/>
          <w:sz w:val="21"/>
          <w:szCs w:val="21"/>
          <w:highlight w:val="none"/>
        </w:rPr>
        <w:t xml:space="preserve">经甲乙双方签字并盖章后生效，并</w:t>
      </w:r>
      <w:r>
        <w:rPr>
          <w:rFonts w:hint="eastAsia" w:ascii="宋体" w:hAnsi="宋体"/>
          <w:color w:val="000000"/>
          <w:sz w:val="21"/>
          <w:szCs w:val="21"/>
          <w:highlight w:val="none"/>
          <w:lang w:val="en-US" w:eastAsia="zh-CN"/>
        </w:rPr>
        <w:t xml:space="preserve">应当</w:t>
      </w:r>
      <w:r>
        <w:rPr>
          <w:rFonts w:hint="eastAsia" w:ascii="宋体" w:hAnsi="宋体"/>
          <w:color w:val="000000"/>
          <w:sz w:val="21"/>
          <w:szCs w:val="21"/>
          <w:highlight w:val="none"/>
        </w:rPr>
        <w:t xml:space="preserve">于7个工作日内进行系统备案。</w:t>
      </w:r>
      <w:r>
        <w:rPr>
          <w:rFonts w:ascii="宋体" w:hAnsi="宋体"/>
          <w:color w:val="000000"/>
          <w:sz w:val="21"/>
          <w:szCs w:val="21"/>
          <w:highlight w:val="none"/>
        </w:rPr>
      </w:r>
      <w:r/>
    </w:p>
    <w:p>
      <w:pPr>
        <w:pStyle w:val="864"/>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2、合同在执行过程中出现的未尽事宜，双方在不违背本合同的原则下协商解决，协商结果以书面形式记录在案，作为本合同附件，与本合同具有同等效力。</w:t>
      </w:r>
      <w:r>
        <w:rPr>
          <w:rFonts w:ascii="宋体" w:hAnsi="宋体"/>
          <w:color w:val="000000"/>
          <w:sz w:val="21"/>
          <w:szCs w:val="21"/>
          <w:highlight w:val="none"/>
        </w:rPr>
      </w:r>
      <w:r/>
    </w:p>
    <w:p>
      <w:pPr>
        <w:pStyle w:val="864"/>
        <w:ind w:firstLine="48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pStyle w:val="864"/>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甲方（盖章）：                   乙方（盖章）：</w:t>
      </w:r>
      <w:r>
        <w:rPr>
          <w:rFonts w:ascii="宋体" w:hAnsi="宋体"/>
          <w:color w:val="000000"/>
          <w:sz w:val="21"/>
          <w:szCs w:val="21"/>
          <w:highlight w:val="none"/>
        </w:rPr>
      </w:r>
      <w:r/>
    </w:p>
    <w:p>
      <w:pPr>
        <w:pStyle w:val="864"/>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甲方代表：                       乙方代表：</w:t>
      </w:r>
      <w:r>
        <w:rPr>
          <w:rFonts w:ascii="宋体" w:hAnsi="宋体"/>
          <w:color w:val="000000"/>
          <w:sz w:val="21"/>
          <w:szCs w:val="21"/>
          <w:highlight w:val="none"/>
        </w:rPr>
      </w:r>
      <w:r/>
    </w:p>
    <w:p>
      <w:pPr>
        <w:pStyle w:val="864"/>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日期：  年  月  日              日期：     年  月   日 </w:t>
      </w:r>
      <w:r>
        <w:rPr>
          <w:rFonts w:ascii="宋体" w:hAnsi="宋体"/>
          <w:color w:val="000000"/>
          <w:sz w:val="21"/>
          <w:szCs w:val="21"/>
          <w:highlight w:val="none"/>
        </w:rPr>
      </w:r>
      <w:r/>
    </w:p>
    <w:p>
      <w:pPr>
        <w:pStyle w:val="864"/>
        <w:rPr>
          <w:rFonts w:hint="eastAsia"/>
          <w:color w:val="000000"/>
          <w:sz w:val="24"/>
          <w:highlight w:val="none"/>
        </w:rPr>
      </w:pPr>
      <w:r/>
      <w:bookmarkStart w:id="94" w:name="_Toc161752436"/>
      <w:r>
        <w:rPr>
          <w:rFonts w:hint="eastAsia"/>
          <w:color w:val="000000"/>
          <w:sz w:val="21"/>
          <w:szCs w:val="21"/>
          <w:highlight w:val="none"/>
        </w:rPr>
        <w:br w:type="page" w:clear="all"/>
      </w:r>
      <w:r>
        <w:rPr>
          <w:rFonts w:hint="eastAsia"/>
          <w:color w:val="000000"/>
          <w:sz w:val="24"/>
          <w:highlight w:val="none"/>
        </w:rPr>
      </w:r>
      <w:r/>
    </w:p>
    <w:p>
      <w:pPr>
        <w:pStyle w:val="1126"/>
        <w:rPr>
          <w:bCs w:val="0"/>
          <w:color w:val="000000"/>
          <w:sz w:val="24"/>
          <w:szCs w:val="24"/>
          <w:highlight w:val="none"/>
        </w:rPr>
      </w:pPr>
      <w:r>
        <w:rPr>
          <w:rFonts w:hint="eastAsia"/>
          <w:bCs w:val="0"/>
          <w:color w:val="000000"/>
          <w:sz w:val="24"/>
          <w:szCs w:val="24"/>
          <w:highlight w:val="none"/>
        </w:rPr>
        <w:t xml:space="preserve">第六章  评标方法、评分标准</w:t>
      </w:r>
      <w:bookmarkEnd w:id="91"/>
      <w:r/>
      <w:bookmarkEnd w:id="92"/>
      <w:r/>
      <w:bookmarkEnd w:id="94"/>
      <w:r>
        <w:rPr>
          <w:bCs w:val="0"/>
          <w:color w:val="000000"/>
          <w:sz w:val="24"/>
          <w:szCs w:val="24"/>
          <w:highlight w:val="none"/>
        </w:rPr>
      </w:r>
      <w:r/>
    </w:p>
    <w:p>
      <w:pPr>
        <w:pStyle w:val="864"/>
        <w:ind w:firstLine="480"/>
        <w:spacing w:line="360" w:lineRule="auto"/>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t xml:space="preserve">一、评标方法：</w:t>
      </w:r>
      <w:r>
        <w:rPr>
          <w:rFonts w:hint="eastAsia" w:ascii="宋体" w:hAnsi="宋体" w:eastAsia="宋体" w:cs="宋体"/>
          <w:b/>
          <w:bCs/>
          <w:color w:val="000000"/>
          <w:sz w:val="21"/>
          <w:szCs w:val="21"/>
          <w:highlight w:val="none"/>
        </w:rPr>
      </w:r>
      <w:r/>
    </w:p>
    <w:p>
      <w:pPr>
        <w:pStyle w:val="86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本次评标方法为综合评分法。即投标文件满足招标文件全部实质性要求，且按照评审因素的量化指标评审得分最高的投标人为中标人的评标方法。</w:t>
      </w:r>
      <w:r>
        <w:rPr>
          <w:rFonts w:hint="eastAsia" w:ascii="宋体" w:hAnsi="宋体" w:eastAsia="宋体" w:cs="宋体"/>
          <w:color w:val="000000"/>
          <w:sz w:val="21"/>
          <w:szCs w:val="21"/>
          <w:highlight w:val="none"/>
        </w:rPr>
      </w:r>
      <w:r/>
    </w:p>
    <w:p>
      <w:pPr>
        <w:pStyle w:val="86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评审因素的设定与投标人所投服务的质量相关，包括投标价格、服务水平、履约能力、售后服务等。总分值为100分，价格分值占总分值的比重为10%，技术部分及其他分值占总分值的比重为90%。</w:t>
      </w:r>
      <w:r>
        <w:rPr>
          <w:rFonts w:hint="eastAsia" w:ascii="宋体" w:hAnsi="宋体" w:eastAsia="宋体" w:cs="宋体"/>
          <w:color w:val="000000"/>
          <w:sz w:val="21"/>
          <w:szCs w:val="21"/>
          <w:highlight w:val="none"/>
        </w:rPr>
      </w:r>
      <w:r/>
    </w:p>
    <w:p>
      <w:pPr>
        <w:pStyle w:val="86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和相同的，则以抽签决定中标人。</w:t>
      </w:r>
      <w:r>
        <w:rPr>
          <w:rFonts w:hint="eastAsia" w:ascii="宋体" w:hAnsi="宋体" w:eastAsia="宋体" w:cs="宋体"/>
          <w:color w:val="000000"/>
          <w:sz w:val="21"/>
          <w:szCs w:val="21"/>
          <w:highlight w:val="none"/>
        </w:rPr>
      </w:r>
      <w:r/>
    </w:p>
    <w:p>
      <w:pPr>
        <w:pStyle w:val="86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二、采购政策</w:t>
      </w:r>
      <w:r>
        <w:rPr>
          <w:rFonts w:hint="eastAsia" w:ascii="宋体" w:hAnsi="宋体" w:eastAsia="宋体" w:cs="宋体"/>
          <w:color w:val="000000"/>
          <w:sz w:val="21"/>
          <w:szCs w:val="21"/>
          <w:highlight w:val="none"/>
        </w:rPr>
      </w:r>
      <w:r/>
    </w:p>
    <w:p>
      <w:pPr>
        <w:pStyle w:val="86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（一）小、微企业</w:t>
      </w:r>
      <w:r>
        <w:rPr>
          <w:rFonts w:hint="eastAsia" w:ascii="宋体" w:hAnsi="宋体" w:eastAsia="宋体" w:cs="宋体"/>
          <w:color w:val="000000"/>
          <w:sz w:val="21"/>
          <w:szCs w:val="21"/>
          <w:highlight w:val="none"/>
        </w:rPr>
      </w:r>
      <w:r/>
    </w:p>
    <w:p>
      <w:pPr>
        <w:pStyle w:val="86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政府采购促进中小企业发展管理办法》（财库〔2020〕46号）的相关规定，本项目为专门面向中小企业采购。如投标人认定本企业为中型、小型或微型企业，则需根据《中小企业划型标准规定》（工信部联企业〔2011〕300号）填报《中小企业声明函》。</w:t>
      </w:r>
      <w:r>
        <w:rPr>
          <w:rFonts w:hint="eastAsia" w:ascii="宋体" w:hAnsi="宋体" w:eastAsia="宋体" w:cs="宋体"/>
          <w:color w:val="000000"/>
          <w:sz w:val="21"/>
          <w:szCs w:val="21"/>
          <w:highlight w:val="none"/>
        </w:rPr>
      </w:r>
      <w:r/>
    </w:p>
    <w:p>
      <w:pPr>
        <w:pStyle w:val="86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（二）残疾人福利性单位</w:t>
      </w:r>
      <w:r>
        <w:rPr>
          <w:rFonts w:hint="eastAsia" w:ascii="宋体" w:hAnsi="宋体" w:eastAsia="宋体" w:cs="宋体"/>
          <w:color w:val="000000"/>
          <w:sz w:val="21"/>
          <w:szCs w:val="21"/>
          <w:highlight w:val="none"/>
        </w:rPr>
      </w:r>
      <w:r/>
    </w:p>
    <w:p>
      <w:pPr>
        <w:pStyle w:val="86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宋体" w:hAnsi="宋体" w:eastAsia="宋体" w:cs="宋体"/>
          <w:color w:val="000000"/>
          <w:sz w:val="21"/>
          <w:szCs w:val="21"/>
          <w:highlight w:val="none"/>
        </w:rPr>
      </w:r>
      <w:r/>
    </w:p>
    <w:p>
      <w:pPr>
        <w:pStyle w:val="86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（三）监狱企业</w:t>
      </w:r>
      <w:r>
        <w:rPr>
          <w:rFonts w:hint="eastAsia" w:ascii="宋体" w:hAnsi="宋体" w:eastAsia="宋体" w:cs="宋体"/>
          <w:color w:val="000000"/>
          <w:sz w:val="21"/>
          <w:szCs w:val="21"/>
          <w:highlight w:val="none"/>
        </w:rPr>
      </w:r>
      <w:r/>
    </w:p>
    <w:p>
      <w:pPr>
        <w:pStyle w:val="864"/>
        <w:ind w:firstLine="480"/>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eastAsia="宋体" w:cs="宋体"/>
          <w:b/>
          <w:bCs/>
          <w:color w:val="000000"/>
          <w:sz w:val="21"/>
          <w:szCs w:val="21"/>
          <w:highlight w:val="none"/>
        </w:rPr>
      </w:r>
      <w:r/>
    </w:p>
    <w:p>
      <w:pPr>
        <w:pStyle w:val="86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（四）绿色采购</w:t>
      </w:r>
      <w:r>
        <w:rPr>
          <w:rFonts w:hint="eastAsia" w:ascii="宋体" w:hAnsi="宋体" w:eastAsia="宋体" w:cs="宋体"/>
          <w:color w:val="000000"/>
          <w:sz w:val="21"/>
          <w:szCs w:val="21"/>
          <w:highlight w:val="none"/>
        </w:rPr>
      </w:r>
      <w:r/>
    </w:p>
    <w:p>
      <w:pPr>
        <w:pStyle w:val="864"/>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根据《关于调整优化节能产品、环境标志产品政府采购执行机制的通知》（财库〔2019〕9号）等相关文件的规定，</w:t>
      </w:r>
      <w:r>
        <w:rPr>
          <w:rFonts w:hint="eastAsia" w:ascii="宋体" w:hAnsi="宋体" w:eastAsia="宋体" w:cs="宋体"/>
          <w:bCs/>
          <w:color w:val="000000"/>
          <w:sz w:val="21"/>
          <w:szCs w:val="21"/>
          <w:highlight w:val="none"/>
        </w:rPr>
        <w:t xml:space="preserve">对属于《节能产品政府采购品目清单》政府强制采购产品的，投标人需提供该产品有效期内的认证等相关证明材料，证明材料电子件放置于投标文件中提交。</w:t>
      </w:r>
      <w:r>
        <w:rPr>
          <w:rFonts w:hint="eastAsia" w:ascii="宋体" w:hAnsi="宋体" w:eastAsia="宋体" w:cs="宋体"/>
          <w:bCs/>
          <w:color w:val="000000"/>
          <w:sz w:val="21"/>
          <w:szCs w:val="21"/>
          <w:highlight w:val="none"/>
        </w:rPr>
      </w:r>
      <w:r/>
    </w:p>
    <w:p>
      <w:pPr>
        <w:pStyle w:val="864"/>
        <w:numPr>
          <w:ilvl w:val="0"/>
          <w:numId w:val="10"/>
        </w:num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若投标人提供的《中小企业声明函》、《残疾人福利性单位声明函》及监狱企业认定证明等材料为虚假材料，按《中华人民共和国政府采购法》等相关法律法规的规定处理，并报请政府采购监管部门给予行政处罚。</w:t>
      </w:r>
      <w:r>
        <w:rPr>
          <w:rFonts w:hint="eastAsia" w:ascii="宋体" w:hAnsi="宋体" w:eastAsia="宋体" w:cs="宋体"/>
          <w:color w:val="000000"/>
          <w:sz w:val="21"/>
          <w:szCs w:val="21"/>
          <w:highlight w:val="none"/>
        </w:rPr>
      </w:r>
      <w:r/>
    </w:p>
    <w:p>
      <w:pPr>
        <w:pStyle w:val="864"/>
        <w:numPr>
          <w:ilvl w:val="0"/>
          <w:numId w:val="10"/>
        </w:num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根据《国务院办公厅关于在</w:t>
      </w:r>
      <w:r>
        <w:rPr>
          <w:rFonts w:hint="eastAsia" w:ascii="宋体" w:hAnsi="宋体" w:eastAsia="宋体" w:cs="宋体"/>
          <w:color w:val="000000"/>
          <w:sz w:val="21"/>
          <w:szCs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sz w:val="21"/>
          <w:szCs w:val="21"/>
          <w:highlight w:val="none"/>
        </w:rPr>
      </w:r>
      <w:r/>
    </w:p>
    <w:p>
      <w:pPr>
        <w:pStyle w:val="86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三、评分标准</w:t>
      </w:r>
      <w:r>
        <w:rPr>
          <w:rFonts w:hint="eastAsia" w:ascii="宋体" w:hAnsi="宋体" w:eastAsia="宋体" w:cs="宋体"/>
          <w:color w:val="000000"/>
          <w:sz w:val="21"/>
          <w:szCs w:val="21"/>
          <w:highlight w:val="none"/>
        </w:rPr>
      </w:r>
      <w:r/>
    </w:p>
    <w:p>
      <w:pPr>
        <w:pStyle w:val="86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（一）价格（10分）</w:t>
      </w:r>
      <w:r>
        <w:rPr>
          <w:rFonts w:hint="eastAsia" w:ascii="宋体" w:hAnsi="宋体" w:eastAsia="宋体" w:cs="宋体"/>
          <w:color w:val="000000"/>
          <w:sz w:val="21"/>
          <w:szCs w:val="21"/>
          <w:highlight w:val="none"/>
        </w:rPr>
      </w:r>
      <w:r/>
    </w:p>
    <w:p>
      <w:pPr>
        <w:pStyle w:val="86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1、投标总报价低于或等于财政预算价格的，为有效投标报价。超财政预算的投标报价为无效投标报价。无效投标报价的投标文件不进行评审，也不得中标。</w:t>
      </w:r>
      <w:r>
        <w:rPr>
          <w:rFonts w:hint="eastAsia" w:ascii="宋体" w:hAnsi="宋体" w:eastAsia="宋体" w:cs="宋体"/>
          <w:color w:val="000000"/>
          <w:sz w:val="21"/>
          <w:szCs w:val="21"/>
          <w:highlight w:val="none"/>
        </w:rPr>
      </w:r>
      <w:r/>
    </w:p>
    <w:p>
      <w:pPr>
        <w:pStyle w:val="86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rPr>
          <w:rFonts w:hint="eastAsia" w:ascii="宋体" w:hAnsi="宋体" w:eastAsia="宋体" w:cs="宋体"/>
          <w:color w:val="000000"/>
          <w:sz w:val="21"/>
          <w:szCs w:val="21"/>
          <w:highlight w:val="none"/>
        </w:rPr>
      </w:r>
      <w:r/>
    </w:p>
    <w:p>
      <w:pPr>
        <w:pStyle w:val="86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b/>
          <w:bCs/>
          <w:color w:val="000000"/>
          <w:sz w:val="21"/>
          <w:szCs w:val="21"/>
          <w:highlight w:val="none"/>
        </w:rPr>
        <w:t xml:space="preserve">异常低价投标（响应）审查</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6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财政部关于推动解决政府采购异常低价问题的通知》（财库〔2026〕2号）文件规定，在评审过程中出现应当启动异常低价投标（响应）审查程序情形的，评审委员会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为30分钟。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1"/>
          <w:szCs w:val="21"/>
          <w:highlight w:val="none"/>
        </w:rPr>
      </w:r>
      <w:r/>
    </w:p>
    <w:p>
      <w:pPr>
        <w:pStyle w:val="86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、价格分采用低价优先法计算，即满足招标文件要求且投标价格最低的投标报价为评标基准价，其价格分为满分10分。其他投标人的价格分统一按照下列公式计算：</w:t>
      </w:r>
      <w:r>
        <w:rPr>
          <w:rFonts w:hint="eastAsia" w:ascii="宋体" w:hAnsi="宋体" w:eastAsia="宋体" w:cs="宋体"/>
          <w:color w:val="000000"/>
          <w:sz w:val="21"/>
          <w:szCs w:val="21"/>
          <w:highlight w:val="none"/>
        </w:rPr>
      </w:r>
      <w:r/>
    </w:p>
    <w:p>
      <w:pPr>
        <w:pStyle w:val="86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投标报价得分=（评标基准价/投标报价）</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价格权重</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100，小数点后保留两位。</w:t>
      </w:r>
      <w:r>
        <w:rPr>
          <w:rFonts w:hint="eastAsia" w:ascii="宋体" w:hAnsi="宋体" w:eastAsia="宋体" w:cs="宋体"/>
          <w:color w:val="000000"/>
          <w:sz w:val="21"/>
          <w:szCs w:val="21"/>
          <w:highlight w:val="none"/>
        </w:rPr>
      </w:r>
      <w:r/>
    </w:p>
    <w:p>
      <w:pPr>
        <w:pStyle w:val="86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(二)技术及其它（90分）</w:t>
      </w:r>
      <w:r>
        <w:rPr>
          <w:rFonts w:hint="eastAsia" w:ascii="宋体" w:hAnsi="宋体" w:eastAsia="宋体" w:cs="宋体"/>
          <w:color w:val="000000"/>
          <w:sz w:val="21"/>
          <w:szCs w:val="21"/>
          <w:highlight w:val="none"/>
        </w:rPr>
      </w:r>
      <w:r/>
    </w:p>
    <w:p>
      <w:pPr>
        <w:pStyle w:val="864"/>
        <w:ind w:left="36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初审评审指标</w:t>
      </w:r>
      <w:r>
        <w:rPr>
          <w:rFonts w:hint="eastAsia" w:ascii="宋体" w:hAnsi="宋体" w:eastAsia="宋体" w:cs="宋体"/>
          <w:b/>
          <w:color w:val="000000"/>
          <w:sz w:val="21"/>
          <w:szCs w:val="21"/>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5232"/>
        <w:gridCol w:w="2779"/>
      </w:tblGrid>
      <w:tr>
        <w:trPr>
          <w:trHeight w:val="454"/>
        </w:trPr>
        <w:tc>
          <w:tcPr>
            <w:tcW w:w="1276" w:type="dxa"/>
            <w:vAlign w:val="center"/>
            <w:textDirection w:val="lrTb"/>
            <w:noWrap w:val="false"/>
          </w:tcPr>
          <w:p>
            <w:pPr>
              <w:pStyle w:val="864"/>
              <w:jc w:val="center"/>
              <w:rPr>
                <w:rFonts w:hint="eastAsia" w:ascii="宋体" w:hAnsi="宋体" w:eastAsia="宋体" w:cs="宋体"/>
                <w:color w:val="000000"/>
                <w:sz w:val="21"/>
                <w:szCs w:val="21"/>
                <w:highlight w:val="none"/>
              </w:rPr>
            </w:pPr>
            <w:r/>
            <w:bookmarkStart w:id="95" w:name="gpc_accord_horizontal_1"/>
            <w:r/>
            <w:bookmarkStart w:id="96" w:name="gpc_accord_horizontal_2"/>
            <w:r/>
            <w:bookmarkStart w:id="97" w:name="gpc_accord_horizontal_3"/>
            <w:r>
              <w:rPr>
                <w:rFonts w:hint="eastAsia" w:ascii="宋体" w:hAnsi="宋体" w:eastAsia="宋体" w:cs="宋体"/>
                <w:color w:val="000000"/>
                <w:sz w:val="21"/>
                <w:szCs w:val="21"/>
                <w:highlight w:val="none"/>
              </w:rPr>
              <w:t xml:space="preserve">指标</w:t>
            </w:r>
            <w:r>
              <w:rPr>
                <w:rFonts w:hint="eastAsia" w:ascii="宋体" w:hAnsi="宋体" w:eastAsia="宋体" w:cs="宋体"/>
                <w:color w:val="000000"/>
                <w:sz w:val="21"/>
                <w:szCs w:val="21"/>
                <w:highlight w:val="none"/>
              </w:rPr>
            </w:r>
            <w:r/>
          </w:p>
        </w:tc>
        <w:tc>
          <w:tcPr>
            <w:tcW w:w="5232" w:type="dxa"/>
            <w:vAlign w:val="center"/>
            <w:textDirection w:val="lrTb"/>
            <w:noWrap w:val="false"/>
          </w:tcPr>
          <w:p>
            <w:pPr>
              <w:pStyle w:val="86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描述</w:t>
            </w:r>
            <w:r>
              <w:rPr>
                <w:rFonts w:hint="eastAsia" w:ascii="宋体" w:hAnsi="宋体" w:eastAsia="宋体" w:cs="宋体"/>
                <w:color w:val="000000"/>
                <w:sz w:val="21"/>
                <w:szCs w:val="21"/>
                <w:highlight w:val="none"/>
              </w:rPr>
            </w:r>
            <w:r/>
          </w:p>
        </w:tc>
        <w:tc>
          <w:tcPr>
            <w:tcW w:w="2779" w:type="dxa"/>
            <w:vAlign w:val="center"/>
            <w:textDirection w:val="lrTb"/>
            <w:noWrap w:val="false"/>
          </w:tcPr>
          <w:p>
            <w:pPr>
              <w:pStyle w:val="86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是否合格</w:t>
            </w:r>
            <w:r>
              <w:rPr>
                <w:rFonts w:hint="eastAsia" w:ascii="宋体" w:hAnsi="宋体" w:eastAsia="宋体" w:cs="宋体"/>
                <w:color w:val="000000"/>
                <w:sz w:val="21"/>
                <w:szCs w:val="21"/>
                <w:highlight w:val="none"/>
              </w:rPr>
            </w:r>
            <w:r/>
          </w:p>
        </w:tc>
      </w:tr>
      <w:tr>
        <w:trPr>
          <w:trHeight w:val="454"/>
        </w:trPr>
        <w:tc>
          <w:tcPr>
            <w:tcW w:w="1276" w:type="dxa"/>
            <w:vAlign w:val="center"/>
            <w:textDirection w:val="lrTb"/>
            <w:noWrap w:val="false"/>
          </w:tcPr>
          <w:p>
            <w:pPr>
              <w:pStyle w:val="86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资格性检查</w:t>
            </w:r>
            <w:r>
              <w:rPr>
                <w:rFonts w:hint="eastAsia" w:ascii="宋体" w:hAnsi="宋体" w:eastAsia="宋体" w:cs="宋体"/>
                <w:color w:val="000000"/>
                <w:sz w:val="21"/>
                <w:szCs w:val="21"/>
                <w:highlight w:val="none"/>
              </w:rPr>
            </w:r>
            <w:r/>
          </w:p>
        </w:tc>
        <w:tc>
          <w:tcPr>
            <w:tcW w:w="5232" w:type="dxa"/>
            <w:vAlign w:val="center"/>
            <w:textDirection w:val="lrTb"/>
            <w:noWrap w:val="false"/>
          </w:tcPr>
          <w:p>
            <w:pPr>
              <w:pStyle w:val="864"/>
              <w:jc w:val="center"/>
              <w:rPr>
                <w:rFonts w:hint="eastAsia" w:ascii="宋体" w:hAnsi="宋体" w:eastAsia="宋体" w:cs="宋体"/>
                <w:color w:val="000000"/>
                <w:sz w:val="21"/>
                <w:szCs w:val="21"/>
                <w:highlight w:val="none"/>
              </w:rPr>
            </w:pPr>
            <w:r>
              <w:rPr>
                <w:rFonts w:hint="eastAsia" w:ascii="宋体" w:hAnsi="宋体"/>
                <w:szCs w:val="21"/>
                <w:highlight w:val="none"/>
              </w:rPr>
              <w:t xml:space="preserve">申请人的资格要求</w:t>
            </w:r>
            <w:r>
              <w:rPr>
                <w:rFonts w:hint="eastAsia" w:ascii="宋体" w:hAnsi="宋体" w:eastAsia="宋体" w:cs="宋体"/>
                <w:color w:val="000000"/>
                <w:sz w:val="21"/>
                <w:szCs w:val="21"/>
                <w:highlight w:val="none"/>
              </w:rPr>
            </w:r>
            <w:r/>
          </w:p>
        </w:tc>
        <w:tc>
          <w:tcPr>
            <w:tcW w:w="2779" w:type="dxa"/>
            <w:vAlign w:val="center"/>
            <w:textDirection w:val="lrTb"/>
            <w:noWrap w:val="false"/>
          </w:tcPr>
          <w:p>
            <w:pPr>
              <w:pStyle w:val="86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1276" w:type="dxa"/>
            <w:vAlign w:val="center"/>
            <w:textDirection w:val="lrTb"/>
            <w:noWrap w:val="false"/>
          </w:tcPr>
          <w:p>
            <w:pPr>
              <w:pStyle w:val="86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符合性检查</w:t>
            </w:r>
            <w:r>
              <w:rPr>
                <w:rFonts w:hint="eastAsia" w:ascii="宋体" w:hAnsi="宋体" w:eastAsia="宋体" w:cs="宋体"/>
                <w:color w:val="000000"/>
                <w:sz w:val="21"/>
                <w:szCs w:val="21"/>
                <w:highlight w:val="none"/>
              </w:rPr>
            </w:r>
            <w:r/>
          </w:p>
        </w:tc>
        <w:tc>
          <w:tcPr>
            <w:tcW w:w="5232" w:type="dxa"/>
            <w:vAlign w:val="center"/>
            <w:textDirection w:val="lrTb"/>
            <w:noWrap w:val="false"/>
          </w:tcPr>
          <w:p>
            <w:pPr>
              <w:pStyle w:val="864"/>
              <w:jc w:val="center"/>
              <w:rPr>
                <w:rFonts w:hint="eastAsia" w:ascii="宋体" w:hAnsi="宋体" w:eastAsia="宋体" w:cs="宋体"/>
                <w:color w:val="000000"/>
                <w:sz w:val="21"/>
                <w:szCs w:val="21"/>
                <w:highlight w:val="none"/>
              </w:rPr>
            </w:pPr>
            <w:r>
              <w:rPr>
                <w:rFonts w:hint="eastAsia" w:ascii="宋体" w:hAnsi="宋体"/>
                <w:szCs w:val="21"/>
                <w:highlight w:val="none"/>
              </w:rPr>
              <w:t xml:space="preserve">工期（服务期）、响应时间、质保期（如有）、付款方式、投标内容等</w:t>
            </w:r>
            <w:r>
              <w:rPr>
                <w:rFonts w:hint="eastAsia" w:ascii="宋体" w:hAnsi="宋体" w:eastAsia="宋体" w:cs="宋体"/>
                <w:color w:val="000000"/>
                <w:sz w:val="21"/>
                <w:szCs w:val="21"/>
                <w:highlight w:val="none"/>
              </w:rPr>
            </w:r>
            <w:r/>
          </w:p>
        </w:tc>
        <w:tc>
          <w:tcPr>
            <w:tcW w:w="2779" w:type="dxa"/>
            <w:vAlign w:val="center"/>
            <w:textDirection w:val="lrTb"/>
            <w:noWrap w:val="false"/>
          </w:tcPr>
          <w:p>
            <w:pPr>
              <w:pStyle w:val="86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64"/>
        <w:ind w:left="360"/>
        <w:spacing w:line="360" w:lineRule="auto"/>
        <w:rPr>
          <w:rFonts w:hint="eastAsia" w:ascii="宋体" w:hAnsi="宋体" w:eastAsia="宋体" w:cs="宋体"/>
          <w:b/>
          <w:color w:val="000000"/>
          <w:sz w:val="21"/>
          <w:szCs w:val="21"/>
          <w:highlight w:val="none"/>
        </w:rPr>
      </w:pPr>
      <w:r/>
      <w:bookmarkEnd w:id="95"/>
      <w:r/>
      <w:bookmarkEnd w:id="96"/>
      <w:r/>
      <w:bookmarkEnd w:id="97"/>
      <w:r/>
      <w:bookmarkStart w:id="98" w:name="gpc_score_horizontal_1"/>
      <w:r/>
      <w:bookmarkStart w:id="99" w:name="gpc_score_horizontal_2"/>
      <w:r/>
      <w:bookmarkStart w:id="100" w:name="gpc_score_horizontal_3"/>
      <w:r>
        <w:rPr>
          <w:rFonts w:hint="eastAsia" w:ascii="宋体" w:hAnsi="宋体" w:eastAsia="宋体" w:cs="宋体"/>
          <w:b/>
          <w:color w:val="000000"/>
          <w:sz w:val="21"/>
          <w:szCs w:val="21"/>
          <w:highlight w:val="none"/>
        </w:rPr>
        <w:t xml:space="preserve">复审评审指标</w:t>
      </w:r>
      <w:r>
        <w:rPr>
          <w:rFonts w:hint="eastAsia" w:ascii="宋体" w:hAnsi="宋体" w:eastAsia="宋体" w:cs="宋体"/>
          <w:b/>
          <w:color w:val="000000"/>
          <w:sz w:val="21"/>
          <w:szCs w:val="21"/>
          <w:highlight w:val="none"/>
        </w:rPr>
      </w:r>
      <w:r/>
    </w:p>
    <w:tbl>
      <w:tblPr>
        <w:tblW w:w="5115" w:type="pct"/>
        <w:tblInd w:w="-2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836"/>
        <w:gridCol w:w="1006"/>
        <w:gridCol w:w="6965"/>
        <w:gridCol w:w="503"/>
      </w:tblGrid>
      <w:tr>
        <w:trPr>
          <w:trHeight w:val="440"/>
        </w:trPr>
        <w:tc>
          <w:tcPr>
            <w:tcW w:w="449" w:type="dxa"/>
            <w:vAlign w:val="center"/>
            <w:textDirection w:val="lrTb"/>
            <w:noWrap w:val="false"/>
          </w:tcPr>
          <w:p>
            <w:pPr>
              <w:pStyle w:val="919"/>
              <w:rPr>
                <w:highlight w:val="none"/>
              </w:rPr>
            </w:pPr>
            <w:r/>
            <w:bookmarkEnd w:id="98"/>
            <w:r/>
            <w:bookmarkEnd w:id="99"/>
            <w:r/>
            <w:bookmarkEnd w:id="100"/>
            <w:r>
              <w:rPr>
                <w:highlight w:val="none"/>
              </w:rPr>
              <w:t xml:space="preserve">评审类别</w:t>
            </w:r>
            <w:r>
              <w:rPr>
                <w:highlight w:val="none"/>
              </w:rPr>
            </w:r>
            <w:r/>
          </w:p>
        </w:tc>
        <w:tc>
          <w:tcPr>
            <w:tcW w:w="540" w:type="dxa"/>
            <w:vAlign w:val="center"/>
            <w:textDirection w:val="lrTb"/>
            <w:noWrap w:val="false"/>
          </w:tcPr>
          <w:p>
            <w:pPr>
              <w:pStyle w:val="919"/>
              <w:rPr>
                <w:highlight w:val="none"/>
              </w:rPr>
            </w:pPr>
            <w:r>
              <w:rPr>
                <w:highlight w:val="none"/>
              </w:rPr>
              <w:t xml:space="preserve">评审项</w:t>
            </w:r>
            <w:r>
              <w:rPr>
                <w:highlight w:val="none"/>
              </w:rPr>
            </w:r>
            <w:r/>
          </w:p>
        </w:tc>
        <w:tc>
          <w:tcPr>
            <w:tcW w:w="3740" w:type="dxa"/>
            <w:vAlign w:val="center"/>
            <w:textDirection w:val="lrTb"/>
            <w:noWrap w:val="false"/>
          </w:tcPr>
          <w:p>
            <w:pPr>
              <w:pStyle w:val="919"/>
              <w:rPr>
                <w:highlight w:val="none"/>
              </w:rPr>
            </w:pPr>
            <w:r>
              <w:rPr>
                <w:highlight w:val="none"/>
              </w:rPr>
              <w:t xml:space="preserve">评审规则</w:t>
            </w:r>
            <w:r>
              <w:rPr>
                <w:highlight w:val="none"/>
              </w:rPr>
            </w:r>
            <w:r/>
          </w:p>
        </w:tc>
        <w:tc>
          <w:tcPr>
            <w:tcW w:w="270" w:type="dxa"/>
            <w:vAlign w:val="center"/>
            <w:textDirection w:val="lrTb"/>
            <w:noWrap w:val="false"/>
          </w:tcPr>
          <w:p>
            <w:pPr>
              <w:pStyle w:val="919"/>
              <w:rPr>
                <w:highlight w:val="none"/>
              </w:rPr>
            </w:pPr>
            <w:r>
              <w:rPr>
                <w:highlight w:val="none"/>
              </w:rPr>
              <w:t xml:space="preserve">分值</w:t>
            </w:r>
            <w:r>
              <w:rPr>
                <w:highlight w:val="none"/>
              </w:rPr>
            </w:r>
            <w:r/>
          </w:p>
        </w:tc>
      </w:tr>
      <w:tr>
        <w:trPr>
          <w:trHeight w:val="440"/>
        </w:trPr>
        <w:tc>
          <w:tcPr>
            <w:tcW w:w="449" w:type="dxa"/>
            <w:vAlign w:val="center"/>
            <w:textDirection w:val="lrTb"/>
            <w:noWrap w:val="false"/>
          </w:tcPr>
          <w:p>
            <w:pPr>
              <w:pStyle w:val="919"/>
              <w:rPr>
                <w:highlight w:val="none"/>
              </w:rPr>
            </w:pPr>
            <w:r>
              <w:rPr>
                <w:highlight w:val="none"/>
              </w:rPr>
              <w:t xml:space="preserve">价格部分（10分）</w:t>
            </w:r>
            <w:r>
              <w:rPr>
                <w:highlight w:val="none"/>
              </w:rPr>
            </w:r>
            <w:r/>
          </w:p>
        </w:tc>
        <w:tc>
          <w:tcPr>
            <w:tcW w:w="540" w:type="dxa"/>
            <w:vAlign w:val="center"/>
            <w:textDirection w:val="lrTb"/>
            <w:noWrap w:val="false"/>
          </w:tcPr>
          <w:p>
            <w:pPr>
              <w:pStyle w:val="919"/>
              <w:rPr>
                <w:highlight w:val="none"/>
              </w:rPr>
            </w:pPr>
            <w:r>
              <w:rPr>
                <w:highlight w:val="none"/>
              </w:rPr>
              <w:t xml:space="preserve">评审指标</w:t>
            </w:r>
            <w:r>
              <w:rPr>
                <w:highlight w:val="none"/>
              </w:rPr>
            </w:r>
            <w:r/>
          </w:p>
        </w:tc>
        <w:tc>
          <w:tcPr>
            <w:tcW w:w="3740" w:type="dxa"/>
            <w:vAlign w:val="center"/>
            <w:textDirection w:val="lrTb"/>
            <w:noWrap w:val="false"/>
          </w:tcPr>
          <w:p>
            <w:pPr>
              <w:pStyle w:val="919"/>
              <w:jc w:val="left"/>
              <w:rPr>
                <w:highlight w:val="none"/>
              </w:rPr>
            </w:pPr>
            <w:r>
              <w:rPr>
                <w:highlight w:val="none"/>
              </w:rPr>
              <w:t xml:space="preserve">投标报价得分=（评标基准价/投标报价）*价格权值*100，小数点后保留两位。</w:t>
            </w:r>
            <w:r>
              <w:rPr>
                <w:highlight w:val="none"/>
              </w:rPr>
            </w:r>
            <w:r/>
          </w:p>
        </w:tc>
        <w:tc>
          <w:tcPr>
            <w:tcW w:w="270" w:type="dxa"/>
            <w:vAlign w:val="center"/>
            <w:textDirection w:val="lrTb"/>
            <w:noWrap w:val="false"/>
          </w:tcPr>
          <w:p>
            <w:pPr>
              <w:pStyle w:val="919"/>
              <w:rPr>
                <w:highlight w:val="none"/>
              </w:rPr>
            </w:pPr>
            <w:r>
              <w:rPr>
                <w:highlight w:val="none"/>
              </w:rPr>
              <w:t xml:space="preserve">10分</w:t>
            </w:r>
            <w:r>
              <w:rPr>
                <w:highlight w:val="none"/>
              </w:rPr>
            </w:r>
            <w:r/>
          </w:p>
        </w:tc>
      </w:tr>
      <w:tr>
        <w:trPr>
          <w:trHeight w:val="90"/>
        </w:trPr>
        <w:tc>
          <w:tcPr>
            <w:tcW w:w="449" w:type="dxa"/>
            <w:vAlign w:val="center"/>
            <w:vMerge w:val="restart"/>
            <w:textDirection w:val="lrTb"/>
            <w:noWrap w:val="false"/>
          </w:tcPr>
          <w:p>
            <w:pPr>
              <w:pStyle w:val="919"/>
              <w:rPr>
                <w:color w:val="000000"/>
                <w:highlight w:val="none"/>
              </w:rPr>
            </w:pPr>
            <w:r>
              <w:rPr>
                <w:color w:val="000000"/>
                <w:highlight w:val="none"/>
              </w:rPr>
              <w:t xml:space="preserve">商务资信分（</w:t>
            </w:r>
            <w:r>
              <w:rPr>
                <w:rFonts w:hint="eastAsia"/>
                <w:color w:val="000000"/>
                <w:highlight w:val="none"/>
                <w:lang w:val="en-US" w:eastAsia="zh-CN"/>
              </w:rPr>
              <w:t xml:space="preserve">38</w:t>
            </w:r>
            <w:r>
              <w:rPr>
                <w:color w:val="000000"/>
                <w:highlight w:val="none"/>
              </w:rPr>
              <w:t xml:space="preserve">分）</w:t>
            </w:r>
            <w:r>
              <w:rPr>
                <w:color w:val="000000"/>
                <w:highlight w:val="none"/>
              </w:rPr>
            </w:r>
            <w:r/>
          </w:p>
        </w:tc>
        <w:tc>
          <w:tcPr>
            <w:tcW w:w="540" w:type="dxa"/>
            <w:vAlign w:val="center"/>
            <w:textDirection w:val="lrTb"/>
            <w:noWrap w:val="false"/>
          </w:tcPr>
          <w:p>
            <w:pPr>
              <w:pStyle w:val="919"/>
              <w:rPr>
                <w:color w:val="000000"/>
                <w:highlight w:val="none"/>
              </w:rPr>
            </w:pPr>
            <w:r>
              <w:rPr>
                <w:color w:val="000000"/>
                <w:highlight w:val="none"/>
              </w:rPr>
              <w:t xml:space="preserve">类似业绩</w:t>
            </w:r>
            <w:r>
              <w:rPr>
                <w:color w:val="000000"/>
                <w:highlight w:val="none"/>
              </w:rPr>
            </w:r>
            <w:r/>
          </w:p>
        </w:tc>
        <w:tc>
          <w:tcPr>
            <w:tcW w:w="3740" w:type="dxa"/>
            <w:vAlign w:val="center"/>
            <w:textDirection w:val="lrTb"/>
            <w:noWrap w:val="false"/>
          </w:tcPr>
          <w:p>
            <w:pPr>
              <w:pStyle w:val="919"/>
              <w:jc w:val="left"/>
              <w:rPr>
                <w:color w:val="000000"/>
                <w:highlight w:val="none"/>
              </w:rPr>
            </w:pPr>
            <w:r>
              <w:rPr>
                <w:color w:val="000000"/>
                <w:highlight w:val="none"/>
              </w:rPr>
              <w:t xml:space="preserve">投标单位提供2022年至今（以合同签订日期为准）签订的区县级或以上类似大气项目（包含：环境空气质量预警应急或异常污染源排查、污染分析），每个得</w:t>
            </w:r>
            <w:r>
              <w:rPr>
                <w:rFonts w:hint="eastAsia"/>
                <w:color w:val="000000"/>
                <w:highlight w:val="none"/>
                <w:lang w:val="en-US" w:eastAsia="zh-CN"/>
              </w:rPr>
              <w:t xml:space="preserve">1</w:t>
            </w:r>
            <w:r>
              <w:rPr>
                <w:color w:val="000000"/>
                <w:highlight w:val="none"/>
              </w:rPr>
              <w:t xml:space="preserve">分，最高得</w:t>
            </w:r>
            <w:r>
              <w:rPr>
                <w:rFonts w:eastAsia="宋体"/>
                <w:color w:val="000000"/>
                <w:highlight w:val="none"/>
                <w:lang w:val="en-US" w:eastAsia="zh-CN"/>
              </w:rPr>
              <w:t xml:space="preserve">3</w:t>
            </w:r>
            <w:r>
              <w:rPr>
                <w:rFonts w:eastAsia="宋体"/>
                <w:color w:val="000000"/>
                <w:highlight w:val="none"/>
              </w:rPr>
              <w:t xml:space="preserve">分</w:t>
            </w:r>
            <w:r>
              <w:rPr>
                <w:color w:val="000000"/>
                <w:highlight w:val="none"/>
              </w:rPr>
              <w:t xml:space="preserve">；具有管理部门委托的区域行业废气深度治理工作的加2分；本项最高得</w:t>
            </w:r>
            <w:r>
              <w:rPr>
                <w:rFonts w:eastAsia="宋体"/>
                <w:color w:val="000000"/>
                <w:highlight w:val="none"/>
                <w:lang w:val="en-US" w:eastAsia="zh-CN"/>
              </w:rPr>
              <w:t xml:space="preserve">5</w:t>
            </w:r>
            <w:r>
              <w:rPr>
                <w:rFonts w:eastAsia="宋体"/>
                <w:color w:val="000000"/>
                <w:highlight w:val="none"/>
              </w:rPr>
              <w:t xml:space="preserve">分</w:t>
            </w:r>
            <w:r>
              <w:rPr>
                <w:color w:val="000000"/>
                <w:highlight w:val="none"/>
              </w:rPr>
              <w:t xml:space="preserve">。</w:t>
            </w:r>
            <w:r>
              <w:rPr>
                <w:color w:val="000000"/>
                <w:highlight w:val="none"/>
              </w:rPr>
            </w:r>
            <w:r/>
          </w:p>
          <w:p>
            <w:pPr>
              <w:pStyle w:val="919"/>
              <w:jc w:val="left"/>
              <w:rPr>
                <w:color w:val="000000"/>
                <w:highlight w:val="none"/>
              </w:rPr>
            </w:pPr>
            <w:r>
              <w:rPr>
                <w:color w:val="000000"/>
                <w:highlight w:val="none"/>
              </w:rPr>
              <w:t xml:space="preserve">提供合同原件的扫描件。</w:t>
            </w:r>
            <w:r>
              <w:rPr>
                <w:color w:val="000000"/>
                <w:highlight w:val="none"/>
              </w:rPr>
            </w:r>
            <w:r/>
          </w:p>
        </w:tc>
        <w:tc>
          <w:tcPr>
            <w:tcW w:w="270" w:type="dxa"/>
            <w:vAlign w:val="center"/>
            <w:textDirection w:val="lrTb"/>
            <w:noWrap w:val="false"/>
          </w:tcPr>
          <w:p>
            <w:pPr>
              <w:pStyle w:val="919"/>
              <w:rPr>
                <w:color w:val="000000"/>
                <w:highlight w:val="none"/>
              </w:rPr>
            </w:pPr>
            <w:r>
              <w:rPr>
                <w:rFonts w:eastAsia="宋体"/>
                <w:color w:val="000000"/>
                <w:highlight w:val="none"/>
                <w:lang w:val="en-US" w:eastAsia="zh-CN"/>
              </w:rPr>
              <w:t xml:space="preserve">5</w:t>
            </w:r>
            <w:r>
              <w:rPr>
                <w:rFonts w:eastAsia="宋体"/>
                <w:color w:val="000000"/>
                <w:highlight w:val="none"/>
              </w:rPr>
              <w:t xml:space="preserve">分</w:t>
            </w:r>
            <w:r>
              <w:rPr>
                <w:color w:val="000000"/>
                <w:highlight w:val="none"/>
              </w:rPr>
            </w:r>
            <w:r/>
          </w:p>
        </w:tc>
      </w:tr>
      <w:tr>
        <w:trPr>
          <w:trHeight w:val="1155"/>
        </w:trPr>
        <w:tc>
          <w:tcPr>
            <w:tcW w:w="449" w:type="dxa"/>
            <w:vAlign w:val="center"/>
            <w:vMerge w:val="continue"/>
            <w:textDirection w:val="lrTb"/>
            <w:noWrap w:val="false"/>
          </w:tcPr>
          <w:p>
            <w:pPr>
              <w:pStyle w:val="919"/>
              <w:rPr>
                <w:color w:val="000000"/>
                <w:highlight w:val="none"/>
              </w:rPr>
            </w:pPr>
            <w:r>
              <w:rPr>
                <w:color w:val="000000"/>
                <w:highlight w:val="none"/>
              </w:rPr>
            </w:r>
            <w:r/>
          </w:p>
        </w:tc>
        <w:tc>
          <w:tcPr>
            <w:tcW w:w="540" w:type="dxa"/>
            <w:vAlign w:val="center"/>
            <w:textDirection w:val="lrTb"/>
            <w:noWrap w:val="false"/>
          </w:tcPr>
          <w:p>
            <w:pPr>
              <w:pStyle w:val="919"/>
              <w:rPr>
                <w:color w:val="000000"/>
                <w:highlight w:val="none"/>
              </w:rPr>
            </w:pPr>
            <w:r>
              <w:rPr>
                <w:color w:val="000000"/>
                <w:highlight w:val="none"/>
              </w:rPr>
              <w:t xml:space="preserve">仪器设备</w:t>
            </w:r>
            <w:r>
              <w:rPr>
                <w:color w:val="000000"/>
                <w:highlight w:val="none"/>
              </w:rPr>
            </w:r>
            <w:r/>
          </w:p>
        </w:tc>
        <w:tc>
          <w:tcPr>
            <w:tcW w:w="3740" w:type="dxa"/>
            <w:vAlign w:val="center"/>
            <w:textDirection w:val="lrTb"/>
            <w:noWrap w:val="false"/>
          </w:tcPr>
          <w:p>
            <w:pPr>
              <w:pStyle w:val="919"/>
              <w:jc w:val="left"/>
              <w:rPr>
                <w:color w:val="000000"/>
                <w:highlight w:val="none"/>
              </w:rPr>
            </w:pPr>
            <w:r>
              <w:rPr>
                <w:color w:val="000000"/>
                <w:highlight w:val="none"/>
              </w:rPr>
              <w:t xml:space="preserve">投标人针对本项目配置污染源飞航监测所用的无人机1架</w:t>
            </w:r>
            <w:r>
              <w:rPr>
                <w:rFonts w:eastAsia="宋体"/>
                <w:color w:val="000000"/>
                <w:highlight w:val="none"/>
              </w:rPr>
              <w:t xml:space="preserve">的得1分，配有灵嗅监测设备的加1分，本项最高2分</w:t>
            </w:r>
            <w:r>
              <w:rPr>
                <w:color w:val="000000"/>
                <w:highlight w:val="none"/>
              </w:rPr>
              <w:t xml:space="preserve">；</w:t>
            </w:r>
            <w:r>
              <w:rPr>
                <w:color w:val="000000"/>
                <w:highlight w:val="none"/>
              </w:rPr>
            </w:r>
            <w:r/>
          </w:p>
          <w:p>
            <w:pPr>
              <w:pStyle w:val="919"/>
              <w:jc w:val="left"/>
              <w:rPr>
                <w:color w:val="000000"/>
                <w:highlight w:val="none"/>
              </w:rPr>
            </w:pPr>
            <w:r>
              <w:rPr>
                <w:color w:val="000000"/>
                <w:highlight w:val="none"/>
              </w:rPr>
              <w:t xml:space="preserve">具有便携式FID检测仪器并提供计量校准证书的</w:t>
            </w:r>
            <w:r>
              <w:rPr>
                <w:rFonts w:eastAsia="宋体"/>
                <w:color w:val="000000"/>
                <w:highlight w:val="none"/>
              </w:rPr>
              <w:t xml:space="preserve">有一台得1分，本项最高2分</w:t>
            </w:r>
            <w:r>
              <w:rPr>
                <w:color w:val="000000"/>
                <w:highlight w:val="none"/>
              </w:rPr>
              <w:t xml:space="preserve">。</w:t>
            </w:r>
            <w:r>
              <w:rPr>
                <w:color w:val="000000"/>
                <w:highlight w:val="none"/>
              </w:rPr>
            </w:r>
            <w:r/>
          </w:p>
          <w:p>
            <w:pPr>
              <w:pStyle w:val="919"/>
              <w:jc w:val="left"/>
              <w:rPr>
                <w:color w:val="000000"/>
                <w:highlight w:val="none"/>
              </w:rPr>
            </w:pPr>
            <w:r>
              <w:rPr>
                <w:color w:val="000000"/>
                <w:highlight w:val="none"/>
              </w:rPr>
              <w:t xml:space="preserve">注：需提供以上仪器设备购买发票、相关证书、证明材料扫描件，未提供的不得分。</w:t>
            </w:r>
            <w:r>
              <w:rPr>
                <w:color w:val="000000"/>
                <w:highlight w:val="none"/>
              </w:rPr>
            </w:r>
            <w:r/>
          </w:p>
        </w:tc>
        <w:tc>
          <w:tcPr>
            <w:tcW w:w="270" w:type="dxa"/>
            <w:vAlign w:val="center"/>
            <w:textDirection w:val="lrTb"/>
            <w:noWrap w:val="false"/>
          </w:tcPr>
          <w:p>
            <w:pPr>
              <w:pStyle w:val="919"/>
              <w:rPr>
                <w:color w:val="000000"/>
                <w:highlight w:val="none"/>
              </w:rPr>
            </w:pPr>
            <w:r>
              <w:rPr>
                <w:rFonts w:eastAsia="宋体"/>
                <w:color w:val="000000"/>
                <w:highlight w:val="none"/>
                <w:lang w:val="en-US" w:eastAsia="zh-CN"/>
              </w:rPr>
              <w:t xml:space="preserve">4</w:t>
            </w:r>
            <w:r>
              <w:rPr>
                <w:rFonts w:eastAsia="宋体"/>
                <w:color w:val="000000"/>
                <w:highlight w:val="none"/>
              </w:rPr>
              <w:t xml:space="preserve">分</w:t>
            </w:r>
            <w:r>
              <w:rPr>
                <w:color w:val="000000"/>
                <w:highlight w:val="none"/>
              </w:rPr>
            </w:r>
            <w:r/>
          </w:p>
        </w:tc>
      </w:tr>
      <w:tr>
        <w:trPr>
          <w:trHeight w:val="1000"/>
        </w:trPr>
        <w:tc>
          <w:tcPr>
            <w:tcW w:w="449" w:type="dxa"/>
            <w:vAlign w:val="center"/>
            <w:vMerge w:val="continue"/>
            <w:textDirection w:val="lrTb"/>
            <w:noWrap w:val="false"/>
          </w:tcPr>
          <w:p>
            <w:pPr>
              <w:pStyle w:val="919"/>
              <w:rPr>
                <w:color w:val="000000"/>
                <w:highlight w:val="none"/>
              </w:rPr>
            </w:pPr>
            <w:r>
              <w:rPr>
                <w:color w:val="000000"/>
                <w:highlight w:val="none"/>
              </w:rPr>
            </w:r>
            <w:r/>
          </w:p>
        </w:tc>
        <w:tc>
          <w:tcPr>
            <w:tcW w:w="540" w:type="dxa"/>
            <w:vAlign w:val="center"/>
            <w:textDirection w:val="lrTb"/>
            <w:noWrap w:val="false"/>
          </w:tcPr>
          <w:p>
            <w:pPr>
              <w:pStyle w:val="919"/>
              <w:rPr>
                <w:color w:val="000000"/>
                <w:highlight w:val="none"/>
              </w:rPr>
            </w:pPr>
            <w:r>
              <w:rPr>
                <w:color w:val="000000"/>
                <w:highlight w:val="none"/>
              </w:rPr>
              <w:t xml:space="preserve">项目负责人</w:t>
            </w:r>
            <w:r>
              <w:rPr>
                <w:color w:val="000000"/>
                <w:highlight w:val="none"/>
              </w:rPr>
            </w:r>
            <w:r/>
          </w:p>
        </w:tc>
        <w:tc>
          <w:tcPr>
            <w:tcW w:w="3740" w:type="dxa"/>
            <w:vAlign w:val="center"/>
            <w:textDirection w:val="lrTb"/>
            <w:noWrap w:val="false"/>
          </w:tcPr>
          <w:p>
            <w:pPr>
              <w:pStyle w:val="919"/>
              <w:jc w:val="left"/>
              <w:rPr>
                <w:color w:val="000000"/>
                <w:highlight w:val="none"/>
              </w:rPr>
            </w:pPr>
            <w:r>
              <w:rPr>
                <w:color w:val="000000"/>
                <w:highlight w:val="none"/>
              </w:rPr>
              <w:t xml:space="preserve">项目负责人（7分）：</w:t>
            </w:r>
            <w:r>
              <w:rPr>
                <w:color w:val="000000"/>
                <w:highlight w:val="none"/>
              </w:rPr>
            </w:r>
            <w:r/>
          </w:p>
          <w:p>
            <w:pPr>
              <w:pStyle w:val="919"/>
              <w:jc w:val="left"/>
              <w:rPr>
                <w:color w:val="000000"/>
                <w:highlight w:val="none"/>
              </w:rPr>
            </w:pPr>
            <w:r>
              <w:rPr>
                <w:color w:val="000000"/>
                <w:highlight w:val="none"/>
              </w:rPr>
              <w:t xml:space="preserve">①具有相关环保类高级技术职称</w:t>
            </w:r>
            <w:r>
              <w:rPr>
                <w:rFonts w:hint="eastAsia"/>
                <w:color w:val="000000"/>
                <w:highlight w:val="none"/>
                <w:lang w:val="en-US" w:eastAsia="zh-CN"/>
              </w:rPr>
              <w:t xml:space="preserve">和</w:t>
            </w:r>
            <w:r>
              <w:rPr>
                <w:color w:val="000000"/>
                <w:highlight w:val="none"/>
              </w:rPr>
              <w:t xml:space="preserve">博士学位的，得4分；具有环保类相关高级技术职称或博士学位的，得2分；</w:t>
            </w:r>
            <w:r>
              <w:rPr>
                <w:rFonts w:hint="eastAsia"/>
                <w:color w:val="000000"/>
                <w:highlight w:val="none"/>
                <w:lang w:val="en-US" w:eastAsia="zh-CN"/>
              </w:rPr>
              <w:t xml:space="preserve">具有</w:t>
            </w:r>
            <w:r>
              <w:rPr>
                <w:color w:val="000000"/>
                <w:highlight w:val="none"/>
              </w:rPr>
              <w:t xml:space="preserve">环保类相关中级技术职称或硕士学位的，得1分；</w:t>
            </w:r>
            <w:r>
              <w:rPr>
                <w:rFonts w:eastAsia="宋体"/>
                <w:color w:val="000000"/>
                <w:highlight w:val="none"/>
              </w:rPr>
              <w:t xml:space="preserve">本项最高</w:t>
            </w:r>
            <w:r>
              <w:rPr>
                <w:rFonts w:hint="eastAsia" w:eastAsia="宋体"/>
                <w:color w:val="000000"/>
                <w:highlight w:val="none"/>
                <w:lang w:val="en-US" w:eastAsia="zh-CN"/>
              </w:rPr>
              <w:t xml:space="preserve">4</w:t>
            </w:r>
            <w:r>
              <w:rPr>
                <w:rFonts w:eastAsia="宋体"/>
                <w:color w:val="000000"/>
                <w:highlight w:val="none"/>
              </w:rPr>
              <w:t xml:space="preserve">分</w:t>
            </w:r>
            <w:r>
              <w:rPr>
                <w:color w:val="000000"/>
                <w:highlight w:val="none"/>
              </w:rPr>
              <w:t xml:space="preserve">；</w:t>
            </w:r>
            <w:r>
              <w:rPr>
                <w:color w:val="000000"/>
                <w:highlight w:val="none"/>
              </w:rPr>
            </w:r>
            <w:r/>
          </w:p>
          <w:p>
            <w:pPr>
              <w:pStyle w:val="919"/>
              <w:jc w:val="left"/>
              <w:rPr>
                <w:color w:val="000000"/>
                <w:highlight w:val="none"/>
              </w:rPr>
            </w:pPr>
            <w:r>
              <w:rPr>
                <w:color w:val="000000"/>
                <w:highlight w:val="none"/>
              </w:rPr>
              <w:t xml:space="preserve">②参与过国家级生态环境管理部门组织的污染物治理技术规范或手册编制经验的得2分</w:t>
            </w:r>
            <w:r>
              <w:rPr>
                <w:rFonts w:hint="eastAsia"/>
                <w:color w:val="000000"/>
                <w:highlight w:val="none"/>
                <w:lang w:eastAsia="zh-CN"/>
              </w:rPr>
              <w:t xml:space="preserve">，</w:t>
            </w:r>
            <w:r>
              <w:rPr>
                <w:rFonts w:hint="eastAsia"/>
                <w:color w:val="000000"/>
                <w:highlight w:val="none"/>
                <w:lang w:val="en-US" w:eastAsia="zh-CN"/>
              </w:rPr>
              <w:t xml:space="preserve">参与过省级</w:t>
            </w:r>
            <w:r>
              <w:rPr>
                <w:color w:val="000000"/>
                <w:highlight w:val="none"/>
              </w:rPr>
              <w:t xml:space="preserve">生态环境管理部门组织的污染物治理技术规范或手册编制经验的得</w:t>
            </w:r>
            <w:r>
              <w:rPr>
                <w:rFonts w:hint="eastAsia"/>
                <w:color w:val="000000"/>
                <w:highlight w:val="none"/>
                <w:lang w:val="en-US" w:eastAsia="zh-CN"/>
              </w:rPr>
              <w:t xml:space="preserve">1</w:t>
            </w:r>
            <w:r>
              <w:rPr>
                <w:color w:val="000000"/>
                <w:highlight w:val="none"/>
              </w:rPr>
              <w:t xml:space="preserve">分</w:t>
            </w:r>
            <w:r>
              <w:rPr>
                <w:rFonts w:hint="eastAsia"/>
                <w:color w:val="000000"/>
                <w:highlight w:val="none"/>
                <w:lang w:eastAsia="zh-CN"/>
              </w:rPr>
              <w:t xml:space="preserve">，</w:t>
            </w:r>
            <w:r>
              <w:rPr>
                <w:rFonts w:hint="eastAsia"/>
                <w:color w:val="000000"/>
                <w:highlight w:val="none"/>
                <w:lang w:val="en-US" w:eastAsia="zh-CN"/>
              </w:rPr>
              <w:t xml:space="preserve">参与过市级</w:t>
            </w:r>
            <w:r>
              <w:rPr>
                <w:color w:val="000000"/>
                <w:highlight w:val="none"/>
              </w:rPr>
              <w:t xml:space="preserve">生态环境管理部门组织的污染物治理技术规范或手册编制经验的得</w:t>
            </w:r>
            <w:r>
              <w:rPr>
                <w:rFonts w:hint="eastAsia"/>
                <w:color w:val="000000"/>
                <w:highlight w:val="none"/>
                <w:lang w:val="en-US" w:eastAsia="zh-CN"/>
              </w:rPr>
              <w:t xml:space="preserve">0.5</w:t>
            </w:r>
            <w:r>
              <w:rPr>
                <w:color w:val="000000"/>
                <w:highlight w:val="none"/>
              </w:rPr>
              <w:t xml:space="preserve">分</w:t>
            </w:r>
            <w:r>
              <w:rPr>
                <w:rFonts w:hint="eastAsia"/>
                <w:color w:val="000000"/>
                <w:highlight w:val="none"/>
                <w:lang w:eastAsia="zh-CN"/>
              </w:rPr>
              <w:t xml:space="preserve">。</w:t>
            </w:r>
            <w:r>
              <w:rPr>
                <w:color w:val="000000"/>
                <w:highlight w:val="none"/>
              </w:rPr>
              <w:t xml:space="preserve">（</w:t>
            </w:r>
            <w:r>
              <w:rPr>
                <w:rFonts w:hint="eastAsia"/>
                <w:color w:val="000000"/>
                <w:highlight w:val="none"/>
                <w:lang w:val="en-US" w:eastAsia="zh-CN"/>
              </w:rPr>
              <w:t xml:space="preserve">以最高级计分，不重复得分，</w:t>
            </w:r>
            <w:r>
              <w:rPr>
                <w:color w:val="000000"/>
                <w:highlight w:val="none"/>
              </w:rPr>
              <w:t xml:space="preserve">提供规范或手册封面、目录页、编委页扫描件证明材料）。</w:t>
            </w:r>
            <w:r>
              <w:rPr>
                <w:color w:val="000000"/>
                <w:highlight w:val="none"/>
              </w:rPr>
            </w:r>
            <w:r/>
          </w:p>
          <w:p>
            <w:pPr>
              <w:pStyle w:val="919"/>
              <w:jc w:val="left"/>
              <w:rPr>
                <w:color w:val="000000"/>
                <w:highlight w:val="none"/>
              </w:rPr>
            </w:pPr>
            <w:r>
              <w:rPr>
                <w:color w:val="000000"/>
                <w:highlight w:val="none"/>
              </w:rPr>
              <w:t xml:space="preserve">③属于地市级及以上生态环境保护专家库成员的得1分。（提供管理部门正式发文认定）。</w:t>
            </w:r>
            <w:r>
              <w:rPr>
                <w:color w:val="000000"/>
                <w:highlight w:val="none"/>
              </w:rPr>
            </w:r>
            <w:r/>
          </w:p>
          <w:p>
            <w:pPr>
              <w:pStyle w:val="919"/>
              <w:jc w:val="left"/>
              <w:rPr>
                <w:color w:val="000000"/>
                <w:highlight w:val="none"/>
              </w:rPr>
            </w:pPr>
            <w:r>
              <w:rPr>
                <w:color w:val="000000"/>
                <w:highlight w:val="none"/>
              </w:rPr>
              <w:t xml:space="preserve">提供投标单位为其缴纳的近期社保或股东注册证明材料（股东提供工商查询链接及截图），以及评分项中要求提供的其他证书（如学位证书、职称证书等）证明材料，（职称无法体现专业的以学历证书专业为准，环保相关类包含：环境科学类、环境工程类、生态学类、市政工程、应用化学等），复印件加盖公章，资料提供不全则相应人员不得分。</w:t>
            </w:r>
            <w:r>
              <w:rPr>
                <w:color w:val="000000"/>
                <w:highlight w:val="none"/>
              </w:rPr>
            </w:r>
            <w:r/>
          </w:p>
        </w:tc>
        <w:tc>
          <w:tcPr>
            <w:tcW w:w="270" w:type="dxa"/>
            <w:vAlign w:val="center"/>
            <w:textDirection w:val="lrTb"/>
            <w:noWrap w:val="false"/>
          </w:tcPr>
          <w:p>
            <w:pPr>
              <w:pStyle w:val="919"/>
              <w:rPr>
                <w:color w:val="000000"/>
                <w:highlight w:val="none"/>
              </w:rPr>
            </w:pPr>
            <w:r>
              <w:rPr>
                <w:color w:val="000000"/>
                <w:highlight w:val="none"/>
              </w:rPr>
              <w:t xml:space="preserve">7分</w:t>
            </w:r>
            <w:r>
              <w:rPr>
                <w:color w:val="000000"/>
                <w:highlight w:val="none"/>
              </w:rPr>
            </w:r>
            <w:r/>
          </w:p>
        </w:tc>
      </w:tr>
      <w:tr>
        <w:trPr>
          <w:trHeight w:val="1640"/>
        </w:trPr>
        <w:tc>
          <w:tcPr>
            <w:tcW w:w="449" w:type="dxa"/>
            <w:vAlign w:val="center"/>
            <w:vMerge w:val="continue"/>
            <w:textDirection w:val="lrTb"/>
            <w:noWrap w:val="false"/>
          </w:tcPr>
          <w:p>
            <w:pPr>
              <w:pStyle w:val="919"/>
              <w:rPr>
                <w:color w:val="000000"/>
                <w:highlight w:val="none"/>
              </w:rPr>
            </w:pPr>
            <w:r>
              <w:rPr>
                <w:color w:val="000000"/>
                <w:highlight w:val="none"/>
              </w:rPr>
            </w:r>
            <w:r/>
          </w:p>
        </w:tc>
        <w:tc>
          <w:tcPr>
            <w:tcW w:w="540" w:type="dxa"/>
            <w:vAlign w:val="center"/>
            <w:textDirection w:val="lrTb"/>
            <w:noWrap w:val="false"/>
          </w:tcPr>
          <w:p>
            <w:pPr>
              <w:pStyle w:val="919"/>
              <w:rPr>
                <w:color w:val="000000"/>
                <w:highlight w:val="none"/>
              </w:rPr>
            </w:pPr>
            <w:r>
              <w:rPr>
                <w:color w:val="000000"/>
                <w:highlight w:val="none"/>
              </w:rPr>
              <w:t xml:space="preserve">技术负责人</w:t>
            </w:r>
            <w:r>
              <w:rPr>
                <w:color w:val="000000"/>
                <w:highlight w:val="none"/>
              </w:rPr>
            </w:r>
            <w:r/>
          </w:p>
        </w:tc>
        <w:tc>
          <w:tcPr>
            <w:tcW w:w="3740" w:type="dxa"/>
            <w:vAlign w:val="center"/>
            <w:textDirection w:val="lrTb"/>
            <w:noWrap w:val="false"/>
          </w:tcPr>
          <w:p>
            <w:pPr>
              <w:pStyle w:val="919"/>
              <w:jc w:val="left"/>
              <w:rPr>
                <w:color w:val="000000"/>
                <w:highlight w:val="none"/>
              </w:rPr>
            </w:pPr>
            <w:r>
              <w:rPr>
                <w:color w:val="000000"/>
                <w:highlight w:val="none"/>
              </w:rPr>
              <w:t xml:space="preserve">技术负责人（8分）</w:t>
            </w:r>
            <w:r>
              <w:rPr>
                <w:color w:val="000000"/>
                <w:highlight w:val="none"/>
              </w:rPr>
            </w:r>
            <w:r/>
          </w:p>
          <w:p>
            <w:pPr>
              <w:pStyle w:val="919"/>
              <w:jc w:val="left"/>
              <w:rPr>
                <w:color w:val="000000"/>
                <w:highlight w:val="none"/>
              </w:rPr>
            </w:pPr>
            <w:r>
              <w:rPr>
                <w:color w:val="000000"/>
                <w:highlight w:val="none"/>
              </w:rPr>
              <w:t xml:space="preserve">①具有环保类相关正高级技术职称</w:t>
            </w:r>
            <w:r>
              <w:rPr>
                <w:rFonts w:hint="eastAsia"/>
                <w:color w:val="000000"/>
                <w:highlight w:val="none"/>
                <w:lang w:val="en-US" w:eastAsia="zh-CN"/>
              </w:rPr>
              <w:t xml:space="preserve">和</w:t>
            </w:r>
            <w:r>
              <w:rPr>
                <w:color w:val="000000"/>
                <w:highlight w:val="none"/>
              </w:rPr>
              <w:t xml:space="preserve">博士学位的，得5分；具有环保类相关高级</w:t>
            </w:r>
            <w:r>
              <w:rPr>
                <w:rFonts w:hint="eastAsia"/>
                <w:color w:val="000000"/>
                <w:highlight w:val="none"/>
                <w:lang w:val="en-US" w:eastAsia="zh-CN"/>
              </w:rPr>
              <w:t xml:space="preserve">及以上</w:t>
            </w:r>
            <w:r>
              <w:rPr>
                <w:color w:val="000000"/>
                <w:highlight w:val="none"/>
              </w:rPr>
              <w:t xml:space="preserve">技术职称或博士学位的，得2分；环保类相关中级技术职称或硕士学位的，得1分；</w:t>
            </w:r>
            <w:r>
              <w:rPr>
                <w:rFonts w:eastAsia="宋体"/>
                <w:color w:val="000000"/>
                <w:highlight w:val="none"/>
              </w:rPr>
              <w:t xml:space="preserve">本项最高</w:t>
            </w:r>
            <w:r>
              <w:rPr>
                <w:rFonts w:hint="eastAsia" w:eastAsia="宋体"/>
                <w:color w:val="000000"/>
                <w:highlight w:val="none"/>
                <w:lang w:val="en-US" w:eastAsia="zh-CN"/>
              </w:rPr>
              <w:t xml:space="preserve">5</w:t>
            </w:r>
            <w:r>
              <w:rPr>
                <w:rFonts w:eastAsia="宋体"/>
                <w:color w:val="000000"/>
                <w:highlight w:val="none"/>
              </w:rPr>
              <w:t xml:space="preserve">分</w:t>
            </w:r>
            <w:r>
              <w:rPr>
                <w:color w:val="000000"/>
                <w:highlight w:val="none"/>
              </w:rPr>
              <w:t xml:space="preserve">；</w:t>
            </w:r>
            <w:r>
              <w:rPr>
                <w:color w:val="000000"/>
                <w:highlight w:val="none"/>
              </w:rPr>
            </w:r>
            <w:r/>
          </w:p>
          <w:p>
            <w:pPr>
              <w:pStyle w:val="919"/>
              <w:jc w:val="left"/>
              <w:rPr>
                <w:color w:val="000000"/>
                <w:highlight w:val="none"/>
              </w:rPr>
            </w:pPr>
            <w:r>
              <w:rPr>
                <w:color w:val="000000"/>
                <w:highlight w:val="none"/>
              </w:rPr>
              <w:t xml:space="preserve">②有主持过国家级环境保护课题研究经验的得2分</w:t>
            </w:r>
            <w:r>
              <w:rPr>
                <w:rFonts w:hint="eastAsia"/>
                <w:color w:val="000000"/>
                <w:highlight w:val="none"/>
                <w:lang w:eastAsia="zh-CN"/>
              </w:rPr>
              <w:t xml:space="preserve">，</w:t>
            </w:r>
            <w:r>
              <w:rPr>
                <w:color w:val="000000"/>
                <w:highlight w:val="none"/>
              </w:rPr>
              <w:t xml:space="preserve">有主持过</w:t>
            </w:r>
            <w:r>
              <w:rPr>
                <w:rFonts w:hint="eastAsia"/>
                <w:color w:val="000000"/>
                <w:highlight w:val="none"/>
                <w:lang w:val="en-US" w:eastAsia="zh-CN"/>
              </w:rPr>
              <w:t xml:space="preserve">省</w:t>
            </w:r>
            <w:r>
              <w:rPr>
                <w:color w:val="000000"/>
                <w:highlight w:val="none"/>
              </w:rPr>
              <w:t xml:space="preserve">级环境保护课题研究经验的得</w:t>
            </w:r>
            <w:r>
              <w:rPr>
                <w:rFonts w:hint="eastAsia"/>
                <w:color w:val="000000"/>
                <w:highlight w:val="none"/>
                <w:lang w:val="en-US" w:eastAsia="zh-CN"/>
              </w:rPr>
              <w:t xml:space="preserve">1</w:t>
            </w:r>
            <w:r>
              <w:rPr>
                <w:color w:val="000000"/>
                <w:highlight w:val="none"/>
              </w:rPr>
              <w:t xml:space="preserve">分</w:t>
            </w:r>
            <w:r>
              <w:rPr>
                <w:rFonts w:hint="eastAsia"/>
                <w:color w:val="000000"/>
                <w:highlight w:val="none"/>
                <w:lang w:eastAsia="zh-CN"/>
              </w:rPr>
              <w:t xml:space="preserve">，</w:t>
            </w:r>
            <w:r>
              <w:rPr>
                <w:color w:val="000000"/>
                <w:highlight w:val="none"/>
              </w:rPr>
              <w:t xml:space="preserve">有主持过</w:t>
            </w:r>
            <w:r>
              <w:rPr>
                <w:rFonts w:hint="eastAsia"/>
                <w:color w:val="000000"/>
                <w:highlight w:val="none"/>
                <w:lang w:val="en-US" w:eastAsia="zh-CN"/>
              </w:rPr>
              <w:t xml:space="preserve">市</w:t>
            </w:r>
            <w:r>
              <w:rPr>
                <w:color w:val="000000"/>
                <w:highlight w:val="none"/>
              </w:rPr>
              <w:t xml:space="preserve">级环境保护课题研究经验的得</w:t>
            </w:r>
            <w:r>
              <w:rPr>
                <w:rFonts w:hint="eastAsia"/>
                <w:color w:val="000000"/>
                <w:highlight w:val="none"/>
                <w:lang w:val="en-US" w:eastAsia="zh-CN"/>
              </w:rPr>
              <w:t xml:space="preserve">0.5</w:t>
            </w:r>
            <w:r>
              <w:rPr>
                <w:color w:val="000000"/>
                <w:highlight w:val="none"/>
              </w:rPr>
              <w:t xml:space="preserve">分</w:t>
            </w:r>
            <w:r>
              <w:rPr>
                <w:rFonts w:hint="eastAsia"/>
                <w:color w:val="000000"/>
                <w:highlight w:val="none"/>
                <w:lang w:eastAsia="zh-CN"/>
              </w:rPr>
              <w:t xml:space="preserve">。</w:t>
            </w:r>
            <w:r>
              <w:rPr>
                <w:rFonts w:eastAsia="宋体"/>
                <w:color w:val="000000"/>
                <w:highlight w:val="none"/>
              </w:rPr>
              <w:t xml:space="preserve">(</w:t>
            </w:r>
            <w:r>
              <w:rPr>
                <w:rFonts w:hint="eastAsia"/>
                <w:color w:val="000000"/>
                <w:highlight w:val="none"/>
                <w:lang w:val="en-US" w:eastAsia="zh-CN"/>
              </w:rPr>
              <w:t xml:space="preserve">以最高级计分，不重复得分，</w:t>
            </w:r>
            <w:r>
              <w:rPr>
                <w:rFonts w:eastAsia="宋体"/>
                <w:color w:val="000000"/>
                <w:highlight w:val="none"/>
              </w:rPr>
              <w:t xml:space="preserve">环境保护课题研究结题证明材料须为从政府主管部门网站查询下载或加盖政府主管部门印章，且相应证明材料中能体现相应技术服务人员的姓名)</w:t>
            </w:r>
            <w:r>
              <w:rPr>
                <w:color w:val="000000"/>
                <w:highlight w:val="none"/>
              </w:rPr>
              <w:t xml:space="preserve">。</w:t>
            </w:r>
            <w:r>
              <w:rPr>
                <w:color w:val="000000"/>
                <w:highlight w:val="none"/>
              </w:rPr>
            </w:r>
            <w:r/>
          </w:p>
          <w:p>
            <w:pPr>
              <w:pStyle w:val="919"/>
              <w:jc w:val="left"/>
              <w:rPr>
                <w:color w:val="000000"/>
                <w:highlight w:val="none"/>
              </w:rPr>
            </w:pPr>
            <w:r>
              <w:rPr>
                <w:color w:val="000000"/>
                <w:highlight w:val="none"/>
              </w:rPr>
              <w:t xml:space="preserve">③属于地市级及以上生态环境保护专家库成员的得1分。（提供管理部门正式发文认定）</w:t>
            </w:r>
            <w:r>
              <w:rPr>
                <w:color w:val="000000"/>
                <w:highlight w:val="none"/>
              </w:rPr>
            </w:r>
            <w:r/>
          </w:p>
          <w:p>
            <w:pPr>
              <w:pStyle w:val="919"/>
              <w:jc w:val="left"/>
              <w:rPr>
                <w:color w:val="000000"/>
                <w:highlight w:val="none"/>
              </w:rPr>
            </w:pPr>
            <w:r>
              <w:rPr>
                <w:color w:val="000000"/>
                <w:highlight w:val="none"/>
              </w:rPr>
              <w:t xml:space="preserve">提供投标单位为其缴纳的近期社保或股东注册证明材料（股东提供工商查询链接及截图），以及评分项中要求提供的其他证书（如学位证书、职称证书等）证明材料，（职称无法体现专业的以学历证书专业为准，环保相关类包含：环境科学类、环境工程类、生态学类、市政工程、应用化学等），复印件加盖公章，资料提供不全则相应人员不得分。</w:t>
            </w:r>
            <w:r>
              <w:rPr>
                <w:color w:val="000000"/>
                <w:highlight w:val="none"/>
              </w:rPr>
            </w:r>
            <w:r/>
          </w:p>
        </w:tc>
        <w:tc>
          <w:tcPr>
            <w:tcW w:w="270" w:type="dxa"/>
            <w:vAlign w:val="center"/>
            <w:textDirection w:val="lrTb"/>
            <w:noWrap w:val="false"/>
          </w:tcPr>
          <w:p>
            <w:pPr>
              <w:pStyle w:val="919"/>
              <w:rPr>
                <w:color w:val="000000"/>
                <w:highlight w:val="none"/>
              </w:rPr>
            </w:pPr>
            <w:r>
              <w:rPr>
                <w:color w:val="000000"/>
                <w:highlight w:val="none"/>
              </w:rPr>
              <w:t xml:space="preserve">8分</w:t>
            </w:r>
            <w:r>
              <w:rPr>
                <w:color w:val="000000"/>
                <w:highlight w:val="none"/>
              </w:rPr>
            </w:r>
            <w:r/>
          </w:p>
        </w:tc>
      </w:tr>
      <w:tr>
        <w:trPr>
          <w:trHeight w:val="678"/>
        </w:trPr>
        <w:tc>
          <w:tcPr>
            <w:tcW w:w="449" w:type="dxa"/>
            <w:vAlign w:val="center"/>
            <w:vMerge w:val="continue"/>
            <w:textDirection w:val="lrTb"/>
            <w:noWrap w:val="false"/>
          </w:tcPr>
          <w:p>
            <w:pPr>
              <w:pStyle w:val="919"/>
              <w:rPr>
                <w:color w:val="000000"/>
                <w:highlight w:val="none"/>
              </w:rPr>
            </w:pPr>
            <w:r>
              <w:rPr>
                <w:color w:val="000000"/>
                <w:highlight w:val="none"/>
              </w:rPr>
            </w:r>
            <w:r/>
          </w:p>
        </w:tc>
        <w:tc>
          <w:tcPr>
            <w:tcW w:w="540" w:type="dxa"/>
            <w:vAlign w:val="center"/>
            <w:textDirection w:val="lrTb"/>
            <w:noWrap w:val="false"/>
          </w:tcPr>
          <w:p>
            <w:pPr>
              <w:pStyle w:val="919"/>
              <w:rPr>
                <w:color w:val="000000"/>
                <w:highlight w:val="none"/>
              </w:rPr>
            </w:pPr>
            <w:r>
              <w:rPr>
                <w:color w:val="000000"/>
                <w:highlight w:val="none"/>
              </w:rPr>
              <w:t xml:space="preserve">质控负责人</w:t>
            </w:r>
            <w:r>
              <w:rPr>
                <w:color w:val="000000"/>
                <w:highlight w:val="none"/>
              </w:rPr>
            </w:r>
            <w:r/>
          </w:p>
        </w:tc>
        <w:tc>
          <w:tcPr>
            <w:tcW w:w="3740" w:type="dxa"/>
            <w:vAlign w:val="center"/>
            <w:textDirection w:val="lrTb"/>
            <w:noWrap w:val="false"/>
          </w:tcPr>
          <w:p>
            <w:pPr>
              <w:pStyle w:val="919"/>
              <w:jc w:val="left"/>
              <w:rPr>
                <w:color w:val="000000"/>
                <w:highlight w:val="none"/>
              </w:rPr>
            </w:pPr>
            <w:r>
              <w:rPr>
                <w:color w:val="000000"/>
                <w:highlight w:val="none"/>
              </w:rPr>
              <w:t xml:space="preserve">质控负责人（6分）</w:t>
            </w:r>
            <w:r>
              <w:rPr>
                <w:color w:val="000000"/>
                <w:highlight w:val="none"/>
              </w:rPr>
            </w:r>
            <w:r/>
          </w:p>
          <w:p>
            <w:pPr>
              <w:pStyle w:val="919"/>
              <w:jc w:val="left"/>
              <w:rPr>
                <w:color w:val="000000"/>
                <w:highlight w:val="none"/>
              </w:rPr>
            </w:pPr>
            <w:r>
              <w:rPr>
                <w:color w:val="000000"/>
                <w:highlight w:val="none"/>
              </w:rPr>
              <w:t xml:space="preserve">①具有环保类相关正高级技术职称</w:t>
            </w:r>
            <w:r>
              <w:rPr>
                <w:rFonts w:hint="eastAsia"/>
                <w:color w:val="000000"/>
                <w:highlight w:val="none"/>
                <w:lang w:val="en-US" w:eastAsia="zh-CN"/>
              </w:rPr>
              <w:t xml:space="preserve">和</w:t>
            </w:r>
            <w:r>
              <w:rPr>
                <w:color w:val="000000"/>
                <w:highlight w:val="none"/>
              </w:rPr>
              <w:t xml:space="preserve">硕士学位的，得3分；具有环保类相关高级</w:t>
            </w:r>
            <w:r>
              <w:rPr>
                <w:rFonts w:hint="eastAsia"/>
                <w:color w:val="000000"/>
                <w:highlight w:val="none"/>
                <w:lang w:val="en-US" w:eastAsia="zh-CN"/>
              </w:rPr>
              <w:t xml:space="preserve">及以上</w:t>
            </w:r>
            <w:r>
              <w:rPr>
                <w:color w:val="000000"/>
                <w:highlight w:val="none"/>
              </w:rPr>
              <w:t xml:space="preserve">技术职称或硕士及以上学位的，得2分；环保类相关中级技术职称或学士学位的，得1分；</w:t>
            </w:r>
            <w:r>
              <w:rPr>
                <w:rFonts w:eastAsia="宋体"/>
                <w:color w:val="000000"/>
                <w:highlight w:val="none"/>
              </w:rPr>
              <w:t xml:space="preserve">本项最高</w:t>
            </w:r>
            <w:r>
              <w:rPr>
                <w:rFonts w:hint="eastAsia" w:eastAsia="宋体"/>
                <w:color w:val="000000"/>
                <w:highlight w:val="none"/>
                <w:lang w:val="en-US" w:eastAsia="zh-CN"/>
              </w:rPr>
              <w:t xml:space="preserve">3</w:t>
            </w:r>
            <w:r>
              <w:rPr>
                <w:rFonts w:eastAsia="宋体"/>
                <w:color w:val="000000"/>
                <w:highlight w:val="none"/>
              </w:rPr>
              <w:t xml:space="preserve">分</w:t>
            </w:r>
            <w:r>
              <w:rPr>
                <w:color w:val="000000"/>
                <w:highlight w:val="none"/>
              </w:rPr>
              <w:t xml:space="preserve">；</w:t>
            </w:r>
            <w:r>
              <w:rPr>
                <w:color w:val="000000"/>
                <w:highlight w:val="none"/>
              </w:rPr>
            </w:r>
            <w:r/>
          </w:p>
          <w:p>
            <w:pPr>
              <w:pStyle w:val="919"/>
              <w:jc w:val="left"/>
              <w:rPr>
                <w:color w:val="000000"/>
                <w:highlight w:val="none"/>
              </w:rPr>
            </w:pPr>
            <w:r>
              <w:rPr>
                <w:color w:val="000000"/>
                <w:highlight w:val="none"/>
              </w:rPr>
              <w:t xml:space="preserve">②具有省级或以上环保类奖项的得2分</w:t>
            </w:r>
            <w:r>
              <w:rPr>
                <w:rFonts w:hint="eastAsia"/>
                <w:color w:val="000000"/>
                <w:highlight w:val="none"/>
                <w:lang w:eastAsia="zh-CN"/>
              </w:rPr>
              <w:t xml:space="preserve">，</w:t>
            </w:r>
            <w:r>
              <w:rPr>
                <w:color w:val="000000"/>
                <w:highlight w:val="none"/>
              </w:rPr>
              <w:t xml:space="preserve">具有</w:t>
            </w:r>
            <w:r>
              <w:rPr>
                <w:rFonts w:hint="eastAsia"/>
                <w:color w:val="000000"/>
                <w:highlight w:val="none"/>
                <w:lang w:val="en-US" w:eastAsia="zh-CN"/>
              </w:rPr>
              <w:t xml:space="preserve">市级</w:t>
            </w:r>
            <w:r>
              <w:rPr>
                <w:color w:val="000000"/>
                <w:highlight w:val="none"/>
              </w:rPr>
              <w:t xml:space="preserve">环保类奖项的得</w:t>
            </w:r>
            <w:r>
              <w:rPr>
                <w:rFonts w:hint="eastAsia"/>
                <w:color w:val="000000"/>
                <w:highlight w:val="none"/>
                <w:lang w:val="en-US" w:eastAsia="zh-CN"/>
              </w:rPr>
              <w:t xml:space="preserve">0.5</w:t>
            </w:r>
            <w:r>
              <w:rPr>
                <w:color w:val="000000"/>
                <w:highlight w:val="none"/>
              </w:rPr>
              <w:t xml:space="preserve">分</w:t>
            </w:r>
            <w:r>
              <w:rPr>
                <w:rFonts w:hint="eastAsia"/>
                <w:color w:val="000000"/>
                <w:highlight w:val="none"/>
                <w:lang w:eastAsia="zh-CN"/>
              </w:rPr>
              <w:t xml:space="preserve">。</w:t>
            </w:r>
            <w:r>
              <w:rPr>
                <w:color w:val="000000"/>
                <w:highlight w:val="none"/>
              </w:rPr>
              <w:t xml:space="preserve">（</w:t>
            </w:r>
            <w:r>
              <w:rPr>
                <w:rFonts w:hint="eastAsia"/>
                <w:color w:val="000000"/>
                <w:highlight w:val="none"/>
                <w:lang w:val="en-US" w:eastAsia="zh-CN"/>
              </w:rPr>
              <w:t xml:space="preserve">以最高级计分，不重复得分，</w:t>
            </w:r>
            <w:r>
              <w:rPr>
                <w:color w:val="000000"/>
                <w:highlight w:val="none"/>
              </w:rPr>
              <w:t xml:space="preserve">需提供证书复印件）。</w:t>
            </w:r>
            <w:r>
              <w:rPr>
                <w:color w:val="000000"/>
                <w:highlight w:val="none"/>
              </w:rPr>
            </w:r>
            <w:r/>
          </w:p>
          <w:p>
            <w:pPr>
              <w:pStyle w:val="919"/>
              <w:jc w:val="left"/>
              <w:rPr>
                <w:color w:val="000000"/>
                <w:highlight w:val="none"/>
              </w:rPr>
            </w:pPr>
            <w:r>
              <w:rPr>
                <w:color w:val="000000"/>
                <w:highlight w:val="none"/>
              </w:rPr>
              <w:t xml:space="preserve">③属于地市级及以上生态环境保护专家库成员的得1分。（提供管理部门正式发文认定）</w:t>
            </w:r>
            <w:r>
              <w:rPr>
                <w:color w:val="000000"/>
                <w:highlight w:val="none"/>
              </w:rPr>
            </w:r>
            <w:r/>
          </w:p>
          <w:p>
            <w:pPr>
              <w:pStyle w:val="919"/>
              <w:jc w:val="left"/>
              <w:rPr>
                <w:color w:val="000000"/>
                <w:highlight w:val="none"/>
              </w:rPr>
            </w:pPr>
            <w:r>
              <w:rPr>
                <w:color w:val="000000"/>
                <w:highlight w:val="none"/>
              </w:rPr>
              <w:t xml:space="preserve">提供投标单位为其缴纳的近期社保或股东注册证明材料（股东提供工商查询链接及截图），以及评分项中要求提供的其他证书（如学位证书、职称证书等）证明材料，（职称无法体现专业的以学历证书专业为准，环保相关类包含：环境科学类、环境工程类、生态学类、市政工程、应用化学等），复印件加盖公章，资料提供不全则相应人员不得分。</w:t>
            </w:r>
            <w:r>
              <w:rPr>
                <w:color w:val="000000"/>
                <w:highlight w:val="none"/>
              </w:rPr>
            </w:r>
            <w:r/>
          </w:p>
        </w:tc>
        <w:tc>
          <w:tcPr>
            <w:tcW w:w="270" w:type="dxa"/>
            <w:vAlign w:val="center"/>
            <w:textDirection w:val="lrTb"/>
            <w:noWrap w:val="false"/>
          </w:tcPr>
          <w:p>
            <w:pPr>
              <w:pStyle w:val="919"/>
              <w:rPr>
                <w:color w:val="000000"/>
                <w:highlight w:val="none"/>
              </w:rPr>
            </w:pPr>
            <w:r>
              <w:rPr>
                <w:color w:val="000000"/>
                <w:highlight w:val="none"/>
              </w:rPr>
              <w:t xml:space="preserve">6分</w:t>
            </w:r>
            <w:r>
              <w:rPr>
                <w:color w:val="000000"/>
                <w:highlight w:val="none"/>
              </w:rPr>
            </w:r>
            <w:r/>
          </w:p>
        </w:tc>
      </w:tr>
      <w:tr>
        <w:trPr>
          <w:trHeight w:val="1155"/>
        </w:trPr>
        <w:tc>
          <w:tcPr>
            <w:tcW w:w="449" w:type="dxa"/>
            <w:vAlign w:val="center"/>
            <w:vMerge w:val="continue"/>
            <w:textDirection w:val="lrTb"/>
            <w:noWrap w:val="false"/>
          </w:tcPr>
          <w:p>
            <w:pPr>
              <w:pStyle w:val="919"/>
              <w:rPr>
                <w:color w:val="000000"/>
                <w:highlight w:val="none"/>
              </w:rPr>
            </w:pPr>
            <w:r>
              <w:rPr>
                <w:color w:val="000000"/>
                <w:highlight w:val="none"/>
              </w:rPr>
            </w:r>
            <w:r/>
          </w:p>
        </w:tc>
        <w:tc>
          <w:tcPr>
            <w:tcW w:w="540" w:type="dxa"/>
            <w:vAlign w:val="center"/>
            <w:textDirection w:val="lrTb"/>
            <w:noWrap w:val="false"/>
          </w:tcPr>
          <w:p>
            <w:pPr>
              <w:pStyle w:val="919"/>
              <w:rPr>
                <w:color w:val="000000"/>
                <w:highlight w:val="none"/>
              </w:rPr>
            </w:pPr>
            <w:r>
              <w:rPr>
                <w:color w:val="000000"/>
                <w:highlight w:val="none"/>
              </w:rPr>
              <w:t xml:space="preserve">项目组成员</w:t>
            </w:r>
            <w:r>
              <w:rPr>
                <w:color w:val="000000"/>
                <w:highlight w:val="none"/>
              </w:rPr>
            </w:r>
            <w:r/>
          </w:p>
        </w:tc>
        <w:tc>
          <w:tcPr>
            <w:tcW w:w="3740" w:type="dxa"/>
            <w:vAlign w:val="center"/>
            <w:textDirection w:val="lrTb"/>
            <w:noWrap w:val="false"/>
          </w:tcPr>
          <w:p>
            <w:pPr>
              <w:pStyle w:val="919"/>
              <w:jc w:val="left"/>
              <w:rPr>
                <w:color w:val="000000"/>
                <w:highlight w:val="none"/>
              </w:rPr>
            </w:pPr>
            <w:r>
              <w:rPr>
                <w:color w:val="000000"/>
                <w:highlight w:val="none"/>
              </w:rPr>
              <w:t xml:space="preserve">项目组成员（除项目负责人、技术负责人、质控负责人外）（</w:t>
            </w:r>
            <w:r>
              <w:rPr>
                <w:rFonts w:eastAsia="宋体"/>
                <w:color w:val="000000"/>
                <w:highlight w:val="none"/>
                <w:lang w:val="en-US" w:eastAsia="zh-CN"/>
              </w:rPr>
              <w:t xml:space="preserve">8</w:t>
            </w:r>
            <w:r>
              <w:rPr>
                <w:rFonts w:eastAsia="宋体"/>
                <w:color w:val="000000"/>
                <w:highlight w:val="none"/>
              </w:rPr>
              <w:t xml:space="preserve">分</w:t>
            </w:r>
            <w:r>
              <w:rPr>
                <w:color w:val="000000"/>
                <w:highlight w:val="none"/>
              </w:rPr>
              <w:t xml:space="preserve">）：</w:t>
            </w:r>
            <w:r>
              <w:rPr>
                <w:color w:val="000000"/>
                <w:highlight w:val="none"/>
              </w:rPr>
            </w:r>
            <w:r/>
          </w:p>
          <w:p>
            <w:pPr>
              <w:pStyle w:val="919"/>
              <w:jc w:val="left"/>
              <w:rPr>
                <w:color w:val="000000"/>
                <w:highlight w:val="none"/>
              </w:rPr>
            </w:pPr>
            <w:r>
              <w:rPr>
                <w:color w:val="000000"/>
                <w:highlight w:val="none"/>
              </w:rPr>
              <w:t xml:space="preserve">1、投标人拟投入本项目的成员：配置本科及以上学历满15人得</w:t>
            </w:r>
            <w:r>
              <w:rPr>
                <w:rFonts w:eastAsia="宋体"/>
                <w:color w:val="000000"/>
                <w:highlight w:val="none"/>
                <w:lang w:val="en-US" w:eastAsia="zh-CN"/>
              </w:rPr>
              <w:t xml:space="preserve">1</w:t>
            </w:r>
            <w:r>
              <w:rPr>
                <w:rFonts w:eastAsia="宋体"/>
                <w:color w:val="000000"/>
                <w:highlight w:val="none"/>
              </w:rPr>
              <w:t xml:space="preserve">分</w:t>
            </w:r>
            <w:r>
              <w:rPr>
                <w:color w:val="000000"/>
                <w:highlight w:val="none"/>
              </w:rPr>
              <w:t xml:space="preserve">；</w:t>
            </w:r>
            <w:r>
              <w:rPr>
                <w:color w:val="000000"/>
                <w:highlight w:val="none"/>
              </w:rPr>
            </w:r>
            <w:r/>
          </w:p>
          <w:p>
            <w:pPr>
              <w:pStyle w:val="919"/>
              <w:jc w:val="left"/>
              <w:rPr>
                <w:color w:val="000000"/>
                <w:highlight w:val="none"/>
              </w:rPr>
            </w:pPr>
            <w:r>
              <w:rPr>
                <w:color w:val="000000"/>
                <w:highlight w:val="none"/>
              </w:rPr>
              <w:t xml:space="preserve">2、骨干人员具有高级或以上职称且属于地市级及以上生态环境保护专家库成员的</w:t>
            </w:r>
            <w:r>
              <w:rPr>
                <w:rFonts w:eastAsia="宋体"/>
                <w:color w:val="000000"/>
                <w:highlight w:val="none"/>
              </w:rPr>
              <w:t xml:space="preserve">有1人</w:t>
            </w:r>
            <w:r>
              <w:rPr>
                <w:color w:val="000000"/>
                <w:highlight w:val="none"/>
              </w:rPr>
              <w:t xml:space="preserve">加2分（提供管理部门正式发文认定），</w:t>
            </w:r>
            <w:r>
              <w:rPr>
                <w:rFonts w:hint="eastAsia"/>
                <w:color w:val="000000"/>
                <w:highlight w:val="none"/>
                <w:lang w:val="en-US" w:eastAsia="zh-CN"/>
              </w:rPr>
              <w:t xml:space="preserve">本</w:t>
            </w:r>
            <w:r>
              <w:rPr>
                <w:color w:val="000000"/>
                <w:highlight w:val="none"/>
              </w:rPr>
              <w:t xml:space="preserve">项最高加4分。</w:t>
            </w:r>
            <w:r>
              <w:rPr>
                <w:color w:val="000000"/>
                <w:highlight w:val="none"/>
              </w:rPr>
            </w:r>
            <w:r/>
          </w:p>
          <w:p>
            <w:pPr>
              <w:pStyle w:val="919"/>
              <w:jc w:val="left"/>
              <w:rPr>
                <w:color w:val="000000"/>
                <w:highlight w:val="none"/>
              </w:rPr>
            </w:pPr>
            <w:r>
              <w:rPr>
                <w:color w:val="000000"/>
                <w:highlight w:val="none"/>
              </w:rPr>
              <w:t xml:space="preserve">3、</w:t>
            </w:r>
            <w:r>
              <w:rPr>
                <w:rFonts w:eastAsia="宋体"/>
                <w:color w:val="000000"/>
                <w:highlight w:val="none"/>
              </w:rPr>
              <w:t xml:space="preserve">骨干人员主持过国家级课题研究经验的，有1人得2分</w:t>
            </w:r>
            <w:r>
              <w:rPr>
                <w:rFonts w:hint="eastAsia" w:eastAsia="宋体"/>
                <w:color w:val="000000"/>
                <w:highlight w:val="none"/>
                <w:lang w:eastAsia="zh-CN"/>
              </w:rPr>
              <w:t xml:space="preserve">；</w:t>
            </w:r>
            <w:r>
              <w:rPr>
                <w:rFonts w:eastAsia="宋体"/>
                <w:color w:val="000000"/>
                <w:highlight w:val="none"/>
              </w:rPr>
              <w:t xml:space="preserve">骨干人员主持过</w:t>
            </w:r>
            <w:r>
              <w:rPr>
                <w:rFonts w:hint="eastAsia" w:eastAsia="宋体"/>
                <w:color w:val="000000"/>
                <w:highlight w:val="none"/>
                <w:lang w:val="en-US" w:eastAsia="zh-CN"/>
              </w:rPr>
              <w:t xml:space="preserve">省</w:t>
            </w:r>
            <w:r>
              <w:rPr>
                <w:rFonts w:eastAsia="宋体"/>
                <w:color w:val="000000"/>
                <w:highlight w:val="none"/>
              </w:rPr>
              <w:t xml:space="preserve">级课题研究经验的，有1人得</w:t>
            </w:r>
            <w:r>
              <w:rPr>
                <w:rFonts w:hint="eastAsia" w:eastAsia="宋体"/>
                <w:color w:val="000000"/>
                <w:highlight w:val="none"/>
                <w:lang w:val="en-US" w:eastAsia="zh-CN"/>
              </w:rPr>
              <w:t xml:space="preserve">1</w:t>
            </w:r>
            <w:r>
              <w:rPr>
                <w:rFonts w:eastAsia="宋体"/>
                <w:color w:val="000000"/>
                <w:highlight w:val="none"/>
              </w:rPr>
              <w:t xml:space="preserve">分</w:t>
            </w:r>
            <w:r>
              <w:rPr>
                <w:rFonts w:hint="eastAsia" w:eastAsia="宋体"/>
                <w:color w:val="000000"/>
                <w:highlight w:val="none"/>
                <w:lang w:eastAsia="zh-CN"/>
              </w:rPr>
              <w:t xml:space="preserve">；</w:t>
            </w:r>
            <w:r>
              <w:rPr>
                <w:rFonts w:eastAsia="宋体"/>
                <w:color w:val="000000"/>
                <w:highlight w:val="none"/>
              </w:rPr>
              <w:t xml:space="preserve">骨干人员主持过</w:t>
            </w:r>
            <w:r>
              <w:rPr>
                <w:rFonts w:hint="eastAsia" w:eastAsia="宋体"/>
                <w:color w:val="000000"/>
                <w:highlight w:val="none"/>
                <w:lang w:val="en-US" w:eastAsia="zh-CN"/>
              </w:rPr>
              <w:t xml:space="preserve">市</w:t>
            </w:r>
            <w:r>
              <w:rPr>
                <w:rFonts w:eastAsia="宋体"/>
                <w:color w:val="000000"/>
                <w:highlight w:val="none"/>
              </w:rPr>
              <w:t xml:space="preserve">级课题研究经验的，有1人得</w:t>
            </w:r>
            <w:r>
              <w:rPr>
                <w:rFonts w:hint="eastAsia" w:eastAsia="宋体"/>
                <w:color w:val="000000"/>
                <w:highlight w:val="none"/>
                <w:lang w:val="en-US" w:eastAsia="zh-CN"/>
              </w:rPr>
              <w:t xml:space="preserve">0.5</w:t>
            </w:r>
            <w:r>
              <w:rPr>
                <w:rFonts w:eastAsia="宋体"/>
                <w:color w:val="000000"/>
                <w:highlight w:val="none"/>
              </w:rPr>
              <w:t xml:space="preserve">分</w:t>
            </w:r>
            <w:r>
              <w:rPr>
                <w:rFonts w:hint="eastAsia" w:eastAsia="宋体"/>
                <w:color w:val="000000"/>
                <w:highlight w:val="none"/>
                <w:lang w:eastAsia="zh-CN"/>
              </w:rPr>
              <w:t xml:space="preserve">。</w:t>
            </w:r>
            <w:r>
              <w:rPr>
                <w:rFonts w:eastAsia="宋体"/>
                <w:color w:val="000000"/>
                <w:highlight w:val="none"/>
              </w:rPr>
              <w:t xml:space="preserve">(课题研究结题证明材料须为从政府主管部门网站查询下载或加盖政府主管部门印章，且相应证明材料中能体现相应技术服务人员的姓名；</w:t>
            </w:r>
            <w:r>
              <w:rPr>
                <w:rFonts w:hint="eastAsia"/>
                <w:color w:val="000000"/>
                <w:highlight w:val="none"/>
                <w:lang w:val="en-US" w:eastAsia="zh-CN"/>
              </w:rPr>
              <w:t xml:space="preserve">以最高级计分，</w:t>
            </w:r>
            <w:r>
              <w:rPr>
                <w:rFonts w:eastAsia="宋体"/>
                <w:color w:val="000000"/>
                <w:highlight w:val="none"/>
              </w:rPr>
              <w:t xml:space="preserve">不同课题研究不重复得分)</w:t>
            </w:r>
            <w:r>
              <w:rPr>
                <w:color w:val="000000"/>
                <w:highlight w:val="none"/>
              </w:rPr>
              <w:t xml:space="preserve">。</w:t>
            </w:r>
            <w:r>
              <w:rPr>
                <w:color w:val="000000"/>
                <w:highlight w:val="none"/>
              </w:rPr>
            </w:r>
            <w:r/>
          </w:p>
          <w:p>
            <w:pPr>
              <w:pStyle w:val="919"/>
              <w:jc w:val="left"/>
              <w:rPr>
                <w:color w:val="000000"/>
                <w:highlight w:val="none"/>
              </w:rPr>
            </w:pPr>
            <w:r>
              <w:rPr>
                <w:rFonts w:hint="eastAsia"/>
                <w:color w:val="000000"/>
                <w:highlight w:val="none"/>
                <w:lang w:val="en-US" w:eastAsia="zh-CN"/>
              </w:rPr>
              <w:t xml:space="preserve">4</w:t>
            </w:r>
            <w:r>
              <w:rPr>
                <w:color w:val="000000"/>
                <w:highlight w:val="none"/>
              </w:rPr>
              <w:t xml:space="preserve">、具有有效期内民航局颁发的无人驾驶航空器操作员证书的，每有1人得</w:t>
            </w:r>
            <w:r>
              <w:rPr>
                <w:rFonts w:eastAsia="宋体"/>
                <w:color w:val="000000"/>
                <w:highlight w:val="none"/>
                <w:lang w:val="en-US" w:eastAsia="zh-CN"/>
              </w:rPr>
              <w:t xml:space="preserve">0.5</w:t>
            </w:r>
            <w:r>
              <w:rPr>
                <w:rFonts w:eastAsia="宋体"/>
                <w:color w:val="000000"/>
                <w:highlight w:val="none"/>
              </w:rPr>
              <w:t xml:space="preserve">分</w:t>
            </w:r>
            <w:r>
              <w:rPr>
                <w:color w:val="000000"/>
                <w:highlight w:val="none"/>
              </w:rPr>
              <w:t xml:space="preserve">，</w:t>
            </w:r>
            <w:r>
              <w:rPr>
                <w:rFonts w:hint="eastAsia"/>
                <w:color w:val="000000"/>
                <w:highlight w:val="none"/>
                <w:lang w:val="en-US" w:eastAsia="zh-CN"/>
              </w:rPr>
              <w:t xml:space="preserve">本项</w:t>
            </w:r>
            <w:r>
              <w:rPr>
                <w:color w:val="000000"/>
                <w:highlight w:val="none"/>
              </w:rPr>
              <w:t xml:space="preserve">最高得</w:t>
            </w:r>
            <w:r>
              <w:rPr>
                <w:rFonts w:eastAsia="宋体"/>
                <w:color w:val="000000"/>
                <w:highlight w:val="none"/>
                <w:lang w:val="en-US" w:eastAsia="zh-CN"/>
              </w:rPr>
              <w:t xml:space="preserve">1</w:t>
            </w:r>
            <w:r>
              <w:rPr>
                <w:rFonts w:eastAsia="宋体"/>
                <w:color w:val="000000"/>
                <w:highlight w:val="none"/>
              </w:rPr>
              <w:t xml:space="preserve">分</w:t>
            </w:r>
            <w:r>
              <w:rPr>
                <w:color w:val="000000"/>
                <w:highlight w:val="none"/>
              </w:rPr>
              <w:t xml:space="preserve">。（提供证书证明材料）</w:t>
            </w:r>
            <w:r>
              <w:rPr>
                <w:color w:val="000000"/>
                <w:highlight w:val="none"/>
              </w:rPr>
            </w:r>
            <w:r/>
          </w:p>
          <w:p>
            <w:pPr>
              <w:pStyle w:val="919"/>
              <w:jc w:val="left"/>
              <w:rPr>
                <w:color w:val="000000"/>
                <w:highlight w:val="none"/>
              </w:rPr>
            </w:pPr>
            <w:r>
              <w:rPr>
                <w:color w:val="000000"/>
                <w:highlight w:val="none"/>
              </w:rPr>
              <w:t xml:space="preserve">注：以上人员提供投标单位为其缴纳的近期社保或股东注册证明材料（股东提供工商查询链接及截图），以及评分项中要求提供的其他证书（如学位证书、职称证书等）证明材料，（职称无法体现专业的以学历证书专业为准，环保相关类包含：环境科学类、环境工程类、生态学类、市政工程、应用化学等），复印件加盖公章，资料提供不全则相应人员不得分。</w:t>
            </w:r>
            <w:r>
              <w:rPr>
                <w:color w:val="000000"/>
                <w:highlight w:val="none"/>
              </w:rPr>
            </w:r>
            <w:r/>
          </w:p>
        </w:tc>
        <w:tc>
          <w:tcPr>
            <w:tcW w:w="270" w:type="dxa"/>
            <w:vAlign w:val="center"/>
            <w:textDirection w:val="lrTb"/>
            <w:noWrap w:val="false"/>
          </w:tcPr>
          <w:p>
            <w:pPr>
              <w:pStyle w:val="919"/>
              <w:rPr>
                <w:color w:val="000000"/>
                <w:highlight w:val="none"/>
              </w:rPr>
            </w:pPr>
            <w:r>
              <w:rPr>
                <w:color w:val="000000"/>
                <w:highlight w:val="none"/>
              </w:rPr>
              <w:t xml:space="preserve">8分</w:t>
            </w:r>
            <w:r>
              <w:rPr>
                <w:color w:val="000000"/>
                <w:highlight w:val="none"/>
              </w:rPr>
            </w:r>
            <w:r/>
          </w:p>
        </w:tc>
      </w:tr>
      <w:tr>
        <w:trPr>
          <w:trHeight w:val="90"/>
        </w:trPr>
        <w:tc>
          <w:tcPr>
            <w:tcW w:w="449" w:type="dxa"/>
            <w:vAlign w:val="center"/>
            <w:vMerge w:val="restart"/>
            <w:textDirection w:val="lrTb"/>
            <w:noWrap w:val="false"/>
          </w:tcPr>
          <w:p>
            <w:pPr>
              <w:pStyle w:val="919"/>
              <w:rPr>
                <w:color w:val="000000"/>
                <w:highlight w:val="none"/>
              </w:rPr>
            </w:pPr>
            <w:r>
              <w:rPr>
                <w:color w:val="000000"/>
                <w:highlight w:val="none"/>
              </w:rPr>
              <w:t xml:space="preserve">技术部分（</w:t>
            </w:r>
            <w:r>
              <w:rPr>
                <w:rFonts w:hint="eastAsia"/>
                <w:color w:val="000000"/>
                <w:highlight w:val="none"/>
                <w:lang w:val="en-US" w:eastAsia="zh-CN"/>
              </w:rPr>
              <w:t xml:space="preserve">52</w:t>
            </w:r>
            <w:r>
              <w:rPr>
                <w:color w:val="000000"/>
                <w:highlight w:val="none"/>
              </w:rPr>
              <w:t xml:space="preserve">分）</w:t>
            </w:r>
            <w:r>
              <w:rPr>
                <w:color w:val="000000"/>
                <w:highlight w:val="none"/>
              </w:rPr>
            </w:r>
            <w:r/>
          </w:p>
        </w:tc>
        <w:tc>
          <w:tcPr>
            <w:tcW w:w="1006" w:type="dxa"/>
            <w:vAlign w:val="center"/>
            <w:textDirection w:val="lrTb"/>
            <w:noWrap w:val="false"/>
          </w:tcPr>
          <w:p>
            <w:pPr>
              <w:pStyle w:val="919"/>
              <w:rPr>
                <w:color w:val="000000"/>
                <w:highlight w:val="none"/>
              </w:rPr>
            </w:pPr>
            <w:r>
              <w:rPr>
                <w:color w:val="000000"/>
                <w:highlight w:val="none"/>
              </w:rPr>
              <w:t xml:space="preserve">对本项目的理解与分析</w:t>
            </w:r>
            <w:r>
              <w:rPr>
                <w:color w:val="000000"/>
                <w:highlight w:val="none"/>
              </w:rPr>
            </w:r>
            <w:r/>
          </w:p>
        </w:tc>
        <w:tc>
          <w:tcPr>
            <w:tcW w:w="6966" w:type="dxa"/>
            <w:vAlign w:val="center"/>
            <w:textDirection w:val="lrTb"/>
            <w:noWrap w:val="false"/>
          </w:tcPr>
          <w:p>
            <w:pPr>
              <w:pStyle w:val="919"/>
              <w:jc w:val="left"/>
              <w:rPr>
                <w:b/>
                <w:bCs w:val="0"/>
                <w:color w:val="000000"/>
                <w:highlight w:val="none"/>
              </w:rPr>
            </w:pPr>
            <w:r>
              <w:rPr>
                <w:color w:val="000000"/>
                <w:highlight w:val="none"/>
              </w:rPr>
              <w:t xml:space="preserve">对投标人提供的</w:t>
            </w:r>
            <w:r>
              <w:rPr>
                <w:rFonts w:eastAsia="宋体"/>
                <w:color w:val="000000"/>
                <w:highlight w:val="none"/>
              </w:rPr>
              <w:t xml:space="preserve">所在地空气质量现状、所在地大气污染源现状、项目最终成果理</w:t>
            </w:r>
            <w:r>
              <w:rPr>
                <w:color w:val="000000"/>
                <w:highlight w:val="none"/>
              </w:rPr>
              <w:t xml:space="preserve">解程度进行综合评分，每项</w:t>
            </w:r>
            <w:r>
              <w:rPr>
                <w:rFonts w:eastAsia="宋体"/>
                <w:color w:val="000000"/>
                <w:highlight w:val="none"/>
                <w:lang w:val="en-US" w:eastAsia="zh-CN"/>
              </w:rPr>
              <w:t xml:space="preserve">2</w:t>
            </w:r>
            <w:r>
              <w:rPr>
                <w:rFonts w:eastAsia="宋体"/>
                <w:color w:val="000000"/>
                <w:highlight w:val="none"/>
              </w:rPr>
              <w:t xml:space="preserve">分</w:t>
            </w:r>
            <w:r>
              <w:rPr>
                <w:color w:val="000000"/>
                <w:highlight w:val="none"/>
              </w:rPr>
              <w:t xml:space="preserve">，本项最高</w:t>
            </w:r>
            <w:r>
              <w:rPr>
                <w:rFonts w:eastAsia="宋体"/>
                <w:color w:val="000000"/>
                <w:highlight w:val="none"/>
                <w:lang w:val="en-US" w:eastAsia="zh-CN"/>
              </w:rPr>
              <w:t xml:space="preserve">6</w:t>
            </w:r>
            <w:r>
              <w:rPr>
                <w:rFonts w:eastAsia="宋体"/>
                <w:color w:val="000000"/>
                <w:highlight w:val="none"/>
              </w:rPr>
              <w:t xml:space="preserve">分</w:t>
            </w:r>
            <w:r>
              <w:rPr>
                <w:color w:val="000000"/>
                <w:highlight w:val="none"/>
              </w:rPr>
              <w:t xml:space="preserve">。</w:t>
            </w:r>
            <w:r>
              <w:rPr>
                <w:b/>
                <w:bCs w:val="0"/>
                <w:color w:val="000000"/>
                <w:highlight w:val="none"/>
              </w:rPr>
            </w:r>
            <w:r/>
          </w:p>
        </w:tc>
        <w:tc>
          <w:tcPr>
            <w:tcW w:w="503" w:type="dxa"/>
            <w:vAlign w:val="center"/>
            <w:textDirection w:val="lrTb"/>
            <w:noWrap w:val="false"/>
          </w:tcPr>
          <w:p>
            <w:pPr>
              <w:pStyle w:val="919"/>
              <w:rPr>
                <w:color w:val="000000"/>
                <w:highlight w:val="none"/>
              </w:rPr>
            </w:pPr>
            <w:r>
              <w:rPr>
                <w:rFonts w:eastAsia="宋体"/>
                <w:color w:val="000000"/>
                <w:highlight w:val="none"/>
                <w:lang w:val="en-US" w:eastAsia="zh-CN"/>
              </w:rPr>
              <w:t xml:space="preserve">6</w:t>
            </w:r>
            <w:r>
              <w:rPr>
                <w:rFonts w:eastAsia="宋体"/>
                <w:color w:val="000000"/>
                <w:highlight w:val="none"/>
              </w:rPr>
              <w:t xml:space="preserve">分</w:t>
            </w:r>
            <w:r>
              <w:rPr>
                <w:color w:val="000000"/>
                <w:highlight w:val="none"/>
              </w:rPr>
            </w:r>
            <w:r/>
          </w:p>
        </w:tc>
      </w:tr>
      <w:tr>
        <w:trPr>
          <w:trHeight w:val="90"/>
        </w:trPr>
        <w:tc>
          <w:tcPr>
            <w:tcW w:w="449" w:type="dxa"/>
            <w:vAlign w:val="center"/>
            <w:vMerge w:val="continue"/>
            <w:textDirection w:val="lrTb"/>
            <w:noWrap w:val="false"/>
          </w:tcPr>
          <w:p>
            <w:pPr>
              <w:pStyle w:val="919"/>
              <w:rPr>
                <w:color w:val="000000"/>
                <w:highlight w:val="none"/>
              </w:rPr>
            </w:pPr>
            <w:r>
              <w:rPr>
                <w:color w:val="000000"/>
                <w:highlight w:val="none"/>
              </w:rPr>
            </w:r>
            <w:r/>
          </w:p>
        </w:tc>
        <w:tc>
          <w:tcPr>
            <w:tcW w:w="1006" w:type="dxa"/>
            <w:vAlign w:val="center"/>
            <w:textDirection w:val="lrTb"/>
            <w:noWrap w:val="false"/>
          </w:tcPr>
          <w:p>
            <w:pPr>
              <w:pStyle w:val="919"/>
              <w:rPr>
                <w:color w:val="000000"/>
                <w:highlight w:val="none"/>
              </w:rPr>
            </w:pPr>
            <w:r>
              <w:rPr>
                <w:color w:val="000000"/>
                <w:highlight w:val="none"/>
              </w:rPr>
              <w:t xml:space="preserve">区域空气质量现状及变化规律</w:t>
            </w:r>
            <w:r>
              <w:rPr>
                <w:rFonts w:eastAsia="宋体"/>
                <w:color w:val="000000"/>
                <w:highlight w:val="none"/>
                <w:lang w:val="en-US" w:eastAsia="zh-CN"/>
              </w:rPr>
              <w:t xml:space="preserve">分析</w:t>
            </w:r>
            <w:r>
              <w:rPr>
                <w:color w:val="000000"/>
                <w:highlight w:val="none"/>
              </w:rPr>
              <w:t xml:space="preserve">工作方案</w:t>
            </w:r>
            <w:r>
              <w:rPr>
                <w:color w:val="000000"/>
                <w:highlight w:val="none"/>
              </w:rPr>
            </w:r>
            <w:r/>
          </w:p>
        </w:tc>
        <w:tc>
          <w:tcPr>
            <w:tcW w:w="6966" w:type="dxa"/>
            <w:vAlign w:val="center"/>
            <w:textDirection w:val="lrTb"/>
            <w:noWrap w:val="false"/>
          </w:tcPr>
          <w:p>
            <w:pPr>
              <w:pStyle w:val="919"/>
              <w:jc w:val="left"/>
              <w:rPr>
                <w:color w:val="000000"/>
                <w:highlight w:val="none"/>
              </w:rPr>
            </w:pPr>
            <w:r/>
            <w:bookmarkStart w:id="101" w:name="OLE_LINK6"/>
            <w:r>
              <w:rPr>
                <w:color w:val="000000"/>
                <w:highlight w:val="none"/>
              </w:rPr>
              <w:t xml:space="preserve">对投标人提供的区域空气质量现状及变化规律</w:t>
            </w:r>
            <w:r>
              <w:rPr>
                <w:rFonts w:eastAsia="宋体"/>
                <w:color w:val="000000"/>
                <w:highlight w:val="none"/>
                <w:lang w:val="en-US" w:eastAsia="zh-CN"/>
              </w:rPr>
              <w:t xml:space="preserve">分析工作</w:t>
            </w:r>
            <w:r>
              <w:rPr>
                <w:color w:val="000000"/>
                <w:highlight w:val="none"/>
              </w:rPr>
              <w:t xml:space="preserve">方案的工作目标、技术路线、工作内容、预期成果、保障措施进行综合评分。每项1分，本项最高5分。</w:t>
            </w:r>
            <w:bookmarkEnd w:id="101"/>
            <w:r>
              <w:rPr>
                <w:color w:val="000000"/>
                <w:highlight w:val="none"/>
              </w:rPr>
            </w:r>
            <w:r/>
          </w:p>
        </w:tc>
        <w:tc>
          <w:tcPr>
            <w:tcW w:w="503" w:type="dxa"/>
            <w:vAlign w:val="center"/>
            <w:textDirection w:val="lrTb"/>
            <w:noWrap w:val="false"/>
          </w:tcPr>
          <w:p>
            <w:pPr>
              <w:pStyle w:val="919"/>
              <w:rPr>
                <w:color w:val="000000"/>
                <w:highlight w:val="none"/>
              </w:rPr>
            </w:pPr>
            <w:r>
              <w:rPr>
                <w:color w:val="000000"/>
                <w:highlight w:val="none"/>
              </w:rPr>
              <w:t xml:space="preserve">5分</w:t>
            </w:r>
            <w:r>
              <w:rPr>
                <w:color w:val="000000"/>
                <w:highlight w:val="none"/>
              </w:rPr>
            </w:r>
            <w:r/>
          </w:p>
        </w:tc>
      </w:tr>
      <w:tr>
        <w:trPr>
          <w:trHeight w:val="90"/>
        </w:trPr>
        <w:tc>
          <w:tcPr>
            <w:tcW w:w="449" w:type="dxa"/>
            <w:vAlign w:val="center"/>
            <w:vMerge w:val="continue"/>
            <w:textDirection w:val="lrTb"/>
            <w:noWrap w:val="false"/>
          </w:tcPr>
          <w:p>
            <w:pPr>
              <w:pStyle w:val="919"/>
              <w:rPr>
                <w:color w:val="000000"/>
                <w:highlight w:val="none"/>
              </w:rPr>
            </w:pPr>
            <w:r>
              <w:rPr>
                <w:color w:val="000000"/>
                <w:highlight w:val="none"/>
              </w:rPr>
            </w:r>
            <w:r/>
          </w:p>
        </w:tc>
        <w:tc>
          <w:tcPr>
            <w:tcW w:w="1006" w:type="dxa"/>
            <w:vAlign w:val="center"/>
            <w:textDirection w:val="lrTb"/>
            <w:noWrap w:val="false"/>
          </w:tcPr>
          <w:p>
            <w:pPr>
              <w:pStyle w:val="919"/>
              <w:rPr>
                <w:color w:val="000000"/>
                <w:highlight w:val="none"/>
              </w:rPr>
            </w:pPr>
            <w:r>
              <w:rPr>
                <w:color w:val="000000"/>
                <w:highlight w:val="none"/>
              </w:rPr>
              <w:t xml:space="preserve">区域主要污染源排查分析工作方案</w:t>
            </w:r>
            <w:r>
              <w:rPr>
                <w:color w:val="000000"/>
                <w:highlight w:val="none"/>
              </w:rPr>
            </w:r>
            <w:r/>
          </w:p>
        </w:tc>
        <w:tc>
          <w:tcPr>
            <w:tcW w:w="6966" w:type="dxa"/>
            <w:vAlign w:val="center"/>
            <w:textDirection w:val="lrTb"/>
            <w:noWrap w:val="false"/>
          </w:tcPr>
          <w:p>
            <w:pPr>
              <w:pStyle w:val="919"/>
              <w:jc w:val="left"/>
              <w:rPr>
                <w:color w:val="000000"/>
                <w:highlight w:val="none"/>
              </w:rPr>
            </w:pPr>
            <w:r/>
            <w:bookmarkStart w:id="102" w:name="OLE_LINK8"/>
            <w:r>
              <w:rPr>
                <w:color w:val="000000"/>
                <w:highlight w:val="none"/>
              </w:rPr>
              <w:t xml:space="preserve">对投标人提供的区域</w:t>
            </w:r>
            <w:r>
              <w:rPr>
                <w:rFonts w:eastAsia="宋体"/>
                <w:color w:val="000000"/>
                <w:highlight w:val="none"/>
              </w:rPr>
              <w:t xml:space="preserve">主要污染源排查</w:t>
            </w:r>
            <w:r>
              <w:rPr>
                <w:color w:val="000000"/>
                <w:highlight w:val="none"/>
              </w:rPr>
              <w:t xml:space="preserve">分析</w:t>
            </w:r>
            <w:r>
              <w:rPr>
                <w:rFonts w:eastAsia="宋体"/>
                <w:color w:val="000000"/>
                <w:highlight w:val="none"/>
                <w:lang w:val="en-US" w:eastAsia="zh-CN"/>
              </w:rPr>
              <w:t xml:space="preserve">工作</w:t>
            </w:r>
            <w:r>
              <w:rPr>
                <w:color w:val="000000"/>
                <w:highlight w:val="none"/>
              </w:rPr>
              <w:t xml:space="preserve">方案的工作目标、技术路线、工作内容、预期成果、保障措施进行综合评分。每项1分，本项最高5分。</w:t>
            </w:r>
            <w:bookmarkEnd w:id="102"/>
            <w:r>
              <w:rPr>
                <w:color w:val="000000"/>
                <w:highlight w:val="none"/>
              </w:rPr>
            </w:r>
            <w:r/>
          </w:p>
        </w:tc>
        <w:tc>
          <w:tcPr>
            <w:tcW w:w="503" w:type="dxa"/>
            <w:vAlign w:val="center"/>
            <w:textDirection w:val="lrTb"/>
            <w:noWrap w:val="false"/>
          </w:tcPr>
          <w:p>
            <w:pPr>
              <w:pStyle w:val="919"/>
              <w:rPr>
                <w:color w:val="000000"/>
                <w:highlight w:val="none"/>
              </w:rPr>
            </w:pPr>
            <w:r>
              <w:rPr>
                <w:color w:val="000000"/>
                <w:highlight w:val="none"/>
              </w:rPr>
              <w:t xml:space="preserve">5分</w:t>
            </w:r>
            <w:r>
              <w:rPr>
                <w:color w:val="000000"/>
                <w:highlight w:val="none"/>
              </w:rPr>
            </w:r>
            <w:r/>
          </w:p>
        </w:tc>
      </w:tr>
      <w:tr>
        <w:trPr>
          <w:trHeight w:val="90"/>
        </w:trPr>
        <w:tc>
          <w:tcPr>
            <w:tcW w:w="449" w:type="dxa"/>
            <w:vAlign w:val="center"/>
            <w:vMerge w:val="continue"/>
            <w:textDirection w:val="lrTb"/>
            <w:noWrap w:val="false"/>
          </w:tcPr>
          <w:p>
            <w:pPr>
              <w:pStyle w:val="919"/>
              <w:rPr>
                <w:color w:val="000000"/>
                <w:highlight w:val="none"/>
              </w:rPr>
            </w:pPr>
            <w:r>
              <w:rPr>
                <w:color w:val="000000"/>
                <w:highlight w:val="none"/>
              </w:rPr>
            </w:r>
            <w:r/>
          </w:p>
        </w:tc>
        <w:tc>
          <w:tcPr>
            <w:tcW w:w="1006" w:type="dxa"/>
            <w:vAlign w:val="center"/>
            <w:textDirection w:val="lrTb"/>
            <w:noWrap w:val="false"/>
          </w:tcPr>
          <w:p>
            <w:pPr>
              <w:pStyle w:val="919"/>
              <w:jc w:val="left"/>
              <w:rPr>
                <w:color w:val="000000"/>
                <w:highlight w:val="none"/>
              </w:rPr>
            </w:pPr>
            <w:r>
              <w:rPr>
                <w:color w:val="000000"/>
                <w:highlight w:val="none"/>
              </w:rPr>
              <w:t xml:space="preserve">区域污染天气预判与成因分析工作方案</w:t>
            </w:r>
            <w:r>
              <w:rPr>
                <w:color w:val="000000"/>
                <w:highlight w:val="none"/>
              </w:rPr>
            </w:r>
            <w:r/>
          </w:p>
        </w:tc>
        <w:tc>
          <w:tcPr>
            <w:tcW w:w="6966" w:type="dxa"/>
            <w:vAlign w:val="center"/>
            <w:textDirection w:val="lrTb"/>
            <w:noWrap w:val="false"/>
          </w:tcPr>
          <w:p>
            <w:pPr>
              <w:pStyle w:val="919"/>
              <w:jc w:val="left"/>
              <w:rPr>
                <w:color w:val="000000"/>
                <w:highlight w:val="none"/>
              </w:rPr>
            </w:pPr>
            <w:r>
              <w:rPr>
                <w:color w:val="000000"/>
                <w:highlight w:val="none"/>
              </w:rPr>
              <w:t xml:space="preserve">对投标人提供的区域</w:t>
            </w:r>
            <w:r>
              <w:rPr>
                <w:rFonts w:eastAsia="宋体"/>
                <w:color w:val="000000"/>
                <w:highlight w:val="none"/>
              </w:rPr>
              <w:t xml:space="preserve">污染天气预判与成因</w:t>
            </w:r>
            <w:r>
              <w:rPr>
                <w:color w:val="000000"/>
                <w:highlight w:val="none"/>
              </w:rPr>
              <w:t xml:space="preserve">分析</w:t>
            </w:r>
            <w:r>
              <w:rPr>
                <w:rFonts w:eastAsia="宋体"/>
                <w:color w:val="000000"/>
                <w:highlight w:val="none"/>
                <w:lang w:val="en-US" w:eastAsia="zh-CN"/>
              </w:rPr>
              <w:t xml:space="preserve">工作</w:t>
            </w:r>
            <w:r>
              <w:rPr>
                <w:color w:val="000000"/>
                <w:highlight w:val="none"/>
              </w:rPr>
              <w:t xml:space="preserve">方案的工作目标、技术路线、工作内容、预期成果、保障措施进行综合评分。每项1分，本项最高5分。</w:t>
            </w:r>
            <w:r>
              <w:rPr>
                <w:color w:val="000000"/>
                <w:highlight w:val="none"/>
              </w:rPr>
            </w:r>
            <w:r/>
          </w:p>
        </w:tc>
        <w:tc>
          <w:tcPr>
            <w:tcW w:w="503" w:type="dxa"/>
            <w:vAlign w:val="center"/>
            <w:textDirection w:val="lrTb"/>
            <w:noWrap w:val="false"/>
          </w:tcPr>
          <w:p>
            <w:pPr>
              <w:pStyle w:val="919"/>
              <w:rPr>
                <w:color w:val="000000"/>
                <w:highlight w:val="none"/>
              </w:rPr>
            </w:pPr>
            <w:r>
              <w:rPr>
                <w:color w:val="000000"/>
                <w:highlight w:val="none"/>
              </w:rPr>
              <w:t xml:space="preserve">5分</w:t>
            </w:r>
            <w:r>
              <w:rPr>
                <w:color w:val="000000"/>
                <w:highlight w:val="none"/>
              </w:rPr>
            </w:r>
            <w:r/>
          </w:p>
        </w:tc>
      </w:tr>
      <w:tr>
        <w:trPr>
          <w:trHeight w:val="90"/>
        </w:trPr>
        <w:tc>
          <w:tcPr>
            <w:tcW w:w="449" w:type="dxa"/>
            <w:vAlign w:val="center"/>
            <w:vMerge w:val="continue"/>
            <w:textDirection w:val="lrTb"/>
            <w:noWrap w:val="false"/>
          </w:tcPr>
          <w:p>
            <w:pPr>
              <w:pStyle w:val="919"/>
              <w:rPr>
                <w:color w:val="000000"/>
                <w:highlight w:val="none"/>
              </w:rPr>
            </w:pPr>
            <w:r>
              <w:rPr>
                <w:color w:val="000000"/>
                <w:highlight w:val="none"/>
              </w:rPr>
            </w:r>
            <w:r/>
          </w:p>
        </w:tc>
        <w:tc>
          <w:tcPr>
            <w:tcW w:w="1006" w:type="dxa"/>
            <w:vAlign w:val="center"/>
            <w:textDirection w:val="lrTb"/>
            <w:noWrap w:val="false"/>
          </w:tcPr>
          <w:p>
            <w:pPr>
              <w:pStyle w:val="919"/>
              <w:jc w:val="left"/>
              <w:rPr>
                <w:color w:val="000000"/>
                <w:highlight w:val="none"/>
              </w:rPr>
            </w:pPr>
            <w:r>
              <w:rPr>
                <w:color w:val="000000"/>
                <w:highlight w:val="none"/>
              </w:rPr>
              <w:t xml:space="preserve">常规天气保障服务方案</w:t>
            </w:r>
            <w:r>
              <w:rPr>
                <w:color w:val="000000"/>
                <w:highlight w:val="none"/>
              </w:rPr>
            </w:r>
            <w:r/>
          </w:p>
        </w:tc>
        <w:tc>
          <w:tcPr>
            <w:tcW w:w="6966" w:type="dxa"/>
            <w:vAlign w:val="center"/>
            <w:textDirection w:val="lrTb"/>
            <w:noWrap w:val="false"/>
          </w:tcPr>
          <w:p>
            <w:pPr>
              <w:pStyle w:val="919"/>
              <w:jc w:val="left"/>
              <w:rPr>
                <w:color w:val="000000"/>
                <w:highlight w:val="none"/>
              </w:rPr>
            </w:pPr>
            <w:r/>
            <w:bookmarkStart w:id="103" w:name="OLE_LINK7"/>
            <w:r>
              <w:rPr>
                <w:color w:val="000000"/>
                <w:highlight w:val="none"/>
              </w:rPr>
              <w:t xml:space="preserve">对投标人提供的本项目常规天气保障服务方案的</w:t>
            </w:r>
            <w:r>
              <w:rPr>
                <w:rFonts w:eastAsia="宋体"/>
                <w:color w:val="000000"/>
                <w:highlight w:val="none"/>
              </w:rPr>
              <w:t xml:space="preserve">技术路线、工作内容、预期成果</w:t>
            </w:r>
            <w:r>
              <w:rPr>
                <w:color w:val="000000"/>
                <w:highlight w:val="none"/>
              </w:rPr>
              <w:t xml:space="preserve">进行综合评分。每项</w:t>
            </w:r>
            <w:r>
              <w:rPr>
                <w:rFonts w:eastAsia="宋体"/>
                <w:color w:val="000000"/>
                <w:highlight w:val="none"/>
                <w:lang w:val="en-US" w:eastAsia="zh-CN"/>
              </w:rPr>
              <w:t xml:space="preserve">2</w:t>
            </w:r>
            <w:r>
              <w:rPr>
                <w:rFonts w:eastAsia="宋体"/>
                <w:color w:val="000000"/>
                <w:highlight w:val="none"/>
              </w:rPr>
              <w:t xml:space="preserve">分</w:t>
            </w:r>
            <w:r>
              <w:rPr>
                <w:color w:val="000000"/>
                <w:highlight w:val="none"/>
              </w:rPr>
              <w:t xml:space="preserve">，本项最高</w:t>
            </w:r>
            <w:r>
              <w:rPr>
                <w:rFonts w:eastAsia="宋体"/>
                <w:color w:val="000000"/>
                <w:highlight w:val="none"/>
                <w:lang w:val="en-US" w:eastAsia="zh-CN"/>
              </w:rPr>
              <w:t xml:space="preserve">6</w:t>
            </w:r>
            <w:r>
              <w:rPr>
                <w:rFonts w:eastAsia="宋体"/>
                <w:color w:val="000000"/>
                <w:highlight w:val="none"/>
              </w:rPr>
              <w:t xml:space="preserve">分</w:t>
            </w:r>
            <w:r>
              <w:rPr>
                <w:color w:val="000000"/>
                <w:highlight w:val="none"/>
              </w:rPr>
              <w:t xml:space="preserve">。</w:t>
            </w:r>
            <w:bookmarkEnd w:id="103"/>
            <w:r>
              <w:rPr>
                <w:color w:val="000000"/>
                <w:highlight w:val="none"/>
              </w:rPr>
            </w:r>
            <w:r/>
          </w:p>
        </w:tc>
        <w:tc>
          <w:tcPr>
            <w:tcW w:w="503" w:type="dxa"/>
            <w:vAlign w:val="center"/>
            <w:textDirection w:val="lrTb"/>
            <w:noWrap w:val="false"/>
          </w:tcPr>
          <w:p>
            <w:pPr>
              <w:pStyle w:val="919"/>
              <w:rPr>
                <w:color w:val="000000"/>
                <w:highlight w:val="none"/>
              </w:rPr>
            </w:pPr>
            <w:r>
              <w:rPr>
                <w:rFonts w:eastAsia="宋体"/>
                <w:color w:val="000000"/>
                <w:highlight w:val="none"/>
                <w:lang w:val="en-US" w:eastAsia="zh-CN"/>
              </w:rPr>
              <w:t xml:space="preserve">6</w:t>
            </w:r>
            <w:r>
              <w:rPr>
                <w:rFonts w:eastAsia="宋体"/>
                <w:color w:val="000000"/>
                <w:highlight w:val="none"/>
              </w:rPr>
              <w:t xml:space="preserve">分</w:t>
            </w:r>
            <w:r>
              <w:rPr>
                <w:color w:val="000000"/>
                <w:highlight w:val="none"/>
              </w:rPr>
            </w:r>
            <w:r/>
          </w:p>
        </w:tc>
      </w:tr>
      <w:tr>
        <w:trPr>
          <w:trHeight w:val="90"/>
        </w:trPr>
        <w:tc>
          <w:tcPr>
            <w:tcW w:w="449" w:type="dxa"/>
            <w:vAlign w:val="center"/>
            <w:vMerge w:val="continue"/>
            <w:textDirection w:val="lrTb"/>
            <w:noWrap w:val="false"/>
          </w:tcPr>
          <w:p>
            <w:pPr>
              <w:pStyle w:val="919"/>
              <w:rPr>
                <w:color w:val="000000"/>
                <w:highlight w:val="none"/>
              </w:rPr>
            </w:pPr>
            <w:r>
              <w:rPr>
                <w:color w:val="000000"/>
                <w:highlight w:val="none"/>
              </w:rPr>
            </w:r>
            <w:r/>
          </w:p>
        </w:tc>
        <w:tc>
          <w:tcPr>
            <w:tcW w:w="1006" w:type="dxa"/>
            <w:vAlign w:val="center"/>
            <w:textDirection w:val="lrTb"/>
            <w:noWrap w:val="false"/>
          </w:tcPr>
          <w:p>
            <w:pPr>
              <w:pStyle w:val="919"/>
              <w:jc w:val="left"/>
              <w:rPr>
                <w:color w:val="000000"/>
                <w:highlight w:val="none"/>
              </w:rPr>
            </w:pPr>
            <w:r>
              <w:rPr>
                <w:color w:val="000000"/>
                <w:highlight w:val="none"/>
              </w:rPr>
              <w:t xml:space="preserve">污染天气应急管控服务方案</w:t>
            </w:r>
            <w:r>
              <w:rPr>
                <w:color w:val="000000"/>
                <w:highlight w:val="none"/>
              </w:rPr>
            </w:r>
            <w:r/>
          </w:p>
        </w:tc>
        <w:tc>
          <w:tcPr>
            <w:tcW w:w="6966" w:type="dxa"/>
            <w:vAlign w:val="center"/>
            <w:textDirection w:val="lrTb"/>
            <w:noWrap w:val="false"/>
          </w:tcPr>
          <w:p>
            <w:pPr>
              <w:pStyle w:val="919"/>
              <w:jc w:val="left"/>
              <w:rPr>
                <w:b/>
                <w:bCs w:val="0"/>
                <w:color w:val="000000"/>
                <w:highlight w:val="none"/>
              </w:rPr>
            </w:pPr>
            <w:r>
              <w:rPr>
                <w:color w:val="000000"/>
                <w:highlight w:val="none"/>
              </w:rPr>
              <w:t xml:space="preserve">对投标人提供的本项目重污染天气应急管控服务方案的工作目标、技术路线、工作内容、预期成果、保障措施进行综合评分。每项1分，本项最高5分。</w:t>
            </w:r>
            <w:r>
              <w:rPr>
                <w:b/>
                <w:bCs w:val="0"/>
                <w:color w:val="000000"/>
                <w:highlight w:val="none"/>
              </w:rPr>
            </w:r>
            <w:r/>
          </w:p>
        </w:tc>
        <w:tc>
          <w:tcPr>
            <w:tcW w:w="503" w:type="dxa"/>
            <w:vAlign w:val="center"/>
            <w:textDirection w:val="lrTb"/>
            <w:noWrap w:val="false"/>
          </w:tcPr>
          <w:p>
            <w:pPr>
              <w:pStyle w:val="919"/>
              <w:rPr>
                <w:color w:val="000000"/>
                <w:highlight w:val="none"/>
              </w:rPr>
            </w:pPr>
            <w:r>
              <w:rPr>
                <w:color w:val="000000"/>
                <w:highlight w:val="none"/>
              </w:rPr>
              <w:t xml:space="preserve">5分</w:t>
            </w:r>
            <w:r>
              <w:rPr>
                <w:color w:val="000000"/>
                <w:highlight w:val="none"/>
              </w:rPr>
            </w:r>
            <w:r/>
          </w:p>
        </w:tc>
      </w:tr>
      <w:tr>
        <w:trPr>
          <w:trHeight w:val="90"/>
        </w:trPr>
        <w:tc>
          <w:tcPr>
            <w:tcW w:w="449" w:type="dxa"/>
            <w:vAlign w:val="center"/>
            <w:vMerge w:val="continue"/>
            <w:textDirection w:val="lrTb"/>
            <w:noWrap w:val="false"/>
          </w:tcPr>
          <w:p>
            <w:pPr>
              <w:pStyle w:val="919"/>
              <w:rPr>
                <w:color w:val="000000"/>
                <w:highlight w:val="none"/>
              </w:rPr>
            </w:pPr>
            <w:r>
              <w:rPr>
                <w:color w:val="000000"/>
                <w:highlight w:val="none"/>
              </w:rPr>
            </w:r>
            <w:r/>
          </w:p>
        </w:tc>
        <w:tc>
          <w:tcPr>
            <w:tcW w:w="1006" w:type="dxa"/>
            <w:vAlign w:val="center"/>
            <w:textDirection w:val="lrTb"/>
            <w:noWrap w:val="false"/>
          </w:tcPr>
          <w:p>
            <w:pPr>
              <w:pStyle w:val="919"/>
              <w:jc w:val="left"/>
              <w:rPr>
                <w:color w:val="000000"/>
                <w:highlight w:val="none"/>
              </w:rPr>
            </w:pPr>
            <w:r>
              <w:rPr>
                <w:color w:val="000000"/>
                <w:highlight w:val="none"/>
              </w:rPr>
              <w:t xml:space="preserve">监测方案</w:t>
            </w:r>
            <w:r>
              <w:rPr>
                <w:color w:val="000000"/>
                <w:highlight w:val="none"/>
              </w:rPr>
            </w:r>
            <w:r/>
          </w:p>
        </w:tc>
        <w:tc>
          <w:tcPr>
            <w:tcW w:w="6966" w:type="dxa"/>
            <w:vAlign w:val="center"/>
            <w:textDirection w:val="lrTb"/>
            <w:noWrap w:val="false"/>
          </w:tcPr>
          <w:p>
            <w:pPr>
              <w:pStyle w:val="919"/>
              <w:jc w:val="left"/>
              <w:rPr>
                <w:color w:val="000000"/>
                <w:highlight w:val="none"/>
              </w:rPr>
            </w:pPr>
            <w:r>
              <w:rPr>
                <w:color w:val="000000"/>
                <w:highlight w:val="none"/>
              </w:rPr>
              <w:t xml:space="preserve">对投标人提供的本项目走航监测服务方案、道路积尘走航监测服务方案、无人机飞航服务方案进行综合评分。每项1分，本项最高3分。</w:t>
            </w:r>
            <w:r>
              <w:rPr>
                <w:color w:val="000000"/>
                <w:highlight w:val="none"/>
              </w:rPr>
            </w:r>
            <w:r/>
          </w:p>
        </w:tc>
        <w:tc>
          <w:tcPr>
            <w:tcW w:w="503" w:type="dxa"/>
            <w:vAlign w:val="center"/>
            <w:textDirection w:val="lrTb"/>
            <w:noWrap w:val="false"/>
          </w:tcPr>
          <w:p>
            <w:pPr>
              <w:pStyle w:val="919"/>
              <w:rPr>
                <w:color w:val="000000"/>
                <w:highlight w:val="none"/>
              </w:rPr>
            </w:pPr>
            <w:r>
              <w:rPr>
                <w:color w:val="000000"/>
                <w:highlight w:val="none"/>
              </w:rPr>
              <w:t xml:space="preserve">3分</w:t>
            </w:r>
            <w:r>
              <w:rPr>
                <w:color w:val="000000"/>
                <w:highlight w:val="none"/>
              </w:rPr>
            </w:r>
            <w:r/>
          </w:p>
        </w:tc>
      </w:tr>
      <w:tr>
        <w:trPr>
          <w:trHeight w:val="90"/>
        </w:trPr>
        <w:tc>
          <w:tcPr>
            <w:tcW w:w="449" w:type="dxa"/>
            <w:vAlign w:val="center"/>
            <w:vMerge w:val="continue"/>
            <w:textDirection w:val="lrTb"/>
            <w:noWrap w:val="false"/>
          </w:tcPr>
          <w:p>
            <w:pPr>
              <w:pStyle w:val="919"/>
              <w:rPr>
                <w:color w:val="000000"/>
                <w:highlight w:val="none"/>
              </w:rPr>
            </w:pPr>
            <w:r>
              <w:rPr>
                <w:color w:val="000000"/>
                <w:highlight w:val="none"/>
              </w:rPr>
            </w:r>
            <w:r/>
          </w:p>
        </w:tc>
        <w:tc>
          <w:tcPr>
            <w:tcW w:w="1006" w:type="dxa"/>
            <w:vAlign w:val="center"/>
            <w:textDirection w:val="lrTb"/>
            <w:noWrap w:val="false"/>
          </w:tcPr>
          <w:p>
            <w:pPr>
              <w:pStyle w:val="919"/>
              <w:jc w:val="left"/>
              <w:rPr>
                <w:color w:val="000000"/>
                <w:highlight w:val="none"/>
              </w:rPr>
            </w:pPr>
            <w:r>
              <w:rPr>
                <w:color w:val="000000"/>
                <w:highlight w:val="none"/>
              </w:rPr>
              <w:t xml:space="preserve">溯源、分析方案</w:t>
            </w:r>
            <w:r>
              <w:rPr>
                <w:color w:val="000000"/>
                <w:highlight w:val="none"/>
              </w:rPr>
            </w:r>
            <w:r/>
          </w:p>
        </w:tc>
        <w:tc>
          <w:tcPr>
            <w:tcW w:w="6966" w:type="dxa"/>
            <w:vAlign w:val="center"/>
            <w:textDirection w:val="lrTb"/>
            <w:noWrap w:val="false"/>
          </w:tcPr>
          <w:p>
            <w:pPr>
              <w:pStyle w:val="919"/>
              <w:jc w:val="left"/>
              <w:rPr>
                <w:b/>
                <w:bCs w:val="0"/>
                <w:color w:val="000000"/>
                <w:highlight w:val="none"/>
              </w:rPr>
            </w:pPr>
            <w:r>
              <w:rPr>
                <w:color w:val="000000"/>
                <w:highlight w:val="none"/>
              </w:rPr>
              <w:t xml:space="preserve">对投标人提供的本项目大气监测站点异常高值溯源、分析方案的工作目标、技术路线、工作内容、预期成果、保障措施进行综合评分。每项1分，本项最高5分。</w:t>
            </w:r>
            <w:r>
              <w:rPr>
                <w:b/>
                <w:bCs w:val="0"/>
                <w:color w:val="000000"/>
                <w:highlight w:val="none"/>
              </w:rPr>
            </w:r>
            <w:r/>
          </w:p>
        </w:tc>
        <w:tc>
          <w:tcPr>
            <w:tcW w:w="503" w:type="dxa"/>
            <w:vAlign w:val="center"/>
            <w:textDirection w:val="lrTb"/>
            <w:noWrap w:val="false"/>
          </w:tcPr>
          <w:p>
            <w:pPr>
              <w:pStyle w:val="919"/>
              <w:jc w:val="left"/>
              <w:rPr>
                <w:color w:val="000000"/>
                <w:highlight w:val="none"/>
              </w:rPr>
            </w:pPr>
            <w:r>
              <w:rPr>
                <w:color w:val="000000"/>
                <w:highlight w:val="none"/>
              </w:rPr>
              <w:t xml:space="preserve">5分</w:t>
            </w:r>
            <w:r>
              <w:rPr>
                <w:color w:val="000000"/>
                <w:highlight w:val="none"/>
              </w:rPr>
            </w:r>
            <w:r/>
          </w:p>
        </w:tc>
      </w:tr>
      <w:tr>
        <w:trPr>
          <w:trHeight w:val="1162"/>
        </w:trPr>
        <w:tc>
          <w:tcPr>
            <w:tcW w:w="449" w:type="dxa"/>
            <w:vAlign w:val="center"/>
            <w:vMerge w:val="continue"/>
            <w:textDirection w:val="lrTb"/>
            <w:noWrap w:val="false"/>
          </w:tcPr>
          <w:p>
            <w:pPr>
              <w:pStyle w:val="919"/>
              <w:rPr>
                <w:color w:val="000000"/>
                <w:highlight w:val="none"/>
              </w:rPr>
            </w:pPr>
            <w:r>
              <w:rPr>
                <w:color w:val="000000"/>
                <w:highlight w:val="none"/>
              </w:rPr>
            </w:r>
            <w:r/>
          </w:p>
        </w:tc>
        <w:tc>
          <w:tcPr>
            <w:tcW w:w="1006" w:type="dxa"/>
            <w:vAlign w:val="center"/>
            <w:textDirection w:val="lrTb"/>
            <w:noWrap w:val="false"/>
          </w:tcPr>
          <w:p>
            <w:pPr>
              <w:pStyle w:val="919"/>
              <w:jc w:val="left"/>
              <w:rPr>
                <w:color w:val="000000"/>
                <w:highlight w:val="none"/>
              </w:rPr>
            </w:pPr>
            <w:r>
              <w:rPr>
                <w:color w:val="000000"/>
                <w:highlight w:val="none"/>
              </w:rPr>
              <w:t xml:space="preserve">区域空气质量保障体系建设方案</w:t>
            </w:r>
            <w:r>
              <w:rPr>
                <w:color w:val="000000"/>
                <w:highlight w:val="none"/>
              </w:rPr>
            </w:r>
            <w:r/>
          </w:p>
        </w:tc>
        <w:tc>
          <w:tcPr>
            <w:tcW w:w="6966" w:type="dxa"/>
            <w:vAlign w:val="center"/>
            <w:textDirection w:val="lrTb"/>
            <w:noWrap w:val="false"/>
          </w:tcPr>
          <w:p>
            <w:pPr>
              <w:pStyle w:val="919"/>
              <w:jc w:val="left"/>
              <w:rPr>
                <w:color w:val="000000"/>
                <w:highlight w:val="none"/>
              </w:rPr>
            </w:pPr>
            <w:r>
              <w:rPr>
                <w:color w:val="000000"/>
                <w:highlight w:val="none"/>
              </w:rPr>
              <w:t xml:space="preserve">对投标人提供的本项目区域空气质量保障体系建设方案的技术路线、组织架构、职责分工进行综合评分。每项2分，本项最高6分。</w:t>
            </w:r>
            <w:r>
              <w:rPr>
                <w:color w:val="000000"/>
                <w:highlight w:val="none"/>
              </w:rPr>
            </w:r>
            <w:r/>
          </w:p>
        </w:tc>
        <w:tc>
          <w:tcPr>
            <w:tcW w:w="503" w:type="dxa"/>
            <w:vAlign w:val="center"/>
            <w:textDirection w:val="lrTb"/>
            <w:noWrap w:val="false"/>
          </w:tcPr>
          <w:p>
            <w:pPr>
              <w:pStyle w:val="919"/>
              <w:jc w:val="left"/>
              <w:rPr>
                <w:color w:val="000000"/>
                <w:highlight w:val="none"/>
              </w:rPr>
            </w:pPr>
            <w:r>
              <w:rPr>
                <w:color w:val="000000"/>
                <w:highlight w:val="none"/>
              </w:rPr>
              <w:t xml:space="preserve">6分</w:t>
            </w:r>
            <w:r>
              <w:rPr>
                <w:color w:val="000000"/>
                <w:highlight w:val="none"/>
              </w:rPr>
            </w:r>
            <w:r/>
          </w:p>
        </w:tc>
      </w:tr>
      <w:tr>
        <w:trPr>
          <w:trHeight w:val="90"/>
        </w:trPr>
        <w:tc>
          <w:tcPr>
            <w:tcW w:w="449" w:type="dxa"/>
            <w:vAlign w:val="center"/>
            <w:vMerge w:val="continue"/>
            <w:textDirection w:val="lrTb"/>
            <w:noWrap w:val="false"/>
          </w:tcPr>
          <w:p>
            <w:pPr>
              <w:pStyle w:val="919"/>
              <w:rPr>
                <w:color w:val="000000"/>
                <w:highlight w:val="none"/>
              </w:rPr>
            </w:pPr>
            <w:r>
              <w:rPr>
                <w:color w:val="000000"/>
                <w:highlight w:val="none"/>
              </w:rPr>
            </w:r>
            <w:r/>
          </w:p>
        </w:tc>
        <w:tc>
          <w:tcPr>
            <w:tcW w:w="1006" w:type="dxa"/>
            <w:vAlign w:val="center"/>
            <w:textDirection w:val="lrTb"/>
            <w:noWrap w:val="false"/>
          </w:tcPr>
          <w:p>
            <w:pPr>
              <w:pStyle w:val="919"/>
              <w:jc w:val="left"/>
              <w:rPr>
                <w:color w:val="000000"/>
                <w:highlight w:val="none"/>
              </w:rPr>
            </w:pPr>
            <w:r>
              <w:rPr>
                <w:color w:val="000000"/>
                <w:highlight w:val="none"/>
              </w:rPr>
              <w:t xml:space="preserve">重点行业及重点源项专项调研方案</w:t>
            </w:r>
            <w:r>
              <w:rPr>
                <w:color w:val="000000"/>
                <w:highlight w:val="none"/>
              </w:rPr>
            </w:r>
            <w:r/>
          </w:p>
        </w:tc>
        <w:tc>
          <w:tcPr>
            <w:tcW w:w="6966" w:type="dxa"/>
            <w:vAlign w:val="center"/>
            <w:textDirection w:val="lrTb"/>
            <w:noWrap w:val="false"/>
          </w:tcPr>
          <w:p>
            <w:pPr>
              <w:pStyle w:val="919"/>
              <w:jc w:val="left"/>
              <w:rPr>
                <w:b/>
                <w:bCs w:val="0"/>
                <w:color w:val="000000"/>
                <w:highlight w:val="none"/>
              </w:rPr>
            </w:pPr>
            <w:r>
              <w:rPr>
                <w:color w:val="000000"/>
                <w:highlight w:val="none"/>
              </w:rPr>
              <w:t xml:space="preserve">对投标人提供的本项目重点行业及重点源项专项调研方案的</w:t>
            </w:r>
            <w:r>
              <w:rPr>
                <w:rFonts w:eastAsia="宋体"/>
                <w:color w:val="000000"/>
                <w:highlight w:val="none"/>
              </w:rPr>
              <w:t xml:space="preserve">技术路线、工作内容、预期成果</w:t>
            </w:r>
            <w:r>
              <w:rPr>
                <w:color w:val="000000"/>
                <w:highlight w:val="none"/>
              </w:rPr>
              <w:t xml:space="preserve">进行综合评分。每项</w:t>
            </w:r>
            <w:r>
              <w:rPr>
                <w:rFonts w:eastAsia="宋体"/>
                <w:color w:val="000000"/>
                <w:highlight w:val="none"/>
                <w:lang w:val="en-US" w:eastAsia="zh-CN"/>
              </w:rPr>
              <w:t xml:space="preserve">2</w:t>
            </w:r>
            <w:r>
              <w:rPr>
                <w:rFonts w:eastAsia="宋体"/>
                <w:color w:val="000000"/>
                <w:highlight w:val="none"/>
              </w:rPr>
              <w:t xml:space="preserve">分</w:t>
            </w:r>
            <w:r>
              <w:rPr>
                <w:color w:val="000000"/>
                <w:highlight w:val="none"/>
              </w:rPr>
              <w:t xml:space="preserve">，本项最高</w:t>
            </w:r>
            <w:r>
              <w:rPr>
                <w:rFonts w:eastAsia="宋体"/>
                <w:color w:val="000000"/>
                <w:highlight w:val="none"/>
                <w:lang w:val="en-US" w:eastAsia="zh-CN"/>
              </w:rPr>
              <w:t xml:space="preserve">6</w:t>
            </w:r>
            <w:r>
              <w:rPr>
                <w:rFonts w:eastAsia="宋体"/>
                <w:color w:val="000000"/>
                <w:highlight w:val="none"/>
              </w:rPr>
              <w:t xml:space="preserve">分</w:t>
            </w:r>
            <w:r>
              <w:rPr>
                <w:color w:val="000000"/>
                <w:highlight w:val="none"/>
              </w:rPr>
              <w:t xml:space="preserve">。</w:t>
            </w:r>
            <w:r>
              <w:rPr>
                <w:b/>
                <w:bCs w:val="0"/>
                <w:color w:val="000000"/>
                <w:highlight w:val="none"/>
              </w:rPr>
            </w:r>
            <w:r/>
          </w:p>
        </w:tc>
        <w:tc>
          <w:tcPr>
            <w:tcW w:w="503" w:type="dxa"/>
            <w:vAlign w:val="center"/>
            <w:textDirection w:val="lrTb"/>
            <w:noWrap w:val="false"/>
          </w:tcPr>
          <w:p>
            <w:pPr>
              <w:pStyle w:val="919"/>
              <w:rPr>
                <w:color w:val="000000"/>
                <w:highlight w:val="none"/>
              </w:rPr>
            </w:pPr>
            <w:r>
              <w:rPr>
                <w:rFonts w:eastAsia="宋体"/>
                <w:color w:val="000000"/>
                <w:highlight w:val="none"/>
                <w:lang w:val="en-US" w:eastAsia="zh-CN"/>
              </w:rPr>
              <w:t xml:space="preserve">6</w:t>
            </w:r>
            <w:r>
              <w:rPr>
                <w:rFonts w:eastAsia="宋体"/>
                <w:color w:val="000000"/>
                <w:highlight w:val="none"/>
              </w:rPr>
              <w:t xml:space="preserve">分</w:t>
            </w:r>
            <w:r>
              <w:rPr>
                <w:color w:val="000000"/>
                <w:highlight w:val="none"/>
              </w:rPr>
            </w:r>
            <w:r/>
          </w:p>
        </w:tc>
      </w:tr>
    </w:tbl>
    <w:p>
      <w:pPr>
        <w:pStyle w:val="86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6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p>
      <w:pPr>
        <w:pStyle w:val="864"/>
        <w:numPr>
          <w:ilvl w:val="0"/>
          <w:numId w:val="11"/>
        </w:numPr>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为确保货物、服务质量，投标人技术部分得分低于其75%作无效标处理。</w:t>
      </w:r>
      <w:r>
        <w:rPr>
          <w:rFonts w:hint="eastAsia" w:ascii="宋体" w:hAnsi="宋体" w:eastAsia="宋体" w:cs="宋体"/>
          <w:color w:val="000000"/>
          <w:sz w:val="21"/>
          <w:szCs w:val="21"/>
          <w:highlight w:val="none"/>
        </w:rPr>
      </w:r>
      <w:r/>
    </w:p>
    <w:p>
      <w:pPr>
        <w:pStyle w:val="1384"/>
        <w:numPr>
          <w:ilvl w:val="0"/>
          <w:numId w:val="11"/>
        </w:numPr>
        <w:ind w:left="0"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eastAsia="宋体" w:cs="宋体"/>
          <w:color w:val="000000"/>
          <w:sz w:val="21"/>
          <w:szCs w:val="21"/>
          <w:highlight w:val="none"/>
        </w:rPr>
      </w:r>
      <w:r/>
    </w:p>
    <w:p>
      <w:pPr>
        <w:pStyle w:val="1384"/>
        <w:numPr>
          <w:ilvl w:val="0"/>
          <w:numId w:val="11"/>
        </w:numPr>
        <w:ind w:left="0"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各投标人必须进行该项目网上电子投标，否则视为无效投标。</w:t>
      </w:r>
      <w:r>
        <w:rPr>
          <w:rFonts w:hint="eastAsia" w:ascii="宋体" w:hAnsi="宋体" w:eastAsia="宋体" w:cs="宋体"/>
          <w:color w:val="000000"/>
          <w:sz w:val="21"/>
          <w:szCs w:val="21"/>
          <w:highlight w:val="none"/>
        </w:rPr>
      </w:r>
      <w:r/>
    </w:p>
    <w:p>
      <w:pPr>
        <w:pStyle w:val="1384"/>
        <w:numPr>
          <w:ilvl w:val="0"/>
          <w:numId w:val="11"/>
        </w:numPr>
        <w:ind w:left="0"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针对评分标准中评分的每一条，投标人均应提供相关资料或作出相应说明供评委评判。</w:t>
      </w:r>
      <w:r>
        <w:rPr>
          <w:rFonts w:hint="eastAsia" w:ascii="宋体" w:hAnsi="宋体" w:eastAsia="宋体" w:cs="宋体"/>
          <w:color w:val="000000"/>
          <w:sz w:val="21"/>
          <w:szCs w:val="21"/>
          <w:highlight w:val="none"/>
        </w:rPr>
      </w:r>
      <w:r/>
    </w:p>
    <w:p>
      <w:pPr>
        <w:pStyle w:val="1384"/>
        <w:numPr>
          <w:ilvl w:val="0"/>
          <w:numId w:val="11"/>
        </w:numPr>
        <w:ind w:left="0"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投标文件中如出现前后不一致时，评委有权请投标人澄清说明，澄清说明事项涉及评分时，评委有权酌情扣分。</w:t>
      </w:r>
      <w:r>
        <w:rPr>
          <w:rFonts w:hint="eastAsia" w:ascii="宋体" w:hAnsi="宋体" w:eastAsia="宋体" w:cs="宋体"/>
          <w:color w:val="000000"/>
          <w:sz w:val="21"/>
          <w:szCs w:val="21"/>
          <w:highlight w:val="none"/>
        </w:rPr>
      </w:r>
      <w:r/>
    </w:p>
    <w:p>
      <w:pPr>
        <w:pStyle w:val="1384"/>
        <w:numPr>
          <w:ilvl w:val="0"/>
          <w:numId w:val="11"/>
        </w:numPr>
        <w:ind w:left="0"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投标报价超过财政审批预算金额的，投标人不得进入评标程序。</w:t>
      </w:r>
      <w:r>
        <w:rPr>
          <w:rFonts w:hint="eastAsia" w:ascii="宋体" w:hAnsi="宋体" w:eastAsia="宋体" w:cs="宋体"/>
          <w:color w:val="000000"/>
          <w:sz w:val="21"/>
          <w:szCs w:val="21"/>
          <w:highlight w:val="none"/>
        </w:rPr>
      </w:r>
      <w:r/>
    </w:p>
    <w:p>
      <w:pPr>
        <w:pStyle w:val="1384"/>
        <w:numPr>
          <w:ilvl w:val="0"/>
          <w:numId w:val="11"/>
        </w:numPr>
        <w:ind w:left="0"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本项目由评委会经综合评标法确定中标单位，最低的报价并不能成为中标的唯一依据。</w:t>
      </w:r>
      <w:r>
        <w:rPr>
          <w:rFonts w:hint="eastAsia" w:ascii="宋体" w:hAnsi="宋体" w:eastAsia="宋体" w:cs="宋体"/>
          <w:color w:val="000000"/>
          <w:sz w:val="21"/>
          <w:szCs w:val="21"/>
          <w:highlight w:val="none"/>
        </w:rPr>
      </w:r>
      <w:r/>
    </w:p>
    <w:p>
      <w:pPr>
        <w:pStyle w:val="1384"/>
        <w:ind w:firstLine="0"/>
        <w:jc w:val="righ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全文完</w:t>
      </w:r>
      <w:r>
        <w:rPr>
          <w:rFonts w:hint="eastAsia" w:ascii="宋体" w:hAnsi="宋体" w:eastAsia="宋体" w:cs="宋体"/>
          <w:b/>
          <w:color w:val="000000"/>
          <w:sz w:val="21"/>
          <w:szCs w:val="21"/>
          <w:highlight w:val="none"/>
        </w:rPr>
      </w:r>
      <w:r/>
    </w:p>
    <w:sectPr>
      <w:headerReference w:type="first" r:id="rId10"/>
      <w:footerReference w:type="even" r:id="rId13"/>
      <w:footnotePr/>
      <w:endnotePr/>
      <w:type w:val="nextPage"/>
      <w:pgSz w:w="11906" w:h="16838" w:orient="portrait"/>
      <w:pgMar w:top="1247" w:right="1134" w:bottom="1021"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Segoe UI">
    <w:panose1 w:val="020B0502040204020203"/>
  </w:font>
  <w:font w:name="华文新魏">
    <w:panose1 w:val="02010800040101010101"/>
  </w:font>
  <w:font w:name="Segoe UI Symbol">
    <w:panose1 w:val="020B0502040204020203"/>
  </w:font>
  <w:font w:name="等线">
    <w:panose1 w:val="02010600030101010101"/>
  </w:font>
  <w:font w:name="文鼎粗黑">
    <w:panose1 w:val="020B0503020202020204"/>
  </w:font>
  <w:font w:name="Arial Unicode MS">
    <w:panose1 w:val="020B0604020202020204"/>
  </w:font>
  <w:font w:name="Wingdings">
    <w:panose1 w:val="05000000000000000000"/>
  </w:font>
  <w:font w:name="经典仿宋简">
    <w:panose1 w:val="020B0503020202020204"/>
  </w:font>
  <w:font w:name="全真中明體">
    <w:panose1 w:val="020B0503020202020204"/>
  </w:font>
  <w:font w:name="&amp;amp;#23435;&amp;amp;#20307;">
    <w:panose1 w:val="020B0503020202020204"/>
  </w:font>
  <w:font w:name="Footlight MT Light">
    <w:panose1 w:val="0204060206030A020304"/>
  </w:font>
  <w:font w:name="Symbol">
    <w:panose1 w:val="05050102010706020507"/>
  </w:font>
  <w:font w:name="隶书">
    <w:panose1 w:val="02010509060101010101"/>
  </w:font>
  <w:font w:name="SimSun">
    <w:panose1 w:val="02010600030101010101"/>
  </w:font>
  <w:font w:name="Microsoft Sans Serif">
    <w:panose1 w:val="020B0604020202020204"/>
  </w:font>
  <w:font w:name="PMingLiU">
    <w:panose1 w:val="02020500000000000000"/>
  </w:font>
  <w:font w:name="Tahoma">
    <w:panose1 w:val="020B0604030504040204"/>
  </w:font>
  <w:font w:name="方正仿宋简体">
    <w:panose1 w:val="020B0503020202020204"/>
  </w:font>
  <w:font w:name="Futura Heavy">
    <w:panose1 w:val="020B0503020202020204"/>
  </w:font>
  <w:font w:name="Calibri">
    <w:panose1 w:val="020F0502020204030204"/>
  </w:font>
  <w:font w:name="方正大黑简体">
    <w:panose1 w:val="020B05030202020202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ˎ̥">
    <w:panose1 w:val="020B0503020202020204"/>
  </w:font>
  <w:font w:name="Courier New">
    <w:panose1 w:val="020703090202050204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7"/>
                            <w:tabs>
                              <w:tab w:val="clear" w:pos="7143"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40</w:t>
                          </w:r>
                          <w:r>
                            <w:fldChar w:fldCharType="end"/>
                          </w:r>
                          <w:r>
                            <w:t xml:space="preserve"> 页</w:t>
                          </w:r>
                          <w:r/>
                        </w:p>
                        <w:p>
                          <w:pPr>
                            <w:pStyle w:val="86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7"/>
                      <w:tabs>
                        <w:tab w:val="clear" w:pos="7143"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40</w:t>
                    </w:r>
                    <w:r>
                      <w:fldChar w:fldCharType="end"/>
                    </w:r>
                    <w:r>
                      <w:t xml:space="preserve"> 页</w:t>
                    </w:r>
                    <w:r/>
                  </w:p>
                  <w:p>
                    <w:pPr>
                      <w:pStyle w:val="864"/>
                    </w:pPr>
                    <w:r/>
                    <w:r/>
                  </w:p>
                </w:txbxContent>
              </v:textbox>
            </v:shape>
          </w:pict>
        </mc:Fallback>
      </mc:AlternateConten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7"/>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40</w:t>
                          </w:r>
                          <w:r>
                            <w:fldChar w:fldCharType="end"/>
                          </w:r>
                          <w:r>
                            <w:t xml:space="preserve"> 页</w:t>
                          </w:r>
                          <w:r/>
                        </w:p>
                        <w:p>
                          <w:pPr>
                            <w:pStyle w:val="86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7"/>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40</w:t>
                    </w:r>
                    <w:r>
                      <w:fldChar w:fldCharType="end"/>
                    </w:r>
                    <w:r>
                      <w:t xml:space="preserve"> 页</w:t>
                    </w:r>
                    <w:r/>
                  </w:p>
                  <w:p>
                    <w:pPr>
                      <w:pStyle w:val="86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tabs>
        <w:tab w:val="center" w:pos="4153" w:leader="none"/>
        <w:tab w:val="right" w:pos="8306" w:leader="none"/>
      </w:tabs>
      <w:rPr>
        <w:rStyle w:val="1139"/>
      </w:rPr>
      <w:framePr w:wrap="around" w:vAnchor="text" w:hAnchor="margin" w:xAlign="center" w:y="1"/>
    </w:pPr>
    <w:r>
      <w:fldChar w:fldCharType="begin"/>
    </w:r>
    <w:r>
      <w:rPr>
        <w:rStyle w:val="1139"/>
      </w:rPr>
      <w:instrText xml:space="preserve">PAGE  </w:instrText>
    </w:r>
    <w:r>
      <w:fldChar w:fldCharType="separate"/>
    </w:r>
    <w:r>
      <w:rPr>
        <w:rStyle w:val="1139"/>
      </w:rPr>
      <w:t xml:space="preserve">46</w:t>
    </w:r>
    <w:r>
      <w:fldChar w:fldCharType="end"/>
    </w:r>
    <w:r>
      <w:rPr>
        <w:rStyle w:val="1139"/>
      </w:rPr>
    </w:r>
    <w:r/>
  </w:p>
  <w:p>
    <w:pPr>
      <w:pStyle w:val="1104"/>
      <w:tabs>
        <w:tab w:val="center" w:pos="4153" w:leader="none"/>
        <w:tab w:val="right" w:pos="8306" w:leader="none"/>
      </w:tabs>
    </w:pPr>
    <w:r/>
    <w:r/>
  </w:p>
  <w:p>
    <w:pPr>
      <w:pStyle w:val="864"/>
    </w:pPr>
    <w:r/>
    <w:r/>
  </w:p>
  <w:p>
    <w:pPr>
      <w:pStyle w:val="864"/>
    </w:pPr>
    <w:r/>
    <w:r/>
  </w:p>
  <w:p>
    <w:pPr>
      <w:pStyle w:val="864"/>
    </w:pPr>
    <w:r/>
    <w:r/>
  </w:p>
  <w:p>
    <w:pPr>
      <w:pStyle w:val="8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jc w:val="left"/>
      <w:tabs>
        <w:tab w:val="center" w:pos="4153" w:leader="none"/>
        <w:tab w:val="center" w:pos="4677" w:leader="none"/>
        <w:tab w:val="right" w:pos="8306" w:leader="none"/>
        <w:tab w:val="right" w:pos="9355" w:leader="none"/>
      </w:tabs>
      <w:rPr>
        <w:rFonts w:hint="eastAsia" w:ascii="宋体" w:eastAsia="宋体" w:cs="宋体"/>
        <w:szCs w:val="18"/>
      </w:rPr>
      <w:pBdr>
        <w:bottom w:val="single" w:color="000000" w:sz="4" w:space="0"/>
      </w:pBdr>
    </w:pPr>
    <w:r>
      <w:rPr>
        <w:rFonts w:hint="eastAsia" w:ascii="宋体" w:eastAsia="宋体" w:cs="宋体"/>
        <w:szCs w:val="18"/>
      </w:rPr>
      <w:t xml:space="preserve">采购编号：</w:t>
    </w:r>
    <w:r>
      <w:rPr>
        <w:rFonts w:hint="eastAsia" w:ascii="宋体" w:eastAsia="宋体" w:cs="宋体"/>
        <w:szCs w:val="18"/>
        <w:lang w:eastAsia="zh-CN"/>
      </w:rPr>
      <w:t xml:space="preserve">JSZC-320583-AFEJ-G2026-0004</w:t>
    </w:r>
    <w:r>
      <w:rPr>
        <w:rFonts w:ascii="宋体" w:eastAsia="宋体" w:cs="宋体"/>
        <w:szCs w:val="18"/>
      </w:rPr>
      <w:tab/>
    </w:r>
    <w:r>
      <w:rPr>
        <w:rFonts w:ascii="宋体" w:eastAsia="宋体" w:cs="宋体"/>
        <w:szCs w:val="18"/>
      </w:rPr>
      <w:tab/>
    </w:r>
    <w:r>
      <w:rPr>
        <w:rFonts w:hint="eastAsia" w:ascii="宋体" w:eastAsia="宋体" w:cs="宋体"/>
        <w:szCs w:val="18"/>
      </w:rPr>
      <w:t xml:space="preserve">公开招标文件</w:t>
    </w:r>
    <w:r>
      <w:rPr>
        <w:rFonts w:hint="eastAsia" w:ascii="宋体" w:eastAsia="宋体" w:cs="宋体"/>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jc w:val="both"/>
      <w:tabs>
        <w:tab w:val="center" w:pos="4153" w:leader="none"/>
        <w:tab w:val="right" w:pos="8306" w:leader="none"/>
      </w:tabs>
    </w:pPr>
    <w:r>
      <w:rPr>
        <w:rFonts w:hint="eastAsia" w:ascii="宋体" w:hAnsi="宋体" w:eastAsia="宋体"/>
        <w:color w:val="000000"/>
        <w:szCs w:val="18"/>
      </w:rPr>
      <w:t xml:space="preserve">招标编号：</w:t>
    </w:r>
    <w:r>
      <w:rPr>
        <w:rFonts w:hint="eastAsia" w:ascii="宋体" w:hAnsi="宋体" w:eastAsia="宋体"/>
      </w:rPr>
      <w:t xml:space="preserve">SZZX2017-KS-G-014</w:t>
    </w:r>
    <w:r>
      <w:rPr>
        <w:rFonts w:hint="eastAsia" w:ascii="宋体" w:hAnsi="宋体" w:eastAsia="宋体"/>
        <w:color w:val="000000"/>
        <w:szCs w:val="18"/>
      </w:rPr>
      <w:t xml:space="preserve">             </w:t>
    </w:r>
    <w:r>
      <w:rPr>
        <w:rFonts w:hint="eastAsia" w:ascii="华文新魏" w:hAnsi="华文中宋" w:eastAsia="华文新魏"/>
      </w:rPr>
      <w:t xml:space="preserve">                                      </w:t>
    </w:r>
    <w:r>
      <w:rPr>
        <w:rFonts w:hint="eastAsia" w:ascii="宋体" w:hAnsi="宋体" w:eastAsia="宋体"/>
      </w:rPr>
      <w:t xml:space="preserve">苏州正信公开招标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86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64"/>
        <w:ind w:left="629" w:hanging="425"/>
      </w:pPr>
      <w:rPr>
        <w:rFonts w:hint="eastAsia"/>
      </w:rPr>
    </w:lvl>
    <w:lvl w:ilvl="1">
      <w:start w:val="1"/>
      <w:numFmt w:val="decimal"/>
      <w:isLgl w:val="false"/>
      <w:suff w:val="tab"/>
      <w:lvlText w:val="%1.%2"/>
      <w:lvlJc w:val="left"/>
      <w:pPr>
        <w:pStyle w:val="864"/>
        <w:ind w:left="992" w:hanging="567"/>
      </w:pPr>
    </w:lvl>
    <w:lvl w:ilvl="2">
      <w:start w:val="1"/>
      <w:numFmt w:val="decimal"/>
      <w:isLgl w:val="false"/>
      <w:suff w:val="tab"/>
      <w:lvlText w:val="%1.%2.%3"/>
      <w:lvlJc w:val="left"/>
      <w:pPr>
        <w:pStyle w:val="864"/>
        <w:ind w:left="4253" w:hanging="567"/>
      </w:pPr>
    </w:lvl>
    <w:lvl w:ilvl="3">
      <w:start w:val="1"/>
      <w:numFmt w:val="decimal"/>
      <w:isLgl w:val="false"/>
      <w:suff w:val="tab"/>
      <w:lvlText w:val="%1.%2.%3.%4"/>
      <w:lvlJc w:val="left"/>
      <w:pPr>
        <w:pStyle w:val="864"/>
        <w:ind w:left="1984" w:hanging="708"/>
      </w:pPr>
    </w:lvl>
    <w:lvl w:ilvl="4">
      <w:start w:val="1"/>
      <w:numFmt w:val="decimal"/>
      <w:isLgl w:val="false"/>
      <w:suff w:val="tab"/>
      <w:lvlText w:val="%1.%2.%3.%4.%5"/>
      <w:lvlJc w:val="left"/>
      <w:pPr>
        <w:pStyle w:val="864"/>
        <w:ind w:left="2551" w:hanging="850"/>
      </w:pPr>
    </w:lvl>
    <w:lvl w:ilvl="5">
      <w:start w:val="1"/>
      <w:numFmt w:val="decimal"/>
      <w:isLgl w:val="false"/>
      <w:suff w:val="tab"/>
      <w:lvlText w:val="%1.%2.%3.%4.%5.%6"/>
      <w:lvlJc w:val="left"/>
      <w:pPr>
        <w:pStyle w:val="864"/>
        <w:ind w:left="3260" w:hanging="1134"/>
      </w:pPr>
    </w:lvl>
    <w:lvl w:ilvl="6">
      <w:start w:val="1"/>
      <w:numFmt w:val="decimal"/>
      <w:isLgl w:val="false"/>
      <w:suff w:val="tab"/>
      <w:lvlText w:val="%1.%2.%3.%4.%5.%6.%7"/>
      <w:lvlJc w:val="left"/>
      <w:pPr>
        <w:pStyle w:val="864"/>
        <w:ind w:left="3827" w:hanging="1276"/>
      </w:pPr>
    </w:lvl>
    <w:lvl w:ilvl="7">
      <w:start w:val="1"/>
      <w:numFmt w:val="decimal"/>
      <w:isLgl w:val="false"/>
      <w:suff w:val="tab"/>
      <w:lvlText w:val="%1.%2.%3.%4.%5.%6.%7.%8"/>
      <w:lvlJc w:val="left"/>
      <w:pPr>
        <w:pStyle w:val="864"/>
        <w:ind w:left="4394" w:hanging="1418"/>
      </w:pPr>
    </w:lvl>
    <w:lvl w:ilvl="8">
      <w:start w:val="1"/>
      <w:numFmt w:val="decimal"/>
      <w:isLgl w:val="false"/>
      <w:suff w:val="tab"/>
      <w:lvlText w:val="%1.%2.%3.%4.%5.%6.%7.%8.%9"/>
      <w:lvlJc w:val="left"/>
      <w:pPr>
        <w:pStyle w:val="864"/>
        <w:ind w:left="5102" w:hanging="1700"/>
      </w:pPr>
    </w:lvl>
  </w:abstractNum>
  <w:abstractNum w:abstractNumId="3">
    <w:multiLevelType w:val="hybridMultilevel"/>
    <w:lvl w:ilvl="0">
      <w:start w:val="5"/>
      <w:numFmt w:val="chineseCounting"/>
      <w:isLgl w:val="false"/>
      <w:suff w:val="nothing"/>
      <w:lvlText w:val="（%1）"/>
      <w:lvlJc w:val="left"/>
      <w:pPr>
        <w:pStyle w:val="86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1、"/>
      <w:lvlJc w:val="left"/>
      <w:pPr>
        <w:pStyle w:val="864"/>
        <w:ind w:left="844" w:hanging="420"/>
      </w:pPr>
    </w:lvl>
    <w:lvl w:ilvl="1">
      <w:start w:val="2"/>
      <w:numFmt w:val="decimal"/>
      <w:isLgl w:val="false"/>
      <w:suff w:val="tab"/>
      <w:lvlText w:val="%2、"/>
      <w:lvlJc w:val="left"/>
      <w:pPr>
        <w:pStyle w:val="864"/>
        <w:ind w:left="1204" w:hanging="360"/>
      </w:pPr>
    </w:lvl>
    <w:lvl w:ilvl="2">
      <w:start w:val="1"/>
      <w:numFmt w:val="lowerRoman"/>
      <w:isLgl w:val="false"/>
      <w:suff w:val="tab"/>
      <w:lvlText w:val="%3."/>
      <w:lvlJc w:val="right"/>
      <w:pPr>
        <w:pStyle w:val="864"/>
        <w:ind w:left="1684" w:hanging="420"/>
      </w:pPr>
    </w:lvl>
    <w:lvl w:ilvl="3">
      <w:start w:val="1"/>
      <w:numFmt w:val="decimal"/>
      <w:isLgl w:val="false"/>
      <w:suff w:val="tab"/>
      <w:lvlText w:val="%4."/>
      <w:lvlJc w:val="left"/>
      <w:pPr>
        <w:pStyle w:val="864"/>
        <w:ind w:left="2104" w:hanging="420"/>
      </w:pPr>
    </w:lvl>
    <w:lvl w:ilvl="4">
      <w:start w:val="1"/>
      <w:numFmt w:val="lowerLetter"/>
      <w:isLgl w:val="false"/>
      <w:suff w:val="tab"/>
      <w:lvlText w:val="%5)"/>
      <w:lvlJc w:val="left"/>
      <w:pPr>
        <w:pStyle w:val="864"/>
        <w:ind w:left="2524" w:hanging="420"/>
      </w:pPr>
    </w:lvl>
    <w:lvl w:ilvl="5">
      <w:start w:val="1"/>
      <w:numFmt w:val="lowerRoman"/>
      <w:isLgl w:val="false"/>
      <w:suff w:val="tab"/>
      <w:lvlText w:val="%6."/>
      <w:lvlJc w:val="right"/>
      <w:pPr>
        <w:pStyle w:val="864"/>
        <w:ind w:left="2944" w:hanging="420"/>
      </w:pPr>
    </w:lvl>
    <w:lvl w:ilvl="6">
      <w:start w:val="1"/>
      <w:numFmt w:val="decimal"/>
      <w:isLgl w:val="false"/>
      <w:suff w:val="tab"/>
      <w:lvlText w:val="%7."/>
      <w:lvlJc w:val="left"/>
      <w:pPr>
        <w:pStyle w:val="864"/>
        <w:ind w:left="3364" w:hanging="420"/>
      </w:pPr>
    </w:lvl>
    <w:lvl w:ilvl="7">
      <w:start w:val="1"/>
      <w:numFmt w:val="lowerLetter"/>
      <w:isLgl w:val="false"/>
      <w:suff w:val="tab"/>
      <w:lvlText w:val="%8)"/>
      <w:lvlJc w:val="left"/>
      <w:pPr>
        <w:pStyle w:val="864"/>
        <w:ind w:left="3784" w:hanging="420"/>
      </w:pPr>
    </w:lvl>
    <w:lvl w:ilvl="8">
      <w:start w:val="1"/>
      <w:numFmt w:val="lowerRoman"/>
      <w:isLgl w:val="false"/>
      <w:suff w:val="tab"/>
      <w:lvlText w:val="%9."/>
      <w:lvlJc w:val="right"/>
      <w:pPr>
        <w:pStyle w:val="864"/>
        <w:ind w:left="4204" w:hanging="420"/>
      </w:pPr>
    </w:lvl>
  </w:abstractNum>
  <w:abstractNum w:abstractNumId="5">
    <w:multiLevelType w:val="hybridMultilevel"/>
    <w:lvl w:ilvl="0">
      <w:start w:val="1"/>
      <w:numFmt w:val="decimal"/>
      <w:isLgl w:val="false"/>
      <w:suff w:val="tab"/>
      <w:lvlText w:val="(%1)"/>
      <w:lvlJc w:val="left"/>
      <w:pPr>
        <w:pStyle w:val="86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864"/>
        <w:ind w:left="629" w:hanging="425"/>
      </w:pPr>
      <w:rPr>
        <w:rFonts w:hint="eastAsia"/>
      </w:rPr>
    </w:lvl>
    <w:lvl w:ilvl="1">
      <w:start w:val="1"/>
      <w:numFmt w:val="decimal"/>
      <w:isLgl w:val="false"/>
      <w:suff w:val="tab"/>
      <w:lvlText w:val="%1.%2"/>
      <w:lvlJc w:val="left"/>
      <w:pPr>
        <w:pStyle w:val="864"/>
        <w:ind w:left="992" w:hanging="567"/>
      </w:pPr>
    </w:lvl>
    <w:lvl w:ilvl="2">
      <w:start w:val="1"/>
      <w:numFmt w:val="decimal"/>
      <w:isLgl w:val="false"/>
      <w:suff w:val="tab"/>
      <w:lvlText w:val="%1.%2.%3"/>
      <w:lvlJc w:val="left"/>
      <w:pPr>
        <w:pStyle w:val="864"/>
        <w:ind w:left="4253" w:hanging="567"/>
      </w:pPr>
    </w:lvl>
    <w:lvl w:ilvl="3">
      <w:start w:val="1"/>
      <w:numFmt w:val="decimal"/>
      <w:isLgl w:val="false"/>
      <w:suff w:val="tab"/>
      <w:lvlText w:val="%1.%2.%3.%4"/>
      <w:lvlJc w:val="left"/>
      <w:pPr>
        <w:pStyle w:val="864"/>
        <w:ind w:left="1984" w:hanging="708"/>
      </w:pPr>
    </w:lvl>
    <w:lvl w:ilvl="4">
      <w:start w:val="1"/>
      <w:numFmt w:val="decimal"/>
      <w:isLgl w:val="false"/>
      <w:suff w:val="tab"/>
      <w:lvlText w:val="%1.%2.%3.%4.%5"/>
      <w:lvlJc w:val="left"/>
      <w:pPr>
        <w:pStyle w:val="864"/>
        <w:ind w:left="2551" w:hanging="850"/>
      </w:pPr>
    </w:lvl>
    <w:lvl w:ilvl="5">
      <w:start w:val="1"/>
      <w:numFmt w:val="decimal"/>
      <w:isLgl w:val="false"/>
      <w:suff w:val="tab"/>
      <w:lvlText w:val="%1.%2.%3.%4.%5.%6"/>
      <w:lvlJc w:val="left"/>
      <w:pPr>
        <w:pStyle w:val="864"/>
        <w:ind w:left="3260" w:hanging="1134"/>
      </w:pPr>
    </w:lvl>
    <w:lvl w:ilvl="6">
      <w:start w:val="1"/>
      <w:numFmt w:val="decimal"/>
      <w:isLgl w:val="false"/>
      <w:suff w:val="tab"/>
      <w:lvlText w:val="%1.%2.%3.%4.%5.%6.%7"/>
      <w:lvlJc w:val="left"/>
      <w:pPr>
        <w:pStyle w:val="864"/>
        <w:ind w:left="3827" w:hanging="1276"/>
      </w:pPr>
    </w:lvl>
    <w:lvl w:ilvl="7">
      <w:start w:val="1"/>
      <w:numFmt w:val="decimal"/>
      <w:isLgl w:val="false"/>
      <w:suff w:val="tab"/>
      <w:lvlText w:val="%1.%2.%3.%4.%5.%6.%7.%8"/>
      <w:lvlJc w:val="left"/>
      <w:pPr>
        <w:pStyle w:val="864"/>
        <w:ind w:left="4394" w:hanging="1418"/>
      </w:pPr>
    </w:lvl>
    <w:lvl w:ilvl="8">
      <w:start w:val="1"/>
      <w:numFmt w:val="decimal"/>
      <w:isLgl w:val="false"/>
      <w:suff w:val="tab"/>
      <w:lvlText w:val="%1.%2.%3.%4.%5.%6.%7.%8.%9"/>
      <w:lvlJc w:val="left"/>
      <w:pPr>
        <w:pStyle w:val="864"/>
        <w:ind w:left="5102" w:hanging="1700"/>
      </w:pPr>
    </w:lvl>
  </w:abstractNum>
  <w:abstractNum w:abstractNumId="7">
    <w:multiLevelType w:val="hybridMultilevel"/>
    <w:lvl w:ilvl="0">
      <w:start w:val="1"/>
      <w:numFmt w:val="decimal"/>
      <w:isLgl w:val="false"/>
      <w:suff w:val="tab"/>
      <w:lvlText w:val="%1."/>
      <w:lvlJc w:val="left"/>
      <w:pPr>
        <w:pStyle w:val="864"/>
        <w:ind w:left="360" w:hanging="360"/>
      </w:pPr>
    </w:lvl>
    <w:lvl w:ilvl="1">
      <w:start w:val="1"/>
      <w:numFmt w:val="lowerLetter"/>
      <w:isLgl w:val="false"/>
      <w:suff w:val="tab"/>
      <w:lvlText w:val="%2)"/>
      <w:lvlJc w:val="left"/>
      <w:pPr>
        <w:pStyle w:val="864"/>
        <w:ind w:left="840" w:hanging="420"/>
      </w:pPr>
    </w:lvl>
    <w:lvl w:ilvl="2">
      <w:start w:val="1"/>
      <w:numFmt w:val="lowerRoman"/>
      <w:isLgl w:val="false"/>
      <w:suff w:val="tab"/>
      <w:lvlText w:val="%3."/>
      <w:lvlJc w:val="right"/>
      <w:pPr>
        <w:pStyle w:val="864"/>
        <w:ind w:left="1260" w:hanging="420"/>
      </w:pPr>
    </w:lvl>
    <w:lvl w:ilvl="3">
      <w:start w:val="1"/>
      <w:numFmt w:val="decimal"/>
      <w:isLgl w:val="false"/>
      <w:suff w:val="tab"/>
      <w:lvlText w:val="%4."/>
      <w:lvlJc w:val="left"/>
      <w:pPr>
        <w:pStyle w:val="864"/>
        <w:ind w:left="1680" w:hanging="420"/>
      </w:pPr>
    </w:lvl>
    <w:lvl w:ilvl="4">
      <w:start w:val="1"/>
      <w:numFmt w:val="lowerLetter"/>
      <w:isLgl w:val="false"/>
      <w:suff w:val="tab"/>
      <w:lvlText w:val="%5)"/>
      <w:lvlJc w:val="left"/>
      <w:pPr>
        <w:pStyle w:val="864"/>
        <w:ind w:left="2100" w:hanging="420"/>
      </w:pPr>
    </w:lvl>
    <w:lvl w:ilvl="5">
      <w:start w:val="1"/>
      <w:numFmt w:val="lowerRoman"/>
      <w:isLgl w:val="false"/>
      <w:suff w:val="tab"/>
      <w:lvlText w:val="%6."/>
      <w:lvlJc w:val="right"/>
      <w:pPr>
        <w:pStyle w:val="864"/>
        <w:ind w:left="2520" w:hanging="420"/>
      </w:pPr>
    </w:lvl>
    <w:lvl w:ilvl="6">
      <w:start w:val="1"/>
      <w:numFmt w:val="decimal"/>
      <w:isLgl w:val="false"/>
      <w:suff w:val="tab"/>
      <w:lvlText w:val="%7."/>
      <w:lvlJc w:val="left"/>
      <w:pPr>
        <w:pStyle w:val="864"/>
        <w:ind w:left="2940" w:hanging="420"/>
      </w:pPr>
    </w:lvl>
    <w:lvl w:ilvl="7">
      <w:start w:val="1"/>
      <w:numFmt w:val="lowerLetter"/>
      <w:isLgl w:val="false"/>
      <w:suff w:val="tab"/>
      <w:lvlText w:val="%8)"/>
      <w:lvlJc w:val="left"/>
      <w:pPr>
        <w:pStyle w:val="864"/>
        <w:ind w:left="3360" w:hanging="420"/>
      </w:pPr>
    </w:lvl>
    <w:lvl w:ilvl="8">
      <w:start w:val="1"/>
      <w:numFmt w:val="lowerRoman"/>
      <w:isLgl w:val="false"/>
      <w:suff w:val="tab"/>
      <w:lvlText w:val="%9."/>
      <w:lvlJc w:val="right"/>
      <w:pPr>
        <w:pStyle w:val="864"/>
        <w:ind w:left="3780" w:hanging="420"/>
      </w:pPr>
    </w:lvl>
  </w:abstractNum>
  <w:abstractNum w:abstractNumId="8">
    <w:multiLevelType w:val="hybridMultilevel"/>
    <w:lvl w:ilvl="0">
      <w:start w:val="3"/>
      <w:numFmt w:val="decimal"/>
      <w:isLgl w:val="false"/>
      <w:suff w:val="tab"/>
      <w:lvlText w:val="%1."/>
      <w:lvlJc w:val="left"/>
      <w:pPr>
        <w:pStyle w:val="86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decimal"/>
      <w:isLgl w:val="false"/>
      <w:suff w:val="nothing"/>
      <w:lvlText w:val="%1、"/>
      <w:lvlJc w:val="left"/>
      <w:pPr>
        <w:pStyle w:val="8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864"/>
        <w:ind w:left="1140" w:hanging="720"/>
      </w:pPr>
    </w:lvl>
    <w:lvl w:ilvl="1">
      <w:start w:val="1"/>
      <w:numFmt w:val="lowerLetter"/>
      <w:isLgl w:val="false"/>
      <w:suff w:val="tab"/>
      <w:lvlText w:val="%2)"/>
      <w:lvlJc w:val="left"/>
      <w:pPr>
        <w:pStyle w:val="864"/>
        <w:ind w:left="1300" w:hanging="440"/>
      </w:pPr>
    </w:lvl>
    <w:lvl w:ilvl="2">
      <w:start w:val="1"/>
      <w:numFmt w:val="lowerRoman"/>
      <w:isLgl w:val="false"/>
      <w:suff w:val="tab"/>
      <w:lvlText w:val="%3."/>
      <w:lvlJc w:val="right"/>
      <w:pPr>
        <w:pStyle w:val="864"/>
        <w:ind w:left="1740" w:hanging="440"/>
      </w:pPr>
    </w:lvl>
    <w:lvl w:ilvl="3">
      <w:start w:val="1"/>
      <w:numFmt w:val="decimal"/>
      <w:isLgl w:val="false"/>
      <w:suff w:val="tab"/>
      <w:lvlText w:val="%4."/>
      <w:lvlJc w:val="left"/>
      <w:pPr>
        <w:pStyle w:val="864"/>
        <w:ind w:left="2180" w:hanging="440"/>
      </w:pPr>
    </w:lvl>
    <w:lvl w:ilvl="4">
      <w:start w:val="1"/>
      <w:numFmt w:val="lowerLetter"/>
      <w:isLgl w:val="false"/>
      <w:suff w:val="tab"/>
      <w:lvlText w:val="%5)"/>
      <w:lvlJc w:val="left"/>
      <w:pPr>
        <w:pStyle w:val="864"/>
        <w:ind w:left="2620" w:hanging="440"/>
      </w:pPr>
    </w:lvl>
    <w:lvl w:ilvl="5">
      <w:start w:val="1"/>
      <w:numFmt w:val="lowerRoman"/>
      <w:isLgl w:val="false"/>
      <w:suff w:val="tab"/>
      <w:lvlText w:val="%6."/>
      <w:lvlJc w:val="right"/>
      <w:pPr>
        <w:pStyle w:val="864"/>
        <w:ind w:left="3060" w:hanging="440"/>
      </w:pPr>
    </w:lvl>
    <w:lvl w:ilvl="6">
      <w:start w:val="1"/>
      <w:numFmt w:val="decimal"/>
      <w:isLgl w:val="false"/>
      <w:suff w:val="tab"/>
      <w:lvlText w:val="%7."/>
      <w:lvlJc w:val="left"/>
      <w:pPr>
        <w:pStyle w:val="864"/>
        <w:ind w:left="3500" w:hanging="440"/>
      </w:pPr>
    </w:lvl>
    <w:lvl w:ilvl="7">
      <w:start w:val="1"/>
      <w:numFmt w:val="lowerLetter"/>
      <w:isLgl w:val="false"/>
      <w:suff w:val="tab"/>
      <w:lvlText w:val="%8)"/>
      <w:lvlJc w:val="left"/>
      <w:pPr>
        <w:pStyle w:val="864"/>
        <w:ind w:left="3940" w:hanging="440"/>
      </w:pPr>
    </w:lvl>
    <w:lvl w:ilvl="8">
      <w:start w:val="1"/>
      <w:numFmt w:val="lowerRoman"/>
      <w:isLgl w:val="false"/>
      <w:suff w:val="tab"/>
      <w:lvlText w:val="%9."/>
      <w:lvlJc w:val="right"/>
      <w:pPr>
        <w:pStyle w:val="864"/>
        <w:ind w:left="4380" w:hanging="440"/>
      </w:pPr>
    </w:lvl>
  </w:abstractNum>
  <w:num w:numId="1">
    <w:abstractNumId w:val="8"/>
  </w:num>
  <w:num w:numId="2">
    <w:abstractNumId w:val="4"/>
  </w:num>
  <w:num w:numId="3">
    <w:abstractNumId w:val="2"/>
  </w:num>
  <w:num w:numId="4">
    <w:abstractNumId w:val="6"/>
  </w:num>
  <w:num w:numId="5">
    <w:abstractNumId w:val="0"/>
  </w:num>
  <w:num w:numId="6">
    <w:abstractNumId w:val="5"/>
  </w:num>
  <w:num w:numId="7">
    <w:abstractNumId w:val="9"/>
  </w:num>
  <w:num w:numId="8">
    <w:abstractNumId w:val="10"/>
  </w:num>
  <w:num w:numId="9">
    <w:abstractNumId w:val="1"/>
  </w:num>
  <w:num w:numId="10">
    <w:abstractNumId w:val="3"/>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name w:val="Heading 1"/>
    <w:basedOn w:val="864"/>
    <w:next w:val="864"/>
    <w:link w:val="814"/>
    <w:uiPriority w:val="9"/>
    <w:qFormat/>
    <w:pPr>
      <w:keepLines/>
      <w:keepNext/>
      <w:spacing w:before="480" w:after="200"/>
      <w:outlineLvl w:val="0"/>
    </w:pPr>
    <w:rPr>
      <w:rFonts w:ascii="Arial" w:hAnsi="Arial" w:eastAsia="Arial" w:cs="Arial"/>
      <w:sz w:val="40"/>
      <w:szCs w:val="40"/>
    </w:rPr>
  </w:style>
  <w:style w:type="character" w:styleId="814">
    <w:name w:val="Heading 1 Char"/>
    <w:link w:val="813"/>
    <w:uiPriority w:val="9"/>
    <w:rPr>
      <w:rFonts w:ascii="Arial" w:hAnsi="Arial" w:eastAsia="Arial" w:cs="Arial"/>
      <w:sz w:val="40"/>
      <w:szCs w:val="40"/>
    </w:rPr>
  </w:style>
  <w:style w:type="paragraph" w:styleId="815">
    <w:name w:val="Heading 2"/>
    <w:basedOn w:val="864"/>
    <w:next w:val="864"/>
    <w:link w:val="816"/>
    <w:uiPriority w:val="9"/>
    <w:unhideWhenUsed/>
    <w:qFormat/>
    <w:pPr>
      <w:keepLines/>
      <w:keepNext/>
      <w:spacing w:before="360" w:after="200"/>
      <w:outlineLvl w:val="1"/>
    </w:pPr>
    <w:rPr>
      <w:rFonts w:ascii="Arial" w:hAnsi="Arial" w:eastAsia="Arial" w:cs="Arial"/>
      <w:sz w:val="34"/>
    </w:rPr>
  </w:style>
  <w:style w:type="character" w:styleId="816">
    <w:name w:val="Heading 2 Char"/>
    <w:link w:val="815"/>
    <w:uiPriority w:val="9"/>
    <w:rPr>
      <w:rFonts w:ascii="Arial" w:hAnsi="Arial" w:eastAsia="Arial" w:cs="Arial"/>
      <w:sz w:val="34"/>
    </w:rPr>
  </w:style>
  <w:style w:type="paragraph" w:styleId="817">
    <w:name w:val="Heading 3"/>
    <w:basedOn w:val="864"/>
    <w:next w:val="864"/>
    <w:link w:val="818"/>
    <w:uiPriority w:val="9"/>
    <w:unhideWhenUsed/>
    <w:qFormat/>
    <w:pPr>
      <w:keepLines/>
      <w:keepNext/>
      <w:spacing w:before="320" w:after="200"/>
      <w:outlineLvl w:val="2"/>
    </w:pPr>
    <w:rPr>
      <w:rFonts w:ascii="Arial" w:hAnsi="Arial" w:eastAsia="Arial" w:cs="Arial"/>
      <w:sz w:val="30"/>
      <w:szCs w:val="30"/>
    </w:rPr>
  </w:style>
  <w:style w:type="character" w:styleId="818">
    <w:name w:val="Heading 3 Char"/>
    <w:link w:val="817"/>
    <w:uiPriority w:val="9"/>
    <w:rPr>
      <w:rFonts w:ascii="Arial" w:hAnsi="Arial" w:eastAsia="Arial" w:cs="Arial"/>
      <w:sz w:val="30"/>
      <w:szCs w:val="30"/>
    </w:rPr>
  </w:style>
  <w:style w:type="paragraph" w:styleId="819">
    <w:name w:val="Heading 4"/>
    <w:basedOn w:val="864"/>
    <w:next w:val="864"/>
    <w:link w:val="820"/>
    <w:uiPriority w:val="9"/>
    <w:unhideWhenUsed/>
    <w:qFormat/>
    <w:pPr>
      <w:keepLines/>
      <w:keepNext/>
      <w:spacing w:before="320" w:after="200"/>
      <w:outlineLvl w:val="3"/>
    </w:pPr>
    <w:rPr>
      <w:rFonts w:ascii="Arial" w:hAnsi="Arial" w:eastAsia="Arial" w:cs="Arial"/>
      <w:b/>
      <w:bCs/>
      <w:sz w:val="26"/>
      <w:szCs w:val="26"/>
    </w:rPr>
  </w:style>
  <w:style w:type="character" w:styleId="820">
    <w:name w:val="Heading 4 Char"/>
    <w:link w:val="819"/>
    <w:uiPriority w:val="9"/>
    <w:rPr>
      <w:rFonts w:ascii="Arial" w:hAnsi="Arial" w:eastAsia="Arial" w:cs="Arial"/>
      <w:b/>
      <w:bCs/>
      <w:sz w:val="26"/>
      <w:szCs w:val="26"/>
    </w:rPr>
  </w:style>
  <w:style w:type="paragraph" w:styleId="821">
    <w:name w:val="Heading 5"/>
    <w:basedOn w:val="864"/>
    <w:next w:val="864"/>
    <w:link w:val="822"/>
    <w:uiPriority w:val="9"/>
    <w:unhideWhenUsed/>
    <w:qFormat/>
    <w:pPr>
      <w:keepLines/>
      <w:keepNext/>
      <w:spacing w:before="320" w:after="200"/>
      <w:outlineLvl w:val="4"/>
    </w:pPr>
    <w:rPr>
      <w:rFonts w:ascii="Arial" w:hAnsi="Arial" w:eastAsia="Arial" w:cs="Arial"/>
      <w:b/>
      <w:bCs/>
      <w:sz w:val="24"/>
      <w:szCs w:val="24"/>
    </w:rPr>
  </w:style>
  <w:style w:type="character" w:styleId="822">
    <w:name w:val="Heading 5 Char"/>
    <w:link w:val="821"/>
    <w:uiPriority w:val="9"/>
    <w:rPr>
      <w:rFonts w:ascii="Arial" w:hAnsi="Arial" w:eastAsia="Arial" w:cs="Arial"/>
      <w:b/>
      <w:bCs/>
      <w:sz w:val="24"/>
      <w:szCs w:val="24"/>
    </w:rPr>
  </w:style>
  <w:style w:type="paragraph" w:styleId="823">
    <w:name w:val="Heading 6"/>
    <w:basedOn w:val="864"/>
    <w:next w:val="864"/>
    <w:link w:val="824"/>
    <w:uiPriority w:val="9"/>
    <w:unhideWhenUsed/>
    <w:qFormat/>
    <w:pPr>
      <w:keepLines/>
      <w:keepNext/>
      <w:spacing w:before="320" w:after="200"/>
      <w:outlineLvl w:val="5"/>
    </w:pPr>
    <w:rPr>
      <w:rFonts w:ascii="Arial" w:hAnsi="Arial" w:eastAsia="Arial" w:cs="Arial"/>
      <w:b/>
      <w:bCs/>
      <w:sz w:val="22"/>
      <w:szCs w:val="22"/>
    </w:rPr>
  </w:style>
  <w:style w:type="character" w:styleId="824">
    <w:name w:val="Heading 6 Char"/>
    <w:link w:val="823"/>
    <w:uiPriority w:val="9"/>
    <w:rPr>
      <w:rFonts w:ascii="Arial" w:hAnsi="Arial" w:eastAsia="Arial" w:cs="Arial"/>
      <w:b/>
      <w:bCs/>
      <w:sz w:val="22"/>
      <w:szCs w:val="22"/>
    </w:rPr>
  </w:style>
  <w:style w:type="paragraph" w:styleId="825">
    <w:name w:val="Heading 7"/>
    <w:basedOn w:val="864"/>
    <w:next w:val="864"/>
    <w:link w:val="826"/>
    <w:uiPriority w:val="9"/>
    <w:unhideWhenUsed/>
    <w:qFormat/>
    <w:pPr>
      <w:keepLines/>
      <w:keepNext/>
      <w:spacing w:before="320" w:after="200"/>
      <w:outlineLvl w:val="6"/>
    </w:pPr>
    <w:rPr>
      <w:rFonts w:ascii="Arial" w:hAnsi="Arial" w:eastAsia="Arial" w:cs="Arial"/>
      <w:b/>
      <w:bCs/>
      <w:i/>
      <w:iCs/>
      <w:sz w:val="22"/>
      <w:szCs w:val="22"/>
    </w:rPr>
  </w:style>
  <w:style w:type="character" w:styleId="826">
    <w:name w:val="Heading 7 Char"/>
    <w:link w:val="825"/>
    <w:uiPriority w:val="9"/>
    <w:rPr>
      <w:rFonts w:ascii="Arial" w:hAnsi="Arial" w:eastAsia="Arial" w:cs="Arial"/>
      <w:b/>
      <w:bCs/>
      <w:i/>
      <w:iCs/>
      <w:sz w:val="22"/>
      <w:szCs w:val="22"/>
    </w:rPr>
  </w:style>
  <w:style w:type="paragraph" w:styleId="827">
    <w:name w:val="Heading 8"/>
    <w:basedOn w:val="864"/>
    <w:next w:val="864"/>
    <w:link w:val="828"/>
    <w:uiPriority w:val="9"/>
    <w:unhideWhenUsed/>
    <w:qFormat/>
    <w:pPr>
      <w:keepLines/>
      <w:keepNext/>
      <w:spacing w:before="320" w:after="200"/>
      <w:outlineLvl w:val="7"/>
    </w:pPr>
    <w:rPr>
      <w:rFonts w:ascii="Arial" w:hAnsi="Arial" w:eastAsia="Arial" w:cs="Arial"/>
      <w:i/>
      <w:iCs/>
      <w:sz w:val="22"/>
      <w:szCs w:val="22"/>
    </w:rPr>
  </w:style>
  <w:style w:type="character" w:styleId="828">
    <w:name w:val="Heading 8 Char"/>
    <w:link w:val="827"/>
    <w:uiPriority w:val="9"/>
    <w:rPr>
      <w:rFonts w:ascii="Arial" w:hAnsi="Arial" w:eastAsia="Arial" w:cs="Arial"/>
      <w:i/>
      <w:iCs/>
      <w:sz w:val="22"/>
      <w:szCs w:val="22"/>
    </w:rPr>
  </w:style>
  <w:style w:type="paragraph" w:styleId="829">
    <w:name w:val="Heading 9"/>
    <w:basedOn w:val="864"/>
    <w:next w:val="864"/>
    <w:link w:val="830"/>
    <w:uiPriority w:val="9"/>
    <w:unhideWhenUsed/>
    <w:qFormat/>
    <w:pPr>
      <w:keepLines/>
      <w:keepNext/>
      <w:spacing w:before="320" w:after="200"/>
      <w:outlineLvl w:val="8"/>
    </w:pPr>
    <w:rPr>
      <w:rFonts w:ascii="Arial" w:hAnsi="Arial" w:eastAsia="Arial" w:cs="Arial"/>
      <w:i/>
      <w:iCs/>
      <w:sz w:val="21"/>
      <w:szCs w:val="21"/>
    </w:rPr>
  </w:style>
  <w:style w:type="character" w:styleId="830">
    <w:name w:val="Heading 9 Char"/>
    <w:link w:val="829"/>
    <w:uiPriority w:val="9"/>
    <w:rPr>
      <w:rFonts w:ascii="Arial" w:hAnsi="Arial" w:eastAsia="Arial" w:cs="Arial"/>
      <w:i/>
      <w:iCs/>
      <w:sz w:val="21"/>
      <w:szCs w:val="21"/>
    </w:rPr>
  </w:style>
  <w:style w:type="paragraph" w:styleId="831">
    <w:name w:val="List Paragraph"/>
    <w:basedOn w:val="864"/>
    <w:uiPriority w:val="34"/>
    <w:qFormat/>
    <w:pPr>
      <w:contextualSpacing/>
      <w:ind w:left="720"/>
    </w:pPr>
  </w:style>
  <w:style w:type="paragraph" w:styleId="832">
    <w:name w:val="No Spacing"/>
    <w:uiPriority w:val="1"/>
    <w:qFormat/>
    <w:pPr>
      <w:spacing w:before="0" w:after="0" w:line="240" w:lineRule="auto"/>
    </w:pPr>
  </w:style>
  <w:style w:type="paragraph" w:styleId="833">
    <w:name w:val="Title"/>
    <w:basedOn w:val="864"/>
    <w:next w:val="864"/>
    <w:link w:val="834"/>
    <w:uiPriority w:val="10"/>
    <w:qFormat/>
    <w:pPr>
      <w:contextualSpacing/>
      <w:spacing w:before="300" w:after="200"/>
    </w:pPr>
    <w:rPr>
      <w:sz w:val="48"/>
      <w:szCs w:val="48"/>
    </w:rPr>
  </w:style>
  <w:style w:type="character" w:styleId="834">
    <w:name w:val="Title Char"/>
    <w:link w:val="833"/>
    <w:uiPriority w:val="10"/>
    <w:rPr>
      <w:sz w:val="48"/>
      <w:szCs w:val="48"/>
    </w:rPr>
  </w:style>
  <w:style w:type="paragraph" w:styleId="835">
    <w:name w:val="Subtitle"/>
    <w:basedOn w:val="864"/>
    <w:next w:val="864"/>
    <w:link w:val="836"/>
    <w:uiPriority w:val="11"/>
    <w:qFormat/>
    <w:pPr>
      <w:spacing w:before="200" w:after="200"/>
    </w:pPr>
    <w:rPr>
      <w:sz w:val="24"/>
      <w:szCs w:val="24"/>
    </w:rPr>
  </w:style>
  <w:style w:type="character" w:styleId="836">
    <w:name w:val="Subtitle Char"/>
    <w:link w:val="835"/>
    <w:uiPriority w:val="11"/>
    <w:rPr>
      <w:sz w:val="24"/>
      <w:szCs w:val="24"/>
    </w:rPr>
  </w:style>
  <w:style w:type="paragraph" w:styleId="837">
    <w:name w:val="Quote"/>
    <w:basedOn w:val="864"/>
    <w:next w:val="864"/>
    <w:link w:val="838"/>
    <w:uiPriority w:val="29"/>
    <w:qFormat/>
    <w:pPr>
      <w:ind w:left="720" w:right="720"/>
    </w:pPr>
    <w:rPr>
      <w:i/>
    </w:rPr>
  </w:style>
  <w:style w:type="character" w:styleId="838">
    <w:name w:val="Quote Char"/>
    <w:link w:val="837"/>
    <w:uiPriority w:val="29"/>
    <w:rPr>
      <w:i/>
    </w:rPr>
  </w:style>
  <w:style w:type="paragraph" w:styleId="839">
    <w:name w:val="Intense Quote"/>
    <w:basedOn w:val="864"/>
    <w:next w:val="864"/>
    <w:link w:val="8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name w:val="Intense Quote Char"/>
    <w:link w:val="839"/>
    <w:uiPriority w:val="30"/>
    <w:rPr>
      <w:i/>
    </w:rPr>
  </w:style>
  <w:style w:type="paragraph" w:styleId="841">
    <w:name w:val="Header"/>
    <w:basedOn w:val="864"/>
    <w:link w:val="842"/>
    <w:uiPriority w:val="99"/>
    <w:unhideWhenUsed/>
    <w:pPr>
      <w:spacing w:after="0" w:line="240" w:lineRule="auto"/>
      <w:tabs>
        <w:tab w:val="center" w:pos="7143" w:leader="none"/>
        <w:tab w:val="right" w:pos="14287" w:leader="none"/>
      </w:tabs>
    </w:pPr>
  </w:style>
  <w:style w:type="character" w:styleId="842">
    <w:name w:val="Header Char"/>
    <w:link w:val="841"/>
    <w:uiPriority w:val="99"/>
  </w:style>
  <w:style w:type="paragraph" w:styleId="843">
    <w:name w:val="Footer"/>
    <w:basedOn w:val="864"/>
    <w:link w:val="845"/>
    <w:uiPriority w:val="99"/>
    <w:unhideWhenUsed/>
    <w:pPr>
      <w:spacing w:after="0" w:line="240" w:lineRule="auto"/>
      <w:tabs>
        <w:tab w:val="center" w:pos="7143" w:leader="none"/>
        <w:tab w:val="right" w:pos="14287" w:leader="none"/>
      </w:tabs>
    </w:pPr>
  </w:style>
  <w:style w:type="paragraph" w:styleId="844">
    <w:name w:val="Caption"/>
    <w:basedOn w:val="864"/>
    <w:next w:val="864"/>
    <w:uiPriority w:val="35"/>
    <w:semiHidden/>
    <w:unhideWhenUsed/>
    <w:qFormat/>
    <w:pPr>
      <w:spacing w:line="276" w:lineRule="auto"/>
    </w:pPr>
    <w:rPr>
      <w:b/>
      <w:bCs/>
      <w:color w:val="4f81bd" w:themeColor="accent1"/>
      <w:sz w:val="18"/>
      <w:szCs w:val="18"/>
    </w:rPr>
  </w:style>
  <w:style w:type="character" w:styleId="845">
    <w:name w:val="Caption Char"/>
    <w:basedOn w:val="844"/>
    <w:link w:val="843"/>
    <w:uiPriority w:val="99"/>
  </w:style>
  <w:style w:type="table" w:styleId="84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7">
    <w:name w:val="Hyperlink"/>
    <w:uiPriority w:val="99"/>
    <w:unhideWhenUsed/>
    <w:rPr>
      <w:color w:val="0000ff" w:themeColor="hyperlink"/>
      <w:u w:val="single"/>
    </w:rPr>
  </w:style>
  <w:style w:type="paragraph" w:styleId="848">
    <w:name w:val="footnote text"/>
    <w:basedOn w:val="864"/>
    <w:link w:val="849"/>
    <w:uiPriority w:val="99"/>
    <w:semiHidden/>
    <w:unhideWhenUsed/>
    <w:pPr>
      <w:spacing w:after="40" w:line="240" w:lineRule="auto"/>
    </w:pPr>
    <w:rPr>
      <w:sz w:val="18"/>
    </w:rPr>
  </w:style>
  <w:style w:type="character" w:styleId="849">
    <w:name w:val="Footnote Text Char"/>
    <w:link w:val="848"/>
    <w:uiPriority w:val="99"/>
    <w:rPr>
      <w:sz w:val="18"/>
    </w:rPr>
  </w:style>
  <w:style w:type="character" w:styleId="850">
    <w:name w:val="footnote reference"/>
    <w:uiPriority w:val="99"/>
    <w:unhideWhenUsed/>
    <w:rPr>
      <w:vertAlign w:val="superscript"/>
    </w:rPr>
  </w:style>
  <w:style w:type="paragraph" w:styleId="851">
    <w:name w:val="endnote text"/>
    <w:basedOn w:val="864"/>
    <w:link w:val="852"/>
    <w:uiPriority w:val="99"/>
    <w:semiHidden/>
    <w:unhideWhenUsed/>
    <w:pPr>
      <w:spacing w:after="0" w:line="240" w:lineRule="auto"/>
    </w:pPr>
    <w:rPr>
      <w:sz w:val="20"/>
    </w:rPr>
  </w:style>
  <w:style w:type="character" w:styleId="852">
    <w:name w:val="Endnote Text Char"/>
    <w:link w:val="851"/>
    <w:uiPriority w:val="99"/>
    <w:rPr>
      <w:sz w:val="20"/>
    </w:rPr>
  </w:style>
  <w:style w:type="character" w:styleId="853">
    <w:name w:val="endnote reference"/>
    <w:uiPriority w:val="99"/>
    <w:semiHidden/>
    <w:unhideWhenUsed/>
    <w:rPr>
      <w:vertAlign w:val="superscript"/>
    </w:rPr>
  </w:style>
  <w:style w:type="paragraph" w:styleId="854">
    <w:name w:val="toc 1"/>
    <w:basedOn w:val="864"/>
    <w:next w:val="864"/>
    <w:uiPriority w:val="39"/>
    <w:unhideWhenUsed/>
    <w:pPr>
      <w:ind w:left="0" w:right="0" w:firstLine="0"/>
      <w:spacing w:after="57"/>
    </w:pPr>
  </w:style>
  <w:style w:type="paragraph" w:styleId="855">
    <w:name w:val="toc 2"/>
    <w:basedOn w:val="864"/>
    <w:next w:val="864"/>
    <w:uiPriority w:val="39"/>
    <w:unhideWhenUsed/>
    <w:pPr>
      <w:ind w:left="283" w:right="0" w:firstLine="0"/>
      <w:spacing w:after="57"/>
    </w:pPr>
  </w:style>
  <w:style w:type="paragraph" w:styleId="856">
    <w:name w:val="toc 3"/>
    <w:basedOn w:val="864"/>
    <w:next w:val="864"/>
    <w:uiPriority w:val="39"/>
    <w:unhideWhenUsed/>
    <w:pPr>
      <w:ind w:left="567" w:right="0" w:firstLine="0"/>
      <w:spacing w:after="57"/>
    </w:pPr>
  </w:style>
  <w:style w:type="paragraph" w:styleId="857">
    <w:name w:val="toc 4"/>
    <w:basedOn w:val="864"/>
    <w:next w:val="864"/>
    <w:uiPriority w:val="39"/>
    <w:unhideWhenUsed/>
    <w:pPr>
      <w:ind w:left="850" w:right="0" w:firstLine="0"/>
      <w:spacing w:after="57"/>
    </w:pPr>
  </w:style>
  <w:style w:type="paragraph" w:styleId="858">
    <w:name w:val="toc 5"/>
    <w:basedOn w:val="864"/>
    <w:next w:val="864"/>
    <w:uiPriority w:val="39"/>
    <w:unhideWhenUsed/>
    <w:pPr>
      <w:ind w:left="1134" w:right="0" w:firstLine="0"/>
      <w:spacing w:after="57"/>
    </w:pPr>
  </w:style>
  <w:style w:type="paragraph" w:styleId="859">
    <w:name w:val="toc 6"/>
    <w:basedOn w:val="864"/>
    <w:next w:val="864"/>
    <w:uiPriority w:val="39"/>
    <w:unhideWhenUsed/>
    <w:pPr>
      <w:ind w:left="1417" w:right="0" w:firstLine="0"/>
      <w:spacing w:after="57"/>
    </w:pPr>
  </w:style>
  <w:style w:type="paragraph" w:styleId="860">
    <w:name w:val="toc 7"/>
    <w:basedOn w:val="864"/>
    <w:next w:val="864"/>
    <w:uiPriority w:val="39"/>
    <w:unhideWhenUsed/>
    <w:pPr>
      <w:ind w:left="1701" w:right="0" w:firstLine="0"/>
      <w:spacing w:after="57"/>
    </w:pPr>
  </w:style>
  <w:style w:type="paragraph" w:styleId="861">
    <w:name w:val="toc 8"/>
    <w:basedOn w:val="864"/>
    <w:next w:val="864"/>
    <w:uiPriority w:val="39"/>
    <w:unhideWhenUsed/>
    <w:pPr>
      <w:ind w:left="1984" w:right="0" w:firstLine="0"/>
      <w:spacing w:after="57"/>
    </w:pPr>
  </w:style>
  <w:style w:type="paragraph" w:styleId="862">
    <w:name w:val="toc 9"/>
    <w:basedOn w:val="864"/>
    <w:next w:val="864"/>
    <w:uiPriority w:val="39"/>
    <w:unhideWhenUsed/>
    <w:pPr>
      <w:ind w:left="2268" w:right="0" w:firstLine="0"/>
      <w:spacing w:after="57"/>
    </w:pPr>
  </w:style>
  <w:style w:type="paragraph" w:styleId="863">
    <w:name w:val="table of figures"/>
    <w:basedOn w:val="864"/>
    <w:next w:val="864"/>
    <w:uiPriority w:val="99"/>
    <w:unhideWhenUsed/>
    <w:pPr>
      <w:spacing w:after="0" w:afterAutospacing="0"/>
    </w:pPr>
  </w:style>
  <w:style w:type="paragraph" w:styleId="864" w:default="1">
    <w:name w:val="Normal"/>
    <w:next w:val="876"/>
    <w:link w:val="864"/>
    <w:qFormat/>
    <w:pPr>
      <w:jc w:val="both"/>
      <w:widowControl w:val="off"/>
    </w:pPr>
    <w:rPr>
      <w:sz w:val="21"/>
      <w:szCs w:val="24"/>
      <w:lang w:val="en-US" w:eastAsia="zh-CN" w:bidi="ar-SA"/>
    </w:rPr>
  </w:style>
  <w:style w:type="paragraph" w:styleId="865">
    <w:name w:val="标题 1"/>
    <w:basedOn w:val="864"/>
    <w:next w:val="864"/>
    <w:link w:val="877"/>
    <w:uiPriority w:val="9"/>
    <w:qFormat/>
    <w:pPr>
      <w:keepLines/>
      <w:keepNext/>
      <w:spacing w:before="480" w:after="200"/>
      <w:outlineLvl w:val="0"/>
    </w:pPr>
    <w:rPr>
      <w:rFonts w:ascii="Arial" w:hAnsi="Arial" w:eastAsia="Arial" w:cs="Arial"/>
      <w:sz w:val="40"/>
      <w:szCs w:val="40"/>
    </w:rPr>
  </w:style>
  <w:style w:type="paragraph" w:styleId="866">
    <w:name w:val="标题 2"/>
    <w:basedOn w:val="864"/>
    <w:next w:val="864"/>
    <w:link w:val="878"/>
    <w:uiPriority w:val="9"/>
    <w:qFormat/>
    <w:pPr>
      <w:keepLines/>
      <w:keepNext/>
      <w:spacing w:before="360" w:after="200"/>
      <w:outlineLvl w:val="1"/>
    </w:pPr>
    <w:rPr>
      <w:rFonts w:ascii="Arial" w:hAnsi="Arial" w:eastAsia="Arial" w:cs="Arial"/>
      <w:sz w:val="34"/>
    </w:rPr>
  </w:style>
  <w:style w:type="paragraph" w:styleId="867">
    <w:name w:val="标题 3"/>
    <w:basedOn w:val="864"/>
    <w:next w:val="864"/>
    <w:link w:val="879"/>
    <w:uiPriority w:val="9"/>
    <w:qFormat/>
    <w:pPr>
      <w:keepLines/>
      <w:keepNext/>
      <w:spacing w:before="320" w:after="200"/>
      <w:outlineLvl w:val="2"/>
    </w:pPr>
    <w:rPr>
      <w:rFonts w:ascii="Arial" w:hAnsi="Arial" w:eastAsia="Arial" w:cs="Arial"/>
      <w:sz w:val="30"/>
      <w:szCs w:val="30"/>
    </w:rPr>
  </w:style>
  <w:style w:type="paragraph" w:styleId="868">
    <w:name w:val="标题 4"/>
    <w:basedOn w:val="864"/>
    <w:next w:val="864"/>
    <w:link w:val="880"/>
    <w:uiPriority w:val="9"/>
    <w:qFormat/>
    <w:pPr>
      <w:keepLines/>
      <w:keepNext/>
      <w:spacing w:before="320" w:after="200"/>
      <w:outlineLvl w:val="3"/>
    </w:pPr>
    <w:rPr>
      <w:rFonts w:ascii="Arial" w:hAnsi="Arial" w:eastAsia="Arial" w:cs="Arial"/>
      <w:b/>
      <w:bCs/>
      <w:sz w:val="26"/>
      <w:szCs w:val="26"/>
    </w:rPr>
  </w:style>
  <w:style w:type="paragraph" w:styleId="869">
    <w:name w:val="标题 5"/>
    <w:basedOn w:val="864"/>
    <w:next w:val="864"/>
    <w:link w:val="881"/>
    <w:uiPriority w:val="9"/>
    <w:qFormat/>
    <w:pPr>
      <w:keepLines/>
      <w:keepNext/>
      <w:spacing w:before="320" w:after="200"/>
      <w:outlineLvl w:val="4"/>
    </w:pPr>
    <w:rPr>
      <w:rFonts w:ascii="Arial" w:hAnsi="Arial" w:eastAsia="Arial" w:cs="Arial"/>
      <w:b/>
      <w:bCs/>
      <w:sz w:val="24"/>
      <w:szCs w:val="24"/>
    </w:rPr>
  </w:style>
  <w:style w:type="paragraph" w:styleId="870">
    <w:name w:val="标题 6"/>
    <w:basedOn w:val="864"/>
    <w:next w:val="864"/>
    <w:link w:val="882"/>
    <w:uiPriority w:val="9"/>
    <w:qFormat/>
    <w:pPr>
      <w:keepLines/>
      <w:keepNext/>
      <w:spacing w:before="320" w:after="200"/>
      <w:outlineLvl w:val="5"/>
    </w:pPr>
    <w:rPr>
      <w:rFonts w:ascii="Arial" w:hAnsi="Arial" w:eastAsia="Arial" w:cs="Arial"/>
      <w:b/>
      <w:bCs/>
      <w:sz w:val="22"/>
      <w:szCs w:val="22"/>
    </w:rPr>
  </w:style>
  <w:style w:type="paragraph" w:styleId="871">
    <w:name w:val="标题 7"/>
    <w:basedOn w:val="864"/>
    <w:next w:val="864"/>
    <w:link w:val="883"/>
    <w:uiPriority w:val="9"/>
    <w:qFormat/>
    <w:pPr>
      <w:keepLines/>
      <w:keepNext/>
      <w:spacing w:before="320" w:after="200"/>
      <w:outlineLvl w:val="6"/>
    </w:pPr>
    <w:rPr>
      <w:rFonts w:ascii="Arial" w:hAnsi="Arial" w:eastAsia="Arial" w:cs="Arial"/>
      <w:b/>
      <w:bCs/>
      <w:i/>
      <w:iCs/>
      <w:sz w:val="22"/>
      <w:szCs w:val="22"/>
    </w:rPr>
  </w:style>
  <w:style w:type="paragraph" w:styleId="872">
    <w:name w:val="标题 8"/>
    <w:basedOn w:val="864"/>
    <w:next w:val="864"/>
    <w:link w:val="884"/>
    <w:uiPriority w:val="9"/>
    <w:qFormat/>
    <w:pPr>
      <w:keepLines/>
      <w:keepNext/>
      <w:spacing w:before="320" w:after="200"/>
      <w:outlineLvl w:val="7"/>
    </w:pPr>
    <w:rPr>
      <w:rFonts w:ascii="Arial" w:hAnsi="Arial" w:eastAsia="Arial" w:cs="Arial"/>
      <w:i/>
      <w:iCs/>
      <w:sz w:val="22"/>
      <w:szCs w:val="22"/>
    </w:rPr>
  </w:style>
  <w:style w:type="paragraph" w:styleId="873">
    <w:name w:val="标题 9"/>
    <w:basedOn w:val="864"/>
    <w:next w:val="864"/>
    <w:link w:val="885"/>
    <w:uiPriority w:val="9"/>
    <w:qFormat/>
    <w:pPr>
      <w:keepLines/>
      <w:keepNext/>
      <w:spacing w:before="320" w:after="200"/>
      <w:outlineLvl w:val="8"/>
    </w:pPr>
    <w:rPr>
      <w:rFonts w:ascii="Arial" w:hAnsi="Arial" w:eastAsia="Arial" w:cs="Arial"/>
      <w:i/>
      <w:iCs/>
      <w:sz w:val="21"/>
      <w:szCs w:val="21"/>
    </w:rPr>
  </w:style>
  <w:style w:type="character" w:styleId="874">
    <w:name w:val="默认段落字体"/>
    <w:next w:val="874"/>
    <w:link w:val="864"/>
    <w:uiPriority w:val="1"/>
    <w:unhideWhenUsed/>
  </w:style>
  <w:style w:type="table" w:styleId="875">
    <w:name w:val="普通表格"/>
    <w:next w:val="875"/>
    <w:link w:val="864"/>
    <w:uiPriority w:val="99"/>
    <w:unhideWhenUsed/>
    <w:qFormat/>
    <w:tblPr/>
  </w:style>
  <w:style w:type="paragraph" w:styleId="876">
    <w:name w:val="首行缩进"/>
    <w:basedOn w:val="864"/>
    <w:next w:val="876"/>
    <w:link w:val="864"/>
    <w:qFormat/>
    <w:pPr>
      <w:ind w:firstLine="480"/>
      <w:jc w:val="left"/>
      <w:spacing w:line="360" w:lineRule="auto"/>
      <w:widowControl/>
    </w:pPr>
    <w:rPr>
      <w:rFonts w:ascii="宋体" w:hAnsi="宋体"/>
      <w:sz w:val="24"/>
    </w:rPr>
  </w:style>
  <w:style w:type="character" w:styleId="877">
    <w:name w:val="标题 1 字符1"/>
    <w:next w:val="877"/>
    <w:link w:val="865"/>
    <w:uiPriority w:val="9"/>
    <w:qFormat/>
    <w:rPr>
      <w:rFonts w:ascii="Arial" w:hAnsi="Arial" w:eastAsia="Arial" w:cs="Arial"/>
      <w:sz w:val="40"/>
      <w:szCs w:val="40"/>
    </w:rPr>
  </w:style>
  <w:style w:type="character" w:styleId="878">
    <w:name w:val="标题 2 字符1"/>
    <w:next w:val="878"/>
    <w:link w:val="866"/>
    <w:uiPriority w:val="9"/>
    <w:qFormat/>
    <w:rPr>
      <w:rFonts w:ascii="Arial" w:hAnsi="Arial" w:eastAsia="Arial" w:cs="Arial"/>
      <w:sz w:val="34"/>
    </w:rPr>
  </w:style>
  <w:style w:type="character" w:styleId="879">
    <w:name w:val="标题 3 字符1"/>
    <w:next w:val="879"/>
    <w:link w:val="867"/>
    <w:uiPriority w:val="9"/>
    <w:qFormat/>
    <w:rPr>
      <w:rFonts w:ascii="Arial" w:hAnsi="Arial" w:eastAsia="Arial" w:cs="Arial"/>
      <w:sz w:val="30"/>
      <w:szCs w:val="30"/>
    </w:rPr>
  </w:style>
  <w:style w:type="character" w:styleId="880">
    <w:name w:val="标题 4 字符1"/>
    <w:next w:val="880"/>
    <w:link w:val="868"/>
    <w:uiPriority w:val="9"/>
    <w:rPr>
      <w:rFonts w:ascii="Arial" w:hAnsi="Arial" w:eastAsia="Arial" w:cs="Arial"/>
      <w:b/>
      <w:bCs/>
      <w:sz w:val="26"/>
      <w:szCs w:val="26"/>
    </w:rPr>
  </w:style>
  <w:style w:type="character" w:styleId="881">
    <w:name w:val="标题 5 字符1"/>
    <w:next w:val="881"/>
    <w:link w:val="869"/>
    <w:uiPriority w:val="9"/>
    <w:rPr>
      <w:rFonts w:ascii="Arial" w:hAnsi="Arial" w:eastAsia="Arial" w:cs="Arial"/>
      <w:b/>
      <w:bCs/>
      <w:sz w:val="24"/>
      <w:szCs w:val="24"/>
    </w:rPr>
  </w:style>
  <w:style w:type="character" w:styleId="882">
    <w:name w:val="标题 6 字符1"/>
    <w:next w:val="882"/>
    <w:link w:val="870"/>
    <w:uiPriority w:val="9"/>
    <w:rPr>
      <w:rFonts w:ascii="Arial" w:hAnsi="Arial" w:eastAsia="Arial" w:cs="Arial"/>
      <w:b/>
      <w:bCs/>
      <w:sz w:val="22"/>
      <w:szCs w:val="22"/>
    </w:rPr>
  </w:style>
  <w:style w:type="character" w:styleId="883">
    <w:name w:val="标题 7 字符1"/>
    <w:next w:val="883"/>
    <w:link w:val="871"/>
    <w:uiPriority w:val="9"/>
    <w:qFormat/>
    <w:rPr>
      <w:rFonts w:ascii="Arial" w:hAnsi="Arial" w:eastAsia="Arial" w:cs="Arial"/>
      <w:b/>
      <w:bCs/>
      <w:i/>
      <w:iCs/>
      <w:sz w:val="22"/>
      <w:szCs w:val="22"/>
    </w:rPr>
  </w:style>
  <w:style w:type="character" w:styleId="884">
    <w:name w:val="标题 8 字符1"/>
    <w:next w:val="884"/>
    <w:link w:val="872"/>
    <w:uiPriority w:val="9"/>
    <w:rPr>
      <w:rFonts w:ascii="Arial" w:hAnsi="Arial" w:eastAsia="Arial" w:cs="Arial"/>
      <w:i/>
      <w:iCs/>
      <w:sz w:val="22"/>
      <w:szCs w:val="22"/>
    </w:rPr>
  </w:style>
  <w:style w:type="character" w:styleId="885">
    <w:name w:val="标题 9 字符1"/>
    <w:next w:val="885"/>
    <w:link w:val="873"/>
    <w:uiPriority w:val="9"/>
    <w:rPr>
      <w:rFonts w:ascii="Arial" w:hAnsi="Arial" w:eastAsia="Arial" w:cs="Arial"/>
      <w:i/>
      <w:iCs/>
      <w:sz w:val="21"/>
      <w:szCs w:val="21"/>
    </w:rPr>
  </w:style>
  <w:style w:type="paragraph" w:styleId="886">
    <w:name w:val="目录 7"/>
    <w:basedOn w:val="864"/>
    <w:next w:val="864"/>
    <w:link w:val="864"/>
    <w:uiPriority w:val="39"/>
    <w:unhideWhenUsed/>
    <w:qFormat/>
    <w:pPr>
      <w:ind w:left="1701" w:right="0" w:firstLine="0"/>
      <w:spacing w:after="57"/>
    </w:pPr>
  </w:style>
  <w:style w:type="paragraph" w:styleId="887">
    <w:name w:val="题注"/>
    <w:basedOn w:val="864"/>
    <w:next w:val="864"/>
    <w:link w:val="864"/>
    <w:uiPriority w:val="35"/>
    <w:qFormat/>
    <w:pPr>
      <w:spacing w:line="276" w:lineRule="auto"/>
    </w:pPr>
    <w:rPr>
      <w:b/>
      <w:bCs/>
      <w:color w:val="4f81bd"/>
      <w:sz w:val="18"/>
      <w:szCs w:val="18"/>
    </w:rPr>
  </w:style>
  <w:style w:type="paragraph" w:styleId="888">
    <w:name w:val="批注文字"/>
    <w:basedOn w:val="864"/>
    <w:next w:val="888"/>
    <w:link w:val="864"/>
    <w:uiPriority w:val="99"/>
    <w:unhideWhenUsed/>
    <w:pPr>
      <w:jc w:val="left"/>
    </w:pPr>
  </w:style>
  <w:style w:type="paragraph" w:styleId="889">
    <w:name w:val="正文文本"/>
    <w:basedOn w:val="864"/>
    <w:next w:val="889"/>
    <w:link w:val="864"/>
    <w:qFormat/>
    <w:pPr>
      <w:contextualSpacing/>
      <w:ind w:firstLine="482"/>
      <w:spacing w:line="360" w:lineRule="auto"/>
      <w:tabs>
        <w:tab w:val="left" w:pos="5250" w:leader="none"/>
      </w:tabs>
    </w:pPr>
    <w:rPr>
      <w:rFonts w:ascii="宋体" w:hAnsi="宋体" w:eastAsia="宋体" w:cs="宋体"/>
      <w:b/>
      <w:sz w:val="24"/>
    </w:rPr>
  </w:style>
  <w:style w:type="paragraph" w:styleId="890">
    <w:name w:val="正文文本缩进"/>
    <w:basedOn w:val="864"/>
    <w:next w:val="864"/>
    <w:link w:val="864"/>
    <w:qFormat/>
    <w:pPr>
      <w:ind w:left="420" w:firstLine="1188"/>
      <w:spacing w:line="360" w:lineRule="exact"/>
    </w:pPr>
    <w:rPr>
      <w:rFonts w:ascii="Times New Roman" w:hAnsi="Times New Roman" w:cs="Times New Roman"/>
    </w:rPr>
  </w:style>
  <w:style w:type="paragraph" w:styleId="891">
    <w:name w:val="目录 5"/>
    <w:basedOn w:val="864"/>
    <w:next w:val="864"/>
    <w:link w:val="864"/>
    <w:uiPriority w:val="39"/>
    <w:unhideWhenUsed/>
    <w:pPr>
      <w:ind w:left="1134" w:right="0" w:firstLine="0"/>
      <w:spacing w:after="57"/>
    </w:pPr>
  </w:style>
  <w:style w:type="paragraph" w:styleId="892">
    <w:name w:val="目录 3"/>
    <w:basedOn w:val="864"/>
    <w:next w:val="864"/>
    <w:link w:val="864"/>
    <w:uiPriority w:val="39"/>
    <w:unhideWhenUsed/>
    <w:qFormat/>
    <w:pPr>
      <w:ind w:left="567" w:right="0" w:firstLine="0"/>
      <w:spacing w:after="57"/>
    </w:pPr>
  </w:style>
  <w:style w:type="paragraph" w:styleId="893">
    <w:name w:val="纯文本"/>
    <w:basedOn w:val="864"/>
    <w:next w:val="893"/>
    <w:link w:val="864"/>
    <w:qFormat/>
    <w:rPr>
      <w:rFonts w:hint="eastAsia" w:ascii="宋体" w:hAnsi="Courier New" w:eastAsia="楷体_GB2312" w:cs="Times New Roman"/>
      <w:sz w:val="28"/>
      <w:szCs w:val="20"/>
    </w:rPr>
  </w:style>
  <w:style w:type="paragraph" w:styleId="894">
    <w:name w:val="目录 8"/>
    <w:basedOn w:val="864"/>
    <w:next w:val="864"/>
    <w:link w:val="864"/>
    <w:uiPriority w:val="39"/>
    <w:unhideWhenUsed/>
    <w:qFormat/>
    <w:pPr>
      <w:ind w:left="1984" w:right="0" w:firstLine="0"/>
      <w:spacing w:after="57"/>
    </w:pPr>
  </w:style>
  <w:style w:type="paragraph" w:styleId="895">
    <w:name w:val="尾注文本"/>
    <w:basedOn w:val="864"/>
    <w:next w:val="895"/>
    <w:link w:val="896"/>
    <w:uiPriority w:val="99"/>
    <w:unhideWhenUsed/>
    <w:qFormat/>
    <w:pPr>
      <w:spacing w:after="0" w:line="240" w:lineRule="auto"/>
    </w:pPr>
    <w:rPr>
      <w:sz w:val="20"/>
    </w:rPr>
  </w:style>
  <w:style w:type="character" w:styleId="896">
    <w:name w:val="尾注文本 字符"/>
    <w:next w:val="896"/>
    <w:link w:val="895"/>
    <w:uiPriority w:val="99"/>
    <w:qFormat/>
    <w:rPr>
      <w:sz w:val="20"/>
    </w:rPr>
  </w:style>
  <w:style w:type="paragraph" w:styleId="897">
    <w:name w:val="页脚"/>
    <w:basedOn w:val="864"/>
    <w:next w:val="897"/>
    <w:link w:val="898"/>
    <w:uiPriority w:val="99"/>
    <w:unhideWhenUsed/>
    <w:qFormat/>
    <w:pPr>
      <w:spacing w:after="0" w:line="240" w:lineRule="auto"/>
      <w:tabs>
        <w:tab w:val="center" w:pos="7143" w:leader="none"/>
        <w:tab w:val="right" w:pos="14287" w:leader="none"/>
      </w:tabs>
    </w:pPr>
  </w:style>
  <w:style w:type="character" w:styleId="898">
    <w:name w:val="页脚 字符2"/>
    <w:next w:val="898"/>
    <w:link w:val="897"/>
    <w:uiPriority w:val="99"/>
    <w:qFormat/>
  </w:style>
  <w:style w:type="paragraph" w:styleId="899">
    <w:name w:val="页眉"/>
    <w:basedOn w:val="864"/>
    <w:next w:val="899"/>
    <w:link w:val="900"/>
    <w:uiPriority w:val="99"/>
    <w:unhideWhenUsed/>
    <w:qFormat/>
    <w:pPr>
      <w:spacing w:after="0" w:line="240" w:lineRule="auto"/>
      <w:tabs>
        <w:tab w:val="center" w:pos="7143" w:leader="none"/>
        <w:tab w:val="right" w:pos="14287" w:leader="none"/>
      </w:tabs>
    </w:pPr>
  </w:style>
  <w:style w:type="character" w:styleId="900">
    <w:name w:val="页眉 字符1"/>
    <w:next w:val="900"/>
    <w:link w:val="899"/>
    <w:uiPriority w:val="99"/>
    <w:qFormat/>
  </w:style>
  <w:style w:type="paragraph" w:styleId="901">
    <w:name w:val="目录 1"/>
    <w:basedOn w:val="864"/>
    <w:next w:val="864"/>
    <w:link w:val="864"/>
    <w:uiPriority w:val="39"/>
    <w:unhideWhenUsed/>
    <w:qFormat/>
    <w:pPr>
      <w:ind w:left="0" w:right="0" w:firstLine="0"/>
      <w:spacing w:after="57"/>
    </w:pPr>
  </w:style>
  <w:style w:type="paragraph" w:styleId="902">
    <w:name w:val="目录 4"/>
    <w:basedOn w:val="864"/>
    <w:next w:val="864"/>
    <w:link w:val="864"/>
    <w:uiPriority w:val="39"/>
    <w:unhideWhenUsed/>
    <w:qFormat/>
    <w:pPr>
      <w:ind w:left="850" w:right="0" w:firstLine="0"/>
      <w:spacing w:after="57"/>
    </w:pPr>
  </w:style>
  <w:style w:type="paragraph" w:styleId="903">
    <w:name w:val="副标题"/>
    <w:basedOn w:val="864"/>
    <w:next w:val="864"/>
    <w:link w:val="904"/>
    <w:uiPriority w:val="11"/>
    <w:qFormat/>
    <w:pPr>
      <w:spacing w:before="200" w:after="200"/>
    </w:pPr>
    <w:rPr>
      <w:sz w:val="24"/>
      <w:szCs w:val="24"/>
    </w:rPr>
  </w:style>
  <w:style w:type="character" w:styleId="904">
    <w:name w:val="副标题 字符1"/>
    <w:next w:val="904"/>
    <w:link w:val="903"/>
    <w:uiPriority w:val="11"/>
    <w:qFormat/>
    <w:rPr>
      <w:sz w:val="24"/>
      <w:szCs w:val="24"/>
    </w:rPr>
  </w:style>
  <w:style w:type="paragraph" w:styleId="905">
    <w:name w:val="脚注文本"/>
    <w:basedOn w:val="864"/>
    <w:next w:val="905"/>
    <w:link w:val="906"/>
    <w:uiPriority w:val="99"/>
    <w:unhideWhenUsed/>
    <w:qFormat/>
    <w:pPr>
      <w:spacing w:after="40" w:line="240" w:lineRule="auto"/>
    </w:pPr>
    <w:rPr>
      <w:sz w:val="18"/>
    </w:rPr>
  </w:style>
  <w:style w:type="character" w:styleId="906">
    <w:name w:val="脚注文本 字符"/>
    <w:next w:val="906"/>
    <w:link w:val="905"/>
    <w:uiPriority w:val="99"/>
    <w:qFormat/>
    <w:rPr>
      <w:sz w:val="18"/>
    </w:rPr>
  </w:style>
  <w:style w:type="paragraph" w:styleId="907">
    <w:name w:val="目录 6"/>
    <w:basedOn w:val="864"/>
    <w:next w:val="864"/>
    <w:link w:val="864"/>
    <w:uiPriority w:val="39"/>
    <w:unhideWhenUsed/>
    <w:pPr>
      <w:ind w:left="1417" w:right="0" w:firstLine="0"/>
      <w:spacing w:after="57"/>
    </w:pPr>
  </w:style>
  <w:style w:type="paragraph" w:styleId="908">
    <w:name w:val="图表目录"/>
    <w:basedOn w:val="864"/>
    <w:next w:val="864"/>
    <w:link w:val="864"/>
    <w:uiPriority w:val="99"/>
    <w:unhideWhenUsed/>
    <w:qFormat/>
    <w:pPr>
      <w:spacing w:after="0" w:afterAutospacing="0"/>
    </w:pPr>
  </w:style>
  <w:style w:type="paragraph" w:styleId="909">
    <w:name w:val="目录 2"/>
    <w:basedOn w:val="864"/>
    <w:next w:val="864"/>
    <w:link w:val="864"/>
    <w:uiPriority w:val="39"/>
    <w:unhideWhenUsed/>
    <w:qFormat/>
    <w:pPr>
      <w:ind w:left="283" w:right="0" w:firstLine="0"/>
      <w:spacing w:after="57"/>
    </w:pPr>
  </w:style>
  <w:style w:type="paragraph" w:styleId="910">
    <w:name w:val="目录 9"/>
    <w:basedOn w:val="864"/>
    <w:next w:val="864"/>
    <w:link w:val="864"/>
    <w:uiPriority w:val="39"/>
    <w:unhideWhenUsed/>
    <w:qFormat/>
    <w:pPr>
      <w:ind w:left="2268" w:right="0" w:firstLine="0"/>
      <w:spacing w:after="57"/>
    </w:pPr>
  </w:style>
  <w:style w:type="paragraph" w:styleId="911">
    <w:name w:val="标题"/>
    <w:basedOn w:val="864"/>
    <w:next w:val="864"/>
    <w:link w:val="912"/>
    <w:uiPriority w:val="10"/>
    <w:qFormat/>
    <w:pPr>
      <w:contextualSpacing/>
      <w:spacing w:before="300" w:after="200"/>
    </w:pPr>
    <w:rPr>
      <w:sz w:val="48"/>
      <w:szCs w:val="48"/>
    </w:rPr>
  </w:style>
  <w:style w:type="character" w:styleId="912">
    <w:name w:val="标题 字符1"/>
    <w:next w:val="912"/>
    <w:link w:val="911"/>
    <w:uiPriority w:val="10"/>
    <w:qFormat/>
    <w:rPr>
      <w:sz w:val="48"/>
      <w:szCs w:val="48"/>
    </w:rPr>
  </w:style>
  <w:style w:type="table" w:styleId="913">
    <w:name w:val="网格型"/>
    <w:next w:val="913"/>
    <w:link w:val="864"/>
    <w:uiPriority w:val="59"/>
    <w:rPr>
      <w:lang w:val="en-US" w:eastAsia="zh-CN" w:bidi="ar-SA"/>
    </w:rPr>
    <w:tblPr/>
  </w:style>
  <w:style w:type="character" w:styleId="914">
    <w:name w:val="要点"/>
    <w:basedOn w:val="874"/>
    <w:next w:val="914"/>
    <w:link w:val="864"/>
    <w:uiPriority w:val="22"/>
    <w:qFormat/>
    <w:rPr>
      <w:b/>
    </w:rPr>
  </w:style>
  <w:style w:type="character" w:styleId="915">
    <w:name w:val="尾注引用"/>
    <w:next w:val="915"/>
    <w:link w:val="864"/>
    <w:uiPriority w:val="99"/>
    <w:unhideWhenUsed/>
    <w:qFormat/>
    <w:rPr>
      <w:vertAlign w:val="superscript"/>
    </w:rPr>
  </w:style>
  <w:style w:type="character" w:styleId="916">
    <w:name w:val="超链接"/>
    <w:next w:val="916"/>
    <w:link w:val="864"/>
    <w:uiPriority w:val="99"/>
    <w:unhideWhenUsed/>
    <w:rPr>
      <w:color w:val="0000ff"/>
      <w:u w:val="single"/>
    </w:rPr>
  </w:style>
  <w:style w:type="character" w:styleId="917">
    <w:name w:val="脚注引用"/>
    <w:next w:val="917"/>
    <w:link w:val="864"/>
    <w:uiPriority w:val="99"/>
    <w:unhideWhenUsed/>
    <w:qFormat/>
    <w:rPr>
      <w:vertAlign w:val="superscript"/>
    </w:rPr>
  </w:style>
  <w:style w:type="character" w:styleId="918">
    <w:name w:val="Footer Char"/>
    <w:next w:val="918"/>
    <w:link w:val="897"/>
    <w:uiPriority w:val="99"/>
    <w:qFormat/>
  </w:style>
  <w:style w:type="paragraph" w:styleId="919">
    <w:name w:val="表格内容"/>
    <w:basedOn w:val="864"/>
    <w:next w:val="919"/>
    <w:link w:val="864"/>
    <w:qFormat/>
    <w:pPr>
      <w:jc w:val="center"/>
      <w:widowControl/>
    </w:pPr>
    <w:rPr>
      <w:szCs w:val="22"/>
    </w:rPr>
  </w:style>
  <w:style w:type="character" w:styleId="920">
    <w:name w:val="正文缩进 Char"/>
    <w:next w:val="920"/>
    <w:link w:val="864"/>
    <w:qFormat/>
    <w:rPr>
      <w:rFonts w:eastAsia="楷体_GB2312"/>
      <w:sz w:val="24"/>
    </w:rPr>
  </w:style>
  <w:style w:type="paragraph" w:styleId="921">
    <w:name w:val="无间隔"/>
    <w:next w:val="921"/>
    <w:link w:val="864"/>
    <w:uiPriority w:val="1"/>
    <w:qFormat/>
    <w:rPr>
      <w:lang w:val="en-US" w:eastAsia="zh-CN" w:bidi="ar-SA"/>
    </w:rPr>
  </w:style>
  <w:style w:type="paragraph" w:styleId="922">
    <w:name w:val="引用"/>
    <w:basedOn w:val="864"/>
    <w:next w:val="864"/>
    <w:link w:val="923"/>
    <w:uiPriority w:val="29"/>
    <w:qFormat/>
    <w:pPr>
      <w:ind w:left="720" w:right="720"/>
    </w:pPr>
    <w:rPr>
      <w:i/>
    </w:rPr>
  </w:style>
  <w:style w:type="character" w:styleId="923">
    <w:name w:val="引用 字符"/>
    <w:next w:val="923"/>
    <w:link w:val="922"/>
    <w:uiPriority w:val="29"/>
    <w:qFormat/>
    <w:rPr>
      <w:i/>
    </w:rPr>
  </w:style>
  <w:style w:type="paragraph" w:styleId="924">
    <w:name w:val="明显引用"/>
    <w:basedOn w:val="864"/>
    <w:next w:val="864"/>
    <w:link w:val="9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5">
    <w:name w:val="明显引用 字符"/>
    <w:next w:val="925"/>
    <w:link w:val="924"/>
    <w:uiPriority w:val="30"/>
    <w:qFormat/>
    <w:rPr>
      <w:i/>
    </w:rPr>
  </w:style>
  <w:style w:type="table" w:styleId="926">
    <w:name w:val="Table Grid Light"/>
    <w:next w:val="926"/>
    <w:link w:val="864"/>
    <w:uiPriority w:val="59"/>
    <w:qFormat/>
    <w:rPr>
      <w:lang w:val="en-US" w:eastAsia="zh-CN" w:bidi="ar-SA"/>
    </w:rPr>
    <w:tblPr/>
  </w:style>
  <w:style w:type="table" w:styleId="927">
    <w:name w:val="Plain Table 1"/>
    <w:next w:val="927"/>
    <w:link w:val="864"/>
    <w:uiPriority w:val="59"/>
    <w:qFormat/>
    <w:rPr>
      <w:lang w:val="en-US" w:eastAsia="zh-CN" w:bidi="ar-SA"/>
    </w:rPr>
    <w:tblPr/>
  </w:style>
  <w:style w:type="table" w:styleId="928">
    <w:name w:val="Plain Table 2"/>
    <w:next w:val="928"/>
    <w:link w:val="864"/>
    <w:uiPriority w:val="59"/>
    <w:rPr>
      <w:lang w:val="en-US" w:eastAsia="zh-CN" w:bidi="ar-SA"/>
    </w:rPr>
    <w:tblPr/>
  </w:style>
  <w:style w:type="table" w:styleId="929">
    <w:name w:val="Plain Table 3"/>
    <w:next w:val="929"/>
    <w:link w:val="864"/>
    <w:uiPriority w:val="99"/>
    <w:qFormat/>
    <w:rPr>
      <w:lang w:val="en-US" w:eastAsia="zh-CN" w:bidi="ar-SA"/>
    </w:rPr>
    <w:tblPr/>
  </w:style>
  <w:style w:type="table" w:styleId="930">
    <w:name w:val="Plain Table 4"/>
    <w:next w:val="930"/>
    <w:link w:val="864"/>
    <w:uiPriority w:val="99"/>
    <w:qFormat/>
    <w:rPr>
      <w:lang w:val="en-US" w:eastAsia="zh-CN" w:bidi="ar-SA"/>
    </w:rPr>
    <w:tblPr/>
  </w:style>
  <w:style w:type="table" w:styleId="931">
    <w:name w:val="Plain Table 5"/>
    <w:next w:val="931"/>
    <w:link w:val="864"/>
    <w:uiPriority w:val="99"/>
    <w:qFormat/>
    <w:rPr>
      <w:lang w:val="en-US" w:eastAsia="zh-CN" w:bidi="ar-SA"/>
    </w:rPr>
    <w:tblPr/>
  </w:style>
  <w:style w:type="table" w:styleId="932">
    <w:name w:val="Grid Table 1 Light"/>
    <w:next w:val="932"/>
    <w:link w:val="864"/>
    <w:uiPriority w:val="99"/>
    <w:rPr>
      <w:lang w:val="en-US" w:eastAsia="zh-CN" w:bidi="ar-SA"/>
    </w:rPr>
    <w:tblPr/>
  </w:style>
  <w:style w:type="table" w:styleId="933">
    <w:name w:val="Grid Table 1 Light - Accent 1"/>
    <w:next w:val="933"/>
    <w:link w:val="864"/>
    <w:uiPriority w:val="99"/>
    <w:qFormat/>
    <w:rPr>
      <w:lang w:val="en-US" w:eastAsia="zh-CN" w:bidi="ar-SA"/>
    </w:rPr>
    <w:tblPr/>
  </w:style>
  <w:style w:type="table" w:styleId="934">
    <w:name w:val="Grid Table 1 Light - Accent 2"/>
    <w:next w:val="934"/>
    <w:link w:val="864"/>
    <w:uiPriority w:val="99"/>
    <w:qFormat/>
    <w:rPr>
      <w:lang w:val="en-US" w:eastAsia="zh-CN" w:bidi="ar-SA"/>
    </w:rPr>
    <w:tblPr/>
  </w:style>
  <w:style w:type="table" w:styleId="935">
    <w:name w:val="Grid Table 1 Light - Accent 3"/>
    <w:next w:val="935"/>
    <w:link w:val="864"/>
    <w:uiPriority w:val="99"/>
    <w:qFormat/>
    <w:rPr>
      <w:lang w:val="en-US" w:eastAsia="zh-CN" w:bidi="ar-SA"/>
    </w:rPr>
    <w:tblPr/>
  </w:style>
  <w:style w:type="table" w:styleId="936">
    <w:name w:val="Grid Table 1 Light - Accent 4"/>
    <w:next w:val="936"/>
    <w:link w:val="864"/>
    <w:uiPriority w:val="99"/>
    <w:qFormat/>
    <w:rPr>
      <w:lang w:val="en-US" w:eastAsia="zh-CN" w:bidi="ar-SA"/>
    </w:rPr>
    <w:tblPr/>
  </w:style>
  <w:style w:type="table" w:styleId="937">
    <w:name w:val="Grid Table 1 Light - Accent 5"/>
    <w:next w:val="937"/>
    <w:link w:val="864"/>
    <w:uiPriority w:val="99"/>
    <w:qFormat/>
    <w:rPr>
      <w:lang w:val="en-US" w:eastAsia="zh-CN" w:bidi="ar-SA"/>
    </w:rPr>
    <w:tblPr/>
  </w:style>
  <w:style w:type="table" w:styleId="938">
    <w:name w:val="Grid Table 1 Light - Accent 6"/>
    <w:next w:val="938"/>
    <w:link w:val="864"/>
    <w:uiPriority w:val="99"/>
    <w:qFormat/>
    <w:rPr>
      <w:lang w:val="en-US" w:eastAsia="zh-CN" w:bidi="ar-SA"/>
    </w:rPr>
    <w:tblPr/>
  </w:style>
  <w:style w:type="table" w:styleId="939">
    <w:name w:val="Grid Table 2"/>
    <w:next w:val="939"/>
    <w:link w:val="864"/>
    <w:uiPriority w:val="99"/>
    <w:qFormat/>
    <w:rPr>
      <w:lang w:val="en-US" w:eastAsia="zh-CN" w:bidi="ar-SA"/>
    </w:rPr>
    <w:tblPr/>
  </w:style>
  <w:style w:type="table" w:styleId="940">
    <w:name w:val="Grid Table 2 - Accent 1"/>
    <w:next w:val="940"/>
    <w:link w:val="864"/>
    <w:uiPriority w:val="99"/>
    <w:qFormat/>
    <w:rPr>
      <w:lang w:val="en-US" w:eastAsia="zh-CN" w:bidi="ar-SA"/>
    </w:rPr>
    <w:tblPr/>
  </w:style>
  <w:style w:type="table" w:styleId="941">
    <w:name w:val="Grid Table 2 - Accent 2"/>
    <w:next w:val="941"/>
    <w:link w:val="864"/>
    <w:uiPriority w:val="99"/>
    <w:qFormat/>
    <w:rPr>
      <w:lang w:val="en-US" w:eastAsia="zh-CN" w:bidi="ar-SA"/>
    </w:rPr>
    <w:tblPr/>
  </w:style>
  <w:style w:type="table" w:styleId="942">
    <w:name w:val="Grid Table 2 - Accent 3"/>
    <w:next w:val="942"/>
    <w:link w:val="864"/>
    <w:uiPriority w:val="99"/>
    <w:rPr>
      <w:lang w:val="en-US" w:eastAsia="zh-CN" w:bidi="ar-SA"/>
    </w:rPr>
    <w:tblPr/>
  </w:style>
  <w:style w:type="table" w:styleId="943">
    <w:name w:val="Grid Table 2 - Accent 4"/>
    <w:next w:val="943"/>
    <w:link w:val="864"/>
    <w:uiPriority w:val="99"/>
    <w:qFormat/>
    <w:rPr>
      <w:lang w:val="en-US" w:eastAsia="zh-CN" w:bidi="ar-SA"/>
    </w:rPr>
    <w:tblPr/>
  </w:style>
  <w:style w:type="table" w:styleId="944">
    <w:name w:val="Grid Table 2 - Accent 5"/>
    <w:next w:val="944"/>
    <w:link w:val="864"/>
    <w:uiPriority w:val="99"/>
    <w:qFormat/>
    <w:rPr>
      <w:lang w:val="en-US" w:eastAsia="zh-CN" w:bidi="ar-SA"/>
    </w:rPr>
    <w:tblPr/>
  </w:style>
  <w:style w:type="table" w:styleId="945">
    <w:name w:val="Grid Table 2 - Accent 6"/>
    <w:next w:val="945"/>
    <w:link w:val="864"/>
    <w:uiPriority w:val="99"/>
    <w:qFormat/>
    <w:rPr>
      <w:lang w:val="en-US" w:eastAsia="zh-CN" w:bidi="ar-SA"/>
    </w:rPr>
    <w:tblPr/>
  </w:style>
  <w:style w:type="table" w:styleId="946">
    <w:name w:val="Grid Table 3"/>
    <w:next w:val="946"/>
    <w:link w:val="864"/>
    <w:uiPriority w:val="99"/>
    <w:qFormat/>
    <w:rPr>
      <w:lang w:val="en-US" w:eastAsia="zh-CN" w:bidi="ar-SA"/>
    </w:rPr>
    <w:tblPr/>
  </w:style>
  <w:style w:type="table" w:styleId="947">
    <w:name w:val="Grid Table 3 - Accent 1"/>
    <w:next w:val="947"/>
    <w:link w:val="864"/>
    <w:uiPriority w:val="99"/>
    <w:qFormat/>
    <w:rPr>
      <w:lang w:val="en-US" w:eastAsia="zh-CN" w:bidi="ar-SA"/>
    </w:rPr>
    <w:tblPr/>
  </w:style>
  <w:style w:type="table" w:styleId="948">
    <w:name w:val="Grid Table 3 - Accent 2"/>
    <w:next w:val="948"/>
    <w:link w:val="864"/>
    <w:uiPriority w:val="99"/>
    <w:rPr>
      <w:lang w:val="en-US" w:eastAsia="zh-CN" w:bidi="ar-SA"/>
    </w:rPr>
    <w:tblPr/>
  </w:style>
  <w:style w:type="table" w:styleId="949">
    <w:name w:val="Grid Table 3 - Accent 3"/>
    <w:next w:val="949"/>
    <w:link w:val="864"/>
    <w:uiPriority w:val="99"/>
    <w:rPr>
      <w:lang w:val="en-US" w:eastAsia="zh-CN" w:bidi="ar-SA"/>
    </w:rPr>
    <w:tblPr/>
  </w:style>
  <w:style w:type="table" w:styleId="950">
    <w:name w:val="Grid Table 3 - Accent 4"/>
    <w:next w:val="950"/>
    <w:link w:val="864"/>
    <w:uiPriority w:val="99"/>
    <w:qFormat/>
    <w:rPr>
      <w:lang w:val="en-US" w:eastAsia="zh-CN" w:bidi="ar-SA"/>
    </w:rPr>
    <w:tblPr/>
  </w:style>
  <w:style w:type="table" w:styleId="951">
    <w:name w:val="Grid Table 3 - Accent 5"/>
    <w:next w:val="951"/>
    <w:link w:val="864"/>
    <w:uiPriority w:val="99"/>
    <w:qFormat/>
    <w:rPr>
      <w:lang w:val="en-US" w:eastAsia="zh-CN" w:bidi="ar-SA"/>
    </w:rPr>
    <w:tblPr/>
  </w:style>
  <w:style w:type="table" w:styleId="952">
    <w:name w:val="Grid Table 3 - Accent 6"/>
    <w:next w:val="952"/>
    <w:link w:val="864"/>
    <w:uiPriority w:val="99"/>
    <w:qFormat/>
    <w:rPr>
      <w:lang w:val="en-US" w:eastAsia="zh-CN" w:bidi="ar-SA"/>
    </w:rPr>
    <w:tblPr/>
  </w:style>
  <w:style w:type="table" w:styleId="953">
    <w:name w:val="Grid Table 4"/>
    <w:next w:val="953"/>
    <w:link w:val="864"/>
    <w:uiPriority w:val="59"/>
    <w:qFormat/>
    <w:rPr>
      <w:lang w:val="en-US" w:eastAsia="zh-CN" w:bidi="ar-SA"/>
    </w:rPr>
    <w:tblPr/>
  </w:style>
  <w:style w:type="table" w:styleId="954">
    <w:name w:val="Grid Table 4 - Accent 1"/>
    <w:next w:val="954"/>
    <w:link w:val="864"/>
    <w:uiPriority w:val="59"/>
    <w:qFormat/>
    <w:rPr>
      <w:lang w:val="en-US" w:eastAsia="zh-CN" w:bidi="ar-SA"/>
    </w:rPr>
    <w:tblPr/>
  </w:style>
  <w:style w:type="table" w:styleId="955">
    <w:name w:val="Grid Table 4 - Accent 2"/>
    <w:next w:val="955"/>
    <w:link w:val="864"/>
    <w:uiPriority w:val="59"/>
    <w:qFormat/>
    <w:rPr>
      <w:lang w:val="en-US" w:eastAsia="zh-CN" w:bidi="ar-SA"/>
    </w:rPr>
    <w:tblPr/>
  </w:style>
  <w:style w:type="table" w:styleId="956">
    <w:name w:val="Grid Table 4 - Accent 3"/>
    <w:next w:val="956"/>
    <w:link w:val="864"/>
    <w:uiPriority w:val="59"/>
    <w:rPr>
      <w:lang w:val="en-US" w:eastAsia="zh-CN" w:bidi="ar-SA"/>
    </w:rPr>
    <w:tblPr/>
  </w:style>
  <w:style w:type="table" w:styleId="957">
    <w:name w:val="Grid Table 4 - Accent 4"/>
    <w:next w:val="957"/>
    <w:link w:val="864"/>
    <w:uiPriority w:val="59"/>
    <w:qFormat/>
    <w:rPr>
      <w:lang w:val="en-US" w:eastAsia="zh-CN" w:bidi="ar-SA"/>
    </w:rPr>
    <w:tblPr/>
  </w:style>
  <w:style w:type="table" w:styleId="958">
    <w:name w:val="Grid Table 4 - Accent 5"/>
    <w:next w:val="958"/>
    <w:link w:val="864"/>
    <w:uiPriority w:val="59"/>
    <w:qFormat/>
    <w:rPr>
      <w:lang w:val="en-US" w:eastAsia="zh-CN" w:bidi="ar-SA"/>
    </w:rPr>
    <w:tblPr/>
  </w:style>
  <w:style w:type="table" w:styleId="959">
    <w:name w:val="Grid Table 4 - Accent 6"/>
    <w:next w:val="959"/>
    <w:link w:val="864"/>
    <w:uiPriority w:val="59"/>
    <w:qFormat/>
    <w:rPr>
      <w:lang w:val="en-US" w:eastAsia="zh-CN" w:bidi="ar-SA"/>
    </w:rPr>
    <w:tblPr/>
  </w:style>
  <w:style w:type="table" w:styleId="960">
    <w:name w:val="Grid Table 5 Dark"/>
    <w:next w:val="960"/>
    <w:link w:val="864"/>
    <w:uiPriority w:val="99"/>
    <w:qFormat/>
    <w:rPr>
      <w:lang w:val="en-US" w:eastAsia="zh-CN" w:bidi="ar-SA"/>
    </w:rPr>
    <w:tblPr/>
  </w:style>
  <w:style w:type="table" w:styleId="961">
    <w:name w:val="Grid Table 5 Dark- Accent 1"/>
    <w:next w:val="961"/>
    <w:link w:val="864"/>
    <w:uiPriority w:val="99"/>
    <w:qFormat/>
    <w:rPr>
      <w:lang w:val="en-US" w:eastAsia="zh-CN" w:bidi="ar-SA"/>
    </w:rPr>
    <w:tblPr/>
  </w:style>
  <w:style w:type="table" w:styleId="962">
    <w:name w:val="Grid Table 5 Dark - Accent 2"/>
    <w:next w:val="962"/>
    <w:link w:val="864"/>
    <w:uiPriority w:val="99"/>
    <w:qFormat/>
    <w:rPr>
      <w:lang w:val="en-US" w:eastAsia="zh-CN" w:bidi="ar-SA"/>
    </w:rPr>
    <w:tblPr/>
  </w:style>
  <w:style w:type="table" w:styleId="963">
    <w:name w:val="Grid Table 5 Dark - Accent 3"/>
    <w:next w:val="963"/>
    <w:link w:val="864"/>
    <w:uiPriority w:val="99"/>
    <w:rPr>
      <w:lang w:val="en-US" w:eastAsia="zh-CN" w:bidi="ar-SA"/>
    </w:rPr>
    <w:tblPr/>
  </w:style>
  <w:style w:type="table" w:styleId="964">
    <w:name w:val="Grid Table 5 Dark- Accent 4"/>
    <w:next w:val="964"/>
    <w:link w:val="864"/>
    <w:uiPriority w:val="99"/>
    <w:qFormat/>
    <w:rPr>
      <w:lang w:val="en-US" w:eastAsia="zh-CN" w:bidi="ar-SA"/>
    </w:rPr>
    <w:tblPr/>
  </w:style>
  <w:style w:type="table" w:styleId="965">
    <w:name w:val="Grid Table 5 Dark - Accent 5"/>
    <w:next w:val="965"/>
    <w:link w:val="864"/>
    <w:uiPriority w:val="99"/>
    <w:qFormat/>
    <w:rPr>
      <w:lang w:val="en-US" w:eastAsia="zh-CN" w:bidi="ar-SA"/>
    </w:rPr>
    <w:tblPr/>
  </w:style>
  <w:style w:type="table" w:styleId="966">
    <w:name w:val="Grid Table 5 Dark - Accent 6"/>
    <w:next w:val="966"/>
    <w:link w:val="864"/>
    <w:uiPriority w:val="99"/>
    <w:rPr>
      <w:lang w:val="en-US" w:eastAsia="zh-CN" w:bidi="ar-SA"/>
    </w:rPr>
    <w:tblPr/>
  </w:style>
  <w:style w:type="table" w:styleId="967">
    <w:name w:val="Grid Table 6 Colorful"/>
    <w:next w:val="967"/>
    <w:link w:val="864"/>
    <w:uiPriority w:val="99"/>
    <w:rPr>
      <w:lang w:val="en-US" w:eastAsia="zh-CN" w:bidi="ar-SA"/>
    </w:rPr>
    <w:tblPr/>
  </w:style>
  <w:style w:type="table" w:styleId="968">
    <w:name w:val="Grid Table 6 Colorful - Accent 1"/>
    <w:next w:val="968"/>
    <w:link w:val="864"/>
    <w:uiPriority w:val="99"/>
    <w:rPr>
      <w:lang w:val="en-US" w:eastAsia="zh-CN" w:bidi="ar-SA"/>
    </w:rPr>
    <w:tblPr/>
  </w:style>
  <w:style w:type="table" w:styleId="969">
    <w:name w:val="Grid Table 6 Colorful - Accent 2"/>
    <w:next w:val="969"/>
    <w:link w:val="864"/>
    <w:uiPriority w:val="99"/>
    <w:qFormat/>
    <w:rPr>
      <w:lang w:val="en-US" w:eastAsia="zh-CN" w:bidi="ar-SA"/>
    </w:rPr>
    <w:tblPr/>
  </w:style>
  <w:style w:type="table" w:styleId="970">
    <w:name w:val="Grid Table 6 Colorful - Accent 3"/>
    <w:next w:val="970"/>
    <w:link w:val="864"/>
    <w:uiPriority w:val="99"/>
    <w:qFormat/>
    <w:rPr>
      <w:lang w:val="en-US" w:eastAsia="zh-CN" w:bidi="ar-SA"/>
    </w:rPr>
    <w:tblPr/>
  </w:style>
  <w:style w:type="table" w:styleId="971">
    <w:name w:val="Grid Table 6 Colorful - Accent 4"/>
    <w:next w:val="971"/>
    <w:link w:val="864"/>
    <w:uiPriority w:val="99"/>
    <w:qFormat/>
    <w:rPr>
      <w:lang w:val="en-US" w:eastAsia="zh-CN" w:bidi="ar-SA"/>
    </w:rPr>
    <w:tblPr/>
  </w:style>
  <w:style w:type="table" w:styleId="972">
    <w:name w:val="Grid Table 6 Colorful - Accent 5"/>
    <w:next w:val="972"/>
    <w:link w:val="864"/>
    <w:uiPriority w:val="99"/>
    <w:rPr>
      <w:lang w:val="en-US" w:eastAsia="zh-CN" w:bidi="ar-SA"/>
    </w:rPr>
    <w:tblPr/>
  </w:style>
  <w:style w:type="table" w:styleId="973">
    <w:name w:val="Grid Table 6 Colorful - Accent 6"/>
    <w:next w:val="973"/>
    <w:link w:val="864"/>
    <w:uiPriority w:val="99"/>
    <w:qFormat/>
    <w:rPr>
      <w:lang w:val="en-US" w:eastAsia="zh-CN" w:bidi="ar-SA"/>
    </w:rPr>
    <w:tblPr/>
  </w:style>
  <w:style w:type="table" w:styleId="974">
    <w:name w:val="Grid Table 7 Colorful"/>
    <w:next w:val="974"/>
    <w:link w:val="864"/>
    <w:uiPriority w:val="99"/>
    <w:qFormat/>
    <w:rPr>
      <w:lang w:val="en-US" w:eastAsia="zh-CN" w:bidi="ar-SA"/>
    </w:rPr>
    <w:tblPr/>
  </w:style>
  <w:style w:type="table" w:styleId="975">
    <w:name w:val="Grid Table 7 Colorful - Accent 1"/>
    <w:next w:val="975"/>
    <w:link w:val="864"/>
    <w:uiPriority w:val="99"/>
    <w:qFormat/>
    <w:rPr>
      <w:lang w:val="en-US" w:eastAsia="zh-CN" w:bidi="ar-SA"/>
    </w:rPr>
    <w:tblPr/>
  </w:style>
  <w:style w:type="table" w:styleId="976">
    <w:name w:val="Grid Table 7 Colorful - Accent 2"/>
    <w:next w:val="976"/>
    <w:link w:val="864"/>
    <w:uiPriority w:val="99"/>
    <w:qFormat/>
    <w:rPr>
      <w:lang w:val="en-US" w:eastAsia="zh-CN" w:bidi="ar-SA"/>
    </w:rPr>
    <w:tblPr/>
  </w:style>
  <w:style w:type="table" w:styleId="977">
    <w:name w:val="Grid Table 7 Colorful - Accent 3"/>
    <w:next w:val="977"/>
    <w:link w:val="864"/>
    <w:uiPriority w:val="99"/>
    <w:rPr>
      <w:lang w:val="en-US" w:eastAsia="zh-CN" w:bidi="ar-SA"/>
    </w:rPr>
    <w:tblPr/>
  </w:style>
  <w:style w:type="table" w:styleId="978">
    <w:name w:val="Grid Table 7 Colorful - Accent 4"/>
    <w:next w:val="978"/>
    <w:link w:val="864"/>
    <w:uiPriority w:val="99"/>
    <w:qFormat/>
    <w:rPr>
      <w:lang w:val="en-US" w:eastAsia="zh-CN" w:bidi="ar-SA"/>
    </w:rPr>
    <w:tblPr/>
  </w:style>
  <w:style w:type="table" w:styleId="979">
    <w:name w:val="Grid Table 7 Colorful - Accent 5"/>
    <w:next w:val="979"/>
    <w:link w:val="864"/>
    <w:uiPriority w:val="99"/>
    <w:qFormat/>
    <w:rPr>
      <w:lang w:val="en-US" w:eastAsia="zh-CN" w:bidi="ar-SA"/>
    </w:rPr>
    <w:tblPr/>
  </w:style>
  <w:style w:type="table" w:styleId="980">
    <w:name w:val="Grid Table 7 Colorful - Accent 6"/>
    <w:next w:val="980"/>
    <w:link w:val="864"/>
    <w:uiPriority w:val="99"/>
    <w:qFormat/>
    <w:rPr>
      <w:lang w:val="en-US" w:eastAsia="zh-CN" w:bidi="ar-SA"/>
    </w:rPr>
    <w:tblPr/>
  </w:style>
  <w:style w:type="table" w:styleId="981">
    <w:name w:val="List Table 1 Light"/>
    <w:next w:val="981"/>
    <w:link w:val="864"/>
    <w:uiPriority w:val="99"/>
    <w:qFormat/>
    <w:rPr>
      <w:lang w:val="en-US" w:eastAsia="zh-CN" w:bidi="ar-SA"/>
    </w:rPr>
    <w:tblPr/>
  </w:style>
  <w:style w:type="table" w:styleId="982">
    <w:name w:val="List Table 1 Light - Accent 1"/>
    <w:next w:val="982"/>
    <w:link w:val="864"/>
    <w:uiPriority w:val="99"/>
    <w:qFormat/>
    <w:rPr>
      <w:lang w:val="en-US" w:eastAsia="zh-CN" w:bidi="ar-SA"/>
    </w:rPr>
    <w:tblPr/>
  </w:style>
  <w:style w:type="table" w:styleId="983">
    <w:name w:val="List Table 1 Light - Accent 2"/>
    <w:next w:val="983"/>
    <w:link w:val="864"/>
    <w:uiPriority w:val="99"/>
    <w:rPr>
      <w:lang w:val="en-US" w:eastAsia="zh-CN" w:bidi="ar-SA"/>
    </w:rPr>
    <w:tblPr/>
  </w:style>
  <w:style w:type="table" w:styleId="984">
    <w:name w:val="List Table 1 Light - Accent 3"/>
    <w:next w:val="984"/>
    <w:link w:val="864"/>
    <w:uiPriority w:val="99"/>
    <w:rPr>
      <w:lang w:val="en-US" w:eastAsia="zh-CN" w:bidi="ar-SA"/>
    </w:rPr>
    <w:tblPr/>
  </w:style>
  <w:style w:type="table" w:styleId="985">
    <w:name w:val="List Table 1 Light - Accent 4"/>
    <w:next w:val="985"/>
    <w:link w:val="864"/>
    <w:uiPriority w:val="99"/>
    <w:qFormat/>
    <w:rPr>
      <w:lang w:val="en-US" w:eastAsia="zh-CN" w:bidi="ar-SA"/>
    </w:rPr>
    <w:tblPr/>
  </w:style>
  <w:style w:type="table" w:styleId="986">
    <w:name w:val="List Table 1 Light - Accent 5"/>
    <w:next w:val="986"/>
    <w:link w:val="864"/>
    <w:uiPriority w:val="99"/>
    <w:qFormat/>
    <w:rPr>
      <w:lang w:val="en-US" w:eastAsia="zh-CN" w:bidi="ar-SA"/>
    </w:rPr>
    <w:tblPr/>
  </w:style>
  <w:style w:type="table" w:styleId="987">
    <w:name w:val="List Table 1 Light - Accent 6"/>
    <w:next w:val="987"/>
    <w:link w:val="864"/>
    <w:uiPriority w:val="99"/>
    <w:rPr>
      <w:lang w:val="en-US" w:eastAsia="zh-CN" w:bidi="ar-SA"/>
    </w:rPr>
    <w:tblPr/>
  </w:style>
  <w:style w:type="table" w:styleId="988">
    <w:name w:val="List Table 2"/>
    <w:next w:val="988"/>
    <w:link w:val="864"/>
    <w:uiPriority w:val="99"/>
    <w:qFormat/>
    <w:rPr>
      <w:lang w:val="en-US" w:eastAsia="zh-CN" w:bidi="ar-SA"/>
    </w:rPr>
    <w:tblPr/>
  </w:style>
  <w:style w:type="table" w:styleId="989">
    <w:name w:val="List Table 2 - Accent 1"/>
    <w:next w:val="989"/>
    <w:link w:val="864"/>
    <w:uiPriority w:val="99"/>
    <w:qFormat/>
    <w:rPr>
      <w:lang w:val="en-US" w:eastAsia="zh-CN" w:bidi="ar-SA"/>
    </w:rPr>
    <w:tblPr/>
  </w:style>
  <w:style w:type="table" w:styleId="990">
    <w:name w:val="List Table 2 - Accent 2"/>
    <w:next w:val="990"/>
    <w:link w:val="864"/>
    <w:uiPriority w:val="99"/>
    <w:qFormat/>
    <w:rPr>
      <w:lang w:val="en-US" w:eastAsia="zh-CN" w:bidi="ar-SA"/>
    </w:rPr>
    <w:tblPr/>
  </w:style>
  <w:style w:type="table" w:styleId="991">
    <w:name w:val="List Table 2 - Accent 3"/>
    <w:next w:val="991"/>
    <w:link w:val="864"/>
    <w:uiPriority w:val="99"/>
    <w:qFormat/>
    <w:rPr>
      <w:lang w:val="en-US" w:eastAsia="zh-CN" w:bidi="ar-SA"/>
    </w:rPr>
    <w:tblPr/>
  </w:style>
  <w:style w:type="table" w:styleId="992">
    <w:name w:val="List Table 2 - Accent 4"/>
    <w:next w:val="992"/>
    <w:link w:val="864"/>
    <w:uiPriority w:val="99"/>
    <w:qFormat/>
    <w:rPr>
      <w:lang w:val="en-US" w:eastAsia="zh-CN" w:bidi="ar-SA"/>
    </w:rPr>
    <w:tblPr/>
  </w:style>
  <w:style w:type="table" w:styleId="993">
    <w:name w:val="List Table 2 - Accent 5"/>
    <w:next w:val="993"/>
    <w:link w:val="864"/>
    <w:uiPriority w:val="99"/>
    <w:qFormat/>
    <w:rPr>
      <w:lang w:val="en-US" w:eastAsia="zh-CN" w:bidi="ar-SA"/>
    </w:rPr>
    <w:tblPr/>
  </w:style>
  <w:style w:type="table" w:styleId="994">
    <w:name w:val="List Table 2 - Accent 6"/>
    <w:next w:val="994"/>
    <w:link w:val="864"/>
    <w:uiPriority w:val="99"/>
    <w:qFormat/>
    <w:rPr>
      <w:lang w:val="en-US" w:eastAsia="zh-CN" w:bidi="ar-SA"/>
    </w:rPr>
    <w:tblPr/>
  </w:style>
  <w:style w:type="table" w:styleId="995">
    <w:name w:val="List Table 3"/>
    <w:next w:val="995"/>
    <w:link w:val="864"/>
    <w:uiPriority w:val="99"/>
    <w:qFormat/>
    <w:rPr>
      <w:lang w:val="en-US" w:eastAsia="zh-CN" w:bidi="ar-SA"/>
    </w:rPr>
    <w:tblPr/>
  </w:style>
  <w:style w:type="table" w:styleId="996">
    <w:name w:val="List Table 3 - Accent 1"/>
    <w:next w:val="996"/>
    <w:link w:val="864"/>
    <w:uiPriority w:val="99"/>
    <w:qFormat/>
    <w:rPr>
      <w:lang w:val="en-US" w:eastAsia="zh-CN" w:bidi="ar-SA"/>
    </w:rPr>
    <w:tblPr/>
  </w:style>
  <w:style w:type="table" w:styleId="997">
    <w:name w:val="List Table 3 - Accent 2"/>
    <w:next w:val="997"/>
    <w:link w:val="864"/>
    <w:uiPriority w:val="99"/>
    <w:qFormat/>
    <w:rPr>
      <w:lang w:val="en-US" w:eastAsia="zh-CN" w:bidi="ar-SA"/>
    </w:rPr>
    <w:tblPr/>
  </w:style>
  <w:style w:type="table" w:styleId="998">
    <w:name w:val="List Table 3 - Accent 3"/>
    <w:next w:val="998"/>
    <w:link w:val="864"/>
    <w:uiPriority w:val="99"/>
    <w:qFormat/>
    <w:rPr>
      <w:lang w:val="en-US" w:eastAsia="zh-CN" w:bidi="ar-SA"/>
    </w:rPr>
    <w:tblPr/>
  </w:style>
  <w:style w:type="table" w:styleId="999">
    <w:name w:val="List Table 3 - Accent 4"/>
    <w:next w:val="999"/>
    <w:link w:val="864"/>
    <w:uiPriority w:val="99"/>
    <w:qFormat/>
    <w:rPr>
      <w:lang w:val="en-US" w:eastAsia="zh-CN" w:bidi="ar-SA"/>
    </w:rPr>
    <w:tblPr/>
  </w:style>
  <w:style w:type="table" w:styleId="1000">
    <w:name w:val="List Table 3 - Accent 5"/>
    <w:next w:val="1000"/>
    <w:link w:val="864"/>
    <w:uiPriority w:val="99"/>
    <w:qFormat/>
    <w:rPr>
      <w:lang w:val="en-US" w:eastAsia="zh-CN" w:bidi="ar-SA"/>
    </w:rPr>
    <w:tblPr/>
  </w:style>
  <w:style w:type="table" w:styleId="1001">
    <w:name w:val="List Table 3 - Accent 6"/>
    <w:next w:val="1001"/>
    <w:link w:val="864"/>
    <w:uiPriority w:val="99"/>
    <w:qFormat/>
    <w:rPr>
      <w:lang w:val="en-US" w:eastAsia="zh-CN" w:bidi="ar-SA"/>
    </w:rPr>
    <w:tblPr/>
  </w:style>
  <w:style w:type="table" w:styleId="1002">
    <w:name w:val="List Table 4"/>
    <w:next w:val="1002"/>
    <w:link w:val="864"/>
    <w:uiPriority w:val="99"/>
    <w:qFormat/>
    <w:rPr>
      <w:lang w:val="en-US" w:eastAsia="zh-CN" w:bidi="ar-SA"/>
    </w:rPr>
    <w:tblPr/>
  </w:style>
  <w:style w:type="table" w:styleId="1003">
    <w:name w:val="List Table 4 - Accent 1"/>
    <w:next w:val="1003"/>
    <w:link w:val="864"/>
    <w:uiPriority w:val="99"/>
    <w:qFormat/>
    <w:rPr>
      <w:lang w:val="en-US" w:eastAsia="zh-CN" w:bidi="ar-SA"/>
    </w:rPr>
    <w:tblPr/>
  </w:style>
  <w:style w:type="table" w:styleId="1004">
    <w:name w:val="List Table 4 - Accent 2"/>
    <w:next w:val="1004"/>
    <w:link w:val="864"/>
    <w:uiPriority w:val="99"/>
    <w:qFormat/>
    <w:rPr>
      <w:lang w:val="en-US" w:eastAsia="zh-CN" w:bidi="ar-SA"/>
    </w:rPr>
    <w:tblPr/>
  </w:style>
  <w:style w:type="table" w:styleId="1005">
    <w:name w:val="List Table 4 - Accent 3"/>
    <w:next w:val="1005"/>
    <w:link w:val="864"/>
    <w:uiPriority w:val="99"/>
    <w:qFormat/>
    <w:rPr>
      <w:lang w:val="en-US" w:eastAsia="zh-CN" w:bidi="ar-SA"/>
    </w:rPr>
    <w:tblPr/>
  </w:style>
  <w:style w:type="table" w:styleId="1006">
    <w:name w:val="List Table 4 - Accent 4"/>
    <w:next w:val="1006"/>
    <w:link w:val="864"/>
    <w:uiPriority w:val="99"/>
    <w:qFormat/>
    <w:rPr>
      <w:lang w:val="en-US" w:eastAsia="zh-CN" w:bidi="ar-SA"/>
    </w:rPr>
    <w:tblPr/>
  </w:style>
  <w:style w:type="table" w:styleId="1007">
    <w:name w:val="List Table 4 - Accent 5"/>
    <w:next w:val="1007"/>
    <w:link w:val="864"/>
    <w:uiPriority w:val="99"/>
    <w:qFormat/>
    <w:rPr>
      <w:lang w:val="en-US" w:eastAsia="zh-CN" w:bidi="ar-SA"/>
    </w:rPr>
    <w:tblPr/>
  </w:style>
  <w:style w:type="table" w:styleId="1008">
    <w:name w:val="List Table 4 - Accent 6"/>
    <w:next w:val="1008"/>
    <w:link w:val="864"/>
    <w:uiPriority w:val="99"/>
    <w:qFormat/>
    <w:rPr>
      <w:lang w:val="en-US" w:eastAsia="zh-CN" w:bidi="ar-SA"/>
    </w:rPr>
    <w:tblPr/>
  </w:style>
  <w:style w:type="table" w:styleId="1009">
    <w:name w:val="List Table 5 Dark"/>
    <w:next w:val="1009"/>
    <w:link w:val="864"/>
    <w:uiPriority w:val="99"/>
    <w:qFormat/>
    <w:rPr>
      <w:lang w:val="en-US" w:eastAsia="zh-CN" w:bidi="ar-SA"/>
    </w:rPr>
    <w:tblPr/>
  </w:style>
  <w:style w:type="table" w:styleId="1010">
    <w:name w:val="List Table 5 Dark - Accent 1"/>
    <w:next w:val="1010"/>
    <w:link w:val="864"/>
    <w:uiPriority w:val="99"/>
    <w:qFormat/>
    <w:rPr>
      <w:lang w:val="en-US" w:eastAsia="zh-CN" w:bidi="ar-SA"/>
    </w:rPr>
    <w:tblPr/>
  </w:style>
  <w:style w:type="table" w:styleId="1011">
    <w:name w:val="List Table 5 Dark - Accent 2"/>
    <w:next w:val="1011"/>
    <w:link w:val="864"/>
    <w:uiPriority w:val="99"/>
    <w:qFormat/>
    <w:rPr>
      <w:lang w:val="en-US" w:eastAsia="zh-CN" w:bidi="ar-SA"/>
    </w:rPr>
    <w:tblPr/>
  </w:style>
  <w:style w:type="table" w:styleId="1012">
    <w:name w:val="List Table 5 Dark - Accent 3"/>
    <w:next w:val="1012"/>
    <w:link w:val="864"/>
    <w:uiPriority w:val="99"/>
    <w:qFormat/>
    <w:rPr>
      <w:lang w:val="en-US" w:eastAsia="zh-CN" w:bidi="ar-SA"/>
    </w:rPr>
    <w:tblPr/>
  </w:style>
  <w:style w:type="table" w:styleId="1013">
    <w:name w:val="List Table 5 Dark - Accent 4"/>
    <w:next w:val="1013"/>
    <w:link w:val="864"/>
    <w:uiPriority w:val="99"/>
    <w:qFormat/>
    <w:rPr>
      <w:lang w:val="en-US" w:eastAsia="zh-CN" w:bidi="ar-SA"/>
    </w:rPr>
    <w:tblPr/>
  </w:style>
  <w:style w:type="table" w:styleId="1014">
    <w:name w:val="List Table 5 Dark - Accent 5"/>
    <w:next w:val="1014"/>
    <w:link w:val="864"/>
    <w:uiPriority w:val="99"/>
    <w:qFormat/>
    <w:rPr>
      <w:lang w:val="en-US" w:eastAsia="zh-CN" w:bidi="ar-SA"/>
    </w:rPr>
    <w:tblPr/>
  </w:style>
  <w:style w:type="table" w:styleId="1015">
    <w:name w:val="List Table 5 Dark - Accent 6"/>
    <w:next w:val="1015"/>
    <w:link w:val="864"/>
    <w:uiPriority w:val="99"/>
    <w:qFormat/>
    <w:rPr>
      <w:lang w:val="en-US" w:eastAsia="zh-CN" w:bidi="ar-SA"/>
    </w:rPr>
    <w:tblPr/>
  </w:style>
  <w:style w:type="table" w:styleId="1016">
    <w:name w:val="List Table 6 Colorful"/>
    <w:next w:val="1016"/>
    <w:link w:val="864"/>
    <w:uiPriority w:val="99"/>
    <w:qFormat/>
    <w:rPr>
      <w:lang w:val="en-US" w:eastAsia="zh-CN" w:bidi="ar-SA"/>
    </w:rPr>
    <w:tblPr/>
  </w:style>
  <w:style w:type="table" w:styleId="1017">
    <w:name w:val="List Table 6 Colorful - Accent 1"/>
    <w:next w:val="1017"/>
    <w:link w:val="864"/>
    <w:uiPriority w:val="99"/>
    <w:qFormat/>
    <w:rPr>
      <w:lang w:val="en-US" w:eastAsia="zh-CN" w:bidi="ar-SA"/>
    </w:rPr>
    <w:tblPr/>
  </w:style>
  <w:style w:type="table" w:styleId="1018">
    <w:name w:val="List Table 6 Colorful - Accent 2"/>
    <w:next w:val="1018"/>
    <w:link w:val="864"/>
    <w:uiPriority w:val="99"/>
    <w:qFormat/>
    <w:rPr>
      <w:lang w:val="en-US" w:eastAsia="zh-CN" w:bidi="ar-SA"/>
    </w:rPr>
    <w:tblPr/>
  </w:style>
  <w:style w:type="table" w:styleId="1019">
    <w:name w:val="List Table 6 Colorful - Accent 3"/>
    <w:next w:val="1019"/>
    <w:link w:val="864"/>
    <w:uiPriority w:val="99"/>
    <w:qFormat/>
    <w:rPr>
      <w:lang w:val="en-US" w:eastAsia="zh-CN" w:bidi="ar-SA"/>
    </w:rPr>
    <w:tblPr/>
  </w:style>
  <w:style w:type="table" w:styleId="1020">
    <w:name w:val="List Table 6 Colorful - Accent 4"/>
    <w:next w:val="1020"/>
    <w:link w:val="864"/>
    <w:uiPriority w:val="99"/>
    <w:qFormat/>
    <w:rPr>
      <w:lang w:val="en-US" w:eastAsia="zh-CN" w:bidi="ar-SA"/>
    </w:rPr>
    <w:tblPr/>
  </w:style>
  <w:style w:type="table" w:styleId="1021">
    <w:name w:val="List Table 6 Colorful - Accent 5"/>
    <w:next w:val="1021"/>
    <w:link w:val="864"/>
    <w:uiPriority w:val="99"/>
    <w:qFormat/>
    <w:rPr>
      <w:lang w:val="en-US" w:eastAsia="zh-CN" w:bidi="ar-SA"/>
    </w:rPr>
    <w:tblPr/>
  </w:style>
  <w:style w:type="table" w:styleId="1022">
    <w:name w:val="List Table 6 Colorful - Accent 6"/>
    <w:next w:val="1022"/>
    <w:link w:val="864"/>
    <w:uiPriority w:val="99"/>
    <w:qFormat/>
    <w:rPr>
      <w:lang w:val="en-US" w:eastAsia="zh-CN" w:bidi="ar-SA"/>
    </w:rPr>
    <w:tblPr/>
  </w:style>
  <w:style w:type="table" w:styleId="1023">
    <w:name w:val="List Table 7 Colorful"/>
    <w:next w:val="1023"/>
    <w:link w:val="864"/>
    <w:uiPriority w:val="99"/>
    <w:qFormat/>
    <w:rPr>
      <w:lang w:val="en-US" w:eastAsia="zh-CN" w:bidi="ar-SA"/>
    </w:rPr>
    <w:tblPr/>
  </w:style>
  <w:style w:type="table" w:styleId="1024">
    <w:name w:val="List Table 7 Colorful - Accent 1"/>
    <w:next w:val="1024"/>
    <w:link w:val="864"/>
    <w:uiPriority w:val="99"/>
    <w:qFormat/>
    <w:rPr>
      <w:lang w:val="en-US" w:eastAsia="zh-CN" w:bidi="ar-SA"/>
    </w:rPr>
    <w:tblPr/>
  </w:style>
  <w:style w:type="table" w:styleId="1025">
    <w:name w:val="List Table 7 Colorful - Accent 2"/>
    <w:next w:val="1025"/>
    <w:link w:val="864"/>
    <w:uiPriority w:val="99"/>
    <w:qFormat/>
    <w:rPr>
      <w:lang w:val="en-US" w:eastAsia="zh-CN" w:bidi="ar-SA"/>
    </w:rPr>
    <w:tblPr/>
  </w:style>
  <w:style w:type="table" w:styleId="1026">
    <w:name w:val="List Table 7 Colorful - Accent 3"/>
    <w:next w:val="1026"/>
    <w:link w:val="864"/>
    <w:uiPriority w:val="99"/>
    <w:qFormat/>
    <w:rPr>
      <w:lang w:val="en-US" w:eastAsia="zh-CN" w:bidi="ar-SA"/>
    </w:rPr>
    <w:tblPr/>
  </w:style>
  <w:style w:type="table" w:styleId="1027">
    <w:name w:val="List Table 7 Colorful - Accent 4"/>
    <w:next w:val="1027"/>
    <w:link w:val="864"/>
    <w:uiPriority w:val="99"/>
    <w:qFormat/>
    <w:rPr>
      <w:lang w:val="en-US" w:eastAsia="zh-CN" w:bidi="ar-SA"/>
    </w:rPr>
    <w:tblPr/>
  </w:style>
  <w:style w:type="table" w:styleId="1028">
    <w:name w:val="List Table 7 Colorful - Accent 5"/>
    <w:next w:val="1028"/>
    <w:link w:val="864"/>
    <w:uiPriority w:val="99"/>
    <w:qFormat/>
    <w:rPr>
      <w:lang w:val="en-US" w:eastAsia="zh-CN" w:bidi="ar-SA"/>
    </w:rPr>
    <w:tblPr/>
  </w:style>
  <w:style w:type="table" w:styleId="1029">
    <w:name w:val="List Table 7 Colorful - Accent 6"/>
    <w:next w:val="1029"/>
    <w:link w:val="864"/>
    <w:uiPriority w:val="99"/>
    <w:qFormat/>
    <w:rPr>
      <w:lang w:val="en-US" w:eastAsia="zh-CN" w:bidi="ar-SA"/>
    </w:rPr>
    <w:tblPr/>
  </w:style>
  <w:style w:type="table" w:styleId="1030">
    <w:name w:val="Lined - Accent"/>
    <w:next w:val="1030"/>
    <w:link w:val="864"/>
    <w:uiPriority w:val="99"/>
    <w:qFormat/>
    <w:rPr>
      <w:color w:val="404040"/>
      <w:lang w:val="en-US" w:eastAsia="zh-CN" w:bidi="ar-SA"/>
    </w:rPr>
    <w:tblPr/>
  </w:style>
  <w:style w:type="table" w:styleId="1031">
    <w:name w:val="Lined - Accent 1"/>
    <w:next w:val="1031"/>
    <w:link w:val="864"/>
    <w:uiPriority w:val="99"/>
    <w:qFormat/>
    <w:rPr>
      <w:color w:val="404040"/>
      <w:lang w:val="en-US" w:eastAsia="zh-CN" w:bidi="ar-SA"/>
    </w:rPr>
    <w:tblPr/>
  </w:style>
  <w:style w:type="table" w:styleId="1032">
    <w:name w:val="Lined - Accent 2"/>
    <w:next w:val="1032"/>
    <w:link w:val="864"/>
    <w:uiPriority w:val="99"/>
    <w:qFormat/>
    <w:rPr>
      <w:color w:val="404040"/>
      <w:lang w:val="en-US" w:eastAsia="zh-CN" w:bidi="ar-SA"/>
    </w:rPr>
    <w:tblPr/>
  </w:style>
  <w:style w:type="table" w:styleId="1033">
    <w:name w:val="Lined - Accent 3"/>
    <w:next w:val="1033"/>
    <w:link w:val="864"/>
    <w:uiPriority w:val="99"/>
    <w:qFormat/>
    <w:rPr>
      <w:color w:val="404040"/>
      <w:lang w:val="en-US" w:eastAsia="zh-CN" w:bidi="ar-SA"/>
    </w:rPr>
    <w:tblPr/>
  </w:style>
  <w:style w:type="table" w:styleId="1034">
    <w:name w:val="Lined - Accent 4"/>
    <w:next w:val="1034"/>
    <w:link w:val="864"/>
    <w:uiPriority w:val="99"/>
    <w:qFormat/>
    <w:rPr>
      <w:color w:val="404040"/>
      <w:lang w:val="en-US" w:eastAsia="zh-CN" w:bidi="ar-SA"/>
    </w:rPr>
    <w:tblPr/>
  </w:style>
  <w:style w:type="table" w:styleId="1035">
    <w:name w:val="Lined - Accent 5"/>
    <w:next w:val="1035"/>
    <w:link w:val="864"/>
    <w:uiPriority w:val="99"/>
    <w:qFormat/>
    <w:rPr>
      <w:color w:val="404040"/>
      <w:lang w:val="en-US" w:eastAsia="zh-CN" w:bidi="ar-SA"/>
    </w:rPr>
    <w:tblPr/>
  </w:style>
  <w:style w:type="table" w:styleId="1036">
    <w:name w:val="Lined - Accent 6"/>
    <w:next w:val="1036"/>
    <w:link w:val="864"/>
    <w:uiPriority w:val="99"/>
    <w:qFormat/>
    <w:rPr>
      <w:color w:val="404040"/>
      <w:lang w:val="en-US" w:eastAsia="zh-CN" w:bidi="ar-SA"/>
    </w:rPr>
    <w:tblPr/>
  </w:style>
  <w:style w:type="table" w:styleId="1037">
    <w:name w:val="Bordered &amp; Lined - Accent"/>
    <w:next w:val="1037"/>
    <w:link w:val="864"/>
    <w:uiPriority w:val="99"/>
    <w:qFormat/>
    <w:rPr>
      <w:color w:val="404040"/>
      <w:lang w:val="en-US" w:eastAsia="zh-CN" w:bidi="ar-SA"/>
    </w:rPr>
    <w:tblPr/>
  </w:style>
  <w:style w:type="table" w:styleId="1038">
    <w:name w:val="Bordered &amp; Lined - Accent 1"/>
    <w:next w:val="1038"/>
    <w:link w:val="864"/>
    <w:uiPriority w:val="99"/>
    <w:qFormat/>
    <w:rPr>
      <w:color w:val="404040"/>
      <w:lang w:val="en-US" w:eastAsia="zh-CN" w:bidi="ar-SA"/>
    </w:rPr>
    <w:tblPr/>
  </w:style>
  <w:style w:type="table" w:styleId="1039">
    <w:name w:val="Bordered &amp; Lined - Accent 2"/>
    <w:next w:val="1039"/>
    <w:link w:val="864"/>
    <w:uiPriority w:val="99"/>
    <w:qFormat/>
    <w:rPr>
      <w:color w:val="404040"/>
      <w:lang w:val="en-US" w:eastAsia="zh-CN" w:bidi="ar-SA"/>
    </w:rPr>
    <w:tblPr/>
  </w:style>
  <w:style w:type="table" w:styleId="1040">
    <w:name w:val="Bordered &amp; Lined - Accent 3"/>
    <w:next w:val="1040"/>
    <w:link w:val="864"/>
    <w:uiPriority w:val="99"/>
    <w:qFormat/>
    <w:rPr>
      <w:color w:val="404040"/>
      <w:lang w:val="en-US" w:eastAsia="zh-CN" w:bidi="ar-SA"/>
    </w:rPr>
    <w:tblPr/>
  </w:style>
  <w:style w:type="table" w:styleId="1041">
    <w:name w:val="Bordered &amp; Lined - Accent 4"/>
    <w:next w:val="1041"/>
    <w:link w:val="864"/>
    <w:uiPriority w:val="99"/>
    <w:qFormat/>
    <w:rPr>
      <w:color w:val="404040"/>
      <w:lang w:val="en-US" w:eastAsia="zh-CN" w:bidi="ar-SA"/>
    </w:rPr>
    <w:tblPr/>
  </w:style>
  <w:style w:type="table" w:styleId="1042">
    <w:name w:val="Bordered &amp; Lined - Accent 5"/>
    <w:next w:val="1042"/>
    <w:link w:val="864"/>
    <w:uiPriority w:val="99"/>
    <w:qFormat/>
    <w:rPr>
      <w:color w:val="404040"/>
      <w:lang w:val="en-US" w:eastAsia="zh-CN" w:bidi="ar-SA"/>
    </w:rPr>
    <w:tblPr/>
  </w:style>
  <w:style w:type="table" w:styleId="1043">
    <w:name w:val="Bordered &amp; Lined - Accent 6"/>
    <w:next w:val="1043"/>
    <w:link w:val="864"/>
    <w:uiPriority w:val="99"/>
    <w:qFormat/>
    <w:rPr>
      <w:color w:val="404040"/>
      <w:lang w:val="en-US" w:eastAsia="zh-CN" w:bidi="ar-SA"/>
    </w:rPr>
    <w:tblPr/>
  </w:style>
  <w:style w:type="table" w:styleId="1044">
    <w:name w:val="Bordered"/>
    <w:next w:val="1044"/>
    <w:link w:val="864"/>
    <w:uiPriority w:val="99"/>
    <w:qFormat/>
    <w:rPr>
      <w:lang w:val="en-US" w:eastAsia="zh-CN" w:bidi="ar-SA"/>
    </w:rPr>
    <w:tblPr/>
  </w:style>
  <w:style w:type="table" w:styleId="1045">
    <w:name w:val="Bordered - Accent 1"/>
    <w:next w:val="1045"/>
    <w:link w:val="864"/>
    <w:uiPriority w:val="99"/>
    <w:qFormat/>
    <w:rPr>
      <w:lang w:val="en-US" w:eastAsia="zh-CN" w:bidi="ar-SA"/>
    </w:rPr>
    <w:tblPr/>
  </w:style>
  <w:style w:type="table" w:styleId="1046">
    <w:name w:val="Bordered - Accent 2"/>
    <w:next w:val="1046"/>
    <w:link w:val="864"/>
    <w:uiPriority w:val="99"/>
    <w:qFormat/>
    <w:rPr>
      <w:lang w:val="en-US" w:eastAsia="zh-CN" w:bidi="ar-SA"/>
    </w:rPr>
    <w:tblPr/>
  </w:style>
  <w:style w:type="table" w:styleId="1047">
    <w:name w:val="Bordered - Accent 3"/>
    <w:next w:val="1047"/>
    <w:link w:val="864"/>
    <w:uiPriority w:val="99"/>
    <w:qFormat/>
    <w:rPr>
      <w:lang w:val="en-US" w:eastAsia="zh-CN" w:bidi="ar-SA"/>
    </w:rPr>
    <w:tblPr/>
  </w:style>
  <w:style w:type="table" w:styleId="1048">
    <w:name w:val="Bordered - Accent 4"/>
    <w:next w:val="1048"/>
    <w:link w:val="864"/>
    <w:uiPriority w:val="99"/>
    <w:qFormat/>
    <w:rPr>
      <w:lang w:val="en-US" w:eastAsia="zh-CN" w:bidi="ar-SA"/>
    </w:rPr>
    <w:tblPr/>
  </w:style>
  <w:style w:type="table" w:styleId="1049">
    <w:name w:val="Bordered - Accent 5"/>
    <w:next w:val="1049"/>
    <w:link w:val="864"/>
    <w:uiPriority w:val="99"/>
    <w:qFormat/>
    <w:rPr>
      <w:lang w:val="en-US" w:eastAsia="zh-CN" w:bidi="ar-SA"/>
    </w:rPr>
    <w:tblPr/>
  </w:style>
  <w:style w:type="table" w:styleId="1050">
    <w:name w:val="Bordered - Accent 6"/>
    <w:next w:val="1050"/>
    <w:link w:val="864"/>
    <w:uiPriority w:val="99"/>
    <w:qFormat/>
    <w:rPr>
      <w:lang w:val="en-US" w:eastAsia="zh-CN" w:bidi="ar-SA"/>
    </w:rPr>
    <w:tblPr/>
  </w:style>
  <w:style w:type="paragraph" w:styleId="1051">
    <w:name w:val="TOC Heading"/>
    <w:next w:val="1051"/>
    <w:link w:val="864"/>
    <w:uiPriority w:val="39"/>
    <w:unhideWhenUsed/>
    <w:qFormat/>
    <w:rPr>
      <w:lang w:val="en-US" w:eastAsia="zh-CN" w:bidi="ar-SA"/>
    </w:rPr>
  </w:style>
  <w:style w:type="paragraph" w:styleId="1052">
    <w:name w:val="标题 111"/>
    <w:basedOn w:val="864"/>
    <w:next w:val="864"/>
    <w:link w:val="1053"/>
    <w:qFormat/>
    <w:pPr>
      <w:keepLines/>
      <w:keepNext/>
      <w:spacing w:before="340" w:after="330" w:line="576" w:lineRule="auto"/>
      <w:outlineLvl w:val="0"/>
    </w:pPr>
    <w:rPr>
      <w:rFonts w:eastAsia="楷体_GB2312"/>
      <w:b/>
      <w:sz w:val="44"/>
      <w:szCs w:val="20"/>
    </w:rPr>
  </w:style>
  <w:style w:type="character" w:styleId="1053">
    <w:name w:val="标题 1 字符"/>
    <w:next w:val="1053"/>
    <w:link w:val="1052"/>
    <w:qFormat/>
    <w:rPr>
      <w:rFonts w:ascii="Times New Roman" w:hAnsi="Times New Roman" w:eastAsia="楷体_GB2312" w:cs="Times New Roman"/>
      <w:b/>
      <w:sz w:val="44"/>
      <w:lang w:val="en-US" w:eastAsia="zh-CN" w:bidi="ar-SA"/>
    </w:rPr>
  </w:style>
  <w:style w:type="paragraph" w:styleId="1054">
    <w:name w:val="标题 21"/>
    <w:basedOn w:val="864"/>
    <w:next w:val="864"/>
    <w:link w:val="1055"/>
    <w:qFormat/>
    <w:pPr>
      <w:keepLines/>
      <w:keepNext/>
      <w:spacing w:before="260" w:after="260" w:line="413" w:lineRule="auto"/>
      <w:outlineLvl w:val="1"/>
    </w:pPr>
    <w:rPr>
      <w:rFonts w:ascii="Arial" w:hAnsi="Arial" w:eastAsia="黑体"/>
      <w:b/>
      <w:bCs/>
      <w:sz w:val="32"/>
      <w:szCs w:val="32"/>
    </w:rPr>
  </w:style>
  <w:style w:type="character" w:styleId="1055">
    <w:name w:val="标题 2 字符"/>
    <w:next w:val="1055"/>
    <w:link w:val="1054"/>
    <w:qFormat/>
    <w:rPr>
      <w:rFonts w:ascii="Arial" w:hAnsi="Arial" w:eastAsia="黑体" w:cs="Times New Roman"/>
      <w:b/>
      <w:bCs/>
      <w:sz w:val="32"/>
      <w:szCs w:val="32"/>
      <w:lang w:val="en-US" w:eastAsia="zh-CN" w:bidi="ar-SA"/>
    </w:rPr>
  </w:style>
  <w:style w:type="paragraph" w:styleId="1056">
    <w:name w:val="标题 31"/>
    <w:basedOn w:val="864"/>
    <w:next w:val="864"/>
    <w:link w:val="1057"/>
    <w:qFormat/>
    <w:pPr>
      <w:keepLines/>
      <w:keepNext/>
      <w:spacing w:before="260" w:after="260" w:line="413" w:lineRule="auto"/>
      <w:outlineLvl w:val="2"/>
    </w:pPr>
    <w:rPr>
      <w:b/>
      <w:bCs/>
      <w:sz w:val="32"/>
      <w:szCs w:val="32"/>
    </w:rPr>
  </w:style>
  <w:style w:type="character" w:styleId="1057">
    <w:name w:val="标题 3 字符"/>
    <w:next w:val="1057"/>
    <w:link w:val="1056"/>
    <w:qFormat/>
    <w:rPr>
      <w:rFonts w:ascii="Times New Roman" w:hAnsi="Times New Roman" w:eastAsia="宋体" w:cs="Times New Roman"/>
      <w:b/>
      <w:bCs/>
      <w:sz w:val="32"/>
      <w:szCs w:val="32"/>
      <w:lang w:val="en-US" w:eastAsia="zh-CN" w:bidi="ar-SA"/>
    </w:rPr>
  </w:style>
  <w:style w:type="paragraph" w:styleId="1058">
    <w:name w:val="标题 41"/>
    <w:basedOn w:val="864"/>
    <w:next w:val="864"/>
    <w:link w:val="1059"/>
    <w:qFormat/>
    <w:pPr>
      <w:keepLines/>
      <w:keepNext/>
      <w:spacing w:before="280" w:after="290" w:line="376" w:lineRule="auto"/>
      <w:outlineLvl w:val="3"/>
    </w:pPr>
    <w:rPr>
      <w:rFonts w:ascii="Cambria" w:hAnsi="Cambria"/>
      <w:b/>
      <w:bCs/>
      <w:sz w:val="28"/>
      <w:szCs w:val="28"/>
    </w:rPr>
  </w:style>
  <w:style w:type="character" w:styleId="1059">
    <w:name w:val="标题 4 字符"/>
    <w:next w:val="1059"/>
    <w:link w:val="1058"/>
    <w:qFormat/>
    <w:rPr>
      <w:rFonts w:ascii="Cambria" w:hAnsi="Cambria" w:eastAsia="宋体" w:cs="Times New Roman"/>
      <w:b/>
      <w:bCs/>
      <w:sz w:val="28"/>
      <w:szCs w:val="28"/>
      <w:lang w:val="en-US" w:eastAsia="zh-CN" w:bidi="ar-SA"/>
    </w:rPr>
  </w:style>
  <w:style w:type="paragraph" w:styleId="1060">
    <w:name w:val="标题 51"/>
    <w:basedOn w:val="864"/>
    <w:next w:val="864"/>
    <w:link w:val="1061"/>
    <w:qFormat/>
    <w:pPr>
      <w:keepLines/>
      <w:keepNext/>
      <w:spacing w:before="280" w:after="290" w:line="376" w:lineRule="auto"/>
      <w:outlineLvl w:val="4"/>
    </w:pPr>
    <w:rPr>
      <w:rFonts w:ascii="Calibri" w:hAnsi="Calibri"/>
      <w:b/>
      <w:bCs/>
      <w:sz w:val="28"/>
      <w:szCs w:val="28"/>
    </w:rPr>
  </w:style>
  <w:style w:type="character" w:styleId="1061">
    <w:name w:val="标题 5 字符"/>
    <w:next w:val="1061"/>
    <w:link w:val="1060"/>
    <w:qFormat/>
    <w:rPr>
      <w:rFonts w:ascii="Calibri" w:hAnsi="Calibri" w:eastAsia="宋体" w:cs="Times New Roman"/>
      <w:b/>
      <w:bCs/>
      <w:sz w:val="28"/>
      <w:szCs w:val="28"/>
    </w:rPr>
  </w:style>
  <w:style w:type="paragraph" w:styleId="1062">
    <w:name w:val="标题 61"/>
    <w:basedOn w:val="864"/>
    <w:next w:val="864"/>
    <w:link w:val="1063"/>
    <w:qFormat/>
    <w:pPr>
      <w:ind w:left="284" w:firstLine="1134"/>
      <w:keepLines/>
      <w:keepNext/>
      <w:tabs>
        <w:tab w:val="left" w:pos="3578" w:leader="none"/>
      </w:tabs>
      <w:outlineLvl w:val="5"/>
    </w:pPr>
    <w:rPr>
      <w:rFonts w:ascii="宋体" w:hAnsi="宋体"/>
      <w:b/>
      <w:bCs/>
      <w:sz w:val="30"/>
    </w:rPr>
  </w:style>
  <w:style w:type="character" w:styleId="1063">
    <w:name w:val="标题 6 字符"/>
    <w:next w:val="1063"/>
    <w:link w:val="1062"/>
    <w:qFormat/>
    <w:rPr>
      <w:rFonts w:ascii="宋体" w:hAnsi="宋体" w:eastAsia="宋体" w:cs="Times New Roman"/>
      <w:b/>
      <w:bCs/>
      <w:sz w:val="30"/>
      <w:szCs w:val="24"/>
    </w:rPr>
  </w:style>
  <w:style w:type="paragraph" w:styleId="1064">
    <w:name w:val="标题 71"/>
    <w:basedOn w:val="864"/>
    <w:next w:val="1066"/>
    <w:link w:val="1065"/>
    <w:qFormat/>
    <w:pPr>
      <w:keepLines/>
      <w:keepNext/>
      <w:spacing w:before="240" w:after="64" w:line="320" w:lineRule="auto"/>
      <w:outlineLvl w:val="6"/>
    </w:pPr>
    <w:rPr>
      <w:b/>
      <w:sz w:val="24"/>
      <w:szCs w:val="20"/>
    </w:rPr>
  </w:style>
  <w:style w:type="character" w:styleId="1065">
    <w:name w:val="标题 7 字符"/>
    <w:next w:val="1065"/>
    <w:link w:val="1064"/>
    <w:qFormat/>
    <w:rPr>
      <w:rFonts w:ascii="Times New Roman" w:hAnsi="Times New Roman" w:eastAsia="宋体" w:cs="Times New Roman"/>
      <w:b/>
      <w:sz w:val="24"/>
    </w:rPr>
  </w:style>
  <w:style w:type="paragraph" w:styleId="1066">
    <w:name w:val="正文缩进1"/>
    <w:basedOn w:val="864"/>
    <w:next w:val="1066"/>
    <w:link w:val="1067"/>
    <w:qFormat/>
    <w:pPr>
      <w:ind w:firstLine="420"/>
      <w:jc w:val="left"/>
    </w:pPr>
    <w:rPr>
      <w:rFonts w:eastAsia="楷体_GB2312"/>
      <w:sz w:val="24"/>
      <w:szCs w:val="20"/>
    </w:rPr>
  </w:style>
  <w:style w:type="character" w:styleId="1067">
    <w:name w:val="正文缩进 字符"/>
    <w:next w:val="1067"/>
    <w:link w:val="1066"/>
    <w:uiPriority w:val="99"/>
    <w:qFormat/>
    <w:rPr>
      <w:rFonts w:ascii="Times New Roman" w:hAnsi="Times New Roman" w:eastAsia="楷体_GB2312" w:cs="Times New Roman"/>
      <w:sz w:val="24"/>
      <w:lang w:val="en-US" w:eastAsia="zh-CN" w:bidi="ar-SA"/>
    </w:rPr>
  </w:style>
  <w:style w:type="paragraph" w:styleId="1068">
    <w:name w:val="标题 81"/>
    <w:basedOn w:val="864"/>
    <w:next w:val="1066"/>
    <w:link w:val="1069"/>
    <w:qFormat/>
    <w:pPr>
      <w:keepLines/>
      <w:keepNext/>
      <w:spacing w:before="240" w:after="64" w:line="320" w:lineRule="auto"/>
      <w:outlineLvl w:val="7"/>
    </w:pPr>
    <w:rPr>
      <w:rFonts w:ascii="Arial" w:hAnsi="Arial" w:eastAsia="黑体"/>
      <w:sz w:val="24"/>
      <w:szCs w:val="20"/>
    </w:rPr>
  </w:style>
  <w:style w:type="character" w:styleId="1069">
    <w:name w:val="标题 8 字符"/>
    <w:next w:val="1069"/>
    <w:link w:val="1068"/>
    <w:qFormat/>
    <w:rPr>
      <w:rFonts w:ascii="Arial" w:hAnsi="Arial" w:eastAsia="黑体" w:cs="Times New Roman"/>
      <w:sz w:val="24"/>
    </w:rPr>
  </w:style>
  <w:style w:type="paragraph" w:styleId="1070">
    <w:name w:val="标题 91"/>
    <w:basedOn w:val="864"/>
    <w:next w:val="1066"/>
    <w:link w:val="1071"/>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1071">
    <w:name w:val="标题 9 字符"/>
    <w:next w:val="1071"/>
    <w:link w:val="1070"/>
    <w:qFormat/>
    <w:rPr>
      <w:rFonts w:ascii="Arial" w:hAnsi="Arial" w:eastAsia="黑体" w:cs="Times New Roman"/>
      <w:sz w:val="21"/>
    </w:rPr>
  </w:style>
  <w:style w:type="character" w:styleId="1072">
    <w:name w:val="默认段落字体1"/>
    <w:next w:val="1072"/>
    <w:link w:val="864"/>
    <w:qFormat/>
    <w:rPr>
      <w:rFonts w:ascii="Times New Roman" w:hAnsi="Times New Roman" w:eastAsia="宋体" w:cs="Times New Roman"/>
    </w:rPr>
  </w:style>
  <w:style w:type="table" w:styleId="1073">
    <w:name w:val="普通表格1"/>
    <w:next w:val="1073"/>
    <w:link w:val="864"/>
    <w:qFormat/>
    <w:rPr>
      <w:lang w:val="en-US" w:eastAsia="zh-CN" w:bidi="ar-SA"/>
    </w:rPr>
    <w:tblPr/>
  </w:style>
  <w:style w:type="paragraph" w:styleId="1074">
    <w:name w:val="列表 31"/>
    <w:basedOn w:val="864"/>
    <w:next w:val="1074"/>
    <w:link w:val="864"/>
    <w:qFormat/>
    <w:pPr>
      <w:ind w:left="1260" w:hanging="420"/>
    </w:pPr>
    <w:rPr>
      <w:rFonts w:ascii="Times New Roman" w:hAnsi="Times New Roman" w:eastAsia="宋体" w:cs="Times New Roman"/>
      <w:szCs w:val="20"/>
    </w:rPr>
  </w:style>
  <w:style w:type="paragraph" w:styleId="1075">
    <w:name w:val="目录 71"/>
    <w:basedOn w:val="864"/>
    <w:next w:val="864"/>
    <w:link w:val="864"/>
    <w:qFormat/>
    <w:pPr>
      <w:ind w:left="2520"/>
    </w:pPr>
    <w:rPr>
      <w:rFonts w:ascii="Calibri" w:hAnsi="Calibri" w:eastAsia="宋体" w:cs="Times New Roman"/>
      <w:szCs w:val="22"/>
    </w:rPr>
  </w:style>
  <w:style w:type="paragraph" w:styleId="1076">
    <w:name w:val="列表编号 21"/>
    <w:basedOn w:val="864"/>
    <w:next w:val="1076"/>
    <w:link w:val="864"/>
    <w:qFormat/>
    <w:pPr>
      <w:ind w:left="780" w:hanging="360"/>
      <w:keepNext/>
      <w:spacing w:line="360" w:lineRule="auto"/>
      <w:tabs>
        <w:tab w:val="left" w:pos="780" w:leader="none"/>
      </w:tabs>
    </w:pPr>
    <w:rPr>
      <w:rFonts w:ascii="Arial" w:hAnsi="Arial" w:eastAsia="宋体" w:cs="Times New Roman"/>
      <w:sz w:val="24"/>
      <w:szCs w:val="20"/>
    </w:rPr>
  </w:style>
  <w:style w:type="paragraph" w:styleId="1077">
    <w:name w:val="列表编号1"/>
    <w:basedOn w:val="864"/>
    <w:next w:val="1077"/>
    <w:link w:val="864"/>
    <w:qFormat/>
    <w:pPr>
      <w:ind w:left="960" w:hanging="960"/>
      <w:spacing w:line="360" w:lineRule="auto"/>
      <w:tabs>
        <w:tab w:val="left" w:pos="960" w:leader="none"/>
      </w:tabs>
    </w:pPr>
    <w:rPr>
      <w:rFonts w:ascii="Times New Roman" w:hAnsi="Times New Roman" w:eastAsia="宋体" w:cs="Times New Roman"/>
      <w:color w:val="000000"/>
      <w:sz w:val="28"/>
      <w:szCs w:val="20"/>
    </w:rPr>
  </w:style>
  <w:style w:type="paragraph" w:styleId="1078">
    <w:name w:val="题注1"/>
    <w:basedOn w:val="864"/>
    <w:next w:val="864"/>
    <w:link w:val="864"/>
    <w:qFormat/>
    <w:pPr>
      <w:spacing w:before="152" w:after="160"/>
    </w:pPr>
    <w:rPr>
      <w:rFonts w:ascii="Arial" w:hAnsi="Arial" w:eastAsia="黑体" w:cs="Arial"/>
      <w:sz w:val="20"/>
      <w:szCs w:val="20"/>
    </w:rPr>
  </w:style>
  <w:style w:type="paragraph" w:styleId="1079">
    <w:name w:val="文档结构图1"/>
    <w:basedOn w:val="864"/>
    <w:next w:val="1079"/>
    <w:link w:val="1080"/>
    <w:uiPriority w:val="99"/>
    <w:qFormat/>
    <w:pPr>
      <w:shd w:val="clear" w:color="auto" w:fill="000080"/>
    </w:pPr>
    <w:rPr>
      <w:szCs w:val="20"/>
    </w:rPr>
  </w:style>
  <w:style w:type="character" w:styleId="1080">
    <w:name w:val="文档结构图 字符"/>
    <w:next w:val="1080"/>
    <w:link w:val="1079"/>
    <w:uiPriority w:val="99"/>
    <w:qFormat/>
    <w:rPr>
      <w:rFonts w:ascii="Times New Roman" w:hAnsi="Times New Roman" w:eastAsia="宋体" w:cs="Times New Roman"/>
      <w:sz w:val="21"/>
      <w:shd w:val="clear" w:color="auto" w:fill="000080"/>
    </w:rPr>
  </w:style>
  <w:style w:type="paragraph" w:styleId="1081">
    <w:name w:val="引文目录标题1"/>
    <w:basedOn w:val="864"/>
    <w:next w:val="864"/>
    <w:link w:val="864"/>
    <w:qFormat/>
    <w:pPr>
      <w:spacing w:before="120" w:line="312" w:lineRule="atLeast"/>
    </w:pPr>
    <w:rPr>
      <w:rFonts w:ascii="Arial" w:hAnsi="Arial" w:eastAsia="宋体" w:cs="Times New Roman"/>
      <w:b/>
      <w:sz w:val="24"/>
    </w:rPr>
  </w:style>
  <w:style w:type="paragraph" w:styleId="1082">
    <w:name w:val="批注文字1"/>
    <w:basedOn w:val="864"/>
    <w:next w:val="1082"/>
    <w:link w:val="1083"/>
    <w:uiPriority w:val="99"/>
    <w:qFormat/>
    <w:pPr>
      <w:jc w:val="left"/>
    </w:pPr>
  </w:style>
  <w:style w:type="character" w:styleId="1083">
    <w:name w:val="批注文字 字符"/>
    <w:next w:val="1083"/>
    <w:link w:val="1082"/>
    <w:uiPriority w:val="99"/>
    <w:qFormat/>
    <w:rPr>
      <w:rFonts w:ascii="Times New Roman" w:hAnsi="Times New Roman" w:eastAsia="宋体" w:cs="Times New Roman"/>
      <w:sz w:val="21"/>
      <w:szCs w:val="24"/>
    </w:rPr>
  </w:style>
  <w:style w:type="paragraph" w:styleId="1084">
    <w:name w:val="正文文本 31"/>
    <w:basedOn w:val="864"/>
    <w:next w:val="1084"/>
    <w:link w:val="1085"/>
    <w:qFormat/>
    <w:pPr>
      <w:spacing w:after="120"/>
    </w:pPr>
    <w:rPr>
      <w:sz w:val="16"/>
      <w:szCs w:val="16"/>
    </w:rPr>
  </w:style>
  <w:style w:type="character" w:styleId="1085">
    <w:name w:val="正文文本 3 字符"/>
    <w:next w:val="1085"/>
    <w:link w:val="1084"/>
    <w:qFormat/>
    <w:rPr>
      <w:rFonts w:ascii="Times New Roman" w:hAnsi="Times New Roman" w:eastAsia="宋体" w:cs="Times New Roman"/>
      <w:sz w:val="16"/>
      <w:szCs w:val="16"/>
    </w:rPr>
  </w:style>
  <w:style w:type="paragraph" w:styleId="1086">
    <w:name w:val="正文文本1"/>
    <w:basedOn w:val="864"/>
    <w:next w:val="1086"/>
    <w:link w:val="1087"/>
    <w:qFormat/>
    <w:pPr>
      <w:jc w:val="center"/>
    </w:pPr>
    <w:rPr>
      <w:rFonts w:ascii="方正大黑简体" w:eastAsia="方正大黑简体"/>
      <w:position w:val="6"/>
      <w:sz w:val="30"/>
      <w:szCs w:val="20"/>
    </w:rPr>
  </w:style>
  <w:style w:type="character" w:styleId="1087">
    <w:name w:val="正文文本 字符"/>
    <w:next w:val="1087"/>
    <w:link w:val="1086"/>
    <w:qFormat/>
    <w:rPr>
      <w:rFonts w:ascii="方正大黑简体" w:hAnsi="Times New Roman" w:eastAsia="方正大黑简体" w:cs="Times New Roman"/>
      <w:position w:val="6"/>
      <w:sz w:val="30"/>
      <w:lang w:val="en-US" w:eastAsia="zh-CN" w:bidi="ar-SA"/>
    </w:rPr>
  </w:style>
  <w:style w:type="paragraph" w:styleId="1088">
    <w:name w:val="正文文本缩进11"/>
    <w:basedOn w:val="864"/>
    <w:next w:val="1088"/>
    <w:link w:val="1089"/>
    <w:qFormat/>
    <w:pPr>
      <w:ind w:left="570"/>
      <w:spacing w:line="520" w:lineRule="exact"/>
    </w:pPr>
    <w:rPr>
      <w:rFonts w:ascii="方正仿宋简体" w:hAnsi="创艺简仿宋" w:eastAsia="方正仿宋简体"/>
      <w:sz w:val="24"/>
      <w:szCs w:val="20"/>
    </w:rPr>
  </w:style>
  <w:style w:type="character" w:styleId="1089">
    <w:name w:val="正文文本缩进 字符"/>
    <w:next w:val="1089"/>
    <w:link w:val="1088"/>
    <w:qFormat/>
    <w:rPr>
      <w:rFonts w:ascii="方正仿宋简体" w:hAnsi="创艺简仿宋" w:eastAsia="方正仿宋简体" w:cs="Times New Roman"/>
      <w:sz w:val="24"/>
      <w:lang w:val="en-US" w:eastAsia="zh-CN" w:bidi="ar-SA"/>
    </w:rPr>
  </w:style>
  <w:style w:type="paragraph" w:styleId="1090">
    <w:name w:val="列表 21"/>
    <w:basedOn w:val="864"/>
    <w:next w:val="1090"/>
    <w:link w:val="864"/>
    <w:qFormat/>
    <w:pPr>
      <w:ind w:left="100" w:hanging="200"/>
    </w:pPr>
    <w:rPr>
      <w:rFonts w:ascii="Times New Roman" w:hAnsi="Times New Roman" w:eastAsia="宋体" w:cs="Times New Roman"/>
    </w:rPr>
  </w:style>
  <w:style w:type="paragraph" w:styleId="1091">
    <w:name w:val="HTML 地址1"/>
    <w:basedOn w:val="864"/>
    <w:next w:val="1091"/>
    <w:link w:val="1092"/>
    <w:unhideWhenUsed/>
    <w:qFormat/>
    <w:rPr>
      <w:i/>
      <w:iCs/>
      <w:szCs w:val="21"/>
    </w:rPr>
  </w:style>
  <w:style w:type="character" w:styleId="1092">
    <w:name w:val="HTML 地址 字符"/>
    <w:next w:val="1092"/>
    <w:link w:val="1091"/>
    <w:qFormat/>
    <w:rPr>
      <w:rFonts w:ascii="Times New Roman" w:hAnsi="Times New Roman" w:eastAsia="宋体" w:cs="Times New Roman"/>
      <w:i/>
      <w:iCs/>
      <w:sz w:val="21"/>
      <w:szCs w:val="21"/>
    </w:rPr>
  </w:style>
  <w:style w:type="paragraph" w:styleId="1093">
    <w:name w:val="目录 51"/>
    <w:basedOn w:val="864"/>
    <w:next w:val="864"/>
    <w:link w:val="864"/>
    <w:qFormat/>
    <w:pPr>
      <w:ind w:left="1680"/>
    </w:pPr>
    <w:rPr>
      <w:rFonts w:ascii="Calibri" w:hAnsi="Calibri" w:eastAsia="宋体" w:cs="Times New Roman"/>
      <w:szCs w:val="22"/>
    </w:rPr>
  </w:style>
  <w:style w:type="paragraph" w:styleId="1094">
    <w:name w:val="目录 31"/>
    <w:basedOn w:val="864"/>
    <w:next w:val="864"/>
    <w:link w:val="864"/>
    <w:uiPriority w:val="39"/>
    <w:qFormat/>
    <w:pPr>
      <w:ind w:left="840"/>
    </w:pPr>
    <w:rPr>
      <w:rFonts w:ascii="Times New Roman" w:hAnsi="Times New Roman" w:eastAsia="宋体" w:cs="Times New Roman"/>
    </w:rPr>
  </w:style>
  <w:style w:type="paragraph" w:styleId="1095">
    <w:name w:val="纯文本112"/>
    <w:basedOn w:val="864"/>
    <w:next w:val="1095"/>
    <w:link w:val="1096"/>
    <w:qFormat/>
    <w:rPr>
      <w:rFonts w:ascii="宋体" w:hAnsi="Courier New" w:eastAsia="楷体_GB2312"/>
      <w:sz w:val="28"/>
      <w:szCs w:val="20"/>
    </w:rPr>
  </w:style>
  <w:style w:type="character" w:styleId="1096">
    <w:name w:val="纯文本 字符"/>
    <w:next w:val="1096"/>
    <w:link w:val="1095"/>
    <w:qFormat/>
    <w:rPr>
      <w:rFonts w:ascii="宋体" w:hAnsi="Courier New" w:eastAsia="楷体_GB2312" w:cs="Times New Roman"/>
      <w:sz w:val="28"/>
      <w:lang w:val="en-US" w:eastAsia="zh-CN" w:bidi="ar-SA"/>
    </w:rPr>
  </w:style>
  <w:style w:type="paragraph" w:styleId="1097">
    <w:name w:val="目录 81"/>
    <w:basedOn w:val="864"/>
    <w:next w:val="864"/>
    <w:link w:val="864"/>
    <w:qFormat/>
    <w:pPr>
      <w:ind w:left="2940"/>
    </w:pPr>
    <w:rPr>
      <w:rFonts w:ascii="Calibri" w:hAnsi="Calibri" w:eastAsia="宋体" w:cs="Times New Roman"/>
      <w:szCs w:val="22"/>
    </w:rPr>
  </w:style>
  <w:style w:type="paragraph" w:styleId="1098">
    <w:name w:val="日期1"/>
    <w:basedOn w:val="864"/>
    <w:next w:val="864"/>
    <w:link w:val="1099"/>
    <w:qFormat/>
    <w:rPr>
      <w:rFonts w:ascii="宋体" w:hAnsi="宋体" w:eastAsia="楷体_GB2312"/>
      <w:sz w:val="24"/>
      <w:szCs w:val="20"/>
    </w:rPr>
  </w:style>
  <w:style w:type="character" w:styleId="1099">
    <w:name w:val="日期 字符"/>
    <w:next w:val="1099"/>
    <w:link w:val="1098"/>
    <w:qFormat/>
    <w:rPr>
      <w:rFonts w:ascii="宋体" w:hAnsi="宋体" w:eastAsia="楷体_GB2312" w:cs="Times New Roman"/>
      <w:sz w:val="24"/>
    </w:rPr>
  </w:style>
  <w:style w:type="paragraph" w:styleId="1100">
    <w:name w:val="正文文本缩进 21"/>
    <w:basedOn w:val="864"/>
    <w:next w:val="1100"/>
    <w:link w:val="1101"/>
    <w:qFormat/>
    <w:pPr>
      <w:ind w:firstLine="540"/>
      <w:spacing w:line="360" w:lineRule="auto"/>
    </w:pPr>
    <w:rPr>
      <w:rFonts w:ascii="宋体" w:hAnsi="宋体"/>
      <w:sz w:val="24"/>
    </w:rPr>
  </w:style>
  <w:style w:type="character" w:styleId="1101">
    <w:name w:val="正文文本缩进 2 字符"/>
    <w:next w:val="1101"/>
    <w:link w:val="1100"/>
    <w:qFormat/>
    <w:rPr>
      <w:rFonts w:ascii="宋体" w:hAnsi="宋体" w:eastAsia="宋体" w:cs="Times New Roman"/>
      <w:sz w:val="24"/>
      <w:szCs w:val="24"/>
      <w:lang w:val="en-US" w:eastAsia="zh-CN" w:bidi="ar-SA"/>
    </w:rPr>
  </w:style>
  <w:style w:type="paragraph" w:styleId="1102">
    <w:name w:val="批注框文本1"/>
    <w:basedOn w:val="864"/>
    <w:next w:val="1102"/>
    <w:link w:val="1103"/>
    <w:qFormat/>
    <w:rPr>
      <w:rFonts w:ascii="Calibri" w:hAnsi="Calibri"/>
      <w:sz w:val="18"/>
      <w:szCs w:val="18"/>
    </w:rPr>
  </w:style>
  <w:style w:type="character" w:styleId="1103">
    <w:name w:val="批注框文本 字符"/>
    <w:next w:val="1103"/>
    <w:link w:val="1102"/>
    <w:qFormat/>
    <w:rPr>
      <w:rFonts w:ascii="Calibri" w:hAnsi="Calibri" w:eastAsia="宋体" w:cs="Times New Roman"/>
      <w:sz w:val="18"/>
      <w:szCs w:val="18"/>
      <w:lang w:val="en-US" w:eastAsia="zh-CN" w:bidi="ar-SA"/>
    </w:rPr>
  </w:style>
  <w:style w:type="paragraph" w:styleId="1104">
    <w:name w:val="页脚1"/>
    <w:basedOn w:val="864"/>
    <w:next w:val="1104"/>
    <w:link w:val="1105"/>
    <w:uiPriority w:val="99"/>
    <w:qFormat/>
    <w:pPr>
      <w:jc w:val="left"/>
      <w:tabs>
        <w:tab w:val="center" w:pos="4153" w:leader="none"/>
        <w:tab w:val="right" w:pos="8306" w:leader="none"/>
      </w:tabs>
    </w:pPr>
    <w:rPr>
      <w:sz w:val="18"/>
      <w:szCs w:val="18"/>
    </w:rPr>
  </w:style>
  <w:style w:type="character" w:styleId="1105">
    <w:name w:val="页脚 字符1"/>
    <w:next w:val="1105"/>
    <w:link w:val="1104"/>
    <w:uiPriority w:val="99"/>
    <w:qFormat/>
    <w:rPr>
      <w:rFonts w:ascii="Times New Roman" w:hAnsi="Times New Roman" w:eastAsia="宋体" w:cs="Times New Roman"/>
      <w:sz w:val="18"/>
      <w:szCs w:val="18"/>
      <w:lang w:val="en-US" w:eastAsia="zh-CN" w:bidi="ar-SA"/>
    </w:rPr>
  </w:style>
  <w:style w:type="paragraph" w:styleId="1106">
    <w:name w:val="页眉1"/>
    <w:basedOn w:val="864"/>
    <w:next w:val="1106"/>
    <w:link w:val="1107"/>
    <w:qFormat/>
    <w:pPr>
      <w:jc w:val="center"/>
      <w:tabs>
        <w:tab w:val="center" w:pos="4153" w:leader="none"/>
        <w:tab w:val="right" w:pos="8306" w:leader="none"/>
      </w:tabs>
      <w:pBdr>
        <w:bottom w:val="single" w:color="000000" w:sz="6" w:space="1"/>
      </w:pBdr>
    </w:pPr>
    <w:rPr>
      <w:rFonts w:eastAsia="楷体_GB2312"/>
      <w:sz w:val="18"/>
      <w:szCs w:val="20"/>
    </w:rPr>
  </w:style>
  <w:style w:type="character" w:styleId="1107">
    <w:name w:val="页眉 字符"/>
    <w:next w:val="1107"/>
    <w:link w:val="1106"/>
    <w:uiPriority w:val="99"/>
    <w:qFormat/>
    <w:rPr>
      <w:rFonts w:ascii="Times New Roman" w:hAnsi="Times New Roman" w:eastAsia="楷体_GB2312" w:cs="Times New Roman"/>
      <w:sz w:val="18"/>
      <w:lang w:val="en-US" w:eastAsia="zh-CN" w:bidi="ar-SA"/>
    </w:rPr>
  </w:style>
  <w:style w:type="paragraph" w:styleId="1108">
    <w:name w:val="目录 11"/>
    <w:basedOn w:val="864"/>
    <w:next w:val="864"/>
    <w:link w:val="864"/>
    <w:uiPriority w:val="39"/>
    <w:qFormat/>
    <w:pPr>
      <w:spacing w:line="360" w:lineRule="auto"/>
      <w:tabs>
        <w:tab w:val="right" w:pos="8296" w:leader="dot"/>
      </w:tabs>
    </w:pPr>
    <w:rPr>
      <w:rFonts w:ascii="宋体" w:hAnsi="宋体" w:eastAsia="宋体" w:cs="Times New Roman"/>
      <w:b/>
      <w:lang w:val="en-US" w:eastAsia="zh-CN"/>
    </w:rPr>
  </w:style>
  <w:style w:type="paragraph" w:styleId="1109">
    <w:name w:val="列表接续 41"/>
    <w:basedOn w:val="864"/>
    <w:next w:val="1109"/>
    <w:link w:val="864"/>
    <w:qFormat/>
    <w:pPr>
      <w:ind w:left="1680"/>
      <w:spacing w:after="120"/>
    </w:pPr>
    <w:rPr>
      <w:rFonts w:ascii="Calibri" w:hAnsi="Calibri" w:eastAsia="宋体" w:cs="Times New Roman"/>
    </w:rPr>
  </w:style>
  <w:style w:type="paragraph" w:styleId="1110">
    <w:name w:val="目录 41"/>
    <w:basedOn w:val="864"/>
    <w:next w:val="864"/>
    <w:link w:val="864"/>
    <w:uiPriority w:val="39"/>
    <w:qFormat/>
    <w:pPr>
      <w:ind w:left="1260"/>
    </w:pPr>
    <w:rPr>
      <w:rFonts w:ascii="Calibri" w:hAnsi="Calibri" w:eastAsia="宋体" w:cs="Times New Roman"/>
      <w:szCs w:val="22"/>
    </w:rPr>
  </w:style>
  <w:style w:type="paragraph" w:styleId="1111">
    <w:name w:val="索引标题1"/>
    <w:basedOn w:val="864"/>
    <w:next w:val="1112"/>
    <w:link w:val="864"/>
    <w:qFormat/>
    <w:rPr>
      <w:rFonts w:ascii="Arial" w:hAnsi="Arial" w:eastAsia="宋体" w:cs="Arial"/>
      <w:b/>
      <w:bCs/>
    </w:rPr>
  </w:style>
  <w:style w:type="paragraph" w:styleId="1112">
    <w:name w:val="索引 11"/>
    <w:basedOn w:val="864"/>
    <w:next w:val="864"/>
    <w:link w:val="864"/>
    <w:qFormat/>
    <w:pPr>
      <w:jc w:val="center"/>
      <w:spacing w:line="270" w:lineRule="atLeast"/>
      <w:widowControl/>
    </w:pPr>
    <w:rPr>
      <w:rFonts w:ascii="宋体" w:hAnsi="宋体" w:eastAsia="宋体" w:cs="Times New Roman"/>
      <w:b/>
      <w:szCs w:val="18"/>
    </w:rPr>
  </w:style>
  <w:style w:type="paragraph" w:styleId="1113">
    <w:name w:val="副标题1"/>
    <w:basedOn w:val="864"/>
    <w:next w:val="864"/>
    <w:link w:val="1114"/>
    <w:qFormat/>
    <w:pPr>
      <w:jc w:val="center"/>
      <w:spacing w:before="240" w:after="60" w:line="312" w:lineRule="auto"/>
      <w:outlineLvl w:val="1"/>
    </w:pPr>
    <w:rPr>
      <w:rFonts w:ascii="Cambria" w:hAnsi="Cambria"/>
      <w:b/>
      <w:bCs/>
      <w:sz w:val="32"/>
      <w:szCs w:val="32"/>
    </w:rPr>
  </w:style>
  <w:style w:type="character" w:styleId="1114">
    <w:name w:val="副标题 字符"/>
    <w:next w:val="1114"/>
    <w:link w:val="1113"/>
    <w:qFormat/>
    <w:rPr>
      <w:rFonts w:ascii="Cambria" w:hAnsi="Cambria" w:eastAsia="宋体" w:cs="Times New Roman"/>
      <w:b/>
      <w:bCs/>
      <w:sz w:val="32"/>
      <w:szCs w:val="32"/>
    </w:rPr>
  </w:style>
  <w:style w:type="paragraph" w:styleId="1115">
    <w:name w:val="目录 61"/>
    <w:basedOn w:val="864"/>
    <w:next w:val="864"/>
    <w:link w:val="864"/>
    <w:qFormat/>
    <w:pPr>
      <w:ind w:left="2100"/>
    </w:pPr>
    <w:rPr>
      <w:rFonts w:ascii="Calibri" w:hAnsi="Calibri" w:eastAsia="宋体" w:cs="Times New Roman"/>
      <w:szCs w:val="22"/>
    </w:rPr>
  </w:style>
  <w:style w:type="paragraph" w:styleId="1116">
    <w:name w:val="正文文本缩进 31"/>
    <w:basedOn w:val="864"/>
    <w:next w:val="1116"/>
    <w:link w:val="1117"/>
    <w:qFormat/>
    <w:pPr>
      <w:ind w:left="420"/>
      <w:spacing w:after="120"/>
    </w:pPr>
    <w:rPr>
      <w:sz w:val="16"/>
      <w:szCs w:val="16"/>
    </w:rPr>
  </w:style>
  <w:style w:type="character" w:styleId="1117">
    <w:name w:val="正文文本缩进 3 字符"/>
    <w:next w:val="1117"/>
    <w:link w:val="1116"/>
    <w:qFormat/>
    <w:rPr>
      <w:rFonts w:ascii="Times New Roman" w:hAnsi="Times New Roman" w:eastAsia="宋体" w:cs="Times New Roman"/>
      <w:sz w:val="16"/>
      <w:szCs w:val="16"/>
    </w:rPr>
  </w:style>
  <w:style w:type="paragraph" w:styleId="1118">
    <w:name w:val="目录 21"/>
    <w:basedOn w:val="864"/>
    <w:next w:val="864"/>
    <w:link w:val="864"/>
    <w:uiPriority w:val="39"/>
    <w:qFormat/>
    <w:pPr>
      <w:ind w:left="420"/>
    </w:pPr>
    <w:rPr>
      <w:rFonts w:ascii="Times New Roman" w:hAnsi="Times New Roman" w:eastAsia="宋体" w:cs="Times New Roman"/>
      <w:szCs w:val="20"/>
    </w:rPr>
  </w:style>
  <w:style w:type="paragraph" w:styleId="1119">
    <w:name w:val="目录 91"/>
    <w:basedOn w:val="864"/>
    <w:next w:val="864"/>
    <w:link w:val="864"/>
    <w:qFormat/>
    <w:pPr>
      <w:ind w:left="3360"/>
    </w:pPr>
    <w:rPr>
      <w:rFonts w:ascii="Calibri" w:hAnsi="Calibri" w:eastAsia="宋体" w:cs="Times New Roman"/>
      <w:szCs w:val="22"/>
    </w:rPr>
  </w:style>
  <w:style w:type="paragraph" w:styleId="1120">
    <w:name w:val="正文文本 211"/>
    <w:basedOn w:val="864"/>
    <w:next w:val="1120"/>
    <w:link w:val="1121"/>
    <w:qFormat/>
    <w:pPr>
      <w:ind w:firstLine="250"/>
      <w:spacing w:after="120" w:line="480" w:lineRule="auto"/>
    </w:pPr>
    <w:rPr>
      <w:sz w:val="24"/>
    </w:rPr>
  </w:style>
  <w:style w:type="character" w:styleId="1121">
    <w:name w:val="正文文本 2 字符"/>
    <w:next w:val="1121"/>
    <w:link w:val="1120"/>
    <w:qFormat/>
    <w:rPr>
      <w:rFonts w:ascii="Times New Roman" w:hAnsi="Times New Roman" w:eastAsia="宋体" w:cs="Times New Roman"/>
      <w:sz w:val="24"/>
      <w:szCs w:val="24"/>
    </w:rPr>
  </w:style>
  <w:style w:type="paragraph" w:styleId="1122">
    <w:name w:val="列表接续 21"/>
    <w:basedOn w:val="864"/>
    <w:next w:val="1122"/>
    <w:link w:val="864"/>
    <w:qFormat/>
    <w:pPr>
      <w:ind w:left="840"/>
      <w:spacing w:after="120"/>
    </w:pPr>
    <w:rPr>
      <w:rFonts w:ascii="Calibri" w:hAnsi="Calibri" w:eastAsia="宋体" w:cs="Times New Roman"/>
    </w:rPr>
  </w:style>
  <w:style w:type="paragraph" w:styleId="1123">
    <w:name w:val="HTML 预设格式1"/>
    <w:basedOn w:val="864"/>
    <w:next w:val="1123"/>
    <w:link w:val="112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24">
    <w:name w:val="HTML 预设格式 字符"/>
    <w:next w:val="1124"/>
    <w:link w:val="1123"/>
    <w:qFormat/>
    <w:rPr>
      <w:rFonts w:ascii="宋体" w:hAnsi="宋体" w:eastAsia="宋体" w:cs="宋体"/>
      <w:sz w:val="24"/>
      <w:szCs w:val="24"/>
    </w:rPr>
  </w:style>
  <w:style w:type="paragraph" w:styleId="1125">
    <w:name w:val="普通(网站)1"/>
    <w:basedOn w:val="864"/>
    <w:next w:val="1125"/>
    <w:link w:val="864"/>
    <w:qFormat/>
    <w:pPr>
      <w:jc w:val="left"/>
      <w:spacing w:before="100" w:beforeAutospacing="1" w:after="100" w:afterAutospacing="1"/>
      <w:widowControl/>
    </w:pPr>
    <w:rPr>
      <w:rFonts w:ascii="宋体" w:hAnsi="宋体" w:eastAsia="宋体" w:cs="宋体"/>
      <w:sz w:val="24"/>
    </w:rPr>
  </w:style>
  <w:style w:type="paragraph" w:styleId="1126">
    <w:name w:val="标题1"/>
    <w:basedOn w:val="864"/>
    <w:next w:val="1126"/>
    <w:link w:val="1127"/>
    <w:qFormat/>
    <w:pPr>
      <w:jc w:val="center"/>
      <w:spacing w:before="240" w:after="60" w:line="360" w:lineRule="auto"/>
      <w:outlineLvl w:val="0"/>
    </w:pPr>
    <w:rPr>
      <w:rFonts w:ascii="宋体" w:hAnsi="宋体"/>
      <w:b/>
      <w:bCs/>
      <w:sz w:val="32"/>
      <w:szCs w:val="32"/>
    </w:rPr>
  </w:style>
  <w:style w:type="character" w:styleId="1127">
    <w:name w:val="标题 字符"/>
    <w:next w:val="1127"/>
    <w:link w:val="1126"/>
    <w:qFormat/>
    <w:rPr>
      <w:rFonts w:ascii="宋体" w:hAnsi="宋体" w:eastAsia="宋体" w:cs="Arial"/>
      <w:b/>
      <w:bCs/>
      <w:sz w:val="32"/>
      <w:szCs w:val="32"/>
    </w:rPr>
  </w:style>
  <w:style w:type="paragraph" w:styleId="1128">
    <w:name w:val="批注主题1"/>
    <w:basedOn w:val="1082"/>
    <w:next w:val="1082"/>
    <w:link w:val="1129"/>
    <w:qFormat/>
    <w:rPr>
      <w:b/>
      <w:bCs/>
    </w:rPr>
  </w:style>
  <w:style w:type="character" w:styleId="1129">
    <w:name w:val="批注主题 字符"/>
    <w:next w:val="1129"/>
    <w:link w:val="1128"/>
    <w:qFormat/>
    <w:rPr>
      <w:rFonts w:ascii="Times New Roman" w:hAnsi="Times New Roman" w:eastAsia="宋体" w:cs="Times New Roman"/>
      <w:b/>
      <w:bCs/>
      <w:sz w:val="21"/>
      <w:szCs w:val="24"/>
    </w:rPr>
  </w:style>
  <w:style w:type="paragraph" w:styleId="1130">
    <w:name w:val="正文首行缩进1"/>
    <w:basedOn w:val="1086"/>
    <w:next w:val="1130"/>
    <w:link w:val="1131"/>
    <w:qFormat/>
    <w:pPr>
      <w:ind w:firstLine="420"/>
      <w:jc w:val="both"/>
      <w:spacing w:after="120" w:line="300" w:lineRule="auto"/>
    </w:pPr>
    <w:rPr>
      <w:sz w:val="24"/>
      <w:szCs w:val="24"/>
    </w:rPr>
  </w:style>
  <w:style w:type="character" w:styleId="1131">
    <w:name w:val="正文文本首行缩进 字符"/>
    <w:next w:val="1131"/>
    <w:link w:val="1130"/>
    <w:qFormat/>
    <w:rPr>
      <w:rFonts w:ascii="方正大黑简体" w:hAnsi="Times New Roman" w:eastAsia="方正大黑简体" w:cs="Times New Roman"/>
      <w:position w:val="6"/>
      <w:sz w:val="24"/>
      <w:szCs w:val="24"/>
      <w:lang w:val="en-US" w:eastAsia="zh-CN" w:bidi="ar-SA"/>
    </w:rPr>
  </w:style>
  <w:style w:type="paragraph" w:styleId="1132">
    <w:name w:val="正文首行缩进 21"/>
    <w:basedOn w:val="1088"/>
    <w:next w:val="1132"/>
    <w:link w:val="1133"/>
    <w:qFormat/>
    <w:pPr>
      <w:ind w:left="420" w:firstLine="420"/>
      <w:spacing w:after="120" w:line="240" w:lineRule="auto"/>
    </w:pPr>
    <w:rPr>
      <w:rFonts w:ascii="Tahoma" w:hAnsi="Tahoma"/>
      <w:sz w:val="21"/>
      <w:szCs w:val="24"/>
    </w:rPr>
  </w:style>
  <w:style w:type="character" w:styleId="1133">
    <w:name w:val="正文文本首行缩进 2 字符"/>
    <w:next w:val="1133"/>
    <w:link w:val="1132"/>
    <w:qFormat/>
    <w:rPr>
      <w:rFonts w:ascii="Tahoma" w:hAnsi="Tahoma" w:eastAsia="方正仿宋简体" w:cs="Times New Roman"/>
      <w:sz w:val="21"/>
      <w:szCs w:val="24"/>
      <w:lang w:val="en-US" w:eastAsia="zh-CN" w:bidi="ar-SA"/>
    </w:rPr>
  </w:style>
  <w:style w:type="table" w:styleId="1134">
    <w:name w:val="网格型11"/>
    <w:basedOn w:val="1073"/>
    <w:next w:val="1134"/>
    <w:link w:val="864"/>
    <w:uiPriority w:val="39"/>
    <w:qFormat/>
    <w:pPr>
      <w:jc w:val="both"/>
      <w:widowControl w:val="off"/>
    </w:pPr>
    <w:rPr>
      <w:rFonts w:ascii="Times New Roman" w:hAnsi="Times New Roman" w:eastAsia="宋体" w:cs="Times New Roman"/>
    </w:rPr>
    <w:tblPr/>
  </w:style>
  <w:style w:type="table" w:styleId="1135">
    <w:name w:val="网格型 11"/>
    <w:basedOn w:val="1073"/>
    <w:next w:val="1135"/>
    <w:link w:val="864"/>
    <w:qFormat/>
    <w:pPr>
      <w:jc w:val="both"/>
      <w:widowControl w:val="off"/>
    </w:pPr>
    <w:rPr>
      <w:rFonts w:ascii="Times New Roman" w:hAnsi="Times New Roman" w:eastAsia="宋体" w:cs="Times New Roman"/>
    </w:rPr>
    <w:tblPr/>
  </w:style>
  <w:style w:type="table" w:styleId="1136">
    <w:name w:val="网格型 81"/>
    <w:basedOn w:val="1073"/>
    <w:next w:val="1136"/>
    <w:link w:val="864"/>
    <w:qFormat/>
    <w:pPr>
      <w:ind w:firstLine="250"/>
      <w:jc w:val="both"/>
      <w:spacing w:line="300" w:lineRule="auto"/>
      <w:widowControl w:val="off"/>
    </w:pPr>
    <w:rPr>
      <w:rFonts w:ascii="Times New Roman" w:hAnsi="Times New Roman" w:eastAsia="宋体" w:cs="Times New Roman"/>
    </w:rPr>
    <w:tblPr/>
  </w:style>
  <w:style w:type="table" w:styleId="1137">
    <w:name w:val="专业型1"/>
    <w:basedOn w:val="1073"/>
    <w:next w:val="1137"/>
    <w:link w:val="864"/>
    <w:qFormat/>
    <w:pPr>
      <w:ind w:firstLine="250"/>
      <w:jc w:val="both"/>
      <w:spacing w:line="300" w:lineRule="auto"/>
      <w:widowControl w:val="off"/>
    </w:pPr>
    <w:rPr>
      <w:rFonts w:ascii="Times New Roman" w:hAnsi="Times New Roman" w:eastAsia="宋体" w:cs="Times New Roman"/>
    </w:rPr>
    <w:tblPr/>
  </w:style>
  <w:style w:type="character" w:styleId="1138">
    <w:name w:val="要点1"/>
    <w:next w:val="1138"/>
    <w:link w:val="864"/>
    <w:uiPriority w:val="22"/>
    <w:qFormat/>
    <w:rPr>
      <w:rFonts w:ascii="Times New Roman" w:hAnsi="Times New Roman" w:eastAsia="宋体" w:cs="Times New Roman"/>
      <w:b/>
      <w:bCs/>
    </w:rPr>
  </w:style>
  <w:style w:type="character" w:styleId="1139">
    <w:name w:val="页码1"/>
    <w:next w:val="1139"/>
    <w:link w:val="864"/>
    <w:qFormat/>
    <w:rPr>
      <w:rFonts w:ascii="Times New Roman" w:hAnsi="Times New Roman" w:eastAsia="宋体" w:cs="Times New Roman"/>
    </w:rPr>
  </w:style>
  <w:style w:type="character" w:styleId="1140">
    <w:name w:val="已访问的超链接1"/>
    <w:next w:val="1140"/>
    <w:link w:val="864"/>
    <w:qFormat/>
    <w:rPr>
      <w:rFonts w:ascii="Times New Roman" w:hAnsi="Times New Roman" w:eastAsia="宋体" w:cs="Times New Roman"/>
      <w:color w:val="800080"/>
      <w:u w:val="single"/>
    </w:rPr>
  </w:style>
  <w:style w:type="character" w:styleId="1141">
    <w:name w:val="强调1"/>
    <w:next w:val="1141"/>
    <w:link w:val="864"/>
    <w:qFormat/>
    <w:rPr>
      <w:rFonts w:ascii="Times New Roman" w:hAnsi="Times New Roman" w:eastAsia="宋体" w:cs="Times New Roman"/>
      <w:b/>
      <w:bCs/>
    </w:rPr>
  </w:style>
  <w:style w:type="character" w:styleId="1142">
    <w:name w:val="HTML 打字机1"/>
    <w:next w:val="1142"/>
    <w:link w:val="864"/>
    <w:qFormat/>
    <w:rPr>
      <w:rFonts w:ascii="黑体" w:hAnsi="Courier New" w:eastAsia="黑体" w:cs="Courier New"/>
      <w:sz w:val="14"/>
      <w:szCs w:val="14"/>
    </w:rPr>
  </w:style>
  <w:style w:type="character" w:styleId="1143">
    <w:name w:val="超链接1"/>
    <w:next w:val="1143"/>
    <w:link w:val="864"/>
    <w:uiPriority w:val="99"/>
    <w:qFormat/>
    <w:rPr>
      <w:rFonts w:ascii="Times New Roman" w:hAnsi="Times New Roman" w:eastAsia="宋体" w:cs="Times New Roman"/>
      <w:color w:val="0000ff"/>
      <w:u w:val="single"/>
    </w:rPr>
  </w:style>
  <w:style w:type="character" w:styleId="1144">
    <w:name w:val="批注引用1"/>
    <w:next w:val="1144"/>
    <w:link w:val="864"/>
    <w:uiPriority w:val="99"/>
    <w:qFormat/>
    <w:rPr>
      <w:rFonts w:ascii="Times New Roman" w:hAnsi="Times New Roman" w:eastAsia="宋体" w:cs="Times New Roman"/>
      <w:sz w:val="21"/>
      <w:szCs w:val="21"/>
    </w:rPr>
  </w:style>
  <w:style w:type="character" w:styleId="1145">
    <w:name w:val="第一章 标题 2 Char Char"/>
    <w:next w:val="1145"/>
    <w:link w:val="864"/>
    <w:qFormat/>
    <w:rPr>
      <w:rFonts w:ascii="Arial" w:hAnsi="Arial" w:eastAsia="黑体" w:cs="Times New Roman"/>
      <w:b/>
      <w:bCs/>
      <w:sz w:val="32"/>
      <w:szCs w:val="32"/>
    </w:rPr>
  </w:style>
  <w:style w:type="character" w:styleId="1146">
    <w:name w:val="newsbg1"/>
    <w:next w:val="1146"/>
    <w:link w:val="864"/>
    <w:qFormat/>
    <w:rPr>
      <w:rFonts w:ascii="Times New Roman" w:hAnsi="Times New Roman" w:eastAsia="宋体" w:cs="Times New Roman"/>
    </w:rPr>
  </w:style>
  <w:style w:type="character" w:styleId="1147">
    <w:name w:val="加点正文缩进 Char"/>
    <w:next w:val="1147"/>
    <w:link w:val="1148"/>
    <w:qFormat/>
    <w:rPr>
      <w:rFonts w:ascii="宋体" w:hAnsi="宋体" w:eastAsia="宋体" w:cs="Times New Roman"/>
      <w:sz w:val="24"/>
      <w:szCs w:val="24"/>
    </w:rPr>
  </w:style>
  <w:style w:type="paragraph" w:styleId="1148">
    <w:name w:val="加点正文缩进"/>
    <w:basedOn w:val="864"/>
    <w:next w:val="1148"/>
    <w:link w:val="1147"/>
    <w:qFormat/>
    <w:pPr>
      <w:ind w:left="840" w:hanging="420"/>
      <w:spacing w:line="300" w:lineRule="auto"/>
      <w:tabs>
        <w:tab w:val="left" w:pos="840" w:leader="none"/>
      </w:tabs>
    </w:pPr>
    <w:rPr>
      <w:rFonts w:ascii="宋体" w:hAnsi="宋体"/>
      <w:sz w:val="24"/>
    </w:rPr>
  </w:style>
  <w:style w:type="character" w:styleId="1149">
    <w:name w:val="font-12"/>
    <w:next w:val="1149"/>
    <w:link w:val="864"/>
    <w:qFormat/>
    <w:rPr>
      <w:rFonts w:ascii="Times New Roman" w:hAnsi="Times New Roman" w:eastAsia="宋体" w:cs="Times New Roman"/>
    </w:rPr>
  </w:style>
  <w:style w:type="character" w:styleId="1150">
    <w:name w:val="xiangxicanshu_txt21"/>
    <w:next w:val="1150"/>
    <w:link w:val="864"/>
    <w:qFormat/>
    <w:rPr>
      <w:rFonts w:ascii="Arial" w:hAnsi="Arial" w:eastAsia="宋体" w:cs="Arial"/>
      <w:color w:val="6f6f6f"/>
      <w:sz w:val="18"/>
      <w:szCs w:val="18"/>
    </w:rPr>
  </w:style>
  <w:style w:type="character" w:styleId="1151">
    <w:name w:val="biaoti1"/>
    <w:next w:val="1151"/>
    <w:link w:val="864"/>
    <w:qFormat/>
    <w:rPr>
      <w:rFonts w:ascii="Tahoma" w:hAnsi="Tahoma" w:eastAsia="宋体" w:cs="Times New Roman"/>
      <w:b/>
      <w:bCs/>
      <w:color w:val="336699"/>
      <w:sz w:val="21"/>
      <w:szCs w:val="21"/>
      <w:u w:val="none"/>
      <w:lang w:val="en-US" w:eastAsia="zh-CN" w:bidi="ar-SA"/>
    </w:rPr>
  </w:style>
  <w:style w:type="character" w:styleId="1152">
    <w:name w:val="style2 style26"/>
    <w:next w:val="1152"/>
    <w:link w:val="864"/>
    <w:qFormat/>
    <w:rPr>
      <w:rFonts w:ascii="Times New Roman" w:hAnsi="Times New Roman" w:eastAsia="宋体" w:cs="Times New Roman"/>
    </w:rPr>
  </w:style>
  <w:style w:type="character" w:styleId="1153">
    <w:name w:val="unnamed31"/>
    <w:next w:val="1153"/>
    <w:link w:val="864"/>
    <w:qFormat/>
    <w:rPr>
      <w:rFonts w:hint="eastAsia" w:ascii="宋体" w:hAnsi="宋体" w:eastAsia="宋体" w:cs="Times New Roman"/>
      <w:color w:val="000099"/>
      <w:spacing w:val="0"/>
      <w:sz w:val="18"/>
      <w:szCs w:val="18"/>
      <w:u w:val="none"/>
    </w:rPr>
  </w:style>
  <w:style w:type="character" w:styleId="1154">
    <w:name w:val="Formatvorlage Formatvorlage Links:  0&quot; Hängend:  13.5 ch + MingLiU Zchn"/>
    <w:next w:val="1154"/>
    <w:link w:val="1155"/>
    <w:qFormat/>
    <w:rPr>
      <w:rFonts w:ascii="Arial" w:hAnsi="Arial" w:eastAsia="Times New Roman" w:cs="Times New Roman"/>
      <w:sz w:val="24"/>
    </w:rPr>
  </w:style>
  <w:style w:type="paragraph" w:styleId="1155">
    <w:name w:val="Formatvorlage Formatvorlage Links:  0&quot; Hängend:  13.5 ch + MingLiU"/>
    <w:basedOn w:val="864"/>
    <w:next w:val="1155"/>
    <w:link w:val="1154"/>
    <w:qFormat/>
    <w:pPr>
      <w:ind w:left="3240" w:hanging="3240"/>
    </w:pPr>
    <w:rPr>
      <w:rFonts w:ascii="Arial" w:hAnsi="Arial" w:eastAsia="Times New Roman"/>
      <w:sz w:val="24"/>
      <w:szCs w:val="20"/>
    </w:rPr>
  </w:style>
  <w:style w:type="character" w:styleId="1156">
    <w:name w:val="NICMAN Body Text Char Char"/>
    <w:next w:val="1156"/>
    <w:link w:val="864"/>
    <w:qFormat/>
    <w:rPr>
      <w:rFonts w:ascii="方正大黑简体" w:hAnsi="Times New Roman" w:eastAsia="方正大黑简体" w:cs="Times New Roman"/>
      <w:position w:val="6"/>
      <w:sz w:val="30"/>
      <w:lang w:val="en-US" w:eastAsia="zh-CN" w:bidi="ar-SA"/>
    </w:rPr>
  </w:style>
  <w:style w:type="character" w:styleId="1157">
    <w:name w:val="para"/>
    <w:next w:val="1157"/>
    <w:link w:val="864"/>
    <w:qFormat/>
    <w:rPr>
      <w:rFonts w:ascii="Times New Roman" w:hAnsi="Times New Roman" w:eastAsia="宋体" w:cs="Times New Roman"/>
    </w:rPr>
  </w:style>
  <w:style w:type="character" w:styleId="1158">
    <w:name w:val="fontstyle01"/>
    <w:next w:val="1158"/>
    <w:link w:val="864"/>
    <w:qFormat/>
    <w:rPr>
      <w:rFonts w:hint="eastAsia" w:ascii="宋体" w:hAnsi="宋体" w:eastAsia="宋体" w:cs="Times New Roman"/>
      <w:color w:val="000000"/>
      <w:sz w:val="24"/>
      <w:szCs w:val="24"/>
    </w:rPr>
  </w:style>
  <w:style w:type="character" w:styleId="1159">
    <w:name w:val="param_td12"/>
    <w:next w:val="1159"/>
    <w:link w:val="864"/>
    <w:qFormat/>
    <w:rPr>
      <w:rFonts w:ascii="Times New Roman" w:hAnsi="Times New Roman" w:eastAsia="宋体" w:cs="Times New Roman"/>
    </w:rPr>
  </w:style>
  <w:style w:type="character" w:styleId="1160">
    <w:name w:val="p_inzi1"/>
    <w:next w:val="1160"/>
    <w:link w:val="864"/>
    <w:qFormat/>
    <w:rPr>
      <w:rFonts w:ascii="Times New Roman" w:hAnsi="Times New Roman" w:eastAsia="宋体" w:cs="Times New Roman"/>
      <w:color w:val="171717"/>
      <w:sz w:val="17"/>
      <w:szCs w:val="17"/>
    </w:rPr>
  </w:style>
  <w:style w:type="character" w:styleId="1161">
    <w:name w:val="标题 8 Char1"/>
    <w:next w:val="1161"/>
    <w:link w:val="864"/>
    <w:qFormat/>
    <w:rPr>
      <w:rFonts w:ascii="Cambria" w:hAnsi="Cambria" w:eastAsia="宋体" w:cs="Times New Roman"/>
      <w:sz w:val="24"/>
      <w:szCs w:val="24"/>
    </w:rPr>
  </w:style>
  <w:style w:type="character" w:styleId="1162">
    <w:name w:val="页脚 Char1"/>
    <w:next w:val="1162"/>
    <w:link w:val="864"/>
    <w:qFormat/>
    <w:rPr>
      <w:rFonts w:ascii="Times New Roman" w:hAnsi="Times New Roman" w:eastAsia="宋体" w:cs="Times New Roman"/>
      <w:sz w:val="18"/>
      <w:szCs w:val="18"/>
    </w:rPr>
  </w:style>
  <w:style w:type="character" w:styleId="1163">
    <w:name w:val="标题 2 Char Char"/>
    <w:next w:val="1163"/>
    <w:link w:val="864"/>
    <w:qFormat/>
    <w:rPr>
      <w:rFonts w:ascii="Arial" w:hAnsi="Arial" w:eastAsia="黑体" w:cs="Times New Roman"/>
      <w:b/>
      <w:spacing w:val="-6"/>
      <w:sz w:val="30"/>
      <w:szCs w:val="32"/>
      <w:lang w:val="en-US" w:eastAsia="zh-CN" w:bidi="ar-SA"/>
    </w:rPr>
  </w:style>
  <w:style w:type="character" w:styleId="1164">
    <w:name w:val="华宇段落1 Char Char"/>
    <w:next w:val="1164"/>
    <w:link w:val="864"/>
    <w:qFormat/>
    <w:rPr>
      <w:rFonts w:ascii="Times New Roman" w:hAnsi="Times New Roman" w:eastAsia="宋体" w:cs="Times New Roman"/>
      <w:sz w:val="24"/>
      <w:lang w:val="en-US" w:eastAsia="zh-CN"/>
    </w:rPr>
  </w:style>
  <w:style w:type="character" w:styleId="1165">
    <w:name w:val="列表段落 字符"/>
    <w:next w:val="1165"/>
    <w:link w:val="864"/>
    <w:qFormat/>
    <w:rPr>
      <w:rFonts w:ascii="Calibri" w:hAnsi="Calibri"/>
      <w:sz w:val="24"/>
      <w:szCs w:val="22"/>
    </w:rPr>
  </w:style>
  <w:style w:type="character" w:styleId="1166">
    <w:name w:val="style2"/>
    <w:next w:val="1166"/>
    <w:link w:val="864"/>
    <w:qFormat/>
    <w:rPr>
      <w:rFonts w:ascii="Times New Roman" w:hAnsi="Times New Roman" w:eastAsia="宋体" w:cs="Times New Roman"/>
    </w:rPr>
  </w:style>
  <w:style w:type="character" w:styleId="1167">
    <w:name w:val="未处理的提及"/>
    <w:next w:val="1167"/>
    <w:link w:val="864"/>
    <w:uiPriority w:val="99"/>
    <w:unhideWhenUsed/>
    <w:qFormat/>
    <w:rPr>
      <w:rFonts w:ascii="Times New Roman" w:hAnsi="Times New Roman" w:eastAsia="宋体" w:cs="Times New Roman"/>
      <w:color w:val="605e5c"/>
      <w:shd w:val="clear" w:color="auto" w:fill="e1dfdd"/>
    </w:rPr>
  </w:style>
  <w:style w:type="character" w:styleId="1168">
    <w:name w:val="*正文 Char"/>
    <w:next w:val="1168"/>
    <w:link w:val="1169"/>
    <w:qFormat/>
    <w:rPr>
      <w:rFonts w:ascii="宋体" w:hAnsi="宋体" w:eastAsia="宋体" w:cs="Times New Roman"/>
      <w:sz w:val="21"/>
      <w:szCs w:val="24"/>
    </w:rPr>
  </w:style>
  <w:style w:type="paragraph" w:styleId="1169">
    <w:name w:val="*正文"/>
    <w:basedOn w:val="864"/>
    <w:next w:val="1169"/>
    <w:link w:val="1168"/>
    <w:qFormat/>
    <w:pPr>
      <w:ind w:firstLine="480"/>
      <w:spacing w:line="300" w:lineRule="auto"/>
    </w:pPr>
    <w:rPr>
      <w:rFonts w:ascii="宋体" w:hAnsi="宋体"/>
    </w:rPr>
  </w:style>
  <w:style w:type="character" w:styleId="1170">
    <w:name w:val="zi61"/>
    <w:next w:val="1170"/>
    <w:link w:val="864"/>
    <w:qFormat/>
    <w:rPr>
      <w:rFonts w:ascii="Times New Roman" w:hAnsi="Times New Roman" w:eastAsia="宋体" w:cs="Times New Roman"/>
      <w:b/>
      <w:bCs/>
      <w:color w:val="ff0000"/>
      <w:sz w:val="24"/>
      <w:szCs w:val="24"/>
      <w:u w:val="none"/>
    </w:rPr>
  </w:style>
  <w:style w:type="character" w:styleId="1171">
    <w:name w:val="页眉 Char1"/>
    <w:next w:val="1171"/>
    <w:link w:val="864"/>
    <w:qFormat/>
    <w:rPr>
      <w:rFonts w:ascii="Times New Roman" w:hAnsi="Times New Roman" w:eastAsia="宋体" w:cs="Times New Roman"/>
      <w:sz w:val="18"/>
      <w:szCs w:val="18"/>
    </w:rPr>
  </w:style>
  <w:style w:type="character" w:styleId="1172">
    <w:name w:val="Char Char4"/>
    <w:next w:val="1172"/>
    <w:link w:val="864"/>
    <w:qFormat/>
    <w:rPr>
      <w:rFonts w:ascii="Cambria" w:hAnsi="Cambria" w:eastAsia="宋体" w:cs="Times New Roman"/>
      <w:b/>
      <w:bCs/>
      <w:sz w:val="28"/>
      <w:szCs w:val="28"/>
    </w:rPr>
  </w:style>
  <w:style w:type="character" w:styleId="1173">
    <w:name w:val="标题 7 Char1"/>
    <w:next w:val="1173"/>
    <w:link w:val="864"/>
    <w:qFormat/>
    <w:rPr>
      <w:rFonts w:ascii="Times New Roman" w:hAnsi="Times New Roman" w:eastAsia="宋体" w:cs="Times New Roman"/>
      <w:b/>
      <w:bCs/>
      <w:sz w:val="24"/>
      <w:szCs w:val="24"/>
    </w:rPr>
  </w:style>
  <w:style w:type="character" w:styleId="1174">
    <w:name w:val="letter list Char"/>
    <w:next w:val="1174"/>
    <w:link w:val="864"/>
    <w:qFormat/>
    <w:rPr>
      <w:rFonts w:ascii="宋体" w:hAnsi="宋体" w:eastAsia="宋体" w:cs="Times New Roman"/>
      <w:b/>
      <w:bCs/>
      <w:sz w:val="24"/>
      <w:szCs w:val="24"/>
    </w:rPr>
  </w:style>
  <w:style w:type="character" w:styleId="1175">
    <w:name w:val="3zw1"/>
    <w:next w:val="1175"/>
    <w:link w:val="864"/>
    <w:qFormat/>
    <w:rPr>
      <w:rFonts w:ascii="Tahoma" w:hAnsi="Tahoma" w:eastAsia="宋体" w:cs="Times New Roman"/>
      <w:color w:val="000000"/>
      <w:sz w:val="21"/>
      <w:szCs w:val="21"/>
      <w:lang w:val="en-US" w:eastAsia="zh-CN" w:bidi="ar-SA"/>
    </w:rPr>
  </w:style>
  <w:style w:type="character" w:styleId="1176">
    <w:name w:val="Char Char Char Char Char Char Char Char Char"/>
    <w:next w:val="1176"/>
    <w:link w:val="1177"/>
    <w:qFormat/>
    <w:rPr>
      <w:rFonts w:ascii="Tahoma" w:hAnsi="Tahoma" w:eastAsia="宋体" w:cs="Times New Roman"/>
      <w:sz w:val="24"/>
    </w:rPr>
  </w:style>
  <w:style w:type="paragraph" w:styleId="1177">
    <w:name w:val="Char Char Char Char Char Char Char"/>
    <w:basedOn w:val="864"/>
    <w:next w:val="1177"/>
    <w:link w:val="1176"/>
    <w:qFormat/>
    <w:pPr>
      <w:ind w:firstLine="480"/>
      <w:spacing w:line="360" w:lineRule="auto"/>
    </w:pPr>
    <w:rPr>
      <w:rFonts w:ascii="Tahoma" w:hAnsi="Tahoma"/>
      <w:sz w:val="24"/>
      <w:szCs w:val="20"/>
    </w:rPr>
  </w:style>
  <w:style w:type="character" w:styleId="1178">
    <w:name w:val="Char Char2"/>
    <w:next w:val="1178"/>
    <w:link w:val="864"/>
    <w:qFormat/>
    <w:rPr>
      <w:rFonts w:ascii="Cambria" w:hAnsi="Cambria" w:eastAsia="宋体" w:cs="Times New Roman"/>
      <w:b/>
      <w:bCs/>
      <w:sz w:val="24"/>
      <w:szCs w:val="24"/>
    </w:rPr>
  </w:style>
  <w:style w:type="character" w:styleId="1179">
    <w:name w:val="+列表编号 Char Char"/>
    <w:next w:val="1179"/>
    <w:link w:val="864"/>
    <w:qFormat/>
    <w:rPr>
      <w:rFonts w:ascii="Tahoma" w:hAnsi="Tahoma" w:eastAsia="宋体" w:cs="Times New Roman"/>
      <w:b/>
      <w:spacing w:val="8"/>
      <w:sz w:val="24"/>
      <w:szCs w:val="24"/>
      <w:lang w:val="en-US" w:eastAsia="zh-CN" w:bidi="ar-SA"/>
    </w:rPr>
  </w:style>
  <w:style w:type="character" w:styleId="1180">
    <w:name w:val="ca-1"/>
    <w:next w:val="1180"/>
    <w:link w:val="864"/>
    <w:qFormat/>
    <w:rPr>
      <w:rFonts w:ascii="Times New Roman" w:hAnsi="Times New Roman" w:eastAsia="宋体" w:cs="Times New Roman"/>
    </w:rPr>
  </w:style>
  <w:style w:type="character" w:styleId="1181">
    <w:name w:val="unnamed101"/>
    <w:next w:val="1181"/>
    <w:link w:val="864"/>
    <w:qFormat/>
    <w:rPr>
      <w:rFonts w:ascii="Times New Roman" w:hAnsi="Times New Roman" w:eastAsia="宋体" w:cs="Times New Roman"/>
      <w:sz w:val="20"/>
      <w:szCs w:val="20"/>
    </w:rPr>
  </w:style>
  <w:style w:type="character" w:styleId="1182">
    <w:name w:val="gray_b"/>
    <w:next w:val="1182"/>
    <w:link w:val="864"/>
    <w:qFormat/>
    <w:rPr>
      <w:rFonts w:ascii="Times New Roman" w:hAnsi="Times New Roman" w:eastAsia="宋体" w:cs="Times New Roman"/>
    </w:rPr>
  </w:style>
  <w:style w:type="character" w:styleId="1183">
    <w:name w:val="e1"/>
    <w:next w:val="1183"/>
    <w:link w:val="864"/>
    <w:qFormat/>
    <w:rPr>
      <w:rFonts w:ascii="Tahoma" w:hAnsi="Tahoma" w:eastAsia="宋体" w:cs="Times New Roman"/>
      <w:sz w:val="21"/>
      <w:szCs w:val="24"/>
      <w:lang w:val="en-US" w:eastAsia="zh-CN" w:bidi="ar-SA"/>
    </w:rPr>
  </w:style>
  <w:style w:type="character" w:styleId="1184">
    <w:name w:val="h3 Char1"/>
    <w:next w:val="1184"/>
    <w:link w:val="864"/>
    <w:qFormat/>
    <w:rPr>
      <w:rFonts w:ascii="宋体" w:hAnsi="宋体" w:eastAsia="宋体" w:cs="Times New Roman"/>
      <w:sz w:val="28"/>
      <w:lang w:val="en-US" w:eastAsia="zh-CN" w:bidi="ar-SA"/>
    </w:rPr>
  </w:style>
  <w:style w:type="character" w:styleId="1185">
    <w:name w:val="apple-converted-space"/>
    <w:next w:val="1185"/>
    <w:link w:val="864"/>
    <w:qFormat/>
    <w:rPr>
      <w:rFonts w:ascii="Tahoma" w:hAnsi="Tahoma" w:eastAsia="宋体" w:cs="Times New Roman"/>
      <w:sz w:val="24"/>
      <w:szCs w:val="24"/>
      <w:lang w:val="en-US" w:eastAsia="zh-CN" w:bidi="ar-SA"/>
    </w:rPr>
  </w:style>
  <w:style w:type="character" w:styleId="1186">
    <w:name w:val="11"/>
    <w:next w:val="1186"/>
    <w:link w:val="864"/>
    <w:qFormat/>
    <w:rPr>
      <w:rFonts w:ascii="Times New Roman" w:hAnsi="Times New Roman" w:eastAsia="宋体" w:cs="Times New Roman"/>
      <w:sz w:val="36"/>
      <w:szCs w:val="36"/>
    </w:rPr>
  </w:style>
  <w:style w:type="character" w:styleId="1187">
    <w:name w:val="+正文 Char Char Char2"/>
    <w:next w:val="1187"/>
    <w:link w:val="864"/>
    <w:qFormat/>
    <w:rPr>
      <w:rFonts w:ascii="Tahoma" w:hAnsi="Tahoma" w:eastAsia="宋体" w:cs="Times New Roman"/>
      <w:sz w:val="24"/>
      <w:szCs w:val="24"/>
      <w:lang w:val="en-US" w:eastAsia="zh-CN" w:bidi="ar-SA"/>
    </w:rPr>
  </w:style>
  <w:style w:type="character" w:styleId="1188">
    <w:name w:val="批注主题 Char1"/>
    <w:next w:val="1188"/>
    <w:link w:val="864"/>
    <w:qFormat/>
    <w:rPr>
      <w:rFonts w:ascii="Tahoma" w:hAnsi="Tahoma" w:eastAsia="宋体" w:cs="Times New Roman"/>
      <w:b/>
      <w:bCs/>
      <w:sz w:val="21"/>
      <w:szCs w:val="24"/>
    </w:rPr>
  </w:style>
  <w:style w:type="character" w:styleId="1189">
    <w:name w:val="wenzi41"/>
    <w:next w:val="1189"/>
    <w:link w:val="864"/>
    <w:qFormat/>
    <w:rPr>
      <w:rFonts w:ascii="Times New Roman" w:hAnsi="Times New Roman" w:eastAsia="宋体" w:cs="Times New Roman"/>
      <w:b/>
      <w:bCs/>
      <w:color w:val="c52900"/>
      <w:sz w:val="18"/>
      <w:szCs w:val="18"/>
      <w:u w:val="none"/>
    </w:rPr>
  </w:style>
  <w:style w:type="character" w:styleId="1190">
    <w:name w:val="不明显强调"/>
    <w:next w:val="1190"/>
    <w:link w:val="864"/>
    <w:qFormat/>
    <w:rPr>
      <w:rFonts w:ascii="Times New Roman" w:hAnsi="Times New Roman" w:eastAsia="宋体" w:cs="Times New Roman"/>
      <w:i/>
      <w:iCs/>
      <w:color w:val="808080"/>
    </w:rPr>
  </w:style>
  <w:style w:type="character" w:styleId="1191">
    <w:name w:val="label"/>
    <w:next w:val="1191"/>
    <w:link w:val="864"/>
    <w:qFormat/>
    <w:rPr>
      <w:rFonts w:ascii="Times New Roman" w:hAnsi="Times New Roman" w:eastAsia="宋体" w:cs="Times New Roman"/>
    </w:rPr>
  </w:style>
  <w:style w:type="character" w:styleId="1192">
    <w:name w:val="Plain Text Char"/>
    <w:next w:val="1192"/>
    <w:link w:val="1193"/>
    <w:qFormat/>
    <w:rPr>
      <w:rFonts w:ascii="宋体" w:hAnsi="Courier New" w:eastAsia="楷体_GB2312"/>
      <w:sz w:val="26"/>
    </w:rPr>
  </w:style>
  <w:style w:type="paragraph" w:styleId="1193">
    <w:name w:val="纯文本2"/>
    <w:basedOn w:val="864"/>
    <w:next w:val="1193"/>
    <w:link w:val="1192"/>
    <w:qFormat/>
    <w:rPr>
      <w:rFonts w:ascii="宋体" w:hAnsi="Courier New" w:eastAsia="楷体_GB2312"/>
      <w:sz w:val="26"/>
      <w:szCs w:val="20"/>
    </w:rPr>
  </w:style>
  <w:style w:type="character" w:styleId="1194">
    <w:name w:val="纯文本 Char1"/>
    <w:next w:val="1194"/>
    <w:link w:val="864"/>
    <w:qFormat/>
    <w:rPr>
      <w:rFonts w:ascii="宋体" w:hAnsi="Courier New" w:eastAsia="宋体" w:cs="Courier New"/>
      <w:sz w:val="21"/>
      <w:szCs w:val="21"/>
    </w:rPr>
  </w:style>
  <w:style w:type="character" w:styleId="1195">
    <w:name w:val="style21"/>
    <w:next w:val="1195"/>
    <w:link w:val="864"/>
    <w:qFormat/>
    <w:rPr>
      <w:rFonts w:ascii="Times New Roman" w:hAnsi="Times New Roman" w:eastAsia="宋体" w:cs="Times New Roman"/>
      <w:b/>
      <w:bCs/>
      <w:sz w:val="24"/>
      <w:szCs w:val="24"/>
    </w:rPr>
  </w:style>
  <w:style w:type="character" w:styleId="1196">
    <w:name w:val="样式 仿宋_GB2312 四号 黑色"/>
    <w:next w:val="1196"/>
    <w:link w:val="864"/>
    <w:qFormat/>
    <w:rPr>
      <w:rFonts w:ascii="仿宋_GB2312" w:hAnsi="仿宋_GB2312" w:eastAsia="仿宋_GB2312" w:cs="Times New Roman"/>
      <w:color w:val="000000"/>
      <w:sz w:val="24"/>
    </w:rPr>
  </w:style>
  <w:style w:type="character" w:styleId="1197">
    <w:name w:val="样式 楷体_GB2312 四号 加粗"/>
    <w:next w:val="1197"/>
    <w:link w:val="864"/>
    <w:qFormat/>
    <w:rPr>
      <w:rFonts w:ascii="楷体_GB2312" w:hAnsi="楷体_GB2312" w:eastAsia="楷体_GB2312" w:cs="Times New Roman"/>
      <w:b/>
      <w:bCs/>
      <w:sz w:val="28"/>
      <w:szCs w:val="24"/>
      <w:lang w:val="en-US" w:eastAsia="zh-CN" w:bidi="ar-SA"/>
    </w:rPr>
  </w:style>
  <w:style w:type="character" w:styleId="1198">
    <w:name w:val="lh201"/>
    <w:next w:val="1198"/>
    <w:link w:val="864"/>
    <w:qFormat/>
    <w:rPr>
      <w:rFonts w:ascii="Times New Roman" w:hAnsi="Times New Roman" w:eastAsia="宋体" w:cs="Times New Roman"/>
      <w:color w:val="666666"/>
    </w:rPr>
  </w:style>
  <w:style w:type="character" w:styleId="1199">
    <w:name w:val="td21"/>
    <w:next w:val="1199"/>
    <w:link w:val="864"/>
    <w:qFormat/>
    <w:rPr>
      <w:rFonts w:ascii="Tahoma" w:hAnsi="Tahoma" w:eastAsia="宋体" w:cs="Times New Roman"/>
      <w:sz w:val="21"/>
      <w:szCs w:val="21"/>
      <w:u w:val="none"/>
      <w:lang w:val="en-US" w:eastAsia="zh-CN" w:bidi="ar-SA"/>
    </w:rPr>
  </w:style>
  <w:style w:type="character" w:styleId="1200">
    <w:name w:val="ca-0"/>
    <w:next w:val="1200"/>
    <w:link w:val="864"/>
    <w:qFormat/>
    <w:rPr>
      <w:rFonts w:ascii="Times New Roman" w:hAnsi="Times New Roman" w:eastAsia="宋体" w:cs="Times New Roman"/>
    </w:rPr>
  </w:style>
  <w:style w:type="character" w:styleId="1201">
    <w:name w:val="+正文 Char3"/>
    <w:next w:val="1201"/>
    <w:link w:val="1202"/>
    <w:qFormat/>
    <w:rPr>
      <w:rFonts w:ascii="Tahoma" w:hAnsi="Tahoma" w:eastAsia="宋体" w:cs="Times New Roman"/>
      <w:sz w:val="24"/>
      <w:szCs w:val="28"/>
    </w:rPr>
  </w:style>
  <w:style w:type="paragraph" w:styleId="1202">
    <w:name w:val="+正文"/>
    <w:basedOn w:val="864"/>
    <w:next w:val="1202"/>
    <w:link w:val="1201"/>
    <w:qFormat/>
    <w:pPr>
      <w:ind w:firstLine="200"/>
      <w:spacing w:line="360" w:lineRule="auto"/>
    </w:pPr>
    <w:rPr>
      <w:rFonts w:ascii="Tahoma" w:hAnsi="Tahoma"/>
      <w:sz w:val="24"/>
      <w:szCs w:val="28"/>
    </w:rPr>
  </w:style>
  <w:style w:type="character" w:styleId="1203">
    <w:name w:val="ct-def21"/>
    <w:next w:val="1203"/>
    <w:link w:val="864"/>
    <w:qFormat/>
    <w:rPr>
      <w:rFonts w:hint="eastAsia" w:ascii="宋体" w:hAnsi="宋体" w:eastAsia="宋体" w:cs="Times New Roman"/>
      <w:color w:val="000000"/>
      <w:spacing w:val="0"/>
      <w:sz w:val="18"/>
      <w:u w:val="none"/>
    </w:rPr>
  </w:style>
  <w:style w:type="character" w:styleId="1204">
    <w:name w:val="content021"/>
    <w:next w:val="1204"/>
    <w:link w:val="864"/>
    <w:qFormat/>
    <w:rPr>
      <w:rFonts w:ascii="Tahoma" w:hAnsi="Tahoma" w:eastAsia="宋体" w:cs="Times New Roman"/>
      <w:sz w:val="24"/>
      <w:szCs w:val="24"/>
      <w:lang w:val="en-US" w:eastAsia="zh-CN" w:bidi="ar-SA"/>
    </w:rPr>
  </w:style>
  <w:style w:type="character" w:styleId="1205">
    <w:name w:val="Char Char"/>
    <w:next w:val="1205"/>
    <w:link w:val="864"/>
    <w:qFormat/>
    <w:rPr>
      <w:rFonts w:ascii="Cambria" w:hAnsi="Cambria" w:eastAsia="宋体" w:cs="Times New Roman"/>
      <w:b/>
      <w:bCs/>
      <w:sz w:val="32"/>
      <w:szCs w:val="32"/>
    </w:rPr>
  </w:style>
  <w:style w:type="character" w:styleId="1206">
    <w:name w:val="maintext1"/>
    <w:next w:val="1206"/>
    <w:link w:val="864"/>
    <w:qFormat/>
    <w:rPr>
      <w:rFonts w:ascii="ˎ̥" w:hAnsi="ˎ̥" w:eastAsia="宋体" w:cs="Times New Roman"/>
      <w:color w:val="000000"/>
      <w:spacing w:val="24"/>
      <w:sz w:val="20"/>
      <w:szCs w:val="20"/>
    </w:rPr>
  </w:style>
  <w:style w:type="character" w:styleId="1207">
    <w:name w:val="t31"/>
    <w:next w:val="1207"/>
    <w:link w:val="864"/>
    <w:qFormat/>
    <w:rPr>
      <w:sz w:val="21"/>
      <w:szCs w:val="21"/>
    </w:rPr>
  </w:style>
  <w:style w:type="character" w:styleId="1208">
    <w:name w:val="info4"/>
    <w:next w:val="1208"/>
    <w:link w:val="864"/>
    <w:qFormat/>
    <w:rPr>
      <w:rFonts w:ascii="Times New Roman" w:hAnsi="Times New Roman" w:eastAsia="宋体" w:cs="Times New Roman"/>
    </w:rPr>
  </w:style>
  <w:style w:type="character" w:styleId="1209">
    <w:name w:val="txt1"/>
    <w:next w:val="1209"/>
    <w:link w:val="864"/>
    <w:qFormat/>
    <w:rPr>
      <w:rFonts w:ascii="Times New Roman" w:hAnsi="Times New Roman" w:eastAsia="宋体" w:cs="Times New Roman"/>
    </w:rPr>
  </w:style>
  <w:style w:type="character" w:styleId="1210">
    <w:name w:val="titleblack14px1"/>
    <w:next w:val="1210"/>
    <w:link w:val="864"/>
    <w:qFormat/>
    <w:rPr>
      <w:rFonts w:ascii="Times New Roman" w:hAnsi="Times New Roman" w:eastAsia="宋体" w:cs="Times New Roman"/>
      <w:b/>
      <w:color w:val="000000"/>
      <w:sz w:val="28"/>
    </w:rPr>
  </w:style>
  <w:style w:type="character" w:styleId="1211">
    <w:name w:val="释义正文2"/>
    <w:next w:val="1211"/>
    <w:link w:val="864"/>
    <w:qFormat/>
    <w:rPr>
      <w:rFonts w:ascii="Times New Roman" w:hAnsi="Times New Roman" w:eastAsia="宋体" w:cs="Times New Roman"/>
      <w:sz w:val="24"/>
    </w:rPr>
  </w:style>
  <w:style w:type="character" w:styleId="1212">
    <w:name w:val="正文文本缩进 Char1"/>
    <w:next w:val="1212"/>
    <w:link w:val="864"/>
    <w:qFormat/>
    <w:rPr>
      <w:rFonts w:ascii="Times New Roman" w:hAnsi="Times New Roman" w:eastAsia="宋体" w:cs="Times New Roman"/>
      <w:sz w:val="21"/>
      <w:szCs w:val="24"/>
    </w:rPr>
  </w:style>
  <w:style w:type="character" w:styleId="1213">
    <w:name w:val="style141"/>
    <w:next w:val="1213"/>
    <w:link w:val="864"/>
    <w:qFormat/>
    <w:rPr>
      <w:rFonts w:hint="eastAsia" w:ascii="黑体" w:hAnsi="Times New Roman" w:eastAsia="黑体" w:cs="Times New Roman"/>
      <w:b/>
      <w:bCs/>
      <w:color w:val="be4040"/>
      <w:sz w:val="41"/>
      <w:szCs w:val="41"/>
    </w:rPr>
  </w:style>
  <w:style w:type="character" w:styleId="1214">
    <w:name w:val="标题 5 Char1"/>
    <w:next w:val="1214"/>
    <w:link w:val="864"/>
    <w:qFormat/>
    <w:rPr>
      <w:rFonts w:ascii="Times New Roman" w:hAnsi="Times New Roman" w:eastAsia="宋体" w:cs="Times New Roman"/>
      <w:b/>
      <w:bCs/>
      <w:sz w:val="28"/>
      <w:szCs w:val="28"/>
    </w:rPr>
  </w:style>
  <w:style w:type="character" w:styleId="1215">
    <w:name w:val="正文文本 3 Char1"/>
    <w:next w:val="1215"/>
    <w:link w:val="864"/>
    <w:qFormat/>
    <w:rPr>
      <w:rFonts w:ascii="Times New Roman" w:hAnsi="Times New Roman" w:eastAsia="宋体" w:cs="Times New Roman"/>
      <w:sz w:val="16"/>
      <w:szCs w:val="16"/>
    </w:rPr>
  </w:style>
  <w:style w:type="character" w:styleId="1216">
    <w:name w:val="保驾"/>
    <w:next w:val="1216"/>
    <w:link w:val="864"/>
    <w:qFormat/>
    <w:rPr>
      <w:rFonts w:ascii="Times New Roman" w:hAnsi="Times New Roman" w:eastAsia="宋体" w:cs="Times New Roman"/>
      <w:sz w:val="18"/>
    </w:rPr>
  </w:style>
  <w:style w:type="character" w:styleId="1217">
    <w:name w:val="标题 1 Char"/>
    <w:next w:val="1217"/>
    <w:link w:val="864"/>
    <w:qFormat/>
    <w:rPr>
      <w:rFonts w:ascii="Times New Roman" w:hAnsi="Times New Roman" w:eastAsia="宋体" w:cs="Times New Roman"/>
      <w:b/>
      <w:bCs/>
      <w:sz w:val="44"/>
      <w:szCs w:val="44"/>
    </w:rPr>
  </w:style>
  <w:style w:type="character" w:styleId="1218">
    <w:name w:val="正文缩进 Char1"/>
    <w:next w:val="1218"/>
    <w:link w:val="864"/>
    <w:qFormat/>
    <w:rPr>
      <w:rFonts w:ascii="Times New Roman" w:hAnsi="Times New Roman" w:eastAsia="楷体_GB2312" w:cs="Times New Roman"/>
      <w:sz w:val="24"/>
      <w:lang w:bidi="ar-SA"/>
    </w:rPr>
  </w:style>
  <w:style w:type="character" w:styleId="1219">
    <w:name w:val="标书正文格式 Char1"/>
    <w:next w:val="1219"/>
    <w:link w:val="1220"/>
    <w:qFormat/>
    <w:rPr>
      <w:rFonts w:eastAsia="楷体_GB2312"/>
      <w:sz w:val="24"/>
      <w:szCs w:val="24"/>
      <w:lang w:val="en-US" w:eastAsia="zh-CN" w:bidi="ar-SA"/>
    </w:rPr>
  </w:style>
  <w:style w:type="paragraph" w:styleId="1220">
    <w:name w:val="标书正文格式"/>
    <w:next w:val="1220"/>
    <w:link w:val="1219"/>
    <w:qFormat/>
    <w:pPr>
      <w:ind w:firstLine="200"/>
      <w:spacing w:line="360" w:lineRule="auto"/>
    </w:pPr>
    <w:rPr>
      <w:rFonts w:eastAsia="楷体_GB2312"/>
      <w:sz w:val="24"/>
      <w:szCs w:val="24"/>
      <w:lang w:val="en-US" w:eastAsia="zh-CN" w:bidi="ar-SA"/>
    </w:rPr>
  </w:style>
  <w:style w:type="character" w:styleId="1221">
    <w:name w:val="p_inzi_cu1"/>
    <w:next w:val="1221"/>
    <w:link w:val="864"/>
    <w:qFormat/>
    <w:rPr>
      <w:rFonts w:ascii="Times New Roman" w:hAnsi="Times New Roman" w:eastAsia="宋体" w:cs="Times New Roman"/>
      <w:b/>
      <w:bCs/>
      <w:color w:val="171717"/>
      <w:sz w:val="17"/>
      <w:szCs w:val="17"/>
    </w:rPr>
  </w:style>
  <w:style w:type="character" w:styleId="1222">
    <w:name w:val="方案正文 Char"/>
    <w:next w:val="1222"/>
    <w:link w:val="1223"/>
    <w:qFormat/>
    <w:rPr>
      <w:rFonts w:ascii="Times New Roman" w:hAnsi="Times New Roman" w:eastAsia="宋体" w:cs="Times New Roman"/>
      <w:sz w:val="24"/>
      <w:szCs w:val="24"/>
    </w:rPr>
  </w:style>
  <w:style w:type="paragraph" w:styleId="1223">
    <w:name w:val="方案正文"/>
    <w:basedOn w:val="864"/>
    <w:next w:val="1223"/>
    <w:link w:val="1222"/>
    <w:qFormat/>
    <w:pPr>
      <w:spacing w:line="360" w:lineRule="auto"/>
    </w:pPr>
    <w:rPr>
      <w:sz w:val="24"/>
    </w:rPr>
  </w:style>
  <w:style w:type="character" w:styleId="1224">
    <w:name w:val="+标题3 Char Char"/>
    <w:next w:val="1224"/>
    <w:link w:val="864"/>
    <w:qFormat/>
    <w:rPr>
      <w:rFonts w:ascii="Tahoma" w:hAnsi="Tahoma" w:eastAsia="宋体" w:cs="Times New Roman"/>
      <w:b/>
      <w:bCs/>
      <w:sz w:val="24"/>
      <w:szCs w:val="28"/>
      <w:lang w:val="en-US" w:eastAsia="zh-CN" w:bidi="ar-SA"/>
    </w:rPr>
  </w:style>
  <w:style w:type="character" w:styleId="1225">
    <w:name w:val="Plain Text Char Char"/>
    <w:next w:val="1225"/>
    <w:link w:val="1226"/>
    <w:qFormat/>
    <w:rPr>
      <w:rFonts w:ascii="宋体" w:hAnsi="Courier New" w:eastAsia="楷体_GB2312" w:cs="Times New Roman"/>
      <w:sz w:val="28"/>
    </w:rPr>
  </w:style>
  <w:style w:type="paragraph" w:styleId="1226">
    <w:name w:val="纯文本1"/>
    <w:basedOn w:val="864"/>
    <w:next w:val="1226"/>
    <w:link w:val="1225"/>
    <w:qFormat/>
    <w:rPr>
      <w:rFonts w:ascii="宋体" w:hAnsi="Courier New" w:eastAsia="楷体_GB2312"/>
      <w:sz w:val="28"/>
      <w:szCs w:val="20"/>
    </w:rPr>
  </w:style>
  <w:style w:type="character" w:styleId="1227">
    <w:name w:val="font"/>
    <w:next w:val="1227"/>
    <w:link w:val="864"/>
    <w:qFormat/>
    <w:rPr>
      <w:rFonts w:ascii="Tahoma" w:hAnsi="Tahoma" w:eastAsia="宋体" w:cs="Times New Roman"/>
      <w:sz w:val="24"/>
      <w:szCs w:val="24"/>
      <w:lang w:val="en-US" w:eastAsia="zh-CN" w:bidi="ar-SA"/>
    </w:rPr>
  </w:style>
  <w:style w:type="character" w:styleId="1228">
    <w:name w:val="style101"/>
    <w:next w:val="1228"/>
    <w:link w:val="864"/>
    <w:qFormat/>
    <w:rPr>
      <w:rFonts w:ascii="Arial" w:hAnsi="Arial" w:eastAsia="宋体" w:cs="Arial"/>
      <w:b/>
      <w:bCs/>
      <w:color w:val="003272"/>
      <w:sz w:val="36"/>
      <w:szCs w:val="36"/>
    </w:rPr>
  </w:style>
  <w:style w:type="character" w:styleId="1229">
    <w:name w:val="日期 Char1"/>
    <w:next w:val="1229"/>
    <w:link w:val="864"/>
    <w:qFormat/>
    <w:rPr>
      <w:rFonts w:ascii="Times New Roman" w:hAnsi="Times New Roman" w:eastAsia="宋体" w:cs="Times New Roman"/>
      <w:sz w:val="21"/>
      <w:szCs w:val="24"/>
    </w:rPr>
  </w:style>
  <w:style w:type="character" w:styleId="1230">
    <w:name w:val="文档结构图 Char1"/>
    <w:next w:val="1230"/>
    <w:link w:val="864"/>
    <w:qFormat/>
    <w:rPr>
      <w:rFonts w:ascii="宋体" w:hAnsi="Times New Roman" w:eastAsia="宋体" w:cs="Times New Roman"/>
      <w:sz w:val="18"/>
      <w:szCs w:val="18"/>
    </w:rPr>
  </w:style>
  <w:style w:type="character" w:styleId="1231">
    <w:name w:val="正文文本 2 Char1"/>
    <w:next w:val="1231"/>
    <w:link w:val="864"/>
    <w:qFormat/>
    <w:rPr>
      <w:rFonts w:ascii="Times New Roman" w:hAnsi="Times New Roman" w:eastAsia="宋体" w:cs="Times New Roman"/>
      <w:sz w:val="21"/>
      <w:szCs w:val="24"/>
    </w:rPr>
  </w:style>
  <w:style w:type="character" w:styleId="1232">
    <w:name w:val="xiangxicanshu1"/>
    <w:next w:val="1232"/>
    <w:link w:val="864"/>
    <w:qFormat/>
    <w:rPr>
      <w:rFonts w:ascii="ˎ̥" w:hAnsi="ˎ̥" w:eastAsia="宋体" w:cs="Times New Roman"/>
      <w:b/>
      <w:bCs/>
      <w:color w:val="6f6f6f"/>
      <w:sz w:val="18"/>
      <w:szCs w:val="18"/>
    </w:rPr>
  </w:style>
  <w:style w:type="character" w:styleId="1233">
    <w:name w:val="title_emph1"/>
    <w:next w:val="1233"/>
    <w:link w:val="864"/>
    <w:qFormat/>
    <w:rPr>
      <w:rFonts w:ascii="Arial" w:hAnsi="Arial" w:eastAsia="宋体" w:cs="Times New Roman"/>
      <w:b/>
      <w:sz w:val="18"/>
    </w:rPr>
  </w:style>
  <w:style w:type="character" w:styleId="1234">
    <w:name w:val="digest1"/>
    <w:next w:val="1234"/>
    <w:link w:val="864"/>
    <w:qFormat/>
    <w:rPr>
      <w:rFonts w:ascii="Times New Roman" w:hAnsi="Times New Roman" w:eastAsia="宋体" w:cs="Times New Roman"/>
      <w:color w:val="3a4343"/>
      <w:sz w:val="20"/>
      <w:lang w:val="en-US" w:eastAsia="zh-CN"/>
    </w:rPr>
  </w:style>
  <w:style w:type="character" w:styleId="1235">
    <w:name w:val="正文文本缩进 2 Char1"/>
    <w:next w:val="1235"/>
    <w:link w:val="864"/>
    <w:qFormat/>
    <w:rPr>
      <w:rFonts w:ascii="Times New Roman" w:hAnsi="Times New Roman" w:eastAsia="宋体" w:cs="Times New Roman"/>
      <w:sz w:val="21"/>
      <w:szCs w:val="24"/>
    </w:rPr>
  </w:style>
  <w:style w:type="character" w:styleId="1236">
    <w:name w:val="hang1"/>
    <w:next w:val="1236"/>
    <w:link w:val="864"/>
    <w:qFormat/>
    <w:rPr>
      <w:rFonts w:ascii="Times New Roman" w:hAnsi="Times New Roman" w:eastAsia="宋体" w:cs="Times New Roman"/>
    </w:rPr>
  </w:style>
  <w:style w:type="character" w:styleId="1237">
    <w:name w:val="apple-style-span"/>
    <w:next w:val="1237"/>
    <w:link w:val="864"/>
    <w:qFormat/>
    <w:rPr>
      <w:rFonts w:ascii="Times New Roman" w:hAnsi="Times New Roman" w:eastAsia="宋体" w:cs="Times New Roman"/>
    </w:rPr>
  </w:style>
  <w:style w:type="character" w:styleId="1238">
    <w:name w:val="h3 Char"/>
    <w:next w:val="1238"/>
    <w:link w:val="864"/>
    <w:qFormat/>
    <w:rPr>
      <w:rFonts w:ascii="宋体" w:hAnsi="宋体" w:eastAsia="宋体" w:cs="Times New Roman"/>
      <w:sz w:val="28"/>
      <w:lang w:val="en-US" w:eastAsia="zh-CN" w:bidi="ar-SA"/>
    </w:rPr>
  </w:style>
  <w:style w:type="character" w:styleId="1239">
    <w:name w:val="rmv1"/>
    <w:next w:val="1239"/>
    <w:link w:val="864"/>
    <w:qFormat/>
    <w:rPr>
      <w:rFonts w:ascii="Times New Roman" w:hAnsi="Times New Roman" w:eastAsia="宋体" w:cs="Times New Roman"/>
    </w:rPr>
  </w:style>
  <w:style w:type="character" w:styleId="1240">
    <w:name w:val="A正文小四 Char"/>
    <w:next w:val="1240"/>
    <w:link w:val="1241"/>
    <w:qFormat/>
    <w:rPr>
      <w:sz w:val="24"/>
      <w:szCs w:val="24"/>
    </w:rPr>
  </w:style>
  <w:style w:type="paragraph" w:styleId="1241">
    <w:name w:val="A正文小四"/>
    <w:basedOn w:val="864"/>
    <w:next w:val="1241"/>
    <w:link w:val="1240"/>
    <w:qFormat/>
    <w:pPr>
      <w:ind w:firstLine="200"/>
      <w:spacing w:line="360" w:lineRule="auto"/>
    </w:pPr>
    <w:rPr>
      <w:sz w:val="24"/>
    </w:rPr>
  </w:style>
  <w:style w:type="character" w:styleId="1242">
    <w:name w:val="普通 (Web) Char Char Char"/>
    <w:next w:val="1242"/>
    <w:link w:val="864"/>
    <w:qFormat/>
    <w:rPr>
      <w:rFonts w:ascii="Times New Roman" w:hAnsi="Times New Roman" w:eastAsia="宋体" w:cs="Times New Roman"/>
      <w:sz w:val="24"/>
      <w:lang w:val="en-US" w:eastAsia="zh-CN"/>
    </w:rPr>
  </w:style>
  <w:style w:type="character" w:styleId="1243">
    <w:name w:val="No Spacing Char"/>
    <w:next w:val="1243"/>
    <w:link w:val="1244"/>
    <w:qFormat/>
    <w:rPr>
      <w:lang w:val="en-GB" w:eastAsia="en-US" w:bidi="ar-SA"/>
    </w:rPr>
  </w:style>
  <w:style w:type="paragraph" w:styleId="1244">
    <w:name w:val="无间隔1"/>
    <w:next w:val="1244"/>
    <w:link w:val="1243"/>
    <w:qFormat/>
    <w:pPr>
      <w:spacing w:line="240" w:lineRule="atLeast"/>
    </w:pPr>
    <w:rPr>
      <w:lang w:val="en-GB" w:eastAsia="en-US" w:bidi="ar-SA"/>
    </w:rPr>
  </w:style>
  <w:style w:type="character" w:styleId="1245">
    <w:name w:val="Char Char5"/>
    <w:next w:val="1245"/>
    <w:link w:val="864"/>
    <w:qFormat/>
    <w:rPr>
      <w:rFonts w:ascii="Times New Roman" w:hAnsi="Times New Roman" w:eastAsia="宋体" w:cs="Times New Roman"/>
      <w:b/>
      <w:bCs/>
      <w:sz w:val="32"/>
      <w:szCs w:val="32"/>
    </w:rPr>
  </w:style>
  <w:style w:type="character" w:styleId="1246">
    <w:name w:val="Char Char Char Char Char Char Char Char"/>
    <w:next w:val="1246"/>
    <w:link w:val="864"/>
    <w:qFormat/>
    <w:rPr>
      <w:rFonts w:ascii="Tahoma" w:hAnsi="Tahoma" w:eastAsia="宋体" w:cs="Times New Roman"/>
      <w:sz w:val="24"/>
      <w:lang w:val="en-US" w:eastAsia="zh-CN"/>
    </w:rPr>
  </w:style>
  <w:style w:type="character" w:styleId="1247">
    <w:name w:val="Char Char3"/>
    <w:next w:val="1247"/>
    <w:link w:val="864"/>
    <w:qFormat/>
    <w:rPr>
      <w:rFonts w:ascii="Times New Roman" w:hAnsi="Times New Roman" w:eastAsia="宋体" w:cs="Times New Roman"/>
      <w:b/>
      <w:bCs/>
      <w:sz w:val="28"/>
      <w:szCs w:val="28"/>
    </w:rPr>
  </w:style>
  <w:style w:type="character" w:styleId="1248">
    <w:name w:val="indetail1"/>
    <w:next w:val="1248"/>
    <w:link w:val="864"/>
    <w:qFormat/>
    <w:rPr>
      <w:rFonts w:ascii="Times New Roman" w:hAnsi="Times New Roman" w:eastAsia="宋体" w:cs="Times New Roman"/>
      <w:sz w:val="18"/>
      <w:szCs w:val="18"/>
    </w:rPr>
  </w:style>
  <w:style w:type="character" w:styleId="1249">
    <w:name w:val="unnamed2"/>
    <w:next w:val="1249"/>
    <w:link w:val="864"/>
    <w:qFormat/>
    <w:rPr>
      <w:rFonts w:ascii="Times New Roman" w:hAnsi="Times New Roman" w:eastAsia="宋体" w:cs="Times New Roman"/>
    </w:rPr>
  </w:style>
  <w:style w:type="character" w:styleId="1250">
    <w:name w:val="页脚 字符"/>
    <w:next w:val="1250"/>
    <w:link w:val="864"/>
    <w:uiPriority w:val="99"/>
    <w:qFormat/>
  </w:style>
  <w:style w:type="character" w:styleId="1251">
    <w:name w:val="s"/>
    <w:next w:val="1251"/>
    <w:link w:val="864"/>
    <w:qFormat/>
    <w:rPr>
      <w:rFonts w:ascii="Times New Roman" w:hAnsi="Times New Roman" w:eastAsia="宋体" w:cs="Times New Roman"/>
    </w:rPr>
  </w:style>
  <w:style w:type="character" w:styleId="1252">
    <w:name w:val="style1"/>
    <w:next w:val="1252"/>
    <w:link w:val="864"/>
    <w:qFormat/>
    <w:rPr>
      <w:rFonts w:ascii="Times New Roman" w:hAnsi="Times New Roman" w:eastAsia="宋体" w:cs="Times New Roman"/>
    </w:rPr>
  </w:style>
  <w:style w:type="character" w:styleId="1253">
    <w:name w:val="正文文本 Char1"/>
    <w:next w:val="1253"/>
    <w:link w:val="864"/>
    <w:qFormat/>
    <w:rPr>
      <w:rFonts w:ascii="Times New Roman" w:hAnsi="Times New Roman" w:eastAsia="宋体" w:cs="Times New Roman"/>
      <w:sz w:val="21"/>
      <w:szCs w:val="24"/>
    </w:rPr>
  </w:style>
  <w:style w:type="character" w:styleId="1254">
    <w:name w:val="body1"/>
    <w:next w:val="1254"/>
    <w:link w:val="864"/>
    <w:qFormat/>
    <w:rPr>
      <w:rFonts w:ascii="Calibri" w:hAnsi="Calibri" w:eastAsia="宋体" w:cs="Times New Roman"/>
      <w:sz w:val="18"/>
      <w:szCs w:val="18"/>
      <w:lang w:val="en-US" w:eastAsia="zh-CN" w:bidi="ar-SA"/>
    </w:rPr>
  </w:style>
  <w:style w:type="character" w:styleId="1255">
    <w:name w:val="Normal with Symbol Char"/>
    <w:next w:val="1255"/>
    <w:link w:val="1256"/>
    <w:qFormat/>
    <w:rPr>
      <w:rFonts w:ascii="Arial" w:hAnsi="Arial" w:eastAsia="宋体" w:cs="Times New Roman"/>
      <w:sz w:val="24"/>
      <w:szCs w:val="24"/>
    </w:rPr>
  </w:style>
  <w:style w:type="paragraph" w:styleId="1256">
    <w:name w:val="Normal with Symbol"/>
    <w:basedOn w:val="864"/>
    <w:next w:val="1256"/>
    <w:link w:val="1255"/>
    <w:qFormat/>
    <w:pPr>
      <w:ind w:left="990" w:hanging="180"/>
      <w:jc w:val="left"/>
      <w:spacing w:before="120" w:after="120"/>
      <w:widowControl/>
      <w:tabs>
        <w:tab w:val="left" w:pos="990" w:leader="none"/>
      </w:tabs>
    </w:pPr>
    <w:rPr>
      <w:rFonts w:ascii="Arial" w:hAnsi="Arial"/>
      <w:sz w:val="24"/>
    </w:rPr>
  </w:style>
  <w:style w:type="character" w:styleId="1257">
    <w:name w:val="Default Char"/>
    <w:next w:val="1257"/>
    <w:link w:val="1258"/>
    <w:qFormat/>
    <w:rPr>
      <w:rFonts w:ascii="Futura Heavy" w:eastAsia="Futura Heavy"/>
      <w:color w:val="000000"/>
      <w:sz w:val="24"/>
      <w:szCs w:val="24"/>
      <w:lang w:val="en-US" w:eastAsia="zh-CN" w:bidi="ar-SA"/>
    </w:rPr>
  </w:style>
  <w:style w:type="paragraph" w:styleId="1258">
    <w:name w:val="Default"/>
    <w:next w:val="1258"/>
    <w:link w:val="1257"/>
    <w:qFormat/>
    <w:pPr>
      <w:widowControl w:val="off"/>
    </w:pPr>
    <w:rPr>
      <w:rFonts w:ascii="Futura Heavy" w:eastAsia="Futura Heavy"/>
      <w:color w:val="000000"/>
      <w:sz w:val="24"/>
      <w:szCs w:val="24"/>
      <w:lang w:val="en-US" w:eastAsia="zh-CN" w:bidi="ar-SA"/>
    </w:rPr>
  </w:style>
  <w:style w:type="character" w:styleId="1259">
    <w:name w:val="+正文 Char Char Char Char"/>
    <w:next w:val="1259"/>
    <w:link w:val="864"/>
    <w:qFormat/>
    <w:rPr>
      <w:rFonts w:ascii="Tahoma" w:hAnsi="Tahoma" w:eastAsia="宋体" w:cs="Times New Roman"/>
      <w:sz w:val="24"/>
      <w:szCs w:val="28"/>
      <w:lang w:val="en-US" w:eastAsia="zh-CN" w:bidi="ar-SA"/>
    </w:rPr>
  </w:style>
  <w:style w:type="character" w:styleId="1260">
    <w:name w:val="grame"/>
    <w:next w:val="1260"/>
    <w:link w:val="864"/>
    <w:qFormat/>
    <w:rPr>
      <w:rFonts w:ascii="Times New Roman" w:hAnsi="Times New Roman" w:eastAsia="宋体" w:cs="Times New Roman"/>
    </w:rPr>
  </w:style>
  <w:style w:type="character" w:styleId="1261">
    <w:name w:val="标题 6 Char1"/>
    <w:next w:val="1261"/>
    <w:link w:val="864"/>
    <w:qFormat/>
    <w:rPr>
      <w:rFonts w:ascii="Cambria" w:hAnsi="Cambria" w:eastAsia="宋体" w:cs="Times New Roman"/>
      <w:b/>
      <w:bCs/>
      <w:sz w:val="24"/>
      <w:szCs w:val="24"/>
    </w:rPr>
  </w:style>
  <w:style w:type="character" w:styleId="1262">
    <w:name w:val="15"/>
    <w:next w:val="1262"/>
    <w:link w:val="864"/>
    <w:qFormat/>
    <w:rPr>
      <w:rFonts w:ascii="Times New Roman" w:hAnsi="Times New Roman" w:eastAsia="宋体" w:cs="Times New Roman"/>
    </w:rPr>
  </w:style>
  <w:style w:type="character" w:styleId="1263">
    <w:name w:val="maywed421"/>
    <w:next w:val="1263"/>
    <w:link w:val="864"/>
    <w:qFormat/>
    <w:rPr>
      <w:rFonts w:ascii="Times New Roman" w:hAnsi="Times New Roman" w:eastAsia="宋体" w:cs="Times New Roman"/>
      <w:color w:val="366fb6"/>
      <w:u w:val="none"/>
    </w:rPr>
  </w:style>
  <w:style w:type="character" w:styleId="1264">
    <w:name w:val="bei21"/>
    <w:next w:val="1264"/>
    <w:link w:val="864"/>
    <w:qFormat/>
    <w:rPr>
      <w:rFonts w:ascii="Times New Roman" w:hAnsi="Times New Roman" w:eastAsia="宋体" w:cs="Times New Roman"/>
    </w:rPr>
  </w:style>
  <w:style w:type="character" w:styleId="1265">
    <w:name w:val="Char Char1"/>
    <w:next w:val="1265"/>
    <w:link w:val="864"/>
    <w:qFormat/>
    <w:rPr>
      <w:rFonts w:ascii="宋体" w:hAnsi="宋体" w:eastAsia="宋体" w:cs="Times New Roman"/>
      <w:sz w:val="24"/>
      <w:szCs w:val="24"/>
      <w:lang w:val="en-US" w:eastAsia="zh-CN" w:bidi="ar-SA"/>
    </w:rPr>
  </w:style>
  <w:style w:type="character" w:styleId="1266">
    <w:name w:val="访问过的超链接1"/>
    <w:next w:val="1266"/>
    <w:link w:val="864"/>
    <w:qFormat/>
    <w:rPr>
      <w:rFonts w:ascii="Tahoma" w:hAnsi="Tahoma" w:eastAsia="宋体" w:cs="Times New Roman"/>
      <w:color w:val="954f72"/>
      <w:sz w:val="24"/>
      <w:szCs w:val="24"/>
      <w:u w:val="single"/>
      <w:lang w:val="en-US" w:eastAsia="zh-CN" w:bidi="ar-SA"/>
    </w:rPr>
  </w:style>
  <w:style w:type="character" w:styleId="1267">
    <w:name w:val="css_041a1"/>
    <w:next w:val="1267"/>
    <w:link w:val="864"/>
    <w:qFormat/>
    <w:rPr>
      <w:rFonts w:ascii="Times New Roman" w:hAnsi="Times New Roman" w:eastAsia="宋体" w:cs="Times New Roman"/>
      <w:color w:val="0033cc"/>
      <w:sz w:val="18"/>
      <w:szCs w:val="18"/>
    </w:rPr>
  </w:style>
  <w:style w:type="character" w:styleId="1268">
    <w:name w:val="正文文本缩进 3 Char1"/>
    <w:next w:val="1268"/>
    <w:link w:val="864"/>
    <w:qFormat/>
    <w:rPr>
      <w:rFonts w:ascii="Times New Roman" w:hAnsi="Times New Roman" w:eastAsia="宋体" w:cs="Times New Roman"/>
      <w:sz w:val="16"/>
      <w:szCs w:val="16"/>
    </w:rPr>
  </w:style>
  <w:style w:type="character" w:styleId="1269">
    <w:name w:val="td1301"/>
    <w:next w:val="1269"/>
    <w:link w:val="864"/>
    <w:qFormat/>
    <w:rPr>
      <w:rFonts w:ascii="Times New Roman" w:hAnsi="Times New Roman" w:eastAsia="宋体" w:cs="Times New Roman"/>
    </w:rPr>
  </w:style>
  <w:style w:type="character" w:styleId="1270">
    <w:name w:val="line"/>
    <w:next w:val="1270"/>
    <w:link w:val="864"/>
    <w:qFormat/>
    <w:rPr>
      <w:rFonts w:ascii="Times New Roman" w:hAnsi="Times New Roman" w:eastAsia="宋体" w:cs="Times New Roman"/>
    </w:rPr>
  </w:style>
  <w:style w:type="character" w:styleId="1271">
    <w:name w:val="正文文本 3 Char2"/>
    <w:next w:val="1271"/>
    <w:link w:val="864"/>
    <w:qFormat/>
    <w:rPr>
      <w:rFonts w:ascii="Times New Roman" w:hAnsi="Times New Roman" w:eastAsia="宋体" w:cs="Times New Roman"/>
      <w:sz w:val="16"/>
      <w:szCs w:val="16"/>
    </w:rPr>
  </w:style>
  <w:style w:type="character" w:styleId="1272">
    <w:name w:val="不用8 Char"/>
    <w:next w:val="1272"/>
    <w:link w:val="864"/>
    <w:qFormat/>
    <w:rPr>
      <w:rFonts w:ascii="Arial" w:hAnsi="Arial" w:eastAsia="黑体" w:cs="Times New Roman"/>
      <w:sz w:val="24"/>
      <w:szCs w:val="24"/>
      <w:lang w:bidi="he-IL"/>
    </w:rPr>
  </w:style>
  <w:style w:type="character" w:styleId="1273">
    <w:name w:val="标准正文 Char Char"/>
    <w:next w:val="1273"/>
    <w:link w:val="1274"/>
    <w:qFormat/>
    <w:rPr>
      <w:rFonts w:ascii="仿宋_GB2312" w:hAnsi="Times New Roman" w:eastAsia="仿宋_GB2312" w:cs="Times New Roman"/>
      <w:sz w:val="24"/>
      <w:lang w:val="en-US" w:eastAsia="zh-CN" w:bidi="ar-SA"/>
    </w:rPr>
  </w:style>
  <w:style w:type="paragraph" w:styleId="1274">
    <w:name w:val="标准正文 Char"/>
    <w:basedOn w:val="864"/>
    <w:next w:val="1274"/>
    <w:link w:val="1273"/>
    <w:qFormat/>
    <w:pPr>
      <w:spacing w:line="288" w:lineRule="auto"/>
    </w:pPr>
    <w:rPr>
      <w:rFonts w:ascii="仿宋_GB2312" w:eastAsia="仿宋_GB2312"/>
      <w:sz w:val="24"/>
      <w:szCs w:val="20"/>
    </w:rPr>
  </w:style>
  <w:style w:type="character" w:styleId="1275">
    <w:name w:val="Char Char6"/>
    <w:next w:val="1275"/>
    <w:link w:val="864"/>
    <w:qFormat/>
    <w:rPr>
      <w:rFonts w:ascii="Times New Roman" w:hAnsi="Times New Roman" w:eastAsia="宋体" w:cs="Times New Roman"/>
      <w:b/>
      <w:bCs/>
      <w:sz w:val="44"/>
      <w:szCs w:val="44"/>
      <w:lang w:val="en-US" w:eastAsia="zh-CN" w:bidi="ar-SA"/>
    </w:rPr>
  </w:style>
  <w:style w:type="character" w:styleId="1276">
    <w:name w:val="f141"/>
    <w:next w:val="1276"/>
    <w:link w:val="864"/>
    <w:qFormat/>
    <w:rPr>
      <w:rFonts w:ascii="Tahoma" w:hAnsi="Tahoma" w:eastAsia="宋体" w:cs="Times New Roman"/>
      <w:sz w:val="24"/>
      <w:szCs w:val="24"/>
      <w:lang w:val="en-US" w:eastAsia="zh-CN" w:bidi="ar-SA"/>
    </w:rPr>
  </w:style>
  <w:style w:type="paragraph" w:styleId="1277">
    <w:name w:val="符号与编号"/>
    <w:basedOn w:val="864"/>
    <w:next w:val="1277"/>
    <w:link w:val="864"/>
    <w:qFormat/>
    <w:pPr>
      <w:ind w:left="425" w:hanging="425"/>
      <w:spacing w:line="360" w:lineRule="auto"/>
      <w:tabs>
        <w:tab w:val="left" w:pos="425" w:leader="none"/>
      </w:tabs>
    </w:pPr>
    <w:rPr>
      <w:rFonts w:ascii="宋体" w:hAnsi="宋体" w:eastAsia="宋体" w:cs="Times New Roman"/>
      <w:sz w:val="28"/>
      <w:szCs w:val="28"/>
    </w:rPr>
  </w:style>
  <w:style w:type="paragraph" w:styleId="1278">
    <w:name w:val="次小点说明"/>
    <w:basedOn w:val="864"/>
    <w:next w:val="1278"/>
    <w:link w:val="864"/>
    <w:qFormat/>
    <w:pPr>
      <w:ind w:left="625" w:hanging="425"/>
      <w:spacing w:line="360" w:lineRule="auto"/>
      <w:tabs>
        <w:tab w:val="left" w:pos="425" w:leader="none"/>
      </w:tabs>
    </w:pPr>
    <w:rPr>
      <w:rFonts w:ascii="Times New Roman" w:hAnsi="Times New Roman" w:eastAsia="宋体" w:cs="Times New Roman"/>
    </w:rPr>
  </w:style>
  <w:style w:type="paragraph" w:styleId="1279">
    <w:name w:val="para1"/>
    <w:basedOn w:val="864"/>
    <w:next w:val="1279"/>
    <w:link w:val="864"/>
    <w:qFormat/>
    <w:pPr>
      <w:jc w:val="left"/>
      <w:spacing w:before="100" w:beforeAutospacing="1" w:after="100" w:afterAutospacing="1"/>
      <w:widowControl/>
    </w:pPr>
    <w:rPr>
      <w:rFonts w:ascii="宋体" w:hAnsi="宋体" w:eastAsia="宋体" w:cs="宋体"/>
      <w:sz w:val="24"/>
    </w:rPr>
  </w:style>
  <w:style w:type="paragraph" w:styleId="1280">
    <w:name w:val="msonormalcxsplast"/>
    <w:basedOn w:val="864"/>
    <w:next w:val="1280"/>
    <w:link w:val="864"/>
    <w:qFormat/>
    <w:pPr>
      <w:jc w:val="left"/>
      <w:widowControl/>
    </w:pPr>
    <w:rPr>
      <w:rFonts w:ascii="宋体" w:hAnsi="宋体" w:eastAsia="宋体" w:cs="宋体"/>
      <w:sz w:val="24"/>
    </w:rPr>
  </w:style>
  <w:style w:type="paragraph" w:styleId="1281">
    <w:name w:val="xl53"/>
    <w:basedOn w:val="864"/>
    <w:next w:val="1281"/>
    <w:link w:val="864"/>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cs="Times New Roman"/>
      <w:sz w:val="22"/>
      <w:szCs w:val="22"/>
    </w:rPr>
  </w:style>
  <w:style w:type="paragraph" w:styleId="1282">
    <w:name w:val="正文段"/>
    <w:basedOn w:val="864"/>
    <w:next w:val="1282"/>
    <w:link w:val="864"/>
    <w:qFormat/>
    <w:pPr>
      <w:ind w:firstLine="454"/>
      <w:spacing w:after="240" w:line="360" w:lineRule="atLeast"/>
      <w:widowControl/>
    </w:pPr>
    <w:rPr>
      <w:rFonts w:ascii="宋体" w:hAnsi="Times New Roman" w:eastAsia="宋体" w:cs="Times New Roman"/>
      <w:sz w:val="24"/>
      <w:szCs w:val="20"/>
    </w:rPr>
  </w:style>
  <w:style w:type="paragraph" w:styleId="1283">
    <w:name w:val="xl31"/>
    <w:basedOn w:val="864"/>
    <w:next w:val="1283"/>
    <w:link w:val="864"/>
    <w:qFormat/>
    <w:pPr>
      <w:jc w:val="left"/>
      <w:spacing w:before="100" w:beforeAutospacing="1" w:after="100" w:afterAutospacing="1"/>
      <w:widowControl/>
      <w:pBdr>
        <w:bottom w:val="single" w:color="000000" w:sz="4" w:space="0"/>
      </w:pBdr>
    </w:pPr>
    <w:rPr>
      <w:rFonts w:ascii="宋体" w:hAnsi="宋体" w:eastAsia="宋体" w:cs="Times New Roman"/>
      <w:sz w:val="24"/>
    </w:rPr>
  </w:style>
  <w:style w:type="paragraph" w:styleId="1284">
    <w:name w:val="有符号正文"/>
    <w:basedOn w:val="864"/>
    <w:next w:val="1284"/>
    <w:link w:val="864"/>
    <w:qFormat/>
    <w:pPr>
      <w:ind w:firstLine="200"/>
      <w:spacing w:line="400" w:lineRule="exact"/>
    </w:pPr>
    <w:rPr>
      <w:rFonts w:ascii="Arial" w:hAnsi="Arial" w:eastAsia="宋体" w:cs="Times New Roman"/>
    </w:rPr>
  </w:style>
  <w:style w:type="paragraph" w:styleId="1285">
    <w:name w:val="样式 仿宋_GB2312 四号 黑色 左 行距: 1.5 倍行距"/>
    <w:basedOn w:val="864"/>
    <w:next w:val="1285"/>
    <w:link w:val="864"/>
    <w:qFormat/>
    <w:pPr>
      <w:jc w:val="left"/>
      <w:spacing w:line="360" w:lineRule="auto"/>
    </w:pPr>
    <w:rPr>
      <w:rFonts w:ascii="仿宋_GB2312" w:hAnsi="宋体" w:eastAsia="仿宋_GB2312" w:cs="Times New Roman"/>
      <w:color w:val="000000"/>
      <w:sz w:val="24"/>
      <w:szCs w:val="20"/>
    </w:rPr>
  </w:style>
  <w:style w:type="paragraph" w:styleId="1286">
    <w:name w:val="xl74"/>
    <w:basedOn w:val="864"/>
    <w:next w:val="1286"/>
    <w:link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Cs w:val="21"/>
    </w:rPr>
  </w:style>
  <w:style w:type="paragraph" w:styleId="1287">
    <w:name w:val="+▲"/>
    <w:basedOn w:val="1288"/>
    <w:next w:val="1287"/>
    <w:link w:val="864"/>
    <w:qFormat/>
    <w:pPr>
      <w:ind w:left="930" w:firstLine="0"/>
      <w:tabs>
        <w:tab w:val="left" w:pos="930" w:leader="none"/>
      </w:tabs>
    </w:pPr>
    <w:rPr>
      <w:rFonts w:ascii="Calibri" w:hAnsi="Calibri" w:eastAsia="宋体" w:cs="Times New Roman"/>
    </w:rPr>
  </w:style>
  <w:style w:type="paragraph" w:styleId="1288">
    <w:name w:val="+正文 Char"/>
    <w:basedOn w:val="864"/>
    <w:next w:val="1288"/>
    <w:link w:val="864"/>
    <w:qFormat/>
    <w:pPr>
      <w:ind w:firstLine="200"/>
      <w:spacing w:line="360" w:lineRule="auto"/>
    </w:pPr>
    <w:rPr>
      <w:rFonts w:ascii="Calibri" w:hAnsi="Calibri" w:eastAsia="宋体" w:cs="Times New Roman"/>
      <w:sz w:val="24"/>
      <w:szCs w:val="28"/>
    </w:rPr>
  </w:style>
  <w:style w:type="paragraph" w:styleId="1289">
    <w:name w:val="p15"/>
    <w:basedOn w:val="864"/>
    <w:next w:val="1289"/>
    <w:link w:val="864"/>
    <w:qFormat/>
    <w:pPr>
      <w:widowControl/>
    </w:pPr>
    <w:rPr>
      <w:rFonts w:ascii="宋体" w:hAnsi="宋体" w:cs="宋体"/>
      <w:sz w:val="28"/>
      <w:szCs w:val="28"/>
    </w:rPr>
  </w:style>
  <w:style w:type="paragraph" w:styleId="1290">
    <w:name w:val="xl35"/>
    <w:basedOn w:val="864"/>
    <w:next w:val="1290"/>
    <w:link w:val="86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sz w:val="24"/>
    </w:rPr>
  </w:style>
  <w:style w:type="paragraph" w:styleId="1291">
    <w:name w:val="xl77"/>
    <w:basedOn w:val="864"/>
    <w:next w:val="1291"/>
    <w:link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4"/>
    </w:rPr>
  </w:style>
  <w:style w:type="paragraph" w:styleId="1292">
    <w:name w:val="页眉文档编号"/>
    <w:next w:val="1292"/>
    <w:link w:val="864"/>
    <w:qFormat/>
    <w:pPr>
      <w:jc w:val="center"/>
    </w:pPr>
    <w:rPr>
      <w:sz w:val="21"/>
      <w:lang w:val="en-US" w:eastAsia="zh-CN" w:bidi="ar-SA"/>
    </w:rPr>
  </w:style>
  <w:style w:type="paragraph" w:styleId="1293">
    <w:name w:val=" Char Char Char Char"/>
    <w:basedOn w:val="864"/>
    <w:next w:val="1293"/>
    <w:link w:val="864"/>
    <w:qFormat/>
    <w:pPr>
      <w:jc w:val="left"/>
      <w:spacing w:after="160" w:line="240" w:lineRule="exact"/>
      <w:widowControl/>
    </w:pPr>
    <w:rPr>
      <w:rFonts w:ascii="Times New Roman" w:hAnsi="Times New Roman" w:eastAsia="宋体" w:cs="Times New Roman"/>
      <w:sz w:val="24"/>
      <w:szCs w:val="21"/>
    </w:rPr>
  </w:style>
  <w:style w:type="paragraph" w:styleId="1294">
    <w:name w:val="一级条标题"/>
    <w:basedOn w:val="864"/>
    <w:next w:val="864"/>
    <w:link w:val="864"/>
    <w:qFormat/>
    <w:pPr>
      <w:ind w:left="420"/>
      <w:widowControl/>
      <w:tabs>
        <w:tab w:val="left" w:pos="360" w:leader="none"/>
      </w:tabs>
      <w:outlineLvl w:val="2"/>
    </w:pPr>
    <w:rPr>
      <w:rFonts w:ascii="黑体" w:hAnsi="Calibri" w:eastAsia="黑体" w:cs="Times New Roman"/>
      <w:szCs w:val="20"/>
    </w:rPr>
  </w:style>
  <w:style w:type="paragraph" w:styleId="1295">
    <w:name w:val="打对勾的标号1"/>
    <w:basedOn w:val="864"/>
    <w:next w:val="1295"/>
    <w:link w:val="864"/>
    <w:qFormat/>
    <w:pPr>
      <w:tabs>
        <w:tab w:val="left" w:pos="540" w:leader="none"/>
      </w:tabs>
    </w:pPr>
    <w:rPr>
      <w:rFonts w:ascii="宋体" w:hAnsi="Calibri" w:eastAsia="宋体" w:cs="Times New Roman"/>
      <w:color w:val="000000"/>
      <w:sz w:val="28"/>
      <w:szCs w:val="20"/>
      <w:lang w:val="en-GB"/>
    </w:rPr>
  </w:style>
  <w:style w:type="paragraph" w:styleId="1296">
    <w:name w:val="列表内容"/>
    <w:basedOn w:val="864"/>
    <w:next w:val="864"/>
    <w:link w:val="864"/>
    <w:qFormat/>
    <w:pPr>
      <w:ind w:firstLine="200"/>
      <w:jc w:val="left"/>
      <w:widowControl/>
      <w:tabs>
        <w:tab w:val="left" w:pos="840" w:leader="none"/>
      </w:tabs>
    </w:pPr>
    <w:rPr>
      <w:rFonts w:ascii="Calibri" w:hAnsi="Calibri" w:eastAsia="宋体" w:cs="Times New Roman"/>
      <w:sz w:val="18"/>
    </w:rPr>
  </w:style>
  <w:style w:type="paragraph" w:styleId="1297">
    <w:name w:val="xl76"/>
    <w:basedOn w:val="864"/>
    <w:next w:val="1297"/>
    <w:link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b/>
      <w:bCs/>
      <w:color w:val="000000"/>
      <w:sz w:val="24"/>
    </w:rPr>
  </w:style>
  <w:style w:type="paragraph" w:styleId="1298">
    <w:name w:val="+1."/>
    <w:basedOn w:val="1288"/>
    <w:next w:val="1298"/>
    <w:link w:val="864"/>
    <w:qFormat/>
    <w:pPr>
      <w:ind w:left="198" w:firstLine="0"/>
      <w:tabs>
        <w:tab w:val="left" w:pos="624" w:leader="none"/>
      </w:tabs>
    </w:pPr>
    <w:rPr>
      <w:rFonts w:ascii="Calibri" w:hAnsi="Calibri" w:eastAsia="宋体" w:cs="Times New Roman"/>
    </w:rPr>
  </w:style>
  <w:style w:type="paragraph" w:styleId="1299">
    <w:name w:val="无间隔2"/>
    <w:next w:val="1299"/>
    <w:link w:val="864"/>
    <w:qFormat/>
    <w:pPr>
      <w:widowControl w:val="off"/>
    </w:pPr>
    <w:rPr>
      <w:sz w:val="24"/>
      <w:szCs w:val="24"/>
      <w:lang w:val="en-US" w:eastAsia="zh-CN" w:bidi="ar-SA"/>
    </w:rPr>
  </w:style>
  <w:style w:type="paragraph" w:styleId="1300">
    <w:name w:val="修订"/>
    <w:next w:val="1300"/>
    <w:link w:val="864"/>
    <w:uiPriority w:val="99"/>
    <w:qFormat/>
    <w:rPr>
      <w:sz w:val="21"/>
      <w:szCs w:val="24"/>
      <w:lang w:val="en-US" w:eastAsia="zh-CN" w:bidi="ar-SA"/>
    </w:rPr>
  </w:style>
  <w:style w:type="paragraph" w:styleId="1301">
    <w:name w:val="Char11"/>
    <w:basedOn w:val="864"/>
    <w:next w:val="1301"/>
    <w:link w:val="864"/>
    <w:qFormat/>
    <w:pPr>
      <w:jc w:val="left"/>
      <w:spacing w:after="160" w:line="240" w:lineRule="exact"/>
      <w:widowControl/>
    </w:pPr>
    <w:rPr>
      <w:rFonts w:ascii="Verdana" w:hAnsi="Verdana" w:eastAsia="宋体" w:cs="Times New Roman"/>
      <w:sz w:val="20"/>
      <w:szCs w:val="20"/>
      <w:lang w:eastAsia="en-US"/>
    </w:rPr>
  </w:style>
  <w:style w:type="paragraph" w:styleId="1302">
    <w:name w:val="正文1"/>
    <w:basedOn w:val="864"/>
    <w:next w:val="1302"/>
    <w:link w:val="864"/>
    <w:qFormat/>
    <w:pPr>
      <w:ind w:firstLine="420"/>
      <w:spacing w:line="360" w:lineRule="auto"/>
      <w:tabs>
        <w:tab w:val="left" w:pos="420" w:leader="none"/>
      </w:tabs>
    </w:pPr>
    <w:rPr>
      <w:rFonts w:ascii="宋体" w:hAnsi="宋体"/>
    </w:rPr>
  </w:style>
  <w:style w:type="paragraph" w:styleId="1303">
    <w:name w:val="+标题4"/>
    <w:basedOn w:val="1058"/>
    <w:next w:val="1303"/>
    <w:link w:val="864"/>
    <w:qFormat/>
    <w:pPr>
      <w:spacing w:before="0" w:after="0" w:line="360" w:lineRule="auto"/>
      <w:tabs>
        <w:tab w:val="left" w:pos="0" w:leader="none"/>
      </w:tabs>
    </w:pPr>
    <w:rPr>
      <w:rFonts w:ascii="Times New Roman" w:hAnsi="Times New Roman" w:eastAsia="宋体" w:cs="Times New Roman"/>
      <w:sz w:val="24"/>
    </w:rPr>
  </w:style>
  <w:style w:type="paragraph" w:styleId="1304">
    <w:name w:val="大标题"/>
    <w:basedOn w:val="864"/>
    <w:next w:val="1304"/>
    <w:link w:val="864"/>
    <w:qFormat/>
    <w:pPr>
      <w:jc w:val="center"/>
    </w:pPr>
    <w:rPr>
      <w:rFonts w:ascii="Times New Roman" w:hAnsi="Times New Roman" w:eastAsia="黑体" w:cs="宋体"/>
      <w:sz w:val="44"/>
      <w:szCs w:val="20"/>
    </w:rPr>
  </w:style>
  <w:style w:type="paragraph" w:styleId="1305">
    <w:name w:val="xl47"/>
    <w:basedOn w:val="864"/>
    <w:next w:val="1305"/>
    <w:link w:val="864"/>
    <w:qFormat/>
    <w:pPr>
      <w:jc w:val="left"/>
      <w:spacing w:before="100" w:beforeAutospacing="1" w:after="100" w:afterAutospacing="1"/>
      <w:widowControl/>
    </w:pPr>
    <w:rPr>
      <w:rFonts w:hint="eastAsia" w:ascii="仿宋_GB2312" w:hAnsi="宋体" w:eastAsia="仿宋_GB2312" w:cs="Times New Roman"/>
      <w:sz w:val="22"/>
      <w:szCs w:val="22"/>
    </w:rPr>
  </w:style>
  <w:style w:type="paragraph" w:styleId="1306">
    <w:name w:val="xl29"/>
    <w:basedOn w:val="864"/>
    <w:next w:val="1306"/>
    <w:link w:val="864"/>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4"/>
    </w:rPr>
  </w:style>
  <w:style w:type="paragraph" w:styleId="1307">
    <w:name w:val="华宇段落1 Char"/>
    <w:basedOn w:val="864"/>
    <w:next w:val="1307"/>
    <w:link w:val="864"/>
    <w:qFormat/>
    <w:pPr>
      <w:ind w:firstLine="200"/>
      <w:spacing w:line="360" w:lineRule="auto"/>
    </w:pPr>
    <w:rPr>
      <w:rFonts w:ascii="Times New Roman" w:hAnsi="Times New Roman" w:eastAsia="宋体" w:cs="Times New Roman"/>
      <w:sz w:val="24"/>
      <w:szCs w:val="20"/>
    </w:rPr>
  </w:style>
  <w:style w:type="paragraph" w:styleId="1308">
    <w:name w:val="样式 样式 标题 3sect1.2.3h3H3l3CTl3+toc 3heading 3Sub-section Tit... +..."/>
    <w:basedOn w:val="864"/>
    <w:next w:val="1308"/>
    <w:link w:val="864"/>
    <w:qFormat/>
    <w:pPr>
      <w:spacing w:line="412" w:lineRule="auto"/>
      <w:tabs>
        <w:tab w:val="left" w:pos="1800" w:leader="none"/>
      </w:tabs>
      <w:outlineLvl w:val="2"/>
    </w:pPr>
    <w:rPr>
      <w:rFonts w:ascii="Times New Roman" w:hAnsi="Times New Roman" w:eastAsia="黑体" w:cs="宋体"/>
      <w:b/>
      <w:bCs/>
      <w:sz w:val="30"/>
      <w:szCs w:val="20"/>
    </w:rPr>
  </w:style>
  <w:style w:type="paragraph" w:styleId="1309">
    <w:name w:val="缺省文本:1"/>
    <w:basedOn w:val="864"/>
    <w:next w:val="1309"/>
    <w:link w:val="864"/>
    <w:qFormat/>
    <w:pPr>
      <w:jc w:val="left"/>
    </w:pPr>
    <w:rPr>
      <w:rFonts w:ascii="宋体" w:hAnsi="Times New Roman" w:eastAsia="宋体" w:cs="Times New Roman"/>
      <w:sz w:val="24"/>
      <w:szCs w:val="20"/>
    </w:rPr>
  </w:style>
  <w:style w:type="paragraph" w:styleId="1310">
    <w:name w:val="Blockquote"/>
    <w:basedOn w:val="864"/>
    <w:next w:val="1310"/>
    <w:link w:val="864"/>
    <w:qFormat/>
    <w:pPr>
      <w:ind w:left="360" w:right="360"/>
      <w:jc w:val="left"/>
      <w:spacing w:before="100" w:after="100"/>
    </w:pPr>
    <w:rPr>
      <w:rFonts w:ascii="Times New Roman" w:hAnsi="Times New Roman" w:eastAsia="宋体" w:cs="Times New Roman"/>
      <w:sz w:val="24"/>
      <w:szCs w:val="21"/>
    </w:rPr>
  </w:style>
  <w:style w:type="paragraph" w:styleId="1311">
    <w:name w:val="正文文本 21"/>
    <w:basedOn w:val="864"/>
    <w:next w:val="1311"/>
    <w:link w:val="864"/>
    <w:qFormat/>
    <w:pPr>
      <w:ind w:firstLine="480"/>
      <w:jc w:val="left"/>
      <w:spacing w:line="400" w:lineRule="exact"/>
    </w:pPr>
    <w:rPr>
      <w:rFonts w:ascii="仿宋_GB2312" w:hAnsi="Times New Roman" w:eastAsia="仿宋_GB2312" w:cs="Times New Roman"/>
      <w:sz w:val="24"/>
      <w:szCs w:val="20"/>
    </w:rPr>
  </w:style>
  <w:style w:type="paragraph" w:styleId="1312">
    <w:name w:val="font10"/>
    <w:basedOn w:val="864"/>
    <w:next w:val="1312"/>
    <w:link w:val="864"/>
    <w:qFormat/>
    <w:pPr>
      <w:jc w:val="left"/>
      <w:spacing w:before="100" w:beforeAutospacing="1" w:after="100" w:afterAutospacing="1"/>
      <w:widowControl/>
    </w:pPr>
    <w:rPr>
      <w:rFonts w:ascii="宋体" w:hAnsi="宋体" w:eastAsia="宋体" w:cs="宋体"/>
      <w:szCs w:val="21"/>
    </w:rPr>
  </w:style>
  <w:style w:type="paragraph" w:styleId="1313">
    <w:name w:val="xl38"/>
    <w:basedOn w:val="864"/>
    <w:next w:val="1313"/>
    <w:link w:val="864"/>
    <w:qFormat/>
    <w:pPr>
      <w:jc w:val="center"/>
      <w:spacing w:before="100" w:beforeAutospacing="1" w:after="100" w:afterAutospacing="1"/>
      <w:widowControl/>
      <w:pBdr>
        <w:left w:val="single" w:color="000000" w:sz="4" w:space="0"/>
        <w:right w:val="single" w:color="000000" w:sz="4" w:space="0"/>
      </w:pBdr>
    </w:pPr>
    <w:rPr>
      <w:rFonts w:ascii="宋体" w:hAnsi="宋体" w:eastAsia="宋体" w:cs="Times New Roman"/>
      <w:sz w:val="24"/>
    </w:rPr>
  </w:style>
  <w:style w:type="paragraph" w:styleId="1314">
    <w:name w:val="xl54"/>
    <w:basedOn w:val="864"/>
    <w:next w:val="1314"/>
    <w:link w:val="864"/>
    <w:qFormat/>
    <w:pPr>
      <w:jc w:val="center"/>
      <w:spacing w:before="100" w:beforeAutospacing="1" w:after="100" w:afterAutospacing="1"/>
      <w:widowControl/>
    </w:pPr>
    <w:rPr>
      <w:rFonts w:hint="eastAsia" w:ascii="隶书" w:hAnsi="宋体" w:eastAsia="隶书" w:cs="Times New Roman"/>
      <w:sz w:val="48"/>
      <w:szCs w:val="48"/>
    </w:rPr>
  </w:style>
  <w:style w:type="paragraph" w:styleId="1315">
    <w:name w:val="paragraph"/>
    <w:basedOn w:val="864"/>
    <w:next w:val="1315"/>
    <w:link w:val="864"/>
    <w:qFormat/>
    <w:pPr>
      <w:jc w:val="left"/>
      <w:spacing w:before="100" w:beforeAutospacing="1" w:after="100" w:afterAutospacing="1"/>
      <w:widowControl/>
    </w:pPr>
    <w:rPr>
      <w:rFonts w:ascii="宋体" w:hAnsi="宋体" w:cs="宋体"/>
      <w:sz w:val="24"/>
    </w:rPr>
  </w:style>
  <w:style w:type="paragraph" w:styleId="1316">
    <w:name w:val="font6"/>
    <w:basedOn w:val="864"/>
    <w:next w:val="1316"/>
    <w:link w:val="864"/>
    <w:qFormat/>
    <w:pPr>
      <w:jc w:val="left"/>
      <w:spacing w:before="100" w:beforeAutospacing="1" w:after="100" w:afterAutospacing="1"/>
      <w:widowControl/>
    </w:pPr>
    <w:rPr>
      <w:rFonts w:hint="eastAsia" w:ascii="宋体" w:hAnsi="宋体" w:eastAsia="宋体" w:cs="Times New Roman"/>
      <w:sz w:val="18"/>
      <w:szCs w:val="18"/>
    </w:rPr>
  </w:style>
  <w:style w:type="paragraph" w:styleId="1317">
    <w:name w:val="Char Char Char Char Char1 Char Char Char Char Char Char Char"/>
    <w:basedOn w:val="864"/>
    <w:next w:val="1317"/>
    <w:link w:val="864"/>
    <w:qFormat/>
    <w:rPr>
      <w:rFonts w:ascii="Calibri" w:hAnsi="Calibri" w:eastAsia="宋体" w:cs="Times New Roman"/>
    </w:rPr>
  </w:style>
  <w:style w:type="paragraph" w:styleId="1318">
    <w:name w:val="TOC 标题"/>
    <w:basedOn w:val="1052"/>
    <w:next w:val="864"/>
    <w:link w:val="864"/>
    <w:uiPriority w:val="39"/>
    <w:qFormat/>
    <w:pPr>
      <w:jc w:val="left"/>
      <w:spacing w:before="480" w:after="0" w:line="276" w:lineRule="auto"/>
      <w:widowControl/>
      <w:outlineLvl w:val="9"/>
    </w:pPr>
    <w:rPr>
      <w:rFonts w:ascii="Cambria" w:hAnsi="Cambria" w:eastAsia="宋体" w:cs="Times New Roman"/>
      <w:bCs/>
      <w:color w:val="365f91"/>
      <w:sz w:val="28"/>
      <w:szCs w:val="28"/>
    </w:rPr>
  </w:style>
  <w:style w:type="paragraph" w:styleId="1319">
    <w:name w:val="Char1 Char Char Char Char Char Char"/>
    <w:basedOn w:val="864"/>
    <w:next w:val="1319"/>
    <w:link w:val="864"/>
    <w:qFormat/>
    <w:rPr>
      <w:rFonts w:ascii="Tahoma" w:hAnsi="Tahoma" w:eastAsia="宋体" w:cs="Times New Roman"/>
      <w:sz w:val="24"/>
      <w:szCs w:val="20"/>
    </w:rPr>
  </w:style>
  <w:style w:type="paragraph" w:styleId="1320">
    <w:name w:val="SS正文首行缩进 +"/>
    <w:basedOn w:val="1130"/>
    <w:next w:val="1320"/>
    <w:link w:val="864"/>
    <w:qFormat/>
    <w:pPr>
      <w:ind w:firstLine="480"/>
      <w:spacing w:before="156" w:line="360" w:lineRule="auto"/>
    </w:pPr>
    <w:rPr>
      <w:rFonts w:ascii="Times New Roman" w:hAnsi="Times New Roman" w:eastAsia="宋体" w:cs="Times New Roman"/>
      <w:szCs w:val="20"/>
    </w:rPr>
  </w:style>
  <w:style w:type="paragraph" w:styleId="1321">
    <w:name w:val="默认段落字体 Para Char Char Char Char"/>
    <w:basedOn w:val="864"/>
    <w:next w:val="1321"/>
    <w:link w:val="864"/>
    <w:qFormat/>
    <w:rPr>
      <w:rFonts w:ascii="Times New Roman" w:hAnsi="Times New Roman" w:eastAsia="宋体" w:cs="Times New Roman"/>
      <w:sz w:val="20"/>
      <w:szCs w:val="20"/>
    </w:rPr>
  </w:style>
  <w:style w:type="paragraph" w:styleId="1322">
    <w:name w:val="msonormalcxspmiddle"/>
    <w:basedOn w:val="864"/>
    <w:next w:val="1322"/>
    <w:link w:val="864"/>
    <w:qFormat/>
    <w:pPr>
      <w:jc w:val="left"/>
      <w:widowControl/>
    </w:pPr>
    <w:rPr>
      <w:rFonts w:ascii="宋体" w:hAnsi="宋体" w:eastAsia="宋体" w:cs="宋体"/>
      <w:sz w:val="24"/>
    </w:rPr>
  </w:style>
  <w:style w:type="paragraph" w:styleId="1323">
    <w:name w:val="段"/>
    <w:next w:val="864"/>
    <w:link w:val="864"/>
    <w:qFormat/>
    <w:pPr>
      <w:ind w:firstLine="200"/>
      <w:jc w:val="both"/>
    </w:pPr>
    <w:rPr>
      <w:rFonts w:ascii="宋体"/>
      <w:sz w:val="21"/>
      <w:lang w:val="en-US" w:eastAsia="zh-CN" w:bidi="ar-SA"/>
    </w:rPr>
  </w:style>
  <w:style w:type="paragraph" w:styleId="1324">
    <w:name w:val="+注："/>
    <w:basedOn w:val="864"/>
    <w:next w:val="1324"/>
    <w:link w:val="864"/>
    <w:qFormat/>
    <w:pPr>
      <w:ind w:firstLine="200"/>
      <w:spacing w:line="360" w:lineRule="auto"/>
    </w:pPr>
    <w:rPr>
      <w:rFonts w:ascii="Calibri" w:hAnsi="Calibri" w:eastAsia="宋体" w:cs="Times New Roman"/>
      <w:szCs w:val="21"/>
    </w:rPr>
  </w:style>
  <w:style w:type="paragraph" w:styleId="1325">
    <w:name w:val="表文字"/>
    <w:next w:val="1325"/>
    <w:link w:val="864"/>
    <w:qFormat/>
    <w:rPr>
      <w:rFonts w:ascii="宋体"/>
      <w:lang w:val="en-US" w:eastAsia="zh-CN" w:bidi="ar-SA"/>
    </w:rPr>
  </w:style>
  <w:style w:type="paragraph" w:styleId="1326">
    <w:name w:val="xl50"/>
    <w:basedOn w:val="864"/>
    <w:next w:val="1326"/>
    <w:link w:val="864"/>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8"/>
      <w:szCs w:val="28"/>
    </w:rPr>
  </w:style>
  <w:style w:type="paragraph" w:styleId="1327">
    <w:name w:val="6"/>
    <w:basedOn w:val="864"/>
    <w:next w:val="1086"/>
    <w:link w:val="864"/>
    <w:qFormat/>
    <w:pPr>
      <w:spacing w:after="120"/>
    </w:pPr>
    <w:rPr>
      <w:rFonts w:ascii="Times New Roman" w:hAnsi="Times New Roman" w:eastAsia="宋体" w:cs="Times New Roman"/>
    </w:rPr>
  </w:style>
  <w:style w:type="paragraph" w:styleId="1328">
    <w:name w:val="xl49"/>
    <w:basedOn w:val="864"/>
    <w:next w:val="1328"/>
    <w:link w:val="86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8"/>
      <w:szCs w:val="28"/>
    </w:rPr>
  </w:style>
  <w:style w:type="paragraph" w:styleId="1329">
    <w:name w:val="标题 4宋体"/>
    <w:basedOn w:val="1058"/>
    <w:next w:val="1329"/>
    <w:link w:val="864"/>
    <w:qFormat/>
    <w:pPr>
      <w:jc w:val="left"/>
      <w:keepLines w:val="0"/>
      <w:spacing w:before="0" w:after="0" w:line="360" w:lineRule="auto"/>
    </w:pPr>
    <w:rPr>
      <w:rFonts w:ascii="宋体" w:hAnsi="宋体" w:eastAsia="宋体" w:cs="Times New Roman"/>
      <w:color w:val="000000"/>
      <w:sz w:val="24"/>
      <w:szCs w:val="20"/>
    </w:rPr>
  </w:style>
  <w:style w:type="paragraph" w:styleId="1330">
    <w:name w:val="正文文字"/>
    <w:basedOn w:val="864"/>
    <w:next w:val="1330"/>
    <w:link w:val="864"/>
    <w:qFormat/>
    <w:pPr>
      <w:spacing w:line="300" w:lineRule="auto"/>
    </w:pPr>
    <w:rPr>
      <w:rFonts w:ascii="Times New Roman" w:hAnsi="Times New Roman" w:eastAsia="宋体" w:cs="Times New Roman"/>
      <w:szCs w:val="20"/>
    </w:rPr>
  </w:style>
  <w:style w:type="paragraph" w:styleId="1331">
    <w:name w:val="样式 仿宋_GB2312 四号 黑色 行距: 1.5 倍行距"/>
    <w:basedOn w:val="864"/>
    <w:next w:val="1331"/>
    <w:link w:val="864"/>
    <w:qFormat/>
    <w:pPr>
      <w:ind w:firstLine="560"/>
      <w:spacing w:line="360" w:lineRule="auto"/>
    </w:pPr>
    <w:rPr>
      <w:rFonts w:ascii="仿宋_GB2312" w:hAnsi="宋体" w:eastAsia="仿宋_GB2312" w:cs="Times New Roman"/>
      <w:color w:val="000000"/>
      <w:sz w:val="24"/>
      <w:szCs w:val="20"/>
    </w:rPr>
  </w:style>
  <w:style w:type="paragraph" w:styleId="1332">
    <w:name w:val="纯文本12"/>
    <w:basedOn w:val="864"/>
    <w:next w:val="1332"/>
    <w:link w:val="864"/>
    <w:qFormat/>
    <w:rPr>
      <w:rFonts w:hint="eastAsia" w:ascii="宋体" w:hAnsi="Courier New" w:eastAsia="楷体_GB2312"/>
      <w:bCs/>
      <w:sz w:val="28"/>
      <w:szCs w:val="20"/>
    </w:rPr>
  </w:style>
  <w:style w:type="paragraph" w:styleId="1333">
    <w:name w:val="def正文"/>
    <w:basedOn w:val="1086"/>
    <w:next w:val="1333"/>
    <w:link w:val="864"/>
    <w:qFormat/>
    <w:pPr>
      <w:ind w:firstLine="562"/>
      <w:jc w:val="both"/>
      <w:spacing w:line="360" w:lineRule="auto"/>
      <w:widowControl/>
    </w:pPr>
    <w:rPr>
      <w:rFonts w:ascii="楷体_GB2312" w:hAnsi="Times New Roman" w:eastAsia="楷体_GB2312" w:cs="Times New Roman"/>
      <w:b/>
      <w:position w:val="0"/>
      <w:sz w:val="28"/>
      <w:szCs w:val="28"/>
    </w:rPr>
  </w:style>
  <w:style w:type="paragraph" w:styleId="1334">
    <w:name w:val="样式 样式 样式 标题 3sect1.2.3h3H3l3CTl3+toc 3heading 3Sub-section Tit....."/>
    <w:basedOn w:val="1308"/>
    <w:next w:val="1334"/>
    <w:link w:val="864"/>
    <w:qFormat/>
    <w:pPr>
      <w:spacing w:before="468" w:after="312"/>
      <w:tabs>
        <w:tab w:val="left" w:pos="1800" w:leader="none"/>
      </w:tabs>
    </w:pPr>
    <w:rPr>
      <w:rFonts w:ascii="Times New Roman" w:hAnsi="Times New Roman" w:eastAsia="宋体" w:cs="Times New Roman"/>
    </w:rPr>
  </w:style>
  <w:style w:type="paragraph" w:styleId="1335">
    <w:name w:val="xl70"/>
    <w:basedOn w:val="864"/>
    <w:next w:val="1335"/>
    <w:link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336">
    <w:name w:val="xl69"/>
    <w:basedOn w:val="864"/>
    <w:next w:val="1336"/>
    <w:link w:val="864"/>
    <w:qFormat/>
    <w:pPr>
      <w:jc w:val="left"/>
      <w:spacing w:before="100" w:beforeAutospacing="1" w:after="100" w:afterAutospacing="1"/>
      <w:widowControl/>
    </w:pPr>
    <w:rPr>
      <w:rFonts w:ascii="Microsoft Sans Serif" w:hAnsi="Microsoft Sans Serif" w:eastAsia="宋体" w:cs="Microsoft Sans Serif"/>
      <w:sz w:val="24"/>
    </w:rPr>
  </w:style>
  <w:style w:type="paragraph" w:styleId="1337">
    <w:name w:val="勾"/>
    <w:basedOn w:val="864"/>
    <w:next w:val="1337"/>
    <w:link w:val="864"/>
    <w:qFormat/>
    <w:pPr>
      <w:ind w:left="960" w:hanging="960"/>
      <w:spacing w:line="360" w:lineRule="auto"/>
      <w:tabs>
        <w:tab w:val="left" w:pos="425" w:leader="none"/>
        <w:tab w:val="left" w:pos="960" w:leader="none"/>
      </w:tabs>
    </w:pPr>
    <w:rPr>
      <w:rFonts w:ascii="Times New Roman" w:hAnsi="Times New Roman" w:eastAsia="宋体" w:cs="Times New Roman"/>
      <w:sz w:val="24"/>
      <w:szCs w:val="20"/>
    </w:rPr>
  </w:style>
  <w:style w:type="paragraph" w:styleId="1338">
    <w:name w:val="纯文本4"/>
    <w:basedOn w:val="864"/>
    <w:next w:val="1338"/>
    <w:link w:val="864"/>
    <w:qFormat/>
    <w:rPr>
      <w:rFonts w:ascii="宋体" w:hAnsi="Courier New" w:eastAsia="楷体_GB2312"/>
      <w:sz w:val="28"/>
      <w:szCs w:val="20"/>
    </w:rPr>
  </w:style>
  <w:style w:type="paragraph" w:styleId="1339">
    <w:name w:val="_Style 14"/>
    <w:basedOn w:val="864"/>
    <w:next w:val="1339"/>
    <w:link w:val="864"/>
    <w:qFormat/>
    <w:rPr>
      <w:rFonts w:ascii="Times New Roman" w:hAnsi="Times New Roman" w:eastAsia="宋体" w:cs="Times New Roman"/>
      <w:szCs w:val="20"/>
    </w:rPr>
  </w:style>
  <w:style w:type="paragraph" w:styleId="1340">
    <w:name w:val="纯文本111"/>
    <w:basedOn w:val="864"/>
    <w:next w:val="1340"/>
    <w:link w:val="864"/>
    <w:qFormat/>
    <w:pPr>
      <w:jc w:val="left"/>
      <w:widowControl/>
    </w:pPr>
    <w:rPr>
      <w:rFonts w:ascii="宋体" w:hAnsi="Courier New" w:eastAsia="楷体_GB2312" w:cs="Times New Roman"/>
      <w:sz w:val="26"/>
      <w:szCs w:val="20"/>
    </w:rPr>
  </w:style>
  <w:style w:type="paragraph" w:styleId="1341">
    <w:name w:val="图"/>
    <w:basedOn w:val="864"/>
    <w:next w:val="1341"/>
    <w:link w:val="864"/>
    <w:qFormat/>
    <w:pPr>
      <w:jc w:val="center"/>
      <w:keepNext/>
      <w:spacing w:before="60" w:after="60" w:line="300" w:lineRule="auto"/>
    </w:pPr>
    <w:rPr>
      <w:rFonts w:ascii="Calibri" w:hAnsi="Calibri" w:eastAsia="宋体" w:cs="Times New Roman"/>
      <w:spacing w:val="20"/>
      <w:sz w:val="24"/>
      <w:szCs w:val="20"/>
    </w:rPr>
  </w:style>
  <w:style w:type="paragraph" w:styleId="1342">
    <w:name w:val="04论文正文"/>
    <w:basedOn w:val="864"/>
    <w:next w:val="1342"/>
    <w:link w:val="864"/>
    <w:qFormat/>
    <w:pPr>
      <w:ind w:firstLine="480"/>
      <w:spacing w:line="400" w:lineRule="exact"/>
    </w:pPr>
    <w:rPr>
      <w:rFonts w:ascii="Times New Roman" w:hAnsi="Times New Roman" w:eastAsia="宋体" w:cs="宋体"/>
      <w:sz w:val="24"/>
    </w:rPr>
  </w:style>
  <w:style w:type="paragraph" w:styleId="1343">
    <w:name w:val="xl48"/>
    <w:basedOn w:val="864"/>
    <w:next w:val="1343"/>
    <w:link w:val="86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sz w:val="28"/>
      <w:szCs w:val="28"/>
    </w:rPr>
  </w:style>
  <w:style w:type="paragraph" w:styleId="1344">
    <w:name w:val="+列表1"/>
    <w:basedOn w:val="864"/>
    <w:next w:val="1344"/>
    <w:link w:val="864"/>
    <w:qFormat/>
    <w:pPr>
      <w:jc w:val="center"/>
    </w:pPr>
    <w:rPr>
      <w:rFonts w:ascii="Calibri" w:hAnsi="Calibri" w:eastAsia="宋体" w:cs="Times New Roman"/>
      <w:sz w:val="24"/>
    </w:rPr>
  </w:style>
  <w:style w:type="paragraph" w:styleId="1345">
    <w:name w:val="xl27"/>
    <w:basedOn w:val="864"/>
    <w:next w:val="1345"/>
    <w:link w:val="86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rPr>
  </w:style>
  <w:style w:type="paragraph" w:styleId="1346">
    <w:name w:val="xl36"/>
    <w:basedOn w:val="864"/>
    <w:next w:val="1346"/>
    <w:link w:val="864"/>
    <w:qFormat/>
    <w:pPr>
      <w:jc w:val="left"/>
      <w:spacing w:before="100" w:beforeAutospacing="1" w:after="100" w:afterAutospacing="1"/>
      <w:widowControl/>
      <w:pBdr>
        <w:left w:val="single" w:color="000000" w:sz="4" w:space="0"/>
        <w:right w:val="single" w:color="000000" w:sz="4" w:space="0"/>
      </w:pBdr>
    </w:pPr>
    <w:rPr>
      <w:rFonts w:ascii="宋体" w:hAnsi="宋体" w:eastAsia="宋体" w:cs="Times New Roman"/>
      <w:sz w:val="24"/>
    </w:rPr>
  </w:style>
  <w:style w:type="paragraph" w:styleId="1347">
    <w:name w:val="正文_9"/>
    <w:next w:val="1347"/>
    <w:link w:val="864"/>
    <w:qFormat/>
    <w:pPr>
      <w:jc w:val="both"/>
      <w:widowControl w:val="off"/>
    </w:pPr>
    <w:rPr>
      <w:sz w:val="21"/>
      <w:szCs w:val="24"/>
      <w:lang w:val="en-US" w:eastAsia="zh-CN" w:bidi="ar-SA"/>
    </w:rPr>
  </w:style>
  <w:style w:type="paragraph" w:styleId="1348">
    <w:name w:val="Char Char Char Char Char Char Char Char Char1 Char1"/>
    <w:basedOn w:val="1079"/>
    <w:next w:val="1348"/>
    <w:link w:val="864"/>
    <w:qFormat/>
    <w:pPr>
      <w:spacing w:line="360" w:lineRule="auto"/>
    </w:pPr>
    <w:rPr>
      <w:rFonts w:ascii="Tahoma" w:hAnsi="Tahoma" w:eastAsia="宋体" w:cs="Times New Roman"/>
      <w:sz w:val="24"/>
      <w:szCs w:val="24"/>
      <w:lang w:val="en-US" w:eastAsia="zh-CN"/>
    </w:rPr>
  </w:style>
  <w:style w:type="paragraph" w:styleId="1349">
    <w:name w:val="列表段落"/>
    <w:basedOn w:val="864"/>
    <w:next w:val="1349"/>
    <w:link w:val="864"/>
    <w:qFormat/>
    <w:pPr>
      <w:ind w:firstLine="420"/>
    </w:pPr>
    <w:rPr>
      <w:rFonts w:ascii="Times New Roman" w:hAnsi="Times New Roman" w:eastAsia="宋体" w:cs="Times New Roman"/>
      <w:szCs w:val="20"/>
    </w:rPr>
  </w:style>
  <w:style w:type="paragraph" w:styleId="1350">
    <w:name w:val="xl41"/>
    <w:basedOn w:val="864"/>
    <w:next w:val="1350"/>
    <w:link w:val="864"/>
    <w:qFormat/>
    <w:pPr>
      <w:jc w:val="left"/>
      <w:spacing w:before="100" w:beforeAutospacing="1" w:after="100" w:afterAutospacing="1"/>
      <w:widowControl/>
      <w:pBdr>
        <w:top w:val="single" w:color="000000" w:sz="4" w:space="0"/>
        <w:bottom w:val="single" w:color="000000" w:sz="4" w:space="0"/>
      </w:pBdr>
    </w:pPr>
    <w:rPr>
      <w:rFonts w:ascii="Times New Roman" w:hAnsi="Times New Roman" w:eastAsia="宋体" w:cs="Times New Roman"/>
      <w:sz w:val="24"/>
    </w:rPr>
  </w:style>
  <w:style w:type="paragraph" w:styleId="1351">
    <w:name w:val="默认段落字体 Para Char Char Char Char Char Char Char Char Char1 Char Char Char Char"/>
    <w:basedOn w:val="864"/>
    <w:next w:val="1351"/>
    <w:link w:val="864"/>
    <w:qFormat/>
    <w:rPr>
      <w:rFonts w:ascii="Tahoma" w:hAnsi="Tahoma" w:eastAsia="宋体" w:cs="Times New Roman"/>
      <w:sz w:val="24"/>
      <w:szCs w:val="20"/>
    </w:rPr>
  </w:style>
  <w:style w:type="paragraph" w:styleId="1352">
    <w:name w:val="xl79"/>
    <w:basedOn w:val="864"/>
    <w:next w:val="1352"/>
    <w:link w:val="864"/>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b/>
      <w:bCs/>
      <w:sz w:val="24"/>
    </w:rPr>
  </w:style>
  <w:style w:type="paragraph" w:styleId="1353">
    <w:name w:val="样式 样式 首行缩进:  2 字符 + 首行缩进:  2 字符"/>
    <w:basedOn w:val="864"/>
    <w:next w:val="1353"/>
    <w:link w:val="864"/>
    <w:qFormat/>
    <w:pPr>
      <w:ind w:firstLine="420"/>
      <w:spacing w:line="360" w:lineRule="auto"/>
      <w:tabs>
        <w:tab w:val="left" w:pos="1800" w:leader="none"/>
      </w:tabs>
    </w:pPr>
    <w:rPr>
      <w:rFonts w:ascii="Times New Roman" w:hAnsi="Times New Roman" w:eastAsia="宋体" w:cs="宋体"/>
      <w:sz w:val="24"/>
      <w:szCs w:val="20"/>
    </w:rPr>
  </w:style>
  <w:style w:type="paragraph" w:styleId="1354">
    <w:name w:val="_Style 104"/>
    <w:basedOn w:val="864"/>
    <w:next w:val="1354"/>
    <w:link w:val="864"/>
    <w:qFormat/>
    <w:pPr>
      <w:spacing w:after="160" w:line="240" w:lineRule="exact"/>
    </w:pPr>
    <w:rPr>
      <w:rFonts w:ascii="Times New Roman" w:hAnsi="Times New Roman" w:eastAsia="宋体" w:cs="Times New Roman"/>
      <w:szCs w:val="20"/>
    </w:rPr>
  </w:style>
  <w:style w:type="paragraph" w:styleId="1355">
    <w:name w:val="xl32"/>
    <w:basedOn w:val="864"/>
    <w:next w:val="1355"/>
    <w:link w:val="864"/>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sz w:val="24"/>
    </w:rPr>
  </w:style>
  <w:style w:type="paragraph" w:styleId="1356">
    <w:name w:val="样式 仿宋_GB2312 四号 黑色 行距: 1.5 倍行距2"/>
    <w:basedOn w:val="864"/>
    <w:next w:val="1356"/>
    <w:link w:val="864"/>
    <w:qFormat/>
    <w:pPr>
      <w:spacing w:line="360" w:lineRule="auto"/>
    </w:pPr>
    <w:rPr>
      <w:rFonts w:ascii="仿宋_GB2312" w:hAnsi="Times New Roman" w:eastAsia="仿宋_GB2312" w:cs="Times New Roman"/>
      <w:color w:val="000000"/>
      <w:sz w:val="24"/>
      <w:szCs w:val="20"/>
    </w:rPr>
  </w:style>
  <w:style w:type="paragraph" w:styleId="1357">
    <w:name w:val="接續本文"/>
    <w:basedOn w:val="1086"/>
    <w:next w:val="1357"/>
    <w:link w:val="864"/>
    <w:qFormat/>
    <w:pPr>
      <w:ind w:left="1080"/>
      <w:jc w:val="both"/>
      <w:keepNext/>
      <w:spacing w:after="240" w:line="240" w:lineRule="atLeast"/>
      <w:widowControl/>
    </w:pPr>
    <w:rPr>
      <w:rFonts w:ascii="Arial" w:hAnsi="Arial" w:eastAsia="PMingLiU" w:cs="Times New Roman"/>
      <w:spacing w:val="-5"/>
      <w:position w:val="0"/>
      <w:sz w:val="20"/>
      <w:lang w:eastAsia="zh-TW" w:bidi="he-IL"/>
    </w:rPr>
  </w:style>
  <w:style w:type="paragraph" w:styleId="1358">
    <w:name w:val="xl42"/>
    <w:basedOn w:val="864"/>
    <w:next w:val="1358"/>
    <w:link w:val="864"/>
    <w:qFormat/>
    <w:pPr>
      <w:jc w:val="left"/>
      <w:spacing w:before="100" w:beforeAutospacing="1" w:after="100" w:afterAutospacing="1"/>
      <w:widowControl/>
      <w:pBdr>
        <w:top w:val="single" w:color="000000" w:sz="4" w:space="0"/>
      </w:pBdr>
    </w:pPr>
    <w:rPr>
      <w:rFonts w:ascii="Times New Roman" w:hAnsi="Times New Roman" w:eastAsia="宋体" w:cs="Times New Roman"/>
      <w:sz w:val="24"/>
    </w:rPr>
  </w:style>
  <w:style w:type="paragraph" w:styleId="1359">
    <w:name w:val="xl72"/>
    <w:basedOn w:val="864"/>
    <w:next w:val="1359"/>
    <w:link w:val="8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360">
    <w:name w:val="Body Text1"/>
    <w:basedOn w:val="864"/>
    <w:next w:val="1116"/>
    <w:link w:val="864"/>
    <w:qFormat/>
    <w:pPr>
      <w:ind w:firstLine="480"/>
      <w:spacing w:line="360" w:lineRule="auto"/>
    </w:pPr>
    <w:rPr>
      <w:rFonts w:ascii="Arial" w:hAnsi="Arial" w:eastAsia="宋体" w:cs="Times New Roman"/>
      <w:sz w:val="24"/>
      <w:szCs w:val="20"/>
    </w:rPr>
  </w:style>
  <w:style w:type="paragraph" w:styleId="1361">
    <w:name w:val="样式 标题 1 + (西文) 宋体 小四"/>
    <w:basedOn w:val="1052"/>
    <w:next w:val="1361"/>
    <w:link w:val="864"/>
    <w:qFormat/>
    <w:pPr>
      <w:outlineLvl w:val="9"/>
    </w:pPr>
    <w:rPr>
      <w:rFonts w:ascii="宋体" w:hAnsi="宋体" w:eastAsia="宋体" w:cs="Times New Roman"/>
      <w:sz w:val="24"/>
    </w:rPr>
  </w:style>
  <w:style w:type="paragraph" w:styleId="1362">
    <w:name w:val="正文文本缩进1"/>
    <w:basedOn w:val="864"/>
    <w:next w:val="1362"/>
    <w:link w:val="864"/>
    <w:qFormat/>
    <w:pPr>
      <w:ind w:left="-360" w:firstLine="540"/>
      <w:jc w:val="left"/>
      <w:widowControl/>
    </w:pPr>
    <w:rPr>
      <w:rFonts w:ascii="宋体" w:hAnsi="宋体" w:eastAsia="宋体" w:cs="Times New Roman"/>
      <w:sz w:val="24"/>
    </w:rPr>
  </w:style>
  <w:style w:type="paragraph" w:styleId="1363">
    <w:name w:val="样式1"/>
    <w:basedOn w:val="864"/>
    <w:next w:val="1363"/>
    <w:link w:val="864"/>
    <w:qFormat/>
    <w:pPr>
      <w:ind w:left="660" w:hanging="660"/>
      <w:tabs>
        <w:tab w:val="left" w:pos="660" w:leader="none"/>
        <w:tab w:val="left" w:pos="709" w:leader="none"/>
      </w:tabs>
    </w:pPr>
    <w:rPr>
      <w:rFonts w:ascii="宋体" w:hAnsi="宋体" w:eastAsia="宋体" w:cs="Times New Roman"/>
      <w:szCs w:val="21"/>
    </w:rPr>
  </w:style>
  <w:style w:type="paragraph" w:styleId="1364">
    <w:name w:val="Plain Text11"/>
    <w:basedOn w:val="864"/>
    <w:next w:val="1364"/>
    <w:link w:val="864"/>
    <w:qFormat/>
    <w:rPr>
      <w:rFonts w:ascii="宋体" w:hAnsi="宋体" w:eastAsia="楷体_GB2312"/>
      <w:sz w:val="28"/>
      <w:szCs w:val="20"/>
    </w:rPr>
  </w:style>
  <w:style w:type="paragraph" w:styleId="1365">
    <w:name w:val="a0"/>
    <w:basedOn w:val="864"/>
    <w:next w:val="1365"/>
    <w:link w:val="864"/>
    <w:qFormat/>
    <w:pPr>
      <w:jc w:val="left"/>
      <w:spacing w:before="100" w:beforeAutospacing="1" w:after="100" w:afterAutospacing="1"/>
      <w:widowControl/>
    </w:pPr>
    <w:rPr>
      <w:rFonts w:ascii="宋体" w:hAnsi="宋体" w:eastAsia="宋体" w:cs="宋体"/>
      <w:sz w:val="24"/>
    </w:rPr>
  </w:style>
  <w:style w:type="paragraph" w:styleId="1366">
    <w:name w:val="xl40"/>
    <w:basedOn w:val="864"/>
    <w:next w:val="1366"/>
    <w:link w:val="864"/>
    <w:qFormat/>
    <w:pPr>
      <w:jc w:val="left"/>
      <w:spacing w:before="100" w:beforeAutospacing="1" w:after="100" w:afterAutospacing="1"/>
      <w:widowControl/>
      <w:pBdr>
        <w:bottom w:val="single" w:color="000000" w:sz="4" w:space="0"/>
      </w:pBdr>
    </w:pPr>
    <w:rPr>
      <w:rFonts w:ascii="Times New Roman" w:hAnsi="Times New Roman" w:eastAsia="宋体" w:cs="Times New Roman"/>
      <w:sz w:val="24"/>
    </w:rPr>
  </w:style>
  <w:style w:type="paragraph" w:styleId="1367">
    <w:name w:val="样式 标题4 + &amp;#23435.&amp;#20307. 五号 段前: 自动 段后: 自动"/>
    <w:basedOn w:val="1066"/>
    <w:next w:val="1367"/>
    <w:link w:val="864"/>
    <w:qFormat/>
    <w:pPr>
      <w:ind w:firstLine="200"/>
      <w:spacing w:line="360" w:lineRule="auto"/>
      <w:widowControl/>
    </w:pPr>
    <w:rPr>
      <w:rFonts w:ascii="&amp;#23435;&amp;#20307;" w:hAnsi="&amp;#23435;&amp;#20307;" w:eastAsia="宋体" w:cs="Times New Roman"/>
      <w:color w:val="000000"/>
    </w:rPr>
  </w:style>
  <w:style w:type="paragraph" w:styleId="1368">
    <w:name w:val="Char Char Char"/>
    <w:basedOn w:val="864"/>
    <w:next w:val="1368"/>
    <w:link w:val="864"/>
    <w:qFormat/>
    <w:pPr>
      <w:spacing w:line="360" w:lineRule="auto"/>
    </w:pPr>
    <w:rPr>
      <w:rFonts w:ascii="Times New Roman" w:hAnsi="Times New Roman" w:eastAsia="宋体" w:cs="Times New Roman"/>
      <w:sz w:val="24"/>
      <w:szCs w:val="20"/>
    </w:rPr>
  </w:style>
  <w:style w:type="paragraph" w:styleId="1369">
    <w:name w:val="P1"/>
    <w:next w:val="1369"/>
    <w:link w:val="864"/>
    <w:qFormat/>
    <w:pPr>
      <w:ind w:left="2304" w:hanging="576"/>
      <w:jc w:val="both"/>
      <w:spacing w:after="240" w:line="0" w:lineRule="atLeast"/>
      <w:widowControl w:val="off"/>
    </w:pPr>
    <w:rPr>
      <w:rFonts w:eastAsia="全真中明體"/>
      <w:spacing w:val="30"/>
      <w:sz w:val="24"/>
      <w:lang w:val="en-GB" w:eastAsia="zh-TW" w:bidi="ar-SA"/>
    </w:rPr>
  </w:style>
  <w:style w:type="paragraph" w:styleId="1370">
    <w:name w:val="列出段落11"/>
    <w:basedOn w:val="864"/>
    <w:next w:val="1370"/>
    <w:link w:val="864"/>
    <w:qFormat/>
    <w:pPr>
      <w:ind w:firstLine="420"/>
    </w:pPr>
    <w:rPr>
      <w:rFonts w:ascii="Calibri" w:hAnsi="Calibri" w:eastAsia="宋体" w:cs="Times New Roman"/>
      <w:szCs w:val="22"/>
    </w:rPr>
  </w:style>
  <w:style w:type="paragraph" w:styleId="1371">
    <w:name w:val="目录1"/>
    <w:basedOn w:val="864"/>
    <w:next w:val="1371"/>
    <w:link w:val="864"/>
    <w:qFormat/>
    <w:pPr>
      <w:jc w:val="left"/>
      <w:spacing w:after="136" w:line="289" w:lineRule="atLeast"/>
      <w:widowControl/>
      <w:tabs>
        <w:tab w:val="left" w:pos="8503" w:leader="dot"/>
      </w:tabs>
    </w:pPr>
    <w:rPr>
      <w:rFonts w:ascii="Arial" w:hAnsi="Times New Roman" w:eastAsia="黑体" w:cs="Times New Roman"/>
      <w:color w:val="000000"/>
      <w:sz w:val="28"/>
      <w:szCs w:val="20"/>
    </w:rPr>
  </w:style>
  <w:style w:type="paragraph" w:styleId="1372">
    <w:name w:val="标准正文"/>
    <w:basedOn w:val="1088"/>
    <w:next w:val="1372"/>
    <w:link w:val="864"/>
    <w:qFormat/>
    <w:pPr>
      <w:ind w:left="0" w:firstLine="482"/>
      <w:spacing w:before="60" w:after="60" w:line="360" w:lineRule="auto"/>
    </w:pPr>
    <w:rPr>
      <w:rFonts w:ascii="Arial" w:hAnsi="Arial" w:eastAsia="宋体" w:cs="Times New Roman"/>
      <w:szCs w:val="24"/>
    </w:rPr>
  </w:style>
  <w:style w:type="paragraph" w:styleId="1373">
    <w:name w:val="样式 标题 4H4h4PIM 4第三层条bulletblbbheading 4 + Indent: Left 0..."/>
    <w:basedOn w:val="1058"/>
    <w:next w:val="1374"/>
    <w:link w:val="864"/>
    <w:qFormat/>
    <w:pPr>
      <w:ind w:left="360"/>
      <w:keepLines w:val="0"/>
      <w:keepNext w:val="0"/>
      <w:spacing w:line="360" w:lineRule="auto"/>
      <w:tabs>
        <w:tab w:val="left" w:pos="1800" w:leader="none"/>
      </w:tabs>
    </w:pPr>
    <w:rPr>
      <w:rFonts w:ascii="黑体" w:hAnsi="Times New Roman" w:eastAsia="黑体" w:cs="宋体"/>
      <w:szCs w:val="20"/>
    </w:rPr>
  </w:style>
  <w:style w:type="paragraph" w:styleId="1374">
    <w:name w:val="封面标题"/>
    <w:basedOn w:val="864"/>
    <w:next w:val="1374"/>
    <w:link w:val="864"/>
    <w:qFormat/>
    <w:pPr>
      <w:jc w:val="center"/>
      <w:spacing w:line="360" w:lineRule="auto"/>
    </w:pPr>
    <w:rPr>
      <w:rFonts w:ascii="Times New Roman" w:hAnsi="Times New Roman" w:eastAsia="黑体" w:cs="Times New Roman"/>
      <w:b/>
      <w:bCs/>
      <w:sz w:val="52"/>
      <w:szCs w:val="48"/>
    </w:rPr>
  </w:style>
  <w:style w:type="paragraph" w:styleId="1375">
    <w:name w:val="四级条标题"/>
    <w:basedOn w:val="1376"/>
    <w:next w:val="864"/>
    <w:link w:val="864"/>
    <w:qFormat/>
    <w:pPr>
      <w:ind w:left="480"/>
      <w:tabs>
        <w:tab w:val="left" w:pos="360" w:leader="none"/>
        <w:tab w:val="left" w:pos="480" w:leader="none"/>
        <w:tab w:val="left" w:pos="2100" w:leader="none"/>
      </w:tabs>
      <w:outlineLvl w:val="5"/>
    </w:pPr>
    <w:rPr>
      <w:rFonts w:ascii="Calibri" w:hAnsi="Calibri" w:eastAsia="宋体" w:cs="Times New Roman"/>
    </w:rPr>
  </w:style>
  <w:style w:type="paragraph" w:styleId="1376">
    <w:name w:val="三级条标题"/>
    <w:basedOn w:val="1377"/>
    <w:next w:val="864"/>
    <w:link w:val="864"/>
    <w:qFormat/>
    <w:pPr>
      <w:ind w:left="0"/>
      <w:tabs>
        <w:tab w:val="left" w:pos="360" w:leader="none"/>
        <w:tab w:val="left" w:pos="480" w:leader="none"/>
      </w:tabs>
      <w:outlineLvl w:val="4"/>
    </w:pPr>
    <w:rPr>
      <w:rFonts w:ascii="Calibri" w:hAnsi="Calibri" w:eastAsia="宋体" w:cs="Times New Roman"/>
    </w:rPr>
  </w:style>
  <w:style w:type="paragraph" w:styleId="1377">
    <w:name w:val="二级条标题"/>
    <w:basedOn w:val="1294"/>
    <w:next w:val="864"/>
    <w:link w:val="864"/>
    <w:qFormat/>
    <w:pPr>
      <w:ind w:left="480" w:hanging="480"/>
      <w:tabs>
        <w:tab w:val="left" w:pos="360" w:leader="none"/>
        <w:tab w:val="left" w:pos="480" w:leader="none"/>
      </w:tabs>
      <w:outlineLvl w:val="3"/>
    </w:pPr>
    <w:rPr>
      <w:rFonts w:ascii="Calibri" w:hAnsi="Calibri" w:eastAsia="宋体" w:cs="Times New Roman"/>
    </w:rPr>
  </w:style>
  <w:style w:type="paragraph" w:styleId="1378">
    <w:name w:val="默认段落字体 Para Char Char Char Char Char Char Char"/>
    <w:basedOn w:val="864"/>
    <w:next w:val="1378"/>
    <w:link w:val="864"/>
    <w:qFormat/>
    <w:rPr>
      <w:rFonts w:ascii="Tahoma" w:hAnsi="Tahoma" w:eastAsia="宋体" w:cs="Times New Roman"/>
      <w:sz w:val="24"/>
      <w:szCs w:val="20"/>
    </w:rPr>
  </w:style>
  <w:style w:type="paragraph" w:styleId="1379">
    <w:name w:val="xl43"/>
    <w:basedOn w:val="864"/>
    <w:next w:val="1379"/>
    <w:link w:val="864"/>
    <w:qFormat/>
    <w:pPr>
      <w:jc w:val="center"/>
      <w:spacing w:before="100" w:beforeAutospacing="1" w:after="100" w:afterAutospacing="1"/>
      <w:widowControl/>
    </w:pPr>
    <w:rPr>
      <w:rFonts w:ascii="宋体" w:hAnsi="宋体" w:eastAsia="宋体" w:cs="Times New Roman"/>
      <w:b/>
      <w:bCs/>
      <w:sz w:val="32"/>
      <w:szCs w:val="32"/>
    </w:rPr>
  </w:style>
  <w:style w:type="paragraph" w:styleId="1380">
    <w:name w:val="样式 仿宋_GB2312 四号 黑色 行距: 1.5 倍行距1"/>
    <w:basedOn w:val="864"/>
    <w:next w:val="1380"/>
    <w:link w:val="864"/>
    <w:qFormat/>
    <w:pPr>
      <w:spacing w:line="360" w:lineRule="auto"/>
    </w:pPr>
    <w:rPr>
      <w:rFonts w:ascii="仿宋_GB2312" w:hAnsi="宋体" w:eastAsia="仿宋_GB2312" w:cs="Times New Roman"/>
      <w:color w:val="000000"/>
      <w:sz w:val="24"/>
      <w:szCs w:val="20"/>
    </w:rPr>
  </w:style>
  <w:style w:type="paragraph" w:styleId="1381">
    <w:name w:val="body3"/>
    <w:basedOn w:val="864"/>
    <w:next w:val="1058"/>
    <w:link w:val="864"/>
    <w:qFormat/>
    <w:pPr>
      <w:ind w:left="2610" w:right="210"/>
      <w:jc w:val="left"/>
      <w:spacing w:line="0" w:lineRule="atLeast"/>
      <w:widowControl/>
    </w:pPr>
    <w:rPr>
      <w:rFonts w:ascii="宋体" w:hAnsi="Times New Roman" w:eastAsia="宋体" w:cs="Times New Roman"/>
      <w:sz w:val="28"/>
      <w:szCs w:val="20"/>
    </w:rPr>
  </w:style>
  <w:style w:type="paragraph" w:styleId="1382">
    <w:name w:val="正文缩进2"/>
    <w:basedOn w:val="864"/>
    <w:next w:val="1382"/>
    <w:link w:val="864"/>
    <w:qFormat/>
    <w:pPr>
      <w:ind w:firstLine="480"/>
      <w:spacing w:line="360" w:lineRule="auto"/>
    </w:pPr>
    <w:rPr>
      <w:rFonts w:ascii="Times New Roman" w:hAnsi="Times New Roman" w:eastAsia="宋体" w:cs="Times New Roman"/>
      <w:sz w:val="24"/>
      <w:szCs w:val="20"/>
    </w:rPr>
  </w:style>
  <w:style w:type="paragraph" w:styleId="1383">
    <w:name w:val="xl67"/>
    <w:basedOn w:val="864"/>
    <w:next w:val="1383"/>
    <w:link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384">
    <w:name w:val="列表段落1"/>
    <w:basedOn w:val="864"/>
    <w:next w:val="1384"/>
    <w:link w:val="864"/>
    <w:uiPriority w:val="34"/>
    <w:qFormat/>
    <w:pPr>
      <w:ind w:firstLine="420"/>
    </w:pPr>
    <w:rPr>
      <w:rFonts w:ascii="Calibri" w:hAnsi="Calibri" w:eastAsia="宋体" w:cs="Times New Roman"/>
      <w:szCs w:val="22"/>
    </w:rPr>
  </w:style>
  <w:style w:type="paragraph" w:styleId="1385">
    <w:name w:val="+列表2"/>
    <w:basedOn w:val="864"/>
    <w:next w:val="1385"/>
    <w:link w:val="864"/>
    <w:qFormat/>
    <w:pPr>
      <w:jc w:val="center"/>
    </w:pPr>
    <w:rPr>
      <w:rFonts w:ascii="Calibri" w:hAnsi="Calibri" w:eastAsia="宋体" w:cs="Times New Roman"/>
      <w:sz w:val="18"/>
      <w:szCs w:val="21"/>
    </w:rPr>
  </w:style>
  <w:style w:type="paragraph" w:styleId="1386">
    <w:name w:val="我的正文"/>
    <w:basedOn w:val="864"/>
    <w:next w:val="1386"/>
    <w:link w:val="864"/>
    <w:qFormat/>
    <w:pPr>
      <w:jc w:val="left"/>
      <w:spacing w:line="300" w:lineRule="auto"/>
      <w:widowControl/>
    </w:pPr>
    <w:rPr>
      <w:rFonts w:ascii="Times New Roman" w:hAnsi="Times New Roman" w:eastAsia="楷体_GB2312" w:cs="Times New Roman"/>
      <w:spacing w:val="8"/>
      <w:sz w:val="24"/>
    </w:rPr>
  </w:style>
  <w:style w:type="paragraph" w:styleId="1387">
    <w:name w:val="body4"/>
    <w:basedOn w:val="864"/>
    <w:next w:val="1060"/>
    <w:link w:val="864"/>
    <w:qFormat/>
    <w:pPr>
      <w:ind w:left="3960" w:firstLine="22"/>
      <w:jc w:val="left"/>
      <w:widowControl/>
    </w:pPr>
    <w:rPr>
      <w:rFonts w:ascii="仿宋_GB2312" w:hAnsi="Times New Roman" w:eastAsia="仿宋_GB2312" w:cs="Times New Roman"/>
      <w:sz w:val="28"/>
      <w:szCs w:val="20"/>
    </w:rPr>
  </w:style>
  <w:style w:type="paragraph" w:styleId="1388">
    <w:name w:val="正文(标书)"/>
    <w:basedOn w:val="1066"/>
    <w:next w:val="1388"/>
    <w:link w:val="864"/>
    <w:qFormat/>
    <w:pPr>
      <w:ind w:firstLine="510"/>
      <w:spacing w:before="40" w:line="360" w:lineRule="auto"/>
    </w:pPr>
    <w:rPr>
      <w:rFonts w:ascii="宋体" w:hAnsi="Times New Roman" w:eastAsia="宋体" w:cs="Times New Roman"/>
    </w:rPr>
  </w:style>
  <w:style w:type="paragraph" w:styleId="1389">
    <w:name w:val="图表题"/>
    <w:basedOn w:val="864"/>
    <w:next w:val="1389"/>
    <w:link w:val="864"/>
    <w:qFormat/>
    <w:pPr>
      <w:jc w:val="center"/>
      <w:spacing w:line="400" w:lineRule="exact"/>
    </w:pPr>
    <w:rPr>
      <w:rFonts w:ascii="Times New Roman" w:hAnsi="Times New Roman" w:eastAsia="宋体" w:cs="Times New Roman"/>
      <w:szCs w:val="20"/>
    </w:rPr>
  </w:style>
  <w:style w:type="paragraph" w:styleId="1390">
    <w:name w:val="段落缩进2 小四"/>
    <w:basedOn w:val="864"/>
    <w:next w:val="1390"/>
    <w:link w:val="864"/>
    <w:qFormat/>
    <w:pPr>
      <w:ind w:firstLine="480"/>
      <w:spacing w:line="360" w:lineRule="auto"/>
      <w:tabs>
        <w:tab w:val="left" w:pos="1800" w:leader="none"/>
      </w:tabs>
    </w:pPr>
    <w:rPr>
      <w:rFonts w:ascii="宋体" w:hAnsi="宋体" w:eastAsia="宋体" w:cs="Times New Roman"/>
      <w:sz w:val="24"/>
    </w:rPr>
  </w:style>
  <w:style w:type="paragraph" w:styleId="1391">
    <w:name w:val="xl26"/>
    <w:basedOn w:val="864"/>
    <w:next w:val="1391"/>
    <w:link w:val="8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rPr>
  </w:style>
  <w:style w:type="paragraph" w:styleId="1392">
    <w:name w:val="_Style 50"/>
    <w:basedOn w:val="864"/>
    <w:next w:val="1095"/>
    <w:link w:val="864"/>
    <w:qFormat/>
    <w:pPr>
      <w:spacing w:line="360" w:lineRule="auto"/>
    </w:pPr>
    <w:rPr>
      <w:rFonts w:ascii="宋体" w:hAnsi="Courier New" w:eastAsia="宋体" w:cs="Times New Roman"/>
      <w:szCs w:val="20"/>
    </w:rPr>
  </w:style>
  <w:style w:type="paragraph" w:styleId="1393">
    <w:name w:val="标书正文"/>
    <w:basedOn w:val="1086"/>
    <w:next w:val="1393"/>
    <w:link w:val="864"/>
    <w:qFormat/>
    <w:pPr>
      <w:ind w:firstLine="200"/>
      <w:jc w:val="both"/>
      <w:spacing w:line="400" w:lineRule="exact"/>
      <w:widowControl/>
    </w:pPr>
    <w:rPr>
      <w:rFonts w:ascii="黑体" w:hAnsi="Times New Roman" w:eastAsia="宋体" w:cs="Times New Roman"/>
      <w:position w:val="0"/>
      <w:sz w:val="24"/>
    </w:rPr>
  </w:style>
  <w:style w:type="paragraph" w:styleId="1394">
    <w:name w:val="xl68"/>
    <w:basedOn w:val="864"/>
    <w:next w:val="1394"/>
    <w:link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395">
    <w:name w:val="xl65"/>
    <w:basedOn w:val="864"/>
    <w:next w:val="1395"/>
    <w:link w:val="8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396">
    <w:name w:val="列出段落1"/>
    <w:basedOn w:val="864"/>
    <w:next w:val="1396"/>
    <w:link w:val="864"/>
    <w:qFormat/>
    <w:pPr>
      <w:ind w:firstLine="420"/>
    </w:pPr>
    <w:rPr>
      <w:rFonts w:ascii="宋体" w:hAnsi="宋体" w:eastAsia="宋体" w:cs="Times New Roman"/>
      <w:sz w:val="24"/>
    </w:rPr>
  </w:style>
  <w:style w:type="paragraph" w:styleId="1397">
    <w:name w:val="样式 仿宋_GB2312 小三"/>
    <w:basedOn w:val="864"/>
    <w:next w:val="1397"/>
    <w:link w:val="864"/>
    <w:qFormat/>
    <w:pPr>
      <w:ind w:firstLine="600"/>
    </w:pPr>
    <w:rPr>
      <w:rFonts w:ascii="仿宋_GB2312" w:hAnsi="Times New Roman" w:eastAsia="仿宋_GB2312" w:cs="Times New Roman"/>
      <w:sz w:val="24"/>
      <w:szCs w:val="20"/>
    </w:rPr>
  </w:style>
  <w:style w:type="paragraph" w:styleId="1398">
    <w:name w:val="Char Char Char Char Char Char Char Char Char Char Char1 Char Char Char Char Char Char Char Char Char Char"/>
    <w:basedOn w:val="864"/>
    <w:next w:val="1398"/>
    <w:link w:val="864"/>
    <w:qFormat/>
    <w:rPr>
      <w:rFonts w:ascii="Tahoma" w:hAnsi="Tahoma" w:eastAsia="宋体" w:cs="Times New Roman"/>
      <w:sz w:val="24"/>
      <w:szCs w:val="20"/>
    </w:rPr>
  </w:style>
  <w:style w:type="paragraph" w:styleId="1399">
    <w:name w:val="样式 段落缩进2 小四 + 段前: 15.6 磅"/>
    <w:basedOn w:val="1390"/>
    <w:next w:val="1399"/>
    <w:link w:val="864"/>
    <w:qFormat/>
    <w:pPr>
      <w:spacing w:before="312"/>
      <w:tabs>
        <w:tab w:val="left" w:pos="1800" w:leader="none"/>
      </w:tabs>
    </w:pPr>
    <w:rPr>
      <w:rFonts w:ascii="Times New Roman" w:hAnsi="Times New Roman" w:eastAsia="宋体" w:cs="Times New Roman"/>
      <w:szCs w:val="20"/>
    </w:rPr>
  </w:style>
  <w:style w:type="paragraph" w:styleId="1400">
    <w:name w:val="Char Char Char Char Char Char Char Char Char Char"/>
    <w:basedOn w:val="864"/>
    <w:next w:val="1400"/>
    <w:link w:val="864"/>
    <w:qFormat/>
    <w:pPr>
      <w:ind w:left="495" w:hanging="495"/>
      <w:tabs>
        <w:tab w:val="left" w:pos="495" w:leader="none"/>
      </w:tabs>
    </w:pPr>
    <w:rPr>
      <w:rFonts w:ascii="Times New Roman" w:hAnsi="Times New Roman" w:eastAsia="宋体" w:cs="Times New Roman"/>
      <w:sz w:val="24"/>
    </w:rPr>
  </w:style>
  <w:style w:type="paragraph" w:styleId="1401">
    <w:name w:val="+标题1"/>
    <w:basedOn w:val="1052"/>
    <w:next w:val="1401"/>
    <w:link w:val="864"/>
    <w:qFormat/>
    <w:pPr>
      <w:ind w:firstLine="420"/>
      <w:keepLines w:val="0"/>
      <w:keepNext w:val="0"/>
      <w:spacing w:before="100" w:beforeAutospacing="1" w:after="100" w:afterAutospacing="1" w:line="360" w:lineRule="auto"/>
    </w:pPr>
    <w:rPr>
      <w:rFonts w:ascii="宋体" w:hAnsi="宋体" w:eastAsia="宋体" w:cs="Times New Roman"/>
      <w:bCs/>
      <w:sz w:val="24"/>
      <w:szCs w:val="24"/>
    </w:rPr>
  </w:style>
  <w:style w:type="paragraph" w:styleId="1402">
    <w:name w:val="yehuda"/>
    <w:basedOn w:val="864"/>
    <w:next w:val="1402"/>
    <w:link w:val="864"/>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hAnsi="Times New Roman" w:eastAsia="宋体" w:cs="Times New Roman"/>
      <w:sz w:val="24"/>
      <w:szCs w:val="20"/>
      <w:lang w:val="en-GB"/>
    </w:rPr>
  </w:style>
  <w:style w:type="paragraph" w:styleId="1403">
    <w:name w:val="五级条标题"/>
    <w:basedOn w:val="1375"/>
    <w:next w:val="864"/>
    <w:link w:val="864"/>
    <w:qFormat/>
    <w:pPr>
      <w:tabs>
        <w:tab w:val="left" w:pos="360" w:leader="none"/>
        <w:tab w:val="left" w:pos="480" w:leader="none"/>
        <w:tab w:val="left" w:pos="2100" w:leader="none"/>
        <w:tab w:val="left" w:pos="2520" w:leader="none"/>
      </w:tabs>
      <w:outlineLvl w:val="6"/>
    </w:pPr>
    <w:rPr>
      <w:rFonts w:ascii="Calibri" w:hAnsi="Calibri" w:eastAsia="宋体" w:cs="Times New Roman"/>
    </w:rPr>
  </w:style>
  <w:style w:type="paragraph" w:styleId="1404">
    <w:name w:val="样式 标题 2H2 + 宋体 小三"/>
    <w:basedOn w:val="1054"/>
    <w:next w:val="1404"/>
    <w:link w:val="864"/>
    <w:qFormat/>
    <w:pPr>
      <w:jc w:val="center"/>
      <w:spacing w:before="156" w:after="20" w:line="360" w:lineRule="auto"/>
    </w:pPr>
    <w:rPr>
      <w:rFonts w:ascii="宋体" w:hAnsi="宋体" w:eastAsia="幼圆" w:cs="Times New Roman"/>
      <w:bCs w:val="0"/>
      <w:sz w:val="52"/>
      <w:szCs w:val="20"/>
    </w:rPr>
  </w:style>
  <w:style w:type="paragraph" w:styleId="1405">
    <w:name w:val="Char Char Char Char Char Char1 Char"/>
    <w:basedOn w:val="864"/>
    <w:next w:val="1405"/>
    <w:link w:val="864"/>
    <w:qFormat/>
    <w:pPr>
      <w:jc w:val="left"/>
      <w:spacing w:after="160" w:line="240" w:lineRule="exact"/>
      <w:widowControl/>
    </w:pPr>
    <w:rPr>
      <w:rFonts w:ascii="Verdana" w:hAnsi="Verdana" w:eastAsia="宋体" w:cs="Times New Roman"/>
      <w:sz w:val="20"/>
      <w:szCs w:val="20"/>
      <w:lang w:eastAsia="en-US"/>
    </w:rPr>
  </w:style>
  <w:style w:type="paragraph" w:styleId="1406">
    <w:name w:val="Char Char Char Char1"/>
    <w:basedOn w:val="864"/>
    <w:next w:val="1406"/>
    <w:link w:val="864"/>
    <w:qFormat/>
    <w:pPr>
      <w:ind w:left="495" w:hanging="495"/>
      <w:tabs>
        <w:tab w:val="left" w:pos="495" w:leader="none"/>
      </w:tabs>
    </w:pPr>
    <w:rPr>
      <w:rFonts w:ascii="Calibri" w:hAnsi="Calibri" w:eastAsia="宋体" w:cs="Times New Roman"/>
    </w:rPr>
  </w:style>
  <w:style w:type="paragraph" w:styleId="1407">
    <w:name w:val="图表说明"/>
    <w:basedOn w:val="864"/>
    <w:next w:val="864"/>
    <w:link w:val="864"/>
    <w:qFormat/>
    <w:pPr>
      <w:ind w:left="-420" w:right="-1349"/>
      <w:jc w:val="center"/>
      <w:spacing w:after="120" w:line="240" w:lineRule="atLeast"/>
    </w:pPr>
    <w:rPr>
      <w:rFonts w:ascii="Arial" w:hAnsi="Arial" w:eastAsia="楷体_GB2312" w:cs="Times New Roman"/>
      <w:sz w:val="24"/>
      <w:szCs w:val="20"/>
    </w:rPr>
  </w:style>
  <w:style w:type="paragraph" w:styleId="1408">
    <w:name w:val="font12"/>
    <w:basedOn w:val="864"/>
    <w:next w:val="1408"/>
    <w:link w:val="864"/>
    <w:qFormat/>
    <w:pPr>
      <w:jc w:val="left"/>
      <w:spacing w:before="100" w:beforeAutospacing="1" w:after="100" w:afterAutospacing="1"/>
      <w:widowControl/>
    </w:pPr>
    <w:rPr>
      <w:rFonts w:ascii="宋体" w:hAnsi="宋体" w:eastAsia="宋体" w:cs="宋体"/>
      <w:sz w:val="18"/>
      <w:szCs w:val="18"/>
    </w:rPr>
  </w:style>
  <w:style w:type="paragraph" w:styleId="1409">
    <w:name w:val="style25 style2 style26"/>
    <w:basedOn w:val="864"/>
    <w:next w:val="1409"/>
    <w:link w:val="864"/>
    <w:qFormat/>
    <w:pPr>
      <w:jc w:val="left"/>
      <w:spacing w:before="100" w:beforeAutospacing="1" w:after="100" w:afterAutospacing="1"/>
      <w:widowControl/>
    </w:pPr>
    <w:rPr>
      <w:rFonts w:ascii="Arial Unicode MS" w:hAnsi="Arial Unicode MS" w:eastAsia="宋体" w:cs="Times New Roman"/>
      <w:sz w:val="24"/>
    </w:rPr>
  </w:style>
  <w:style w:type="paragraph" w:styleId="1410">
    <w:name w:val="文档正文"/>
    <w:basedOn w:val="864"/>
    <w:next w:val="1410"/>
    <w:link w:val="864"/>
    <w:qFormat/>
    <w:pPr>
      <w:ind w:firstLine="567"/>
      <w:spacing w:line="480" w:lineRule="atLeast"/>
    </w:pPr>
    <w:rPr>
      <w:rFonts w:ascii="仿宋_GB2312" w:hAnsi="Calibri" w:eastAsia="仿宋_GB2312" w:cs="Times New Roman"/>
      <w:sz w:val="28"/>
      <w:szCs w:val="20"/>
    </w:rPr>
  </w:style>
  <w:style w:type="paragraph" w:styleId="1411">
    <w:name w:val="xl55"/>
    <w:basedOn w:val="864"/>
    <w:next w:val="1411"/>
    <w:link w:val="864"/>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s="Times New Roman"/>
      <w:color w:val="0000ff"/>
      <w:sz w:val="22"/>
      <w:szCs w:val="22"/>
    </w:rPr>
  </w:style>
  <w:style w:type="paragraph" w:styleId="1412">
    <w:name w:val="普文W"/>
    <w:basedOn w:val="1095"/>
    <w:next w:val="1412"/>
    <w:link w:val="864"/>
    <w:qFormat/>
    <w:pPr>
      <w:spacing w:before="120" w:after="120" w:line="360" w:lineRule="auto"/>
    </w:pPr>
    <w:rPr>
      <w:rFonts w:ascii="Times New Roman" w:hAnsi="Times New Roman" w:eastAsia="宋体" w:cs="Times New Roman"/>
      <w:sz w:val="24"/>
    </w:rPr>
  </w:style>
  <w:style w:type="paragraph" w:styleId="1413">
    <w:name w:val="样式 目录 4 +"/>
    <w:basedOn w:val="1110"/>
    <w:next w:val="1413"/>
    <w:link w:val="864"/>
    <w:qFormat/>
    <w:pPr>
      <w:ind w:left="200" w:firstLine="400"/>
      <w:jc w:val="left"/>
      <w:tabs>
        <w:tab w:val="right" w:pos="8302" w:leader="dot"/>
      </w:tabs>
    </w:pPr>
    <w:rPr>
      <w:rFonts w:ascii="Times New Roman" w:hAnsi="Times New Roman" w:eastAsia="宋体" w:cs="Times New Roman"/>
      <w:sz w:val="24"/>
      <w:szCs w:val="20"/>
      <w:lang w:val="en-US" w:eastAsia="zh-CN"/>
    </w:rPr>
  </w:style>
  <w:style w:type="paragraph" w:styleId="1414">
    <w:name w:val="Char Char1 Char Char Char Char Char Char Char"/>
    <w:basedOn w:val="864"/>
    <w:next w:val="1414"/>
    <w:link w:val="864"/>
    <w:qFormat/>
    <w:rPr>
      <w:rFonts w:ascii="Tahoma" w:hAnsi="Tahoma" w:eastAsia="宋体" w:cs="Times New Roman"/>
      <w:sz w:val="24"/>
      <w:szCs w:val="20"/>
    </w:rPr>
  </w:style>
  <w:style w:type="paragraph" w:styleId="1415">
    <w:name w:val="列项——（一级）"/>
    <w:next w:val="1415"/>
    <w:link w:val="864"/>
    <w:qFormat/>
    <w:pPr>
      <w:ind w:left="420" w:hanging="420"/>
      <w:jc w:val="both"/>
      <w:widowControl w:val="off"/>
      <w:tabs>
        <w:tab w:val="left" w:pos="420" w:leader="none"/>
        <w:tab w:val="left" w:pos="900" w:leader="none"/>
      </w:tabs>
    </w:pPr>
    <w:rPr>
      <w:rFonts w:ascii="宋体"/>
      <w:sz w:val="21"/>
      <w:lang w:val="en-US" w:eastAsia="zh-CN" w:bidi="ar-SA"/>
    </w:rPr>
  </w:style>
  <w:style w:type="paragraph" w:styleId="1416">
    <w:name w:val="+●"/>
    <w:basedOn w:val="1288"/>
    <w:next w:val="1416"/>
    <w:link w:val="864"/>
    <w:qFormat/>
    <w:pPr>
      <w:ind w:left="2940" w:firstLine="0"/>
      <w:tabs>
        <w:tab w:val="left" w:pos="2940" w:leader="none"/>
      </w:tabs>
    </w:pPr>
    <w:rPr>
      <w:rFonts w:ascii="Calibri" w:hAnsi="Calibri" w:eastAsia="宋体" w:cs="Times New Roman"/>
    </w:rPr>
  </w:style>
  <w:style w:type="paragraph" w:styleId="1417">
    <w:name w:val="Char1"/>
    <w:basedOn w:val="864"/>
    <w:next w:val="1417"/>
    <w:link w:val="864"/>
    <w:qFormat/>
    <w:pPr>
      <w:tabs>
        <w:tab w:val="left" w:pos="360" w:leader="none"/>
      </w:tabs>
    </w:pPr>
    <w:rPr>
      <w:rFonts w:ascii="Calibri" w:hAnsi="Calibri" w:eastAsia="宋体" w:cs="Times New Roman"/>
    </w:rPr>
  </w:style>
  <w:style w:type="paragraph" w:styleId="1418">
    <w:name w:val="xl71"/>
    <w:basedOn w:val="864"/>
    <w:next w:val="1418"/>
    <w:link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419">
    <w:name w:val="xl28"/>
    <w:basedOn w:val="864"/>
    <w:next w:val="1419"/>
    <w:link w:val="864"/>
    <w:qFormat/>
    <w:pPr>
      <w:jc w:val="left"/>
      <w:spacing w:before="100" w:beforeAutospacing="1" w:after="100" w:afterAutospacing="1"/>
      <w:widowControl/>
    </w:pPr>
    <w:rPr>
      <w:rFonts w:ascii="Times New Roman" w:hAnsi="Times New Roman" w:eastAsia="宋体" w:cs="Times New Roman"/>
      <w:sz w:val="24"/>
    </w:rPr>
  </w:style>
  <w:style w:type="paragraph" w:styleId="1420">
    <w:name w:val="样式 标题 5H5h5Second Subheadingdashdsdddash1ds1dd1dash2d..."/>
    <w:basedOn w:val="1060"/>
    <w:next w:val="1420"/>
    <w:link w:val="864"/>
    <w:qFormat/>
    <w:pPr>
      <w:keepLines w:val="0"/>
      <w:keepNext w:val="0"/>
      <w:spacing w:line="360" w:lineRule="auto"/>
      <w:tabs>
        <w:tab w:val="left" w:pos="1800" w:leader="none"/>
      </w:tabs>
    </w:pPr>
    <w:rPr>
      <w:rFonts w:ascii="黑体" w:hAnsi="Times New Roman" w:eastAsia="黑体" w:cs="宋体"/>
      <w:sz w:val="24"/>
      <w:szCs w:val="20"/>
    </w:rPr>
  </w:style>
  <w:style w:type="paragraph" w:styleId="1421">
    <w:name w:val="FA正文"/>
    <w:basedOn w:val="864"/>
    <w:next w:val="1421"/>
    <w:link w:val="864"/>
    <w:qFormat/>
    <w:pPr>
      <w:spacing w:line="360" w:lineRule="auto"/>
    </w:pPr>
    <w:rPr>
      <w:rFonts w:ascii="Times New Roman" w:hAnsi="Times New Roman" w:eastAsia="宋体" w:cs="Times New Roman"/>
      <w:sz w:val="24"/>
      <w:szCs w:val="21"/>
    </w:rPr>
  </w:style>
  <w:style w:type="paragraph" w:styleId="1422">
    <w:name w:val="标题 11"/>
    <w:basedOn w:val="864"/>
    <w:next w:val="1422"/>
    <w:link w:val="864"/>
    <w:qFormat/>
    <w:pPr>
      <w:keepLines/>
      <w:keepNext/>
      <w:spacing w:before="340" w:after="330" w:line="576" w:lineRule="auto"/>
      <w:outlineLvl w:val="0"/>
    </w:pPr>
    <w:rPr>
      <w:rFonts w:ascii="Times New Roman" w:hAnsi="Times New Roman" w:eastAsia="楷体_GB2312"/>
      <w:b/>
      <w:sz w:val="44"/>
      <w:szCs w:val="20"/>
    </w:rPr>
  </w:style>
  <w:style w:type="paragraph" w:styleId="1423">
    <w:name w:val="Char Char Char Char"/>
    <w:basedOn w:val="864"/>
    <w:next w:val="1423"/>
    <w:link w:val="864"/>
    <w:qFormat/>
    <w:rPr>
      <w:rFonts w:ascii="Times New Roman" w:hAnsi="Times New Roman" w:eastAsia="宋体" w:cs="Times New Roman"/>
    </w:rPr>
  </w:style>
  <w:style w:type="paragraph" w:styleId="1424">
    <w:name w:val="样式2"/>
    <w:basedOn w:val="1062"/>
    <w:next w:val="1424"/>
    <w:link w:val="864"/>
    <w:qFormat/>
    <w:pPr>
      <w:ind w:left="1080" w:hanging="1080"/>
      <w:spacing w:before="240" w:after="64" w:line="320" w:lineRule="auto"/>
      <w:tabs>
        <w:tab w:val="left" w:pos="3578" w:leader="none"/>
      </w:tabs>
    </w:pPr>
    <w:rPr>
      <w:rFonts w:ascii="Arial" w:hAnsi="Arial" w:eastAsia="黑体" w:cs="Times New Roman"/>
      <w:sz w:val="24"/>
    </w:rPr>
  </w:style>
  <w:style w:type="paragraph" w:styleId="1425">
    <w:name w:val="样式 目录 3 + 左侧:  1.71 字符"/>
    <w:basedOn w:val="1094"/>
    <w:next w:val="1425"/>
    <w:link w:val="864"/>
    <w:qFormat/>
    <w:pPr>
      <w:ind w:left="480" w:firstLine="420"/>
      <w:tabs>
        <w:tab w:val="right" w:pos="8296" w:leader="dot"/>
      </w:tabs>
    </w:pPr>
    <w:rPr>
      <w:rFonts w:ascii="Times New Roman" w:hAnsi="Times New Roman" w:eastAsia="宋体" w:cs="Times New Roman"/>
      <w:szCs w:val="20"/>
    </w:rPr>
  </w:style>
  <w:style w:type="paragraph" w:styleId="1426">
    <w:name w:val="正文4"/>
    <w:basedOn w:val="864"/>
    <w:next w:val="1426"/>
    <w:link w:val="864"/>
    <w:qFormat/>
    <w:pPr>
      <w:ind w:firstLine="480"/>
      <w:spacing w:line="360" w:lineRule="auto"/>
    </w:pPr>
    <w:rPr>
      <w:rFonts w:ascii="宋体" w:hAnsi="宋体" w:eastAsia="宋体" w:cs="Times New Roman"/>
      <w:sz w:val="24"/>
    </w:rPr>
  </w:style>
  <w:style w:type="paragraph" w:styleId="1427">
    <w:name w:val="t14black"/>
    <w:basedOn w:val="864"/>
    <w:next w:val="1427"/>
    <w:link w:val="864"/>
    <w:qFormat/>
    <w:pPr>
      <w:jc w:val="left"/>
      <w:spacing w:before="100" w:beforeAutospacing="1" w:after="100" w:afterAutospacing="1"/>
      <w:widowControl/>
    </w:pPr>
    <w:rPr>
      <w:rFonts w:ascii="宋体" w:hAnsi="宋体" w:eastAsia="宋体" w:cs="Times New Roman"/>
      <w:sz w:val="24"/>
    </w:rPr>
  </w:style>
  <w:style w:type="paragraph" w:styleId="1428">
    <w:name w:val="简单回函地址"/>
    <w:basedOn w:val="864"/>
    <w:next w:val="1428"/>
    <w:link w:val="864"/>
    <w:qFormat/>
    <w:rPr>
      <w:rFonts w:ascii="宋体" w:hAnsi="宋体" w:eastAsia="宋体" w:cs="Times New Roman"/>
      <w:color w:val="000000"/>
      <w:szCs w:val="21"/>
    </w:rPr>
  </w:style>
  <w:style w:type="paragraph" w:styleId="1429">
    <w:name w:val="xl44"/>
    <w:basedOn w:val="864"/>
    <w:next w:val="1429"/>
    <w:link w:val="864"/>
    <w:qFormat/>
    <w:pPr>
      <w:jc w:val="left"/>
      <w:spacing w:before="100" w:beforeAutospacing="1" w:after="100" w:afterAutospacing="1"/>
      <w:widowControl/>
    </w:pPr>
    <w:rPr>
      <w:rFonts w:ascii="Times New Roman" w:hAnsi="Times New Roman" w:eastAsia="宋体" w:cs="Times New Roman"/>
      <w:sz w:val="24"/>
    </w:rPr>
  </w:style>
  <w:style w:type="paragraph" w:styleId="1430">
    <w:name w:val="xl39"/>
    <w:basedOn w:val="864"/>
    <w:next w:val="1430"/>
    <w:link w:val="864"/>
    <w:qFormat/>
    <w:pPr>
      <w:jc w:val="left"/>
      <w:spacing w:before="100" w:beforeAutospacing="1" w:after="100" w:afterAutospacing="1"/>
      <w:widowControl/>
      <w:pBdr>
        <w:bottom w:val="single" w:color="000000" w:sz="4" w:space="0"/>
      </w:pBdr>
    </w:pPr>
    <w:rPr>
      <w:rFonts w:ascii="宋体" w:hAnsi="宋体" w:eastAsia="宋体" w:cs="Times New Roman"/>
      <w:sz w:val="24"/>
    </w:rPr>
  </w:style>
  <w:style w:type="paragraph" w:styleId="1431">
    <w:name w:val="缩进正文"/>
    <w:basedOn w:val="864"/>
    <w:next w:val="1431"/>
    <w:link w:val="864"/>
    <w:qFormat/>
    <w:pPr>
      <w:jc w:val="left"/>
      <w:spacing w:line="360" w:lineRule="auto"/>
      <w:widowControl/>
    </w:pPr>
    <w:rPr>
      <w:rFonts w:ascii="宋体" w:hAnsi="Times New Roman" w:eastAsia="宋体" w:cs="Times New Roman"/>
      <w:sz w:val="24"/>
      <w:szCs w:val="20"/>
      <w:lang w:val="en-US" w:eastAsia="zh-CN"/>
    </w:rPr>
  </w:style>
  <w:style w:type="paragraph" w:styleId="1432">
    <w:name w:val="性能表格"/>
    <w:basedOn w:val="864"/>
    <w:next w:val="1432"/>
    <w:link w:val="864"/>
    <w:qFormat/>
    <w:pPr>
      <w:spacing w:line="360" w:lineRule="atLeast"/>
    </w:pPr>
    <w:rPr>
      <w:rFonts w:ascii="Times New Roman" w:hAnsi="Times New Roman" w:eastAsia="宋体" w:cs="Times New Roman"/>
      <w:sz w:val="24"/>
      <w:szCs w:val="20"/>
    </w:rPr>
  </w:style>
  <w:style w:type="paragraph" w:styleId="1433">
    <w:name w:val="样式 宋体 四号 行距: 固定值 25 磅1"/>
    <w:basedOn w:val="864"/>
    <w:next w:val="1433"/>
    <w:link w:val="864"/>
    <w:qFormat/>
    <w:pPr>
      <w:ind w:left="960" w:hanging="960"/>
      <w:spacing w:line="500" w:lineRule="exact"/>
      <w:tabs>
        <w:tab w:val="left" w:pos="720" w:leader="none"/>
        <w:tab w:val="left" w:pos="960" w:leader="none"/>
      </w:tabs>
    </w:pPr>
    <w:rPr>
      <w:rFonts w:ascii="Times New Roman" w:hAnsi="宋体" w:eastAsia="宋体" w:cs="宋体"/>
      <w:sz w:val="28"/>
      <w:szCs w:val="20"/>
    </w:rPr>
  </w:style>
  <w:style w:type="paragraph" w:styleId="1434">
    <w:name w:val="样式 目录 3 + 左侧:  1.71 字符1"/>
    <w:basedOn w:val="1094"/>
    <w:next w:val="1434"/>
    <w:link w:val="864"/>
    <w:qFormat/>
    <w:pPr>
      <w:ind w:left="200" w:firstLine="200"/>
      <w:tabs>
        <w:tab w:val="right" w:pos="8296" w:leader="dot"/>
      </w:tabs>
    </w:pPr>
    <w:rPr>
      <w:rFonts w:ascii="Times New Roman" w:hAnsi="Times New Roman" w:eastAsia="宋体" w:cs="Times New Roman"/>
      <w:szCs w:val="20"/>
    </w:rPr>
  </w:style>
  <w:style w:type="paragraph" w:styleId="1435">
    <w:name w:val="+正文 Char Char5"/>
    <w:basedOn w:val="864"/>
    <w:next w:val="1435"/>
    <w:link w:val="864"/>
    <w:qFormat/>
    <w:pPr>
      <w:ind w:firstLine="200"/>
    </w:pPr>
    <w:rPr>
      <w:rFonts w:ascii="Calibri" w:hAnsi="Calibri" w:eastAsia="宋体" w:cs="Times New Roman"/>
      <w:sz w:val="24"/>
    </w:rPr>
  </w:style>
  <w:style w:type="paragraph" w:styleId="1436">
    <w:name w:val="标准"/>
    <w:basedOn w:val="864"/>
    <w:next w:val="1436"/>
    <w:link w:val="864"/>
    <w:qFormat/>
    <w:pPr>
      <w:spacing w:line="300" w:lineRule="exact"/>
    </w:pPr>
    <w:rPr>
      <w:rFonts w:ascii="Footlight MT Light" w:hAnsi="Footlight MT Light" w:eastAsia="宋体" w:cs="Times New Roman"/>
      <w:b/>
      <w:sz w:val="28"/>
      <w:szCs w:val="20"/>
    </w:rPr>
  </w:style>
  <w:style w:type="paragraph" w:styleId="1437">
    <w:name w:val="表格标题"/>
    <w:basedOn w:val="1438"/>
    <w:next w:val="1437"/>
    <w:link w:val="864"/>
    <w:qFormat/>
    <w:pPr>
      <w:jc w:val="center"/>
    </w:pPr>
    <w:rPr>
      <w:rFonts w:ascii="Times New Roman" w:hAnsi="Times New Roman" w:eastAsia="宋体" w:cs="Times New Roman"/>
      <w:b/>
    </w:rPr>
  </w:style>
  <w:style w:type="paragraph" w:styleId="1438">
    <w:name w:val="表格正文"/>
    <w:basedOn w:val="864"/>
    <w:next w:val="1438"/>
    <w:link w:val="864"/>
    <w:qFormat/>
    <w:pPr>
      <w:spacing w:line="240" w:lineRule="atLeast"/>
    </w:pPr>
    <w:rPr>
      <w:rFonts w:ascii="Times New Roman" w:hAnsi="Times New Roman" w:eastAsia="楷体_GB2312" w:cs="Times New Roman"/>
      <w:sz w:val="24"/>
      <w:szCs w:val="20"/>
    </w:rPr>
  </w:style>
  <w:style w:type="paragraph" w:styleId="1439">
    <w:name w:val="+(1)"/>
    <w:basedOn w:val="1288"/>
    <w:next w:val="1439"/>
    <w:link w:val="864"/>
    <w:qFormat/>
    <w:pPr>
      <w:ind w:left="1140" w:firstLine="0"/>
      <w:tabs>
        <w:tab w:val="left" w:pos="1140" w:leader="none"/>
      </w:tabs>
    </w:pPr>
    <w:rPr>
      <w:rFonts w:ascii="Calibri" w:hAnsi="Calibri" w:eastAsia="宋体" w:cs="Times New Roman"/>
    </w:rPr>
  </w:style>
  <w:style w:type="paragraph" w:styleId="1440">
    <w:name w:val="p0"/>
    <w:basedOn w:val="864"/>
    <w:next w:val="1440"/>
    <w:link w:val="864"/>
    <w:qFormat/>
    <w:pPr>
      <w:jc w:val="left"/>
      <w:spacing w:before="100" w:beforeAutospacing="1" w:after="100" w:afterAutospacing="1"/>
      <w:widowControl/>
    </w:pPr>
    <w:rPr>
      <w:rFonts w:ascii="宋体" w:hAnsi="宋体" w:eastAsia="宋体" w:cs="宋体"/>
      <w:sz w:val="24"/>
    </w:rPr>
  </w:style>
  <w:style w:type="paragraph" w:styleId="1441">
    <w:name w:val="默认段落字体 Para Char Char Char"/>
    <w:basedOn w:val="864"/>
    <w:next w:val="1441"/>
    <w:link w:val="864"/>
    <w:qFormat/>
    <w:pPr>
      <w:ind w:firstLine="200"/>
      <w:spacing w:line="360" w:lineRule="auto"/>
    </w:pPr>
    <w:rPr>
      <w:rFonts w:ascii="Times New Roman" w:hAnsi="Times New Roman" w:eastAsia="宋体" w:cs="Times New Roman"/>
    </w:rPr>
  </w:style>
  <w:style w:type="paragraph" w:styleId="1442">
    <w:name w:val="+标题3"/>
    <w:basedOn w:val="1056"/>
    <w:next w:val="1442"/>
    <w:link w:val="864"/>
    <w:qFormat/>
    <w:pPr>
      <w:spacing w:before="0" w:after="0" w:line="360" w:lineRule="auto"/>
    </w:pPr>
    <w:rPr>
      <w:rFonts w:ascii="Calibri" w:hAnsi="宋体" w:eastAsia="宋体" w:cs="Times New Roman"/>
      <w:b w:val="0"/>
      <w:bCs w:val="0"/>
      <w:sz w:val="28"/>
      <w:szCs w:val="28"/>
    </w:rPr>
  </w:style>
  <w:style w:type="paragraph" w:styleId="1443">
    <w:name w:val="xl45"/>
    <w:basedOn w:val="864"/>
    <w:next w:val="1443"/>
    <w:link w:val="864"/>
    <w:qFormat/>
    <w:pPr>
      <w:jc w:val="left"/>
      <w:spacing w:before="100" w:beforeAutospacing="1" w:after="100" w:afterAutospacing="1"/>
      <w:widowControl/>
    </w:pPr>
    <w:rPr>
      <w:rFonts w:hint="eastAsia" w:ascii="仿宋_GB2312" w:hAnsi="宋体" w:eastAsia="仿宋_GB2312" w:cs="Times New Roman"/>
      <w:sz w:val="24"/>
    </w:rPr>
  </w:style>
  <w:style w:type="paragraph" w:styleId="1444">
    <w:name w:val="xl46"/>
    <w:basedOn w:val="864"/>
    <w:next w:val="1444"/>
    <w:link w:val="864"/>
    <w:qFormat/>
    <w:pPr>
      <w:jc w:val="left"/>
      <w:spacing w:before="100" w:beforeAutospacing="1" w:after="100" w:afterAutospacing="1"/>
      <w:widowControl/>
    </w:pPr>
    <w:rPr>
      <w:rFonts w:hint="eastAsia" w:ascii="仿宋_GB2312" w:hAnsi="宋体" w:eastAsia="仿宋_GB2312" w:cs="Times New Roman"/>
      <w:sz w:val="24"/>
    </w:rPr>
  </w:style>
  <w:style w:type="paragraph" w:styleId="1445">
    <w:name w:val="font8"/>
    <w:basedOn w:val="864"/>
    <w:next w:val="1445"/>
    <w:link w:val="864"/>
    <w:qFormat/>
    <w:pPr>
      <w:jc w:val="left"/>
      <w:spacing w:before="100" w:beforeAutospacing="1" w:after="100" w:afterAutospacing="1"/>
      <w:widowControl/>
    </w:pPr>
    <w:rPr>
      <w:rFonts w:hint="eastAsia" w:ascii="楷体_GB2312" w:hAnsi="宋体" w:eastAsia="楷体_GB2312" w:cs="Times New Roman"/>
      <w:color w:val="0000ff"/>
      <w:sz w:val="22"/>
      <w:szCs w:val="22"/>
    </w:rPr>
  </w:style>
  <w:style w:type="paragraph" w:styleId="1446">
    <w:name w:val="xl51"/>
    <w:basedOn w:val="864"/>
    <w:next w:val="1446"/>
    <w:link w:val="864"/>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sz w:val="28"/>
      <w:szCs w:val="28"/>
    </w:rPr>
  </w:style>
  <w:style w:type="paragraph" w:styleId="1447">
    <w:name w:val="样式 正文文本缩进 2 + Times New Roman 首行缩进:  1.06 厘米 行距: 固定值 30 磅"/>
    <w:basedOn w:val="1100"/>
    <w:next w:val="1447"/>
    <w:link w:val="864"/>
    <w:qFormat/>
    <w:pPr>
      <w:ind w:firstLine="601"/>
      <w:spacing w:line="540" w:lineRule="exact"/>
    </w:pPr>
    <w:rPr>
      <w:rFonts w:ascii="Tahoma" w:hAnsi="Tahoma" w:eastAsia="宋体" w:cs="Times New Roman"/>
      <w:sz w:val="28"/>
      <w:szCs w:val="28"/>
    </w:rPr>
  </w:style>
  <w:style w:type="paragraph" w:styleId="1448">
    <w:name w:val="+正文 Char6"/>
    <w:basedOn w:val="864"/>
    <w:next w:val="1448"/>
    <w:link w:val="864"/>
    <w:qFormat/>
    <w:pPr>
      <w:ind w:firstLine="200"/>
      <w:spacing w:line="360" w:lineRule="auto"/>
    </w:pPr>
    <w:rPr>
      <w:rFonts w:ascii="Calibri" w:hAnsi="Calibri" w:eastAsia="宋体" w:cs="Times New Roman"/>
      <w:sz w:val="24"/>
    </w:rPr>
  </w:style>
  <w:style w:type="paragraph" w:styleId="1449">
    <w:name w:val="pa-0"/>
    <w:basedOn w:val="864"/>
    <w:next w:val="1449"/>
    <w:link w:val="864"/>
    <w:qFormat/>
    <w:pPr>
      <w:jc w:val="left"/>
      <w:spacing w:before="150" w:after="150"/>
      <w:widowControl/>
    </w:pPr>
    <w:rPr>
      <w:rFonts w:ascii="宋体" w:hAnsi="宋体" w:eastAsia="宋体" w:cs="宋体"/>
      <w:sz w:val="24"/>
    </w:rPr>
  </w:style>
  <w:style w:type="paragraph" w:styleId="1450">
    <w:name w:val="+正文 Char Char2 Char Char"/>
    <w:basedOn w:val="864"/>
    <w:next w:val="1450"/>
    <w:link w:val="864"/>
    <w:qFormat/>
    <w:pPr>
      <w:ind w:firstLine="200"/>
      <w:spacing w:line="360" w:lineRule="auto"/>
    </w:pPr>
    <w:rPr>
      <w:rFonts w:ascii="Calibri" w:hAnsi="Calibri" w:eastAsia="宋体" w:cs="Times New Roman"/>
      <w:sz w:val="24"/>
      <w:szCs w:val="28"/>
    </w:rPr>
  </w:style>
  <w:style w:type="paragraph" w:styleId="1451">
    <w:name w:val="+正文 Char Char5 Char"/>
    <w:basedOn w:val="864"/>
    <w:next w:val="1451"/>
    <w:link w:val="864"/>
    <w:qFormat/>
    <w:pPr>
      <w:ind w:firstLine="200"/>
      <w:spacing w:line="360" w:lineRule="auto"/>
    </w:pPr>
    <w:rPr>
      <w:rFonts w:ascii="Calibri" w:hAnsi="Calibri" w:eastAsia="宋体" w:cs="Times New Roman"/>
      <w:sz w:val="24"/>
      <w:szCs w:val="20"/>
    </w:rPr>
  </w:style>
  <w:style w:type="paragraph" w:styleId="1452">
    <w:name w:val="样式 标题 2H2sect 1.2H21sect 1.21H22sect 1.22H211sect 1.211..."/>
    <w:basedOn w:val="1054"/>
    <w:next w:val="864"/>
    <w:link w:val="864"/>
    <w:qFormat/>
    <w:pPr>
      <w:spacing w:line="415" w:lineRule="auto"/>
      <w:tabs>
        <w:tab w:val="left" w:pos="1800" w:leader="none"/>
      </w:tabs>
    </w:pPr>
    <w:rPr>
      <w:rFonts w:ascii="宋体" w:hAnsi="宋体" w:eastAsia="宋体" w:cs="Times New Roman"/>
    </w:rPr>
  </w:style>
  <w:style w:type="paragraph" w:styleId="1453">
    <w:name w:val="标头1"/>
    <w:basedOn w:val="1056"/>
    <w:next w:val="1453"/>
    <w:link w:val="864"/>
    <w:qFormat/>
    <w:pPr>
      <w:spacing w:before="120" w:after="80" w:line="240" w:lineRule="auto"/>
    </w:pPr>
    <w:rPr>
      <w:rFonts w:ascii="Times New Roman" w:hAnsi="Times New Roman" w:eastAsia="黑体" w:cs="Times New Roman"/>
      <w:b w:val="0"/>
      <w:bCs w:val="0"/>
      <w:sz w:val="28"/>
      <w:szCs w:val="20"/>
    </w:rPr>
  </w:style>
  <w:style w:type="paragraph" w:styleId="1454">
    <w:name w:val="xl25"/>
    <w:basedOn w:val="864"/>
    <w:next w:val="1454"/>
    <w:link w:val="8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455">
    <w:name w:val="chen"/>
    <w:basedOn w:val="1116"/>
    <w:next w:val="1455"/>
    <w:link w:val="864"/>
    <w:qFormat/>
    <w:pPr>
      <w:ind w:left="0" w:right="26" w:firstLine="480"/>
      <w:jc w:val="left"/>
      <w:spacing w:after="0"/>
      <w:tabs>
        <w:tab w:val="left" w:pos="7440" w:leader="none"/>
      </w:tabs>
    </w:pPr>
    <w:rPr>
      <w:rFonts w:ascii="楷体_GB2312" w:hAnsi="Times New Roman" w:eastAsia="楷体_GB2312" w:cs="Times New Roman"/>
      <w:spacing w:val="4"/>
      <w:sz w:val="24"/>
      <w:szCs w:val="20"/>
    </w:rPr>
  </w:style>
  <w:style w:type="paragraph" w:styleId="1456">
    <w:name w:val="摘要"/>
    <w:basedOn w:val="864"/>
    <w:next w:val="1054"/>
    <w:link w:val="864"/>
    <w:qFormat/>
    <w:pPr>
      <w:spacing w:line="360" w:lineRule="auto"/>
    </w:pPr>
    <w:rPr>
      <w:rFonts w:ascii="Times New Roman" w:hAnsi="Times New Roman" w:eastAsia="黑体" w:cs="Times New Roman"/>
      <w:sz w:val="24"/>
      <w:szCs w:val="20"/>
    </w:rPr>
  </w:style>
  <w:style w:type="paragraph" w:styleId="1457">
    <w:name w:val="Char2"/>
    <w:basedOn w:val="864"/>
    <w:next w:val="1457"/>
    <w:link w:val="864"/>
    <w:qFormat/>
    <w:rPr>
      <w:rFonts w:ascii="Tahoma" w:hAnsi="Tahoma" w:eastAsia="宋体" w:cs="Times New Roman"/>
      <w:sz w:val="24"/>
      <w:szCs w:val="20"/>
    </w:rPr>
  </w:style>
  <w:style w:type="paragraph" w:styleId="1458">
    <w:name w:val="图表"/>
    <w:basedOn w:val="864"/>
    <w:next w:val="1407"/>
    <w:link w:val="864"/>
    <w:qFormat/>
    <w:pPr>
      <w:ind w:left="-420" w:right="-1349"/>
      <w:jc w:val="center"/>
      <w:spacing w:before="120" w:line="240" w:lineRule="atLeast"/>
    </w:pPr>
    <w:rPr>
      <w:rFonts w:ascii="宋体" w:hAnsi="Arial" w:eastAsia="宋体" w:cs="Times New Roman"/>
      <w:sz w:val="28"/>
      <w:szCs w:val="20"/>
      <w:lang w:val="en-US" w:eastAsia="zh-CN"/>
    </w:rPr>
  </w:style>
  <w:style w:type="paragraph" w:styleId="1459">
    <w:name w:val="xl24"/>
    <w:basedOn w:val="864"/>
    <w:next w:val="1459"/>
    <w:link w:val="8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rPr>
  </w:style>
  <w:style w:type="paragraph" w:styleId="1460">
    <w:name w:val="方案文档"/>
    <w:basedOn w:val="864"/>
    <w:next w:val="1460"/>
    <w:link w:val="864"/>
    <w:qFormat/>
    <w:pPr>
      <w:ind w:firstLine="225"/>
      <w:spacing w:before="120" w:after="120" w:line="360" w:lineRule="auto"/>
    </w:pPr>
    <w:rPr>
      <w:rFonts w:ascii="Arial" w:hAnsi="Arial" w:eastAsia="宋体" w:cs="Times New Roman"/>
      <w:sz w:val="24"/>
      <w:szCs w:val="20"/>
    </w:rPr>
  </w:style>
  <w:style w:type="paragraph" w:styleId="1461">
    <w:name w:val="小标题 1"/>
    <w:basedOn w:val="864"/>
    <w:next w:val="1461"/>
    <w:link w:val="864"/>
    <w:qFormat/>
    <w:pPr>
      <w:spacing w:line="360" w:lineRule="atLeast"/>
    </w:pPr>
    <w:rPr>
      <w:rFonts w:ascii="文鼎粗黑" w:hAnsi="Times New Roman" w:eastAsia="文鼎粗黑" w:cs="Times New Roman"/>
      <w:sz w:val="22"/>
      <w:szCs w:val="20"/>
    </w:rPr>
  </w:style>
  <w:style w:type="paragraph" w:styleId="1462">
    <w:name w:val="xl52"/>
    <w:basedOn w:val="864"/>
    <w:next w:val="1462"/>
    <w:link w:val="86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8"/>
      <w:szCs w:val="28"/>
    </w:rPr>
  </w:style>
  <w:style w:type="paragraph" w:styleId="1463">
    <w:name w:val="正文文本 Char Char"/>
    <w:basedOn w:val="864"/>
    <w:next w:val="1463"/>
    <w:link w:val="864"/>
    <w:qFormat/>
    <w:pPr>
      <w:jc w:val="center"/>
    </w:pPr>
    <w:rPr>
      <w:rFonts w:ascii="Times New Roman" w:hAnsi="Times New Roman" w:eastAsia="宋体" w:cs="Times New Roman"/>
      <w:szCs w:val="20"/>
    </w:rPr>
  </w:style>
  <w:style w:type="paragraph" w:styleId="1464">
    <w:name w:val="xl66"/>
    <w:basedOn w:val="864"/>
    <w:next w:val="1464"/>
    <w:link w:val="86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465">
    <w:name w:val="FP-Title2"/>
    <w:next w:val="1465"/>
    <w:link w:val="864"/>
    <w:qFormat/>
    <w:pPr>
      <w:spacing w:before="240" w:after="60"/>
    </w:pPr>
    <w:rPr>
      <w:rFonts w:ascii="Arial" w:hAnsi="Arial"/>
      <w:b/>
      <w:sz w:val="24"/>
      <w:lang w:val="en-GB" w:eastAsia="en-US" w:bidi="ar-SA"/>
    </w:rPr>
  </w:style>
  <w:style w:type="paragraph" w:styleId="1466">
    <w:name w:val="xl78"/>
    <w:basedOn w:val="864"/>
    <w:next w:val="1466"/>
    <w:link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467">
    <w:name w:val="Char"/>
    <w:basedOn w:val="864"/>
    <w:next w:val="1467"/>
    <w:link w:val="864"/>
    <w:qFormat/>
    <w:pPr>
      <w:ind w:left="495" w:hanging="495"/>
      <w:tabs>
        <w:tab w:val="left" w:pos="495" w:leader="none"/>
      </w:tabs>
    </w:pPr>
    <w:rPr>
      <w:rFonts w:ascii="Times New Roman" w:hAnsi="Times New Roman" w:eastAsia="宋体" w:cs="Times New Roman"/>
    </w:rPr>
  </w:style>
  <w:style w:type="paragraph" w:styleId="1468">
    <w:name w:val="xl34"/>
    <w:basedOn w:val="864"/>
    <w:next w:val="1468"/>
    <w:link w:val="8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469">
    <w:name w:val="P3"/>
    <w:next w:val="1469"/>
    <w:link w:val="864"/>
    <w:qFormat/>
    <w:pPr>
      <w:ind w:left="2880" w:hanging="576"/>
      <w:jc w:val="both"/>
      <w:spacing w:after="240" w:line="0" w:lineRule="atLeast"/>
      <w:widowControl w:val="off"/>
    </w:pPr>
    <w:rPr>
      <w:rFonts w:eastAsia="全真中明體"/>
      <w:spacing w:val="30"/>
      <w:sz w:val="24"/>
      <w:lang w:val="en-GB" w:eastAsia="zh-TW" w:bidi="ar-SA"/>
    </w:rPr>
  </w:style>
  <w:style w:type="paragraph" w:styleId="1470">
    <w:name w:val="font9"/>
    <w:basedOn w:val="864"/>
    <w:next w:val="1470"/>
    <w:link w:val="864"/>
    <w:qFormat/>
    <w:pPr>
      <w:jc w:val="left"/>
      <w:spacing w:before="100" w:beforeAutospacing="1" w:after="100" w:afterAutospacing="1"/>
      <w:widowControl/>
    </w:pPr>
    <w:rPr>
      <w:rFonts w:ascii="宋体" w:hAnsi="宋体" w:eastAsia="宋体" w:cs="宋体"/>
      <w:color w:val="000000"/>
      <w:sz w:val="18"/>
      <w:szCs w:val="18"/>
    </w:rPr>
  </w:style>
  <w:style w:type="paragraph" w:styleId="1471">
    <w:name w:val="1"/>
    <w:next w:val="1471"/>
    <w:link w:val="864"/>
    <w:qFormat/>
    <w:pPr>
      <w:jc w:val="both"/>
      <w:widowControl w:val="off"/>
    </w:pPr>
    <w:rPr>
      <w:sz w:val="21"/>
      <w:szCs w:val="24"/>
      <w:lang w:val="en-US" w:eastAsia="zh-CN" w:bidi="ar-SA"/>
    </w:rPr>
  </w:style>
  <w:style w:type="paragraph" w:styleId="1472">
    <w:name w:val="xl33"/>
    <w:basedOn w:val="864"/>
    <w:next w:val="1472"/>
    <w:link w:val="864"/>
    <w:qFormat/>
    <w:pPr>
      <w:jc w:val="center"/>
      <w:spacing w:before="100" w:beforeAutospacing="1" w:after="100" w:afterAutospacing="1"/>
      <w:widowControl/>
    </w:pPr>
    <w:rPr>
      <w:rFonts w:ascii="Times New Roman" w:hAnsi="Times New Roman" w:eastAsia="宋体" w:cs="Times New Roman"/>
      <w:sz w:val="24"/>
    </w:rPr>
  </w:style>
  <w:style w:type="paragraph" w:styleId="1473">
    <w:name w:val="样式 标题 4"/>
    <w:basedOn w:val="1058"/>
    <w:next w:val="1473"/>
    <w:link w:val="864"/>
    <w:qFormat/>
    <w:pPr>
      <w:spacing w:before="0" w:after="0" w:line="374" w:lineRule="auto"/>
    </w:pPr>
    <w:rPr>
      <w:rFonts w:ascii="宋体" w:hAnsi="宋体" w:eastAsia="宋体" w:cs="Times New Roman"/>
      <w:sz w:val="30"/>
      <w:szCs w:val="20"/>
    </w:rPr>
  </w:style>
  <w:style w:type="paragraph" w:styleId="1474">
    <w:name w:val="xl30"/>
    <w:basedOn w:val="864"/>
    <w:next w:val="1474"/>
    <w:link w:val="86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475">
    <w:name w:val="font11"/>
    <w:basedOn w:val="864"/>
    <w:next w:val="1475"/>
    <w:link w:val="864"/>
    <w:qFormat/>
    <w:pPr>
      <w:jc w:val="left"/>
      <w:spacing w:before="100" w:beforeAutospacing="1" w:after="100" w:afterAutospacing="1"/>
      <w:widowControl/>
    </w:pPr>
    <w:rPr>
      <w:rFonts w:ascii="宋体" w:hAnsi="宋体" w:eastAsia="宋体" w:cs="宋体"/>
      <w:color w:val="000000"/>
      <w:sz w:val="18"/>
      <w:szCs w:val="18"/>
    </w:rPr>
  </w:style>
  <w:style w:type="paragraph" w:styleId="1476">
    <w:name w:val="样式 样式 仿宋_GB2312 小三 + 首行缩进:  2 字符"/>
    <w:basedOn w:val="1397"/>
    <w:next w:val="1476"/>
    <w:link w:val="864"/>
    <w:qFormat/>
    <w:pPr>
      <w:ind w:firstLine="0"/>
      <w:jc w:val="center"/>
      <w:spacing w:line="360" w:lineRule="auto"/>
    </w:pPr>
    <w:rPr>
      <w:rFonts w:ascii="Times New Roman" w:hAnsi="Times New Roman" w:eastAsia="宋体" w:cs="Times New Roman"/>
    </w:rPr>
  </w:style>
  <w:style w:type="paragraph" w:styleId="1477">
    <w:name w:val="样式 纯文本 + 仿宋_GB2312 黑色 行距: 1.5 倍行距1"/>
    <w:basedOn w:val="1095"/>
    <w:next w:val="1477"/>
    <w:link w:val="864"/>
    <w:qFormat/>
    <w:pPr>
      <w:ind w:firstLine="560"/>
      <w:spacing w:line="360" w:lineRule="auto"/>
    </w:pPr>
    <w:rPr>
      <w:rFonts w:ascii="仿宋_GB2312" w:hAnsi="宋体" w:eastAsia="仿宋_GB2312" w:cs="Times New Roman"/>
      <w:color w:val="000000"/>
      <w:sz w:val="24"/>
    </w:rPr>
  </w:style>
  <w:style w:type="paragraph" w:styleId="1478">
    <w:name w:val="公司名称"/>
    <w:basedOn w:val="864"/>
    <w:next w:val="1478"/>
    <w:link w:val="864"/>
    <w:qFormat/>
    <w:pPr>
      <w:jc w:val="center"/>
      <w:spacing w:line="360" w:lineRule="auto"/>
      <w:tabs>
        <w:tab w:val="left" w:pos="540" w:leader="none"/>
      </w:tabs>
    </w:pPr>
    <w:rPr>
      <w:rFonts w:ascii="Times New Roman" w:hAnsi="Times New Roman" w:eastAsia="黑体" w:cs="Times New Roman"/>
      <w:b/>
      <w:sz w:val="32"/>
      <w:szCs w:val="48"/>
    </w:rPr>
  </w:style>
  <w:style w:type="paragraph" w:styleId="1479">
    <w:name w:val="纯文本11"/>
    <w:basedOn w:val="864"/>
    <w:next w:val="1479"/>
    <w:link w:val="864"/>
    <w:qFormat/>
    <w:rPr>
      <w:rFonts w:hint="eastAsia" w:ascii="宋体" w:hAnsi="Courier New" w:eastAsia="楷体_GB2312" w:cs="Times New Roman"/>
      <w:sz w:val="28"/>
      <w:szCs w:val="20"/>
    </w:rPr>
  </w:style>
  <w:style w:type="paragraph" w:styleId="1480">
    <w:name w:val="tytytyty"/>
    <w:basedOn w:val="864"/>
    <w:next w:val="1480"/>
    <w:link w:val="864"/>
    <w:qFormat/>
    <w:pPr>
      <w:ind w:left="359" w:firstLine="480"/>
      <w:spacing w:line="360" w:lineRule="auto"/>
    </w:pPr>
    <w:rPr>
      <w:rFonts w:ascii="Times New Roman" w:hAnsi="Times New Roman" w:eastAsia="宋体" w:cs="Times New Roman"/>
      <w:sz w:val="24"/>
      <w:lang w:eastAsia="ar-SA"/>
    </w:rPr>
  </w:style>
  <w:style w:type="paragraph" w:styleId="1481">
    <w:name w:val="notice2"/>
    <w:basedOn w:val="864"/>
    <w:next w:val="1481"/>
    <w:link w:val="864"/>
    <w:qFormat/>
    <w:pPr>
      <w:jc w:val="left"/>
      <w:spacing w:after="150"/>
      <w:widowControl/>
    </w:pPr>
    <w:rPr>
      <w:rFonts w:ascii="宋体" w:hAnsi="宋体" w:eastAsia="宋体" w:cs="宋体"/>
      <w:color w:val="339900"/>
      <w:sz w:val="24"/>
    </w:rPr>
  </w:style>
  <w:style w:type="paragraph" w:styleId="1482">
    <w:name w:val="正文(首行缩进)"/>
    <w:next w:val="1482"/>
    <w:link w:val="864"/>
    <w:qFormat/>
    <w:pPr>
      <w:ind w:firstLine="420"/>
      <w:jc w:val="both"/>
      <w:spacing w:line="360" w:lineRule="auto"/>
    </w:pPr>
    <w:rPr>
      <w:rFonts w:ascii="宋体" w:hAnsi="宋体"/>
      <w:sz w:val="24"/>
      <w:szCs w:val="24"/>
      <w:lang w:val="en-US" w:eastAsia="zh-CN" w:bidi="ar-SA"/>
    </w:rPr>
  </w:style>
  <w:style w:type="paragraph" w:styleId="1483">
    <w:name w:val="Char Char Char Char Char Char Char1"/>
    <w:basedOn w:val="864"/>
    <w:next w:val="1483"/>
    <w:link w:val="864"/>
    <w:qFormat/>
    <w:pPr>
      <w:ind w:firstLine="480"/>
      <w:spacing w:line="360" w:lineRule="auto"/>
    </w:pPr>
    <w:rPr>
      <w:rFonts w:ascii="Tahoma" w:hAnsi="Tahoma" w:eastAsia="宋体" w:cs="Times New Roman"/>
      <w:sz w:val="24"/>
      <w:szCs w:val="20"/>
    </w:rPr>
  </w:style>
  <w:style w:type="paragraph" w:styleId="1484">
    <w:name w:val="_Style 466"/>
    <w:next w:val="1484"/>
    <w:link w:val="864"/>
    <w:uiPriority w:val="99"/>
    <w:qFormat/>
    <w:pPr>
      <w:jc w:val="both"/>
      <w:widowControl w:val="off"/>
    </w:pPr>
    <w:rPr>
      <w:sz w:val="21"/>
      <w:szCs w:val="24"/>
      <w:lang w:val="en-US" w:eastAsia="zh-CN" w:bidi="ar-SA"/>
    </w:rPr>
  </w:style>
  <w:style w:type="paragraph" w:styleId="1485">
    <w:name w:val="font7"/>
    <w:basedOn w:val="864"/>
    <w:next w:val="1485"/>
    <w:link w:val="864"/>
    <w:qFormat/>
    <w:pPr>
      <w:jc w:val="left"/>
      <w:spacing w:before="100" w:beforeAutospacing="1" w:after="100" w:afterAutospacing="1"/>
      <w:widowControl/>
    </w:pPr>
    <w:rPr>
      <w:rFonts w:ascii="Times New Roman" w:hAnsi="Times New Roman" w:eastAsia="宋体" w:cs="Times New Roman"/>
      <w:sz w:val="24"/>
    </w:rPr>
  </w:style>
  <w:style w:type="paragraph" w:styleId="1486">
    <w:name w:val="样式6"/>
    <w:basedOn w:val="1056"/>
    <w:next w:val="1486"/>
    <w:link w:val="864"/>
    <w:qFormat/>
    <w:pPr>
      <w:ind w:left="567" w:hanging="567"/>
      <w:jc w:val="left"/>
      <w:spacing w:before="240" w:after="240" w:line="345" w:lineRule="auto"/>
      <w:tabs>
        <w:tab w:val="left" w:pos="567" w:leader="none"/>
      </w:tabs>
    </w:pPr>
    <w:rPr>
      <w:rFonts w:ascii="Times New Roman" w:hAnsi="Times New Roman" w:eastAsia="宋体" w:cs="Times New Roman"/>
      <w:b w:val="0"/>
      <w:bCs w:val="0"/>
      <w:sz w:val="30"/>
      <w:szCs w:val="30"/>
    </w:rPr>
  </w:style>
  <w:style w:type="paragraph" w:styleId="1487">
    <w:name w:val="xl59"/>
    <w:basedOn w:val="864"/>
    <w:next w:val="1487"/>
    <w:link w:val="864"/>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cs="Times New Roman"/>
      <w:sz w:val="24"/>
    </w:rPr>
  </w:style>
  <w:style w:type="paragraph" w:styleId="1488">
    <w:name w:val="word2"/>
    <w:basedOn w:val="864"/>
    <w:next w:val="1488"/>
    <w:link w:val="864"/>
    <w:qFormat/>
    <w:pPr>
      <w:jc w:val="left"/>
      <w:spacing w:before="100" w:beforeAutospacing="1" w:after="100" w:afterAutospacing="1" w:line="348" w:lineRule="atLeast"/>
      <w:widowControl/>
    </w:pPr>
    <w:rPr>
      <w:rFonts w:ascii="宋体" w:hAnsi="宋体" w:eastAsia="宋体" w:cs="Times New Roman"/>
      <w:szCs w:val="20"/>
    </w:rPr>
  </w:style>
  <w:style w:type="paragraph" w:styleId="1489">
    <w:name w:val="+标题2"/>
    <w:basedOn w:val="1054"/>
    <w:next w:val="1489"/>
    <w:link w:val="864"/>
    <w:qFormat/>
    <w:pPr>
      <w:ind w:left="431" w:hanging="431"/>
      <w:spacing w:before="0" w:after="0" w:line="360" w:lineRule="auto"/>
      <w:tabs>
        <w:tab w:val="left" w:pos="431" w:leader="none"/>
      </w:tabs>
    </w:pPr>
    <w:rPr>
      <w:rFonts w:ascii="Times New Roman" w:hAnsi="Times New Roman" w:eastAsia="宋体" w:cs="Times New Roman"/>
      <w:sz w:val="24"/>
      <w:szCs w:val="28"/>
    </w:rPr>
  </w:style>
  <w:style w:type="paragraph" w:styleId="1490">
    <w:name w:val="pa-1"/>
    <w:basedOn w:val="864"/>
    <w:next w:val="1490"/>
    <w:link w:val="864"/>
    <w:qFormat/>
    <w:pPr>
      <w:jc w:val="left"/>
      <w:spacing w:before="150" w:after="150"/>
      <w:widowControl/>
    </w:pPr>
    <w:rPr>
      <w:rFonts w:ascii="宋体" w:hAnsi="宋体" w:eastAsia="宋体" w:cs="宋体"/>
      <w:sz w:val="24"/>
    </w:rPr>
  </w:style>
  <w:style w:type="paragraph" w:styleId="1491">
    <w:name w:val="Char Char Char Char Char Char Char Char Char1 Char"/>
    <w:basedOn w:val="1079"/>
    <w:next w:val="1491"/>
    <w:link w:val="864"/>
    <w:qFormat/>
    <w:pPr>
      <w:spacing w:line="360" w:lineRule="auto"/>
    </w:pPr>
    <w:rPr>
      <w:rFonts w:ascii="Calibri" w:hAnsi="Calibri" w:eastAsia="宋体" w:cs="Times New Roman"/>
      <w:szCs w:val="24"/>
      <w:lang w:val="en-US" w:eastAsia="zh-CN"/>
    </w:rPr>
  </w:style>
  <w:style w:type="paragraph" w:styleId="1492">
    <w:name w:val="EHPT"/>
    <w:basedOn w:val="864"/>
    <w:next w:val="1086"/>
    <w:link w:val="864"/>
    <w:qFormat/>
    <w:pPr>
      <w:ind w:right="-694"/>
    </w:pPr>
    <w:rPr>
      <w:rFonts w:ascii="Times New Roman" w:hAnsi="Times New Roman" w:eastAsia="宋体" w:cs="Times New Roman"/>
      <w:sz w:val="24"/>
      <w:szCs w:val="20"/>
    </w:rPr>
  </w:style>
  <w:style w:type="paragraph" w:styleId="1493">
    <w:name w:val="xl37"/>
    <w:basedOn w:val="864"/>
    <w:next w:val="1493"/>
    <w:link w:val="86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rPr>
  </w:style>
  <w:style w:type="paragraph" w:styleId="1494">
    <w:name w:val="Alt+X_首行空2"/>
    <w:basedOn w:val="864"/>
    <w:next w:val="1494"/>
    <w:link w:val="864"/>
    <w:qFormat/>
    <w:pPr>
      <w:ind w:firstLine="480"/>
      <w:spacing w:line="360" w:lineRule="auto"/>
    </w:pPr>
    <w:rPr>
      <w:rFonts w:ascii="Times New Roman" w:hAnsi="Times New Roman" w:eastAsia="宋体" w:cs="宋体"/>
      <w:sz w:val="24"/>
    </w:rPr>
  </w:style>
  <w:style w:type="paragraph" w:styleId="1495">
    <w:name w:val="南通方案正文"/>
    <w:basedOn w:val="864"/>
    <w:next w:val="1495"/>
    <w:link w:val="864"/>
    <w:qFormat/>
    <w:pPr>
      <w:ind w:firstLine="480"/>
      <w:spacing w:line="360" w:lineRule="auto"/>
    </w:pPr>
    <w:rPr>
      <w:rFonts w:ascii="Times New Roman" w:hAnsi="Times New Roman" w:eastAsia="宋体" w:cs="宋体"/>
      <w:sz w:val="24"/>
      <w:szCs w:val="20"/>
    </w:rPr>
  </w:style>
  <w:style w:type="paragraph" w:styleId="1496">
    <w:name w:val="Char Char Char Char Char Char Char Char Char Char Char Char Char Char Char Char"/>
    <w:basedOn w:val="864"/>
    <w:next w:val="1496"/>
    <w:link w:val="864"/>
    <w:qFormat/>
    <w:rPr>
      <w:rFonts w:ascii="仿宋_GB2312" w:hAnsi="Times New Roman" w:eastAsia="仿宋_GB2312" w:cs="Times New Roman"/>
      <w:b/>
      <w:sz w:val="28"/>
      <w:szCs w:val="20"/>
    </w:rPr>
  </w:style>
  <w:style w:type="paragraph" w:styleId="1497">
    <w:name w:val="font5"/>
    <w:basedOn w:val="864"/>
    <w:next w:val="1497"/>
    <w:link w:val="864"/>
    <w:qFormat/>
    <w:pPr>
      <w:jc w:val="left"/>
      <w:spacing w:before="100" w:beforeAutospacing="1" w:after="100" w:afterAutospacing="1"/>
      <w:widowControl/>
    </w:pPr>
    <w:rPr>
      <w:rFonts w:hint="eastAsia" w:ascii="宋体" w:hAnsi="宋体" w:eastAsia="宋体" w:cs="Times New Roman"/>
      <w:sz w:val="24"/>
    </w:rPr>
  </w:style>
  <w:style w:type="paragraph" w:styleId="1498">
    <w:name w:val="xl75"/>
    <w:basedOn w:val="864"/>
    <w:next w:val="1498"/>
    <w:link w:val="86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Cs w:val="21"/>
    </w:rPr>
  </w:style>
  <w:style w:type="paragraph" w:styleId="1499">
    <w:name w:val="Default Paragraph Font Para Char Char Char Char Char Char"/>
    <w:basedOn w:val="864"/>
    <w:next w:val="1499"/>
    <w:link w:val="864"/>
    <w:qFormat/>
    <w:pPr>
      <w:jc w:val="left"/>
      <w:spacing w:after="160" w:line="240" w:lineRule="exact"/>
      <w:widowControl/>
    </w:pPr>
    <w:rPr>
      <w:rFonts w:ascii="Verdana" w:hAnsi="Verdana" w:eastAsia="宋体" w:cs="Times New Roman"/>
      <w:sz w:val="20"/>
      <w:szCs w:val="20"/>
      <w:lang w:eastAsia="en-US"/>
    </w:rPr>
  </w:style>
  <w:style w:type="paragraph" w:styleId="1500">
    <w:name w:val="样式4"/>
    <w:basedOn w:val="864"/>
    <w:next w:val="1500"/>
    <w:link w:val="864"/>
    <w:qFormat/>
    <w:pPr>
      <w:ind w:left="420" w:hanging="420"/>
      <w:spacing w:line="360" w:lineRule="auto"/>
      <w:tabs>
        <w:tab w:val="left" w:pos="420" w:leader="none"/>
      </w:tabs>
    </w:pPr>
    <w:rPr>
      <w:rFonts w:ascii="Times New Roman" w:hAnsi="Times New Roman" w:eastAsia="宋体" w:cs="Times New Roman"/>
      <w:sz w:val="24"/>
    </w:rPr>
  </w:style>
  <w:style w:type="paragraph" w:styleId="1501">
    <w:name w:val="Char Char1 Char Char Char Char Char Char Char Char Char Char Char Char Char Char Char"/>
    <w:basedOn w:val="864"/>
    <w:next w:val="1501"/>
    <w:link w:val="864"/>
    <w:qFormat/>
    <w:pPr>
      <w:jc w:val="left"/>
      <w:spacing w:after="160" w:line="240" w:lineRule="exact"/>
      <w:widowControl/>
    </w:pPr>
    <w:rPr>
      <w:rFonts w:ascii="Verdana" w:hAnsi="Verdana" w:eastAsia="宋体" w:cs="Times New Roman"/>
      <w:sz w:val="20"/>
      <w:szCs w:val="20"/>
      <w:lang w:eastAsia="en-US"/>
    </w:rPr>
  </w:style>
  <w:style w:type="paragraph" w:styleId="1502">
    <w:name w:val="样式 标题 3h3H3sect1.2.3l3CT第二层条3rd level31.1.1BOD 0h31h..."/>
    <w:basedOn w:val="1056"/>
    <w:next w:val="1502"/>
    <w:link w:val="864"/>
    <w:qFormat/>
    <w:pPr>
      <w:spacing w:before="120" w:after="80" w:line="360" w:lineRule="auto"/>
    </w:pPr>
    <w:rPr>
      <w:rFonts w:ascii="Arial" w:hAnsi="Arial" w:eastAsia="黑体" w:cs="Times New Roman"/>
      <w:b w:val="0"/>
      <w:bCs w:val="0"/>
      <w:sz w:val="30"/>
      <w:szCs w:val="20"/>
    </w:rPr>
  </w:style>
  <w:style w:type="paragraph" w:styleId="1503">
    <w:name w:val="Char Char Char1 Char"/>
    <w:basedOn w:val="864"/>
    <w:next w:val="1503"/>
    <w:link w:val="864"/>
    <w:qFormat/>
    <w:pPr>
      <w:jc w:val="left"/>
      <w:spacing w:line="240" w:lineRule="exact"/>
      <w:widowControl/>
    </w:pPr>
    <w:rPr>
      <w:rFonts w:ascii="Verdana" w:hAnsi="Verdana" w:eastAsia="宋体" w:cs="Times New Roman"/>
      <w:sz w:val="20"/>
      <w:szCs w:val="20"/>
      <w:lang w:eastAsia="en-US"/>
    </w:rPr>
  </w:style>
  <w:style w:type="paragraph" w:styleId="1504">
    <w:name w:val="xl73"/>
    <w:basedOn w:val="864"/>
    <w:next w:val="1504"/>
    <w:link w:val="8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05">
    <w:name w:val="Ｃ"/>
    <w:basedOn w:val="864"/>
    <w:next w:val="1505"/>
    <w:link w:val="864"/>
    <w:qFormat/>
    <w:pPr>
      <w:ind w:right="210"/>
      <w:jc w:val="center"/>
      <w:keepNext/>
      <w:spacing w:line="0" w:lineRule="atLeast"/>
      <w:widowControl/>
    </w:pPr>
    <w:rPr>
      <w:rFonts w:ascii="宋体" w:hAnsi="Times New Roman" w:eastAsia="宋体" w:cs="Times New Roman"/>
      <w:sz w:val="16"/>
      <w:szCs w:val="20"/>
    </w:rPr>
  </w:style>
  <w:style w:type="paragraph" w:styleId="1506">
    <w:name w:val="样式 样式 标题 4H4Ref Heading 1rh1Heading sqlsect 1.2.3.4h4PIM 4b... +..."/>
    <w:basedOn w:val="864"/>
    <w:next w:val="1506"/>
    <w:link w:val="864"/>
    <w:qFormat/>
    <w:pPr>
      <w:keepNext/>
      <w:spacing w:before="360" w:after="240" w:line="300" w:lineRule="auto"/>
      <w:tabs>
        <w:tab w:val="left" w:pos="3085" w:leader="none"/>
      </w:tabs>
      <w:outlineLvl w:val="3"/>
    </w:pPr>
    <w:rPr>
      <w:rFonts w:ascii="宋体" w:hAnsi="宋体" w:eastAsia="宋体" w:cs="Times New Roman"/>
      <w:b/>
      <w:szCs w:val="20"/>
    </w:rPr>
  </w:style>
  <w:style w:type="paragraph" w:styleId="1507">
    <w:name w:val="小点说明"/>
    <w:basedOn w:val="864"/>
    <w:next w:val="1507"/>
    <w:link w:val="864"/>
    <w:qFormat/>
    <w:pPr>
      <w:ind w:left="360" w:firstLine="80"/>
      <w:spacing w:line="360" w:lineRule="auto"/>
      <w:tabs>
        <w:tab w:val="left" w:pos="392" w:leader="none"/>
      </w:tabs>
    </w:pPr>
    <w:rPr>
      <w:rFonts w:ascii="宋体" w:hAnsi="Arial" w:eastAsia="宋体" w:cs="Times New Roman"/>
      <w:szCs w:val="20"/>
    </w:rPr>
  </w:style>
  <w:style w:type="paragraph" w:styleId="1508">
    <w:name w:val="项目编号A"/>
    <w:basedOn w:val="864"/>
    <w:next w:val="1508"/>
    <w:link w:val="864"/>
    <w:qFormat/>
    <w:pPr>
      <w:ind w:left="959" w:hanging="420"/>
      <w:spacing w:line="360" w:lineRule="auto"/>
      <w:tabs>
        <w:tab w:val="left" w:pos="959" w:leader="none"/>
      </w:tabs>
    </w:pPr>
    <w:rPr>
      <w:rFonts w:ascii="Arial" w:hAnsi="Arial" w:eastAsia="宋体" w:cs="Times New Roman"/>
      <w:sz w:val="24"/>
      <w:szCs w:val="20"/>
    </w:rPr>
  </w:style>
  <w:style w:type="paragraph" w:styleId="1509">
    <w:name w:val="表格"/>
    <w:basedOn w:val="864"/>
    <w:next w:val="1509"/>
    <w:link w:val="864"/>
    <w:qFormat/>
    <w:rPr>
      <w:rFonts w:ascii="Arial" w:hAnsi="Arial" w:eastAsia="宋体" w:cs="Times New Roman"/>
      <w:sz w:val="24"/>
      <w:szCs w:val="20"/>
    </w:rPr>
  </w:style>
  <w:style w:type="paragraph" w:styleId="1510">
    <w:name w:val="默认段落字体 Para Char Char Char Char Char Char Char Char Char1 Char Char Char Char Char Char Char"/>
    <w:basedOn w:val="1079"/>
    <w:next w:val="1510"/>
    <w:link w:val="864"/>
    <w:qFormat/>
    <w:rPr>
      <w:rFonts w:ascii="Tahoma" w:hAnsi="Tahoma" w:eastAsia="宋体" w:cs="Times New Roman"/>
      <w:sz w:val="24"/>
    </w:rPr>
  </w:style>
  <w:style w:type="paragraph" w:styleId="1511">
    <w:name w:val="样式 正文缩进 + 首行缩进:  2 字符"/>
    <w:basedOn w:val="1066"/>
    <w:next w:val="1511"/>
    <w:link w:val="864"/>
    <w:qFormat/>
    <w:pPr>
      <w:ind w:firstLine="480"/>
      <w:jc w:val="both"/>
      <w:spacing w:line="360" w:lineRule="auto"/>
    </w:pPr>
    <w:rPr>
      <w:rFonts w:ascii="Times New Roman" w:hAnsi="Times New Roman" w:eastAsia="宋体" w:cs="宋体"/>
    </w:rPr>
  </w:style>
  <w:style w:type="paragraph" w:styleId="1512">
    <w:name w:val="样式 标题 5 + 加粗 左侧:  0 厘米 悬挂缩进: 10.08 字符 行距: 1.5 倍行距"/>
    <w:basedOn w:val="1060"/>
    <w:next w:val="1512"/>
    <w:link w:val="864"/>
    <w:qFormat/>
    <w:pPr>
      <w:ind w:left="1008" w:hanging="1008"/>
      <w:spacing w:before="120" w:after="120" w:line="360" w:lineRule="auto"/>
    </w:pPr>
    <w:rPr>
      <w:rFonts w:ascii="Arial" w:hAnsi="Arial" w:eastAsia="黑体" w:cs="Times New Roman"/>
      <w:b w:val="0"/>
      <w:bCs w:val="0"/>
      <w:sz w:val="24"/>
      <w:szCs w:val="20"/>
    </w:rPr>
  </w:style>
  <w:style w:type="paragraph" w:styleId="1513">
    <w:name w:val="样式 标题 4 + (西文) 宋体 小四"/>
    <w:basedOn w:val="864"/>
    <w:next w:val="1513"/>
    <w:link w:val="864"/>
    <w:qFormat/>
    <w:pPr>
      <w:spacing w:line="360" w:lineRule="auto"/>
    </w:pPr>
    <w:rPr>
      <w:rFonts w:ascii="宋体" w:hAnsi="宋体" w:eastAsia="仿宋_GB2312" w:cs="Times New Roman"/>
      <w:sz w:val="24"/>
      <w:szCs w:val="20"/>
    </w:rPr>
  </w:style>
  <w:style w:type="paragraph" w:styleId="1514">
    <w:name w:val="样式 标题 3h33rd levelHeading 3 - oldH3l3CT3章标题1Level 3 Hea..."/>
    <w:basedOn w:val="1056"/>
    <w:next w:val="1514"/>
    <w:link w:val="864"/>
    <w:qFormat/>
    <w:pPr>
      <w:contextualSpacing/>
      <w:keepLines w:val="0"/>
      <w:keepNext w:val="0"/>
      <w:spacing w:before="120" w:after="120" w:line="288" w:lineRule="auto"/>
    </w:pPr>
    <w:rPr>
      <w:rFonts w:ascii="Arial" w:hAnsi="Arial" w:eastAsia="宋体" w:cs="宋体"/>
      <w:color w:val="000000"/>
      <w:sz w:val="24"/>
      <w:szCs w:val="20"/>
    </w:rPr>
  </w:style>
  <w:style w:type="paragraph" w:styleId="1515">
    <w:name w:val="Plain Text2"/>
    <w:basedOn w:val="864"/>
    <w:next w:val="1515"/>
    <w:link w:val="864"/>
    <w:qFormat/>
    <w:rPr>
      <w:rFonts w:ascii="宋体" w:hAnsi="Courier New" w:eastAsia="楷体_GB2312" w:cs="Times New Roman"/>
      <w:sz w:val="28"/>
      <w:szCs w:val="20"/>
    </w:rPr>
  </w:style>
  <w:style w:type="paragraph" w:styleId="1516">
    <w:name w:val="样式 四号 首行缩进:  2 字符"/>
    <w:basedOn w:val="864"/>
    <w:next w:val="1516"/>
    <w:link w:val="864"/>
    <w:qFormat/>
    <w:pPr>
      <w:ind w:firstLine="560"/>
      <w:spacing w:line="360" w:lineRule="auto"/>
    </w:pPr>
    <w:rPr>
      <w:rFonts w:ascii="Times New Roman" w:hAnsi="Times New Roman" w:eastAsia="宋体" w:cs="Times New Roman"/>
      <w:sz w:val="24"/>
      <w:szCs w:val="28"/>
    </w:rPr>
  </w:style>
  <w:style w:type="paragraph" w:styleId="1517">
    <w:name w:val="yyn2"/>
    <w:basedOn w:val="864"/>
    <w:next w:val="1517"/>
    <w:link w:val="864"/>
    <w:qFormat/>
    <w:pPr>
      <w:jc w:val="left"/>
      <w:keepNext/>
      <w:spacing w:line="360" w:lineRule="auto"/>
      <w:widowControl/>
      <w:tabs>
        <w:tab w:val="left" w:pos="1344" w:leader="none"/>
      </w:tabs>
    </w:pPr>
    <w:rPr>
      <w:rFonts w:ascii="宋体" w:hAnsi="Calibri" w:eastAsia="宋体" w:cs="Times New Roman"/>
      <w:color w:val="000000"/>
      <w:sz w:val="28"/>
      <w:szCs w:val="20"/>
    </w:rPr>
  </w:style>
  <w:style w:type="paragraph" w:styleId="1518">
    <w:name w:val="paragraph1"/>
    <w:basedOn w:val="864"/>
    <w:next w:val="1518"/>
    <w:link w:val="864"/>
    <w:qFormat/>
    <w:pPr>
      <w:ind w:firstLine="480"/>
      <w:spacing w:line="360" w:lineRule="auto"/>
    </w:pPr>
    <w:rPr>
      <w:rFonts w:ascii="Times New Roman" w:hAnsi="Times New Roman" w:eastAsia="宋体" w:cs="Times New Roman"/>
      <w:sz w:val="24"/>
    </w:rPr>
  </w:style>
  <w:style w:type="paragraph" w:styleId="1519">
    <w:name w:val="style1style2"/>
    <w:basedOn w:val="864"/>
    <w:next w:val="1519"/>
    <w:link w:val="864"/>
    <w:qFormat/>
    <w:pPr>
      <w:jc w:val="left"/>
      <w:spacing w:before="100" w:beforeAutospacing="1" w:after="100" w:afterAutospacing="1"/>
      <w:widowControl/>
    </w:pPr>
    <w:rPr>
      <w:rFonts w:ascii="宋体" w:hAnsi="宋体" w:eastAsia="宋体" w:cs="宋体"/>
      <w:sz w:val="24"/>
    </w:rPr>
  </w:style>
  <w:style w:type="paragraph" w:styleId="1520">
    <w:name w:val="font0"/>
    <w:basedOn w:val="864"/>
    <w:next w:val="1520"/>
    <w:link w:val="864"/>
    <w:qFormat/>
    <w:pPr>
      <w:jc w:val="left"/>
      <w:spacing w:before="100" w:beforeAutospacing="1" w:after="100" w:afterAutospacing="1"/>
      <w:widowControl/>
    </w:pPr>
    <w:rPr>
      <w:rFonts w:hint="eastAsia" w:ascii="宋体" w:hAnsi="宋体" w:eastAsia="宋体" w:cs="Times New Roman"/>
      <w:sz w:val="24"/>
    </w:rPr>
  </w:style>
  <w:style w:type="paragraph" w:styleId="1521">
    <w:name w:val="Plain Text1"/>
    <w:basedOn w:val="864"/>
    <w:next w:val="1521"/>
    <w:link w:val="864"/>
    <w:qFormat/>
    <w:rPr>
      <w:rFonts w:ascii="宋体" w:hAnsi="Courier New" w:eastAsia="楷体_GB2312" w:cs="宋体"/>
      <w:sz w:val="26"/>
      <w:szCs w:val="26"/>
    </w:rPr>
  </w:style>
  <w:style w:type="paragraph" w:styleId="1522">
    <w:name w:val="样式 标题 4 + 仿宋_GB2312"/>
    <w:basedOn w:val="1058"/>
    <w:next w:val="1522"/>
    <w:link w:val="864"/>
    <w:qFormat/>
    <w:pPr>
      <w:keepLines w:val="0"/>
      <w:spacing w:before="0" w:after="0" w:line="300" w:lineRule="auto"/>
    </w:pPr>
    <w:rPr>
      <w:rFonts w:ascii="仿宋_GB2312" w:hAnsi="仿宋_GB2312" w:eastAsia="仿宋_GB2312" w:cs="Times New Roman"/>
      <w:color w:val="ff00ff"/>
      <w:sz w:val="30"/>
      <w:szCs w:val="30"/>
    </w:rPr>
  </w:style>
  <w:style w:type="paragraph" w:styleId="1523">
    <w:name w:val="纯文本3"/>
    <w:basedOn w:val="864"/>
    <w:next w:val="1523"/>
    <w:link w:val="864"/>
    <w:uiPriority w:val="99"/>
    <w:qFormat/>
    <w:rPr>
      <w:rFonts w:hint="eastAsia" w:ascii="宋体" w:hAnsi="Courier New" w:eastAsia="楷体_GB2312" w:cs="Times New Roman"/>
      <w:sz w:val="28"/>
      <w:szCs w:val="20"/>
    </w:rPr>
  </w:style>
  <w:style w:type="paragraph" w:styleId="1524">
    <w:name w:val="样式SZA"/>
    <w:basedOn w:val="1086"/>
    <w:next w:val="1524"/>
    <w:link w:val="864"/>
    <w:qFormat/>
    <w:pPr>
      <w:ind w:left="660" w:hanging="660"/>
      <w:jc w:val="left"/>
      <w:spacing w:after="220" w:line="220" w:lineRule="atLeast"/>
      <w:widowControl/>
      <w:tabs>
        <w:tab w:val="left" w:pos="660" w:leader="none"/>
      </w:tabs>
    </w:pPr>
    <w:rPr>
      <w:rFonts w:ascii="Times New Roman" w:hAnsi="Calibri" w:eastAsia="宋体" w:cs="Times New Roman"/>
      <w:position w:val="0"/>
      <w:sz w:val="21"/>
    </w:rPr>
  </w:style>
  <w:style w:type="table" w:styleId="1525">
    <w:name w:val="网格型1"/>
    <w:basedOn w:val="1073"/>
    <w:next w:val="1525"/>
    <w:link w:val="864"/>
    <w:qFormat/>
    <w:rPr>
      <w:rFonts w:ascii="Calibri" w:hAnsi="Calibri" w:eastAsia="宋体" w:cs="Times New Roman"/>
    </w:rPr>
    <w:tblPr/>
  </w:style>
  <w:style w:type="table" w:styleId="1526">
    <w:name w:val="表格样式1"/>
    <w:basedOn w:val="1073"/>
    <w:next w:val="1526"/>
    <w:link w:val="864"/>
    <w:qFormat/>
    <w:rPr>
      <w:rFonts w:ascii="Times New Roman" w:hAnsi="Times New Roman" w:eastAsia="宋体" w:cs="Times New Roman"/>
    </w:rPr>
    <w:tblPr/>
  </w:style>
  <w:style w:type="table" w:styleId="1527">
    <w:name w:val="网格型2"/>
    <w:basedOn w:val="875"/>
    <w:next w:val="1527"/>
    <w:link w:val="864"/>
    <w:uiPriority w:val="59"/>
    <w:qFormat/>
    <w:rPr>
      <w:rFonts w:ascii="Calibri" w:hAnsi="Calibri"/>
    </w:rPr>
    <w:tblPr/>
  </w:style>
  <w:style w:type="table" w:styleId="1528">
    <w:name w:val="网格型3"/>
    <w:basedOn w:val="875"/>
    <w:next w:val="1528"/>
    <w:link w:val="864"/>
    <w:uiPriority w:val="59"/>
    <w:qFormat/>
    <w:rPr>
      <w:rFonts w:ascii="Calibri" w:hAnsi="Calibri"/>
    </w:rPr>
    <w:tblPr/>
  </w:style>
  <w:style w:type="table" w:styleId="1529">
    <w:name w:val="TableGrid1"/>
    <w:next w:val="1529"/>
    <w:link w:val="864"/>
    <w:qFormat/>
    <w:rPr>
      <w:lang w:val="en-US" w:eastAsia="zh-CN" w:bidi="ar-SA"/>
    </w:rPr>
    <w:tblPr/>
  </w:style>
  <w:style w:type="character" w:styleId="1530" w:default="1">
    <w:name w:val="Default Paragraph Font"/>
    <w:uiPriority w:val="1"/>
    <w:semiHidden/>
    <w:unhideWhenUsed/>
  </w:style>
  <w:style w:type="numbering" w:styleId="1531" w:default="1">
    <w:name w:val="No List"/>
    <w:uiPriority w:val="99"/>
    <w:semiHidden/>
    <w:unhideWhenUsed/>
  </w:style>
  <w:style w:type="table" w:styleId="15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Co</dc:creator>
  <cp:lastModifiedBy>傅建菲</cp:lastModifiedBy>
  <cp:revision>8</cp:revision>
  <dcterms:created xsi:type="dcterms:W3CDTF">2023-04-02T02:40:00Z</dcterms:created>
  <dcterms:modified xsi:type="dcterms:W3CDTF">2026-07-01T07:56:19Z</dcterms:modified>
</cp:coreProperties>
</file>