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240" w:lineRule="auto"/>
        <w:jc w:val="center"/>
        <w:rPr>
          <w:rFonts w:hint="eastAsia" w:ascii="仿宋" w:hAnsi="仿宋" w:eastAsia="仿宋" w:cs="仿宋"/>
          <w:b/>
          <w:kern w:val="0"/>
          <w:sz w:val="36"/>
          <w:szCs w:val="36"/>
          <w:lang w:val="en-US" w:eastAsia="zh-CN"/>
        </w:rPr>
      </w:pPr>
      <w:r>
        <w:rPr>
          <w:rFonts w:hint="eastAsia" w:ascii="仿宋" w:hAnsi="仿宋" w:eastAsia="仿宋" w:cs="仿宋"/>
          <w:b/>
          <w:kern w:val="0"/>
          <w:sz w:val="36"/>
          <w:szCs w:val="36"/>
          <w:lang w:val="en-US" w:eastAsia="zh-CN"/>
        </w:rPr>
        <w:t>无锡市第一中学食堂扩建项目清单编制说明</w:t>
      </w:r>
    </w:p>
    <w:p>
      <w:pPr>
        <w:keepNext w:val="0"/>
        <w:keepLines w:val="0"/>
        <w:pageBreakBefore w:val="0"/>
        <w:kinsoku/>
        <w:wordWrap/>
        <w:overflowPunct/>
        <w:topLinePunct w:val="0"/>
        <w:bidi w:val="0"/>
        <w:snapToGrid/>
        <w:spacing w:line="240" w:lineRule="auto"/>
        <w:rPr>
          <w:rFonts w:hint="eastAsia" w:ascii="仿宋" w:hAnsi="仿宋" w:eastAsia="仿宋" w:cs="仿宋"/>
          <w:b/>
          <w:color w:val="000000"/>
          <w:sz w:val="28"/>
          <w:szCs w:val="28"/>
        </w:rPr>
      </w:pPr>
    </w:p>
    <w:p>
      <w:pPr>
        <w:keepNext w:val="0"/>
        <w:keepLines w:val="0"/>
        <w:pageBreakBefore w:val="0"/>
        <w:numPr>
          <w:ilvl w:val="0"/>
          <w:numId w:val="1"/>
        </w:numPr>
        <w:kinsoku/>
        <w:wordWrap/>
        <w:overflowPunct/>
        <w:topLinePunct w:val="0"/>
        <w:bidi w:val="0"/>
        <w:snapToGrid/>
        <w:spacing w:line="240" w:lineRule="auto"/>
        <w:ind w:left="0" w:leftChars="0" w:firstLine="420" w:firstLineChars="0"/>
        <w:rPr>
          <w:rFonts w:hint="eastAsia" w:ascii="黑体" w:hAnsi="黑体" w:eastAsia="黑体" w:cs="黑体"/>
          <w:b/>
          <w:color w:val="000000"/>
          <w:sz w:val="28"/>
          <w:szCs w:val="28"/>
        </w:rPr>
      </w:pPr>
      <w:r>
        <w:rPr>
          <w:rFonts w:hint="eastAsia" w:ascii="黑体" w:hAnsi="黑体" w:eastAsia="黑体" w:cs="黑体"/>
          <w:b/>
          <w:color w:val="000000"/>
          <w:sz w:val="28"/>
          <w:szCs w:val="28"/>
        </w:rPr>
        <w:t xml:space="preserve">工程概况 </w:t>
      </w:r>
    </w:p>
    <w:p>
      <w:pPr>
        <w:keepNext w:val="0"/>
        <w:keepLines w:val="0"/>
        <w:pageBreakBefore w:val="0"/>
        <w:kinsoku/>
        <w:wordWrap/>
        <w:overflowPunct/>
        <w:topLinePunct w:val="0"/>
        <w:bidi w:val="0"/>
        <w:snapToGrid/>
        <w:spacing w:line="24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无锡市第一中学食堂扩建项目位于无锡市运河东路</w:t>
      </w:r>
      <w:r>
        <w:rPr>
          <w:rFonts w:hint="default" w:ascii="仿宋" w:hAnsi="仿宋" w:eastAsia="仿宋" w:cs="仿宋"/>
          <w:sz w:val="28"/>
          <w:szCs w:val="28"/>
          <w:lang w:val="en-US" w:eastAsia="zh-CN"/>
        </w:rPr>
        <w:t>9</w:t>
      </w:r>
      <w:r>
        <w:rPr>
          <w:rFonts w:hint="eastAsia" w:ascii="仿宋" w:hAnsi="仿宋" w:eastAsia="仿宋" w:cs="仿宋"/>
          <w:sz w:val="28"/>
          <w:szCs w:val="28"/>
          <w:lang w:val="en-US" w:eastAsia="zh-CN"/>
        </w:rPr>
        <w:t>8号。</w:t>
      </w:r>
      <w:r>
        <w:rPr>
          <w:rFonts w:hint="eastAsia" w:ascii="仿宋" w:hAnsi="仿宋" w:eastAsia="仿宋" w:cs="仿宋"/>
          <w:sz w:val="28"/>
          <w:szCs w:val="28"/>
        </w:rPr>
        <w:t>该项目</w:t>
      </w:r>
      <w:r>
        <w:rPr>
          <w:rFonts w:hint="eastAsia" w:ascii="仿宋" w:hAnsi="仿宋" w:eastAsia="仿宋" w:cs="仿宋"/>
          <w:sz w:val="28"/>
          <w:szCs w:val="28"/>
          <w:lang w:val="en-US" w:eastAsia="zh-CN"/>
        </w:rPr>
        <w:t>占</w:t>
      </w:r>
      <w:r>
        <w:rPr>
          <w:rFonts w:hint="eastAsia" w:ascii="仿宋" w:hAnsi="仿宋" w:eastAsia="仿宋" w:cs="仿宋"/>
          <w:sz w:val="28"/>
          <w:szCs w:val="28"/>
        </w:rPr>
        <w:t>地面积为</w:t>
      </w:r>
      <w:r>
        <w:rPr>
          <w:rFonts w:hint="default" w:ascii="仿宋" w:hAnsi="仿宋" w:eastAsia="仿宋" w:cs="仿宋"/>
          <w:sz w:val="28"/>
          <w:szCs w:val="28"/>
          <w:lang w:val="en-US" w:eastAsia="zh-CN"/>
        </w:rPr>
        <w:t>928</w:t>
      </w:r>
      <w:r>
        <w:rPr>
          <w:rFonts w:hint="eastAsia" w:ascii="仿宋" w:hAnsi="仿宋" w:eastAsia="仿宋" w:cs="仿宋"/>
          <w:sz w:val="28"/>
          <w:szCs w:val="28"/>
        </w:rPr>
        <w:t>m2，</w:t>
      </w:r>
      <w:r>
        <w:rPr>
          <w:rFonts w:hint="eastAsia" w:ascii="仿宋" w:hAnsi="仿宋" w:eastAsia="仿宋" w:cs="仿宋"/>
          <w:sz w:val="28"/>
          <w:szCs w:val="28"/>
          <w:lang w:val="en-US" w:eastAsia="zh-CN"/>
        </w:rPr>
        <w:t>结构形式为桁架楼承板</w:t>
      </w:r>
      <w:r>
        <w:rPr>
          <w:rFonts w:hint="default" w:ascii="仿宋" w:hAnsi="仿宋" w:eastAsia="仿宋" w:cs="仿宋"/>
          <w:sz w:val="28"/>
          <w:szCs w:val="28"/>
          <w:lang w:val="en-US" w:eastAsia="zh-CN"/>
        </w:rPr>
        <w:t>+</w:t>
      </w:r>
      <w:r>
        <w:rPr>
          <w:rFonts w:hint="eastAsia" w:ascii="仿宋" w:hAnsi="仿宋" w:eastAsia="仿宋" w:cs="仿宋"/>
          <w:sz w:val="28"/>
          <w:szCs w:val="28"/>
          <w:lang w:val="en-US" w:eastAsia="zh-CN"/>
        </w:rPr>
        <w:t>钢结构，建筑</w:t>
      </w:r>
      <w:r>
        <w:rPr>
          <w:rFonts w:hint="eastAsia" w:ascii="仿宋" w:hAnsi="仿宋" w:eastAsia="仿宋" w:cs="仿宋"/>
          <w:sz w:val="28"/>
          <w:szCs w:val="28"/>
        </w:rPr>
        <w:t>面积为</w:t>
      </w:r>
      <w:r>
        <w:rPr>
          <w:rFonts w:hint="default" w:ascii="仿宋" w:hAnsi="仿宋" w:eastAsia="仿宋" w:cs="仿宋"/>
          <w:sz w:val="28"/>
          <w:szCs w:val="28"/>
          <w:lang w:val="en-US" w:eastAsia="zh-CN"/>
        </w:rPr>
        <w:t>558</w:t>
      </w:r>
      <w:r>
        <w:rPr>
          <w:rFonts w:hint="eastAsia" w:ascii="仿宋" w:hAnsi="仿宋" w:eastAsia="仿宋" w:cs="仿宋"/>
          <w:sz w:val="28"/>
          <w:szCs w:val="28"/>
          <w:lang w:val="en-US" w:eastAsia="zh-CN"/>
        </w:rPr>
        <w:t>m2</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地上1层</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w:t>
      </w:r>
    </w:p>
    <w:p>
      <w:pPr>
        <w:keepNext w:val="0"/>
        <w:keepLines w:val="0"/>
        <w:pageBreakBefore w:val="0"/>
        <w:numPr>
          <w:ilvl w:val="0"/>
          <w:numId w:val="1"/>
        </w:numPr>
        <w:kinsoku/>
        <w:wordWrap/>
        <w:overflowPunct/>
        <w:topLinePunct w:val="0"/>
        <w:bidi w:val="0"/>
        <w:snapToGrid/>
        <w:spacing w:line="240" w:lineRule="auto"/>
        <w:ind w:left="0" w:leftChars="0" w:firstLine="420" w:firstLineChars="0"/>
        <w:rPr>
          <w:rFonts w:hint="eastAsia" w:ascii="黑体" w:hAnsi="黑体" w:eastAsia="黑体" w:cs="黑体"/>
          <w:b/>
          <w:color w:val="000000"/>
          <w:sz w:val="28"/>
          <w:szCs w:val="28"/>
          <w:lang w:val="en-US" w:eastAsia="zh-CN"/>
        </w:rPr>
      </w:pPr>
      <w:r>
        <w:rPr>
          <w:rFonts w:hint="eastAsia" w:ascii="黑体" w:hAnsi="黑体" w:eastAsia="黑体" w:cs="黑体"/>
          <w:b/>
          <w:color w:val="000000"/>
          <w:sz w:val="28"/>
          <w:szCs w:val="28"/>
        </w:rPr>
        <w:t>编制</w:t>
      </w:r>
      <w:r>
        <w:rPr>
          <w:rFonts w:hint="eastAsia" w:ascii="黑体" w:hAnsi="黑体" w:eastAsia="黑体" w:cs="黑体"/>
          <w:b/>
          <w:color w:val="000000"/>
          <w:sz w:val="28"/>
          <w:szCs w:val="28"/>
          <w:lang w:val="en-US" w:eastAsia="zh-CN"/>
        </w:rPr>
        <w:t>范围</w:t>
      </w:r>
    </w:p>
    <w:p>
      <w:pPr>
        <w:keepNext w:val="0"/>
        <w:keepLines w:val="0"/>
        <w:pageBreakBefore w:val="0"/>
        <w:kinsoku/>
        <w:wordWrap/>
        <w:overflowPunct/>
        <w:topLinePunct w:val="0"/>
        <w:bidi w:val="0"/>
        <w:snapToGrid/>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设计图纸范围内的全部内容:无锡市第一中学食堂扩建项目土建及钢结构、玻璃幕墙、室外排水、无锡市第一中学食堂扩建项目电气、给排水、通风空调等，具体内容详见工程量清单，不含灯箱、广告</w:t>
      </w:r>
      <w:r>
        <w:rPr>
          <w:rFonts w:hint="eastAsia" w:ascii="仿宋" w:hAnsi="仿宋" w:eastAsia="仿宋" w:cs="仿宋"/>
          <w:sz w:val="28"/>
          <w:szCs w:val="28"/>
        </w:rPr>
        <w:t>。</w:t>
      </w:r>
    </w:p>
    <w:p>
      <w:pPr>
        <w:keepNext w:val="0"/>
        <w:keepLines w:val="0"/>
        <w:pageBreakBefore w:val="0"/>
        <w:numPr>
          <w:ilvl w:val="0"/>
          <w:numId w:val="1"/>
        </w:numPr>
        <w:kinsoku/>
        <w:wordWrap/>
        <w:overflowPunct/>
        <w:topLinePunct w:val="0"/>
        <w:bidi w:val="0"/>
        <w:snapToGrid/>
        <w:spacing w:line="240" w:lineRule="auto"/>
        <w:ind w:left="0" w:leftChars="0" w:firstLine="420" w:firstLineChars="0"/>
        <w:rPr>
          <w:rFonts w:hint="eastAsia" w:ascii="黑体" w:hAnsi="黑体" w:eastAsia="黑体" w:cs="黑体"/>
          <w:b/>
          <w:color w:val="000000"/>
          <w:sz w:val="28"/>
          <w:szCs w:val="28"/>
        </w:rPr>
      </w:pPr>
      <w:r>
        <w:rPr>
          <w:rFonts w:hint="eastAsia" w:ascii="黑体" w:hAnsi="黑体" w:eastAsia="黑体" w:cs="黑体"/>
          <w:b/>
          <w:color w:val="000000"/>
          <w:sz w:val="28"/>
          <w:szCs w:val="28"/>
        </w:rPr>
        <w:t>编制依据</w:t>
      </w:r>
    </w:p>
    <w:p>
      <w:pPr>
        <w:pStyle w:val="4"/>
        <w:keepNext w:val="0"/>
        <w:keepLines w:val="0"/>
        <w:widowControl/>
        <w:numPr>
          <w:ilvl w:val="0"/>
          <w:numId w:val="2"/>
        </w:numPr>
        <w:suppressLineNumbers w:val="0"/>
        <w:spacing w:before="0" w:beforeAutospacing="0" w:after="0" w:afterAutospacing="0"/>
        <w:ind w:left="420" w:leftChars="0" w:right="0" w:rightChars="0" w:firstLine="280" w:firstLineChars="100"/>
        <w:rPr>
          <w:rFonts w:hint="eastAsia" w:ascii="仿宋" w:hAnsi="仿宋" w:eastAsia="仿宋" w:cs="仿宋"/>
          <w:color w:val="000000"/>
          <w:sz w:val="28"/>
          <w:szCs w:val="28"/>
        </w:rPr>
      </w:pPr>
      <w:r>
        <w:rPr>
          <w:rFonts w:hint="eastAsia" w:ascii="仿宋" w:hAnsi="仿宋" w:eastAsia="仿宋" w:cs="仿宋"/>
          <w:color w:val="000000"/>
          <w:sz w:val="28"/>
          <w:szCs w:val="28"/>
        </w:rPr>
        <w:t>建设单位提供的由大洲设计咨询集团有限公司设计</w:t>
      </w:r>
      <w:r>
        <w:rPr>
          <w:rFonts w:hint="eastAsia" w:ascii="仿宋" w:hAnsi="仿宋" w:eastAsia="仿宋" w:cs="仿宋"/>
          <w:kern w:val="0"/>
          <w:sz w:val="28"/>
          <w:szCs w:val="28"/>
        </w:rPr>
        <w:t>的图纸</w:t>
      </w:r>
      <w:r>
        <w:rPr>
          <w:rFonts w:hint="eastAsia" w:ascii="仿宋" w:hAnsi="仿宋" w:eastAsia="仿宋" w:cs="仿宋"/>
          <w:color w:val="000000"/>
          <w:sz w:val="28"/>
          <w:szCs w:val="28"/>
        </w:rPr>
        <w:t>。</w:t>
      </w:r>
    </w:p>
    <w:p>
      <w:pPr>
        <w:keepNext w:val="0"/>
        <w:keepLines w:val="0"/>
        <w:pageBreakBefore w:val="0"/>
        <w:numPr>
          <w:ilvl w:val="0"/>
          <w:numId w:val="0"/>
        </w:numPr>
        <w:kinsoku/>
        <w:wordWrap/>
        <w:overflowPunct/>
        <w:topLinePunct w:val="0"/>
        <w:bidi w:val="0"/>
        <w:snapToGrid/>
        <w:spacing w:line="240" w:lineRule="auto"/>
        <w:ind w:left="400" w:leftChars="0" w:right="25" w:rightChars="12" w:firstLine="280" w:firstLineChars="100"/>
        <w:rPr>
          <w:rFonts w:hint="eastAsia" w:ascii="仿宋" w:hAnsi="仿宋" w:eastAsia="仿宋" w:cs="仿宋"/>
          <w:color w:val="000000"/>
          <w:sz w:val="28"/>
          <w:szCs w:val="28"/>
        </w:rPr>
      </w:pPr>
      <w:r>
        <w:rPr>
          <w:rFonts w:hint="default" w:ascii="仿宋" w:hAnsi="仿宋" w:eastAsia="仿宋" w:cs="仿宋"/>
          <w:sz w:val="28"/>
          <w:szCs w:val="28"/>
          <w:lang w:val="en-US"/>
        </w:rPr>
        <w:t>2</w:t>
      </w:r>
      <w:r>
        <w:rPr>
          <w:rFonts w:hint="eastAsia" w:ascii="仿宋" w:hAnsi="仿宋" w:eastAsia="仿宋" w:cs="仿宋"/>
          <w:sz w:val="28"/>
          <w:szCs w:val="28"/>
          <w:lang w:val="en-US" w:eastAsia="zh-CN"/>
        </w:rPr>
        <w:t>.</w:t>
      </w:r>
      <w:r>
        <w:rPr>
          <w:rFonts w:hint="eastAsia" w:ascii="仿宋" w:hAnsi="仿宋" w:eastAsia="仿宋" w:cs="仿宋"/>
          <w:sz w:val="28"/>
          <w:szCs w:val="28"/>
        </w:rPr>
        <w:t>《建设工程工程量清单计价</w:t>
      </w:r>
      <w:r>
        <w:rPr>
          <w:rFonts w:hint="eastAsia" w:ascii="仿宋" w:hAnsi="仿宋" w:eastAsia="仿宋" w:cs="仿宋"/>
          <w:sz w:val="28"/>
          <w:szCs w:val="28"/>
          <w:lang w:eastAsia="zh-CN"/>
        </w:rPr>
        <w:t>标准</w:t>
      </w:r>
      <w:r>
        <w:rPr>
          <w:rFonts w:hint="eastAsia" w:ascii="仿宋" w:hAnsi="仿宋" w:eastAsia="仿宋" w:cs="仿宋"/>
          <w:sz w:val="28"/>
          <w:szCs w:val="28"/>
        </w:rPr>
        <w:t>》（GB</w:t>
      </w:r>
      <w:r>
        <w:rPr>
          <w:rFonts w:hint="default" w:ascii="仿宋" w:hAnsi="仿宋" w:eastAsia="仿宋" w:cs="仿宋"/>
          <w:sz w:val="28"/>
          <w:szCs w:val="28"/>
          <w:lang w:val="en-US"/>
        </w:rPr>
        <w:t xml:space="preserve">/T </w:t>
      </w:r>
      <w:r>
        <w:rPr>
          <w:rFonts w:hint="eastAsia" w:ascii="仿宋" w:hAnsi="仿宋" w:eastAsia="仿宋" w:cs="仿宋"/>
          <w:sz w:val="28"/>
          <w:szCs w:val="28"/>
        </w:rPr>
        <w:t>50500-</w:t>
      </w:r>
      <w:r>
        <w:rPr>
          <w:rFonts w:hint="default" w:ascii="仿宋" w:hAnsi="仿宋" w:eastAsia="仿宋" w:cs="仿宋"/>
          <w:sz w:val="28"/>
          <w:szCs w:val="28"/>
          <w:lang w:val="en-US"/>
        </w:rPr>
        <w:t>2024</w:t>
      </w:r>
      <w:r>
        <w:rPr>
          <w:rFonts w:hint="eastAsia" w:ascii="仿宋" w:hAnsi="仿宋" w:eastAsia="仿宋" w:cs="仿宋"/>
          <w:sz w:val="28"/>
          <w:szCs w:val="28"/>
        </w:rPr>
        <w:t>）、《房屋建筑与装饰工程工程量计算</w:t>
      </w:r>
      <w:r>
        <w:rPr>
          <w:rFonts w:hint="eastAsia" w:ascii="仿宋" w:hAnsi="仿宋" w:eastAsia="仿宋" w:cs="仿宋"/>
          <w:sz w:val="28"/>
          <w:szCs w:val="28"/>
          <w:lang w:eastAsia="zh-CN"/>
        </w:rPr>
        <w:t>标准</w:t>
      </w:r>
      <w:r>
        <w:rPr>
          <w:rFonts w:hint="eastAsia" w:ascii="仿宋" w:hAnsi="仿宋" w:eastAsia="仿宋" w:cs="仿宋"/>
          <w:sz w:val="28"/>
          <w:szCs w:val="28"/>
        </w:rPr>
        <w:t>》（GB</w:t>
      </w:r>
      <w:r>
        <w:rPr>
          <w:rFonts w:hint="default" w:ascii="仿宋" w:hAnsi="仿宋" w:eastAsia="仿宋" w:cs="仿宋"/>
          <w:sz w:val="28"/>
          <w:szCs w:val="28"/>
          <w:lang w:val="en-US"/>
        </w:rPr>
        <w:t xml:space="preserve">/T </w:t>
      </w:r>
      <w:r>
        <w:rPr>
          <w:rFonts w:hint="eastAsia" w:ascii="仿宋" w:hAnsi="仿宋" w:eastAsia="仿宋" w:cs="仿宋"/>
          <w:sz w:val="28"/>
          <w:szCs w:val="28"/>
        </w:rPr>
        <w:t>50854-20</w:t>
      </w:r>
      <w:r>
        <w:rPr>
          <w:rFonts w:hint="default" w:ascii="仿宋" w:hAnsi="仿宋" w:eastAsia="仿宋" w:cs="仿宋"/>
          <w:sz w:val="28"/>
          <w:szCs w:val="28"/>
          <w:lang w:val="en-US"/>
        </w:rPr>
        <w:t>24</w:t>
      </w:r>
      <w:r>
        <w:rPr>
          <w:rFonts w:hint="eastAsia" w:ascii="仿宋" w:hAnsi="仿宋" w:eastAsia="仿宋" w:cs="仿宋"/>
          <w:sz w:val="28"/>
          <w:szCs w:val="28"/>
        </w:rPr>
        <w:t>）、《</w:t>
      </w:r>
      <w:r>
        <w:rPr>
          <w:rFonts w:hint="eastAsia" w:ascii="仿宋" w:hAnsi="仿宋" w:eastAsia="仿宋" w:cs="仿宋"/>
          <w:sz w:val="28"/>
          <w:szCs w:val="28"/>
          <w:lang w:val="en-US" w:eastAsia="zh-CN"/>
        </w:rPr>
        <w:t>市政</w:t>
      </w:r>
      <w:r>
        <w:rPr>
          <w:rFonts w:hint="eastAsia" w:ascii="仿宋" w:hAnsi="仿宋" w:eastAsia="仿宋" w:cs="仿宋"/>
          <w:sz w:val="28"/>
          <w:szCs w:val="28"/>
        </w:rPr>
        <w:t>工程工程量计算</w:t>
      </w:r>
      <w:r>
        <w:rPr>
          <w:rFonts w:hint="eastAsia" w:ascii="仿宋" w:hAnsi="仿宋" w:eastAsia="仿宋" w:cs="仿宋"/>
          <w:sz w:val="28"/>
          <w:szCs w:val="28"/>
          <w:lang w:eastAsia="zh-CN"/>
        </w:rPr>
        <w:t>标准</w:t>
      </w:r>
      <w:r>
        <w:rPr>
          <w:rFonts w:hint="eastAsia" w:ascii="仿宋" w:hAnsi="仿宋" w:eastAsia="仿宋" w:cs="仿宋"/>
          <w:sz w:val="28"/>
          <w:szCs w:val="28"/>
        </w:rPr>
        <w:t>》（GB</w:t>
      </w:r>
      <w:r>
        <w:rPr>
          <w:rFonts w:hint="default" w:ascii="仿宋" w:hAnsi="仿宋" w:eastAsia="仿宋" w:cs="仿宋"/>
          <w:sz w:val="28"/>
          <w:szCs w:val="28"/>
          <w:lang w:val="en-US"/>
        </w:rPr>
        <w:t xml:space="preserve">/T </w:t>
      </w:r>
      <w:r>
        <w:rPr>
          <w:rFonts w:hint="eastAsia" w:ascii="仿宋" w:hAnsi="仿宋" w:eastAsia="仿宋" w:cs="仿宋"/>
          <w:sz w:val="28"/>
          <w:szCs w:val="28"/>
        </w:rPr>
        <w:t>5085</w:t>
      </w:r>
      <w:r>
        <w:rPr>
          <w:rFonts w:hint="default" w:ascii="仿宋" w:hAnsi="仿宋" w:eastAsia="仿宋" w:cs="仿宋"/>
          <w:sz w:val="28"/>
          <w:szCs w:val="28"/>
          <w:lang w:val="en-US"/>
        </w:rPr>
        <w:t>7</w:t>
      </w:r>
      <w:r>
        <w:rPr>
          <w:rFonts w:hint="eastAsia" w:ascii="仿宋" w:hAnsi="仿宋" w:eastAsia="仿宋" w:cs="仿宋"/>
          <w:sz w:val="28"/>
          <w:szCs w:val="28"/>
        </w:rPr>
        <w:t>-20</w:t>
      </w:r>
      <w:r>
        <w:rPr>
          <w:rFonts w:hint="default" w:ascii="仿宋" w:hAnsi="仿宋" w:eastAsia="仿宋" w:cs="仿宋"/>
          <w:sz w:val="28"/>
          <w:szCs w:val="28"/>
          <w:lang w:val="en-US"/>
        </w:rPr>
        <w:t>24</w:t>
      </w:r>
      <w:r>
        <w:rPr>
          <w:rFonts w:hint="eastAsia" w:ascii="仿宋" w:hAnsi="仿宋" w:eastAsia="仿宋" w:cs="仿宋"/>
          <w:sz w:val="28"/>
          <w:szCs w:val="28"/>
        </w:rPr>
        <w:t>）、《</w:t>
      </w:r>
      <w:r>
        <w:rPr>
          <w:rFonts w:hint="eastAsia" w:ascii="仿宋" w:hAnsi="仿宋" w:eastAsia="仿宋" w:cs="仿宋"/>
          <w:sz w:val="28"/>
          <w:szCs w:val="28"/>
          <w:lang w:val="en-US" w:eastAsia="zh-CN"/>
        </w:rPr>
        <w:t>通用安装</w:t>
      </w:r>
      <w:r>
        <w:rPr>
          <w:rFonts w:hint="eastAsia" w:ascii="仿宋" w:hAnsi="仿宋" w:eastAsia="仿宋" w:cs="仿宋"/>
          <w:sz w:val="28"/>
          <w:szCs w:val="28"/>
        </w:rPr>
        <w:t>工程工程量计算</w:t>
      </w:r>
      <w:r>
        <w:rPr>
          <w:rFonts w:hint="eastAsia" w:ascii="仿宋" w:hAnsi="仿宋" w:eastAsia="仿宋" w:cs="仿宋"/>
          <w:sz w:val="28"/>
          <w:szCs w:val="28"/>
          <w:lang w:eastAsia="zh-CN"/>
        </w:rPr>
        <w:t>标准</w:t>
      </w:r>
      <w:r>
        <w:rPr>
          <w:rFonts w:hint="eastAsia" w:ascii="仿宋" w:hAnsi="仿宋" w:eastAsia="仿宋" w:cs="仿宋"/>
          <w:sz w:val="28"/>
          <w:szCs w:val="28"/>
        </w:rPr>
        <w:t>》（GB</w:t>
      </w:r>
      <w:r>
        <w:rPr>
          <w:rFonts w:hint="default" w:ascii="仿宋" w:hAnsi="仿宋" w:eastAsia="仿宋" w:cs="仿宋"/>
          <w:sz w:val="28"/>
          <w:szCs w:val="28"/>
          <w:lang w:val="en-US"/>
        </w:rPr>
        <w:t xml:space="preserve">/T </w:t>
      </w:r>
      <w:r>
        <w:rPr>
          <w:rFonts w:hint="eastAsia" w:ascii="仿宋" w:hAnsi="仿宋" w:eastAsia="仿宋" w:cs="仿宋"/>
          <w:sz w:val="28"/>
          <w:szCs w:val="28"/>
        </w:rPr>
        <w:t>5085</w:t>
      </w:r>
      <w:r>
        <w:rPr>
          <w:rFonts w:hint="default" w:ascii="仿宋" w:hAnsi="仿宋" w:eastAsia="仿宋" w:cs="仿宋"/>
          <w:sz w:val="28"/>
          <w:szCs w:val="28"/>
          <w:lang w:val="en-US"/>
        </w:rPr>
        <w:t>6</w:t>
      </w:r>
      <w:r>
        <w:rPr>
          <w:rFonts w:hint="eastAsia" w:ascii="仿宋" w:hAnsi="仿宋" w:eastAsia="仿宋" w:cs="仿宋"/>
          <w:sz w:val="28"/>
          <w:szCs w:val="28"/>
        </w:rPr>
        <w:t>-20</w:t>
      </w:r>
      <w:r>
        <w:rPr>
          <w:rFonts w:hint="default" w:ascii="仿宋" w:hAnsi="仿宋" w:eastAsia="仿宋" w:cs="仿宋"/>
          <w:sz w:val="28"/>
          <w:szCs w:val="28"/>
          <w:lang w:val="en-US"/>
        </w:rPr>
        <w:t>24</w:t>
      </w:r>
      <w:r>
        <w:rPr>
          <w:rFonts w:hint="eastAsia" w:ascii="仿宋" w:hAnsi="仿宋" w:eastAsia="仿宋" w:cs="仿宋"/>
          <w:sz w:val="28"/>
          <w:szCs w:val="28"/>
        </w:rPr>
        <w:t>）、《江苏省建筑与装饰工程</w:t>
      </w:r>
      <w:r>
        <w:rPr>
          <w:rFonts w:hint="eastAsia" w:ascii="仿宋" w:hAnsi="仿宋" w:eastAsia="仿宋" w:cs="仿宋"/>
          <w:sz w:val="28"/>
          <w:szCs w:val="28"/>
          <w:lang w:eastAsia="zh-CN"/>
        </w:rPr>
        <w:t>消耗量</w:t>
      </w:r>
      <w:r>
        <w:rPr>
          <w:rFonts w:hint="eastAsia" w:ascii="仿宋" w:hAnsi="仿宋" w:eastAsia="仿宋" w:cs="仿宋"/>
          <w:sz w:val="28"/>
          <w:szCs w:val="28"/>
        </w:rPr>
        <w:t>》（20</w:t>
      </w:r>
      <w:r>
        <w:rPr>
          <w:rFonts w:hint="default" w:ascii="仿宋" w:hAnsi="仿宋" w:eastAsia="仿宋" w:cs="仿宋"/>
          <w:sz w:val="28"/>
          <w:szCs w:val="28"/>
          <w:lang w:val="en-US"/>
        </w:rPr>
        <w:t>26</w:t>
      </w:r>
      <w:r>
        <w:rPr>
          <w:rFonts w:hint="eastAsia" w:ascii="仿宋" w:hAnsi="仿宋" w:eastAsia="仿宋" w:cs="仿宋"/>
          <w:sz w:val="28"/>
          <w:szCs w:val="28"/>
        </w:rPr>
        <w:t>版）、《江苏省</w:t>
      </w:r>
      <w:r>
        <w:rPr>
          <w:rFonts w:hint="eastAsia" w:ascii="仿宋" w:hAnsi="仿宋" w:eastAsia="仿宋" w:cs="仿宋"/>
          <w:sz w:val="28"/>
          <w:szCs w:val="28"/>
          <w:lang w:val="en-US" w:eastAsia="zh-CN"/>
        </w:rPr>
        <w:t>市政</w:t>
      </w:r>
      <w:r>
        <w:rPr>
          <w:rFonts w:hint="eastAsia" w:ascii="仿宋" w:hAnsi="仿宋" w:eastAsia="仿宋" w:cs="仿宋"/>
          <w:sz w:val="28"/>
          <w:szCs w:val="28"/>
        </w:rPr>
        <w:t>工程</w:t>
      </w:r>
      <w:r>
        <w:rPr>
          <w:rFonts w:hint="eastAsia" w:ascii="仿宋" w:hAnsi="仿宋" w:eastAsia="仿宋" w:cs="仿宋"/>
          <w:sz w:val="28"/>
          <w:szCs w:val="28"/>
          <w:lang w:eastAsia="zh-CN"/>
        </w:rPr>
        <w:t>消耗量</w:t>
      </w:r>
      <w:r>
        <w:rPr>
          <w:rFonts w:hint="eastAsia" w:ascii="仿宋" w:hAnsi="仿宋" w:eastAsia="仿宋" w:cs="仿宋"/>
          <w:sz w:val="28"/>
          <w:szCs w:val="28"/>
        </w:rPr>
        <w:t>》（20</w:t>
      </w:r>
      <w:r>
        <w:rPr>
          <w:rFonts w:hint="default" w:ascii="仿宋" w:hAnsi="仿宋" w:eastAsia="仿宋" w:cs="仿宋"/>
          <w:sz w:val="28"/>
          <w:szCs w:val="28"/>
          <w:lang w:val="en-US"/>
        </w:rPr>
        <w:t>26</w:t>
      </w:r>
      <w:r>
        <w:rPr>
          <w:rFonts w:hint="eastAsia" w:ascii="仿宋" w:hAnsi="仿宋" w:eastAsia="仿宋" w:cs="仿宋"/>
          <w:sz w:val="28"/>
          <w:szCs w:val="28"/>
        </w:rPr>
        <w:t>版）</w:t>
      </w:r>
      <w:r>
        <w:rPr>
          <w:rFonts w:hint="eastAsia" w:ascii="仿宋" w:hAnsi="仿宋" w:eastAsia="仿宋" w:cs="仿宋"/>
          <w:sz w:val="28"/>
          <w:szCs w:val="28"/>
          <w:lang w:eastAsia="zh-CN"/>
        </w:rPr>
        <w:t>、</w:t>
      </w:r>
      <w:r>
        <w:rPr>
          <w:rFonts w:hint="eastAsia" w:ascii="仿宋" w:hAnsi="仿宋" w:eastAsia="仿宋" w:cs="仿宋"/>
          <w:sz w:val="28"/>
          <w:szCs w:val="28"/>
        </w:rPr>
        <w:t>《江苏省</w:t>
      </w:r>
      <w:r>
        <w:rPr>
          <w:rFonts w:hint="eastAsia" w:ascii="仿宋" w:hAnsi="仿宋" w:eastAsia="仿宋" w:cs="仿宋"/>
          <w:sz w:val="28"/>
          <w:szCs w:val="28"/>
          <w:lang w:val="en-US" w:eastAsia="zh-CN"/>
        </w:rPr>
        <w:t>通用安装</w:t>
      </w:r>
      <w:r>
        <w:rPr>
          <w:rFonts w:hint="eastAsia" w:ascii="仿宋" w:hAnsi="仿宋" w:eastAsia="仿宋" w:cs="仿宋"/>
          <w:sz w:val="28"/>
          <w:szCs w:val="28"/>
        </w:rPr>
        <w:t>工程</w:t>
      </w:r>
      <w:r>
        <w:rPr>
          <w:rFonts w:hint="eastAsia" w:ascii="仿宋" w:hAnsi="仿宋" w:eastAsia="仿宋" w:cs="仿宋"/>
          <w:sz w:val="28"/>
          <w:szCs w:val="28"/>
          <w:lang w:eastAsia="zh-CN"/>
        </w:rPr>
        <w:t>消耗量</w:t>
      </w:r>
      <w:r>
        <w:rPr>
          <w:rFonts w:hint="eastAsia" w:ascii="仿宋" w:hAnsi="仿宋" w:eastAsia="仿宋" w:cs="仿宋"/>
          <w:sz w:val="28"/>
          <w:szCs w:val="28"/>
        </w:rPr>
        <w:t>》（20</w:t>
      </w:r>
      <w:r>
        <w:rPr>
          <w:rFonts w:hint="default" w:ascii="仿宋" w:hAnsi="仿宋" w:eastAsia="仿宋" w:cs="仿宋"/>
          <w:sz w:val="28"/>
          <w:szCs w:val="28"/>
          <w:lang w:val="en-US"/>
        </w:rPr>
        <w:t>26</w:t>
      </w:r>
      <w:r>
        <w:rPr>
          <w:rFonts w:hint="eastAsia" w:ascii="仿宋" w:hAnsi="仿宋" w:eastAsia="仿宋" w:cs="仿宋"/>
          <w:sz w:val="28"/>
          <w:szCs w:val="28"/>
        </w:rPr>
        <w:t>版）</w:t>
      </w:r>
      <w:r>
        <w:rPr>
          <w:rFonts w:hint="eastAsia" w:ascii="仿宋" w:hAnsi="仿宋" w:eastAsia="仿宋" w:cs="仿宋"/>
          <w:sz w:val="28"/>
          <w:szCs w:val="28"/>
          <w:lang w:eastAsia="zh-CN"/>
        </w:rPr>
        <w:t>、</w:t>
      </w:r>
      <w:r>
        <w:rPr>
          <w:rFonts w:hint="eastAsia" w:ascii="仿宋" w:hAnsi="仿宋" w:eastAsia="仿宋" w:cs="仿宋"/>
          <w:sz w:val="28"/>
          <w:szCs w:val="28"/>
        </w:rPr>
        <w:t>《江苏省建设工程费用</w:t>
      </w:r>
      <w:r>
        <w:rPr>
          <w:rFonts w:hint="eastAsia" w:ascii="仿宋" w:hAnsi="仿宋" w:eastAsia="仿宋" w:cs="仿宋"/>
          <w:sz w:val="28"/>
          <w:szCs w:val="28"/>
          <w:lang w:eastAsia="zh-CN"/>
        </w:rPr>
        <w:t>参考</w:t>
      </w:r>
      <w:r>
        <w:rPr>
          <w:rFonts w:hint="eastAsia" w:ascii="仿宋" w:hAnsi="仿宋" w:eastAsia="仿宋" w:cs="仿宋"/>
          <w:sz w:val="28"/>
          <w:szCs w:val="28"/>
        </w:rPr>
        <w:t>》（</w:t>
      </w:r>
      <w:r>
        <w:rPr>
          <w:rFonts w:hint="default" w:ascii="仿宋" w:hAnsi="仿宋" w:eastAsia="仿宋" w:cs="仿宋"/>
          <w:sz w:val="28"/>
          <w:szCs w:val="28"/>
          <w:lang w:val="en-US"/>
        </w:rPr>
        <w:t>2026</w:t>
      </w:r>
      <w:r>
        <w:rPr>
          <w:rFonts w:hint="eastAsia" w:ascii="仿宋" w:hAnsi="仿宋" w:eastAsia="仿宋" w:cs="仿宋"/>
          <w:sz w:val="28"/>
          <w:szCs w:val="28"/>
        </w:rPr>
        <w:t>）以及其它相关文件</w:t>
      </w:r>
      <w:r>
        <w:rPr>
          <w:rFonts w:hint="eastAsia" w:ascii="仿宋" w:hAnsi="仿宋" w:eastAsia="仿宋" w:cs="仿宋"/>
          <w:color w:val="000000"/>
          <w:sz w:val="28"/>
          <w:szCs w:val="28"/>
        </w:rPr>
        <w:t>。</w:t>
      </w:r>
    </w:p>
    <w:p>
      <w:pPr>
        <w:keepNext w:val="0"/>
        <w:keepLines w:val="0"/>
        <w:pageBreakBefore w:val="0"/>
        <w:numPr>
          <w:ilvl w:val="0"/>
          <w:numId w:val="0"/>
        </w:numPr>
        <w:kinsoku/>
        <w:wordWrap/>
        <w:overflowPunct/>
        <w:topLinePunct w:val="0"/>
        <w:bidi w:val="0"/>
        <w:snapToGrid/>
        <w:spacing w:line="240" w:lineRule="auto"/>
        <w:ind w:left="400" w:leftChars="0" w:right="25" w:rightChars="12" w:firstLine="280" w:firstLineChars="100"/>
        <w:rPr>
          <w:rFonts w:hint="eastAsia" w:ascii="仿宋" w:hAnsi="仿宋" w:eastAsia="仿宋" w:cs="仿宋"/>
          <w:color w:val="000000"/>
          <w:sz w:val="28"/>
          <w:szCs w:val="28"/>
        </w:rPr>
      </w:pPr>
      <w:r>
        <w:rPr>
          <w:rFonts w:hint="default" w:ascii="仿宋" w:hAnsi="仿宋" w:eastAsia="仿宋" w:cs="仿宋"/>
          <w:color w:val="000000"/>
          <w:sz w:val="28"/>
          <w:szCs w:val="28"/>
          <w:lang w:val="en-US"/>
        </w:rPr>
        <w:t xml:space="preserve">3. </w:t>
      </w:r>
      <w:r>
        <w:rPr>
          <w:rFonts w:hint="eastAsia" w:ascii="仿宋" w:hAnsi="仿宋" w:eastAsia="仿宋" w:cs="仿宋"/>
          <w:color w:val="000000"/>
          <w:sz w:val="28"/>
          <w:szCs w:val="28"/>
        </w:rPr>
        <w:t>施工规范按照现行的建筑与安装工程施工规范和操作规程。</w:t>
      </w:r>
    </w:p>
    <w:p>
      <w:pPr>
        <w:keepNext w:val="0"/>
        <w:keepLines w:val="0"/>
        <w:pageBreakBefore w:val="0"/>
        <w:numPr>
          <w:ilvl w:val="0"/>
          <w:numId w:val="1"/>
        </w:numPr>
        <w:kinsoku/>
        <w:wordWrap/>
        <w:overflowPunct/>
        <w:topLinePunct w:val="0"/>
        <w:bidi w:val="0"/>
        <w:snapToGrid/>
        <w:spacing w:line="240" w:lineRule="auto"/>
        <w:ind w:left="0" w:leftChars="0" w:firstLine="420" w:firstLineChars="0"/>
        <w:rPr>
          <w:rFonts w:hint="eastAsia" w:ascii="黑体" w:hAnsi="黑体" w:eastAsia="黑体" w:cs="黑体"/>
          <w:b/>
          <w:color w:val="000000"/>
          <w:sz w:val="28"/>
          <w:szCs w:val="28"/>
        </w:rPr>
      </w:pPr>
      <w:r>
        <w:rPr>
          <w:rFonts w:hint="eastAsia" w:ascii="黑体" w:hAnsi="黑体" w:eastAsia="黑体" w:cs="黑体"/>
          <w:b/>
          <w:color w:val="000000"/>
          <w:sz w:val="28"/>
          <w:szCs w:val="28"/>
        </w:rPr>
        <w:t>工程质量：</w:t>
      </w:r>
      <w:r>
        <w:rPr>
          <w:rFonts w:hint="eastAsia" w:ascii="仿宋" w:hAnsi="仿宋" w:eastAsia="仿宋" w:cs="仿宋"/>
          <w:color w:val="000000"/>
          <w:sz w:val="28"/>
          <w:szCs w:val="28"/>
        </w:rPr>
        <w:t>合格。</w:t>
      </w:r>
    </w:p>
    <w:p>
      <w:pPr>
        <w:keepNext w:val="0"/>
        <w:keepLines w:val="0"/>
        <w:pageBreakBefore w:val="0"/>
        <w:numPr>
          <w:ilvl w:val="0"/>
          <w:numId w:val="1"/>
        </w:numPr>
        <w:kinsoku/>
        <w:wordWrap/>
        <w:overflowPunct/>
        <w:topLinePunct w:val="0"/>
        <w:bidi w:val="0"/>
        <w:snapToGrid/>
        <w:spacing w:line="240" w:lineRule="auto"/>
        <w:ind w:left="0" w:leftChars="0" w:firstLine="420" w:firstLineChars="0"/>
        <w:rPr>
          <w:rFonts w:hint="eastAsia" w:ascii="黑体" w:hAnsi="黑体" w:eastAsia="黑体" w:cs="黑体"/>
          <w:b/>
          <w:color w:val="000000"/>
          <w:sz w:val="28"/>
          <w:szCs w:val="28"/>
        </w:rPr>
      </w:pPr>
      <w:r>
        <w:rPr>
          <w:rFonts w:hint="eastAsia" w:ascii="黑体" w:hAnsi="黑体" w:eastAsia="黑体" w:cs="黑体"/>
          <w:b/>
          <w:color w:val="000000"/>
          <w:sz w:val="28"/>
          <w:szCs w:val="28"/>
        </w:rPr>
        <w:t>编制说明</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本工程混凝土均采用商品混凝土，混凝土强度等级详见各清单，泵送与非泵送投标人自行考虑</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投标人应充分考虑施工降（排）水、大型机械施工进出场（安拆）费、施工便道等技术措施，相应费用计入技术措施费中，并充分考虑报价风险，今后结算不再增加</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公共及协调费用（如交通、路政、市容、环保、噪音、排污、治安等费用以及因施工原因引起的相关部门应交纳费用）由投标人自行调研作为单项费用计入措施项目费中，否则视作优惠</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本工程施工时需保证居民及人员车辆的安全通行，保证临近建筑、地下各类非改造项目管线、绿地、花木等设施不受破坏</w:t>
      </w:r>
      <w:r>
        <w:rPr>
          <w:rFonts w:hint="eastAsia" w:ascii="仿宋" w:hAnsi="仿宋" w:eastAsia="仿宋" w:cs="仿宋"/>
          <w:sz w:val="28"/>
          <w:szCs w:val="28"/>
          <w:lang w:eastAsia="zh-CN"/>
        </w:rPr>
        <w:t>，</w:t>
      </w:r>
      <w:r>
        <w:rPr>
          <w:rFonts w:hint="eastAsia" w:ascii="仿宋" w:hAnsi="仿宋" w:eastAsia="仿宋" w:cs="仿宋"/>
          <w:sz w:val="28"/>
          <w:szCs w:val="28"/>
        </w:rPr>
        <w:t>如施工破坏现有建、构筑物，施工方应自行将其恢复原状，费用不另行计算。</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投标人应结合工程地理位置，充分考虑因区域限制、施工受行车、行人、时间段等干扰、降效、施工现场安全围护费、</w:t>
      </w:r>
      <w:r>
        <w:rPr>
          <w:rFonts w:hint="eastAsia" w:ascii="仿宋" w:hAnsi="仿宋" w:eastAsia="仿宋" w:cs="仿宋"/>
          <w:sz w:val="28"/>
          <w:szCs w:val="28"/>
          <w:highlight w:val="yellow"/>
        </w:rPr>
        <w:t>可能发生的材料二次搬运费</w:t>
      </w:r>
      <w:r>
        <w:rPr>
          <w:rFonts w:hint="eastAsia" w:ascii="仿宋" w:hAnsi="仿宋" w:eastAsia="仿宋" w:cs="仿宋"/>
          <w:sz w:val="28"/>
          <w:szCs w:val="28"/>
        </w:rPr>
        <w:t>及交叉、各专业衔接施工增加的费用等等，</w:t>
      </w:r>
      <w:r>
        <w:rPr>
          <w:rFonts w:hint="eastAsia" w:ascii="仿宋" w:hAnsi="仿宋" w:eastAsia="仿宋" w:cs="仿宋"/>
          <w:sz w:val="28"/>
          <w:szCs w:val="28"/>
          <w:highlight w:val="yellow"/>
        </w:rPr>
        <w:t>由投标人在报价中综合考虑</w:t>
      </w:r>
      <w:r>
        <w:rPr>
          <w:rFonts w:hint="eastAsia" w:ascii="仿宋" w:hAnsi="仿宋" w:eastAsia="仿宋" w:cs="仿宋"/>
          <w:sz w:val="28"/>
          <w:szCs w:val="28"/>
        </w:rPr>
        <w:t>，</w:t>
      </w:r>
      <w:r>
        <w:rPr>
          <w:rFonts w:hint="eastAsia" w:ascii="仿宋" w:hAnsi="仿宋" w:eastAsia="仿宋" w:cs="仿宋"/>
          <w:sz w:val="28"/>
          <w:szCs w:val="28"/>
          <w:lang w:val="en-US" w:eastAsia="zh-CN"/>
        </w:rPr>
        <w:t>如</w:t>
      </w:r>
      <w:r>
        <w:rPr>
          <w:rFonts w:hint="eastAsia" w:ascii="仿宋" w:hAnsi="仿宋" w:eastAsia="仿宋" w:cs="仿宋"/>
          <w:sz w:val="28"/>
          <w:szCs w:val="28"/>
        </w:rPr>
        <w:t>产生的相关费用计入相关措施清单项目投标报价内</w:t>
      </w:r>
      <w:r>
        <w:rPr>
          <w:rFonts w:hint="eastAsia" w:ascii="仿宋" w:hAnsi="仿宋" w:eastAsia="仿宋" w:cs="仿宋"/>
          <w:sz w:val="28"/>
          <w:szCs w:val="28"/>
          <w:lang w:val="en-US" w:eastAsia="zh-CN"/>
        </w:rPr>
        <w:t>的</w:t>
      </w:r>
      <w:r>
        <w:rPr>
          <w:rFonts w:hint="eastAsia" w:ascii="仿宋" w:hAnsi="仿宋" w:eastAsia="仿宋" w:cs="仿宋"/>
          <w:sz w:val="28"/>
          <w:szCs w:val="28"/>
        </w:rPr>
        <w:t>，结算时费率</w:t>
      </w:r>
      <w:r>
        <w:rPr>
          <w:rFonts w:hint="eastAsia" w:ascii="仿宋" w:hAnsi="仿宋" w:eastAsia="仿宋" w:cs="仿宋"/>
          <w:sz w:val="28"/>
          <w:szCs w:val="28"/>
          <w:lang w:val="en-US" w:eastAsia="zh-CN"/>
        </w:rPr>
        <w:t>亦</w:t>
      </w:r>
      <w:r>
        <w:rPr>
          <w:rFonts w:hint="eastAsia" w:ascii="仿宋" w:hAnsi="仿宋" w:eastAsia="仿宋" w:cs="仿宋"/>
          <w:sz w:val="28"/>
          <w:szCs w:val="28"/>
        </w:rPr>
        <w:t>不</w:t>
      </w:r>
      <w:r>
        <w:rPr>
          <w:rFonts w:hint="eastAsia" w:ascii="仿宋" w:hAnsi="仿宋" w:eastAsia="仿宋" w:cs="仿宋"/>
          <w:sz w:val="28"/>
          <w:szCs w:val="28"/>
          <w:lang w:val="en-US" w:eastAsia="zh-CN"/>
        </w:rPr>
        <w:t>作</w:t>
      </w:r>
      <w:r>
        <w:rPr>
          <w:rFonts w:hint="eastAsia" w:ascii="仿宋" w:hAnsi="仿宋" w:eastAsia="仿宋" w:cs="仿宋"/>
          <w:sz w:val="28"/>
          <w:szCs w:val="28"/>
        </w:rPr>
        <w:t>调整</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投标人应先到需施工的现场踏勘以充分了解其施工环境，工地位置及任何其他足以影响承包价及工期的情况，招标人对于现有的施工环境及条件将不增加任何投入，请投标人自行考虑并计入投标价内</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投标人必须做到文明施工，施工中做好满足相关职能部门要求的安全围护围挡，由此而产生的费用（包括施工便道及围挡），应考虑充分考虑该费用并计入报价</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本工程依据江苏省住房和城乡建设厅[2019]第19号文《省住房城乡建设厅关于建筑工人实名制费用计取方法的公告》按规定计取了建筑工人实名制费用，中标单位应在施工过程中按照相关规定和经业主、监理、跟踪审计确认过的施工方案加装相关设备及管理流程并经以上单位确认施工，否则该费用在结算审核时不予计取</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投标人应充分考虑施工过程中产生的</w:t>
      </w:r>
      <w:r>
        <w:rPr>
          <w:rFonts w:hint="eastAsia" w:ascii="仿宋" w:hAnsi="仿宋" w:eastAsia="仿宋" w:cs="仿宋"/>
          <w:sz w:val="28"/>
          <w:szCs w:val="28"/>
          <w:lang w:val="en-US" w:eastAsia="zh-CN"/>
        </w:rPr>
        <w:t>泥浆处理、</w:t>
      </w:r>
      <w:r>
        <w:rPr>
          <w:rFonts w:hint="eastAsia" w:ascii="仿宋" w:hAnsi="仿宋" w:eastAsia="仿宋" w:cs="仿宋"/>
          <w:sz w:val="28"/>
          <w:szCs w:val="28"/>
        </w:rPr>
        <w:t>垃圾清理、短驳、装车、外运、处置等工作量，外运距离由投标单位自行考虑，中标价不因上述因素予以调整</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清单中项目特征、工作内容未描述详尽的，投标人应结合图纸主要工艺施工技术说明及（20</w:t>
      </w:r>
      <w:r>
        <w:rPr>
          <w:rFonts w:hint="default" w:ascii="仿宋" w:hAnsi="仿宋" w:eastAsia="仿宋" w:cs="仿宋"/>
          <w:sz w:val="28"/>
          <w:szCs w:val="28"/>
          <w:lang w:val="en-US"/>
        </w:rPr>
        <w:t>24</w:t>
      </w:r>
      <w:r>
        <w:rPr>
          <w:rFonts w:hint="eastAsia" w:ascii="仿宋" w:hAnsi="仿宋" w:eastAsia="仿宋" w:cs="仿宋"/>
          <w:sz w:val="28"/>
          <w:szCs w:val="28"/>
        </w:rPr>
        <w:t>）计价规范中注明的工程内容，并应当综合考虑施工规范、地方规章</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现场实际情况（土建和装饰界面划分）</w:t>
      </w:r>
      <w:r>
        <w:rPr>
          <w:rFonts w:hint="eastAsia" w:ascii="仿宋" w:hAnsi="仿宋" w:eastAsia="仿宋" w:cs="仿宋"/>
          <w:sz w:val="28"/>
          <w:szCs w:val="28"/>
        </w:rPr>
        <w:t>等要求，所产生的费用计入投标报价中；承包人在报价时须充分考虑“主要工艺”和“工程内容”而产生的费用，计入相应的报价中</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投标人可根据施工组织设计采用的方案调整总价措施项目清单的金额，投标报价应满足规范及地方有关规定的要求，所发生的费用计入报价中</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特种垃圾处理费由投标人自行考虑并计入综合单价中，今后结算不再增加</w:t>
      </w:r>
      <w:r>
        <w:rPr>
          <w:rFonts w:hint="eastAsia" w:ascii="仿宋" w:hAnsi="仿宋" w:eastAsia="仿宋" w:cs="仿宋"/>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rPr>
      </w:pPr>
      <w:r>
        <w:rPr>
          <w:rFonts w:hint="eastAsia" w:ascii="仿宋" w:hAnsi="仿宋" w:eastAsia="仿宋" w:cs="仿宋"/>
          <w:color w:val="000000"/>
          <w:sz w:val="28"/>
          <w:szCs w:val="28"/>
        </w:rPr>
        <w:t>工程的接水、接电费用由投标人探勘现场，计入投标报价，结算时不作调整</w:t>
      </w:r>
      <w:r>
        <w:rPr>
          <w:rFonts w:hint="eastAsia" w:ascii="仿宋" w:hAnsi="仿宋" w:eastAsia="仿宋" w:cs="仿宋"/>
          <w:color w:val="000000"/>
          <w:sz w:val="28"/>
          <w:szCs w:val="28"/>
          <w:lang w:eastAsia="zh-CN"/>
        </w:rPr>
        <w:t>。</w:t>
      </w:r>
    </w:p>
    <w:p>
      <w:pPr>
        <w:pStyle w:val="9"/>
        <w:keepNext w:val="0"/>
        <w:keepLines w:val="0"/>
        <w:pageBreakBefore w:val="0"/>
        <w:widowControl w:val="0"/>
        <w:numPr>
          <w:ilvl w:val="0"/>
          <w:numId w:val="3"/>
        </w:numPr>
        <w:tabs>
          <w:tab w:val="left" w:pos="1260"/>
        </w:tabs>
        <w:kinsoku/>
        <w:wordWrap/>
        <w:overflowPunct/>
        <w:topLinePunct w:val="0"/>
        <w:autoSpaceDE w:val="0"/>
        <w:autoSpaceDN w:val="0"/>
        <w:bidi w:val="0"/>
        <w:adjustRightInd w:val="0"/>
        <w:snapToGrid/>
        <w:spacing w:line="240" w:lineRule="auto"/>
        <w:ind w:left="0" w:leftChars="0" w:firstLine="400" w:firstLineChars="0"/>
        <w:jc w:val="left"/>
        <w:textAlignment w:val="auto"/>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t>工程施工</w:t>
      </w:r>
      <w:r>
        <w:rPr>
          <w:rFonts w:hint="eastAsia" w:ascii="仿宋" w:hAnsi="仿宋" w:eastAsia="仿宋" w:cs="仿宋"/>
          <w:color w:val="auto"/>
          <w:sz w:val="28"/>
          <w:szCs w:val="28"/>
          <w:highlight w:val="none"/>
          <w:lang w:val="en-US" w:eastAsia="zh-CN"/>
        </w:rPr>
        <w:t>时</w:t>
      </w:r>
      <w:r>
        <w:rPr>
          <w:rFonts w:hint="eastAsia" w:ascii="仿宋" w:hAnsi="仿宋" w:eastAsia="仿宋" w:cs="仿宋"/>
          <w:color w:val="auto"/>
          <w:sz w:val="28"/>
          <w:szCs w:val="28"/>
          <w:highlight w:val="none"/>
        </w:rPr>
        <w:t>，承包人对已完工程及设备保护费用自行考虑</w:t>
      </w:r>
      <w:r>
        <w:rPr>
          <w:rFonts w:hint="eastAsia" w:ascii="仿宋" w:hAnsi="仿宋" w:eastAsia="仿宋" w:cs="仿宋"/>
          <w:sz w:val="28"/>
          <w:szCs w:val="28"/>
          <w:highlight w:val="none"/>
        </w:rPr>
        <w:t>，计入相应的报价中</w:t>
      </w:r>
      <w:r>
        <w:rPr>
          <w:rFonts w:hint="eastAsia" w:ascii="仿宋" w:hAnsi="仿宋" w:eastAsia="仿宋" w:cs="仿宋"/>
          <w:sz w:val="28"/>
          <w:szCs w:val="28"/>
          <w:highlight w:val="none"/>
          <w:lang w:eastAsia="zh-CN"/>
        </w:rPr>
        <w:t>。</w:t>
      </w:r>
    </w:p>
    <w:p>
      <w:pPr>
        <w:keepNext w:val="0"/>
        <w:keepLines w:val="0"/>
        <w:pageBreakBefore w:val="0"/>
        <w:numPr>
          <w:ilvl w:val="0"/>
          <w:numId w:val="0"/>
        </w:numPr>
        <w:kinsoku/>
        <w:wordWrap/>
        <w:overflowPunct/>
        <w:topLinePunct w:val="0"/>
        <w:bidi w:val="0"/>
        <w:snapToGrid/>
        <w:spacing w:line="240" w:lineRule="auto"/>
        <w:ind w:left="400" w:leftChars="0" w:right="25" w:rightChars="12"/>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1</w:t>
      </w:r>
      <w:r>
        <w:rPr>
          <w:rFonts w:hint="default" w:ascii="仿宋" w:hAnsi="仿宋" w:eastAsia="仿宋" w:cs="仿宋"/>
          <w:color w:val="000000"/>
          <w:sz w:val="28"/>
          <w:szCs w:val="28"/>
          <w:lang w:val="en-US" w:eastAsia="zh-CN"/>
        </w:rPr>
        <w:t>5</w:t>
      </w:r>
      <w:r>
        <w:rPr>
          <w:rFonts w:hint="eastAsia" w:ascii="仿宋" w:hAnsi="仿宋" w:eastAsia="仿宋" w:cs="仿宋"/>
          <w:color w:val="000000"/>
          <w:sz w:val="28"/>
          <w:szCs w:val="28"/>
          <w:lang w:val="en-US" w:eastAsia="zh-CN"/>
        </w:rPr>
        <w:t>、</w:t>
      </w:r>
      <w:r>
        <w:rPr>
          <w:rFonts w:hint="eastAsia" w:ascii="仿宋" w:hAnsi="仿宋" w:eastAsia="仿宋" w:cs="仿宋"/>
          <w:color w:val="000000"/>
          <w:sz w:val="28"/>
          <w:szCs w:val="28"/>
        </w:rPr>
        <w:t>本工程量清单应与招标文件、投标须知、施工图纸、工程规范、清单计价规范及相关文件等一起使用</w:t>
      </w:r>
      <w:r>
        <w:rPr>
          <w:rFonts w:hint="eastAsia" w:ascii="仿宋" w:hAnsi="仿宋" w:eastAsia="仿宋" w:cs="仿宋"/>
          <w:color w:val="000000"/>
          <w:sz w:val="28"/>
          <w:szCs w:val="28"/>
          <w:lang w:eastAsia="zh-CN"/>
        </w:rPr>
        <w:t>。</w:t>
      </w:r>
    </w:p>
    <w:p>
      <w:pPr>
        <w:keepNext w:val="0"/>
        <w:keepLines w:val="0"/>
        <w:pageBreakBefore w:val="0"/>
        <w:numPr>
          <w:ilvl w:val="0"/>
          <w:numId w:val="0"/>
        </w:numPr>
        <w:kinsoku/>
        <w:wordWrap/>
        <w:overflowPunct/>
        <w:topLinePunct w:val="0"/>
        <w:bidi w:val="0"/>
        <w:snapToGrid/>
        <w:spacing w:line="240" w:lineRule="auto"/>
        <w:ind w:left="400" w:leftChars="0" w:right="25" w:rightChars="12"/>
        <w:rPr>
          <w:rFonts w:hint="eastAsia" w:ascii="仿宋" w:hAnsi="仿宋" w:eastAsia="仿宋" w:cs="仿宋"/>
          <w:color w:val="000000"/>
          <w:sz w:val="28"/>
          <w:szCs w:val="28"/>
          <w:lang w:val="en-US" w:eastAsia="zh-CN"/>
        </w:rPr>
      </w:pPr>
      <w:r>
        <w:rPr>
          <w:rFonts w:hint="default" w:ascii="仿宋" w:hAnsi="仿宋" w:eastAsia="仿宋" w:cs="仿宋"/>
          <w:color w:val="000000"/>
          <w:sz w:val="28"/>
          <w:szCs w:val="28"/>
          <w:lang w:val="en-US" w:eastAsia="zh-CN"/>
        </w:rPr>
        <w:t>16</w:t>
      </w:r>
      <w:r>
        <w:rPr>
          <w:rFonts w:hint="eastAsia" w:ascii="仿宋" w:hAnsi="仿宋" w:eastAsia="仿宋" w:cs="仿宋"/>
          <w:color w:val="000000"/>
          <w:sz w:val="28"/>
          <w:szCs w:val="28"/>
          <w:lang w:val="en-US" w:eastAsia="zh-CN"/>
        </w:rPr>
        <w:t>、玻璃幕墙</w:t>
      </w:r>
      <w:bookmarkStart w:id="1" w:name="_GoBack"/>
      <w:bookmarkEnd w:id="1"/>
      <w:r>
        <w:rPr>
          <w:rFonts w:hint="eastAsia" w:ascii="仿宋" w:hAnsi="仿宋" w:eastAsia="仿宋" w:cs="仿宋"/>
          <w:color w:val="000000"/>
          <w:sz w:val="28"/>
          <w:szCs w:val="28"/>
          <w:lang w:val="en-US" w:eastAsia="zh-CN"/>
        </w:rPr>
        <w:t>底部铝板包封参考采光天棚包边；玻璃幕墙防火封堵按通常做法。</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firstLine="280" w:firstLineChars="100"/>
        <w:jc w:val="left"/>
        <w:textAlignment w:val="auto"/>
        <w:rPr>
          <w:rFonts w:hint="default" w:ascii="仿宋" w:hAnsi="仿宋" w:eastAsia="仿宋" w:cs="仿宋"/>
          <w:color w:val="000000"/>
          <w:sz w:val="28"/>
          <w:szCs w:val="28"/>
          <w:highlight w:val="none"/>
          <w:lang w:val="en-US" w:eastAsia="zh-CN"/>
        </w:rPr>
      </w:pPr>
    </w:p>
    <w:p>
      <w:pPr>
        <w:keepNext w:val="0"/>
        <w:keepLines w:val="0"/>
        <w:pageBreakBefore w:val="0"/>
        <w:numPr>
          <w:ilvl w:val="0"/>
          <w:numId w:val="1"/>
        </w:numPr>
        <w:kinsoku/>
        <w:wordWrap/>
        <w:overflowPunct/>
        <w:topLinePunct w:val="0"/>
        <w:bidi w:val="0"/>
        <w:snapToGrid/>
        <w:spacing w:line="240" w:lineRule="auto"/>
        <w:ind w:left="0" w:leftChars="0" w:firstLine="420" w:firstLineChars="0"/>
        <w:rPr>
          <w:rFonts w:hint="eastAsia" w:ascii="黑体" w:hAnsi="黑体" w:eastAsia="黑体" w:cs="黑体"/>
          <w:b/>
          <w:color w:val="000000"/>
          <w:sz w:val="28"/>
          <w:szCs w:val="28"/>
        </w:rPr>
      </w:pPr>
      <w:r>
        <w:rPr>
          <w:rFonts w:hint="eastAsia" w:ascii="黑体" w:hAnsi="黑体" w:eastAsia="黑体" w:cs="黑体"/>
          <w:b/>
          <w:color w:val="000000"/>
          <w:sz w:val="28"/>
          <w:szCs w:val="28"/>
        </w:rPr>
        <w:t>专业工程暂估价</w:t>
      </w:r>
      <w:r>
        <w:rPr>
          <w:rFonts w:hint="eastAsia" w:ascii="黑体" w:hAnsi="黑体" w:eastAsia="黑体" w:cs="黑体"/>
          <w:b/>
          <w:color w:val="FF0000"/>
          <w:sz w:val="28"/>
          <w:szCs w:val="28"/>
        </w:rPr>
        <w:t>（投标人报价时不得变动）</w:t>
      </w:r>
      <w:r>
        <w:rPr>
          <w:rFonts w:hint="eastAsia" w:ascii="黑体" w:hAnsi="黑体" w:eastAsia="黑体" w:cs="黑体"/>
          <w:b/>
          <w:color w:val="000000"/>
          <w:sz w:val="28"/>
          <w:szCs w:val="28"/>
        </w:rPr>
        <w:t>：</w:t>
      </w:r>
    </w:p>
    <w:tbl>
      <w:tblPr>
        <w:tblStyle w:val="5"/>
        <w:tblpPr w:leftFromText="180" w:rightFromText="180" w:vertAnchor="text" w:horzAnchor="page" w:tblpX="1260" w:tblpY="758"/>
        <w:tblOverlap w:val="never"/>
        <w:tblW w:w="9330" w:type="dxa"/>
        <w:tblInd w:w="0" w:type="dxa"/>
        <w:tblLayout w:type="fixed"/>
        <w:tblCellMar>
          <w:top w:w="0" w:type="dxa"/>
          <w:left w:w="0" w:type="dxa"/>
          <w:bottom w:w="0" w:type="dxa"/>
          <w:right w:w="0" w:type="dxa"/>
        </w:tblCellMar>
      </w:tblPr>
      <w:tblGrid>
        <w:gridCol w:w="913"/>
        <w:gridCol w:w="1687"/>
        <w:gridCol w:w="3636"/>
        <w:gridCol w:w="1549"/>
        <w:gridCol w:w="1545"/>
      </w:tblGrid>
      <w:tr>
        <w:tblPrEx>
          <w:tblCellMar>
            <w:top w:w="0" w:type="dxa"/>
            <w:left w:w="0" w:type="dxa"/>
            <w:bottom w:w="0" w:type="dxa"/>
            <w:right w:w="0" w:type="dxa"/>
          </w:tblCellMar>
        </w:tblPrEx>
        <w:trPr>
          <w:trHeight w:val="435" w:hRule="atLeast"/>
          <w:tblHeader/>
        </w:trPr>
        <w:tc>
          <w:tcPr>
            <w:tcW w:w="9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序号</w:t>
            </w:r>
          </w:p>
        </w:tc>
        <w:tc>
          <w:tcPr>
            <w:tcW w:w="1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工程名称</w:t>
            </w:r>
          </w:p>
        </w:tc>
        <w:tc>
          <w:tcPr>
            <w:tcW w:w="36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工程内容</w:t>
            </w:r>
          </w:p>
        </w:tc>
        <w:tc>
          <w:tcPr>
            <w:tcW w:w="15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暂估金额（元）</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备注</w:t>
            </w:r>
          </w:p>
        </w:tc>
      </w:tr>
      <w:tr>
        <w:tblPrEx>
          <w:tblCellMar>
            <w:top w:w="0" w:type="dxa"/>
            <w:left w:w="0" w:type="dxa"/>
            <w:bottom w:w="0" w:type="dxa"/>
            <w:right w:w="0" w:type="dxa"/>
          </w:tblCellMar>
        </w:tblPrEx>
        <w:trPr>
          <w:trHeight w:val="619" w:hRule="atLeast"/>
        </w:trPr>
        <w:tc>
          <w:tcPr>
            <w:tcW w:w="9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1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专业工程暂估价</w:t>
            </w:r>
          </w:p>
        </w:tc>
        <w:tc>
          <w:tcPr>
            <w:tcW w:w="36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default" w:ascii="仿宋" w:hAnsi="仿宋" w:eastAsia="仿宋" w:cs="仿宋"/>
                <w:sz w:val="21"/>
                <w:szCs w:val="21"/>
                <w:lang w:val="en-US" w:eastAsia="zh-CN"/>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default" w:ascii="仿宋" w:hAnsi="仿宋" w:eastAsia="仿宋" w:cs="仿宋"/>
                <w:color w:val="FF0000"/>
                <w:sz w:val="21"/>
                <w:szCs w:val="21"/>
                <w:lang w:val="en-US" w:eastAsia="zh-CN"/>
              </w:rPr>
            </w:pPr>
            <w:r>
              <w:rPr>
                <w:rFonts w:hint="default" w:ascii="仿宋" w:hAnsi="仿宋" w:eastAsia="仿宋" w:cs="仿宋"/>
                <w:color w:val="FF0000"/>
                <w:sz w:val="21"/>
                <w:szCs w:val="21"/>
                <w:lang w:val="en-US" w:eastAsia="zh-CN"/>
              </w:rPr>
              <w:t>0</w:t>
            </w:r>
            <w:r>
              <w:rPr>
                <w:rFonts w:hint="eastAsia" w:ascii="仿宋" w:hAnsi="仿宋" w:eastAsia="仿宋" w:cs="仿宋"/>
                <w:color w:val="FF0000"/>
                <w:sz w:val="21"/>
                <w:szCs w:val="21"/>
                <w:lang w:val="en-US" w:eastAsia="zh-CN"/>
              </w:rPr>
              <w:t>.00</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不含税</w:t>
            </w:r>
          </w:p>
        </w:tc>
      </w:tr>
      <w:tr>
        <w:tblPrEx>
          <w:tblCellMar>
            <w:top w:w="0" w:type="dxa"/>
            <w:left w:w="0" w:type="dxa"/>
            <w:bottom w:w="0" w:type="dxa"/>
            <w:right w:w="0" w:type="dxa"/>
          </w:tblCellMar>
        </w:tblPrEx>
        <w:trPr>
          <w:trHeight w:val="625" w:hRule="atLeast"/>
        </w:trPr>
        <w:tc>
          <w:tcPr>
            <w:tcW w:w="9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eastAsia" w:ascii="仿宋" w:hAnsi="仿宋" w:eastAsia="仿宋" w:cs="仿宋"/>
                <w:sz w:val="21"/>
                <w:szCs w:val="21"/>
                <w:lang w:eastAsia="zh-CN"/>
              </w:rPr>
            </w:pPr>
          </w:p>
        </w:tc>
        <w:tc>
          <w:tcPr>
            <w:tcW w:w="16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合计</w:t>
            </w:r>
          </w:p>
        </w:tc>
        <w:tc>
          <w:tcPr>
            <w:tcW w:w="36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eastAsia" w:ascii="仿宋" w:hAnsi="仿宋" w:eastAsia="仿宋" w:cs="仿宋"/>
                <w:sz w:val="21"/>
                <w:szCs w:val="21"/>
                <w:lang w:val="en-US" w:eastAsia="zh-CN"/>
              </w:rPr>
            </w:pPr>
          </w:p>
        </w:tc>
        <w:tc>
          <w:tcPr>
            <w:tcW w:w="15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default" w:ascii="仿宋" w:hAnsi="仿宋" w:eastAsia="仿宋" w:cs="仿宋"/>
                <w:color w:val="FF0000"/>
                <w:sz w:val="21"/>
                <w:szCs w:val="21"/>
                <w:lang w:val="en-US" w:eastAsia="zh-CN"/>
              </w:rPr>
            </w:pPr>
            <w:r>
              <w:rPr>
                <w:rFonts w:hint="default" w:ascii="仿宋" w:hAnsi="仿宋" w:eastAsia="仿宋" w:cs="仿宋"/>
                <w:color w:val="FF0000"/>
                <w:sz w:val="21"/>
                <w:szCs w:val="21"/>
                <w:lang w:val="en-US" w:eastAsia="zh-CN"/>
              </w:rPr>
              <w:t>0.00</w:t>
            </w:r>
          </w:p>
        </w:tc>
        <w:tc>
          <w:tcPr>
            <w:tcW w:w="1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jc w:val="center"/>
              <w:rPr>
                <w:rFonts w:hint="eastAsia" w:ascii="仿宋" w:hAnsi="仿宋" w:eastAsia="仿宋" w:cs="仿宋"/>
                <w:sz w:val="21"/>
                <w:szCs w:val="21"/>
                <w:lang w:val="en-US" w:eastAsia="zh-CN"/>
              </w:rPr>
            </w:pPr>
          </w:p>
        </w:tc>
      </w:tr>
    </w:tbl>
    <w:p>
      <w:pPr>
        <w:keepNext w:val="0"/>
        <w:keepLines w:val="0"/>
        <w:pageBreakBefore w:val="0"/>
        <w:numPr>
          <w:ilvl w:val="0"/>
          <w:numId w:val="0"/>
        </w:numPr>
        <w:kinsoku/>
        <w:wordWrap/>
        <w:overflowPunct/>
        <w:topLinePunct w:val="0"/>
        <w:bidi w:val="0"/>
        <w:snapToGrid/>
        <w:spacing w:line="240" w:lineRule="auto"/>
        <w:ind w:left="420" w:leftChars="0"/>
        <w:rPr>
          <w:rFonts w:hint="eastAsia" w:ascii="黑体" w:hAnsi="黑体" w:eastAsia="黑体" w:cs="黑体"/>
          <w:b/>
          <w:color w:val="000000"/>
          <w:sz w:val="28"/>
          <w:szCs w:val="28"/>
        </w:rPr>
      </w:pPr>
    </w:p>
    <w:p>
      <w:pPr>
        <w:keepNext w:val="0"/>
        <w:keepLines w:val="0"/>
        <w:pageBreakBefore w:val="0"/>
        <w:numPr>
          <w:ilvl w:val="0"/>
          <w:numId w:val="1"/>
        </w:numPr>
        <w:kinsoku/>
        <w:wordWrap/>
        <w:overflowPunct/>
        <w:topLinePunct w:val="0"/>
        <w:bidi w:val="0"/>
        <w:snapToGrid/>
        <w:spacing w:line="240" w:lineRule="auto"/>
        <w:ind w:left="0" w:leftChars="0" w:firstLine="420" w:firstLineChars="0"/>
        <w:rPr>
          <w:rFonts w:hint="eastAsia" w:ascii="黑体" w:hAnsi="黑体" w:eastAsia="黑体" w:cs="黑体"/>
          <w:b/>
          <w:color w:val="000000"/>
          <w:sz w:val="28"/>
          <w:szCs w:val="28"/>
        </w:rPr>
      </w:pPr>
      <w:r>
        <w:rPr>
          <w:rFonts w:hint="eastAsia" w:ascii="黑体" w:hAnsi="黑体" w:eastAsia="黑体" w:cs="黑体"/>
          <w:b/>
          <w:color w:val="000000"/>
          <w:sz w:val="28"/>
          <w:szCs w:val="28"/>
        </w:rPr>
        <w:t>暂列金额明细表</w:t>
      </w:r>
      <w:r>
        <w:rPr>
          <w:rFonts w:hint="eastAsia" w:ascii="黑体" w:hAnsi="黑体" w:eastAsia="黑体" w:cs="黑体"/>
          <w:b/>
          <w:color w:val="FF0000"/>
          <w:sz w:val="28"/>
          <w:szCs w:val="28"/>
        </w:rPr>
        <w:t>（投标人不得变动、让利）</w:t>
      </w:r>
      <w:r>
        <w:rPr>
          <w:rFonts w:hint="eastAsia" w:ascii="黑体" w:hAnsi="黑体" w:eastAsia="黑体" w:cs="黑体"/>
          <w:b/>
          <w:color w:val="FF0000"/>
          <w:sz w:val="28"/>
          <w:szCs w:val="28"/>
          <w:lang w:eastAsia="zh-CN"/>
        </w:rPr>
        <w:t>：</w:t>
      </w:r>
    </w:p>
    <w:tbl>
      <w:tblPr>
        <w:tblStyle w:val="5"/>
        <w:tblW w:w="9435" w:type="dxa"/>
        <w:tblInd w:w="241" w:type="dxa"/>
        <w:tblLayout w:type="fixed"/>
        <w:tblCellMar>
          <w:top w:w="0" w:type="dxa"/>
          <w:left w:w="108" w:type="dxa"/>
          <w:bottom w:w="0" w:type="dxa"/>
          <w:right w:w="108" w:type="dxa"/>
        </w:tblCellMar>
      </w:tblPr>
      <w:tblGrid>
        <w:gridCol w:w="852"/>
        <w:gridCol w:w="2600"/>
        <w:gridCol w:w="2233"/>
        <w:gridCol w:w="1935"/>
        <w:gridCol w:w="1815"/>
      </w:tblGrid>
      <w:tr>
        <w:tblPrEx>
          <w:tblCellMar>
            <w:top w:w="0" w:type="dxa"/>
            <w:left w:w="108" w:type="dxa"/>
            <w:bottom w:w="0" w:type="dxa"/>
            <w:right w:w="108" w:type="dxa"/>
          </w:tblCellMar>
        </w:tblPrEx>
        <w:trPr>
          <w:trHeight w:val="435" w:hRule="atLeast"/>
        </w:trPr>
        <w:tc>
          <w:tcPr>
            <w:tcW w:w="9435"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bookmarkStart w:id="0" w:name="RANGE!A1:E5"/>
            <w:r>
              <w:rPr>
                <w:rFonts w:hint="eastAsia" w:ascii="仿宋" w:hAnsi="仿宋" w:eastAsia="仿宋" w:cs="仿宋"/>
                <w:b/>
                <w:bCs/>
                <w:sz w:val="21"/>
                <w:szCs w:val="21"/>
              </w:rPr>
              <w:t>暂列金额明细表</w:t>
            </w:r>
            <w:bookmarkEnd w:id="0"/>
          </w:p>
        </w:tc>
      </w:tr>
      <w:tr>
        <w:tblPrEx>
          <w:tblCellMar>
            <w:top w:w="0" w:type="dxa"/>
            <w:left w:w="108" w:type="dxa"/>
            <w:bottom w:w="0" w:type="dxa"/>
            <w:right w:w="108" w:type="dxa"/>
          </w:tblCellMar>
        </w:tblPrEx>
        <w:trPr>
          <w:trHeight w:val="505" w:hRule="atLeast"/>
        </w:trPr>
        <w:tc>
          <w:tcPr>
            <w:tcW w:w="568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无锡市东亭中学原址改扩建二期工程之实验楼配套项目</w:t>
            </w:r>
          </w:p>
        </w:tc>
        <w:tc>
          <w:tcPr>
            <w:tcW w:w="19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　</w:t>
            </w:r>
          </w:p>
        </w:tc>
        <w:tc>
          <w:tcPr>
            <w:tcW w:w="181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bidi w:val="0"/>
              <w:snapToGrid/>
              <w:spacing w:line="240" w:lineRule="auto"/>
              <w:jc w:val="right"/>
              <w:rPr>
                <w:rFonts w:hint="eastAsia" w:ascii="仿宋" w:hAnsi="仿宋" w:eastAsia="仿宋" w:cs="仿宋"/>
                <w:sz w:val="21"/>
                <w:szCs w:val="21"/>
              </w:rPr>
            </w:pPr>
            <w:r>
              <w:rPr>
                <w:rFonts w:hint="eastAsia" w:ascii="仿宋" w:hAnsi="仿宋" w:eastAsia="仿宋" w:cs="仿宋"/>
                <w:sz w:val="21"/>
                <w:szCs w:val="21"/>
              </w:rPr>
              <w:t>第1页 共1页</w:t>
            </w:r>
          </w:p>
        </w:tc>
      </w:tr>
      <w:tr>
        <w:tblPrEx>
          <w:tblCellMar>
            <w:top w:w="0" w:type="dxa"/>
            <w:left w:w="108" w:type="dxa"/>
            <w:bottom w:w="0" w:type="dxa"/>
            <w:right w:w="108" w:type="dxa"/>
          </w:tblCellMar>
        </w:tblPrEx>
        <w:trPr>
          <w:trHeight w:val="435" w:hRule="atLeast"/>
        </w:trPr>
        <w:tc>
          <w:tcPr>
            <w:tcW w:w="852" w:type="dxa"/>
            <w:tcBorders>
              <w:top w:val="nil"/>
              <w:left w:val="single" w:color="auto" w:sz="4" w:space="0"/>
              <w:bottom w:val="single" w:color="auto" w:sz="4" w:space="0"/>
              <w:right w:val="single" w:color="auto" w:sz="4" w:space="0"/>
            </w:tcBorders>
            <w:shd w:val="clear" w:color="FFFFFF" w:fill="FFFFFF"/>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序号</w:t>
            </w:r>
          </w:p>
        </w:tc>
        <w:tc>
          <w:tcPr>
            <w:tcW w:w="2600" w:type="dxa"/>
            <w:tcBorders>
              <w:top w:val="nil"/>
              <w:left w:val="nil"/>
              <w:bottom w:val="single" w:color="auto" w:sz="4" w:space="0"/>
              <w:right w:val="single" w:color="auto" w:sz="4" w:space="0"/>
            </w:tcBorders>
            <w:shd w:val="clear" w:color="FFFFFF" w:fill="FFFFFF"/>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项目名称</w:t>
            </w:r>
          </w:p>
        </w:tc>
        <w:tc>
          <w:tcPr>
            <w:tcW w:w="2233" w:type="dxa"/>
            <w:tcBorders>
              <w:top w:val="nil"/>
              <w:left w:val="nil"/>
              <w:bottom w:val="single" w:color="auto" w:sz="4" w:space="0"/>
              <w:right w:val="single" w:color="auto" w:sz="4" w:space="0"/>
            </w:tcBorders>
            <w:shd w:val="clear" w:color="FFFFFF" w:fill="FFFFFF"/>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计量单位</w:t>
            </w:r>
          </w:p>
        </w:tc>
        <w:tc>
          <w:tcPr>
            <w:tcW w:w="1935" w:type="dxa"/>
            <w:tcBorders>
              <w:top w:val="nil"/>
              <w:left w:val="nil"/>
              <w:bottom w:val="single" w:color="auto" w:sz="4" w:space="0"/>
              <w:right w:val="single" w:color="auto" w:sz="4" w:space="0"/>
            </w:tcBorders>
            <w:shd w:val="clear" w:color="FFFFFF" w:fill="FFFFFF"/>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暂定金额(元)</w:t>
            </w:r>
          </w:p>
        </w:tc>
        <w:tc>
          <w:tcPr>
            <w:tcW w:w="1815" w:type="dxa"/>
            <w:tcBorders>
              <w:top w:val="nil"/>
              <w:left w:val="nil"/>
              <w:bottom w:val="single" w:color="auto" w:sz="4" w:space="0"/>
              <w:right w:val="single" w:color="auto" w:sz="4" w:space="0"/>
            </w:tcBorders>
            <w:shd w:val="clear" w:color="FFFFFF" w:fill="FFFFFF"/>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备注</w:t>
            </w:r>
          </w:p>
        </w:tc>
      </w:tr>
      <w:tr>
        <w:tblPrEx>
          <w:tblCellMar>
            <w:top w:w="0" w:type="dxa"/>
            <w:left w:w="108" w:type="dxa"/>
            <w:bottom w:w="0" w:type="dxa"/>
            <w:right w:w="108" w:type="dxa"/>
          </w:tblCellMar>
        </w:tblPrEx>
        <w:trPr>
          <w:trHeight w:val="435" w:hRule="atLeast"/>
        </w:trPr>
        <w:tc>
          <w:tcPr>
            <w:tcW w:w="85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1</w:t>
            </w:r>
          </w:p>
        </w:tc>
        <w:tc>
          <w:tcPr>
            <w:tcW w:w="26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其他（</w:t>
            </w:r>
            <w:r>
              <w:rPr>
                <w:rFonts w:hint="eastAsia" w:ascii="仿宋" w:hAnsi="仿宋" w:eastAsia="仿宋" w:cs="仿宋"/>
                <w:sz w:val="21"/>
                <w:szCs w:val="21"/>
                <w:lang w:val="en-US" w:eastAsia="zh-CN"/>
              </w:rPr>
              <w:t>暂列</w:t>
            </w:r>
            <w:r>
              <w:rPr>
                <w:rFonts w:hint="eastAsia" w:ascii="仿宋" w:hAnsi="仿宋" w:eastAsia="仿宋" w:cs="仿宋"/>
                <w:sz w:val="21"/>
                <w:szCs w:val="21"/>
              </w:rPr>
              <w:t>金）</w:t>
            </w:r>
          </w:p>
        </w:tc>
        <w:tc>
          <w:tcPr>
            <w:tcW w:w="223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w:t>
            </w:r>
          </w:p>
        </w:tc>
        <w:tc>
          <w:tcPr>
            <w:tcW w:w="19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default" w:ascii="仿宋" w:hAnsi="仿宋" w:eastAsia="仿宋" w:cs="仿宋"/>
                <w:color w:val="auto"/>
                <w:sz w:val="21"/>
                <w:szCs w:val="21"/>
                <w:lang w:val="en-US" w:eastAsia="zh-CN"/>
              </w:rPr>
            </w:pPr>
            <w:r>
              <w:rPr>
                <w:rFonts w:hint="default" w:ascii="仿宋" w:hAnsi="仿宋" w:eastAsia="仿宋" w:cs="仿宋"/>
                <w:color w:val="auto"/>
                <w:sz w:val="21"/>
                <w:szCs w:val="21"/>
                <w:lang w:val="en-US" w:eastAsia="zh-CN"/>
              </w:rPr>
              <w:t>0</w:t>
            </w:r>
            <w:r>
              <w:rPr>
                <w:rFonts w:hint="eastAsia" w:ascii="仿宋" w:hAnsi="仿宋" w:eastAsia="仿宋" w:cs="仿宋"/>
                <w:color w:val="auto"/>
                <w:sz w:val="21"/>
                <w:szCs w:val="21"/>
                <w:lang w:val="en-US" w:eastAsia="zh-CN"/>
              </w:rPr>
              <w:t>.00</w:t>
            </w:r>
          </w:p>
        </w:tc>
        <w:tc>
          <w:tcPr>
            <w:tcW w:w="181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left"/>
              <w:rPr>
                <w:rFonts w:hint="default" w:ascii="仿宋" w:hAnsi="仿宋" w:eastAsia="仿宋" w:cs="仿宋"/>
                <w:sz w:val="21"/>
                <w:szCs w:val="21"/>
                <w:lang w:val="en-US" w:eastAsia="zh-CN"/>
              </w:rPr>
            </w:pPr>
            <w:r>
              <w:rPr>
                <w:rFonts w:hint="eastAsia" w:ascii="仿宋" w:hAnsi="仿宋" w:eastAsia="仿宋" w:cs="仿宋"/>
                <w:sz w:val="21"/>
                <w:szCs w:val="21"/>
              </w:rPr>
              <w:t>　</w:t>
            </w:r>
            <w:r>
              <w:rPr>
                <w:rFonts w:hint="eastAsia" w:ascii="仿宋" w:hAnsi="仿宋" w:eastAsia="仿宋" w:cs="仿宋"/>
                <w:sz w:val="21"/>
                <w:szCs w:val="21"/>
                <w:lang w:val="en-US" w:eastAsia="zh-CN"/>
              </w:rPr>
              <w:t>不含税</w:t>
            </w:r>
          </w:p>
        </w:tc>
      </w:tr>
      <w:tr>
        <w:tblPrEx>
          <w:tblCellMar>
            <w:top w:w="0" w:type="dxa"/>
            <w:left w:w="108" w:type="dxa"/>
            <w:bottom w:w="0" w:type="dxa"/>
            <w:right w:w="108" w:type="dxa"/>
          </w:tblCellMar>
        </w:tblPrEx>
        <w:trPr>
          <w:trHeight w:val="435" w:hRule="atLeast"/>
        </w:trPr>
        <w:tc>
          <w:tcPr>
            <w:tcW w:w="85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left"/>
              <w:rPr>
                <w:rFonts w:hint="eastAsia" w:ascii="仿宋" w:hAnsi="仿宋" w:eastAsia="仿宋" w:cs="仿宋"/>
                <w:sz w:val="21"/>
                <w:szCs w:val="21"/>
              </w:rPr>
            </w:pPr>
          </w:p>
        </w:tc>
        <w:tc>
          <w:tcPr>
            <w:tcW w:w="260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合  计</w:t>
            </w:r>
          </w:p>
        </w:tc>
        <w:tc>
          <w:tcPr>
            <w:tcW w:w="223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eastAsia" w:ascii="仿宋" w:hAnsi="仿宋" w:eastAsia="仿宋" w:cs="仿宋"/>
                <w:sz w:val="21"/>
                <w:szCs w:val="21"/>
              </w:rPr>
            </w:pPr>
            <w:r>
              <w:rPr>
                <w:rFonts w:hint="eastAsia" w:ascii="仿宋" w:hAnsi="仿宋" w:eastAsia="仿宋" w:cs="仿宋"/>
                <w:sz w:val="21"/>
                <w:szCs w:val="21"/>
              </w:rPr>
              <w:t>　</w:t>
            </w:r>
          </w:p>
        </w:tc>
        <w:tc>
          <w:tcPr>
            <w:tcW w:w="193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0.00</w:t>
            </w:r>
          </w:p>
        </w:tc>
        <w:tc>
          <w:tcPr>
            <w:tcW w:w="1815"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line="240" w:lineRule="auto"/>
              <w:jc w:val="left"/>
              <w:rPr>
                <w:rFonts w:hint="eastAsia" w:ascii="仿宋" w:hAnsi="仿宋" w:eastAsia="仿宋" w:cs="仿宋"/>
                <w:sz w:val="21"/>
                <w:szCs w:val="21"/>
              </w:rPr>
            </w:pPr>
            <w:r>
              <w:rPr>
                <w:rFonts w:hint="eastAsia" w:ascii="仿宋" w:hAnsi="仿宋" w:eastAsia="仿宋" w:cs="仿宋"/>
                <w:sz w:val="21"/>
                <w:szCs w:val="21"/>
              </w:rPr>
              <w:t>　</w:t>
            </w:r>
            <w:r>
              <w:rPr>
                <w:rFonts w:hint="eastAsia" w:ascii="仿宋" w:hAnsi="仿宋" w:eastAsia="仿宋" w:cs="仿宋"/>
                <w:sz w:val="21"/>
                <w:szCs w:val="21"/>
                <w:lang w:val="en-US" w:eastAsia="zh-CN"/>
              </w:rPr>
              <w:t>不含税</w:t>
            </w:r>
          </w:p>
        </w:tc>
      </w:tr>
    </w:tbl>
    <w:p>
      <w:pPr>
        <w:keepNext w:val="0"/>
        <w:keepLines w:val="0"/>
        <w:pageBreakBefore w:val="0"/>
        <w:numPr>
          <w:ilvl w:val="0"/>
          <w:numId w:val="0"/>
        </w:numPr>
        <w:kinsoku/>
        <w:wordWrap/>
        <w:overflowPunct/>
        <w:topLinePunct w:val="0"/>
        <w:bidi w:val="0"/>
        <w:snapToGrid/>
        <w:spacing w:line="240" w:lineRule="auto"/>
        <w:rPr>
          <w:rFonts w:hint="eastAsia" w:ascii="黑体" w:hAnsi="黑体" w:eastAsia="黑体" w:cs="黑体"/>
          <w:b/>
          <w:color w:val="000000"/>
          <w:sz w:val="28"/>
          <w:szCs w:val="28"/>
        </w:rPr>
      </w:pPr>
    </w:p>
    <w:p>
      <w:pPr>
        <w:keepNext w:val="0"/>
        <w:keepLines w:val="0"/>
        <w:pageBreakBefore w:val="0"/>
        <w:numPr>
          <w:ilvl w:val="0"/>
          <w:numId w:val="1"/>
        </w:numPr>
        <w:kinsoku/>
        <w:wordWrap/>
        <w:overflowPunct/>
        <w:topLinePunct w:val="0"/>
        <w:bidi w:val="0"/>
        <w:snapToGrid/>
        <w:spacing w:line="240" w:lineRule="auto"/>
        <w:ind w:left="0" w:leftChars="0" w:firstLine="420" w:firstLineChars="0"/>
        <w:rPr>
          <w:rFonts w:hint="eastAsia" w:ascii="黑体" w:hAnsi="黑体" w:eastAsia="黑体" w:cs="黑体"/>
          <w:b/>
          <w:color w:val="000000"/>
          <w:sz w:val="28"/>
          <w:szCs w:val="28"/>
          <w:highlight w:val="none"/>
          <w:lang w:eastAsia="zh-CN"/>
        </w:rPr>
      </w:pPr>
    </w:p>
    <w:p>
      <w:pPr>
        <w:keepNext w:val="0"/>
        <w:keepLines w:val="0"/>
        <w:pageBreakBefore w:val="0"/>
        <w:widowControl w:val="0"/>
        <w:kinsoku/>
        <w:wordWrap/>
        <w:overflowPunct/>
        <w:topLinePunct w:val="0"/>
        <w:autoSpaceDE w:val="0"/>
        <w:autoSpaceDN w:val="0"/>
        <w:bidi w:val="0"/>
        <w:adjustRightInd w:val="0"/>
        <w:snapToGrid/>
        <w:spacing w:line="240" w:lineRule="auto"/>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 xml:space="preserve">本工程部分材料设备招标人提供品牌如下，投标报价及施工时需按提供品牌之一执行： </w:t>
      </w:r>
    </w:p>
    <w:p>
      <w:pPr>
        <w:keepNext w:val="0"/>
        <w:keepLines w:val="0"/>
        <w:pageBreakBefore w:val="0"/>
        <w:kinsoku/>
        <w:wordWrap/>
        <w:overflowPunct/>
        <w:topLinePunct w:val="0"/>
        <w:bidi w:val="0"/>
        <w:snapToGrid/>
        <w:spacing w:line="240" w:lineRule="auto"/>
        <w:rPr>
          <w:rFonts w:hint="eastAsia" w:ascii="仿宋" w:hAnsi="仿宋" w:eastAsia="仿宋" w:cs="仿宋"/>
        </w:rPr>
      </w:pPr>
    </w:p>
    <w:tbl>
      <w:tblPr>
        <w:tblStyle w:val="5"/>
        <w:tblW w:w="9803" w:type="dxa"/>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468"/>
        <w:gridCol w:w="4207"/>
        <w:gridCol w:w="2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序号</w:t>
            </w:r>
          </w:p>
        </w:tc>
        <w:tc>
          <w:tcPr>
            <w:tcW w:w="2468" w:type="dxa"/>
            <w:vAlign w:val="center"/>
          </w:tcPr>
          <w:p>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材料名称</w:t>
            </w:r>
          </w:p>
        </w:tc>
        <w:tc>
          <w:tcPr>
            <w:tcW w:w="4207" w:type="dxa"/>
            <w:vAlign w:val="center"/>
          </w:tcPr>
          <w:p>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材料品牌</w:t>
            </w:r>
          </w:p>
        </w:tc>
        <w:tc>
          <w:tcPr>
            <w:tcW w:w="2258" w:type="dxa"/>
            <w:vAlign w:val="center"/>
          </w:tcPr>
          <w:p>
            <w:pPr>
              <w:widowControl/>
              <w:jc w:val="center"/>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9"/>
              <w:numPr>
                <w:ilvl w:val="0"/>
                <w:numId w:val="4"/>
              </w:numPr>
              <w:ind w:left="840" w:leftChars="0" w:firstLineChars="0"/>
              <w:jc w:val="both"/>
              <w:rPr>
                <w:rFonts w:ascii="仿宋" w:hAnsi="仿宋" w:eastAsia="仿宋" w:cs="仿宋"/>
                <w:color w:val="000000"/>
                <w:szCs w:val="21"/>
                <w:highlight w:val="none"/>
              </w:rPr>
            </w:pPr>
          </w:p>
        </w:tc>
        <w:tc>
          <w:tcPr>
            <w:tcW w:w="2468" w:type="dxa"/>
            <w:vAlign w:val="center"/>
          </w:tcPr>
          <w:p>
            <w:pPr>
              <w:widowControl/>
              <w:jc w:val="left"/>
              <w:rPr>
                <w:rFonts w:ascii="仿宋" w:hAnsi="仿宋" w:eastAsia="仿宋" w:cs="仿宋"/>
                <w:color w:val="000000"/>
                <w:kern w:val="0"/>
                <w:szCs w:val="21"/>
                <w:highlight w:val="none"/>
              </w:rPr>
            </w:pPr>
            <w:r>
              <w:rPr>
                <w:rFonts w:hint="eastAsia" w:ascii="仿宋" w:hAnsi="仿宋" w:eastAsia="仿宋" w:cs="仿宋"/>
                <w:color w:val="000000"/>
                <w:kern w:val="0"/>
                <w:szCs w:val="21"/>
                <w:highlight w:val="none"/>
              </w:rPr>
              <w:t>油漆、涂料</w:t>
            </w:r>
          </w:p>
        </w:tc>
        <w:tc>
          <w:tcPr>
            <w:tcW w:w="4207" w:type="dxa"/>
            <w:vAlign w:val="center"/>
          </w:tcPr>
          <w:p>
            <w:pPr>
              <w:tabs>
                <w:tab w:val="left" w:pos="492"/>
              </w:tabs>
              <w:jc w:val="left"/>
              <w:rPr>
                <w:rFonts w:ascii="仿宋" w:hAnsi="仿宋" w:eastAsia="仿宋" w:cs="仿宋"/>
                <w:kern w:val="0"/>
                <w:szCs w:val="21"/>
                <w:highlight w:val="none"/>
              </w:rPr>
            </w:pPr>
            <w:r>
              <w:rPr>
                <w:rFonts w:hint="eastAsia" w:ascii="仿宋" w:hAnsi="仿宋" w:eastAsia="仿宋" w:cs="仿宋"/>
                <w:kern w:val="0"/>
                <w:szCs w:val="21"/>
                <w:highlight w:val="none"/>
              </w:rPr>
              <w:t>立邦、多乐士、三棵树</w:t>
            </w:r>
          </w:p>
        </w:tc>
        <w:tc>
          <w:tcPr>
            <w:tcW w:w="2258" w:type="dxa"/>
            <w:vAlign w:val="center"/>
          </w:tcPr>
          <w:p>
            <w:pPr>
              <w:jc w:val="left"/>
              <w:rPr>
                <w:rFonts w:hint="eastAsia" w:ascii="仿宋" w:hAnsi="仿宋" w:eastAsia="仿宋" w:cs="仿宋"/>
                <w:color w:val="00000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9"/>
              <w:numPr>
                <w:ilvl w:val="0"/>
                <w:numId w:val="4"/>
              </w:numPr>
              <w:ind w:left="840" w:leftChars="0" w:firstLineChars="0"/>
              <w:jc w:val="both"/>
              <w:rPr>
                <w:rFonts w:ascii="仿宋" w:hAnsi="仿宋" w:eastAsia="仿宋" w:cs="仿宋"/>
                <w:color w:val="000000"/>
                <w:szCs w:val="21"/>
                <w:highlight w:val="none"/>
              </w:rPr>
            </w:pPr>
          </w:p>
        </w:tc>
        <w:tc>
          <w:tcPr>
            <w:tcW w:w="2468" w:type="dxa"/>
            <w:vAlign w:val="center"/>
          </w:tcPr>
          <w:p>
            <w:pPr>
              <w:jc w:val="left"/>
              <w:rPr>
                <w:rFonts w:ascii="仿宋" w:hAnsi="仿宋" w:eastAsia="仿宋" w:cs="仿宋"/>
                <w:color w:val="000000"/>
                <w:szCs w:val="21"/>
                <w:highlight w:val="none"/>
              </w:rPr>
            </w:pPr>
            <w:r>
              <w:rPr>
                <w:rFonts w:hint="eastAsia" w:ascii="仿宋" w:hAnsi="仿宋" w:eastAsia="仿宋" w:cs="仿宋"/>
                <w:kern w:val="0"/>
                <w:szCs w:val="21"/>
                <w:highlight w:val="none"/>
              </w:rPr>
              <w:t>防水材料</w:t>
            </w:r>
          </w:p>
        </w:tc>
        <w:tc>
          <w:tcPr>
            <w:tcW w:w="4207" w:type="dxa"/>
            <w:vAlign w:val="center"/>
          </w:tcPr>
          <w:p>
            <w:pPr>
              <w:jc w:val="left"/>
              <w:rPr>
                <w:rFonts w:ascii="仿宋" w:hAnsi="仿宋" w:eastAsia="仿宋" w:cs="仿宋"/>
                <w:szCs w:val="21"/>
                <w:highlight w:val="none"/>
              </w:rPr>
            </w:pPr>
            <w:r>
              <w:rPr>
                <w:rFonts w:hint="eastAsia" w:ascii="仿宋" w:hAnsi="仿宋" w:eastAsia="仿宋" w:cs="仿宋"/>
                <w:kern w:val="0"/>
                <w:szCs w:val="21"/>
                <w:highlight w:val="none"/>
              </w:rPr>
              <w:t>东方雨虹、科顺、禹王</w:t>
            </w:r>
          </w:p>
        </w:tc>
        <w:tc>
          <w:tcPr>
            <w:tcW w:w="2258" w:type="dxa"/>
          </w:tcPr>
          <w:p>
            <w:pPr>
              <w:jc w:val="left"/>
              <w:rPr>
                <w:rFonts w:hint="eastAsia" w:ascii="仿宋" w:hAnsi="仿宋" w:eastAsia="仿宋" w:cs="仿宋"/>
                <w:color w:val="00000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9"/>
              <w:numPr>
                <w:ilvl w:val="0"/>
                <w:numId w:val="4"/>
              </w:numPr>
              <w:ind w:left="840" w:leftChars="0" w:firstLineChars="0"/>
              <w:jc w:val="both"/>
              <w:rPr>
                <w:rFonts w:ascii="仿宋" w:hAnsi="仿宋" w:eastAsia="仿宋" w:cs="仿宋"/>
                <w:color w:val="auto"/>
                <w:szCs w:val="21"/>
                <w:highlight w:val="none"/>
              </w:rPr>
            </w:pPr>
          </w:p>
        </w:tc>
        <w:tc>
          <w:tcPr>
            <w:tcW w:w="2468" w:type="dxa"/>
            <w:shd w:val="clear" w:color="auto" w:fill="auto"/>
            <w:vAlign w:val="center"/>
          </w:tcPr>
          <w:p>
            <w:pPr>
              <w:widowControl/>
              <w:jc w:val="left"/>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szCs w:val="21"/>
                <w:highlight w:val="none"/>
              </w:rPr>
              <w:t>墙地砖</w:t>
            </w:r>
          </w:p>
        </w:tc>
        <w:tc>
          <w:tcPr>
            <w:tcW w:w="4207" w:type="dxa"/>
            <w:shd w:val="clear" w:color="auto" w:fill="auto"/>
            <w:vAlign w:val="center"/>
          </w:tcPr>
          <w:p>
            <w:pPr>
              <w:tabs>
                <w:tab w:val="left" w:pos="492"/>
              </w:tabs>
              <w:jc w:val="left"/>
              <w:rPr>
                <w:rFonts w:hint="default" w:ascii="仿宋" w:hAnsi="仿宋" w:eastAsia="仿宋" w:cs="仿宋"/>
                <w:color w:val="auto"/>
                <w:kern w:val="0"/>
                <w:sz w:val="21"/>
                <w:szCs w:val="21"/>
                <w:highlight w:val="none"/>
                <w:lang w:val="en-US" w:eastAsia="zh-CN" w:bidi="ar-SA"/>
              </w:rPr>
            </w:pPr>
            <w:r>
              <w:rPr>
                <w:rFonts w:hint="eastAsia" w:ascii="仿宋" w:hAnsi="仿宋" w:eastAsia="仿宋" w:cs="仿宋"/>
                <w:color w:val="auto"/>
                <w:szCs w:val="21"/>
                <w:highlight w:val="none"/>
                <w:lang w:val="en-US" w:eastAsia="zh-CN"/>
              </w:rPr>
              <w:t>东鹏、新润成、罗马</w:t>
            </w:r>
          </w:p>
        </w:tc>
        <w:tc>
          <w:tcPr>
            <w:tcW w:w="2258" w:type="dxa"/>
          </w:tcPr>
          <w:p>
            <w:pPr>
              <w:jc w:val="left"/>
              <w:rPr>
                <w:rFonts w:hint="eastAsia" w:ascii="仿宋" w:hAnsi="仿宋" w:eastAsia="仿宋" w:cs="仿宋"/>
                <w:color w:val="FF000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9"/>
              <w:numPr>
                <w:ilvl w:val="0"/>
                <w:numId w:val="4"/>
              </w:numPr>
              <w:ind w:left="840" w:leftChars="0" w:firstLineChars="0"/>
              <w:jc w:val="both"/>
              <w:rPr>
                <w:rFonts w:ascii="仿宋" w:hAnsi="仿宋" w:eastAsia="仿宋" w:cs="仿宋"/>
                <w:color w:val="auto"/>
                <w:szCs w:val="21"/>
                <w:highlight w:val="none"/>
              </w:rPr>
            </w:pPr>
          </w:p>
        </w:tc>
        <w:tc>
          <w:tcPr>
            <w:tcW w:w="2468" w:type="dxa"/>
            <w:shd w:val="clear" w:color="auto" w:fill="auto"/>
            <w:vAlign w:val="center"/>
          </w:tcPr>
          <w:p>
            <w:pPr>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玻璃</w:t>
            </w:r>
          </w:p>
        </w:tc>
        <w:tc>
          <w:tcPr>
            <w:tcW w:w="4207" w:type="dxa"/>
            <w:shd w:val="clear" w:color="auto" w:fill="auto"/>
            <w:vAlign w:val="center"/>
          </w:tcPr>
          <w:p>
            <w:pPr>
              <w:jc w:val="left"/>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 xml:space="preserve">南玻  </w:t>
            </w:r>
            <w:r>
              <w:rPr>
                <w:rFonts w:hint="eastAsia" w:ascii="仿宋" w:hAnsi="仿宋" w:eastAsia="仿宋" w:cs="仿宋"/>
                <w:color w:val="auto"/>
                <w:kern w:val="0"/>
                <w:szCs w:val="21"/>
                <w:highlight w:val="none"/>
                <w:lang w:eastAsia="zh-CN" w:bidi="ar"/>
              </w:rPr>
              <w:t>信义</w:t>
            </w:r>
            <w:r>
              <w:rPr>
                <w:rFonts w:hint="eastAsia" w:ascii="仿宋" w:hAnsi="仿宋" w:eastAsia="仿宋" w:cs="仿宋"/>
                <w:color w:val="auto"/>
                <w:kern w:val="0"/>
                <w:szCs w:val="21"/>
                <w:highlight w:val="none"/>
                <w:lang w:bidi="ar"/>
              </w:rPr>
              <w:t xml:space="preserve">  台玻</w:t>
            </w:r>
          </w:p>
        </w:tc>
        <w:tc>
          <w:tcPr>
            <w:tcW w:w="2258" w:type="dxa"/>
          </w:tcPr>
          <w:p>
            <w:pPr>
              <w:jc w:val="left"/>
              <w:rPr>
                <w:rFonts w:hint="eastAsia" w:ascii="仿宋" w:hAnsi="仿宋" w:eastAsia="仿宋" w:cs="仿宋"/>
                <w:color w:val="FF000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9"/>
              <w:numPr>
                <w:ilvl w:val="0"/>
                <w:numId w:val="4"/>
              </w:numPr>
              <w:ind w:left="840" w:leftChars="0" w:firstLineChars="0"/>
              <w:jc w:val="both"/>
              <w:rPr>
                <w:rFonts w:ascii="仿宋" w:hAnsi="仿宋" w:eastAsia="仿宋" w:cs="仿宋"/>
                <w:color w:val="auto"/>
                <w:szCs w:val="21"/>
                <w:highlight w:val="none"/>
              </w:rPr>
            </w:pPr>
          </w:p>
        </w:tc>
        <w:tc>
          <w:tcPr>
            <w:tcW w:w="2468" w:type="dxa"/>
            <w:shd w:val="clear" w:color="auto" w:fill="auto"/>
            <w:vAlign w:val="center"/>
          </w:tcPr>
          <w:p>
            <w:pPr>
              <w:jc w:val="left"/>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钢型材</w:t>
            </w:r>
          </w:p>
        </w:tc>
        <w:tc>
          <w:tcPr>
            <w:tcW w:w="4207" w:type="dxa"/>
            <w:shd w:val="clear" w:color="auto" w:fill="auto"/>
            <w:vAlign w:val="center"/>
          </w:tcPr>
          <w:p>
            <w:pPr>
              <w:jc w:val="left"/>
              <w:rPr>
                <w:rFonts w:hint="eastAsia" w:ascii="仿宋" w:hAnsi="仿宋" w:eastAsia="宋体" w:cs="仿宋"/>
                <w:color w:val="auto"/>
                <w:kern w:val="0"/>
                <w:szCs w:val="21"/>
                <w:highlight w:val="none"/>
                <w:lang w:eastAsia="zh-CN" w:bidi="ar"/>
              </w:rPr>
            </w:pPr>
            <w:r>
              <w:rPr>
                <w:rFonts w:hint="eastAsia"/>
                <w:color w:val="000000"/>
                <w:sz w:val="20"/>
                <w:szCs w:val="20"/>
                <w:highlight w:val="none"/>
              </w:rPr>
              <w:t>沙钢、鞍钢、</w:t>
            </w:r>
            <w:r>
              <w:rPr>
                <w:rFonts w:hint="eastAsia"/>
                <w:color w:val="000000"/>
                <w:sz w:val="20"/>
                <w:szCs w:val="20"/>
                <w:highlight w:val="none"/>
                <w:lang w:eastAsia="zh-CN"/>
              </w:rPr>
              <w:t>中天</w:t>
            </w:r>
          </w:p>
        </w:tc>
        <w:tc>
          <w:tcPr>
            <w:tcW w:w="2258" w:type="dxa"/>
          </w:tcPr>
          <w:p>
            <w:pPr>
              <w:jc w:val="left"/>
              <w:rPr>
                <w:rFonts w:ascii="仿宋" w:hAnsi="仿宋" w:eastAsia="仿宋" w:cs="仿宋"/>
                <w:color w:val="FF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9"/>
              <w:numPr>
                <w:ilvl w:val="0"/>
                <w:numId w:val="4"/>
              </w:numPr>
              <w:ind w:left="840" w:leftChars="0" w:firstLineChars="0"/>
              <w:jc w:val="both"/>
              <w:rPr>
                <w:rFonts w:ascii="仿宋" w:hAnsi="仿宋" w:eastAsia="仿宋" w:cs="仿宋"/>
                <w:color w:val="auto"/>
                <w:szCs w:val="21"/>
                <w:highlight w:val="none"/>
              </w:rPr>
            </w:pPr>
          </w:p>
        </w:tc>
        <w:tc>
          <w:tcPr>
            <w:tcW w:w="2468" w:type="dxa"/>
            <w:shd w:val="clear" w:color="auto" w:fill="auto"/>
            <w:vAlign w:val="center"/>
          </w:tcPr>
          <w:p>
            <w:pPr>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空调器</w:t>
            </w:r>
          </w:p>
        </w:tc>
        <w:tc>
          <w:tcPr>
            <w:tcW w:w="4207" w:type="dxa"/>
            <w:shd w:val="clear" w:color="auto" w:fill="auto"/>
            <w:vAlign w:val="center"/>
          </w:tcPr>
          <w:p>
            <w:pPr>
              <w:jc w:val="left"/>
              <w:rPr>
                <w:rFonts w:hint="eastAsia" w:eastAsia="宋体"/>
                <w:color w:val="000000"/>
                <w:sz w:val="20"/>
                <w:szCs w:val="20"/>
                <w:highlight w:val="none"/>
                <w:lang w:eastAsia="zh-CN"/>
              </w:rPr>
            </w:pPr>
            <w:r>
              <w:rPr>
                <w:rFonts w:hint="eastAsia"/>
                <w:color w:val="000000"/>
                <w:sz w:val="20"/>
                <w:szCs w:val="20"/>
                <w:highlight w:val="none"/>
                <w:lang w:eastAsia="zh-CN"/>
              </w:rPr>
              <w:t>格力、科龙、海信</w:t>
            </w:r>
          </w:p>
        </w:tc>
        <w:tc>
          <w:tcPr>
            <w:tcW w:w="2258" w:type="dxa"/>
          </w:tcPr>
          <w:p>
            <w:pPr>
              <w:jc w:val="left"/>
              <w:rPr>
                <w:rFonts w:hint="eastAsia" w:ascii="仿宋" w:hAnsi="仿宋" w:eastAsia="仿宋" w:cs="仿宋"/>
                <w:color w:val="FF000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9"/>
              <w:numPr>
                <w:ilvl w:val="0"/>
                <w:numId w:val="4"/>
              </w:numPr>
              <w:ind w:left="840" w:leftChars="0" w:firstLineChars="0"/>
              <w:jc w:val="both"/>
              <w:rPr>
                <w:rFonts w:ascii="仿宋" w:hAnsi="仿宋" w:eastAsia="仿宋" w:cs="仿宋"/>
                <w:color w:val="auto"/>
                <w:szCs w:val="21"/>
                <w:highlight w:val="none"/>
              </w:rPr>
            </w:pPr>
          </w:p>
        </w:tc>
        <w:tc>
          <w:tcPr>
            <w:tcW w:w="2468" w:type="dxa"/>
            <w:shd w:val="clear" w:color="auto" w:fill="auto"/>
            <w:vAlign w:val="center"/>
          </w:tcPr>
          <w:p>
            <w:pPr>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电线电缆</w:t>
            </w:r>
          </w:p>
        </w:tc>
        <w:tc>
          <w:tcPr>
            <w:tcW w:w="4207" w:type="dxa"/>
            <w:shd w:val="clear" w:color="auto" w:fill="auto"/>
            <w:vAlign w:val="center"/>
          </w:tcPr>
          <w:p>
            <w:pPr>
              <w:jc w:val="left"/>
              <w:rPr>
                <w:rFonts w:hint="eastAsia" w:eastAsia="宋体"/>
                <w:color w:val="000000"/>
                <w:sz w:val="20"/>
                <w:szCs w:val="20"/>
                <w:highlight w:val="none"/>
                <w:lang w:eastAsia="zh-CN"/>
              </w:rPr>
            </w:pPr>
            <w:r>
              <w:rPr>
                <w:rFonts w:hint="eastAsia"/>
                <w:color w:val="000000"/>
                <w:sz w:val="20"/>
                <w:szCs w:val="20"/>
                <w:highlight w:val="none"/>
                <w:lang w:eastAsia="zh-CN"/>
              </w:rPr>
              <w:t>双熊、江南、上上</w:t>
            </w:r>
          </w:p>
        </w:tc>
        <w:tc>
          <w:tcPr>
            <w:tcW w:w="2258" w:type="dxa"/>
          </w:tcPr>
          <w:p>
            <w:pPr>
              <w:jc w:val="left"/>
              <w:rPr>
                <w:rFonts w:hint="eastAsia" w:ascii="仿宋" w:hAnsi="仿宋" w:eastAsia="仿宋" w:cs="仿宋"/>
                <w:color w:val="FF0000"/>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pPr>
              <w:pStyle w:val="9"/>
              <w:numPr>
                <w:ilvl w:val="0"/>
                <w:numId w:val="4"/>
              </w:numPr>
              <w:ind w:left="840" w:leftChars="0" w:firstLineChars="0"/>
              <w:jc w:val="both"/>
              <w:rPr>
                <w:rFonts w:ascii="仿宋" w:hAnsi="仿宋" w:eastAsia="仿宋" w:cs="仿宋"/>
                <w:color w:val="auto"/>
                <w:szCs w:val="21"/>
                <w:highlight w:val="none"/>
              </w:rPr>
            </w:pPr>
          </w:p>
        </w:tc>
        <w:tc>
          <w:tcPr>
            <w:tcW w:w="2468" w:type="dxa"/>
            <w:shd w:val="clear" w:color="auto" w:fill="auto"/>
            <w:vAlign w:val="center"/>
          </w:tcPr>
          <w:p>
            <w:pPr>
              <w:jc w:val="left"/>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照明灯具</w:t>
            </w:r>
          </w:p>
        </w:tc>
        <w:tc>
          <w:tcPr>
            <w:tcW w:w="4207" w:type="dxa"/>
            <w:shd w:val="clear" w:color="auto" w:fill="auto"/>
            <w:vAlign w:val="center"/>
          </w:tcPr>
          <w:p>
            <w:pPr>
              <w:jc w:val="left"/>
              <w:rPr>
                <w:rFonts w:hint="eastAsia" w:eastAsia="宋体"/>
                <w:color w:val="000000"/>
                <w:sz w:val="20"/>
                <w:szCs w:val="20"/>
                <w:highlight w:val="none"/>
                <w:lang w:eastAsia="zh-CN"/>
              </w:rPr>
            </w:pPr>
            <w:r>
              <w:rPr>
                <w:rFonts w:hint="eastAsia"/>
                <w:color w:val="000000"/>
                <w:sz w:val="20"/>
                <w:szCs w:val="20"/>
                <w:highlight w:val="none"/>
                <w:lang w:eastAsia="zh-CN"/>
              </w:rPr>
              <w:t>奔豪、雷士、飞利浦</w:t>
            </w:r>
          </w:p>
        </w:tc>
        <w:tc>
          <w:tcPr>
            <w:tcW w:w="2258" w:type="dxa"/>
          </w:tcPr>
          <w:p>
            <w:pPr>
              <w:jc w:val="left"/>
              <w:rPr>
                <w:rFonts w:hint="eastAsia" w:ascii="仿宋" w:hAnsi="仿宋" w:eastAsia="仿宋" w:cs="仿宋"/>
                <w:color w:val="FF0000"/>
                <w:szCs w:val="21"/>
                <w:highlight w:val="none"/>
                <w:lang w:eastAsia="zh-CN"/>
              </w:rPr>
            </w:pPr>
          </w:p>
        </w:tc>
      </w:tr>
    </w:tbl>
    <w:p>
      <w:pPr>
        <w:keepNext w:val="0"/>
        <w:keepLines w:val="0"/>
        <w:pageBreakBefore w:val="0"/>
        <w:kinsoku/>
        <w:wordWrap/>
        <w:overflowPunct/>
        <w:topLinePunct w:val="0"/>
        <w:bidi w:val="0"/>
        <w:snapToGrid/>
        <w:spacing w:line="240" w:lineRule="auto"/>
        <w:rPr>
          <w:rFonts w:hint="eastAsia" w:ascii="仿宋" w:hAnsi="仿宋" w:eastAsia="仿宋" w:cs="仿宋"/>
        </w:rPr>
      </w:pPr>
    </w:p>
    <w:p>
      <w:pPr>
        <w:keepNext w:val="0"/>
        <w:keepLines w:val="0"/>
        <w:pageBreakBefore w:val="0"/>
        <w:kinsoku/>
        <w:wordWrap/>
        <w:overflowPunct/>
        <w:topLinePunct w:val="0"/>
        <w:bidi w:val="0"/>
        <w:snapToGrid/>
        <w:spacing w:line="240" w:lineRule="auto"/>
        <w:rPr>
          <w:rFonts w:hint="eastAsia" w:ascii="仿宋" w:hAnsi="仿宋" w:eastAsia="仿宋" w:cs="仿宋"/>
        </w:rPr>
      </w:pPr>
    </w:p>
    <w:sectPr>
      <w:footerReference r:id="rId3" w:type="default"/>
      <w:pgSz w:w="11906" w:h="16838"/>
      <w:pgMar w:top="1134" w:right="1080" w:bottom="1134"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4029AF"/>
    <w:multiLevelType w:val="multilevel"/>
    <w:tmpl w:val="344029AF"/>
    <w:lvl w:ilvl="0" w:tentative="0">
      <w:start w:val="1"/>
      <w:numFmt w:val="decimal"/>
      <w:lvlText w:val="%1"/>
      <w:lvlJc w:val="left"/>
      <w:pPr>
        <w:ind w:left="840" w:hanging="420"/>
      </w:pPr>
      <w:rPr>
        <w:rFonts w:hint="default"/>
        <w:i w:val="0"/>
      </w:rPr>
    </w:lvl>
    <w:lvl w:ilvl="1" w:tentative="0">
      <w:start w:val="1"/>
      <w:numFmt w:val="lowerLetter"/>
      <w:lvlText w:val="%2)"/>
      <w:lvlJc w:val="left"/>
      <w:pPr>
        <w:ind w:left="914" w:hanging="420"/>
      </w:pPr>
    </w:lvl>
    <w:lvl w:ilvl="2" w:tentative="0">
      <w:start w:val="1"/>
      <w:numFmt w:val="lowerRoman"/>
      <w:lvlText w:val="%3."/>
      <w:lvlJc w:val="right"/>
      <w:pPr>
        <w:ind w:left="1334" w:hanging="420"/>
      </w:pPr>
    </w:lvl>
    <w:lvl w:ilvl="3" w:tentative="0">
      <w:start w:val="1"/>
      <w:numFmt w:val="decimal"/>
      <w:lvlText w:val="%4."/>
      <w:lvlJc w:val="left"/>
      <w:pPr>
        <w:ind w:left="1754" w:hanging="420"/>
      </w:pPr>
    </w:lvl>
    <w:lvl w:ilvl="4" w:tentative="0">
      <w:start w:val="1"/>
      <w:numFmt w:val="lowerLetter"/>
      <w:lvlText w:val="%5)"/>
      <w:lvlJc w:val="left"/>
      <w:pPr>
        <w:ind w:left="2174" w:hanging="420"/>
      </w:pPr>
    </w:lvl>
    <w:lvl w:ilvl="5" w:tentative="0">
      <w:start w:val="1"/>
      <w:numFmt w:val="lowerRoman"/>
      <w:lvlText w:val="%6."/>
      <w:lvlJc w:val="right"/>
      <w:pPr>
        <w:ind w:left="2594" w:hanging="420"/>
      </w:pPr>
    </w:lvl>
    <w:lvl w:ilvl="6" w:tentative="0">
      <w:start w:val="1"/>
      <w:numFmt w:val="decimal"/>
      <w:lvlText w:val="%7."/>
      <w:lvlJc w:val="left"/>
      <w:pPr>
        <w:ind w:left="3014" w:hanging="420"/>
      </w:pPr>
    </w:lvl>
    <w:lvl w:ilvl="7" w:tentative="0">
      <w:start w:val="1"/>
      <w:numFmt w:val="lowerLetter"/>
      <w:lvlText w:val="%8)"/>
      <w:lvlJc w:val="left"/>
      <w:pPr>
        <w:ind w:left="3434" w:hanging="420"/>
      </w:pPr>
    </w:lvl>
    <w:lvl w:ilvl="8" w:tentative="0">
      <w:start w:val="1"/>
      <w:numFmt w:val="lowerRoman"/>
      <w:lvlText w:val="%9."/>
      <w:lvlJc w:val="right"/>
      <w:pPr>
        <w:ind w:left="3854" w:hanging="420"/>
      </w:pPr>
    </w:lvl>
  </w:abstractNum>
  <w:abstractNum w:abstractNumId="1">
    <w:nsid w:val="485A3714"/>
    <w:multiLevelType w:val="singleLevel"/>
    <w:tmpl w:val="485A3714"/>
    <w:lvl w:ilvl="0" w:tentative="0">
      <w:start w:val="1"/>
      <w:numFmt w:val="decimal"/>
      <w:suff w:val="space"/>
      <w:lvlText w:val="%1."/>
      <w:lvlJc w:val="left"/>
    </w:lvl>
  </w:abstractNum>
  <w:abstractNum w:abstractNumId="2">
    <w:nsid w:val="4AC8ACE1"/>
    <w:multiLevelType w:val="singleLevel"/>
    <w:tmpl w:val="4AC8ACE1"/>
    <w:lvl w:ilvl="0" w:tentative="0">
      <w:start w:val="1"/>
      <w:numFmt w:val="decimal"/>
      <w:suff w:val="nothing"/>
      <w:lvlText w:val="%1．"/>
      <w:lvlJc w:val="left"/>
      <w:pPr>
        <w:ind w:left="0" w:firstLine="400"/>
      </w:pPr>
      <w:rPr>
        <w:rFonts w:hint="default"/>
      </w:rPr>
    </w:lvl>
  </w:abstractNum>
  <w:abstractNum w:abstractNumId="3">
    <w:nsid w:val="518FDAB6"/>
    <w:multiLevelType w:val="singleLevel"/>
    <w:tmpl w:val="518FDAB6"/>
    <w:lvl w:ilvl="0" w:tentative="0">
      <w:start w:val="1"/>
      <w:numFmt w:val="chineseCounting"/>
      <w:suff w:val="nothing"/>
      <w:lvlText w:val="%1、"/>
      <w:lvlJc w:val="left"/>
      <w:pPr>
        <w:ind w:left="0" w:firstLine="420"/>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Y2IzODY0YTI1YTc1YTEwMWUzNDM0MzJlMWFjOTMifQ=="/>
  </w:docVars>
  <w:rsids>
    <w:rsidRoot w:val="0049117B"/>
    <w:rsid w:val="00032D6E"/>
    <w:rsid w:val="000647B3"/>
    <w:rsid w:val="000811E3"/>
    <w:rsid w:val="00093880"/>
    <w:rsid w:val="000C3BA7"/>
    <w:rsid w:val="000E2E6A"/>
    <w:rsid w:val="000F2E27"/>
    <w:rsid w:val="00103D70"/>
    <w:rsid w:val="00145BE7"/>
    <w:rsid w:val="00161291"/>
    <w:rsid w:val="00165F3E"/>
    <w:rsid w:val="00175C41"/>
    <w:rsid w:val="001A6A86"/>
    <w:rsid w:val="001A7560"/>
    <w:rsid w:val="001E2423"/>
    <w:rsid w:val="001E6977"/>
    <w:rsid w:val="00221049"/>
    <w:rsid w:val="00234F8A"/>
    <w:rsid w:val="002527FC"/>
    <w:rsid w:val="00262D76"/>
    <w:rsid w:val="002B6DFE"/>
    <w:rsid w:val="003512BE"/>
    <w:rsid w:val="00356261"/>
    <w:rsid w:val="0039117D"/>
    <w:rsid w:val="003A40B4"/>
    <w:rsid w:val="003B00B9"/>
    <w:rsid w:val="003B3997"/>
    <w:rsid w:val="003D5A8D"/>
    <w:rsid w:val="00403D74"/>
    <w:rsid w:val="00421B5C"/>
    <w:rsid w:val="004578F7"/>
    <w:rsid w:val="00483D42"/>
    <w:rsid w:val="0049117B"/>
    <w:rsid w:val="004B7CA5"/>
    <w:rsid w:val="004C33A2"/>
    <w:rsid w:val="005135EB"/>
    <w:rsid w:val="00524DF2"/>
    <w:rsid w:val="0053537E"/>
    <w:rsid w:val="00545BC8"/>
    <w:rsid w:val="00546D00"/>
    <w:rsid w:val="00600B77"/>
    <w:rsid w:val="00611FDE"/>
    <w:rsid w:val="00616E22"/>
    <w:rsid w:val="00630B65"/>
    <w:rsid w:val="00643018"/>
    <w:rsid w:val="0065211A"/>
    <w:rsid w:val="00663BC2"/>
    <w:rsid w:val="006957E0"/>
    <w:rsid w:val="0071251A"/>
    <w:rsid w:val="0072418E"/>
    <w:rsid w:val="00740463"/>
    <w:rsid w:val="007423F8"/>
    <w:rsid w:val="007B499D"/>
    <w:rsid w:val="00804EFF"/>
    <w:rsid w:val="00850BA9"/>
    <w:rsid w:val="00870140"/>
    <w:rsid w:val="008D44EF"/>
    <w:rsid w:val="008E552D"/>
    <w:rsid w:val="008F61F6"/>
    <w:rsid w:val="00904F71"/>
    <w:rsid w:val="00932B8C"/>
    <w:rsid w:val="009331D3"/>
    <w:rsid w:val="00951562"/>
    <w:rsid w:val="0095585B"/>
    <w:rsid w:val="00964FC5"/>
    <w:rsid w:val="00973DC3"/>
    <w:rsid w:val="00994B50"/>
    <w:rsid w:val="009A6136"/>
    <w:rsid w:val="009C3248"/>
    <w:rsid w:val="009C79CD"/>
    <w:rsid w:val="009E5BDB"/>
    <w:rsid w:val="00A27DB3"/>
    <w:rsid w:val="00A317AD"/>
    <w:rsid w:val="00A34B3D"/>
    <w:rsid w:val="00A3704D"/>
    <w:rsid w:val="00A43C36"/>
    <w:rsid w:val="00A65401"/>
    <w:rsid w:val="00AA65C5"/>
    <w:rsid w:val="00AB4E1F"/>
    <w:rsid w:val="00AD142B"/>
    <w:rsid w:val="00B36C6C"/>
    <w:rsid w:val="00B463D6"/>
    <w:rsid w:val="00B80A48"/>
    <w:rsid w:val="00B83A4E"/>
    <w:rsid w:val="00BA5F95"/>
    <w:rsid w:val="00BB10E0"/>
    <w:rsid w:val="00BB7707"/>
    <w:rsid w:val="00BE7E50"/>
    <w:rsid w:val="00C03FA0"/>
    <w:rsid w:val="00C07285"/>
    <w:rsid w:val="00C161F0"/>
    <w:rsid w:val="00C53A71"/>
    <w:rsid w:val="00C96D0E"/>
    <w:rsid w:val="00D20A08"/>
    <w:rsid w:val="00D45A9F"/>
    <w:rsid w:val="00D57D51"/>
    <w:rsid w:val="00DB4CA0"/>
    <w:rsid w:val="00DC5D6F"/>
    <w:rsid w:val="00E13194"/>
    <w:rsid w:val="00E153F1"/>
    <w:rsid w:val="00E33A3D"/>
    <w:rsid w:val="00E44B7D"/>
    <w:rsid w:val="00E61E59"/>
    <w:rsid w:val="00F31E03"/>
    <w:rsid w:val="00F41E20"/>
    <w:rsid w:val="00F4305B"/>
    <w:rsid w:val="00F7453C"/>
    <w:rsid w:val="00F8189C"/>
    <w:rsid w:val="00F866E9"/>
    <w:rsid w:val="00FF18DE"/>
    <w:rsid w:val="01242920"/>
    <w:rsid w:val="012D22FD"/>
    <w:rsid w:val="01DF4F1D"/>
    <w:rsid w:val="024B2482"/>
    <w:rsid w:val="028D1814"/>
    <w:rsid w:val="02D55C39"/>
    <w:rsid w:val="033531D3"/>
    <w:rsid w:val="03490B7A"/>
    <w:rsid w:val="03913A1F"/>
    <w:rsid w:val="03BE5B47"/>
    <w:rsid w:val="04B83EFF"/>
    <w:rsid w:val="04FA4471"/>
    <w:rsid w:val="052938A7"/>
    <w:rsid w:val="05577B78"/>
    <w:rsid w:val="056F18F6"/>
    <w:rsid w:val="05AF002B"/>
    <w:rsid w:val="05D65171"/>
    <w:rsid w:val="06313096"/>
    <w:rsid w:val="06A843A0"/>
    <w:rsid w:val="08385603"/>
    <w:rsid w:val="08683851"/>
    <w:rsid w:val="089B1A4E"/>
    <w:rsid w:val="0A5567B6"/>
    <w:rsid w:val="0B4F2E24"/>
    <w:rsid w:val="0B744E10"/>
    <w:rsid w:val="0B8F1F7D"/>
    <w:rsid w:val="0C3F5BB7"/>
    <w:rsid w:val="0C8636D4"/>
    <w:rsid w:val="0D100FDE"/>
    <w:rsid w:val="1007482F"/>
    <w:rsid w:val="10EE467E"/>
    <w:rsid w:val="10F863AD"/>
    <w:rsid w:val="10FD395B"/>
    <w:rsid w:val="11886518"/>
    <w:rsid w:val="12C201E1"/>
    <w:rsid w:val="14DD63A2"/>
    <w:rsid w:val="14E96404"/>
    <w:rsid w:val="15290851"/>
    <w:rsid w:val="15613C0E"/>
    <w:rsid w:val="156A68AF"/>
    <w:rsid w:val="167D3E52"/>
    <w:rsid w:val="16DB4317"/>
    <w:rsid w:val="17855689"/>
    <w:rsid w:val="18EC1127"/>
    <w:rsid w:val="194636BD"/>
    <w:rsid w:val="19A551DD"/>
    <w:rsid w:val="19D07A76"/>
    <w:rsid w:val="1AD670EF"/>
    <w:rsid w:val="1AE7000D"/>
    <w:rsid w:val="1AFA1F88"/>
    <w:rsid w:val="1B46240B"/>
    <w:rsid w:val="1C1A0FB1"/>
    <w:rsid w:val="1D3831FD"/>
    <w:rsid w:val="1D60149D"/>
    <w:rsid w:val="1DCB1F08"/>
    <w:rsid w:val="1E1F669D"/>
    <w:rsid w:val="1E56278B"/>
    <w:rsid w:val="20903577"/>
    <w:rsid w:val="21A97758"/>
    <w:rsid w:val="21E11013"/>
    <w:rsid w:val="21FD4F4C"/>
    <w:rsid w:val="23121F86"/>
    <w:rsid w:val="23B71BC2"/>
    <w:rsid w:val="23C609E9"/>
    <w:rsid w:val="23EB3A52"/>
    <w:rsid w:val="24A67CBA"/>
    <w:rsid w:val="264B3AD5"/>
    <w:rsid w:val="264D0185"/>
    <w:rsid w:val="264D2293"/>
    <w:rsid w:val="26600825"/>
    <w:rsid w:val="27601D2A"/>
    <w:rsid w:val="28121446"/>
    <w:rsid w:val="285E7BBC"/>
    <w:rsid w:val="286333CE"/>
    <w:rsid w:val="289A36AD"/>
    <w:rsid w:val="28D23624"/>
    <w:rsid w:val="2935659C"/>
    <w:rsid w:val="29DA1F8E"/>
    <w:rsid w:val="2A5F47C6"/>
    <w:rsid w:val="2B5F689B"/>
    <w:rsid w:val="2B826E49"/>
    <w:rsid w:val="2B86238E"/>
    <w:rsid w:val="2BFE75B9"/>
    <w:rsid w:val="2C097EE8"/>
    <w:rsid w:val="2D381A67"/>
    <w:rsid w:val="2D452CD3"/>
    <w:rsid w:val="2D66541A"/>
    <w:rsid w:val="2F5318ED"/>
    <w:rsid w:val="311725BA"/>
    <w:rsid w:val="320071B7"/>
    <w:rsid w:val="337E6792"/>
    <w:rsid w:val="33830FDB"/>
    <w:rsid w:val="33D643D1"/>
    <w:rsid w:val="33E9670A"/>
    <w:rsid w:val="341E01F2"/>
    <w:rsid w:val="35EE38D9"/>
    <w:rsid w:val="36DD00AC"/>
    <w:rsid w:val="38DC44E3"/>
    <w:rsid w:val="3B1F3D8E"/>
    <w:rsid w:val="3B5D137F"/>
    <w:rsid w:val="3D404147"/>
    <w:rsid w:val="3D6F39A8"/>
    <w:rsid w:val="3DA42A71"/>
    <w:rsid w:val="3EBC58A9"/>
    <w:rsid w:val="3EBE0387"/>
    <w:rsid w:val="40332027"/>
    <w:rsid w:val="4095684E"/>
    <w:rsid w:val="420D1B7C"/>
    <w:rsid w:val="42111AF2"/>
    <w:rsid w:val="42F674E0"/>
    <w:rsid w:val="42FE1DA2"/>
    <w:rsid w:val="43895CBF"/>
    <w:rsid w:val="456A0ECF"/>
    <w:rsid w:val="457277D5"/>
    <w:rsid w:val="45DA50FE"/>
    <w:rsid w:val="46C7537D"/>
    <w:rsid w:val="46CD397F"/>
    <w:rsid w:val="47B0471D"/>
    <w:rsid w:val="486C510C"/>
    <w:rsid w:val="48DA04A9"/>
    <w:rsid w:val="49292C7F"/>
    <w:rsid w:val="495E5719"/>
    <w:rsid w:val="496429F3"/>
    <w:rsid w:val="49875422"/>
    <w:rsid w:val="49DE0FD2"/>
    <w:rsid w:val="4A8F6F4D"/>
    <w:rsid w:val="4B015FDA"/>
    <w:rsid w:val="4B776B56"/>
    <w:rsid w:val="4B9F32EE"/>
    <w:rsid w:val="4FF92679"/>
    <w:rsid w:val="501222E0"/>
    <w:rsid w:val="5126215B"/>
    <w:rsid w:val="51351EC4"/>
    <w:rsid w:val="5179581D"/>
    <w:rsid w:val="52895D57"/>
    <w:rsid w:val="52B0582F"/>
    <w:rsid w:val="5409489B"/>
    <w:rsid w:val="54345F35"/>
    <w:rsid w:val="54DD7BF3"/>
    <w:rsid w:val="570F48AD"/>
    <w:rsid w:val="5860798C"/>
    <w:rsid w:val="59261748"/>
    <w:rsid w:val="595C4545"/>
    <w:rsid w:val="5AD733EF"/>
    <w:rsid w:val="5B7128ED"/>
    <w:rsid w:val="5D263894"/>
    <w:rsid w:val="5D331AE8"/>
    <w:rsid w:val="5D852916"/>
    <w:rsid w:val="5DDE69BE"/>
    <w:rsid w:val="5DE83FC1"/>
    <w:rsid w:val="5E5D15DD"/>
    <w:rsid w:val="5E8067BB"/>
    <w:rsid w:val="5E866288"/>
    <w:rsid w:val="5F4B0163"/>
    <w:rsid w:val="5FB64D69"/>
    <w:rsid w:val="5FD42DF9"/>
    <w:rsid w:val="601B46B5"/>
    <w:rsid w:val="60FB4DD0"/>
    <w:rsid w:val="61587B75"/>
    <w:rsid w:val="61E9282E"/>
    <w:rsid w:val="62F41EDC"/>
    <w:rsid w:val="6326063F"/>
    <w:rsid w:val="63A71E6A"/>
    <w:rsid w:val="63C343FF"/>
    <w:rsid w:val="63D841C3"/>
    <w:rsid w:val="656322F9"/>
    <w:rsid w:val="65E36C8D"/>
    <w:rsid w:val="67A91052"/>
    <w:rsid w:val="69A944F9"/>
    <w:rsid w:val="6ADD5AE1"/>
    <w:rsid w:val="6BBC079A"/>
    <w:rsid w:val="6BC8789F"/>
    <w:rsid w:val="6C36209E"/>
    <w:rsid w:val="6C952840"/>
    <w:rsid w:val="6CB61CB6"/>
    <w:rsid w:val="6D38479E"/>
    <w:rsid w:val="6DDA4A12"/>
    <w:rsid w:val="6EE90259"/>
    <w:rsid w:val="6F17091E"/>
    <w:rsid w:val="6FA91282"/>
    <w:rsid w:val="70197A63"/>
    <w:rsid w:val="71020F7C"/>
    <w:rsid w:val="717D2C7D"/>
    <w:rsid w:val="71D862F5"/>
    <w:rsid w:val="724A23E1"/>
    <w:rsid w:val="727C6A7D"/>
    <w:rsid w:val="72B31A1D"/>
    <w:rsid w:val="740C389B"/>
    <w:rsid w:val="74231C42"/>
    <w:rsid w:val="742C7E26"/>
    <w:rsid w:val="746B7151"/>
    <w:rsid w:val="74CD182E"/>
    <w:rsid w:val="74F374BE"/>
    <w:rsid w:val="759000FD"/>
    <w:rsid w:val="76AB46BF"/>
    <w:rsid w:val="77140493"/>
    <w:rsid w:val="77A8194D"/>
    <w:rsid w:val="77B96183"/>
    <w:rsid w:val="78232A15"/>
    <w:rsid w:val="787D4849"/>
    <w:rsid w:val="78A37DB6"/>
    <w:rsid w:val="79A4194C"/>
    <w:rsid w:val="79AA6085"/>
    <w:rsid w:val="7A590706"/>
    <w:rsid w:val="7A5A2C38"/>
    <w:rsid w:val="7B2353D7"/>
    <w:rsid w:val="7BED34C6"/>
    <w:rsid w:val="7CF641DA"/>
    <w:rsid w:val="7D3F53C1"/>
    <w:rsid w:val="7D8615A5"/>
    <w:rsid w:val="7EF02F3D"/>
    <w:rsid w:val="7F1E3A91"/>
    <w:rsid w:val="7F425E25"/>
    <w:rsid w:val="7FEE59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styleId="9">
    <w:name w:val="List Paragraph"/>
    <w:basedOn w:val="1"/>
    <w:qFormat/>
    <w:uiPriority w:val="34"/>
    <w:pPr>
      <w:ind w:firstLine="420" w:firstLineChars="200"/>
    </w:pPr>
  </w:style>
  <w:style w:type="paragraph" w:customStyle="1" w:styleId="10">
    <w:name w:val="Char"/>
    <w:basedOn w:val="1"/>
    <w:qFormat/>
    <w:uiPriority w:val="0"/>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1941</Words>
  <Characters>2046</Characters>
  <Lines>22</Lines>
  <Paragraphs>6</Paragraphs>
  <TotalTime>94</TotalTime>
  <ScaleCrop>false</ScaleCrop>
  <LinksUpToDate>false</LinksUpToDate>
  <CharactersWithSpaces>2064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2020-10-14T09:33:00Z</dcterms:created>
  <dc:creator>Windows 用户</dc:creator>
  <cp:lastModifiedBy>Administrator</cp:lastModifiedBy>
  <cp:lastPrinted>2025-05-25T01:48:00Z</cp:lastPrinted>
  <dcterms:modified xsi:type="dcterms:W3CDTF">2026-07-27T03:22:03Z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1D152F5F4A494B789AB599F3A368EFD6_13</vt:lpwstr>
  </property>
  <property fmtid="{D5CDD505-2E9C-101B-9397-08002B2CF9AE}" pid="4" name="KSOTemplateDocerSaveRecord">
    <vt:lpwstr>eyJoZGlkIjoiMjA2MWE2OTM3MTUyZjEzYjdkMGUyNjg5NTk5ZjI4ZGYiLCJ1c2VySWQiOiI3MzcyNjc3OTMifQ==</vt:lpwstr>
  </property>
</Properties>
</file>