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rPr>
        <w:t xml:space="preserve">苏州工业园区政府采购</w:t>
      </w:r>
      <w:r/>
    </w:p>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rPr>
        <w:t xml:space="preserve">竞争性谈判文件</w:t>
      </w:r>
      <w:r/>
    </w:p>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before="240" w:after="24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1687"/>
        <w:spacing w:line="360" w:lineRule="auto"/>
        <w:shd w:val="clear" w:color="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采购编号：</w:t>
      </w:r>
      <w:r>
        <w:rPr>
          <w:rFonts w:hint="eastAsia" w:ascii="宋体" w:hAnsi="宋体" w:eastAsia="宋体" w:cs="宋体"/>
          <w:b/>
          <w:color w:val="000000"/>
          <w:sz w:val="28"/>
          <w:highlight w:val="none"/>
          <w:lang w:eastAsia="zh-CN"/>
        </w:rPr>
        <w:t xml:space="preserve">JSZC-320591-SZHQ-T2026-0018</w:t>
      </w:r>
      <w:r/>
    </w:p>
    <w:p>
      <w:pPr>
        <w:ind w:firstLine="1687"/>
        <w:spacing w:line="360" w:lineRule="auto"/>
        <w:shd w:val="clear" w:color="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采购人：</w:t>
      </w:r>
      <w:r>
        <w:rPr>
          <w:rFonts w:hint="eastAsia" w:ascii="宋体" w:hAnsi="宋体" w:eastAsia="宋体" w:cs="宋体"/>
          <w:b/>
          <w:color w:val="000000"/>
          <w:sz w:val="28"/>
          <w:highlight w:val="none"/>
        </w:rPr>
        <w:t xml:space="preserve">苏州市公安局苏州工业园区分局</w:t>
      </w:r>
      <w:r/>
    </w:p>
    <w:p>
      <w:pPr>
        <w:ind w:firstLine="1687"/>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采购代理机构：苏州海企国际工程咨询有限公司</w:t>
      </w:r>
      <w:r/>
    </w:p>
    <w:p>
      <w:pPr>
        <w:ind w:firstLine="1687"/>
        <w:spacing w:line="360" w:lineRule="auto"/>
        <w:shd w:val="clear" w:color="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项目名称:</w:t>
      </w:r>
      <w:r>
        <w:rPr>
          <w:rFonts w:hint="eastAsia" w:ascii="宋体" w:hAnsi="宋体" w:eastAsia="宋体" w:cs="宋体"/>
          <w:b/>
          <w:color w:val="000000"/>
          <w:sz w:val="28"/>
          <w:highlight w:val="none"/>
          <w:lang w:eastAsia="zh-CN"/>
        </w:rPr>
        <w:t xml:space="preserve">2026年园区公安分局毛发试剂耗材采购</w:t>
      </w:r>
      <w:r/>
    </w:p>
    <w:p>
      <w:pPr>
        <w:ind w:firstLine="1687"/>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采购类别：货物类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p>
    <w:p>
      <w:pPr>
        <w:spacing w:line="360" w:lineRule="auto"/>
        <w:shd w:val="clear" w:color="auto"/>
        <w:rPr>
          <w:rFonts w:ascii="宋体" w:hAnsi="宋体" w:eastAsia="宋体" w:cs="宋体"/>
          <w:color w:val="000000"/>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 </w:t>
      </w:r>
      <w:r/>
    </w:p>
    <w:p>
      <w:pPr>
        <w:pStyle w:val="740"/>
        <w:shd w:val="clear" w:color="auto"/>
        <w:rPr>
          <w:rFonts w:ascii="宋体" w:hAnsi="宋体" w:eastAsia="宋体" w:cs="宋体"/>
          <w:color w:val="000000"/>
          <w:highlight w:val="none"/>
        </w:rPr>
      </w:pPr>
      <w:r>
        <w:rPr>
          <w:rFonts w:ascii="宋体" w:hAnsi="宋体" w:eastAsia="宋体" w:cs="宋体"/>
          <w:color w:val="000000"/>
          <w:highlight w:val="none"/>
        </w:rPr>
      </w:r>
      <w:r/>
    </w:p>
    <w:p>
      <w:pPr>
        <w:shd w:val="clear" w:color="auto"/>
        <w:rPr>
          <w:rFonts w:ascii="宋体" w:hAnsi="宋体" w:eastAsia="宋体" w:cs="宋体"/>
          <w:color w:val="000000"/>
          <w:sz w:val="28"/>
          <w:highlight w:val="none"/>
        </w:rPr>
      </w:pPr>
      <w:r>
        <w:rPr>
          <w:rFonts w:ascii="宋体" w:hAnsi="宋体" w:eastAsia="宋体" w:cs="宋体"/>
          <w:color w:val="000000"/>
          <w:sz w:val="28"/>
          <w:highlight w:val="none"/>
        </w:rPr>
      </w:r>
      <w:r/>
    </w:p>
    <w:p>
      <w:pPr>
        <w:pStyle w:val="740"/>
        <w:shd w:val="clear" w:color="auto"/>
        <w:rPr>
          <w:rFonts w:ascii="宋体" w:hAnsi="宋体" w:eastAsia="宋体" w:cs="宋体"/>
          <w:color w:val="000000"/>
          <w:highlight w:val="none"/>
        </w:rPr>
      </w:pPr>
      <w:r>
        <w:rPr>
          <w:rFonts w:ascii="宋体" w:hAnsi="宋体" w:eastAsia="宋体" w:cs="宋体"/>
          <w:color w:val="000000"/>
          <w:highlight w:val="none"/>
        </w:rPr>
      </w:r>
      <w:r/>
    </w:p>
    <w:p>
      <w:pPr>
        <w:shd w:val="clear" w:color="auto"/>
        <w:rPr>
          <w:highlight w:val="none"/>
        </w:rPr>
      </w:pPr>
      <w:r>
        <w:rPr>
          <w:highlight w:val="none"/>
        </w:rPr>
      </w:r>
      <w:r/>
    </w:p>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苏州海企国际工程咨询有限公司</w:t>
      </w:r>
      <w:r/>
    </w:p>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202</w:t>
      </w:r>
      <w:r>
        <w:rPr>
          <w:rFonts w:hint="eastAsia" w:ascii="宋体" w:hAnsi="宋体" w:eastAsia="宋体" w:cs="宋体"/>
          <w:b/>
          <w:color w:val="000000"/>
          <w:sz w:val="28"/>
          <w:highlight w:val="none"/>
          <w:lang w:val="en-US" w:eastAsia="zh-CN"/>
        </w:rPr>
        <w:t xml:space="preserve">6</w:t>
      </w:r>
      <w:r>
        <w:rPr>
          <w:rFonts w:ascii="宋体" w:hAnsi="宋体" w:eastAsia="宋体" w:cs="宋体"/>
          <w:b/>
          <w:color w:val="000000"/>
          <w:sz w:val="28"/>
          <w:highlight w:val="none"/>
        </w:rPr>
        <w:t xml:space="preserve">年</w:t>
      </w:r>
      <w:r>
        <w:rPr>
          <w:rFonts w:hint="eastAsia" w:ascii="宋体" w:hAnsi="宋体" w:eastAsia="宋体" w:cs="宋体"/>
          <w:b/>
          <w:color w:val="000000"/>
          <w:sz w:val="28"/>
          <w:highlight w:val="none"/>
          <w:lang w:val="en-US" w:eastAsia="zh-CN"/>
        </w:rPr>
        <w:t xml:space="preserve">7</w:t>
      </w:r>
      <w:r>
        <w:rPr>
          <w:rFonts w:ascii="宋体" w:hAnsi="宋体" w:eastAsia="宋体" w:cs="宋体"/>
          <w:b/>
          <w:color w:val="000000"/>
          <w:sz w:val="28"/>
          <w:highlight w:val="none"/>
        </w:rPr>
        <w:t xml:space="preserve">月</w:t>
      </w:r>
      <w:r>
        <w:rPr>
          <w:highlight w:val="none"/>
        </w:rPr>
        <w:br w:type="page" w:clear="all"/>
      </w:r>
      <w:r/>
    </w:p>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前附表</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4"/>
        <w:gridCol w:w="2518"/>
        <w:gridCol w:w="5886"/>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规定</w:t>
            </w:r>
            <w:r/>
          </w:p>
        </w:tc>
      </w:tr>
      <w:tr>
        <w:trPr>
          <w:trHeight w:val="5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spacing w:line="360" w:lineRule="auto"/>
              <w:shd w:val="clear" w:color="auto"/>
              <w:rPr>
                <w:rFonts w:hint="eastAsia" w:eastAsia="楷体_GB231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2026年园区公安分局毛发试剂耗材采购</w:t>
            </w:r>
            <w:r/>
          </w:p>
        </w:tc>
      </w:tr>
      <w:tr>
        <w:trPr>
          <w:trHeight w:val="3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交货期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2年供货期，分批供货，收到采购人供货通知后7天内送至指定地点</w:t>
            </w:r>
            <w:r>
              <w:rPr>
                <w:rFonts w:ascii="宋体" w:hAnsi="宋体" w:eastAsia="宋体" w:cs="宋体"/>
                <w:color w:val="000000"/>
                <w:sz w:val="24"/>
                <w:highlight w:val="none"/>
              </w:rPr>
              <w:t xml:space="preserve">。</w:t>
            </w:r>
            <w:r/>
          </w:p>
        </w:tc>
      </w:tr>
      <w:tr>
        <w:trPr>
          <w:trHeight w:val="3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采购预算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人民币</w:t>
            </w:r>
            <w:r>
              <w:rPr>
                <w:rFonts w:hint="eastAsia" w:ascii="宋体" w:hAnsi="宋体" w:eastAsia="宋体" w:cs="宋体"/>
                <w:color w:val="000000"/>
                <w:sz w:val="24"/>
                <w:highlight w:val="none"/>
                <w:lang w:val="en-US" w:eastAsia="zh-CN"/>
              </w:rPr>
              <w:t xml:space="preserve">壹佰捌拾玖万玖仟玖佰捌拾肆圆整</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1899984.00</w:t>
            </w:r>
            <w:r>
              <w:rPr>
                <w:rFonts w:ascii="宋体" w:hAnsi="宋体" w:eastAsia="宋体" w:cs="宋体"/>
                <w:color w:val="000000"/>
                <w:sz w:val="24"/>
                <w:highlight w:val="none"/>
              </w:rPr>
              <w:t xml:space="preserve">元）</w:t>
            </w:r>
            <w:r/>
          </w:p>
        </w:tc>
      </w:tr>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最高限价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人民币</w:t>
            </w:r>
            <w:r>
              <w:rPr>
                <w:rFonts w:hint="eastAsia" w:ascii="宋体" w:hAnsi="宋体" w:eastAsia="宋体" w:cs="宋体"/>
                <w:color w:val="000000"/>
                <w:sz w:val="24"/>
                <w:highlight w:val="none"/>
                <w:lang w:val="en-US" w:eastAsia="zh-CN"/>
              </w:rPr>
              <w:t xml:space="preserve">壹佰捌拾玖万玖仟玖佰捌拾肆圆整</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1899984.00</w:t>
            </w:r>
            <w:r>
              <w:rPr>
                <w:rFonts w:ascii="宋体" w:hAnsi="宋体" w:eastAsia="宋体" w:cs="宋体"/>
                <w:color w:val="000000"/>
                <w:sz w:val="24"/>
                <w:highlight w:val="none"/>
              </w:rPr>
              <w:t xml:space="preserve">元）</w:t>
            </w:r>
            <w:r/>
          </w:p>
        </w:tc>
      </w:tr>
      <w:tr>
        <w:trPr>
          <w:trHeight w:val="3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供应商特定资格条件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spacing w:line="360" w:lineRule="auto"/>
              <w:shd w:val="clear" w:color="auto"/>
              <w:rPr>
                <w:rFonts w:hint="eastAsia" w:eastAsia="楷体_GB231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落实政府采购政策需满足的资格要求：</w:t>
            </w:r>
            <w:r>
              <w:rPr>
                <w:rFonts w:ascii="宋体" w:hAnsi="宋体" w:eastAsia="宋体" w:cs="宋体"/>
                <w:b/>
                <w:color w:val="auto"/>
                <w:sz w:val="24"/>
                <w:highlight w:val="none"/>
                <w:u w:val="single"/>
              </w:rPr>
              <w:t xml:space="preserve">本项目专门面向中小企业，所属行业为工业，制造商应为中小微企业、监狱企业、残疾人福利性单位；</w:t>
            </w:r>
            <w:r/>
          </w:p>
        </w:tc>
      </w:tr>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进口产品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不接受。</w:t>
            </w:r>
            <w:r/>
          </w:p>
        </w:tc>
      </w:tr>
      <w:tr>
        <w:trPr>
          <w:trHeight w:val="44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联合体谈判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不接受，谈判文件中有关联合体规定均不适用。</w:t>
            </w:r>
            <w:r/>
          </w:p>
        </w:tc>
      </w:tr>
      <w:tr>
        <w:trPr>
          <w:trHeight w:val="42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现场考察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不组织，自行考察</w:t>
            </w:r>
            <w:r/>
          </w:p>
        </w:tc>
      </w:tr>
      <w:tr>
        <w:trPr>
          <w:trHeight w:val="5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响应文件份数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成交单位成交后须提供2套响应文件。</w:t>
            </w:r>
            <w:r/>
          </w:p>
        </w:tc>
      </w:tr>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谈判响应货币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人民币</w:t>
            </w:r>
            <w:r/>
          </w:p>
        </w:tc>
      </w:tr>
      <w:tr>
        <w:trPr>
          <w:trHeight w:val="7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代理服务费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代理服务费收费标准：</w:t>
            </w:r>
            <w:r/>
          </w:p>
          <w:p>
            <w:pPr>
              <w:ind w:firstLine="0"/>
              <w:keepLines w:val="0"/>
              <w:keepNext w:val="0"/>
              <w:pageBreakBefore w:val="0"/>
              <w:spacing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依据《关于进一步规范政府采购活动相关费用管理的通知》（苏财规〔2026〕1号）相关规定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本项目收取招标代理服务费的要求如下：</w:t>
            </w:r>
            <w:r/>
          </w:p>
          <w:p>
            <w:pPr>
              <w:ind w:firstLine="0"/>
              <w:keepLines w:val="0"/>
              <w:keepNext w:val="0"/>
              <w:pageBreakBefore w:val="0"/>
              <w:spacing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支付主体：本项目招标代理服务费由中标（成交）供应商支付。</w:t>
            </w:r>
            <w:r/>
          </w:p>
          <w:p>
            <w:pPr>
              <w:ind w:firstLine="0"/>
              <w:keepLines w:val="0"/>
              <w:keepNext w:val="0"/>
              <w:pageBreakBefore w:val="0"/>
              <w:spacing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支付原因：结合本项目实际情况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采购预算中已包含该项代理服务费，供应商</w:t>
            </w:r>
            <w:r>
              <w:rPr>
                <w:rFonts w:hint="eastAsia" w:ascii="宋体" w:hAnsi="宋体" w:eastAsia="宋体" w:cs="宋体"/>
                <w:color w:val="auto"/>
                <w:sz w:val="24"/>
                <w:szCs w:val="24"/>
                <w:highlight w:val="none"/>
                <w:lang w:val="en-US" w:eastAsia="zh-CN"/>
              </w:rPr>
              <w:t xml:space="preserve">报价应当包含代理服务费</w:t>
            </w:r>
            <w:r>
              <w:rPr>
                <w:rFonts w:hint="eastAsia" w:ascii="宋体" w:hAnsi="宋体" w:eastAsia="宋体" w:cs="宋体"/>
                <w:color w:val="auto"/>
                <w:sz w:val="24"/>
                <w:szCs w:val="24"/>
                <w:highlight w:val="none"/>
              </w:rPr>
              <w:t xml:space="preserve">，但无需单独列明。</w:t>
            </w:r>
            <w:r/>
          </w:p>
          <w:p>
            <w:pPr>
              <w:ind w:firstLine="0"/>
              <w:keepLines w:val="0"/>
              <w:keepNext w:val="0"/>
              <w:pageBreakBefore w:val="0"/>
              <w:spacing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收取方式：中标（成交）供应商在领取中标（成交）通知书前，须向采购代理机构一次性付清招标代理服务费。</w:t>
            </w:r>
            <w:r/>
          </w:p>
          <w:p>
            <w:pPr>
              <w:ind w:firstLine="0"/>
              <w:keepLines w:val="0"/>
              <w:keepNext w:val="0"/>
              <w:pageBreakBefore w:val="0"/>
              <w:spacing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收费标准：本项目招标代理服务费参照</w:t>
            </w:r>
            <w:r>
              <w:rPr>
                <w:rFonts w:hint="eastAsia" w:ascii="宋体" w:hAnsi="宋体" w:eastAsia="宋体" w:cs="宋体"/>
                <w:color w:val="auto"/>
                <w:sz w:val="24"/>
                <w:szCs w:val="24"/>
                <w:highlight w:val="none"/>
                <w:lang w:eastAsia="zh-CN"/>
              </w:rPr>
              <w:t xml:space="preserve">“苏州市级政府采购代理服务收费公告信息表第一批（苏财购告【2016】31号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规定的收费标准</w:t>
            </w:r>
            <w:r>
              <w:rPr>
                <w:rFonts w:hint="eastAsia" w:ascii="宋体" w:hAnsi="宋体" w:eastAsia="宋体" w:cs="宋体"/>
                <w:color w:val="auto"/>
                <w:sz w:val="24"/>
                <w:szCs w:val="24"/>
                <w:highlight w:val="none"/>
                <w:lang w:val="en-US" w:eastAsia="zh-CN"/>
              </w:rPr>
              <w:t xml:space="preserve">，以项目预算为基数，采用</w:t>
            </w:r>
            <w:r>
              <w:rPr>
                <w:rFonts w:hint="eastAsia" w:ascii="宋体" w:hAnsi="宋体" w:eastAsia="宋体" w:cs="宋体"/>
                <w:color w:val="auto"/>
                <w:sz w:val="24"/>
                <w:szCs w:val="24"/>
                <w:highlight w:val="none"/>
              </w:rPr>
              <w:t xml:space="preserve">“比例差额定率累进法计算”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具体如下：</w:t>
            </w:r>
            <w:r/>
          </w:p>
          <w:p>
            <w:pPr>
              <w:ind w:firstLine="0"/>
              <w:keepLines w:val="0"/>
              <w:keepNext w:val="0"/>
              <w:pageBreakBefore w:val="0"/>
              <w:spacing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预算金额100万元以下部分，费率为该部分预算金额的1.5%；</w:t>
            </w:r>
            <w:r/>
          </w:p>
          <w:p>
            <w:pPr>
              <w:ind w:firstLine="0"/>
              <w:keepLines w:val="0"/>
              <w:keepNext w:val="0"/>
              <w:pageBreakBefore w:val="0"/>
              <w:spacing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预算金额100万元（含）－500万元部分，费率为该部分预算金额的1.1%；</w:t>
            </w:r>
            <w:r/>
          </w:p>
          <w:p>
            <w:pPr>
              <w:ind w:firstLine="0"/>
              <w:keepLines w:val="0"/>
              <w:keepNext w:val="0"/>
              <w:pageBreakBefore w:val="0"/>
              <w:spacing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预算金额500万元（含）－1000万元部分，费率为该部分预算金额的0.8%；</w:t>
            </w:r>
            <w:r/>
          </w:p>
          <w:p>
            <w:pPr>
              <w:ind w:firstLine="0"/>
              <w:keepLines w:val="0"/>
              <w:keepNext w:val="0"/>
              <w:pageBreakBefore w:val="0"/>
              <w:spacing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预算金额1000万元（含）－5000万元部分，费率为该部分预算金额的0.5%；</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预算金额5000万元（含）以上部分，费率为该部分预算金额的0.25%。</w:t>
            </w:r>
            <w:r/>
          </w:p>
        </w:tc>
      </w:tr>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响应保证金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不提交，本项目谈判文件内关于响应保证金的相关规定均不适用。</w:t>
            </w:r>
            <w:r/>
          </w:p>
        </w:tc>
      </w:tr>
      <w:tr>
        <w:trPr>
          <w:trHeight w:val="38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响应文件有效期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90日历天（从提交响应文件截止时间当日起算）</w:t>
            </w:r>
            <w:r/>
          </w:p>
        </w:tc>
      </w:tr>
      <w:tr>
        <w:trPr>
          <w:trHeight w:val="9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电子响应文件上传截止时间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时间：202</w:t>
            </w:r>
            <w:r>
              <w:rPr>
                <w:rFonts w:hint="eastAsia" w:ascii="宋体" w:hAnsi="宋体" w:eastAsia="宋体" w:cs="宋体"/>
                <w:color w:val="000000"/>
                <w:sz w:val="24"/>
                <w:highlight w:val="none"/>
                <w:lang w:val="en-US" w:eastAsia="zh-CN"/>
              </w:rPr>
              <w:t xml:space="preserve">6</w:t>
            </w:r>
            <w:r>
              <w:rPr>
                <w:rFonts w:ascii="宋体" w:hAnsi="宋体" w:eastAsia="宋体" w:cs="宋体"/>
                <w:color w:val="000000"/>
                <w:sz w:val="24"/>
                <w:highlight w:val="none"/>
              </w:rPr>
              <w:t xml:space="preserve">年07</w:t>
            </w:r>
            <w:r>
              <w:rPr>
                <w:rFonts w:ascii="宋体" w:hAnsi="宋体" w:eastAsia="宋体" w:cs="宋体"/>
                <w:color w:val="000000"/>
                <w:sz w:val="24"/>
                <w:highlight w:val="none"/>
              </w:rPr>
              <w:t xml:space="preserve">月30</w:t>
            </w:r>
            <w:r>
              <w:rPr>
                <w:rFonts w:ascii="宋体" w:hAnsi="宋体" w:eastAsia="宋体" w:cs="宋体"/>
                <w:color w:val="000000"/>
                <w:sz w:val="24"/>
                <w:highlight w:val="none"/>
              </w:rPr>
              <w:t xml:space="preserve">日09时30分</w:t>
            </w:r>
            <w:r/>
          </w:p>
        </w:tc>
      </w:tr>
      <w:tr>
        <w:trPr>
          <w:trHeight w:val="4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谈判时间和地点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时间：202</w:t>
            </w:r>
            <w:r>
              <w:rPr>
                <w:rFonts w:hint="eastAsia" w:ascii="宋体" w:hAnsi="宋体" w:eastAsia="宋体" w:cs="宋体"/>
                <w:color w:val="000000"/>
                <w:sz w:val="24"/>
                <w:highlight w:val="none"/>
                <w:lang w:val="en-US" w:eastAsia="zh-CN"/>
              </w:rPr>
              <w:t xml:space="preserve">6</w:t>
            </w:r>
            <w:r>
              <w:rPr>
                <w:rFonts w:ascii="宋体" w:hAnsi="宋体" w:eastAsia="宋体" w:cs="宋体"/>
                <w:color w:val="000000"/>
                <w:sz w:val="24"/>
                <w:highlight w:val="none"/>
              </w:rPr>
              <w:t xml:space="preserve">年07</w:t>
            </w:r>
            <w:r>
              <w:rPr>
                <w:rFonts w:ascii="宋体" w:hAnsi="宋体" w:eastAsia="宋体" w:cs="宋体"/>
                <w:color w:val="000000"/>
                <w:sz w:val="24"/>
                <w:highlight w:val="none"/>
              </w:rPr>
              <w:t xml:space="preserve">月30</w:t>
            </w:r>
            <w:r>
              <w:rPr>
                <w:rFonts w:ascii="宋体" w:hAnsi="宋体" w:eastAsia="宋体" w:cs="宋体"/>
                <w:color w:val="000000"/>
                <w:sz w:val="24"/>
                <w:highlight w:val="none"/>
              </w:rPr>
              <w:t xml:space="preserve">日09时30分</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地点：“苏彩云”系统</w:t>
            </w:r>
            <w:r/>
          </w:p>
        </w:tc>
      </w:tr>
      <w:tr>
        <w:trPr>
          <w:trHeight w:val="18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成交原则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在响应报价（包括最后报价）未超过采购预算，且响应内容的质量和服务均能满足谈判文件实质性响应要求的供应商（不少于三家）中，提出最低报价的供应商确定为成交供应商。</w:t>
            </w:r>
            <w:r/>
          </w:p>
        </w:tc>
      </w:tr>
      <w:tr>
        <w:trPr>
          <w:trHeight w:val="6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评审办法</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详见第六章</w:t>
            </w:r>
            <w:r/>
          </w:p>
        </w:tc>
      </w:tr>
      <w:tr>
        <w:trPr>
          <w:trHeight w:val="6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签订合同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成交通知书发出之日起</w:t>
            </w:r>
            <w:r>
              <w:rPr>
                <w:rFonts w:hint="eastAsia" w:ascii="宋体" w:hAnsi="宋体" w:eastAsia="宋体" w:cs="宋体"/>
                <w:color w:val="000000"/>
                <w:sz w:val="24"/>
                <w:highlight w:val="none"/>
              </w:rPr>
              <w:t xml:space="preserve">30</w:t>
            </w:r>
            <w:r>
              <w:rPr>
                <w:rFonts w:ascii="宋体" w:hAnsi="宋体" w:eastAsia="宋体" w:cs="宋体"/>
                <w:color w:val="000000"/>
                <w:sz w:val="24"/>
                <w:highlight w:val="none"/>
              </w:rPr>
              <w:t xml:space="preserve">日内</w:t>
            </w:r>
            <w:r/>
          </w:p>
        </w:tc>
      </w:tr>
      <w:tr>
        <w:trPr>
          <w:trHeight w:val="6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履约保证金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不提交</w:t>
            </w:r>
            <w:r/>
          </w:p>
        </w:tc>
      </w:tr>
      <w:tr>
        <w:trPr>
          <w:trHeight w:val="5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监督电话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苏州工业园区财政审计局电话：0512-66681110</w:t>
            </w:r>
            <w:r/>
          </w:p>
        </w:tc>
      </w:tr>
    </w:tbl>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bookmarkStart w:id="10" w:name="_GoBack"/>
      <w:r/>
      <w:bookmarkEnd w:id="10"/>
      <w:r>
        <w:rPr>
          <w:rFonts w:ascii="宋体" w:hAnsi="宋体" w:eastAsia="宋体" w:cs="宋体"/>
          <w:b/>
          <w:color w:val="000000"/>
          <w:sz w:val="52"/>
          <w:highlight w:val="none"/>
        </w:rPr>
        <w:t xml:space="preserve">目录</w:t>
      </w:r>
      <w:r/>
    </w:p>
    <w:p>
      <w:pPr>
        <w:ind w:firstLine="600"/>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rPr>
        <w:t xml:space="preserve"> </w:t>
      </w:r>
      <w:r/>
    </w:p>
    <w:p>
      <w:pPr>
        <w:ind w:firstLine="602"/>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p>
    <w:p>
      <w:pPr>
        <w:ind w:firstLine="60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第一章 谈判邀请函</w:t>
      </w:r>
      <w:r/>
    </w:p>
    <w:p>
      <w:pPr>
        <w:ind w:firstLine="60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第二章 供应商须知</w:t>
      </w:r>
      <w:r/>
    </w:p>
    <w:p>
      <w:pPr>
        <w:ind w:firstLine="60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第三章 响应文件格式</w:t>
      </w:r>
      <w:r/>
    </w:p>
    <w:p>
      <w:pPr>
        <w:ind w:firstLine="60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第四章 谈判采购内容</w:t>
      </w:r>
      <w:r/>
    </w:p>
    <w:p>
      <w:pPr>
        <w:ind w:firstLine="60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第五章 合同条款</w:t>
      </w:r>
      <w:r/>
    </w:p>
    <w:p>
      <w:pPr>
        <w:ind w:firstLine="60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第六章 评审办法</w:t>
      </w:r>
      <w:r/>
    </w:p>
    <w:p>
      <w:pPr>
        <w:ind w:firstLine="602"/>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rPr>
        <w:t xml:space="preserve"> </w:t>
      </w:r>
      <w:r/>
    </w:p>
    <w:p>
      <w:pPr>
        <w:ind w:firstLine="643"/>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643"/>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firstLine="643"/>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firstLine="643"/>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firstLine="643"/>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pStyle w:val="719"/>
        <w:jc w:val="center"/>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t xml:space="preserve">第一章 谈判邀请函</w:t>
      </w:r>
      <w:r/>
    </w:p>
    <w:p>
      <w:pPr>
        <w:ind w:firstLine="520"/>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520"/>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highlight w:val="none"/>
        </w:rPr>
        <w:t xml:space="preserve">谈判邀请函</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项目概况</w:t>
      </w:r>
      <w:r/>
    </w:p>
    <w:p>
      <w:pPr>
        <w:ind w:firstLine="24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2026年园区公安分局毛发试剂耗材采购</w:t>
      </w:r>
      <w:r>
        <w:rPr>
          <w:rFonts w:ascii="宋体" w:hAnsi="宋体" w:eastAsia="宋体" w:cs="宋体"/>
          <w:color w:val="000000"/>
          <w:sz w:val="24"/>
          <w:highlight w:val="none"/>
        </w:rPr>
        <w:t xml:space="preserve">项目的潜在供应商应在“苏采云”系统获取采购文件，并于202</w:t>
      </w:r>
      <w:r>
        <w:rPr>
          <w:rFonts w:hint="eastAsia" w:ascii="宋体" w:hAnsi="宋体" w:eastAsia="宋体" w:cs="宋体"/>
          <w:color w:val="000000"/>
          <w:sz w:val="24"/>
          <w:highlight w:val="none"/>
          <w:lang w:val="en-US" w:eastAsia="zh-CN"/>
        </w:rPr>
        <w:t xml:space="preserve">6</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07</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30</w:t>
      </w:r>
      <w:r>
        <w:rPr>
          <w:rFonts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09</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rPr>
        <w:t xml:space="preserve">0分（北京时间）前递交响应文件。</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一、项目基本情况</w:t>
      </w:r>
      <w:r/>
    </w:p>
    <w:p>
      <w:pPr>
        <w:ind w:firstLine="480"/>
        <w:spacing w:line="360" w:lineRule="auto"/>
        <w:shd w:val="clear" w:color="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JSZC-320591-SZHQ-T2026-0018</w:t>
      </w:r>
      <w:r/>
    </w:p>
    <w:p>
      <w:pPr>
        <w:ind w:firstLine="480"/>
        <w:spacing w:line="360" w:lineRule="auto"/>
        <w:shd w:val="clear" w:color="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2026年园区公安分局毛发试剂耗材采购</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采购方式：竞争性谈判</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预算金额：</w:t>
      </w:r>
      <w:r>
        <w:rPr>
          <w:rFonts w:hint="eastAsia" w:ascii="宋体" w:hAnsi="宋体" w:eastAsia="宋体" w:cs="宋体"/>
          <w:color w:val="000000"/>
          <w:sz w:val="24"/>
          <w:highlight w:val="none"/>
          <w:lang w:eastAsia="zh-CN"/>
        </w:rPr>
        <w:t xml:space="preserve">189.9984</w:t>
      </w:r>
      <w:r>
        <w:rPr>
          <w:rFonts w:hint="eastAsia" w:ascii="宋体" w:hAnsi="宋体" w:eastAsia="宋体" w:cs="宋体"/>
          <w:color w:val="000000"/>
          <w:sz w:val="24"/>
          <w:highlight w:val="none"/>
          <w:lang w:val="en-US" w:eastAsia="zh-CN"/>
        </w:rPr>
        <w:t xml:space="preserve">万</w:t>
      </w:r>
      <w:r>
        <w:rPr>
          <w:rFonts w:ascii="宋体" w:hAnsi="宋体" w:eastAsia="宋体" w:cs="宋体"/>
          <w:color w:val="000000"/>
          <w:sz w:val="24"/>
          <w:highlight w:val="none"/>
        </w:rPr>
        <w:t xml:space="preserve">元</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最高限价：</w:t>
      </w:r>
      <w:r>
        <w:rPr>
          <w:rFonts w:hint="eastAsia" w:ascii="宋体" w:hAnsi="宋体" w:eastAsia="宋体" w:cs="宋体"/>
          <w:color w:val="000000"/>
          <w:sz w:val="24"/>
          <w:highlight w:val="none"/>
          <w:lang w:eastAsia="zh-CN"/>
        </w:rPr>
        <w:t xml:space="preserve">189.9984</w:t>
      </w:r>
      <w:r>
        <w:rPr>
          <w:rFonts w:hint="eastAsia" w:ascii="宋体" w:hAnsi="宋体" w:eastAsia="宋体" w:cs="宋体"/>
          <w:color w:val="000000"/>
          <w:sz w:val="24"/>
          <w:highlight w:val="none"/>
          <w:lang w:val="en-US" w:eastAsia="zh-CN"/>
        </w:rPr>
        <w:t xml:space="preserve">万</w:t>
      </w:r>
      <w:r>
        <w:rPr>
          <w:rFonts w:ascii="宋体" w:hAnsi="宋体" w:eastAsia="宋体" w:cs="宋体"/>
          <w:color w:val="000000"/>
          <w:sz w:val="24"/>
          <w:highlight w:val="none"/>
        </w:rPr>
        <w:t xml:space="preserve">元</w:t>
      </w:r>
      <w:r/>
    </w:p>
    <w:p>
      <w:p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采购需求：</w:t>
      </w:r>
      <w:r/>
    </w:p>
    <w:p>
      <w:pPr>
        <w:pStyle w:val="740"/>
        <w:ind w:firstLine="480"/>
        <w:keepLines w:val="0"/>
        <w:keepNext w:val="0"/>
        <w:pageBreakBefore w:val="0"/>
        <w:spacing w:line="360" w:lineRule="auto"/>
        <w:shd w:val="clear" w:color="auto"/>
        <w:widowControl w:val="off"/>
        <w:rPr>
          <w:rFonts w:hint="default" w:eastAsia="宋体"/>
          <w:highlight w:val="none"/>
          <w:lang w:val="en-US" w:eastAsia="zh-CN"/>
        </w:rPr>
      </w:pPr>
      <w:r>
        <w:rPr>
          <w:rFonts w:hint="eastAsia" w:ascii="宋体" w:hAnsi="宋体" w:eastAsia="宋体" w:cs="宋体"/>
          <w:color w:val="000000"/>
          <w:sz w:val="24"/>
          <w:highlight w:val="none"/>
          <w:lang w:val="en-US" w:eastAsia="zh-CN"/>
        </w:rPr>
        <w:t xml:space="preserve">1、采购清单（所有设备的总报价不得超过最高限价且各设备单价不得超过单价最高限价）：</w:t>
      </w:r>
      <w:r/>
    </w:p>
    <w:tbl>
      <w:tblPr>
        <w:tblStyle w:val="7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92"/>
        <w:gridCol w:w="5604"/>
        <w:gridCol w:w="760"/>
        <w:gridCol w:w="492"/>
        <w:gridCol w:w="1245"/>
        <w:gridCol w:w="524"/>
      </w:tblGrid>
      <w:tr>
        <w:trPr>
          <w:jc w:val="center"/>
          <w:trHeight w:val="358"/>
        </w:trPr>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rPr>
            </w:pPr>
            <w:r>
              <w:rPr>
                <w:rFonts w:ascii="宋体" w:hAnsi="宋体" w:eastAsia="宋体" w:cs="宋体"/>
                <w:b/>
                <w:bCs/>
                <w:color w:val="auto"/>
                <w:sz w:val="24"/>
                <w:szCs w:val="24"/>
                <w:highlight w:val="none"/>
                <w:lang w:val="zh-TW" w:eastAsia="zh-TW"/>
              </w:rPr>
              <w:t xml:space="preserve">序号</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rPr>
            </w:pPr>
            <w:r>
              <w:rPr>
                <w:rFonts w:ascii="宋体" w:hAnsi="宋体" w:eastAsia="宋体" w:cs="宋体"/>
                <w:b/>
                <w:bCs/>
                <w:color w:val="auto"/>
                <w:sz w:val="24"/>
                <w:szCs w:val="24"/>
                <w:highlight w:val="none"/>
                <w:lang w:val="zh-TW" w:eastAsia="zh-TW"/>
              </w:rPr>
              <w:t xml:space="preserve">采购内容</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rPr>
            </w:pPr>
            <w:r>
              <w:rPr>
                <w:rFonts w:ascii="宋体" w:hAnsi="宋体" w:eastAsia="宋体" w:cs="宋体"/>
                <w:b/>
                <w:bCs/>
                <w:color w:val="auto"/>
                <w:sz w:val="24"/>
                <w:szCs w:val="24"/>
                <w:highlight w:val="none"/>
                <w:lang w:val="zh-TW" w:eastAsia="zh-TW"/>
              </w:rPr>
              <w:t xml:space="preserve">数量</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rPr>
            </w:pPr>
            <w:r>
              <w:rPr>
                <w:rFonts w:ascii="宋体" w:hAnsi="宋体" w:eastAsia="宋体" w:cs="宋体"/>
                <w:b/>
                <w:bCs/>
                <w:color w:val="auto"/>
                <w:sz w:val="24"/>
                <w:szCs w:val="24"/>
                <w:highlight w:val="none"/>
                <w:lang w:val="zh-TW" w:eastAsia="zh-TW"/>
              </w:rPr>
              <w:t xml:space="preserve">单位</w:t>
            </w:r>
            <w:r/>
          </w:p>
        </w:tc>
        <w:tc>
          <w:tcPr>
            <w:tcW w:w="0" w:type="auto"/>
            <w:textDirection w:val="lrTb"/>
            <w:noWrap w:val="false"/>
          </w:tcPr>
          <w:p>
            <w:pPr>
              <w:pStyle w:val="1033"/>
              <w:jc w:val="center"/>
              <w:spacing w:line="360" w:lineRule="auto"/>
              <w:shd w:val="clear" w:color="auto"/>
              <w:rPr>
                <w:rFonts w:hint="eastAsia" w:ascii="宋体" w:hAnsi="宋体" w:eastAsia="宋体" w:cs="宋体"/>
                <w:b/>
                <w:bCs/>
                <w:color w:val="auto"/>
                <w:sz w:val="24"/>
                <w:szCs w:val="24"/>
                <w:highlight w:val="none"/>
                <w:lang w:val="zh-TW" w:eastAsia="zh-CN"/>
              </w:rPr>
            </w:pPr>
            <w:r>
              <w:rPr>
                <w:rFonts w:ascii="宋体" w:hAnsi="宋体" w:eastAsia="宋体" w:cs="宋体"/>
                <w:b/>
                <w:bCs/>
                <w:color w:val="auto"/>
                <w:sz w:val="24"/>
                <w:szCs w:val="24"/>
                <w:highlight w:val="none"/>
                <w:lang w:val="zh-TW"/>
              </w:rPr>
              <w:t xml:space="preserve">单价限价</w:t>
            </w:r>
            <w:r>
              <w:rPr>
                <w:rFonts w:hint="eastAsia" w:ascii="宋体" w:hAnsi="宋体" w:eastAsia="宋体" w:cs="宋体"/>
                <w:b/>
                <w:bCs/>
                <w:color w:val="auto"/>
                <w:sz w:val="24"/>
                <w:szCs w:val="24"/>
                <w:highlight w:val="none"/>
                <w:lang w:val="zh-TW" w:eastAsia="zh-CN"/>
              </w:rPr>
              <w:t xml:space="preserve">（</w:t>
            </w:r>
            <w:r>
              <w:rPr>
                <w:rFonts w:hint="eastAsia" w:ascii="宋体" w:hAnsi="宋体" w:eastAsia="宋体" w:cs="宋体"/>
                <w:b/>
                <w:bCs/>
                <w:color w:val="auto"/>
                <w:sz w:val="24"/>
                <w:szCs w:val="24"/>
                <w:highlight w:val="none"/>
                <w:lang w:val="en-US" w:eastAsia="zh-CN"/>
              </w:rPr>
              <w:t xml:space="preserve">元</w:t>
            </w:r>
            <w:r>
              <w:rPr>
                <w:rFonts w:hint="eastAsia" w:ascii="宋体" w:hAnsi="宋体" w:eastAsia="宋体" w:cs="宋体"/>
                <w:b/>
                <w:bCs/>
                <w:color w:val="auto"/>
                <w:sz w:val="24"/>
                <w:szCs w:val="24"/>
                <w:highlight w:val="none"/>
                <w:lang w:val="zh-TW" w:eastAsia="zh-CN"/>
              </w:rPr>
              <w:t xml:space="preserve">）</w:t>
            </w:r>
            <w:r/>
          </w:p>
        </w:tc>
        <w:tc>
          <w:tcPr>
            <w:shd w:val="clear" w:color="auto" w:fill="auto"/>
            <w:tcW w:w="0" w:type="auto"/>
            <w:vAlign w:val="center"/>
            <w:textDirection w:val="lrTb"/>
            <w:noWrap w:val="false"/>
          </w:tcPr>
          <w:p>
            <w:pPr>
              <w:pStyle w:val="1033"/>
              <w:jc w:val="center"/>
              <w:spacing w:line="360" w:lineRule="auto"/>
              <w:shd w:val="clear" w:color="auto"/>
              <w:rPr>
                <w:rFonts w:hint="default" w:ascii="宋体" w:hAnsi="宋体" w:eastAsia="宋体" w:cs="宋体"/>
                <w:b/>
                <w:bCs/>
                <w:color w:val="auto"/>
                <w:sz w:val="24"/>
                <w:szCs w:val="24"/>
                <w:highlight w:val="none"/>
                <w:lang w:val="zh-TW" w:eastAsia="zh-TW"/>
              </w:rPr>
            </w:pPr>
            <w:r>
              <w:rPr>
                <w:rFonts w:ascii="宋体" w:hAnsi="宋体" w:eastAsia="宋体" w:cs="宋体"/>
                <w:b/>
                <w:bCs/>
                <w:color w:val="auto"/>
                <w:sz w:val="24"/>
                <w:szCs w:val="24"/>
                <w:highlight w:val="none"/>
                <w:lang w:val="zh-TW" w:eastAsia="zh-TW"/>
              </w:rPr>
              <w:t xml:space="preserve">备注</w:t>
            </w:r>
            <w:r/>
          </w:p>
        </w:tc>
      </w:tr>
      <w:tr>
        <w:trPr>
          <w:jc w:val="center"/>
          <w:trHeight w:val="720"/>
        </w:trPr>
        <w:tc>
          <w:tcPr>
            <w:shd w:val="clear" w:color="auto" w:fill="auto"/>
            <w:tcMar>
              <w:left w:w="80" w:type="dxa"/>
              <w:top w:w="80" w:type="dxa"/>
              <w:right w:w="80" w:type="dxa"/>
              <w:bottom w:w="80" w:type="dxa"/>
            </w:tcMar>
            <w:tcW w:w="0" w:type="auto"/>
            <w:vAlign w:val="center"/>
            <w:textDirection w:val="lrTb"/>
            <w:noWrap w:val="false"/>
          </w:tcPr>
          <w:p>
            <w:pPr>
              <w:pStyle w:val="1033"/>
              <w:numPr>
                <w:ilvl w:val="0"/>
                <w:numId w:val="2"/>
              </w:numPr>
              <w:jc w:val="center"/>
              <w:spacing w:line="360" w:lineRule="auto"/>
              <w:shd w:val="clear" w:color="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lang w:val="zh-CN"/>
              </w:rPr>
            </w:pPr>
            <w:r>
              <w:rPr>
                <w:rFonts w:ascii="宋体" w:hAnsi="宋体" w:eastAsia="宋体" w:cs="宋体"/>
                <w:color w:val="auto"/>
                <w:sz w:val="24"/>
                <w:szCs w:val="24"/>
                <w:highlight w:val="none"/>
              </w:rPr>
              <w:t xml:space="preserve">依托咪酯</w:t>
            </w:r>
            <w:r>
              <w:rPr>
                <w:rFonts w:hint="eastAsia" w:ascii="宋体" w:hAnsi="宋体" w:eastAsia="宋体" w:cs="宋体"/>
                <w:color w:val="auto"/>
                <w:sz w:val="24"/>
                <w:szCs w:val="24"/>
                <w:highlight w:val="none"/>
                <w:lang w:val="en-US" w:eastAsia="zh-CN"/>
              </w:rPr>
              <w:t xml:space="preserve">/右美沙芬</w:t>
            </w:r>
            <w:r>
              <w:rPr>
                <w:rFonts w:ascii="宋体" w:hAnsi="宋体" w:eastAsia="宋体" w:cs="宋体"/>
                <w:color w:val="auto"/>
                <w:sz w:val="24"/>
                <w:szCs w:val="24"/>
                <w:highlight w:val="none"/>
              </w:rPr>
              <w:t xml:space="preserve">尿液检测试剂</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000</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keepNext/>
              <w:spacing w:before="60" w:after="60" w:line="360" w:lineRule="auto"/>
              <w:shd w:val="clear" w:color="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份</w:t>
            </w:r>
            <w:r/>
          </w:p>
        </w:tc>
        <w:tc>
          <w:tcPr>
            <w:tcW w:w="0" w:type="auto"/>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.50</w:t>
            </w:r>
            <w:r/>
          </w:p>
        </w:tc>
        <w:tc>
          <w:tcPr>
            <w:shd w:val="clear" w:color="auto" w:fill="auto"/>
            <w:tcW w:w="0" w:type="auto"/>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tc>
      </w:tr>
      <w:tr>
        <w:trPr>
          <w:jc w:val="center"/>
          <w:trHeight w:val="858"/>
        </w:trPr>
        <w:tc>
          <w:tcPr>
            <w:shd w:val="clear" w:color="auto" w:fill="auto"/>
            <w:tcMar>
              <w:left w:w="80" w:type="dxa"/>
              <w:top w:w="80" w:type="dxa"/>
              <w:right w:w="80" w:type="dxa"/>
              <w:bottom w:w="80" w:type="dxa"/>
            </w:tcMar>
            <w:tcW w:w="0" w:type="auto"/>
            <w:vAlign w:val="center"/>
            <w:textDirection w:val="lrTb"/>
            <w:noWrap w:val="false"/>
          </w:tcPr>
          <w:p>
            <w:pPr>
              <w:pStyle w:val="1033"/>
              <w:numPr>
                <w:ilvl w:val="0"/>
                <w:numId w:val="2"/>
              </w:numPr>
              <w:jc w:val="center"/>
              <w:spacing w:line="360" w:lineRule="auto"/>
              <w:shd w:val="clear" w:color="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lang w:val="zh-CN"/>
              </w:rPr>
            </w:pPr>
            <w:r>
              <w:rPr>
                <w:rFonts w:ascii="宋体" w:hAnsi="宋体" w:eastAsia="宋体" w:cs="宋体"/>
                <w:color w:val="auto"/>
                <w:sz w:val="24"/>
                <w:szCs w:val="24"/>
                <w:highlight w:val="none"/>
              </w:rPr>
              <w:t xml:space="preserve">吗啡—甲基苯丙胺-氯胺酮(MOP-MET-KET)唾液检测试剂（胶体金法）</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6000</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keepNext/>
              <w:spacing w:before="60" w:after="60" w:line="360" w:lineRule="auto"/>
              <w:shd w:val="clear" w:color="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份</w:t>
            </w:r>
            <w:r/>
          </w:p>
        </w:tc>
        <w:tc>
          <w:tcPr>
            <w:tcW w:w="0" w:type="auto"/>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0</w:t>
            </w:r>
            <w:r/>
          </w:p>
        </w:tc>
        <w:tc>
          <w:tcPr>
            <w:shd w:val="clear" w:color="auto" w:fill="auto"/>
            <w:tcW w:w="0" w:type="auto"/>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tc>
      </w:tr>
      <w:tr>
        <w:trPr>
          <w:jc w:val="center"/>
          <w:trHeight w:val="1822"/>
        </w:trPr>
        <w:tc>
          <w:tcPr>
            <w:shd w:val="clear" w:color="auto" w:fill="auto"/>
            <w:tcMar>
              <w:left w:w="80" w:type="dxa"/>
              <w:top w:w="80" w:type="dxa"/>
              <w:right w:w="80" w:type="dxa"/>
              <w:bottom w:w="80" w:type="dxa"/>
            </w:tcMar>
            <w:tcW w:w="0" w:type="auto"/>
            <w:vAlign w:val="center"/>
            <w:textDirection w:val="lrTb"/>
            <w:noWrap w:val="false"/>
          </w:tcPr>
          <w:p>
            <w:pPr>
              <w:pStyle w:val="1033"/>
              <w:numPr>
                <w:ilvl w:val="0"/>
                <w:numId w:val="2"/>
              </w:numPr>
              <w:jc w:val="center"/>
              <w:spacing w:line="360" w:lineRule="auto"/>
              <w:shd w:val="clear" w:color="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吗啡、甲基安非他明、氯胺酮、3,4-二亚甲二氧基甲基苯丙胺、四氢大麻酚酸（MOP-MET-KET-MDMA-THC）尿液联合检测试剂</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ascii="宋体" w:hAnsi="宋体" w:eastAsia="宋体" w:cs="宋体"/>
                <w:color w:val="auto"/>
                <w:sz w:val="24"/>
                <w:szCs w:val="24"/>
                <w:highlight w:val="none"/>
              </w:rPr>
              <w:t xml:space="preserve">000</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keepNext/>
              <w:spacing w:before="60" w:after="60" w:line="360" w:lineRule="auto"/>
              <w:shd w:val="clear" w:color="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份</w:t>
            </w:r>
            <w:r/>
          </w:p>
        </w:tc>
        <w:tc>
          <w:tcPr>
            <w:tcW w:w="0" w:type="auto"/>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0</w:t>
            </w:r>
            <w:r/>
          </w:p>
        </w:tc>
        <w:tc>
          <w:tcPr>
            <w:shd w:val="clear" w:color="auto" w:fill="auto"/>
            <w:tcW w:w="0" w:type="auto"/>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tc>
      </w:tr>
      <w:tr>
        <w:trPr>
          <w:jc w:val="center"/>
          <w:trHeight w:val="705"/>
        </w:trPr>
        <w:tc>
          <w:tcPr>
            <w:shd w:val="clear" w:color="auto" w:fill="auto"/>
            <w:tcMar>
              <w:left w:w="80" w:type="dxa"/>
              <w:top w:w="80" w:type="dxa"/>
              <w:right w:w="80" w:type="dxa"/>
              <w:bottom w:w="80" w:type="dxa"/>
            </w:tcMar>
            <w:tcW w:w="0" w:type="auto"/>
            <w:vAlign w:val="center"/>
            <w:textDirection w:val="lrTb"/>
            <w:noWrap w:val="false"/>
          </w:tcPr>
          <w:p>
            <w:pPr>
              <w:pStyle w:val="1033"/>
              <w:numPr>
                <w:ilvl w:val="0"/>
                <w:numId w:val="2"/>
              </w:numPr>
              <w:jc w:val="center"/>
              <w:spacing w:line="360" w:lineRule="auto"/>
              <w:shd w:val="clear" w:color="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替来他明/异丙帕酯尿液检测试剂</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00</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keepNext/>
              <w:spacing w:before="60" w:after="60" w:line="360" w:lineRule="auto"/>
              <w:shd w:val="clear" w:color="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份</w:t>
            </w:r>
            <w:r/>
          </w:p>
        </w:tc>
        <w:tc>
          <w:tcPr>
            <w:tcW w:w="0" w:type="auto"/>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16</w:t>
            </w:r>
            <w:r>
              <w:rPr>
                <w:rFonts w:hint="eastAsia" w:ascii="宋体" w:hAnsi="宋体" w:eastAsia="宋体" w:cs="宋体"/>
                <w:sz w:val="24"/>
                <w:szCs w:val="24"/>
                <w:highlight w:val="none"/>
              </w:rPr>
              <w:t xml:space="preserve">.00</w:t>
            </w:r>
            <w:r/>
          </w:p>
        </w:tc>
        <w:tc>
          <w:tcPr>
            <w:shd w:val="clear" w:color="auto" w:fill="auto"/>
            <w:tcW w:w="0" w:type="auto"/>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tc>
      </w:tr>
      <w:tr>
        <w:trPr>
          <w:jc w:val="center"/>
          <w:trHeight w:val="705"/>
        </w:trPr>
        <w:tc>
          <w:tcPr>
            <w:shd w:val="clear" w:color="auto" w:fill="auto"/>
            <w:tcMar>
              <w:left w:w="80" w:type="dxa"/>
              <w:top w:w="80" w:type="dxa"/>
              <w:right w:w="80" w:type="dxa"/>
              <w:bottom w:w="80" w:type="dxa"/>
            </w:tcMar>
            <w:tcW w:w="0" w:type="auto"/>
            <w:vAlign w:val="center"/>
            <w:textDirection w:val="lrTb"/>
            <w:noWrap w:val="false"/>
          </w:tcPr>
          <w:p>
            <w:pPr>
              <w:pStyle w:val="1033"/>
              <w:numPr>
                <w:ilvl w:val="0"/>
                <w:numId w:val="2"/>
              </w:numPr>
              <w:jc w:val="center"/>
              <w:spacing w:line="360" w:lineRule="auto"/>
              <w:shd w:val="clear" w:color="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替来他明毛发检测试剂</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4000</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keepNext/>
              <w:spacing w:before="60" w:after="60"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份</w:t>
            </w:r>
            <w:r/>
          </w:p>
        </w:tc>
        <w:tc>
          <w:tcPr>
            <w:tcW w:w="0" w:type="auto"/>
            <w:vAlign w:val="center"/>
            <w:textDirection w:val="lrTb"/>
            <w:noWrap w:val="false"/>
          </w:tcPr>
          <w:p>
            <w:pPr>
              <w:jc w:val="center"/>
              <w:spacing w:line="360" w:lineRule="auto"/>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20.50</w:t>
            </w:r>
            <w:r/>
          </w:p>
        </w:tc>
        <w:tc>
          <w:tcPr>
            <w:shd w:val="clear" w:color="auto" w:fill="auto"/>
            <w:tcW w:w="0" w:type="auto"/>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60"/>
        </w:trPr>
        <w:tc>
          <w:tcPr>
            <w:shd w:val="clear" w:color="auto" w:fill="auto"/>
            <w:tcMar>
              <w:left w:w="80" w:type="dxa"/>
              <w:top w:w="80" w:type="dxa"/>
              <w:right w:w="80" w:type="dxa"/>
              <w:bottom w:w="80" w:type="dxa"/>
            </w:tcMar>
            <w:tcW w:w="0" w:type="auto"/>
            <w:vAlign w:val="center"/>
            <w:textDirection w:val="lrTb"/>
            <w:noWrap w:val="false"/>
          </w:tcPr>
          <w:p>
            <w:pPr>
              <w:pStyle w:val="1033"/>
              <w:numPr>
                <w:ilvl w:val="0"/>
                <w:numId w:val="2"/>
              </w:numPr>
              <w:jc w:val="center"/>
              <w:spacing w:line="360" w:lineRule="auto"/>
              <w:shd w:val="clear" w:color="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eastAsia="zh-CN"/>
              </w:rPr>
              <w:t xml:space="preserve">依托咪酯</w:t>
            </w:r>
            <w:r>
              <w:rPr>
                <w:rFonts w:hint="eastAsia" w:ascii="宋体" w:hAnsi="宋体" w:eastAsia="宋体" w:cs="宋体"/>
                <w:color w:val="auto"/>
                <w:sz w:val="24"/>
                <w:szCs w:val="24"/>
                <w:highlight w:val="none"/>
              </w:rPr>
              <w:t xml:space="preserve">/右美沙芬毛发检测试剂</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4000</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keepNext/>
              <w:spacing w:before="60" w:after="60" w:line="360" w:lineRule="auto"/>
              <w:shd w:val="clear" w:color="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份</w:t>
            </w:r>
            <w:r/>
          </w:p>
        </w:tc>
        <w:tc>
          <w:tcPr>
            <w:tcW w:w="0" w:type="auto"/>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0</w:t>
            </w:r>
            <w:r/>
          </w:p>
        </w:tc>
        <w:tc>
          <w:tcPr>
            <w:shd w:val="clear" w:color="auto" w:fill="auto"/>
            <w:tcW w:w="0" w:type="auto"/>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tc>
      </w:tr>
      <w:tr>
        <w:trPr>
          <w:jc w:val="center"/>
          <w:trHeight w:val="855"/>
        </w:trPr>
        <w:tc>
          <w:tcPr>
            <w:shd w:val="clear" w:color="auto" w:fill="auto"/>
            <w:tcMar>
              <w:left w:w="80" w:type="dxa"/>
              <w:top w:w="80" w:type="dxa"/>
              <w:right w:w="80" w:type="dxa"/>
              <w:bottom w:w="80" w:type="dxa"/>
            </w:tcMar>
            <w:tcW w:w="0" w:type="auto"/>
            <w:vAlign w:val="center"/>
            <w:textDirection w:val="lrTb"/>
            <w:noWrap w:val="false"/>
          </w:tcPr>
          <w:p>
            <w:pPr>
              <w:pStyle w:val="1033"/>
              <w:numPr>
                <w:ilvl w:val="0"/>
                <w:numId w:val="2"/>
              </w:numPr>
              <w:jc w:val="center"/>
              <w:spacing w:line="360" w:lineRule="auto"/>
              <w:shd w:val="clear" w:color="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吗啡—甲基苯丙胺-氯胺酮—曲马多毛发四联检测试剂（胶体金法）</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10000</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keepNext/>
              <w:spacing w:before="60" w:after="60" w:line="360" w:lineRule="auto"/>
              <w:shd w:val="clear" w:color="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份</w:t>
            </w:r>
            <w:r/>
          </w:p>
        </w:tc>
        <w:tc>
          <w:tcPr>
            <w:tcW w:w="0" w:type="auto"/>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36</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0</w:t>
            </w:r>
            <w:r/>
          </w:p>
        </w:tc>
        <w:tc>
          <w:tcPr>
            <w:shd w:val="clear" w:color="auto" w:fill="auto"/>
            <w:tcW w:w="0" w:type="auto"/>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tc>
      </w:tr>
      <w:tr>
        <w:trPr>
          <w:jc w:val="center"/>
          <w:trHeight w:val="855"/>
        </w:trPr>
        <w:tc>
          <w:tcPr>
            <w:shd w:val="clear" w:color="auto" w:fill="auto"/>
            <w:tcMar>
              <w:left w:w="80" w:type="dxa"/>
              <w:top w:w="80" w:type="dxa"/>
              <w:right w:w="80" w:type="dxa"/>
              <w:bottom w:w="80" w:type="dxa"/>
            </w:tcMar>
            <w:tcW w:w="0" w:type="auto"/>
            <w:vAlign w:val="center"/>
            <w:textDirection w:val="lrTb"/>
            <w:noWrap w:val="false"/>
          </w:tcPr>
          <w:p>
            <w:pPr>
              <w:pStyle w:val="1033"/>
              <w:numPr>
                <w:ilvl w:val="0"/>
                <w:numId w:val="2"/>
              </w:numPr>
              <w:jc w:val="center"/>
              <w:spacing w:line="360" w:lineRule="auto"/>
              <w:shd w:val="clear" w:color="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吗啡、甲基安非他明、氯胺酮、3,4-二亚甲二氧基甲基苯丙胺、可卡因、四氢大麻酚酸、芬太尼毛发七联检测试剂（胶体金法</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10000</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keepNext/>
              <w:spacing w:before="60" w:after="60" w:line="360" w:lineRule="auto"/>
              <w:shd w:val="clear" w:color="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份</w:t>
            </w:r>
            <w:r/>
          </w:p>
        </w:tc>
        <w:tc>
          <w:tcPr>
            <w:tcW w:w="0" w:type="auto"/>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62</w:t>
            </w:r>
            <w:r>
              <w:rPr>
                <w:rFonts w:hint="eastAsia" w:ascii="宋体" w:hAnsi="宋体" w:eastAsia="宋体" w:cs="宋体"/>
                <w:sz w:val="24"/>
                <w:szCs w:val="24"/>
                <w:highlight w:val="none"/>
              </w:rPr>
              <w:t xml:space="preserve">.00</w:t>
            </w:r>
            <w:r/>
          </w:p>
        </w:tc>
        <w:tc>
          <w:tcPr>
            <w:shd w:val="clear" w:color="auto" w:fill="auto"/>
            <w:tcW w:w="0" w:type="auto"/>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核心产品</w:t>
            </w:r>
            <w:r/>
          </w:p>
        </w:tc>
      </w:tr>
      <w:tr>
        <w:trPr>
          <w:jc w:val="center"/>
          <w:trHeight w:val="855"/>
        </w:trPr>
        <w:tc>
          <w:tcPr>
            <w:shd w:val="clear" w:color="auto" w:fill="auto"/>
            <w:tcMar>
              <w:left w:w="80" w:type="dxa"/>
              <w:top w:w="80" w:type="dxa"/>
              <w:right w:w="80" w:type="dxa"/>
              <w:bottom w:w="80" w:type="dxa"/>
            </w:tcMar>
            <w:tcW w:w="0" w:type="auto"/>
            <w:vAlign w:val="center"/>
            <w:textDirection w:val="lrTb"/>
            <w:noWrap w:val="false"/>
          </w:tcPr>
          <w:p>
            <w:pPr>
              <w:pStyle w:val="1033"/>
              <w:numPr>
                <w:ilvl w:val="0"/>
                <w:numId w:val="2"/>
              </w:numPr>
              <w:jc w:val="center"/>
              <w:spacing w:line="360" w:lineRule="auto"/>
              <w:shd w:val="clear" w:color="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lang w:val="zh-CN"/>
              </w:rPr>
            </w:pPr>
            <w:r>
              <w:rPr>
                <w:rFonts w:ascii="宋体" w:hAnsi="宋体" w:eastAsia="宋体" w:cs="宋体"/>
                <w:color w:val="auto"/>
                <w:sz w:val="24"/>
                <w:szCs w:val="24"/>
                <w:highlight w:val="none"/>
              </w:rPr>
              <w:t xml:space="preserve">吗啡—甲基苯丙胺-氯胺酮(MOP-MET-KET)毛发三联检测试剂（荧光法）</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000</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keepNext/>
              <w:spacing w:before="60" w:after="60" w:line="360" w:lineRule="auto"/>
              <w:shd w:val="clear" w:color="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份</w:t>
            </w:r>
            <w:r/>
          </w:p>
        </w:tc>
        <w:tc>
          <w:tcPr>
            <w:tcW w:w="0" w:type="auto"/>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41.5</w:t>
            </w:r>
            <w:r>
              <w:rPr>
                <w:rFonts w:hint="eastAsia" w:ascii="宋体" w:hAnsi="宋体" w:eastAsia="宋体" w:cs="宋体"/>
                <w:sz w:val="24"/>
                <w:szCs w:val="24"/>
                <w:highlight w:val="none"/>
                <w:lang w:val="en-US" w:eastAsia="zh-CN"/>
              </w:rPr>
              <w:t xml:space="preserve">0</w:t>
            </w:r>
            <w:r/>
          </w:p>
        </w:tc>
        <w:tc>
          <w:tcPr>
            <w:shd w:val="clear" w:color="auto" w:fill="auto"/>
            <w:tcW w:w="0" w:type="auto"/>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tc>
      </w:tr>
      <w:tr>
        <w:trPr>
          <w:jc w:val="center"/>
          <w:trHeight w:val="765"/>
        </w:trPr>
        <w:tc>
          <w:tcPr>
            <w:shd w:val="clear" w:color="auto" w:fill="auto"/>
            <w:tcMar>
              <w:left w:w="80" w:type="dxa"/>
              <w:top w:w="80" w:type="dxa"/>
              <w:right w:w="80" w:type="dxa"/>
              <w:bottom w:w="80" w:type="dxa"/>
            </w:tcMar>
            <w:tcW w:w="0" w:type="auto"/>
            <w:vAlign w:val="center"/>
            <w:textDirection w:val="lrTb"/>
            <w:noWrap w:val="false"/>
          </w:tcPr>
          <w:p>
            <w:pPr>
              <w:pStyle w:val="1033"/>
              <w:numPr>
                <w:ilvl w:val="0"/>
                <w:numId w:val="2"/>
              </w:numPr>
              <w:jc w:val="center"/>
              <w:spacing w:line="360" w:lineRule="auto"/>
              <w:shd w:val="clear" w:color="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毛发采集箱</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keepNext/>
              <w:spacing w:before="60" w:after="60"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个</w:t>
            </w:r>
            <w:r/>
          </w:p>
        </w:tc>
        <w:tc>
          <w:tcPr>
            <w:tcW w:w="0" w:type="auto"/>
            <w:vAlign w:val="center"/>
            <w:textDirection w:val="lrTb"/>
            <w:noWrap w:val="false"/>
          </w:tcPr>
          <w:p>
            <w:pPr>
              <w:jc w:val="center"/>
              <w:spacing w:line="360" w:lineRule="auto"/>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928.00</w:t>
            </w:r>
            <w:r/>
          </w:p>
        </w:tc>
        <w:tc>
          <w:tcPr>
            <w:shd w:val="clear" w:color="auto" w:fill="auto"/>
            <w:tcW w:w="0" w:type="auto"/>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90"/>
        </w:trPr>
        <w:tc>
          <w:tcPr>
            <w:shd w:val="clear" w:color="auto" w:fill="auto"/>
            <w:tcMar>
              <w:left w:w="80" w:type="dxa"/>
              <w:top w:w="80" w:type="dxa"/>
              <w:right w:w="80" w:type="dxa"/>
              <w:bottom w:w="80" w:type="dxa"/>
            </w:tcMar>
            <w:tcW w:w="0" w:type="auto"/>
            <w:vAlign w:val="center"/>
            <w:textDirection w:val="lrTb"/>
            <w:noWrap w:val="false"/>
          </w:tcPr>
          <w:p>
            <w:pPr>
              <w:pStyle w:val="1033"/>
              <w:numPr>
                <w:ilvl w:val="0"/>
                <w:numId w:val="2"/>
              </w:numPr>
              <w:jc w:val="center"/>
              <w:spacing w:line="360" w:lineRule="auto"/>
              <w:shd w:val="clear" w:color="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lang w:val="zh-CN"/>
              </w:rPr>
            </w:pPr>
            <w:r>
              <w:rPr>
                <w:rFonts w:ascii="宋体" w:hAnsi="宋体" w:eastAsia="宋体" w:cs="宋体"/>
                <w:color w:val="auto"/>
                <w:sz w:val="24"/>
                <w:szCs w:val="24"/>
                <w:highlight w:val="none"/>
              </w:rPr>
              <w:t xml:space="preserve">毒物毒品筛查试剂盒</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1000</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keepNext/>
              <w:spacing w:before="60" w:after="60" w:line="360" w:lineRule="auto"/>
              <w:shd w:val="clear" w:color="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个</w:t>
            </w:r>
            <w:r/>
          </w:p>
        </w:tc>
        <w:tc>
          <w:tcPr>
            <w:tcW w:w="0" w:type="auto"/>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w:t>
            </w:r>
            <w:r/>
          </w:p>
        </w:tc>
        <w:tc>
          <w:tcPr>
            <w:shd w:val="clear" w:color="auto" w:fill="auto"/>
            <w:tcW w:w="0" w:type="auto"/>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tc>
      </w:tr>
      <w:tr>
        <w:trPr>
          <w:jc w:val="center"/>
          <w:trHeight w:val="675"/>
        </w:trPr>
        <w:tc>
          <w:tcPr>
            <w:shd w:val="clear" w:color="auto" w:fill="auto"/>
            <w:tcMar>
              <w:left w:w="80" w:type="dxa"/>
              <w:top w:w="80" w:type="dxa"/>
              <w:right w:w="80" w:type="dxa"/>
              <w:bottom w:w="80" w:type="dxa"/>
            </w:tcMar>
            <w:tcW w:w="0" w:type="auto"/>
            <w:vAlign w:val="center"/>
            <w:textDirection w:val="lrTb"/>
            <w:noWrap w:val="false"/>
          </w:tcPr>
          <w:p>
            <w:pPr>
              <w:pStyle w:val="1033"/>
              <w:numPr>
                <w:ilvl w:val="0"/>
                <w:numId w:val="2"/>
              </w:numPr>
              <w:jc w:val="center"/>
              <w:spacing w:line="360" w:lineRule="auto"/>
              <w:shd w:val="clear" w:color="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lang w:val="zh-CN"/>
              </w:rPr>
            </w:pPr>
            <w:r>
              <w:rPr>
                <w:rFonts w:ascii="宋体" w:hAnsi="宋体" w:eastAsia="宋体" w:cs="宋体"/>
                <w:color w:val="auto"/>
                <w:sz w:val="24"/>
                <w:szCs w:val="24"/>
                <w:highlight w:val="none"/>
              </w:rPr>
              <w:t xml:space="preserve">毒品检测箱</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2</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keepNext/>
              <w:spacing w:before="60" w:after="60" w:line="360" w:lineRule="auto"/>
              <w:shd w:val="clear" w:color="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个</w:t>
            </w:r>
            <w:r/>
          </w:p>
        </w:tc>
        <w:tc>
          <w:tcPr>
            <w:tcW w:w="0" w:type="auto"/>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50000.00</w:t>
            </w:r>
            <w:r/>
          </w:p>
        </w:tc>
        <w:tc>
          <w:tcPr>
            <w:shd w:val="clear" w:color="auto" w:fill="auto"/>
            <w:tcW w:w="0" w:type="auto"/>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核心产品</w:t>
            </w:r>
            <w:r/>
          </w:p>
        </w:tc>
      </w:tr>
      <w:tr>
        <w:trPr>
          <w:jc w:val="center"/>
          <w:trHeight w:val="675"/>
        </w:trPr>
        <w:tc>
          <w:tcPr>
            <w:shd w:val="clear" w:color="auto" w:fill="auto"/>
            <w:tcMar>
              <w:left w:w="80" w:type="dxa"/>
              <w:top w:w="80" w:type="dxa"/>
              <w:right w:w="80" w:type="dxa"/>
              <w:bottom w:w="80" w:type="dxa"/>
            </w:tcMar>
            <w:tcW w:w="0" w:type="auto"/>
            <w:vAlign w:val="center"/>
            <w:textDirection w:val="lrTb"/>
            <w:noWrap w:val="false"/>
          </w:tcPr>
          <w:p>
            <w:pPr>
              <w:pStyle w:val="1033"/>
              <w:numPr>
                <w:ilvl w:val="0"/>
                <w:numId w:val="2"/>
              </w:numPr>
              <w:jc w:val="center"/>
              <w:spacing w:line="360" w:lineRule="auto"/>
              <w:shd w:val="clear" w:color="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唾液毒品检测仪</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keepNext/>
              <w:spacing w:before="60" w:after="60"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W w:w="0" w:type="auto"/>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0" w:type="auto"/>
            <w:vAlign w:val="center"/>
            <w:textDirection w:val="lrTb"/>
            <w:noWrap w:val="false"/>
          </w:tcPr>
          <w:p>
            <w:pPr>
              <w:jc w:val="center"/>
              <w:spacing w:line="360" w:lineRule="auto"/>
              <w:shd w:val="clear" w:color="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使用支持</w:t>
            </w:r>
            <w:r/>
          </w:p>
        </w:tc>
      </w:tr>
      <w:tr>
        <w:trPr>
          <w:jc w:val="center"/>
          <w:trHeight w:val="843"/>
        </w:trPr>
        <w:tc>
          <w:tcPr>
            <w:shd w:val="clear" w:color="auto" w:fill="auto"/>
            <w:tcMar>
              <w:left w:w="80" w:type="dxa"/>
              <w:top w:w="80" w:type="dxa"/>
              <w:right w:w="80" w:type="dxa"/>
              <w:bottom w:w="80" w:type="dxa"/>
            </w:tcMar>
            <w:tcW w:w="0" w:type="auto"/>
            <w:vAlign w:val="center"/>
            <w:textDirection w:val="lrTb"/>
            <w:noWrap w:val="false"/>
          </w:tcPr>
          <w:p>
            <w:pPr>
              <w:pStyle w:val="1033"/>
              <w:numPr>
                <w:ilvl w:val="0"/>
                <w:numId w:val="2"/>
              </w:numPr>
              <w:jc w:val="center"/>
              <w:spacing w:line="360" w:lineRule="auto"/>
              <w:shd w:val="clear" w:color="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lang w:val="zh-CN"/>
              </w:rPr>
            </w:pPr>
            <w:r>
              <w:rPr>
                <w:rFonts w:ascii="宋体" w:hAnsi="宋体" w:eastAsia="宋体" w:cs="宋体"/>
                <w:color w:val="auto"/>
                <w:sz w:val="24"/>
                <w:szCs w:val="24"/>
                <w:highlight w:val="none"/>
              </w:rPr>
              <w:t xml:space="preserve">毛发毒品现场检测仪</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keepNext/>
              <w:spacing w:before="60" w:after="60" w:line="360" w:lineRule="auto"/>
              <w:shd w:val="clear" w:color="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台</w:t>
            </w:r>
            <w:r/>
          </w:p>
        </w:tc>
        <w:tc>
          <w:tcPr>
            <w:tcW w:w="0" w:type="auto"/>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0" w:type="auto"/>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使用支持</w:t>
            </w:r>
            <w:r/>
          </w:p>
        </w:tc>
      </w:tr>
      <w:tr>
        <w:trPr>
          <w:jc w:val="center"/>
          <w:trHeight w:val="855"/>
        </w:trPr>
        <w:tc>
          <w:tcPr>
            <w:shd w:val="clear" w:color="auto" w:fill="auto"/>
            <w:tcMar>
              <w:left w:w="80" w:type="dxa"/>
              <w:top w:w="80" w:type="dxa"/>
              <w:right w:w="80" w:type="dxa"/>
              <w:bottom w:w="80" w:type="dxa"/>
            </w:tcMar>
            <w:tcW w:w="0" w:type="auto"/>
            <w:vAlign w:val="center"/>
            <w:textDirection w:val="lrTb"/>
            <w:noWrap w:val="false"/>
          </w:tcPr>
          <w:p>
            <w:pPr>
              <w:pStyle w:val="1033"/>
              <w:numPr>
                <w:ilvl w:val="0"/>
                <w:numId w:val="2"/>
              </w:numPr>
              <w:jc w:val="center"/>
              <w:spacing w:line="360" w:lineRule="auto"/>
              <w:shd w:val="clear" w:color="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lang w:val="zh-CN"/>
              </w:rPr>
            </w:pPr>
            <w:r>
              <w:rPr>
                <w:rFonts w:ascii="宋体" w:hAnsi="宋体" w:eastAsia="宋体" w:cs="宋体"/>
                <w:color w:val="auto"/>
                <w:sz w:val="24"/>
                <w:szCs w:val="24"/>
                <w:highlight w:val="none"/>
              </w:rPr>
              <w:t xml:space="preserve">毛发痕量毒品检测仪</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2</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keepNext/>
              <w:spacing w:before="60" w:after="60" w:line="360" w:lineRule="auto"/>
              <w:shd w:val="clear" w:color="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台</w:t>
            </w:r>
            <w:r/>
          </w:p>
        </w:tc>
        <w:tc>
          <w:tcPr>
            <w:tcW w:w="0" w:type="auto"/>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0" w:type="auto"/>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使用支持</w:t>
            </w:r>
            <w:r/>
          </w:p>
        </w:tc>
      </w:tr>
    </w:tbl>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rPr>
        <w:t xml:space="preserve">验收标准：符合我国最新颁布的与之相关的技术规范与标准，同时必须满足采购文件中技术参数要求和成交方承诺的其它指标。</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rPr>
        <w:t xml:space="preserve">合同履行期限：</w:t>
      </w:r>
      <w:r>
        <w:rPr>
          <w:rFonts w:hint="eastAsia" w:ascii="宋体" w:hAnsi="宋体" w:eastAsia="宋体" w:cs="宋体"/>
          <w:color w:val="000000"/>
          <w:sz w:val="24"/>
          <w:highlight w:val="none"/>
          <w:lang w:eastAsia="zh-CN"/>
        </w:rPr>
        <w:t xml:space="preserve">2年供货期，分批供货，收到采购人供货通知后7天内送至指定地点</w:t>
      </w:r>
      <w:r>
        <w:rPr>
          <w:rFonts w:ascii="宋体" w:hAnsi="宋体" w:eastAsia="宋体" w:cs="宋体"/>
          <w:color w:val="000000"/>
          <w:sz w:val="24"/>
          <w:highlight w:val="none"/>
        </w:rPr>
        <w:t xml:space="preserve">。</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本项目不接受联合体投标。</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二、申请人的资格要求：</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1、满足《中华人民共和国政府采购法》第二十二条规定；</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1.1具有独立承担民事责任的能力； </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1.2具有良好的商业信誉和健全的财务会计制度； </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1.3具有履行合同所必需的设备和专业技术能力； </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1.4具有依法缴纳税收和社会保障资金的良好记录； </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1.5参加政府采购活动前三年内,在经营活动中没有重大违法记录； </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1.6法律、行政法规规定的其他条件；</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 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2、落实政府采购政策需满足的资格要求：</w:t>
      </w:r>
      <w:r>
        <w:rPr>
          <w:rFonts w:ascii="宋体" w:hAnsi="宋体" w:eastAsia="宋体" w:cs="宋体"/>
          <w:b/>
          <w:color w:val="auto"/>
          <w:sz w:val="24"/>
          <w:highlight w:val="none"/>
          <w:u w:val="single"/>
        </w:rPr>
        <w:t xml:space="preserve">本项目专门面向中小企业，所属行业为工业，制造商应为中小微企业、监狱企业、残疾人福利性单位；</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3、本项目的特定资格要求：</w:t>
      </w:r>
      <w:r>
        <w:rPr>
          <w:rFonts w:hint="eastAsia" w:ascii="宋体" w:hAnsi="宋体" w:eastAsia="宋体"/>
          <w:b/>
          <w:bCs/>
          <w:sz w:val="24"/>
          <w:highlight w:val="none"/>
          <w:u w:val="single"/>
          <w:lang w:val="en-US" w:eastAsia="zh-CN"/>
        </w:rPr>
        <w:t xml:space="preserve">无</w:t>
      </w:r>
      <w:r>
        <w:rPr>
          <w:rFonts w:hint="eastAsia" w:ascii="宋体" w:hAnsi="宋体" w:eastAsia="宋体"/>
          <w:b/>
          <w:bCs/>
          <w:sz w:val="24"/>
          <w:highlight w:val="none"/>
          <w:u w:val="single"/>
        </w:rPr>
        <w:t xml:space="preserve">。</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注：单位负责人为同一人或者存在直接控股、管理关系的不同供应商，不得参加同一合同项下的政府采购活动。</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三、获取采购文件</w:t>
      </w:r>
      <w:r/>
    </w:p>
    <w:p>
      <w:pPr>
        <w:ind w:firstLine="480"/>
        <w:spacing w:line="360" w:lineRule="auto"/>
        <w:shd w:val="clear" w:color="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时间：</w:t>
      </w:r>
      <w:r>
        <w:rPr>
          <w:rFonts w:hint="eastAsia" w:ascii="宋体" w:hAnsi="宋体" w:eastAsia="宋体" w:cs="宋体"/>
          <w:color w:val="auto"/>
          <w:sz w:val="24"/>
          <w:highlight w:val="none"/>
        </w:rPr>
        <w:t xml:space="preserve">自谈判文件公告发布之日起3个工作日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地点：“苏采云”系统</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方式：</w:t>
      </w:r>
      <w:r>
        <w:rPr>
          <w:rFonts w:ascii="宋体" w:hAnsi="宋体" w:eastAsia="宋体" w:cs="宋体"/>
          <w:color w:val="auto"/>
          <w:sz w:val="24"/>
          <w:highlight w:val="none"/>
        </w:rPr>
        <w:t xml:space="preserve">线上获取，详见其他补充事项</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售价：0.00元</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四、响应文件提交</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截止时间：202</w:t>
      </w:r>
      <w:r>
        <w:rPr>
          <w:rFonts w:hint="eastAsia" w:ascii="宋体" w:hAnsi="宋体" w:eastAsia="宋体" w:cs="宋体"/>
          <w:color w:val="000000"/>
          <w:sz w:val="24"/>
          <w:highlight w:val="none"/>
          <w:lang w:val="en-US" w:eastAsia="zh-CN"/>
        </w:rPr>
        <w:t xml:space="preserve">6</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07</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30   09</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rPr>
        <w:t xml:space="preserve">0</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地点：“苏采云”系统（网址：http://jszfcg.jsczt.cn/）</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五、开启</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时间：202</w:t>
      </w:r>
      <w:r>
        <w:rPr>
          <w:rFonts w:hint="eastAsia" w:ascii="宋体" w:hAnsi="宋体" w:eastAsia="宋体" w:cs="宋体"/>
          <w:color w:val="000000"/>
          <w:sz w:val="24"/>
          <w:highlight w:val="none"/>
          <w:lang w:val="en-US" w:eastAsia="zh-CN"/>
        </w:rPr>
        <w:t xml:space="preserve">6</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07</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30  09</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rPr>
        <w:t xml:space="preserve">0</w:t>
      </w:r>
      <w:r/>
    </w:p>
    <w:p>
      <w:pPr>
        <w:ind w:firstLine="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地点：</w:t>
      </w:r>
      <w:r>
        <w:rPr>
          <w:rFonts w:ascii="宋体" w:hAnsi="宋体" w:eastAsia="宋体" w:cs="宋体"/>
          <w:color w:val="000000"/>
          <w:sz w:val="24"/>
          <w:szCs w:val="24"/>
          <w:highlight w:val="none"/>
        </w:rPr>
        <w:t xml:space="preserve">苏州工业园区公共资源交易中心新场地-开标室（三）</w:t>
      </w:r>
      <w:r>
        <w:rPr>
          <w:rFonts w:ascii="FangSong" w:hAnsi="FangSong" w:eastAsia="FangSong" w:cs="FangSong"/>
          <w:color w:val="000000"/>
          <w:sz w:val="28"/>
          <w:highlight w:val="white"/>
        </w:rPr>
        <w:t xml:space="preserve"> </w:t>
      </w:r>
      <w:r>
        <w:rPr>
          <w:rFonts w:hint="eastAsia" w:ascii="宋体" w:hAnsi="宋体" w:eastAsia="宋体" w:cs="宋体"/>
          <w:color w:val="000000"/>
          <w:sz w:val="24"/>
          <w:highlight w:val="none"/>
        </w:rPr>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六、公告期限</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自本公告发布之日起3个工作日。</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七、</w:t>
      </w:r>
      <w:r>
        <w:rPr>
          <w:rFonts w:ascii="宋体" w:hAnsi="宋体" w:eastAsia="宋体" w:cs="宋体"/>
          <w:color w:val="000000"/>
          <w:sz w:val="24"/>
          <w:highlight w:val="none"/>
        </w:rPr>
        <w:t xml:space="preserve">其他补充事项：</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1.获取方式</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（1）CA证书办理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eastAsia="宋体" w:cs="宋体"/>
          <w:b/>
          <w:color w:val="000000"/>
          <w:sz w:val="24"/>
          <w:highlight w:val="none"/>
        </w:rPr>
        <w:t xml:space="preserve">苏州现场办理地址：</w:t>
      </w:r>
      <w:r>
        <w:rPr>
          <w:rFonts w:hint="eastAsia" w:ascii="宋体" w:hAnsi="宋体" w:eastAsia="宋体" w:cs="宋体"/>
          <w:b/>
          <w:color w:val="000000"/>
          <w:sz w:val="24"/>
          <w:highlight w:val="none"/>
        </w:rPr>
        <w:t xml:space="preserve">苏州高新区邓尉路105号狮山科技馆1楼服务大厅</w:t>
      </w:r>
      <w:r>
        <w:rPr>
          <w:rFonts w:ascii="宋体" w:hAnsi="宋体" w:eastAsia="宋体" w:cs="宋体"/>
          <w:b/>
          <w:color w:val="000000"/>
          <w:sz w:val="24"/>
          <w:highlight w:val="none"/>
        </w:rPr>
        <w:t xml:space="preserve">，咨询电话：</w:t>
      </w:r>
      <w:r>
        <w:rPr>
          <w:rFonts w:hint="eastAsia" w:ascii="宋体" w:hAnsi="宋体" w:eastAsia="宋体" w:cs="宋体"/>
          <w:b/>
          <w:color w:val="000000"/>
          <w:sz w:val="24"/>
          <w:highlight w:val="none"/>
        </w:rPr>
        <w:t xml:space="preserve">0512-65737699</w:t>
      </w:r>
      <w:r>
        <w:rPr>
          <w:rFonts w:ascii="宋体" w:hAnsi="宋体" w:eastAsia="宋体" w:cs="宋体"/>
          <w:color w:val="000000"/>
          <w:sz w:val="24"/>
          <w:highlight w:val="none"/>
        </w:rPr>
        <w:t xml:space="preserve">。</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（2）参与采购活动</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考虑到熟悉“苏采云”系统、办理CA证书都需要一定的时间，请提早准备以免耽误招标采购活动。</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（3）电子投标准备</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ascii="宋体" w:hAnsi="宋体" w:eastAsia="宋体" w:cs="宋体"/>
          <w:b/>
          <w:color w:val="000000"/>
          <w:sz w:val="24"/>
          <w:highlight w:val="none"/>
        </w:rPr>
        <w:t xml:space="preserve">（具体详见《苏采云系统供应商操作手册》，网址链接https://czju.suzhou.gov.cn/zfcg/html/content/20231220161910031.shtml）</w:t>
      </w:r>
      <w:r>
        <w:rPr>
          <w:rFonts w:ascii="宋体" w:hAnsi="宋体" w:eastAsia="宋体" w:cs="宋体"/>
          <w:color w:val="000000"/>
          <w:sz w:val="24"/>
          <w:highlight w:val="none"/>
        </w:rPr>
        <w:t xml:space="preserve">。</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在系统操作过程中如有疑问，请按以下方式联系：</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注册咨询：18261002950；</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CA技术咨询电话：400-608-6099；</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签章使用问题：025-83633811、025-83633812、15380932027、15371015030；</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系统使用指导与咨询：联系电话：18261002950；QQ：3048755361、1315179389、895706745。</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 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3.本项目为不见面开标项目，开标阶段供应商在【供应商解密】环节必须使用 CA证书解密电子投标（响应）文件，如在系统规定的解密时间内未能完成解密的视为放弃投标（响应）。</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4.线上参加开标（开启）会方式：供应商登录“苏采云”系统在平台首页点击“开标大厅”，进入江苏省政府采购一体化不见面开标（采购）大厅，在今日项目列表，点击项目，进入不见面开标系统。</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请供应商确保电脑、系统及其他设备（视频输入输出设备等）无误，且开标直至项目结束始终保持系统在线状态。</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响应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6.本项目获取采购文件截止日期之后仍可以下载采购文件，但截止日期之后下载的采购文件,视为非有效方式且不作为供应商权益受到损害的证明材料和依据。</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7.更正(补充)公告及附件的获取: 响应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8.请贵单位领取本次采购文件后，认真阅读各项内容，进行必要的谈判准备，按文件的要求详细填写和编制响应文件。</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9.苏州工业园区财政审计局电话：0512-66681110。</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10.本次采购的有关信息将在苏州市政府采购网、江苏政府采购网</w:t>
      </w:r>
      <w:r>
        <w:rPr>
          <w:rFonts w:hint="eastAsia" w:ascii="宋体" w:hAnsi="宋体" w:eastAsia="宋体" w:cs="宋体"/>
          <w:color w:val="000000"/>
          <w:sz w:val="24"/>
          <w:highlight w:val="none"/>
        </w:rPr>
        <w:t xml:space="preserve">、中国政府采购网</w:t>
      </w:r>
      <w:r>
        <w:rPr>
          <w:rFonts w:ascii="宋体" w:hAnsi="宋体" w:eastAsia="宋体" w:cs="宋体"/>
          <w:sz w:val="24"/>
          <w:highlight w:val="none"/>
        </w:rPr>
        <w:t xml:space="preserve">上发布</w:t>
      </w:r>
      <w:r>
        <w:rPr>
          <w:rFonts w:ascii="宋体" w:hAnsi="宋体" w:eastAsia="宋体" w:cs="宋体"/>
          <w:color w:val="000000"/>
          <w:sz w:val="24"/>
          <w:highlight w:val="none"/>
        </w:rPr>
        <w:t xml:space="preserve">，敬请留意。</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八、对本次招标提出的询问，请按以下方式联系。</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1、采购人信息</w:t>
      </w:r>
      <w:r/>
    </w:p>
    <w:p>
      <w:pPr>
        <w:ind w:firstLine="480"/>
        <w:spacing w:line="360" w:lineRule="auto"/>
        <w:shd w:val="clear" w:color="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名称：</w:t>
      </w:r>
      <w:r>
        <w:rPr>
          <w:rFonts w:hint="eastAsia" w:ascii="宋体" w:hAnsi="宋体" w:eastAsia="宋体" w:cs="宋体"/>
          <w:color w:val="000000"/>
          <w:sz w:val="24"/>
          <w:highlight w:val="none"/>
        </w:rPr>
        <w:t xml:space="preserve">苏州市公安局苏州工业园区分局</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地址：</w:t>
      </w:r>
      <w:r>
        <w:rPr>
          <w:rFonts w:hint="eastAsia" w:ascii="宋体" w:hAnsi="宋体" w:eastAsia="宋体" w:cs="宋体"/>
          <w:color w:val="000000"/>
          <w:sz w:val="24"/>
          <w:highlight w:val="none"/>
        </w:rPr>
        <w:t xml:space="preserve">苏州工业园区万盛街55号</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联系方式：</w:t>
      </w:r>
      <w:r>
        <w:rPr>
          <w:rFonts w:hint="eastAsia" w:ascii="宋体" w:hAnsi="宋体" w:eastAsia="宋体" w:cs="宋体"/>
          <w:color w:val="000000"/>
          <w:sz w:val="24"/>
          <w:highlight w:val="none"/>
          <w:lang w:val="en-US" w:eastAsia="zh-CN"/>
        </w:rPr>
        <w:t xml:space="preserve">0512-</w:t>
      </w:r>
      <w:r>
        <w:rPr>
          <w:rFonts w:hint="eastAsia" w:ascii="宋体" w:hAnsi="宋体" w:cs="宋体"/>
          <w:sz w:val="24"/>
          <w:szCs w:val="24"/>
          <w:highlight w:val="none"/>
        </w:rPr>
        <w:t xml:space="preserve">66601707</w:t>
      </w:r>
      <w:r>
        <w:rPr>
          <w:rFonts w:ascii="宋体" w:hAnsi="宋体" w:eastAsia="宋体" w:cs="宋体"/>
          <w:color w:val="000000"/>
          <w:sz w:val="24"/>
          <w:highlight w:val="none"/>
        </w:rPr>
        <w:t xml:space="preserve">   </w:t>
      </w:r>
      <w:r>
        <w:rPr>
          <w:rFonts w:ascii="MS Gothic" w:hAnsi="MS Gothic" w:eastAsia="MS Gothic" w:cs="MS Gothic"/>
          <w:color w:val="000000"/>
          <w:sz w:val="24"/>
          <w:highlight w:val="none"/>
        </w:rPr>
        <w:t xml:space="preserve">‬</w:t>
      </w:r>
      <w:r>
        <w:rPr>
          <w:rFonts w:ascii="宋体" w:hAnsi="宋体" w:eastAsia="宋体" w:cs="宋体"/>
          <w:color w:val="000000"/>
          <w:sz w:val="24"/>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2、采购代理机构信息</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名称：苏州海企国际工程咨询有限公司</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地址：</w:t>
      </w:r>
      <w:r>
        <w:rPr>
          <w:rFonts w:hint="eastAsia" w:ascii="宋体" w:hAnsi="宋体" w:eastAsia="宋体" w:cs="宋体"/>
          <w:color w:val="000000"/>
          <w:sz w:val="24"/>
          <w:highlight w:val="none"/>
          <w:lang w:eastAsia="zh-CN"/>
        </w:rPr>
        <w:t xml:space="preserve">苏州市高新区灵岩街6号9楼</w:t>
      </w:r>
      <w:r>
        <w:rPr>
          <w:rFonts w:ascii="宋体" w:hAnsi="宋体" w:eastAsia="宋体" w:cs="宋体"/>
          <w:color w:val="000000"/>
          <w:sz w:val="24"/>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联系方式：0512-68087208</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3、项目联系方式</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项目联系人：钟雅婷、张茂松、赵猛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电话：0512-68087208</w:t>
      </w:r>
      <w:r/>
    </w:p>
    <w:p>
      <w:pPr>
        <w:ind w:firstLine="480"/>
        <w:jc w:val="right"/>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苏州海企国际工程咨询有限公司</w:t>
      </w:r>
      <w:r/>
    </w:p>
    <w:p>
      <w:pPr>
        <w:ind w:firstLine="480"/>
        <w:jc w:val="right"/>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6</w:t>
      </w:r>
      <w:r>
        <w:rPr>
          <w:rFonts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07</w:t>
      </w:r>
      <w:r>
        <w:rPr>
          <w:rFonts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24</w:t>
      </w:r>
      <w:r>
        <w:rPr>
          <w:rFonts w:ascii="宋体" w:hAnsi="宋体" w:eastAsia="宋体" w:cs="宋体"/>
          <w:color w:val="000000"/>
          <w:sz w:val="24"/>
          <w:highlight w:val="none"/>
        </w:rPr>
        <w:t xml:space="preserve">日</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t xml:space="preserve"> </w:t>
      </w:r>
      <w:r/>
    </w:p>
    <w:p>
      <w:pPr>
        <w:ind w:firstLine="1040"/>
        <w:spacing w:before="240" w:after="24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t xml:space="preserve">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t xml:space="preserve"> </w:t>
      </w:r>
      <w:r/>
    </w:p>
    <w:p>
      <w:pPr>
        <w:pStyle w:val="719"/>
        <w:jc w:val="center"/>
        <w:spacing w:before="0" w:after="0" w:line="360" w:lineRule="auto"/>
        <w:shd w:val="clear" w:color="auto"/>
        <w:rPr>
          <w:rFonts w:ascii="宋体" w:hAnsi="宋体" w:eastAsia="宋体" w:cs="宋体"/>
          <w:color w:val="000000"/>
          <w:sz w:val="5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r>
      <w:r/>
    </w:p>
    <w:p>
      <w:pPr>
        <w:pStyle w:val="719"/>
        <w:jc w:val="center"/>
        <w:spacing w:before="0" w:after="0" w:line="360" w:lineRule="auto"/>
        <w:shd w:val="clear" w:color="auto"/>
        <w:rPr>
          <w:rFonts w:ascii="宋体" w:hAnsi="宋体" w:eastAsia="宋体" w:cs="宋体"/>
          <w:color w:val="000000"/>
          <w:sz w:val="5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r>
      <w:r/>
    </w:p>
    <w:p>
      <w:pPr>
        <w:pStyle w:val="719"/>
        <w:jc w:val="center"/>
        <w:spacing w:before="0" w:after="0" w:line="360" w:lineRule="auto"/>
        <w:shd w:val="clear" w:color="auto"/>
        <w:rPr>
          <w:rFonts w:ascii="宋体" w:hAnsi="宋体" w:eastAsia="宋体" w:cs="宋体"/>
          <w:color w:val="000000"/>
          <w:sz w:val="5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r>
      <w:r/>
    </w:p>
    <w:p>
      <w:pPr>
        <w:pStyle w:val="719"/>
        <w:jc w:val="center"/>
        <w:spacing w:before="0" w:after="0" w:line="360" w:lineRule="auto"/>
        <w:shd w:val="clear" w:color="auto"/>
        <w:rPr>
          <w:rFonts w:ascii="宋体" w:hAnsi="宋体" w:eastAsia="宋体" w:cs="宋体"/>
          <w:color w:val="000000"/>
          <w:sz w:val="5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r>
      <w:r/>
    </w:p>
    <w:p>
      <w:pPr>
        <w:pStyle w:val="719"/>
        <w:jc w:val="center"/>
        <w:spacing w:before="0" w:after="0" w:line="360" w:lineRule="auto"/>
        <w:shd w:val="clear" w:color="auto"/>
        <w:rPr>
          <w:rFonts w:ascii="宋体" w:hAnsi="宋体" w:eastAsia="宋体" w:cs="宋体"/>
          <w:color w:val="000000"/>
          <w:sz w:val="5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r>
      <w:r/>
    </w:p>
    <w:p>
      <w:pPr>
        <w:shd w:val="clear" w:color="auto"/>
        <w:rPr>
          <w:rFonts w:ascii="宋体" w:hAnsi="宋体" w:eastAsia="宋体" w:cs="宋体"/>
          <w:color w:val="000000"/>
          <w:sz w:val="52"/>
          <w:highlight w:val="none"/>
        </w:rPr>
      </w:pPr>
      <w:r>
        <w:rPr>
          <w:rFonts w:ascii="宋体" w:hAnsi="宋体" w:eastAsia="宋体" w:cs="宋体"/>
          <w:color w:val="000000"/>
          <w:sz w:val="52"/>
          <w:highlight w:val="none"/>
        </w:rPr>
        <w:br w:type="page" w:clear="all"/>
      </w:r>
      <w:r/>
    </w:p>
    <w:p>
      <w:pPr>
        <w:pStyle w:val="719"/>
        <w:jc w:val="center"/>
        <w:spacing w:before="0" w:after="0" w:line="360" w:lineRule="auto"/>
        <w:shd w:val="clear" w:color="auto"/>
        <w:rPr>
          <w:rFonts w:ascii="宋体" w:hAnsi="宋体" w:eastAsia="宋体" w:cs="宋体"/>
          <w:color w:val="000000"/>
          <w:sz w:val="5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r>
      <w:r/>
    </w:p>
    <w:p>
      <w:pPr>
        <w:pStyle w:val="719"/>
        <w:jc w:val="center"/>
        <w:spacing w:before="0" w:after="0" w:line="360" w:lineRule="auto"/>
        <w:shd w:val="clear" w:color="auto"/>
        <w:rPr>
          <w:rFonts w:ascii="宋体" w:hAnsi="宋体" w:eastAsia="宋体" w:cs="宋体"/>
          <w:color w:val="000000"/>
          <w:sz w:val="5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r>
      <w:r/>
    </w:p>
    <w:p>
      <w:pPr>
        <w:pStyle w:val="719"/>
        <w:jc w:val="center"/>
        <w:spacing w:before="0" w:after="0" w:line="360" w:lineRule="auto"/>
        <w:shd w:val="clear" w:color="auto"/>
        <w:rPr>
          <w:rFonts w:ascii="宋体" w:hAnsi="宋体" w:eastAsia="宋体" w:cs="宋体"/>
          <w:color w:val="000000"/>
          <w:sz w:val="5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r>
      <w:r/>
    </w:p>
    <w:p>
      <w:pPr>
        <w:pStyle w:val="719"/>
        <w:jc w:val="center"/>
        <w:spacing w:before="0" w:after="0" w:line="360" w:lineRule="auto"/>
        <w:shd w:val="clear" w:color="auto"/>
        <w:rPr>
          <w:rFonts w:ascii="宋体" w:hAnsi="宋体" w:eastAsia="宋体" w:cs="宋体"/>
          <w:color w:val="000000"/>
          <w:sz w:val="5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r>
      <w:r/>
    </w:p>
    <w:p>
      <w:pPr>
        <w:pStyle w:val="719"/>
        <w:jc w:val="center"/>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t xml:space="preserve">第二章 供应商须知</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40" w:after="24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48" w:type="dxa"/>
            <w:textDirection w:val="lrTb"/>
            <w:noWrap w:val="false"/>
          </w:tcPr>
          <w:p>
            <w:pPr>
              <w:ind w:firstLine="3614"/>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提   示</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供应商应仔细阅读谈判文件的所有内容，按谈判文件的要求提供响应文件，并保证所提供的全部资料的真实性，以使其对谈判文件作出实质性响应，否则，响应文件可能被拒绝。</w:t>
            </w:r>
            <w:r/>
          </w:p>
        </w:tc>
      </w:tr>
    </w:tbl>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 说明</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1.1本谈判文件仅适用于苏州海企国际工程咨询有限公司组织的采购活动。</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1.2本次采购活动及因本次采购产生的合同受中国法律制约和保护。</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1.3本谈判文件的解释权属于苏州海企国际工程咨询有限公司。</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 词语释义</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2.1采购人：依法进行政府采购的国家机关、事业单位、团体组织。</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2.2供应商：指向采购人提供货物、工程或服务的法人、其他组织或者自然人。</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2.3采购代理机构：指依法接受采购人委托，从事货物、工程和服务等政府采购代理业务的社会中介机构。</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2.4谈判采购单位：采购人及采购代理机构的统称，具体组织实施谈判采购活动。</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2.5响应：供应商根据谈判采购单位发布的谈判文件，编制响应文件并按规定参与谈判的行为。</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2.6知识产权：指专利权、商标权、著作权等无形财产专有权的统称。</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2.7天：日历日。</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2.8交货地点：合同中明确约定的乙方提交的货物最终地点。</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2.9不可抗力：不能预见、不能避免并且不能克服的客观情况。</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2.10</w:t>
      </w:r>
      <w:r>
        <w:rPr>
          <w:rFonts w:ascii="宋体" w:hAnsi="宋体" w:eastAsia="宋体" w:cs="宋体"/>
          <w:b/>
          <w:color w:val="000000"/>
          <w:sz w:val="24"/>
          <w:highlight w:val="none"/>
        </w:rPr>
        <w:t xml:space="preserve">实质性响应：满足有关本次采购标的、数量、质量、价款或者报酬、履行期限、履行地点和方式、违约责任和解决争议方法等要求。</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2.11进口产品：通过中国海关报关验放进入中国境内且产自关境外的产品。</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2.12书面形式：指书面文字、合同书、信件和传真等可以有形地表现所载内容的形式。</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3.合格供应商的基本条件</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3.1 满足《中华人民共和国政府采购法》第二十二条之规定；</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4.合格供应商的特定条件</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4.1 详见前附表规定。</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5. 供应商代表</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5.1指全权代表供应商参加谈判采购活动并签署响应文件的人，如果供应商代表不是法定代表人，须持有《法定代表人授权委托书》（详见附件格式）。</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6. 谈判费用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6.1无论谈判过程中的做法和结果如何，供应商自行承担所有与参加谈判有关的全部费用。</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7. 联合响应</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7.1接受联合体参加谈判的，由两个或两个以上法人组成一个联合体以一个供应商的身份共同响应时，联合体各方均应当符合政府采购法第二十二条规定的条件。同时还应符合以下要求：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7.1.1 联合体各方中至少应当有一方应具备承担本谈判项目的相应资格条件。</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7.1.2 联合体各方应签订联合谈判响应协议，明确联合体的牵头人，明确约定各方拟承担的工作和责任，并将该联合谈判响应协议随响应文件一并提交给采购代理机构。联合体牵头人应被授权作为联合体所有成员的代表承担责任和接受指令，并负责整个合同的全面履行。</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7.1.3以联合体形式参加政府采购活动的，联合体各方不得再单独参加或者与其他供应商另外组成联合体参加同一合同项下的政府采购活动。出现上述情况者，其谈判响应和与其有关的联合体的谈判响应均做无效响应处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7.1.4联合体成交的，联合体各方应当共同与采购人签订合同，就成交项目向采购人承担连带责任。</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7.2除非另有规定或说明，本谈判文件中“供应商”一词亦指联合体各成员。</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8. 谈判文件</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8.1供应商获取谈判文件后，应仔细检查谈判文件的所有内容，如有残缺等问题应向谈判采购单位提出，否则，由此产生的影响由供应商自己承担。供应商同时应认真审阅谈判文件中所有的事项、格式、条款和规范要求等，若供应商的响应文件没有按谈判文件要求提交全部资料，或响应文件没有对谈判文件做出实质性响应，其风险由供应商自行承担，并根据有关条款规定，该响应有可能被拒绝。</w:t>
      </w:r>
      <w:r/>
    </w:p>
    <w:p>
      <w:pPr>
        <w:ind w:firstLine="60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8.2供应商如有疑问需要澄清，应于下载采购文件后，可通过公告中的联系方式及时提出，采购人或采购代理机构将予以解答，但答复内容不得涉及商业秘密。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8.3 谈判文件及其补充文件不是直接从谈判采购单位处获得的，谈判采购单位对谈判文件及其补遗的真实性、完整性不承担任何责任。</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9.现场考察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9.1供应商应按谈判文件中所述时间和方式对有关现场和周围环境进行考察，以获取编制响应文件和签署合同所需的信息。考察现场所发生的费用由供应商自己承担。</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9.2谈判采购单位向供应商提供的有关现场的资料和数据，是谈判采购单位现有的并认为能使供应商可利用的资料。谈判采购单位对供应商由此而做出的推论、理解和结论概不负责。</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9.3 经谈判采购单位允许，供应商可为考察目的进入谈判采购单位的项目现场，但供应商不得因此使谈判采购单位承担有关的责任和蒙受损失。供应商应承担考察现场的责任和风险。</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9.4供应商应在现场考察时，熟悉现场及周围交通道路等情况，以获得一切可能影响其投标的直接资料。供应商成交后，不得以不完全了解现场情况为理由而向谈判采购单位提出任何索赔的要求，对此谈判采购单位不承担任何责任并将不作任何答复与考虑。</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10. 谈判文件的澄清和修改</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10.1提交首次响应文件截止之日前，采购人、采购代理机构或者谈判小组可以对已发出的谈判文件进行必要的澄清或者修改。澄清或者修改的内容可能影响响应文件编制的，采购人、采购代理机构或者谈判小组应当在提交首次响应文件截止之日3个工作日前，以书面形式通知所有接收谈判文件的供应商，不足3个工作日的，应当顺延提交首次响应文件截止之日。</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10.2谈判文件的澄清、修改等内容与谈判文件在同一内容的表述上不一致时，以发出日期最接近谈判时间的公告为准。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10.3谈判文件的澄清、修改等内容均将在财政部门指定的政府采购信息发布媒体上发布，作为谈判文件的组成部分，对供应商起约束作用。供应商通过“苏州政府采购网”自行查看相关项目的补充通知。</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11. 响应文件计量单位和使用文字</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11.1响应文件中所使用的计量单位，除谈判文件中有特殊要求外，均应使用中华人民共和国法定计量单位。</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11.2响应文件应使用中文编制，响应文件中必须使用其他文字的，必须附有中文译本，且以中文译本为准。对于未附有中文译本和中文译本不准确的响应文件可能引起的对供应商不利的后果，谈判采购单位概不负责。</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12. 响应文件的组成</w:t>
      </w:r>
      <w:r/>
    </w:p>
    <w:p>
      <w:pPr>
        <w:ind w:firstLine="482"/>
        <w:jc w:val="left"/>
        <w:spacing w:line="360" w:lineRule="auto"/>
        <w:shd w:val="clear" w:color="auto"/>
        <w:tabs>
          <w:tab w:val="left" w:pos="425" w:leader="none"/>
        </w:tabs>
        <w:rPr>
          <w:rFonts w:asciiTheme="minorEastAsia" w:hAnsiTheme="minorEastAsia" w:eastAsiaTheme="minorEastAsia"/>
          <w:b/>
          <w:bCs/>
          <w:sz w:val="24"/>
          <w:szCs w:val="24"/>
          <w:highlight w:val="none"/>
        </w:rPr>
      </w:pPr>
      <w:r>
        <w:rPr>
          <w:rFonts w:hint="eastAsia" w:asciiTheme="minorEastAsia" w:hAnsiTheme="minorEastAsia" w:eastAsiaTheme="minorEastAsia"/>
          <w:b/>
          <w:bCs/>
          <w:sz w:val="24"/>
          <w:szCs w:val="24"/>
          <w:highlight w:val="none"/>
        </w:rPr>
        <w:t xml:space="preserve">基本目录：</w:t>
      </w:r>
      <w:r/>
    </w:p>
    <w:p>
      <w:pPr>
        <w:ind w:firstLine="482"/>
        <w:jc w:val="left"/>
        <w:spacing w:line="360" w:lineRule="auto"/>
        <w:shd w:val="clear" w:color="auto"/>
        <w:tabs>
          <w:tab w:val="left" w:pos="425" w:leader="none"/>
        </w:tabs>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12.1、</w:t>
      </w:r>
      <w:r>
        <w:rPr>
          <w:rFonts w:hint="eastAsia" w:ascii="宋体" w:hAnsi="宋体" w:eastAsia="宋体" w:cs="宋体"/>
          <w:b/>
          <w:bCs/>
          <w:sz w:val="24"/>
          <w:szCs w:val="24"/>
          <w:highlight w:val="none"/>
          <w:lang w:val="en-US" w:eastAsia="zh-CN"/>
        </w:rPr>
        <w:t xml:space="preserve">目录</w:t>
      </w:r>
      <w:r/>
    </w:p>
    <w:p>
      <w:pPr>
        <w:ind w:firstLine="482"/>
        <w:jc w:val="left"/>
        <w:spacing w:line="360" w:lineRule="auto"/>
        <w:shd w:val="clear" w:color="auto"/>
        <w:tabs>
          <w:tab w:val="left" w:pos="425" w:leader="none"/>
        </w:tabs>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12.2、</w:t>
      </w:r>
      <w:r>
        <w:rPr>
          <w:rFonts w:hint="eastAsia" w:ascii="宋体" w:hAnsi="宋体" w:eastAsia="宋体" w:cs="宋体"/>
          <w:b/>
          <w:bCs/>
          <w:sz w:val="24"/>
          <w:szCs w:val="24"/>
          <w:highlight w:val="none"/>
          <w:lang w:val="en-US" w:eastAsia="zh-CN"/>
        </w:rPr>
        <w:t xml:space="preserve">谈判报价表</w:t>
      </w:r>
      <w:r/>
    </w:p>
    <w:p>
      <w:pPr>
        <w:ind w:firstLine="482"/>
        <w:jc w:val="left"/>
        <w:spacing w:line="360" w:lineRule="auto"/>
        <w:shd w:val="clear" w:color="auto"/>
        <w:tabs>
          <w:tab w:val="left" w:pos="425" w:leader="none"/>
        </w:tabs>
        <w:rPr>
          <w:rFonts w:ascii="宋体" w:hAnsi="宋体" w:eastAsia="宋体" w:cs="宋体"/>
          <w:sz w:val="24"/>
          <w:szCs w:val="24"/>
          <w:highlight w:val="none"/>
        </w:rPr>
      </w:pPr>
      <w:r>
        <w:rPr>
          <w:rFonts w:hint="eastAsia" w:ascii="宋体" w:hAnsi="宋体" w:eastAsia="宋体" w:cs="宋体"/>
          <w:b/>
          <w:bCs/>
          <w:sz w:val="24"/>
          <w:szCs w:val="24"/>
          <w:highlight w:val="none"/>
        </w:rPr>
        <w:t xml:space="preserve">12.3、</w:t>
      </w:r>
      <w:r>
        <w:rPr>
          <w:rFonts w:hint="eastAsia" w:ascii="宋体" w:hAnsi="宋体" w:eastAsia="宋体" w:cs="宋体"/>
          <w:color w:val="000000"/>
          <w:sz w:val="24"/>
          <w:szCs w:val="24"/>
          <w:highlight w:val="none"/>
        </w:rPr>
        <w:t xml:space="preserve">供应商情况表</w:t>
      </w:r>
      <w:r>
        <w:rPr>
          <w:rFonts w:hint="eastAsia" w:ascii="宋体" w:hAnsi="宋体" w:eastAsia="宋体" w:cs="宋体"/>
          <w:sz w:val="24"/>
          <w:szCs w:val="24"/>
          <w:highlight w:val="none"/>
        </w:rPr>
        <w:t xml:space="preserve">；</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w:t>
      </w: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响应货物数量、规格、品牌、技术指标说明与描述、质量要求、交货期说明、验收方案等；</w:t>
      </w:r>
      <w:r/>
    </w:p>
    <w:p>
      <w:pPr>
        <w:ind w:firstLine="480"/>
        <w:spacing w:line="360" w:lineRule="auto"/>
        <w:shd w:val="clear" w:color="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、其他需供应商对本次响应的详细说明及采购文件要求提供的相关材料（谈判响应单位视具体项目情况自行编制）；</w:t>
      </w:r>
      <w:r/>
    </w:p>
    <w:p>
      <w:pPr>
        <w:ind w:firstLine="470"/>
        <w:spacing w:line="360" w:lineRule="auto"/>
        <w:shd w:val="clear" w:color="auto"/>
        <w:rPr>
          <w:rFonts w:ascii="宋体" w:hAnsi="宋体" w:eastAsia="宋体" w:cs="宋体"/>
          <w:b/>
          <w:bCs/>
          <w:sz w:val="24"/>
          <w:szCs w:val="24"/>
          <w:highlight w:val="none"/>
        </w:rPr>
      </w:pPr>
      <w:r>
        <w:rPr>
          <w:rFonts w:hint="eastAsia" w:ascii="宋体" w:hAnsi="宋体" w:eastAsia="宋体" w:cs="宋体"/>
          <w:b/>
          <w:bCs/>
          <w:spacing w:val="-3"/>
          <w:sz w:val="24"/>
          <w:szCs w:val="24"/>
          <w:highlight w:val="none"/>
          <w:lang w:val="en-AU"/>
        </w:rPr>
        <w:t xml:space="preserve">资格条件：</w:t>
      </w:r>
      <w:r/>
    </w:p>
    <w:p>
      <w:pPr>
        <w:ind w:firstLine="480"/>
        <w:jc w:val="left"/>
        <w:spacing w:line="360" w:lineRule="auto"/>
        <w:shd w:val="clear" w:color="auto"/>
        <w:tabs>
          <w:tab w:val="left" w:pos="42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、具有独立承担民事责任的能力。提供包括法人或者其他组织的营业执照等证明文件，自然人的身份证明；</w:t>
      </w:r>
      <w:r/>
    </w:p>
    <w:p>
      <w:pPr>
        <w:ind w:firstLine="480"/>
        <w:jc w:val="left"/>
        <w:spacing w:line="360" w:lineRule="auto"/>
        <w:shd w:val="clear" w:color="auto"/>
        <w:tabs>
          <w:tab w:val="left" w:pos="42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响应供应商具有良好的商业信誉和健全的财务会计制度证明，提供最近一期</w:t>
      </w:r>
      <w:r>
        <w:rPr>
          <w:rFonts w:hint="eastAsia" w:ascii="宋体" w:hAnsi="宋体" w:eastAsia="宋体" w:cs="宋体"/>
          <w:color w:val="000000"/>
          <w:sz w:val="24"/>
          <w:szCs w:val="24"/>
          <w:highlight w:val="none"/>
          <w:lang w:val="en-US" w:eastAsia="zh-CN"/>
        </w:rPr>
        <w:t xml:space="preserve">经审计的</w:t>
      </w:r>
      <w:r>
        <w:rPr>
          <w:rFonts w:hint="eastAsia" w:ascii="宋体" w:hAnsi="宋体" w:eastAsia="宋体" w:cs="宋体"/>
          <w:color w:val="000000"/>
          <w:sz w:val="24"/>
          <w:szCs w:val="24"/>
          <w:highlight w:val="none"/>
        </w:rPr>
        <w:t xml:space="preserve">财务报告，成立未满一年的法人应提供银行出具的资信证明；</w:t>
      </w:r>
      <w:r/>
    </w:p>
    <w:p>
      <w:pPr>
        <w:ind w:firstLine="480"/>
        <w:jc w:val="left"/>
        <w:spacing w:line="360" w:lineRule="auto"/>
        <w:shd w:val="clear" w:color="auto"/>
        <w:tabs>
          <w:tab w:val="left" w:pos="42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履行合同所必备的设备和专业技术能力的证明材料，服务供应商应提供满足采购需求必备的相关设备的购置合同或发票，相关技术人员的职称证书和用工合同等证明材料；</w:t>
      </w:r>
      <w:r/>
    </w:p>
    <w:p>
      <w:pPr>
        <w:ind w:firstLine="480"/>
        <w:jc w:val="left"/>
        <w:spacing w:line="360" w:lineRule="auto"/>
        <w:shd w:val="clear" w:color="auto"/>
        <w:tabs>
          <w:tab w:val="left" w:pos="42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有依法缴纳税收和社会保障资金的良好记录。提供提交响应文件截止时间前三个月内依法缴纳税收及缴纳社会保障资金的证明材料，如相关主管部门证明或银行代扣证明。响应单位如依法享受缓缴、免缴税收、社会保障资金的应提供相关主管部门出具的证明材料；</w:t>
      </w:r>
      <w:r/>
    </w:p>
    <w:p>
      <w:pPr>
        <w:ind w:firstLine="480"/>
        <w:jc w:val="left"/>
        <w:spacing w:line="360" w:lineRule="auto"/>
        <w:shd w:val="clear" w:color="auto"/>
        <w:tabs>
          <w:tab w:val="left" w:pos="42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、参加政府采购活动前三年内在经营活动中没有重大违法记录。提供书面声明函；</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12.1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、单位负责人为同一人或者存在直接控股、管理关系的不同供应商，不得参加同一合同项下的政府采购活动,提供关于资格文件的声明函（详见投标文件格式）；</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sz w:val="24"/>
          <w:highlight w:val="none"/>
        </w:rPr>
        <w:t xml:space="preserve">12.</w:t>
      </w:r>
      <w:r>
        <w:rPr>
          <w:rFonts w:hint="eastAsia" w:ascii="宋体" w:hAnsi="宋体" w:eastAsia="宋体"/>
          <w:sz w:val="24"/>
          <w:highlight w:val="none"/>
          <w:lang w:val="en-US" w:eastAsia="zh-CN"/>
        </w:rPr>
        <w:t xml:space="preserve">12、</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b/>
          <w:bCs/>
          <w:color w:val="auto"/>
          <w:sz w:val="24"/>
          <w:szCs w:val="24"/>
          <w:highlight w:val="none"/>
        </w:rPr>
        <w:t xml:space="preserve">本项目专门面向中小企业</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所属行业为工业，制造商应为中小微企业或监狱企业或残疾人福利性单位。</w:t>
      </w:r>
      <w:r>
        <w:rPr>
          <w:rFonts w:hint="eastAsia" w:ascii="宋体" w:hAnsi="宋体" w:eastAsia="宋体" w:cs="宋体"/>
          <w:color w:val="auto"/>
          <w:sz w:val="24"/>
          <w:szCs w:val="24"/>
          <w:highlight w:val="none"/>
        </w:rPr>
        <w:t xml:space="preserve">提供对应的《中小企业声明函》或《残疾人福利性单位声明函》或省级以上监狱管理局、戒毒管理局（含新疆生产建设兵团）出具的属于监狱企业的证明文件，</w:t>
      </w:r>
      <w:r>
        <w:rPr>
          <w:rFonts w:hint="eastAsia" w:ascii="宋体" w:hAnsi="宋体" w:eastAsia="宋体" w:cs="宋体"/>
          <w:b/>
          <w:bCs/>
          <w:color w:val="auto"/>
          <w:sz w:val="24"/>
          <w:szCs w:val="24"/>
          <w:highlight w:val="none"/>
        </w:rPr>
        <w:t xml:space="preserve">否则不享受相应政府采购政策。</w:t>
      </w:r>
      <w:r/>
    </w:p>
    <w:p>
      <w:pPr>
        <w:ind w:firstLine="482"/>
        <w:jc w:val="left"/>
        <w:spacing w:line="360" w:lineRule="auto"/>
        <w:shd w:val="clear" w:color="auto"/>
        <w:tabs>
          <w:tab w:val="left" w:pos="425" w:leader="none"/>
        </w:tabs>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符合条件：</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12.1</w:t>
      </w: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rPr>
        <w:t xml:space="preserve">谈判响应函；</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w:t>
      </w:r>
      <w:r>
        <w:rPr>
          <w:rFonts w:hint="eastAsia" w:ascii="宋体" w:hAnsi="宋体" w:eastAsia="宋体" w:cs="宋体"/>
          <w:color w:val="000000"/>
          <w:sz w:val="24"/>
          <w:highlight w:val="none"/>
          <w:lang w:val="en-US" w:eastAsia="zh-CN"/>
        </w:rPr>
        <w:t xml:space="preserve">14</w:t>
      </w:r>
      <w:r>
        <w:rPr>
          <w:rFonts w:ascii="宋体" w:hAnsi="宋体" w:eastAsia="宋体" w:cs="宋体"/>
          <w:color w:val="000000"/>
          <w:sz w:val="24"/>
          <w:highlight w:val="none"/>
        </w:rPr>
        <w:t xml:space="preserve">响应报价表</w:t>
      </w:r>
      <w:r>
        <w:rPr>
          <w:rFonts w:hint="eastAsia" w:ascii="宋体" w:hAnsi="宋体" w:eastAsia="宋体" w:cs="宋体"/>
          <w:color w:val="000000"/>
          <w:sz w:val="24"/>
          <w:highlight w:val="none"/>
        </w:rPr>
        <w:t xml:space="preserve">及分项报价明细表</w:t>
      </w:r>
      <w:r>
        <w:rPr>
          <w:rFonts w:ascii="宋体" w:hAnsi="宋体" w:eastAsia="宋体" w:cs="宋体"/>
          <w:color w:val="000000"/>
          <w:sz w:val="24"/>
          <w:highlight w:val="none"/>
        </w:rPr>
        <w:t xml:space="preserve">；</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w:t>
      </w:r>
      <w:r>
        <w:rPr>
          <w:rFonts w:hint="eastAsia" w:ascii="宋体" w:hAnsi="宋体" w:eastAsia="宋体" w:cs="宋体"/>
          <w:color w:val="000000"/>
          <w:sz w:val="24"/>
          <w:highlight w:val="none"/>
          <w:lang w:val="en-US" w:eastAsia="zh-CN"/>
        </w:rPr>
        <w:t xml:space="preserve">1</w:t>
      </w:r>
      <w:r>
        <w:rPr>
          <w:rFonts w:ascii="宋体" w:hAnsi="宋体" w:eastAsia="宋体" w:cs="宋体"/>
          <w:color w:val="000000"/>
          <w:sz w:val="24"/>
          <w:highlight w:val="none"/>
        </w:rPr>
        <w:t xml:space="preserve">5响应供应商法人授权委托书原件</w:t>
      </w:r>
      <w:r>
        <w:rPr>
          <w:rFonts w:hint="eastAsia" w:ascii="宋体" w:hAnsi="宋体" w:eastAsia="宋体" w:cs="宋体"/>
          <w:color w:val="000000"/>
          <w:sz w:val="24"/>
          <w:szCs w:val="24"/>
          <w:highlight w:val="none"/>
        </w:rPr>
        <w:t xml:space="preserve">扫描件</w:t>
      </w:r>
      <w:r>
        <w:rPr>
          <w:rFonts w:ascii="宋体" w:hAnsi="宋体" w:eastAsia="宋体" w:cs="宋体"/>
          <w:color w:val="000000"/>
          <w:sz w:val="24"/>
          <w:highlight w:val="none"/>
        </w:rPr>
        <w:t xml:space="preserve">（如有授权）（详见投标文件格式）；</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w:t>
      </w:r>
      <w:r>
        <w:rPr>
          <w:rFonts w:hint="eastAsia" w:ascii="宋体" w:hAnsi="宋体" w:eastAsia="宋体" w:cs="宋体"/>
          <w:color w:val="000000"/>
          <w:sz w:val="24"/>
          <w:highlight w:val="none"/>
          <w:lang w:val="en-US" w:eastAsia="zh-CN"/>
        </w:rPr>
        <w:t xml:space="preserve">1</w:t>
      </w:r>
      <w:r>
        <w:rPr>
          <w:rFonts w:ascii="宋体" w:hAnsi="宋体" w:eastAsia="宋体" w:cs="宋体"/>
          <w:color w:val="000000"/>
          <w:sz w:val="24"/>
          <w:highlight w:val="none"/>
        </w:rPr>
        <w:t xml:space="preserve">6响应供应商法定代表人身份证</w:t>
      </w:r>
      <w:r>
        <w:rPr>
          <w:rFonts w:hint="eastAsia" w:ascii="宋体" w:hAnsi="宋体" w:eastAsia="宋体" w:cs="宋体"/>
          <w:color w:val="000000"/>
          <w:sz w:val="24"/>
          <w:szCs w:val="24"/>
          <w:highlight w:val="none"/>
        </w:rPr>
        <w:t xml:space="preserve">扫描件</w:t>
      </w:r>
      <w:r>
        <w:rPr>
          <w:rFonts w:ascii="宋体" w:hAnsi="宋体" w:eastAsia="宋体" w:cs="宋体"/>
          <w:color w:val="000000"/>
          <w:sz w:val="24"/>
          <w:highlight w:val="none"/>
        </w:rPr>
        <w:t xml:space="preserve">；</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w:t>
      </w:r>
      <w:r>
        <w:rPr>
          <w:rFonts w:hint="eastAsia" w:ascii="宋体" w:hAnsi="宋体" w:eastAsia="宋体" w:cs="宋体"/>
          <w:color w:val="000000"/>
          <w:sz w:val="24"/>
          <w:highlight w:val="none"/>
          <w:lang w:val="en-US" w:eastAsia="zh-CN"/>
        </w:rPr>
        <w:t xml:space="preserve">1</w:t>
      </w:r>
      <w:r>
        <w:rPr>
          <w:rFonts w:ascii="宋体" w:hAnsi="宋体" w:eastAsia="宋体" w:cs="宋体"/>
          <w:color w:val="000000"/>
          <w:sz w:val="24"/>
          <w:highlight w:val="none"/>
        </w:rPr>
        <w:t xml:space="preserve">7响应供应商代理人身份证</w:t>
      </w:r>
      <w:r>
        <w:rPr>
          <w:rFonts w:hint="eastAsia" w:ascii="宋体" w:hAnsi="宋体" w:eastAsia="宋体" w:cs="宋体"/>
          <w:color w:val="000000"/>
          <w:sz w:val="24"/>
          <w:szCs w:val="24"/>
          <w:highlight w:val="none"/>
        </w:rPr>
        <w:t xml:space="preserve">扫描件</w:t>
      </w:r>
      <w:r>
        <w:rPr>
          <w:rFonts w:ascii="宋体" w:hAnsi="宋体" w:eastAsia="宋体" w:cs="宋体"/>
          <w:color w:val="000000"/>
          <w:sz w:val="24"/>
          <w:highlight w:val="none"/>
        </w:rPr>
        <w:t xml:space="preserve">（如有授权）；</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12.1</w:t>
      </w:r>
      <w:r>
        <w:rPr>
          <w:rFonts w:hint="eastAsia" w:ascii="宋体" w:hAnsi="宋体" w:eastAsia="宋体" w:cs="宋体"/>
          <w:color w:val="000000"/>
          <w:sz w:val="24"/>
          <w:highlight w:val="none"/>
          <w:lang w:val="en-US" w:eastAsia="zh-CN"/>
        </w:rPr>
        <w:t xml:space="preserve">8</w:t>
      </w:r>
      <w:r>
        <w:rPr>
          <w:rFonts w:ascii="宋体" w:hAnsi="宋体" w:eastAsia="宋体" w:cs="宋体"/>
          <w:color w:val="000000"/>
          <w:sz w:val="24"/>
          <w:highlight w:val="none"/>
        </w:rPr>
        <w:t xml:space="preserve">技术参数偏离表、商务条款偏离表；</w:t>
      </w:r>
      <w:r/>
    </w:p>
    <w:p>
      <w:p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12.1</w:t>
      </w:r>
      <w:r>
        <w:rPr>
          <w:rFonts w:hint="eastAsia" w:ascii="宋体" w:hAnsi="宋体" w:eastAsia="宋体" w:cs="宋体"/>
          <w:color w:val="000000"/>
          <w:sz w:val="24"/>
          <w:highlight w:val="none"/>
          <w:lang w:val="en-US" w:eastAsia="zh-CN"/>
        </w:rPr>
        <w:t xml:space="preserve">9</w:t>
      </w:r>
      <w:r>
        <w:rPr>
          <w:rFonts w:ascii="宋体" w:hAnsi="宋体" w:eastAsia="宋体" w:cs="宋体"/>
          <w:color w:val="000000"/>
          <w:sz w:val="24"/>
          <w:highlight w:val="none"/>
        </w:rPr>
        <w:t xml:space="preserve">质保期及售后服务承诺书；</w:t>
      </w:r>
      <w:r/>
    </w:p>
    <w:p>
      <w:p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sz w:val="24"/>
          <w:highlight w:val="none"/>
          <w:lang w:val="en-US" w:eastAsia="zh-CN"/>
        </w:rPr>
        <w:t xml:space="preserve">12.20</w:t>
      </w:r>
      <w:r>
        <w:rPr>
          <w:rFonts w:hint="eastAsia" w:ascii="宋体" w:hAnsi="宋体" w:eastAsia="宋体" w:cs="宋体"/>
          <w:color w:val="auto"/>
          <w:sz w:val="24"/>
          <w:szCs w:val="24"/>
          <w:highlight w:val="none"/>
        </w:rPr>
        <w:t xml:space="preserve">谈判文件采购需求要求的证书及检测报告；</w:t>
      </w:r>
      <w:r/>
    </w:p>
    <w:p>
      <w:pPr>
        <w:ind w:firstLine="480"/>
        <w:spacing w:line="360" w:lineRule="auto"/>
        <w:shd w:val="clear" w:color="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w:t>
      </w:r>
      <w:r>
        <w:rPr>
          <w:rFonts w:hint="eastAsia" w:ascii="宋体" w:hAnsi="宋体" w:eastAsia="宋体" w:cs="宋体"/>
          <w:color w:val="000000"/>
          <w:sz w:val="24"/>
          <w:highlight w:val="none"/>
          <w:lang w:val="en-US" w:eastAsia="zh-CN"/>
        </w:rPr>
        <w:t xml:space="preserve">21</w:t>
      </w:r>
      <w:r>
        <w:rPr>
          <w:rFonts w:ascii="宋体" w:hAnsi="宋体" w:eastAsia="宋体" w:cs="宋体"/>
          <w:color w:val="auto"/>
          <w:sz w:val="24"/>
          <w:highlight w:val="none"/>
        </w:rPr>
        <w:t xml:space="preserve">响应供应商</w:t>
      </w:r>
      <w:r>
        <w:rPr>
          <w:rFonts w:hint="eastAsia" w:ascii="宋体" w:hAnsi="宋体" w:eastAsia="宋体" w:cs="宋体"/>
          <w:color w:val="auto"/>
          <w:sz w:val="24"/>
          <w:highlight w:val="none"/>
        </w:rPr>
        <w:t xml:space="preserve">对谈判文件响应情况：由谈判小组自行查看，</w:t>
      </w:r>
      <w:r>
        <w:rPr>
          <w:rFonts w:ascii="宋体" w:hAnsi="宋体" w:eastAsia="宋体" w:cs="宋体"/>
          <w:color w:val="auto"/>
          <w:sz w:val="24"/>
          <w:highlight w:val="none"/>
        </w:rPr>
        <w:t xml:space="preserve">响应供应商</w:t>
      </w:r>
      <w:r>
        <w:rPr>
          <w:rFonts w:hint="eastAsia" w:ascii="宋体" w:hAnsi="宋体" w:eastAsia="宋体" w:cs="宋体"/>
          <w:color w:val="auto"/>
          <w:sz w:val="24"/>
          <w:highlight w:val="none"/>
        </w:rPr>
        <w:t xml:space="preserve">无需另行提供证明材料；</w:t>
      </w:r>
      <w:r/>
    </w:p>
    <w:p>
      <w:pPr>
        <w:ind w:firstLine="470"/>
        <w:spacing w:line="360" w:lineRule="auto"/>
        <w:shd w:val="clear" w:color="auto"/>
        <w:rPr>
          <w:rFonts w:ascii="宋体" w:hAnsi="宋体" w:eastAsia="宋体" w:cs="宋体"/>
          <w:color w:val="000000"/>
          <w:sz w:val="24"/>
          <w:szCs w:val="24"/>
          <w:highlight w:val="none"/>
        </w:rPr>
      </w:pPr>
      <w:r>
        <w:rPr>
          <w:rFonts w:hint="eastAsia" w:ascii="宋体" w:hAnsi="宋体" w:eastAsia="宋体" w:cs="宋体"/>
          <w:b/>
          <w:bCs/>
          <w:spacing w:val="-3"/>
          <w:sz w:val="24"/>
          <w:szCs w:val="24"/>
          <w:highlight w:val="none"/>
          <w:lang w:val="en-AU"/>
        </w:rPr>
        <w:t xml:space="preserve">价格折扣文件：</w:t>
      </w:r>
      <w:r/>
    </w:p>
    <w:p>
      <w:pPr>
        <w:ind w:firstLine="480"/>
        <w:spacing w:line="360" w:lineRule="auto"/>
        <w:shd w:val="clear" w:color="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12.22</w:t>
      </w:r>
      <w:r>
        <w:rPr>
          <w:rFonts w:hint="eastAsia" w:ascii="宋体" w:hAnsi="宋体" w:eastAsia="宋体" w:cs="宋体"/>
          <w:color w:val="auto"/>
          <w:sz w:val="24"/>
          <w:szCs w:val="24"/>
          <w:highlight w:val="none"/>
        </w:rPr>
        <w:t xml:space="preserve">提供《中小企业声明函》或《残疾人福利性单位声明函》或省级以上监狱管理局、戒毒管理局（含新疆生产建设兵团）出具的属于监狱企业的证明文件，否则不享受相应政府采购政策。</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注：1、供应商应提交以上12.1-12.</w:t>
      </w:r>
      <w:r>
        <w:rPr>
          <w:rFonts w:hint="eastAsia" w:ascii="宋体" w:hAnsi="宋体" w:eastAsia="宋体" w:cs="宋体"/>
          <w:b/>
          <w:color w:val="000000"/>
          <w:sz w:val="24"/>
          <w:highlight w:val="none"/>
          <w:lang w:val="en-US" w:eastAsia="zh-CN"/>
        </w:rPr>
        <w:t xml:space="preserve">22</w:t>
      </w:r>
      <w:r>
        <w:rPr>
          <w:rFonts w:ascii="宋体" w:hAnsi="宋体" w:eastAsia="宋体" w:cs="宋体"/>
          <w:b/>
          <w:color w:val="000000"/>
          <w:sz w:val="24"/>
          <w:highlight w:val="none"/>
        </w:rPr>
        <w:t xml:space="preserve">条完整响应文件。否则，响应文件将因资格条件不符或未实质响应谈判文件而被拒绝。</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2、制作电子投标（响应）文件时请与电子投标（响应）文件制作软件目录一一对应，将相关资料上传至相应模块。</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3、供应商应保证上传的投标（响应）文件完整、清晰可辨认，若因上传资料过小或模糊不清等无法辨认的都视为该资料未提供。</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4、响应单位必须保证全部响应资料的真实性，如有虚假或对采购文件所要求说明的情况故意隐瞒或虚报，视为不实质性响应谈判文件，响应无效。</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13. 电子投标（响应）文件的编制与提交</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13.2、电子投标（响应)文件递交：供应商应当按照《操作手册》指引，</w:t>
      </w:r>
      <w:r>
        <w:rPr>
          <w:rFonts w:ascii="宋体" w:hAnsi="宋体" w:eastAsia="宋体" w:cs="宋体"/>
          <w:b/>
          <w:color w:val="000000"/>
          <w:sz w:val="24"/>
          <w:highlight w:val="none"/>
        </w:rPr>
        <w:t xml:space="preserve">在投标（响应）文件提交截止时间前完成电子投标（响应）文件的上传，未按要求成功上传的投标（响应）文件视为未递交。</w:t>
      </w:r>
      <w:r>
        <w:rPr>
          <w:rFonts w:ascii="宋体" w:hAnsi="宋体" w:eastAsia="宋体" w:cs="宋体"/>
          <w:color w:val="000000"/>
          <w:sz w:val="24"/>
          <w:highlight w:val="none"/>
        </w:rPr>
        <w:t xml:space="preserve">供应商应充分考虑到网络环境、网络带宽等风险因素，如因供应商自身原因造成的电子投标（响应）文件上传不成功由供应商自行承担全部责任。</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13.3、 </w:t>
      </w:r>
      <w:r>
        <w:rPr>
          <w:rFonts w:ascii="宋体" w:hAnsi="宋体" w:eastAsia="宋体" w:cs="宋体"/>
          <w:b/>
          <w:color w:val="000000"/>
          <w:sz w:val="24"/>
          <w:highlight w:val="none"/>
        </w:rPr>
        <w:t xml:space="preserve">响应文件未按照谈判文件要求加盖CA电子公章的，响应无效。</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13.4、联合体投标：如招标（采购）公告中允许联合体投标，联合体投标的投标（响应）文件制作上传操作如下：</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第一步：在投标（响应）文件中上传联合体投标协议书。</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第二步；在投标（响应）文件中，由联合体中的牵头人制作投标（响应）文件。</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13.5、如投标（响应）文件制作机器码信息一致，视为不同投标供应商使用同一台电脑编制投标（响应）文件，投标（响应）无效。</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响应文件的修改和撤回</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13.6、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14. 报价（编制）要求的说明</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w:t>
      </w:r>
      <w:r>
        <w:rPr>
          <w:rFonts w:ascii="宋体" w:hAnsi="宋体" w:eastAsia="宋体" w:cs="宋体"/>
          <w:color w:val="000000"/>
          <w:sz w:val="24"/>
          <w:highlight w:val="none"/>
        </w:rPr>
        <w:t xml:space="preserve">1除非合同中另有规定，谈判供应商对《谈判报价表》中的全部货物和服务的报价应包括全部货物及其备品备件、专用工具费用、人工、运输、检验、送货、保险、装卸、仓储、保管、安装、调试、包装、技术支持与培训、专利技术、售后服务与维保及其他伴随服务相关劳务支出等工作所发生的全部费用以及投标人企业利润、税金和政策性文件规定及合同包含的所有风险、责任等各项应有费用。除非因特殊原因并经买卖双方协商同意，响应供应商不得再要求追加任何费用。同时，除非合同条款中另有规定，否则，响应供应商所报价格在合同实施期间不因市场变化因素而变动。</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14.2响应报价编制要求</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14.2.1根据提供的谈判文件、采购清单及有关资料单独编制相关项目实施的谈判报价并汇总填入《谈判报价表》；</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14.2.2谈判报价明细成交的物顺序和数量均应按本谈判文件提供的采购清单顺序和数量。如发现响应报价中有错算现象，一旦成交，谈判供应商自行承担错算这部分的经济损失。</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14.3供应商应对谈判文件内所要采购的全部内容进行报价，只响应其中部分内容者，其响应文件将被拒绝。但如果采购要求分采购单元响应的，则供应商可以按谈判文件要求有选择地只投其中一个或几个采购单元，也可以投全部采购单元，但各采购单元应分别计算填写单价和总价。</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14.4一项响应内容只允许一个报价，采购人不接受任何有选择性的响应报价。</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14.5响应文件中报价全部采用人民币表示，除非合同的特殊条款另有规定。</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15. 响应保证金（本项目无需提交响应保证金，本谈判文件内响应保证金相关规定均不适用。）</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16. 响应文件的有效期</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16.1响应文件的有效期见前附表，在此期间内，响应文件应保持有效。有效期短于这个规定期限的响应，将被拒绝。</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16.2在特殊情况下，谈判采购单位可与供应商协商延长响应文件的有效期。这种要求和答复都应以书面形式进行。同意延长有效期的供应商不能修改响应文件，按本谈判文件规定的保证金的有效期也相应延长。拒绝接受延期要求的供应商的响应将被拒绝，但保证金仍予退还。</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17. 响应截止时间</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17.1电子响应文件上传截止时间前完成加密并上传系统。</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17.2在提交截止时间以后上传的响应文件，谈判采购单位将拒绝接收。</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18. 响应文件的补充、修改和撤回</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18.1供应商在上传响应文件截止时间前可对其响应文件进行补充、修改或撤回。</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19.谈判程序</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19.1谈判活动由采购代理机构在线主持，邀请供应商在线参加。供应商应当按照《苏采云系统供应商操作手册》规定，</w:t>
      </w:r>
      <w:r>
        <w:rPr>
          <w:rFonts w:ascii="宋体" w:hAnsi="宋体" w:eastAsia="宋体" w:cs="宋体"/>
          <w:b/>
          <w:color w:val="000000"/>
          <w:sz w:val="24"/>
          <w:highlight w:val="none"/>
        </w:rPr>
        <w:t xml:space="preserve">参加谈判活动和在“苏采云”系统规定的时间内对响应文件进行解密。</w:t>
      </w:r>
      <w:r>
        <w:rPr>
          <w:rFonts w:ascii="宋体" w:hAnsi="宋体" w:eastAsia="宋体" w:cs="宋体"/>
          <w:color w:val="000000"/>
          <w:sz w:val="24"/>
          <w:highlight w:val="none"/>
        </w:rPr>
        <w:t xml:space="preserve">评审小组不得参加谈判采购活动。</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19.2由谈判小组审查供应商解密的响应文件，此谈判响应文件的报价为第一次报价。</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19.3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19.4谈判小组要求供应商澄清、说明或者更正响应文件应当以书面形式做出。供应商的澄清、说明或者更正应当由其单位加盖电子公章。</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19.5本项目供应商的澄清、说明或者补正采用线上澄清:</w:t>
      </w:r>
      <w:r>
        <w:rPr>
          <w:rFonts w:hint="eastAsia" w:ascii="宋体" w:hAnsi="宋体" w:eastAsia="宋体" w:cs="宋体"/>
          <w:b/>
          <w:color w:val="000000"/>
          <w:sz w:val="24"/>
          <w:highlight w:val="none"/>
        </w:rPr>
        <w:t xml:space="preserve">代理公司</w:t>
      </w:r>
      <w:r>
        <w:rPr>
          <w:rFonts w:ascii="宋体" w:hAnsi="宋体" w:eastAsia="宋体" w:cs="宋体"/>
          <w:b/>
          <w:color w:val="000000"/>
          <w:sz w:val="24"/>
          <w:highlight w:val="none"/>
        </w:rPr>
        <w:t xml:space="preserve">将通过“苏采云”系统向供应商发布“澄清要求函”，接到“澄清要求函”的供应商应当按要求在规定时间内通过“苏采云”系统提交“澄清响应函”并加盖CA电子公章，澄清、说明和补充的内容作为响应文件的补充部分。</w:t>
      </w:r>
      <w:r>
        <w:rPr>
          <w:rFonts w:ascii="宋体" w:hAnsi="宋体" w:eastAsia="宋体" w:cs="宋体"/>
          <w:color w:val="000000"/>
          <w:sz w:val="24"/>
          <w:highlight w:val="none"/>
        </w:rPr>
        <w:t xml:space="preserve">具体操作方式见《操作手册》。</w:t>
      </w:r>
      <w:r>
        <w:rPr>
          <w:rFonts w:ascii="宋体" w:hAnsi="宋体" w:eastAsia="宋体" w:cs="宋体"/>
          <w:b/>
          <w:color w:val="000000"/>
          <w:sz w:val="24"/>
          <w:highlight w:val="none"/>
        </w:rPr>
        <w:t xml:space="preserve">未加盖CA电子公章的澄清无效。</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rFonts w:ascii="宋体" w:hAnsi="宋体" w:eastAsia="宋体" w:cs="宋体"/>
          <w:b/>
          <w:color w:val="000000"/>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19.6、本项目采用线上谈判：谈判小组通过“苏采云”系统向供应商发布“谈判函”，供应商可通过查看【谈判响应】菜单中的待办信息，应当按照要求在“苏采云”系统提交“谈判响应函”并加盖CA电子公章，具体操作方式见《操作手册》。</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19.7、在谈判过程中，谈判小组可以根据采购文件和谈判情况实质性变动采购需求中的技术、服务要求以及合同草案条款，但不得变动谈判文件中的其他内容。实质性变动的内容，须经采购人代表确认。对采购文件做出的实质性变动是采购文件的有效组成部分，谈判小组应以书面形式记录具体变动内容并经采购人代表签字确认后及时以书面形式（通过“苏采云”系统）同时通知所有参加谈判的供应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19.8、供应商应当按照谈判文件的变动情况和谈判小组的要求在“苏采云”系统中重新提交响应文件，并加盖CA电子公章。重新提交的响应文件按谈判文件进行评审。</w:t>
      </w:r>
      <w:r>
        <w:rPr>
          <w:rFonts w:ascii="宋体" w:hAnsi="宋体" w:eastAsia="宋体" w:cs="宋体"/>
          <w:b/>
          <w:color w:val="000000"/>
          <w:sz w:val="24"/>
          <w:highlight w:val="none"/>
        </w:rPr>
        <w:t xml:space="preserve">未按要求重新提交响应文件的按响应无效处理。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19.9、最后报价</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19.9.1、谈判结束后，谈判小组应当要求所有继续参加谈判的供应商在规定时间内提交最后报价（</w:t>
      </w:r>
      <w:r>
        <w:rPr>
          <w:rFonts w:ascii="宋体" w:hAnsi="宋体" w:eastAsia="宋体" w:cs="宋体"/>
          <w:b/>
          <w:color w:val="000000"/>
          <w:sz w:val="24"/>
          <w:highlight w:val="none"/>
        </w:rPr>
        <w:t xml:space="preserve">除因谈判文件修改导致成本增加，二次报价不得超过第一次报价，否则为无效响应报价</w:t>
      </w:r>
      <w:r>
        <w:rPr>
          <w:rFonts w:ascii="宋体" w:hAnsi="宋体" w:eastAsia="宋体" w:cs="宋体"/>
          <w:color w:val="000000"/>
          <w:sz w:val="24"/>
          <w:highlight w:val="none"/>
        </w:rPr>
        <w:t xml:space="preserve">），最后报价作为评审价格（各谈判供应商可提供最后报价总价或最后报价总价的明细报价；若未提供明细报价的则合同单价按最终报价与第一次报价总价的下浮比例同比例下浮）。最后报价是供应商响应文件的有效组成部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19.9.2、</w:t>
      </w:r>
      <w:r>
        <w:rPr>
          <w:rFonts w:ascii="宋体" w:hAnsi="宋体" w:eastAsia="宋体" w:cs="宋体"/>
          <w:b/>
          <w:color w:val="000000"/>
          <w:sz w:val="24"/>
          <w:highlight w:val="none"/>
        </w:rPr>
        <w:t xml:space="preserve">本项目采用线上最后报价：</w:t>
      </w:r>
      <w:r>
        <w:rPr>
          <w:rFonts w:ascii="宋体" w:hAnsi="宋体" w:eastAsia="宋体" w:cs="宋体"/>
          <w:color w:val="000000"/>
          <w:sz w:val="24"/>
          <w:highlight w:val="none"/>
        </w:rPr>
        <w:t xml:space="preserve">谈判小组将在“苏采云”系统中向符合条件的供应商发布“最后报价要求函”及分项报价表（如有），要求其在规定时间内提交最后报价。因供应商自身原因导致线上报价失败的后果由供应商自行承担。</w:t>
      </w:r>
      <w:r>
        <w:rPr>
          <w:rFonts w:ascii="宋体" w:hAnsi="宋体" w:eastAsia="宋体" w:cs="宋体"/>
          <w:b/>
          <w:color w:val="000000"/>
          <w:sz w:val="24"/>
          <w:highlight w:val="none"/>
        </w:rPr>
        <w:t xml:space="preserve">供应商未在谈判小组规定的时间内在“苏采云”系统中提交最后报价的视为放弃谈判，其响应文件按无效响应处理，提交最后报价须加盖CA电子签章,否则视为未提交最后报价。</w:t>
      </w:r>
      <w:r>
        <w:rPr>
          <w:rFonts w:ascii="宋体" w:hAnsi="宋体" w:eastAsia="宋体" w:cs="宋体"/>
          <w:color w:val="000000"/>
          <w:sz w:val="24"/>
          <w:highlight w:val="none"/>
        </w:rPr>
        <w:t xml:space="preserve">在提交最后报价之前，可以根据谈判情况退出谈判，并在“苏采云”系统中提交“退出谈判函”并加盖CA电子公章。</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19.9.3、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firstLine="480"/>
        <w:jc w:val="left"/>
        <w:spacing w:line="360" w:lineRule="auto"/>
        <w:shd w:val="clear" w:color="auto"/>
        <w:tabs>
          <w:tab w:val="left" w:pos="420" w:leader="none"/>
        </w:tabs>
        <w:rPr>
          <w:rFonts w:hint="eastAsia" w:ascii="宋体" w:hAnsi="宋体" w:eastAsia="宋体" w:cs="宋体"/>
          <w:color w:val="000000"/>
          <w:sz w:val="24"/>
          <w:highlight w:val="none"/>
        </w:rPr>
      </w:pPr>
      <w:r>
        <w:rPr>
          <w:rFonts w:ascii="宋体" w:hAnsi="宋体" w:eastAsia="宋体" w:cs="宋体"/>
          <w:color w:val="000000"/>
          <w:sz w:val="24"/>
          <w:highlight w:val="none"/>
        </w:rPr>
        <w:t xml:space="preserve">19.9.4、</w:t>
      </w:r>
      <w:r>
        <w:rPr>
          <w:rFonts w:hint="eastAsia" w:ascii="宋体" w:hAnsi="宋体" w:eastAsia="宋体" w:cs="宋体"/>
          <w:color w:val="000000"/>
          <w:sz w:val="24"/>
          <w:highlight w:val="none"/>
        </w:rPr>
        <w:t xml:space="preserve">采购评审中出现下列情形之一的，评审委员会应当启动异常低价投标（响应）审查程序：</w:t>
      </w:r>
      <w:r/>
    </w:p>
    <w:p>
      <w:pPr>
        <w:ind w:firstLine="480"/>
        <w:jc w:val="left"/>
        <w:spacing w:line="360" w:lineRule="auto"/>
        <w:shd w:val="clear" w:color="auto"/>
        <w:tabs>
          <w:tab w:val="left" w:pos="42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投标（响应）报价低于全部通过符合性审查供应商投标（响应）报价平均值50%的，即投标（响应）报价&lt;全部通过符合性审查供应商投标（响应）报价平均值×50%；</w:t>
      </w:r>
      <w:r/>
    </w:p>
    <w:p>
      <w:pPr>
        <w:ind w:firstLine="480"/>
        <w:jc w:val="left"/>
        <w:spacing w:line="360" w:lineRule="auto"/>
        <w:shd w:val="clear" w:color="auto"/>
        <w:tabs>
          <w:tab w:val="left" w:pos="420" w:leader="none"/>
        </w:tabs>
        <w:rPr>
          <w:rFonts w:hint="eastAsia" w:ascii="宋体" w:hAnsi="宋体" w:eastAsia="宋体" w:cs="宋体"/>
          <w:sz w:val="24"/>
          <w:highlight w:val="none"/>
        </w:rPr>
      </w:pPr>
      <w:r>
        <w:rPr>
          <w:rFonts w:hint="eastAsia" w:ascii="宋体" w:hAnsi="宋体" w:eastAsia="宋体" w:cs="宋体"/>
          <w:sz w:val="24"/>
          <w:highlight w:val="none"/>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shd w:val="clear" w:color="auto"/>
        <w:tabs>
          <w:tab w:val="left" w:pos="420" w:leader="none"/>
        </w:tabs>
        <w:rPr>
          <w:rFonts w:hint="eastAsia" w:ascii="宋体" w:hAnsi="宋体" w:eastAsia="宋体" w:cs="宋体"/>
          <w:sz w:val="24"/>
          <w:highlight w:val="none"/>
        </w:rPr>
      </w:pPr>
      <w:r>
        <w:rPr>
          <w:rFonts w:hint="eastAsia" w:ascii="宋体" w:hAnsi="宋体" w:eastAsia="宋体" w:cs="宋体"/>
          <w:sz w:val="24"/>
          <w:highlight w:val="none"/>
        </w:rPr>
        <w:t xml:space="preserve">3.投标（响应）报价低于采购项目最高限价45%的，即投标（响应）报价&lt;采购项目最高限价×45%；</w:t>
      </w:r>
      <w:r/>
    </w:p>
    <w:p>
      <w:pPr>
        <w:ind w:firstLine="480"/>
        <w:jc w:val="left"/>
        <w:spacing w:line="360" w:lineRule="auto"/>
        <w:shd w:val="clear" w:color="auto"/>
        <w:tabs>
          <w:tab w:val="left" w:pos="420" w:leader="none"/>
        </w:tabs>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评审委员会基于专业判断，认为供应商报价过低，有可能影响产品质量或者不能诚信履约的其他情形。</w:t>
      </w:r>
      <w:r/>
    </w:p>
    <w:p>
      <w:pPr>
        <w:ind w:firstLine="480"/>
        <w:jc w:val="left"/>
        <w:spacing w:line="360" w:lineRule="auto"/>
        <w:shd w:val="clear" w:color="auto"/>
        <w:tabs>
          <w:tab w:val="left" w:pos="42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r/>
    </w:p>
    <w:p>
      <w:pPr>
        <w:ind w:firstLine="480"/>
        <w:jc w:val="left"/>
        <w:spacing w:line="360" w:lineRule="auto"/>
        <w:shd w:val="clear" w:color="auto"/>
        <w:tabs>
          <w:tab w:val="left" w:pos="420" w:leader="none"/>
        </w:tabs>
        <w:rPr>
          <w:rFonts w:hint="eastAsia" w:ascii="宋体" w:hAnsi="宋体" w:eastAsia="宋体" w:cs="宋体"/>
          <w:sz w:val="24"/>
          <w:szCs w:val="24"/>
          <w:highlight w:val="none"/>
        </w:rPr>
      </w:pPr>
      <w:r>
        <w:rPr>
          <w:rFonts w:hint="eastAsia" w:ascii="宋体" w:hAnsi="宋体" w:eastAsia="宋体" w:cs="宋体"/>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19.10、</w:t>
      </w:r>
      <w:r>
        <w:rPr>
          <w:rFonts w:ascii="宋体" w:hAnsi="宋体" w:eastAsia="宋体" w:cs="宋体"/>
          <w:b/>
          <w:color w:val="000000"/>
          <w:sz w:val="24"/>
          <w:highlight w:val="none"/>
        </w:rPr>
        <w:t xml:space="preserve">响应报价（包括最后报价）超过采购预算者不成交</w:t>
      </w:r>
      <w:r>
        <w:rPr>
          <w:rFonts w:ascii="宋体" w:hAnsi="宋体" w:eastAsia="宋体" w:cs="宋体"/>
          <w:color w:val="000000"/>
          <w:sz w:val="24"/>
          <w:highlight w:val="none"/>
        </w:rPr>
        <w:t xml:space="preserve">；</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19.11、经谈判确定最终采购需求和提交最后报价的供应商后，由谈判小组对提交最后报价的供应商的响应文件和最后报价进行评</w:t>
      </w:r>
      <w:r>
        <w:rPr>
          <w:rFonts w:hint="eastAsia" w:ascii="宋体" w:hAnsi="宋体" w:eastAsia="宋体" w:cs="宋体"/>
          <w:color w:val="000000"/>
          <w:sz w:val="24"/>
          <w:highlight w:val="none"/>
          <w:lang w:val="en-US" w:eastAsia="zh-CN"/>
        </w:rPr>
        <w:t xml:space="preserve">审</w:t>
      </w:r>
      <w:r>
        <w:rPr>
          <w:rFonts w:ascii="宋体" w:hAnsi="宋体" w:eastAsia="宋体" w:cs="宋体"/>
          <w:color w:val="000000"/>
          <w:sz w:val="24"/>
          <w:highlight w:val="none"/>
        </w:rPr>
        <w:t xml:space="preserve">。</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19.12、谈判小组根据谈判成交原则确定成交供应商，并将结果通知所有参加谈判的供应商。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19.13、如谈判过程中出现本采购文件未尽事宜，由谈判小组根据有关法律、法规讨论决定。</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20. 谈判小组</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20.1谈判小组由谈判采购单位依法组建，由采购人代表和评审专家共3人以上单数组成。</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20.2谈判小组负责具体的谈判事务，并独立履行以下职责：</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20.2.1确认或者制定谈判文件；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20.2.2从符合相应资格条件的供应商名单中确定不少于3家的供应商参加谈判；</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20.2.3审查供应商的响应文件并作出评价；</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20.2.4要求供应商解释或者澄清其响应文件；</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20.2.5编写评审报告；</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20.2.6告知采购人、采购代理机构在评审过程中发现的供应商的违法违规行为。</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20.3谈判小组成员应当履行下列义务：</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20.3.1遵纪守法，客观、公正、廉洁地履行职责；</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20.3.2按照谈判文件规定的评审办法独立进行评审，对个人的评审意见承担法律责任；</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20.3.3参与评审报告的起草；</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20.3.4配合采购人、采购代理机构答复供应商提出的质疑；</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20.3.5配合财政部门的投诉处理和监督检查工作。</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21.谈判说明</w:t>
      </w:r>
      <w:r/>
    </w:p>
    <w:p>
      <w:p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响应文件属下列情况之一的，谈判小组将按无效投标处理：</w:t>
      </w:r>
      <w:r/>
    </w:p>
    <w:p>
      <w:p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1）响应文件载明的投标有效期短于谈判文件规定；</w:t>
      </w:r>
      <w:r/>
    </w:p>
    <w:p>
      <w:p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2）响应文件载明的招标项目交货期不满足谈判文件规定；</w:t>
      </w:r>
      <w:r/>
    </w:p>
    <w:p>
      <w:p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3）响应文件载明的履约保证、付款方式不满足谈判文件规定；</w:t>
      </w:r>
      <w:r/>
    </w:p>
    <w:p>
      <w:p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4）响应文件载明的质保期不满足谈判文件规定；</w:t>
      </w:r>
      <w:r/>
    </w:p>
    <w:p>
      <w:p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5）响应文件未按谈判文件规定的格式填写或递交，内容不全或关键字迹模糊、无法辨认的，从而影响响应文件有效性；</w:t>
      </w:r>
      <w:r/>
    </w:p>
    <w:p>
      <w:p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6）不同供应商的响应文件以及响应文件制作过程出现了谈判小组认为不应当雷同的情况的；</w:t>
      </w:r>
      <w:r/>
    </w:p>
    <w:p>
      <w:p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7）不同供应商的响应文件存在“视为串通投标”的情形；</w:t>
      </w:r>
      <w:r/>
    </w:p>
    <w:p>
      <w:p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8）供应商的报价存在选择性的；</w:t>
      </w:r>
      <w:r/>
    </w:p>
    <w:p>
      <w:p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9）供应商的报价或响应只响应了项目中部分招标内容；</w:t>
      </w:r>
      <w:r/>
    </w:p>
    <w:p>
      <w:p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10）供应商拒绝修正错误影响评标的；</w:t>
      </w:r>
      <w:r/>
    </w:p>
    <w:p>
      <w:p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11）响应文件不符合谈判文件规定的其他实质性条款；</w:t>
      </w:r>
      <w:r/>
    </w:p>
    <w:p>
      <w:p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12）响应文件存在谈判文件规定的其他无效投标情形的；</w:t>
      </w:r>
      <w:r/>
    </w:p>
    <w:p>
      <w:p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13）供应商的响应报价（含最后报价）超过采购预算的；</w:t>
      </w:r>
      <w:r/>
    </w:p>
    <w:p>
      <w:p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14）谈判响应文件签署不符合要求的；</w:t>
      </w:r>
      <w:r/>
    </w:p>
    <w:p>
      <w:p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15）供应商资格不符合谈判文件要求的。</w:t>
      </w:r>
      <w:r/>
    </w:p>
    <w:p>
      <w:pPr>
        <w:ind w:firstLine="480"/>
        <w:spacing w:line="360" w:lineRule="auto"/>
        <w:shd w:val="clear" w:color="auto"/>
        <w:rPr>
          <w:rFonts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16）不同供应商响应文件“机器码一致”的情形；</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22. 评审内容的保密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22.1谈判开始后，直到宣布授予成交供应商合同为止，凡属于审查、澄清、评价和比较响应文件的所有资料，有关授予合同的信息都不应向供应商或与评审无关的其他人泄露。</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22.2在响应文件的审查、澄清、评价和比较以及授予合同的过程中，供应商对谈判采购单位和谈判小组施加影响的任何行为，都将取消其成交资格。</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22.3在评审期间，谈判采购单位将通过指定联络人与供应商进行联系。</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23．项目的终止</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23.1出现下列情形之一的，将终止竞争性谈判采购活动：</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23.1.1因情况变化，不再符合规定的竞争性谈判采购方式适用情形的；</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23.1.2出现影响采购公正的违法、违规行为的；</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23.1.3在采购过程中符合竞争要求的供应商或者报价未超过采购预算的供应商不足3家的。</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24. 响应文件的评价和比较</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24.1谈判小组按照本谈判文件有关规定，将仅对资格性检查和符合性检查合格的响应文件进行评价和比较。</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24.2评审办法</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采购人授权谈判小组根据本文件规定的成交原则确定成交供应商，即在响应内容的质量和服务均能满足谈判文件实质性响应要求的供应商（不少于三家）中，以提出最低最后报价的供应商确定为成交供应商。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24.3评价和比较采用合格性评审办法，具体内容详见谈判文件第六章。</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25. 成交供应商的确认</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25.1谈判小组根据供应商资格审查情况，按照评审办法对响应文件进行评价和比较，并按采购人的委托推荐成交候选供应商。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25.2采购人按评审报告推荐的成交候选供应商顺序确定成交供应商。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25.3确定成交供应商后，谈判采购单位将在规定的时间内将成交结果在相关媒体上予以公示。</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26. 合同授予标准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26.1谈判采购单位将把合同授予其响应文件在实质上响应谈判文件要求和按本谈判文件规定评选出的供应商。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26.2政府采购合同履行中，采购人需追加与合同标的物相同的货物、工程或者服务的，在不改变合同其他条款的前提下，可以与成交供应商签订补充合同，但所有补充合同的采购金额不得超过原合同采购金额的百分之十。</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27. 成交通知书</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27.1谈判采购单位应在规定的时间向成交供应商发出成交通知书。成交通知书发出后，采购人改变成交结果，或者成交供应商放弃成交，应当承担相应的法律责任。</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27.2成交通知书将成为合同的组成部分。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27.3谈判采购单位对未成交供应商不承担解释未成交原因的义务。</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28.告知成交结果</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28.1</w:t>
      </w:r>
      <w:r>
        <w:rPr>
          <w:rFonts w:ascii="宋体" w:hAnsi="宋体" w:eastAsia="宋体" w:cs="宋体"/>
          <w:color w:val="000000"/>
          <w:sz w:val="24"/>
          <w:highlight w:val="none"/>
        </w:rPr>
        <w:t xml:space="preserve">采购人及其委托的代理机构应在发放《成交通知书》的同时，向参与项目评审的未成交供应商发放《未成交通知书》，以电子邮件的方式书面告知该未成交供应商的排名，未成交供应商未按约定的时间和方式获取告知信息的，视为自动放弃并自行承担相应后果。</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29. 合同的签订</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29.1成交供应商应按成交通知书中规定的时间和地点，与采购人签订合同。</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29.2签订合同及合同条款应以谈判文件和成交供应商的响应文件及其澄清文件为依据。</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30. 代理服务费</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30.1成交供应商须按前附表的规定按预算总金额计算并支付服务费，该费用应在领取成交通知书时向采购代理机构一次性付清。</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30.2成交供应商如果未按规定支付代理服务费，谈判采购单位将保留诉讼的权利。</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31. 未尽事宜</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按《中华人民共和国政府采购法》</w:t>
      </w:r>
      <w:r>
        <w:rPr>
          <w:rFonts w:ascii="宋体" w:hAnsi="宋体" w:eastAsia="宋体" w:cs="宋体"/>
          <w:color w:val="000000"/>
          <w:sz w:val="22"/>
          <w:highlight w:val="none"/>
        </w:rPr>
        <w:t xml:space="preserve">、</w:t>
      </w:r>
      <w:r>
        <w:rPr>
          <w:rFonts w:ascii="宋体" w:hAnsi="宋体" w:eastAsia="宋体" w:cs="宋体"/>
          <w:color w:val="000000"/>
          <w:sz w:val="24"/>
          <w:highlight w:val="none"/>
        </w:rPr>
        <w:t xml:space="preserve">《中华人民共和国政府采购法实施条例》及其他有关的法律法规的规定执行。</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32、政府采购政策</w:t>
      </w:r>
      <w:r/>
    </w:p>
    <w:p>
      <w:pPr>
        <w:ind w:left="0" w:right="0" w:firstLine="480"/>
        <w:jc w:val="both"/>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32.1根据苏州市财政局《关于贯彻执行绿色采购、促进残疾人就业和支持监狱企业发展有关政策的通知》（苏财购（2019）10号）文件的规定：</w:t>
      </w:r>
      <w:r/>
    </w:p>
    <w:p>
      <w:pPr>
        <w:ind w:left="0" w:right="0" w:firstLine="480"/>
        <w:jc w:val="both"/>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（一）节能产品和环境标志产品</w:t>
      </w:r>
      <w:r/>
    </w:p>
    <w:p>
      <w:pPr>
        <w:ind w:left="0" w:right="0" w:firstLine="480"/>
        <w:jc w:val="both"/>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次拟采购的产品属于《节能产品政府采购品目清单》中强制采购范围内产品，各投标人应当提供获得国家确定的认证机构出具的、有效期之内的节能产品认证证书的产品，上述品目清单可通过“中国政府采购网”（http://www.ccgp.gov.cn）查询,并在投标文件内提供由国家确定的认证机构出具的、处于有效期之内的节能产品认证证书复印件，否则视为无效投标。</w:t>
      </w:r>
      <w:r>
        <w:rPr>
          <w:rFonts w:ascii="宋体" w:hAnsi="宋体" w:eastAsia="宋体" w:cs="宋体"/>
          <w:b/>
          <w:color w:val="auto"/>
          <w:sz w:val="24"/>
          <w:highlight w:val="none"/>
        </w:rPr>
        <w:t xml:space="preserve">本项目不涉及强制采购范围内产品。</w:t>
      </w:r>
      <w:r/>
    </w:p>
    <w:p>
      <w:pPr>
        <w:ind w:left="0" w:right="0" w:firstLine="480"/>
        <w:jc w:val="both"/>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次拟采购的产品属于《节能产品政府采购品目清单》中优先采购范围内的产品、《环境标志产品政府采购品目清单》范围内的产品，鼓励各投标人提供获得国家确定的认证机构出具的、有效期之内的节能产品、环境标志产品认证证书的产品，上述品目清单可通过“中国政府采购网”（http://www.ccgp.gov.cn）查询。</w:t>
      </w:r>
      <w:r>
        <w:rPr>
          <w:rFonts w:ascii="宋体" w:hAnsi="宋体" w:eastAsia="宋体" w:cs="宋体"/>
          <w:b/>
          <w:color w:val="auto"/>
          <w:sz w:val="24"/>
          <w:highlight w:val="none"/>
        </w:rPr>
        <w:t xml:space="preserve">本项目不涉及优先采购范围内产品。</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（二）根据财政部、工业和信息化部关于印发意见“财库〔2020〕46号” 关于印发《政府采购促进中小企业发展管理办法》的通知规定和苏州市财政局《关于贯彻执行绿色采购、促进残疾人就业和支持监狱企业发展有关政策的通知》（苏财购（2019）10号）文件的规定：</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1、小、微企业</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1.1本项目为</w:t>
      </w:r>
      <w:r>
        <w:rPr>
          <w:rFonts w:ascii="宋体" w:hAnsi="宋体" w:eastAsia="宋体" w:cs="宋体"/>
          <w:b/>
          <w:color w:val="auto"/>
          <w:sz w:val="24"/>
          <w:highlight w:val="none"/>
          <w:u w:val="single"/>
        </w:rPr>
        <w:t xml:space="preserve">专门面向中小企业采购，制造商应为中小微企业、监狱企业、残疾人福利性单位。</w:t>
      </w:r>
      <w:r/>
    </w:p>
    <w:p>
      <w:pPr>
        <w:ind w:left="0" w:right="0" w:firstLine="480"/>
        <w:jc w:val="both"/>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ascii="宋体" w:hAnsi="宋体" w:eastAsia="宋体" w:cs="宋体"/>
          <w:b/>
          <w:color w:val="auto"/>
          <w:sz w:val="24"/>
          <w:highlight w:val="none"/>
        </w:rPr>
        <w:t xml:space="preserve">《中小企业声明函》中所填的行业应与本采购标的对应的中小企业划分标准所属行业一致。声明函未加盖公章或未提交声明函或所提交的声明函中行业与本采购标的对应的中小企业划分标准所属行业不一致不享受相关政策。</w:t>
      </w:r>
      <w:r/>
    </w:p>
    <w:p>
      <w:pPr>
        <w:ind w:left="0" w:right="0" w:firstLine="480"/>
        <w:jc w:val="both"/>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right="0" w:firstLine="482"/>
        <w:jc w:val="both"/>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其中，供应商提供的货物既有中小企业制造货物，也有大型企业制造货物的，不享受中小企业扶持政策。</w:t>
      </w:r>
      <w:r/>
    </w:p>
    <w:p>
      <w:pPr>
        <w:ind w:left="0" w:right="0" w:firstLine="482"/>
        <w:jc w:val="both"/>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供应商提供声明函内容不实的，依照《中华人民共和国政府采购法》《中华人民共和国政府采购法实施条例》和《管理办法》等法律法规规定追究法律责任。</w:t>
      </w:r>
      <w:r/>
    </w:p>
    <w:p>
      <w:pPr>
        <w:ind w:left="0" w:right="0" w:firstLine="482"/>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以上规定未尽事项，按《政府采购促进中小企业发展管理办法》等有关制度规定执行。</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1.3如供应商属于残疾人福利性单位视同小型或微型企业，享受政府采购促进中小企业发展的政府采购政策。</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2、如供应商属于监狱企业视同小型或微型企业，享受政府采购促进中小企业发展的政府采购政策。</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3、不同行业的中小微企业划分标准以工信部、国家统计局、国家发改委、财政部《关于印发中小企业划型标准规定的通知》（工信部联企业〔2011〕300号）为准。</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（1）在货物采购项目中，货物由中小企业制造，即货物由中小企业生产且使用该中小企业商号或者注册商标。</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中小微企业在投标文件中，可以提供企业注册地经信部门出具的中小微企业认定书，或签署《中小企业声明函》。未在投标文件中提供中小微企业认定书或《中小企业声明函》的，不享受促进中小微企业发展的相关政府采购政策。</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（3）一个项目中包含多项货物采购的，供应商提供的货物既有中小企业制造货物，也有大型企业制造货物的，不享受中小企业扶持政策。</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（4）以联合体形式参加政府采购活动，联合体各方均为中小企业的，联合体视同中小企业。其中，联合体各方均为小微企业的，联合体视同小微企业。</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（5）若中小微企业提供的 “中小企业声明函” 或认定证明为虚假声明则视同提供虚假材料，按政府采购相关规定处理并报请政府监管部门给予行政处罚。 </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（三）信用记录</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1、查询截止时点：投标文件递交截止时间。</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2、查询渠道：</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将通过苏采云系统跳转查询实现, 通过“信用中国”及“中国政府采购网”上的信用信息查询供应商的信用记录。 </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3、查询证据留存方式：</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4、信用记录使用规则：</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评审小组在对供应商进行资格性审查时，应根据查询结果对供应商的不良信用记录逐项甄别确认。</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33.本次采购的货物如属苏州市政府协议供货目录中规定的产品，投标供应商所投产品必须是最新一期政府采购协议供货清单中的品牌、型号, 并在响应文件中提供网页打印页，否则为无效投标；采购配置清单、单价最高限价可上苏州市政府采购网协议供货核对；有关协议采购的内容登录苏州市政府采购网上查询。</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34.采购文件的质疑、澄清</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34.1 根据《政府采购质疑和投诉办法》财政部第94号令，供应商认为采购文件、采购过程、成交结果使自己的权益受到损害的，可以在知道或者应知其权益受到损害之日起7个工作日内，以书面形式向采购人、采购代理机构提出质疑。</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34.2本次采购文件要求供应商在法定质疑期内一次性提出针对同一采购程序环节的质疑。</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34.3采购人、采购代理机构收到质疑供应商在法定质疑期内发出的质疑函，应当在收到质疑函后7个工作日内作出答复，并以书面形式通知质疑供应商和其他有关供应商。</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34.4供应商提出质疑应当提交质疑函、报名确认单和必要的证明材料。质疑函应当包括下列内容：</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34.5供应商的姓名或者名称、地址、邮编、联系人及联系电话；</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34.6质疑项目的名称、编号；</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34.7具体、明确的质疑事项和与质疑事项相关的请求；</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34.8事实依据；</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34.9必要的法律依据；</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34.10提出质疑的日期。</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right="0" w:firstLine="480"/>
        <w:pageBreakBefore w:val="0"/>
        <w:spacing w:before="0" w:after="0" w:line="360" w:lineRule="auto"/>
        <w:shd w:val="clear" w:color="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34.11质疑联系方式详见采购公告。</w:t>
      </w:r>
      <w:r/>
    </w:p>
    <w:p>
      <w:pPr>
        <w:ind w:firstLine="480"/>
        <w:spacing w:line="360" w:lineRule="auto"/>
        <w:shd w:val="clear" w:color="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35.</w:t>
      </w:r>
      <w:r>
        <w:rPr>
          <w:rFonts w:hint="eastAsia" w:ascii="宋体" w:hAnsi="宋体" w:eastAsia="宋体" w:cs="宋体"/>
          <w:b/>
          <w:bCs/>
          <w:color w:val="000000"/>
          <w:sz w:val="24"/>
          <w:highlight w:val="none"/>
        </w:rPr>
        <w:t xml:space="preserve">对本国产品的支持政策</w:t>
      </w:r>
      <w:r/>
    </w:p>
    <w:p>
      <w:pPr>
        <w:ind w:firstLine="480"/>
        <w:keepLines w:val="0"/>
        <w:keepNext w:val="0"/>
        <w:pageBreakBefore w:val="0"/>
        <w:spacing w:line="360" w:lineRule="auto"/>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国务院办公厅关于在政府采购中实施本国产品标准及相关政策的通知</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的相关规定在政府采购活动中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本国产品标准</w:t>
      </w:r>
      <w:r>
        <w:rPr>
          <w:rFonts w:hint="eastAsia" w:ascii="宋体" w:hAnsi="宋体" w:eastAsia="宋体" w:cs="宋体"/>
          <w:color w:val="000000"/>
          <w:sz w:val="24"/>
          <w:highlight w:val="none"/>
          <w:lang w:val="en-US" w:eastAsia="zh-CN"/>
        </w:rPr>
        <w:t xml:space="preserve">及相关</w:t>
      </w:r>
      <w:r>
        <w:rPr>
          <w:rFonts w:hint="eastAsia" w:ascii="宋体" w:hAnsi="宋体" w:eastAsia="宋体" w:cs="宋体"/>
          <w:color w:val="000000"/>
          <w:sz w:val="24"/>
          <w:highlight w:val="none"/>
        </w:rPr>
        <w:t xml:space="preserve">政策</w:t>
      </w:r>
      <w:r>
        <w:rPr>
          <w:rFonts w:hint="eastAsia" w:ascii="宋体" w:hAnsi="宋体" w:eastAsia="宋体" w:cs="宋体"/>
          <w:color w:val="000000"/>
          <w:sz w:val="24"/>
          <w:highlight w:val="none"/>
          <w:lang w:val="en-US" w:eastAsia="zh-CN"/>
        </w:rPr>
        <w:t xml:space="preserve">如下：</w:t>
      </w:r>
      <w:r/>
    </w:p>
    <w:p>
      <w:pPr>
        <w:pStyle w:val="7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Style w:val="778"/>
          <w:rFonts w:hint="eastAsia" w:ascii="宋体" w:hAnsi="宋体" w:eastAsia="宋体" w:cs="宋体"/>
          <w:i w:val="0"/>
          <w:iCs w:val="0"/>
          <w:caps w:val="0"/>
          <w:color w:val="auto"/>
          <w:spacing w:val="0"/>
          <w:sz w:val="24"/>
          <w:szCs w:val="24"/>
          <w:highlight w:val="none"/>
          <w:shd w:val="clear" w:color="auto" w:fill="ffffff"/>
          <w:lang w:val="en-US" w:eastAsia="zh-CN"/>
        </w:rPr>
        <w:t xml:space="preserve">（一）</w:t>
      </w:r>
      <w:r>
        <w:rPr>
          <w:rStyle w:val="778"/>
          <w:rFonts w:hint="eastAsia" w:ascii="宋体" w:hAnsi="宋体" w:eastAsia="宋体" w:cs="宋体"/>
          <w:i w:val="0"/>
          <w:iCs w:val="0"/>
          <w:caps w:val="0"/>
          <w:color w:val="auto"/>
          <w:spacing w:val="0"/>
          <w:sz w:val="24"/>
          <w:szCs w:val="24"/>
          <w:highlight w:val="none"/>
          <w:shd w:val="clear" w:color="auto" w:fill="ffffff"/>
        </w:rPr>
        <w:t xml:space="preserve">本国产品标准</w:t>
      </w:r>
      <w:r/>
    </w:p>
    <w:p>
      <w:pPr>
        <w:pStyle w:val="7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本国产品应当符合以下条件：</w:t>
      </w:r>
      <w:r/>
    </w:p>
    <w:p>
      <w:pPr>
        <w:pStyle w:val="7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p>
    <w:p>
      <w:pPr>
        <w:pStyle w:val="7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产品应当在中国境内生产，即在中华人民共和国关境内实现从原材料、组件到产品的属性改变。</w:t>
      </w:r>
      <w:r/>
    </w:p>
    <w:p>
      <w:pPr>
        <w:pStyle w:val="7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属性改变是指经过制造、加工或者组装等工序，产生完全不同于原材料、组件的新产品，并具有新的名称和特征（用途）。属性改变不包括以下细微操作：</w:t>
      </w:r>
      <w:r/>
    </w:p>
    <w:p>
      <w:pPr>
        <w:pStyle w:val="7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eastAsia="宋体" w:cs="Calibri"/>
          <w:i w:val="0"/>
          <w:iCs w:val="0"/>
          <w:caps w:val="0"/>
          <w:color w:val="auto"/>
          <w:spacing w:val="0"/>
          <w:sz w:val="24"/>
          <w:szCs w:val="24"/>
          <w:highlight w:val="none"/>
          <w:shd w:val="clear" w:color="auto" w:fill="ffffff"/>
        </w:rPr>
        <w:t xml:space="preserve">①</w:t>
      </w:r>
      <w:r>
        <w:rPr>
          <w:rFonts w:hint="eastAsia" w:ascii="宋体" w:hAnsi="宋体" w:eastAsia="宋体" w:cs="宋体"/>
          <w:i w:val="0"/>
          <w:iCs w:val="0"/>
          <w:caps w:val="0"/>
          <w:color w:val="auto"/>
          <w:spacing w:val="0"/>
          <w:sz w:val="24"/>
          <w:szCs w:val="24"/>
          <w:highlight w:val="none"/>
          <w:shd w:val="clear" w:color="auto" w:fill="ffffff"/>
        </w:rPr>
        <w:t xml:space="preserve">为确保产品在运输或者储存期间保持某种状态而进行的操作；</w:t>
      </w:r>
      <w:r/>
    </w:p>
    <w:p>
      <w:pPr>
        <w:pStyle w:val="7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eastAsia="宋体" w:cs="Calibri"/>
          <w:i w:val="0"/>
          <w:iCs w:val="0"/>
          <w:caps w:val="0"/>
          <w:color w:val="auto"/>
          <w:spacing w:val="0"/>
          <w:sz w:val="24"/>
          <w:szCs w:val="24"/>
          <w:highlight w:val="none"/>
          <w:shd w:val="clear" w:color="auto" w:fill="ffffff"/>
        </w:rPr>
        <w:t xml:space="preserve">②</w:t>
      </w:r>
      <w:r>
        <w:rPr>
          <w:rFonts w:hint="eastAsia" w:ascii="宋体" w:hAnsi="宋体" w:eastAsia="宋体" w:cs="宋体"/>
          <w:i w:val="0"/>
          <w:iCs w:val="0"/>
          <w:caps w:val="0"/>
          <w:color w:val="auto"/>
          <w:spacing w:val="0"/>
          <w:sz w:val="24"/>
          <w:szCs w:val="24"/>
          <w:highlight w:val="none"/>
          <w:shd w:val="clear" w:color="auto" w:fill="ffffff"/>
        </w:rPr>
        <w:t xml:space="preserve">为产品运输或者销售进行的包装或者展示；</w:t>
      </w:r>
      <w:r/>
    </w:p>
    <w:p>
      <w:pPr>
        <w:pStyle w:val="7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eastAsia="宋体" w:cs="Calibri"/>
          <w:i w:val="0"/>
          <w:iCs w:val="0"/>
          <w:caps w:val="0"/>
          <w:color w:val="auto"/>
          <w:spacing w:val="0"/>
          <w:sz w:val="24"/>
          <w:szCs w:val="24"/>
          <w:highlight w:val="none"/>
          <w:shd w:val="clear" w:color="auto" w:fill="ffffff"/>
        </w:rPr>
        <w:t xml:space="preserve">③</w:t>
      </w:r>
      <w:r>
        <w:rPr>
          <w:rFonts w:hint="eastAsia" w:ascii="宋体" w:hAnsi="宋体" w:eastAsia="宋体" w:cs="宋体"/>
          <w:i w:val="0"/>
          <w:iCs w:val="0"/>
          <w:caps w:val="0"/>
          <w:color w:val="auto"/>
          <w:spacing w:val="0"/>
          <w:sz w:val="24"/>
          <w:szCs w:val="24"/>
          <w:highlight w:val="none"/>
          <w:shd w:val="clear" w:color="auto" w:fill="ffffff"/>
        </w:rPr>
        <w:t xml:space="preserve">在产品或者其包装上粘贴或者印刷品牌、标志、标识以及其他用于区别的标记；</w:t>
      </w:r>
      <w:r/>
    </w:p>
    <w:p>
      <w:pPr>
        <w:pStyle w:val="7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eastAsia="宋体" w:cs="Calibri"/>
          <w:i w:val="0"/>
          <w:iCs w:val="0"/>
          <w:caps w:val="0"/>
          <w:color w:val="auto"/>
          <w:spacing w:val="0"/>
          <w:sz w:val="24"/>
          <w:szCs w:val="24"/>
          <w:highlight w:val="none"/>
          <w:shd w:val="clear" w:color="auto" w:fill="ffffff"/>
        </w:rPr>
        <w:t xml:space="preserve">④</w:t>
      </w:r>
      <w:r>
        <w:rPr>
          <w:rFonts w:hint="eastAsia" w:ascii="宋体" w:hAnsi="宋体" w:eastAsia="宋体" w:cs="宋体"/>
          <w:i w:val="0"/>
          <w:iCs w:val="0"/>
          <w:caps w:val="0"/>
          <w:color w:val="auto"/>
          <w:spacing w:val="0"/>
          <w:sz w:val="24"/>
          <w:szCs w:val="24"/>
          <w:highlight w:val="none"/>
          <w:shd w:val="clear" w:color="auto" w:fill="ffffff"/>
        </w:rPr>
        <w:t xml:space="preserve">简单的上漆、磨光和分装；</w:t>
      </w:r>
      <w:r/>
    </w:p>
    <w:p>
      <w:pPr>
        <w:pStyle w:val="7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eastAsia="宋体" w:cs="Calibri"/>
          <w:i w:val="0"/>
          <w:iCs w:val="0"/>
          <w:caps w:val="0"/>
          <w:color w:val="auto"/>
          <w:spacing w:val="0"/>
          <w:sz w:val="24"/>
          <w:szCs w:val="24"/>
          <w:highlight w:val="none"/>
          <w:shd w:val="clear" w:color="auto" w:fill="ffffff"/>
        </w:rPr>
        <w:t xml:space="preserve">⑤</w:t>
      </w:r>
      <w:r>
        <w:rPr>
          <w:rFonts w:hint="eastAsia" w:ascii="宋体" w:hAnsi="宋体" w:eastAsia="宋体" w:cs="宋体"/>
          <w:i w:val="0"/>
          <w:iCs w:val="0"/>
          <w:caps w:val="0"/>
          <w:color w:val="auto"/>
          <w:spacing w:val="0"/>
          <w:sz w:val="24"/>
          <w:szCs w:val="24"/>
          <w:highlight w:val="none"/>
          <w:shd w:val="clear" w:color="auto" w:fill="ffffff"/>
        </w:rPr>
        <w:t xml:space="preserve">其他不属于属性改变的情形。</w:t>
      </w:r>
      <w:r/>
    </w:p>
    <w:p>
      <w:pPr>
        <w:pStyle w:val="7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在中国境内生产的组件成本占比达到规定比例</w:t>
      </w:r>
      <w:r/>
    </w:p>
    <w:p>
      <w:pPr>
        <w:pStyle w:val="7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产品在中国境内生产的组件成本占比应当达到规定比例，计算公式为：</w:t>
      </w:r>
      <w:r/>
    </w:p>
    <w:p>
      <w:pPr>
        <w:pStyle w:val="772"/>
        <w:ind w:left="0" w:right="0" w:firstLine="0"/>
        <w:jc w:val="center"/>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mc:AlternateContent>
          <mc:Choice Requires="wpg">
            <w:drawing>
              <wp:inline xmlns:wp="http://schemas.openxmlformats.org/drawingml/2006/wordprocessingDrawing" distT="0" distB="0" distL="0" distR="0">
                <wp:extent cx="4829175" cy="762000"/>
                <wp:effectExtent l="0" t="0" r="9525"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r/>
                      </pic:nvPicPr>
                      <pic:blipFill>
                        <a:blip r:embed="rId15">
                          <a:lum contrast="17998"/>
                        </a:blip>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5" o:title=""/>
              </v:shape>
            </w:pict>
          </mc:Fallback>
        </mc:AlternateContent>
      </w:r>
      <w:r/>
    </w:p>
    <w:p>
      <w:pPr>
        <w:pStyle w:val="7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财政部会同有关行业主管部门，分产品确定在中国境内生产的组件成本占比应当达到的规定比例。</w:t>
      </w:r>
      <w:r>
        <w:rPr>
          <w:rFonts w:hint="eastAsia" w:ascii="宋体" w:hAnsi="宋体" w:eastAsia="宋体" w:cs="宋体"/>
          <w:b/>
          <w:bCs/>
          <w:i w:val="0"/>
          <w:iCs w:val="0"/>
          <w:caps w:val="0"/>
          <w:color w:val="auto"/>
          <w:spacing w:val="0"/>
          <w:sz w:val="24"/>
          <w:szCs w:val="24"/>
          <w:highlight w:val="none"/>
          <w:shd w:val="clear" w:color="auto" w:fill="ffffff"/>
        </w:rPr>
        <w:t xml:space="preserve">在分产品的中国境内生产的组件成本占比相关要求实施前，符合第</w:t>
      </w:r>
      <w:r>
        <w:rPr>
          <w:rFonts w:hint="eastAsia" w:ascii="宋体" w:hAnsi="宋体" w:eastAsia="宋体" w:cs="宋体"/>
          <w:b/>
          <w:bCs/>
          <w:i w:val="0"/>
          <w:iCs w:val="0"/>
          <w:caps w:val="0"/>
          <w:color w:val="auto"/>
          <w:spacing w:val="0"/>
          <w:sz w:val="24"/>
          <w:szCs w:val="24"/>
          <w:highlight w:val="none"/>
          <w:shd w:val="clear" w:color="auto" w:fill="ffffff"/>
          <w:lang w:eastAsia="zh-CN"/>
        </w:rPr>
        <w:t xml:space="preserve">（</w:t>
      </w:r>
      <w:r>
        <w:rPr>
          <w:rFonts w:hint="eastAsia" w:ascii="宋体" w:hAnsi="宋体" w:eastAsia="宋体" w:cs="宋体"/>
          <w:b/>
          <w:bCs/>
          <w:i w:val="0"/>
          <w:iCs w:val="0"/>
          <w:caps w:val="0"/>
          <w:color w:val="auto"/>
          <w:spacing w:val="0"/>
          <w:sz w:val="24"/>
          <w:szCs w:val="24"/>
          <w:highlight w:val="none"/>
          <w:shd w:val="clear" w:color="auto" w:fill="ffffff"/>
        </w:rPr>
        <w:t xml:space="preserve">一</w:t>
      </w:r>
      <w:r>
        <w:rPr>
          <w:rFonts w:hint="eastAsia" w:ascii="宋体" w:hAnsi="宋体" w:eastAsia="宋体" w:cs="宋体"/>
          <w:b/>
          <w:bCs/>
          <w:i w:val="0"/>
          <w:iCs w:val="0"/>
          <w:caps w:val="0"/>
          <w:color w:val="auto"/>
          <w:spacing w:val="0"/>
          <w:sz w:val="24"/>
          <w:szCs w:val="24"/>
          <w:highlight w:val="none"/>
          <w:shd w:val="clear" w:color="auto" w:fill="ffffff"/>
          <w:lang w:eastAsia="zh-CN"/>
        </w:rPr>
        <w:t xml:space="preserve">）</w:t>
      </w:r>
      <w:r>
        <w:rPr>
          <w:rFonts w:hint="eastAsia" w:ascii="宋体" w:hAnsi="宋体" w:eastAsia="宋体" w:cs="宋体"/>
          <w:b/>
          <w:bCs/>
          <w:i w:val="0"/>
          <w:iCs w:val="0"/>
          <w:caps w:val="0"/>
          <w:color w:val="auto"/>
          <w:spacing w:val="0"/>
          <w:sz w:val="24"/>
          <w:szCs w:val="24"/>
          <w:highlight w:val="none"/>
          <w:shd w:val="clear" w:color="auto" w:fill="ffffff"/>
        </w:rPr>
        <w:t xml:space="preserve">条第</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b/>
          <w:bCs/>
          <w:i w:val="0"/>
          <w:iCs w:val="0"/>
          <w:caps w:val="0"/>
          <w:color w:val="auto"/>
          <w:spacing w:val="0"/>
          <w:sz w:val="24"/>
          <w:szCs w:val="24"/>
          <w:highlight w:val="none"/>
          <w:shd w:val="clear" w:color="auto" w:fill="ffffff"/>
        </w:rPr>
        <w:t xml:space="preserve">项条件的产品在政府采购活动中视同本国产品。</w:t>
      </w:r>
      <w:r/>
    </w:p>
    <w:p>
      <w:pPr>
        <w:pStyle w:val="7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特定产品的关键组件、关键工序符合相关要求</w:t>
      </w:r>
      <w:r/>
    </w:p>
    <w:p>
      <w:pPr>
        <w:pStyle w:val="7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对特定产品，在符合</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上述</w:t>
      </w:r>
      <w:r>
        <w:rPr>
          <w:rFonts w:hint="eastAsia" w:ascii="宋体" w:hAnsi="宋体" w:eastAsia="宋体" w:cs="宋体"/>
          <w:i w:val="0"/>
          <w:iCs w:val="0"/>
          <w:caps w:val="0"/>
          <w:color w:val="auto"/>
          <w:spacing w:val="0"/>
          <w:sz w:val="24"/>
          <w:szCs w:val="24"/>
          <w:highlight w:val="none"/>
          <w:shd w:val="clear" w:color="auto" w:fill="ffffff"/>
        </w:rPr>
        <w:t xml:space="preserve">第</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一</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条第</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项和第</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项条件的基础上，应当符合财政部会同有关行业主管部门确定的其关键组件、关键工序在中国境内生产、完成等要求。</w:t>
      </w:r>
      <w:r/>
    </w:p>
    <w:p>
      <w:pPr>
        <w:pStyle w:val="7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注：</w:t>
      </w:r>
      <w:r>
        <w:rPr>
          <w:rFonts w:hint="eastAsia" w:ascii="宋体" w:hAnsi="宋体" w:eastAsia="宋体" w:cs="宋体"/>
          <w:i w:val="0"/>
          <w:iCs w:val="0"/>
          <w:caps w:val="0"/>
          <w:color w:val="auto"/>
          <w:spacing w:val="0"/>
          <w:sz w:val="24"/>
          <w:szCs w:val="24"/>
          <w:highlight w:val="none"/>
          <w:shd w:val="clear" w:color="auto" w:fill="ffffff"/>
        </w:rPr>
        <w:t xml:space="preserve">产品在中国境内生产的组件成本核算规则。产品在中国境内生产的组件成本，按照《中国境内生产的组件成本核算基本规则》计算。</w:t>
      </w:r>
      <w:r/>
    </w:p>
    <w:p>
      <w:pPr>
        <w:pStyle w:val="772"/>
        <w:ind w:left="0" w:right="0" w:firstLine="0"/>
        <w:jc w:val="center"/>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auto"/>
          <w:spacing w:val="0"/>
          <w:sz w:val="16"/>
          <w:szCs w:val="16"/>
          <w:highlight w:val="none"/>
        </w:rPr>
        <w:pBdr>
          <w:top w:val="none" w:color="auto" w:sz="0" w:space="0"/>
          <w:left w:val="none" w:color="auto" w:sz="0" w:space="0"/>
          <w:bottom w:val="none" w:color="auto" w:sz="0" w:space="0"/>
          <w:right w:val="none" w:color="auto" w:sz="0" w:space="0"/>
        </w:pBdr>
        <w:suppressLineNumbers w:val="0"/>
      </w:pPr>
      <w:r>
        <w:rPr>
          <w:rStyle w:val="778"/>
          <w:rFonts w:hint="eastAsia" w:ascii="宋体" w:hAnsi="宋体" w:eastAsia="宋体" w:cs="宋体"/>
          <w:i w:val="0"/>
          <w:iCs w:val="0"/>
          <w:caps w:val="0"/>
          <w:color w:val="auto"/>
          <w:spacing w:val="0"/>
          <w:sz w:val="24"/>
          <w:szCs w:val="24"/>
          <w:highlight w:val="none"/>
          <w:shd w:val="clear" w:color="auto" w:fill="ffffff"/>
        </w:rPr>
        <w:t xml:space="preserve">中国境内生产的组件成本核算基本规则</w:t>
      </w:r>
      <w:r/>
    </w:p>
    <w:p>
      <w:pPr>
        <w:pStyle w:val="7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一、产品的一级组件是指直接组成产品的组件。产品的二级组件是指直接组成产品一级组件的组件。一级组件不可分解的，视同二级组件。</w:t>
      </w:r>
      <w:r/>
    </w:p>
    <w:p>
      <w:pPr>
        <w:pStyle w:val="7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二、二级组件在中国境内生产的，其全部成本计入中国境内生产的组件成本；二级组件不在中国境内生产的，其成本不计入中国境内生产的组件成本。</w:t>
      </w:r>
      <w:r/>
    </w:p>
    <w:p>
      <w:pPr>
        <w:pStyle w:val="7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三、产品总成本和组件成本以相关会计核算数据、采购合同、进货记录等为基础进行计算。</w:t>
      </w:r>
      <w:r/>
    </w:p>
    <w:p>
      <w:pPr>
        <w:pStyle w:val="7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四、需要对成本核算规则予以进一步明确的其他有关事项，由财政部会同有关部门另行规定。</w:t>
      </w:r>
      <w:r/>
    </w:p>
    <w:p>
      <w:pPr>
        <w:pStyle w:val="7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Style w:val="778"/>
          <w:rFonts w:hint="eastAsia" w:ascii="宋体" w:hAnsi="宋体" w:eastAsia="宋体" w:cs="宋体"/>
          <w:i w:val="0"/>
          <w:iCs w:val="0"/>
          <w:caps w:val="0"/>
          <w:color w:val="auto"/>
          <w:spacing w:val="0"/>
          <w:sz w:val="24"/>
          <w:szCs w:val="24"/>
          <w:highlight w:val="none"/>
          <w:shd w:val="clear" w:color="auto" w:fill="ffffff"/>
          <w:lang w:val="en-US" w:eastAsia="zh-CN"/>
        </w:rPr>
        <w:t xml:space="preserve">（二）</w:t>
      </w:r>
      <w:r>
        <w:rPr>
          <w:rStyle w:val="778"/>
          <w:rFonts w:hint="eastAsia" w:ascii="宋体" w:hAnsi="宋体" w:eastAsia="宋体" w:cs="宋体"/>
          <w:i w:val="0"/>
          <w:iCs w:val="0"/>
          <w:caps w:val="0"/>
          <w:color w:val="auto"/>
          <w:spacing w:val="0"/>
          <w:sz w:val="24"/>
          <w:szCs w:val="24"/>
          <w:highlight w:val="none"/>
          <w:shd w:val="clear" w:color="auto" w:fill="ffffff"/>
        </w:rPr>
        <w:t xml:space="preserve">本国产品标准的适用范围</w:t>
      </w:r>
      <w:r/>
    </w:p>
    <w:p>
      <w:pPr>
        <w:pStyle w:val="7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Style w:val="778"/>
          <w:rFonts w:hint="eastAsia" w:ascii="宋体" w:hAnsi="宋体" w:eastAsia="宋体" w:cs="宋体"/>
          <w:i w:val="0"/>
          <w:iCs w:val="0"/>
          <w:caps w:val="0"/>
          <w:color w:val="auto"/>
          <w:spacing w:val="0"/>
          <w:sz w:val="24"/>
          <w:szCs w:val="24"/>
          <w:highlight w:val="none"/>
          <w:shd w:val="clear" w:color="auto" w:fill="ffffff"/>
          <w:lang w:val="en-US" w:eastAsia="zh-CN"/>
        </w:rPr>
        <w:t xml:space="preserve">（三） </w:t>
      </w:r>
      <w:r>
        <w:rPr>
          <w:rStyle w:val="778"/>
          <w:rFonts w:hint="eastAsia" w:ascii="宋体" w:hAnsi="宋体" w:eastAsia="宋体" w:cs="宋体"/>
          <w:i w:val="0"/>
          <w:iCs w:val="0"/>
          <w:caps w:val="0"/>
          <w:color w:val="auto"/>
          <w:spacing w:val="0"/>
          <w:sz w:val="24"/>
          <w:szCs w:val="24"/>
          <w:highlight w:val="none"/>
          <w:shd w:val="clear" w:color="auto" w:fill="ffffff"/>
        </w:rPr>
        <w:t xml:space="preserve">对本国产品的支持政策</w:t>
      </w:r>
      <w:r/>
    </w:p>
    <w:p>
      <w:pPr>
        <w:ind w:firstLine="480"/>
        <w:spacing w:line="360" w:lineRule="auto"/>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宋体"/>
          <w:b/>
          <w:bCs/>
          <w:color w:val="auto"/>
          <w:sz w:val="24"/>
          <w:highlight w:val="none"/>
        </w:rPr>
        <w:t xml:space="preserve">20%的价格扣除</w:t>
      </w:r>
      <w:r>
        <w:rPr>
          <w:rFonts w:hint="eastAsia" w:ascii="宋体" w:hAnsi="宋体" w:eastAsia="宋体" w:cs="宋体"/>
          <w:color w:val="auto"/>
          <w:sz w:val="24"/>
          <w:highlight w:val="none"/>
        </w:rPr>
        <w:t xml:space="preserve">，用扣除后的价格参与评审。对于仅有本国产品参与竞争的政府采购项目，本国产品不享受价格扣除评审优惠。</w:t>
      </w:r>
      <w:r/>
    </w:p>
    <w:p>
      <w:pPr>
        <w:ind w:firstLine="480"/>
        <w:spacing w:line="360" w:lineRule="auto"/>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当采购项目或者采购包中含有多种产品，供应商为该采购项目或者采购包提供的</w:t>
      </w:r>
      <w:r>
        <w:rPr>
          <w:rFonts w:hint="eastAsia" w:ascii="宋体" w:hAnsi="宋体" w:eastAsia="宋体" w:cs="宋体"/>
          <w:b/>
          <w:bCs/>
          <w:color w:val="auto"/>
          <w:sz w:val="24"/>
          <w:highlight w:val="none"/>
        </w:rPr>
        <w:t xml:space="preserve">符合本国产品标准的产品成本之和占该供应商提供的全部产品成本之和的比例达到80%以上</w:t>
      </w:r>
      <w:r>
        <w:rPr>
          <w:rFonts w:hint="eastAsia" w:ascii="宋体" w:hAnsi="宋体" w:eastAsia="宋体" w:cs="宋体"/>
          <w:color w:val="auto"/>
          <w:sz w:val="24"/>
          <w:highlight w:val="none"/>
        </w:rPr>
        <w:t xml:space="preserve">时，依法对该供应商提供的全部产品给予价格评审优惠，即</w:t>
      </w:r>
      <w:r>
        <w:rPr>
          <w:rFonts w:hint="eastAsia" w:ascii="宋体" w:hAnsi="宋体" w:eastAsia="宋体" w:cs="宋体"/>
          <w:b/>
          <w:bCs/>
          <w:color w:val="auto"/>
          <w:sz w:val="24"/>
          <w:highlight w:val="none"/>
        </w:rPr>
        <w:t xml:space="preserve">对该供应商提供的全部产品的总报价给予20%的价格扣除</w:t>
      </w:r>
      <w:r>
        <w:rPr>
          <w:rFonts w:hint="eastAsia" w:ascii="宋体" w:hAnsi="宋体" w:eastAsia="宋体" w:cs="宋体"/>
          <w:color w:val="auto"/>
          <w:sz w:val="24"/>
          <w:highlight w:val="none"/>
        </w:rPr>
        <w:t xml:space="preserve">，用扣除后的价格参与评审。</w:t>
      </w:r>
      <w:r/>
    </w:p>
    <w:p>
      <w:pPr>
        <w:ind w:firstLine="480"/>
        <w:spacing w:line="360" w:lineRule="auto"/>
        <w:shd w:val="clear" w:color="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供应商提供的产品出具</w:t>
      </w:r>
      <w:r>
        <w:rPr>
          <w:rFonts w:hint="eastAsia" w:ascii="宋体" w:hAnsi="宋体" w:eastAsia="宋体" w:cs="宋体"/>
          <w:b/>
          <w:bCs/>
          <w:color w:val="auto"/>
          <w:sz w:val="24"/>
          <w:highlight w:val="none"/>
        </w:rPr>
        <w:t xml:space="preserve">《关于符合本国产品标准的声明函》</w:t>
      </w:r>
      <w:r>
        <w:rPr>
          <w:rFonts w:hint="eastAsia" w:ascii="宋体" w:hAnsi="宋体" w:eastAsia="宋体" w:cs="宋体"/>
          <w:color w:val="auto"/>
          <w:sz w:val="24"/>
          <w:highlight w:val="none"/>
        </w:rPr>
        <w:t xml:space="preserve">或财政部会同有关部门规定的有关证明文件。出具符合要求的《声明函》或有关证明文件的，该产品视为本国产品</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供应商提供虚假《声明函》、虚假证明文件谋取中标、成交的，依照《中华人民共和国政府采购法》等法律法规规定追究相应责任。</w:t>
      </w:r>
      <w:r/>
    </w:p>
    <w:p>
      <w:pPr>
        <w:pStyle w:val="772"/>
        <w:ind w:left="0" w:right="0" w:firstLine="0"/>
        <w:jc w:val="left"/>
        <w:keepLines w:val="0"/>
        <w:keepNext w:val="0"/>
        <w:spacing w:before="20" w:beforeAutospacing="0" w:after="20" w:afterAutospacing="0" w:line="320" w:lineRule="atLeast"/>
        <w:shd w:val="clear" w:color="auto"/>
        <w:widowControl/>
        <w:rPr>
          <w:rStyle w:val="778"/>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Style w:val="778"/>
          <w:rFonts w:hint="eastAsia" w:ascii="宋体" w:hAnsi="宋体" w:eastAsia="宋体" w:cs="宋体"/>
          <w:i w:val="0"/>
          <w:iCs w:val="0"/>
          <w:caps w:val="0"/>
          <w:color w:val="auto"/>
          <w:spacing w:val="0"/>
          <w:sz w:val="24"/>
          <w:szCs w:val="24"/>
          <w:highlight w:val="none"/>
          <w:shd w:val="clear" w:color="auto" w:fill="ffffff"/>
          <w:lang w:val="en-US" w:eastAsia="zh-CN"/>
        </w:rPr>
        <w:t xml:space="preserve">附件：</w:t>
      </w:r>
      <w:r/>
    </w:p>
    <w:p>
      <w:pPr>
        <w:pStyle w:val="772"/>
        <w:ind w:left="0" w:right="0" w:firstLine="0"/>
        <w:jc w:val="center"/>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Style w:val="778"/>
          <w:rFonts w:hint="eastAsia" w:ascii="宋体" w:hAnsi="宋体" w:eastAsia="宋体" w:cs="宋体"/>
          <w:i w:val="0"/>
          <w:iCs w:val="0"/>
          <w:caps w:val="0"/>
          <w:color w:val="auto"/>
          <w:spacing w:val="0"/>
          <w:sz w:val="24"/>
          <w:szCs w:val="24"/>
          <w:highlight w:val="none"/>
          <w:shd w:val="clear" w:color="auto" w:fill="ffffff"/>
        </w:rPr>
        <w:t xml:space="preserve">关于符合本国产品标准的声明函</w:t>
      </w:r>
      <w:r/>
    </w:p>
    <w:p>
      <w:pPr>
        <w:pStyle w:val="772"/>
        <w:ind w:left="0" w:right="0" w:firstLine="420"/>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auto"/>
          <w:spacing w:val="0"/>
          <w:sz w:val="16"/>
          <w:szCs w:val="16"/>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16"/>
          <w:szCs w:val="16"/>
          <w:highlight w:val="none"/>
        </w:rPr>
      </w:r>
      <w:r/>
    </w:p>
    <w:p>
      <w:pPr>
        <w:pStyle w:val="772"/>
        <w:ind w:left="0" w:right="0" w:firstLine="420"/>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2"/>
        <w:ind w:left="0" w:right="0" w:firstLine="420"/>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782"/>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782"/>
          <w:rFonts w:hint="eastAsia" w:ascii="宋体" w:hAnsi="宋体" w:eastAsia="宋体" w:cs="宋体"/>
          <w:i w:val="0"/>
          <w:iCs w:val="0"/>
          <w:caps w:val="0"/>
          <w:color w:val="auto"/>
          <w:spacing w:val="0"/>
          <w:sz w:val="24"/>
          <w:szCs w:val="24"/>
          <w:highlight w:val="non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782"/>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782"/>
          <w:rFonts w:hint="eastAsia" w:ascii="宋体" w:hAnsi="宋体" w:eastAsia="宋体" w:cs="宋体"/>
          <w:i w:val="0"/>
          <w:iCs w:val="0"/>
          <w:caps w:val="0"/>
          <w:color w:val="auto"/>
          <w:spacing w:val="0"/>
          <w:sz w:val="24"/>
          <w:szCs w:val="24"/>
          <w:highlight w:val="non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782"/>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82"/>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782"/>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Style w:val="782"/>
          <w:rFonts w:hint="eastAsia" w:ascii="宋体" w:hAnsi="宋体" w:eastAsia="宋体" w:cs="宋体"/>
          <w:i w:val="0"/>
          <w:iCs w:val="0"/>
          <w:caps w:val="0"/>
          <w:color w:val="auto"/>
          <w:spacing w:val="0"/>
          <w:sz w:val="24"/>
          <w:szCs w:val="24"/>
          <w:highlight w:val="non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82"/>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82"/>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Style w:val="782"/>
          <w:rFonts w:hint="eastAsia" w:ascii="宋体" w:hAnsi="宋体" w:eastAsia="宋体" w:cs="宋体"/>
          <w:i w:val="0"/>
          <w:iCs w:val="0"/>
          <w:caps w:val="0"/>
          <w:color w:val="auto"/>
          <w:spacing w:val="0"/>
          <w:sz w:val="24"/>
          <w:szCs w:val="24"/>
          <w:highlight w:val="non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782"/>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82"/>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Style w:val="782"/>
          <w:rFonts w:hint="eastAsia" w:ascii="宋体" w:hAnsi="宋体" w:eastAsia="宋体" w:cs="宋体"/>
          <w:i w:val="0"/>
          <w:iCs w:val="0"/>
          <w:caps w:val="0"/>
          <w:color w:val="auto"/>
          <w:spacing w:val="0"/>
          <w:sz w:val="24"/>
          <w:szCs w:val="24"/>
          <w:highlight w:val="non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772"/>
        <w:ind w:left="0" w:right="0" w:firstLine="420"/>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w:t>
      </w:r>
      <w:r>
        <w:rPr>
          <w:rStyle w:val="782"/>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782"/>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782"/>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82"/>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782"/>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82"/>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82"/>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782"/>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82"/>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772"/>
        <w:ind w:left="0" w:right="0" w:firstLine="420"/>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w:t>
      </w:r>
      <w:r/>
    </w:p>
    <w:p>
      <w:pPr>
        <w:pStyle w:val="772"/>
        <w:ind w:left="0" w:right="0" w:firstLine="420"/>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本公司（单位）对上述声明内容的真实性负责。如有虚假，愿承担相应法律责任。</w:t>
      </w:r>
      <w:r/>
    </w:p>
    <w:p>
      <w:pPr>
        <w:pStyle w:val="772"/>
        <w:ind w:left="0" w:right="0" w:firstLine="0"/>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772"/>
        <w:ind w:left="0" w:right="0" w:firstLine="0"/>
        <w:jc w:val="right"/>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公司（单位）名称（盖章）：　</w:t>
      </w:r>
      <w:r/>
    </w:p>
    <w:p>
      <w:pPr>
        <w:pStyle w:val="772"/>
        <w:ind w:left="0" w:right="0" w:firstLine="0"/>
        <w:jc w:val="center"/>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日期：　年　月　日</w:t>
      </w:r>
      <w:r/>
    </w:p>
    <w:p>
      <w:pPr>
        <w:pStyle w:val="772"/>
        <w:ind w:left="0" w:right="0" w:firstLine="0"/>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__________________</w:t>
      </w:r>
      <w:r/>
    </w:p>
    <w:p>
      <w:pPr>
        <w:pStyle w:val="772"/>
        <w:ind w:left="0" w:right="0" w:firstLine="420"/>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1.产品如有型号，请在“产品名称”栏一并填写。</w:t>
      </w:r>
      <w:r/>
    </w:p>
    <w:p>
      <w:pPr>
        <w:pStyle w:val="772"/>
        <w:ind w:left="0" w:right="0" w:firstLine="420"/>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2.生产厂名与厂址应与生产厂营业执照载明的相关信息保持一致。</w:t>
      </w:r>
      <w:r/>
    </w:p>
    <w:p>
      <w:pPr>
        <w:pStyle w:val="772"/>
        <w:ind w:left="0" w:right="0" w:firstLine="420"/>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3.该产品的中国境内生产的组件成本占比相关要求实施前，“规定比例”栏可不填，下同。</w:t>
      </w:r>
      <w:r/>
    </w:p>
    <w:p>
      <w:pPr>
        <w:pStyle w:val="772"/>
        <w:ind w:left="0" w:right="0" w:firstLine="420"/>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4.该产品的关键组件要求实施前，“关键组件”栏可不填，下同。</w:t>
      </w:r>
      <w:r/>
    </w:p>
    <w:p>
      <w:pPr>
        <w:pStyle w:val="772"/>
        <w:ind w:left="0" w:right="0" w:firstLine="420"/>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5.该产品的关键工序要求实施前，“关键工序”栏可不填，下同。</w:t>
      </w:r>
      <w:r/>
    </w:p>
    <w:p>
      <w:pPr>
        <w:pStyle w:val="786"/>
        <w:shd w:val="clear" w:color="auto"/>
        <w:rPr>
          <w:highlight w:val="none"/>
        </w:rPr>
      </w:pPr>
      <w:r>
        <w:rPr>
          <w:highlight w:val="none"/>
        </w:rPr>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35.凡涉及采购文件的补充说明和修改，均以苏州市政府采购网发布内容为准。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pStyle w:val="719"/>
        <w:jc w:val="center"/>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t xml:space="preserve">第三章 响应文件格式</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说明：</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对本章所有的格式 ，供应商可根据自身情况进行补充和修改，但补充和修改不得造成与本格式内容有实质性的违背。</w:t>
      </w:r>
      <w:r/>
    </w:p>
    <w:p>
      <w:pPr>
        <w:ind w:firstLine="56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56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1、（供应商）法定代表人授权委托书</w:t>
      </w:r>
      <w:r/>
    </w:p>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授权委托书</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本授权委托书声明：我（姓名）系</w:t>
      </w:r>
      <w:r>
        <w:rPr>
          <w:rFonts w:ascii="宋体" w:hAnsi="宋体" w:eastAsia="宋体" w:cs="宋体"/>
          <w:color w:val="000000"/>
          <w:sz w:val="24"/>
          <w:highlight w:val="none"/>
          <w:u w:val="single"/>
        </w:rPr>
        <w:t xml:space="preserve">（供应商名称）</w:t>
      </w:r>
      <w:r>
        <w:rPr>
          <w:rFonts w:ascii="宋体" w:hAnsi="宋体" w:eastAsia="宋体" w:cs="宋体"/>
          <w:color w:val="000000"/>
          <w:sz w:val="24"/>
          <w:highlight w:val="none"/>
        </w:rPr>
        <w:t xml:space="preserve">的法定代表人，现授权委托</w:t>
      </w:r>
      <w:r>
        <w:rPr>
          <w:rFonts w:ascii="宋体" w:hAnsi="宋体" w:eastAsia="宋体" w:cs="宋体"/>
          <w:color w:val="000000"/>
          <w:sz w:val="24"/>
          <w:highlight w:val="none"/>
          <w:u w:val="single"/>
        </w:rPr>
        <w:t xml:space="preserve">（姓名）</w:t>
      </w:r>
      <w:r>
        <w:rPr>
          <w:rFonts w:ascii="宋体" w:hAnsi="宋体" w:eastAsia="宋体" w:cs="宋体"/>
          <w:color w:val="000000"/>
          <w:sz w:val="24"/>
          <w:highlight w:val="none"/>
        </w:rPr>
        <w:t xml:space="preserve">为我公司授权代表（即代理人），以本公司的名义参加 </w:t>
      </w:r>
      <w:r>
        <w:rPr>
          <w:rFonts w:ascii="宋体" w:hAnsi="宋体" w:eastAsia="宋体" w:cs="宋体"/>
          <w:color w:val="000000"/>
          <w:sz w:val="24"/>
          <w:highlight w:val="none"/>
          <w:u w:val="single"/>
        </w:rPr>
        <w:t xml:space="preserve"> 苏州海企国际工程咨询有限公司</w:t>
      </w:r>
      <w:r>
        <w:rPr>
          <w:rFonts w:ascii="宋体" w:hAnsi="宋体" w:eastAsia="宋体" w:cs="宋体"/>
          <w:color w:val="000000"/>
          <w:sz w:val="24"/>
          <w:highlight w:val="none"/>
        </w:rPr>
        <w:t xml:space="preserve">组织实施的编号为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号的谈判活动。授权代表在谈判活动过程中所签署的一切文件和处理与这有关的一切事务，我均予以承认。</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授权代表在授权委托书有效期内签署的所有文件不因授权委托的撤销而失效，除非有撤销授权委托的书面通知，本授权委托书自谈判活动开始至合同履行完毕止。</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授权代表无转委托权。特此委托。</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响应供应商：（单位公章）</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法定代表人：（签字或盖章）</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代理人：（签字或盖章）</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年　　月　　日</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2、谈判响应函</w:t>
      </w:r>
      <w:r/>
    </w:p>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谈判响应函</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     （采购代理机构）</w:t>
      </w:r>
      <w:r>
        <w:rPr>
          <w:rFonts w:ascii="宋体" w:hAnsi="宋体" w:eastAsia="宋体" w:cs="宋体"/>
          <w:color w:val="000000"/>
          <w:sz w:val="24"/>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我们收到贵公司 </w:t>
      </w:r>
      <w:r>
        <w:rPr>
          <w:rFonts w:ascii="宋体" w:hAnsi="宋体" w:eastAsia="宋体" w:cs="宋体"/>
          <w:color w:val="000000"/>
          <w:sz w:val="24"/>
          <w:highlight w:val="none"/>
          <w:u w:val="single"/>
        </w:rPr>
        <w:t xml:space="preserve"> （采购编号） </w:t>
      </w:r>
      <w:r>
        <w:rPr>
          <w:rFonts w:ascii="宋体" w:hAnsi="宋体" w:eastAsia="宋体" w:cs="宋体"/>
          <w:color w:val="000000"/>
          <w:sz w:val="24"/>
          <w:highlight w:val="none"/>
        </w:rPr>
        <w:t xml:space="preserve">号谈判文件，经仔细阅读和研究，我们决定参加贵单位组织的本项目谈判活动。</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1、我们愿意按照谈判文件的一切要求，完成该项目的全部内容。</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2、如果我们的谈判响应文件被接受，我们将严格履行谈判文件中规定的每一项要求，按期、按质、按量履行合同的义务。</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3、我们已详细阅读全部谈判文件，包括更正公告(如有)，对谈判文件及更正公告(如有)无任何异议。我们完全理解并同意放弃对这方面有不明及误解的权力。</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4、我们同意按谈判文件中的规定，本响应文件的有效期限自提交响应文件截止时间之日起</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天。</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5、我们愿意提供谈判采购单位在谈判文件中要求的所有资料。</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6、我们愿意遵守谈判文件中所列的收费标准。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7、我们承诺该响应文件在谈判开始后的全过程中保持有效，不作任何更改和变动。</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8、我们承诺我公司符合谈判文件供应商须知中“合格供应商的基本、特定条件”的要求，若与真实情况不符，本公司愿意承担由此而产生的一切后果。</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9、我们声明：我们在参加本次政府采购活动前3年内在经营活动中没有重大违法记录。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所有有关谈判文件的函电，请按下列地址联系：</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单位：联系人：</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地址：邮政编码：</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联系电话：传真：</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邮箱：</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响应供应商：（单位公章）</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法定代表人或代理人：（签字或盖章）</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日期：年月日</w:t>
      </w:r>
      <w:r/>
    </w:p>
    <w:p>
      <w:pPr>
        <w:numPr>
          <w:ilvl w:val="0"/>
          <w:numId w:val="0"/>
        </w:numPr>
        <w:ind w:left="0" w:firstLine="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numPr>
          <w:ilvl w:val="0"/>
          <w:numId w:val="0"/>
        </w:numPr>
        <w:ind w:left="0" w:firstLine="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hint="eastAsia" w:cs="Times New Roman"/>
          <w:sz w:val="26"/>
          <w:highlight w:val="none"/>
          <w:lang w:val="en-US" w:eastAsia="zh-CN" w:bidi="ar-SA"/>
        </w:rPr>
        <w:t xml:space="preserve">3</w:t>
      </w:r>
      <w:r>
        <w:rPr>
          <w:rFonts w:ascii="Times New Roman" w:hAnsi="Times New Roman" w:eastAsia="楷体_GB2312" w:cs="Times New Roman"/>
          <w:sz w:val="26"/>
          <w:highlight w:val="none"/>
          <w:lang w:val="en-US" w:eastAsia="zh-CN" w:bidi="ar-SA"/>
        </w:rPr>
        <w:t xml:space="preserve">、</w:t>
      </w:r>
      <w:r>
        <w:rPr>
          <w:rFonts w:ascii="宋体" w:hAnsi="宋体" w:eastAsia="宋体" w:cs="宋体"/>
          <w:b/>
          <w:color w:val="000000"/>
          <w:sz w:val="24"/>
          <w:highlight w:val="none"/>
        </w:rPr>
        <w:t xml:space="preserve">响应报价表</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响应报价一览表</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1865"/>
        <w:gridCol w:w="2311"/>
        <w:gridCol w:w="2404"/>
        <w:gridCol w:w="1850"/>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采购编号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响应总报价（元）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交货期</w:t>
            </w:r>
            <w:r/>
          </w:p>
        </w:tc>
      </w:tr>
      <w:tr>
        <w:trPr>
          <w:trHeight w:val="9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981"/>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75" w:type="dxa"/>
            <w:vAlign w:val="center"/>
            <w:textDirection w:val="lrTb"/>
            <w:noWrap w:val="false"/>
          </w:tcPr>
          <w:p>
            <w:pPr>
              <w:jc w:val="left"/>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响应总报价（人民币大写）：</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  ￥： </w:t>
            </w:r>
            <w:r>
              <w:rPr>
                <w:rFonts w:ascii="宋体" w:hAnsi="宋体" w:eastAsia="宋体" w:cs="宋体"/>
                <w:color w:val="000000"/>
                <w:sz w:val="24"/>
                <w:highlight w:val="none"/>
                <w:u w:val="single"/>
              </w:rPr>
              <w:t xml:space="preserve">     </w:t>
            </w:r>
            <w:r/>
          </w:p>
        </w:tc>
      </w:tr>
    </w:tbl>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w:t>
      </w:r>
      <w:r>
        <w:rPr>
          <w:rFonts w:ascii="宋体" w:hAnsi="宋体" w:eastAsia="宋体" w:cs="宋体"/>
          <w:b/>
          <w:color w:val="000000"/>
          <w:sz w:val="24"/>
          <w:highlight w:val="none"/>
          <w:u w:val="single"/>
        </w:rPr>
        <w:t xml:space="preserve">报价金额全部采取人民币表示，响应报价精确到分。</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响应供应商：（单位公章）</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法定代表人或代理人：（签字或盖章）</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pStyle w:val="721"/>
        <w:spacing w:line="360" w:lineRule="auto"/>
        <w:shd w:val="clear" w:color="auto"/>
        <w:rPr>
          <w:rFonts w:hint="default"/>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4、分项报价明细表</w:t>
      </w:r>
      <w:r/>
    </w:p>
    <w:p>
      <w:pPr>
        <w:ind w:firstLine="4337"/>
        <w:spacing w:before="240" w:after="24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分项报价明细表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采购编号： </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1158"/>
        <w:gridCol w:w="921"/>
        <w:gridCol w:w="1398"/>
        <w:gridCol w:w="709"/>
        <w:gridCol w:w="909"/>
        <w:gridCol w:w="1084"/>
        <w:gridCol w:w="1140"/>
        <w:gridCol w:w="99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标的物名称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品牌、生产厂家、产地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型号、规格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总价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交货期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5"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5"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5"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5"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5"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5"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8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小计（元）</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3"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金额大写：                            ；小写：</w:t>
            </w:r>
            <w:r/>
          </w:p>
        </w:tc>
      </w:tr>
    </w:tbl>
    <w:p>
      <w:pPr>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w:t>
      </w:r>
      <w:r/>
    </w:p>
    <w:p>
      <w:pPr>
        <w:ind w:firstLine="480"/>
        <w:keepLines w:val="0"/>
        <w:keepNext w:val="0"/>
        <w:pageBreakBefore w:val="0"/>
        <w:spacing w:line="360" w:lineRule="auto"/>
        <w:shd w:val="clear" w:color="auto"/>
        <w:widowControl w:val="off"/>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w:t>
      </w:r>
      <w:r>
        <w:rPr>
          <w:rFonts w:ascii="宋体" w:hAnsi="宋体" w:eastAsia="宋体" w:cs="宋体"/>
          <w:color w:val="000000"/>
          <w:sz w:val="24"/>
          <w:highlight w:val="none"/>
        </w:rPr>
        <w:t xml:space="preserve">投标人必须按“分项报价明细表”的格式详细报出投标总价的各个组成部分的报价，否则作无效投标处理。</w:t>
      </w:r>
      <w:r/>
    </w:p>
    <w:p>
      <w:pPr>
        <w:ind w:firstLine="480"/>
        <w:keepLines w:val="0"/>
        <w:keepNext w:val="0"/>
        <w:pageBreakBefore w:val="0"/>
        <w:spacing w:line="360" w:lineRule="auto"/>
        <w:shd w:val="clear" w:color="auto"/>
        <w:widowControl w:val="off"/>
        <w:rPr>
          <w:rFonts w:hint="eastAsia" w:eastAsia="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响应供应商：（单位公章）</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法定代表人或代理人：（签字或盖章）</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5、技术规格和商务偏离表</w:t>
      </w:r>
      <w:r/>
    </w:p>
    <w:p>
      <w:pPr>
        <w:ind w:firstLine="562"/>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4"/>
          <w:highlight w:val="none"/>
        </w:rPr>
        <w:t xml:space="preserve">技术规格偏离表</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采购编号∶</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2024"/>
        <w:gridCol w:w="2051"/>
        <w:gridCol w:w="2052"/>
        <w:gridCol w:w="20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项      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偏离说明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响应供应商：（单位公章）</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法定代表人或代理人：（签字或盖章）</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w:t>
      </w:r>
      <w:r/>
    </w:p>
    <w:p>
      <w:pPr>
        <w:ind w:firstLine="562"/>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4"/>
          <w:highlight w:val="none"/>
        </w:rPr>
        <w:t xml:space="preserve"> </w:t>
      </w:r>
      <w:r/>
    </w:p>
    <w:p>
      <w:pPr>
        <w:ind w:firstLine="562"/>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4"/>
          <w:highlight w:val="none"/>
        </w:rPr>
        <w:t xml:space="preserve">商务条款偏离表</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采购编号∶</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2948"/>
        <w:gridCol w:w="1959"/>
        <w:gridCol w:w="1842"/>
        <w:gridCol w:w="1578"/>
      </w:tblGrid>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48"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采购要求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8"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备注</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8"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交货期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9"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8"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8"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交货地点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9"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8"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8"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9"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8"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8"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售后服务承诺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9"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8"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8"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其他商务要求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9"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8"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8"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9"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8"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响应供应商：（单位公章）</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法定代表人或代理人：（签字或盖章）</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注：1.供应商提交的响应文件应在本表中把谈判文件要求与实际响应内容逐项对应列出，并在“偏离说明”项下填写以下内容：优于的，填写“正偏离”；符合的，填写“无偏离”；低于的，填写“负偏离”。</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2.若事项较多，供应商可根据响应内容的实际情况另纸说明。</w:t>
      </w:r>
      <w:r>
        <w:rPr>
          <w:rFonts w:ascii="宋体" w:hAnsi="宋体" w:eastAsia="宋体" w:cs="宋体"/>
          <w:b/>
          <w:color w:val="000000"/>
          <w:sz w:val="24"/>
          <w:highlight w:val="none"/>
        </w:rPr>
        <w:t xml:space="preserve"> </w:t>
      </w:r>
      <w:r>
        <w:rPr>
          <w:rFonts w:ascii="宋体" w:hAnsi="宋体" w:eastAsia="宋体" w:cs="宋体"/>
          <w:b/>
          <w:color w:val="000000"/>
          <w:sz w:val="24"/>
          <w:highlight w:val="none"/>
        </w:rPr>
        <w:br w:type="page" w:clear="all"/>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6、资格证明文件</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(1) 资格文件的声明函</w:t>
      </w:r>
      <w:r/>
    </w:p>
    <w:p>
      <w:pPr>
        <w:ind w:firstLine="482"/>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资格文件的声明函</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w:t>
      </w:r>
      <w:r/>
    </w:p>
    <w:p>
      <w:pPr>
        <w:ind w:firstLine="480"/>
        <w:jc w:val="left"/>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1、本公司愿就由贵公司组织实施的编号为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号的谈判采购活动进行响应。本公司所提交的响应文件中所有关于响应文件、证明和陈述均是真实的、准确的、有效的。若与真实情况不符，本公司愿意承担由此而产生的一切后果。</w:t>
      </w:r>
      <w:r/>
    </w:p>
    <w:p>
      <w:pPr>
        <w:ind w:firstLine="480"/>
        <w:jc w:val="left"/>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2、我方已知晓竞争性谈判文件要求并认真审核自身情况，在此郑重声明，我方遵守如下条款的规定：</w:t>
      </w:r>
      <w:r/>
    </w:p>
    <w:p>
      <w:pPr>
        <w:ind w:firstLine="480"/>
        <w:jc w:val="left"/>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单位负责人为同一人或者存在直接控股、管理关系的不同供应商，不得参加同一合同项下的政府采购活动。</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本声明如有虚假或不实之处，我方将失去合格供应商资格。</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响应供应商（单位公章）：</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法定代表人（签字或盖章）：</w:t>
      </w:r>
      <w:r/>
    </w:p>
    <w:p>
      <w:p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年   月</w:t>
      </w:r>
      <w:r>
        <w:rPr>
          <w:rFonts w:hint="eastAsia" w:ascii="宋体" w:hAnsi="宋体" w:eastAsia="宋体" w:cs="宋体"/>
          <w:color w:val="000000"/>
          <w:sz w:val="24"/>
          <w:highlight w:val="none"/>
          <w:lang w:val="en-US" w:eastAsia="zh-CN"/>
        </w:rPr>
        <w:t xml:space="preserve">    </w:t>
      </w:r>
      <w:r>
        <w:rPr>
          <w:rFonts w:ascii="宋体" w:hAnsi="宋体" w:eastAsia="宋体" w:cs="宋体"/>
          <w:color w:val="000000"/>
          <w:sz w:val="24"/>
          <w:highlight w:val="none"/>
        </w:rPr>
        <w:t xml:space="preserve">日</w:t>
      </w:r>
      <w:r/>
    </w:p>
    <w:p>
      <w:pPr>
        <w:shd w:val="clear" w:color="auto"/>
        <w:rPr>
          <w:rFonts w:ascii="宋体" w:hAnsi="宋体" w:eastAsia="宋体" w:cs="宋体"/>
          <w:color w:val="000000"/>
          <w:sz w:val="24"/>
          <w:highlight w:val="none"/>
        </w:rPr>
      </w:pPr>
      <w:r>
        <w:rPr>
          <w:rFonts w:ascii="宋体" w:hAnsi="宋体" w:eastAsia="宋体" w:cs="宋体"/>
          <w:color w:val="000000"/>
          <w:sz w:val="24"/>
          <w:highlight w:val="none"/>
        </w:rPr>
        <w:br w:type="page" w:clear="all"/>
      </w:r>
      <w:r/>
    </w:p>
    <w:p>
      <w:pPr>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供应商</w:t>
      </w:r>
      <w:r>
        <w:rPr>
          <w:rFonts w:hint="eastAsia" w:ascii="宋体" w:hAnsi="宋体" w:eastAsia="宋体" w:cs="宋体"/>
          <w:b/>
          <w:bCs/>
          <w:color w:val="000000"/>
          <w:sz w:val="24"/>
          <w:szCs w:val="24"/>
          <w:highlight w:val="none"/>
          <w:lang w:val="zh-CN"/>
        </w:rPr>
        <w:t xml:space="preserve">与其他单位存在控股、管理关系情况表</w:t>
      </w:r>
      <w:r/>
    </w:p>
    <w:p>
      <w:pPr>
        <w:ind w:firstLine="210"/>
        <w:jc w:val="center"/>
        <w:spacing w:line="360" w:lineRule="auto"/>
        <w:shd w:val="clear" w:color="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lang w:val="zh-CN"/>
        </w:rPr>
        <w:t xml:space="preserve">与其他单位存在控股、管理关系情况表</w:t>
      </w:r>
      <w:r/>
    </w:p>
    <w:p>
      <w:pPr>
        <w:pStyle w:val="1037"/>
        <w:ind w:firstLine="0"/>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编号：</w:t>
      </w:r>
      <w:r/>
    </w:p>
    <w:tbl>
      <w:tblPr>
        <w:tblStyle w:val="729"/>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24"/>
        <w:gridCol w:w="4624"/>
      </w:tblGrid>
      <w:tr>
        <w:trPr>
          <w:trHeight w:val="753"/>
        </w:trPr>
        <w:tc>
          <w:tcPr>
            <w:tcW w:w="2500" w:type="dxa"/>
            <w:textDirection w:val="lrTb"/>
            <w:noWrap w:val="false"/>
          </w:tcPr>
          <w:p>
            <w:pPr>
              <w:pStyle w:val="1038"/>
              <w:ind w:left="0" w:firstLine="0"/>
              <w:jc w:val="center"/>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与</w:t>
            </w:r>
            <w:r>
              <w:rPr>
                <w:rFonts w:hint="eastAsia" w:ascii="宋体" w:hAnsi="宋体" w:eastAsia="宋体" w:cs="宋体"/>
                <w:b/>
                <w:bCs/>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zh-CN"/>
              </w:rPr>
              <w:t xml:space="preserve">存在控股、管理关系的单位名称</w:t>
            </w:r>
            <w:r/>
          </w:p>
        </w:tc>
        <w:tc>
          <w:tcPr>
            <w:tcW w:w="2500" w:type="dxa"/>
            <w:textDirection w:val="lrTb"/>
            <w:noWrap w:val="false"/>
          </w:tcPr>
          <w:p>
            <w:pPr>
              <w:pStyle w:val="1038"/>
              <w:ind w:left="0" w:firstLine="0"/>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控股、管理关系情况说明</w:t>
            </w:r>
            <w:r/>
          </w:p>
        </w:tc>
      </w:tr>
      <w:tr>
        <w:trPr>
          <w:trHeight w:val="703"/>
        </w:trPr>
        <w:tc>
          <w:tcPr>
            <w:tcW w:w="2500" w:type="dxa"/>
            <w:textDirection w:val="lrTb"/>
            <w:noWrap w:val="false"/>
          </w:tcPr>
          <w:p>
            <w:pPr>
              <w:pStyle w:val="1038"/>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00" w:type="dxa"/>
            <w:textDirection w:val="lrTb"/>
            <w:noWrap w:val="false"/>
          </w:tcPr>
          <w:p>
            <w:pPr>
              <w:pStyle w:val="1038"/>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78"/>
        </w:trPr>
        <w:tc>
          <w:tcPr>
            <w:tcW w:w="2500" w:type="dxa"/>
            <w:textDirection w:val="lrTb"/>
            <w:noWrap w:val="false"/>
          </w:tcPr>
          <w:p>
            <w:pPr>
              <w:pStyle w:val="1038"/>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00" w:type="dxa"/>
            <w:textDirection w:val="lrTb"/>
            <w:noWrap w:val="false"/>
          </w:tcPr>
          <w:p>
            <w:pPr>
              <w:pStyle w:val="1038"/>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78"/>
        </w:trPr>
        <w:tc>
          <w:tcPr>
            <w:tcW w:w="2500" w:type="dxa"/>
            <w:textDirection w:val="lrTb"/>
            <w:noWrap w:val="false"/>
          </w:tcPr>
          <w:p>
            <w:pPr>
              <w:pStyle w:val="1038"/>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00" w:type="dxa"/>
            <w:textDirection w:val="lrTb"/>
            <w:noWrap w:val="false"/>
          </w:tcPr>
          <w:p>
            <w:pPr>
              <w:pStyle w:val="1038"/>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3"/>
        </w:trPr>
        <w:tc>
          <w:tcPr>
            <w:tcW w:w="2500" w:type="dxa"/>
            <w:textDirection w:val="lrTb"/>
            <w:noWrap w:val="false"/>
          </w:tcPr>
          <w:p>
            <w:pPr>
              <w:pStyle w:val="1038"/>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00" w:type="dxa"/>
            <w:textDirection w:val="lrTb"/>
            <w:noWrap w:val="false"/>
          </w:tcPr>
          <w:p>
            <w:pPr>
              <w:pStyle w:val="1038"/>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ind w:firstLine="210"/>
        <w:spacing w:line="360" w:lineRule="auto"/>
        <w:shd w:val="clear" w:color="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注：</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lang w:val="zh-CN"/>
        </w:rPr>
        <w:t xml:space="preserve">须如实填写所有与之有控股管理关系的情况。</w:t>
      </w:r>
      <w:r/>
    </w:p>
    <w:p>
      <w:pPr>
        <w:ind w:firstLine="480"/>
        <w:jc w:val="left"/>
        <w:spacing w:line="360" w:lineRule="auto"/>
        <w:shd w:val="clear" w:color="auto"/>
        <w:rPr>
          <w:rFonts w:hint="eastAsia" w:ascii="宋体" w:eastAsia="宋体"/>
          <w:sz w:val="24"/>
          <w:szCs w:val="24"/>
          <w:highlight w:val="none"/>
        </w:rPr>
      </w:pPr>
      <w:r>
        <w:rPr>
          <w:rFonts w:hint="eastAsia" w:ascii="宋体" w:eastAsia="宋体"/>
          <w:sz w:val="24"/>
          <w:szCs w:val="24"/>
          <w:highlight w:val="none"/>
        </w:rPr>
      </w:r>
      <w:r/>
    </w:p>
    <w:p>
      <w:pPr>
        <w:ind w:firstLine="480"/>
        <w:jc w:val="left"/>
        <w:spacing w:line="360" w:lineRule="auto"/>
        <w:shd w:val="clear" w:color="auto"/>
        <w:rPr>
          <w:rFonts w:hint="eastAsia" w:ascii="宋体" w:eastAsia="宋体"/>
          <w:sz w:val="24"/>
          <w:szCs w:val="24"/>
          <w:highlight w:val="none"/>
        </w:rPr>
      </w:pPr>
      <w:r>
        <w:rPr>
          <w:rFonts w:hint="eastAsia" w:ascii="宋体" w:eastAsia="宋体"/>
          <w:sz w:val="24"/>
          <w:szCs w:val="24"/>
          <w:highlight w:val="none"/>
        </w:rPr>
      </w:r>
      <w:r/>
    </w:p>
    <w:p>
      <w:pPr>
        <w:ind w:firstLine="480"/>
        <w:jc w:val="left"/>
        <w:spacing w:line="360" w:lineRule="auto"/>
        <w:shd w:val="clear" w:color="auto"/>
        <w:rPr>
          <w:rFonts w:hint="eastAsia" w:ascii="宋体" w:eastAsia="宋体"/>
          <w:sz w:val="24"/>
          <w:szCs w:val="24"/>
          <w:highlight w:val="none"/>
        </w:rPr>
      </w:pPr>
      <w:r>
        <w:rPr>
          <w:rFonts w:hint="eastAsia" w:ascii="宋体" w:eastAsia="宋体"/>
          <w:sz w:val="24"/>
          <w:szCs w:val="24"/>
          <w:highlight w:val="none"/>
        </w:rPr>
        <w:t xml:space="preserve">响应供应商：（公章）</w:t>
      </w:r>
      <w:r/>
    </w:p>
    <w:p>
      <w:pPr>
        <w:ind w:firstLine="480"/>
        <w:jc w:val="left"/>
        <w:spacing w:line="360" w:lineRule="auto"/>
        <w:shd w:val="clear" w:color="auto"/>
        <w:rPr>
          <w:rFonts w:hint="eastAsia" w:ascii="宋体" w:eastAsia="宋体"/>
          <w:sz w:val="24"/>
          <w:szCs w:val="24"/>
          <w:highlight w:val="none"/>
        </w:rPr>
      </w:pPr>
      <w:r>
        <w:rPr>
          <w:rFonts w:hint="eastAsia" w:ascii="宋体" w:eastAsia="宋体"/>
          <w:sz w:val="24"/>
          <w:szCs w:val="24"/>
          <w:highlight w:val="none"/>
        </w:rPr>
        <w:t xml:space="preserve">法定代表人或代理人（签字或盖章）</w:t>
      </w:r>
      <w:r>
        <w:rPr>
          <w:rFonts w:hint="eastAsia" w:ascii="宋体" w:eastAsia="宋体"/>
          <w:bCs/>
          <w:sz w:val="24"/>
          <w:szCs w:val="24"/>
          <w:highlight w:val="none"/>
        </w:rPr>
        <w:t xml:space="preserve">：</w:t>
      </w:r>
      <w:r/>
    </w:p>
    <w:p>
      <w:pPr>
        <w:ind w:firstLine="480"/>
        <w:spacing w:line="360" w:lineRule="auto"/>
        <w:shd w:val="clear" w:color="auto"/>
        <w:rPr>
          <w:rFonts w:hint="eastAsia" w:ascii="宋体" w:eastAsia="宋体"/>
          <w:b/>
          <w:sz w:val="24"/>
          <w:szCs w:val="24"/>
          <w:highlight w:val="none"/>
        </w:rPr>
      </w:pPr>
      <w:r>
        <w:rPr>
          <w:rFonts w:hint="eastAsia" w:ascii="宋体" w:eastAsia="宋体"/>
          <w:bCs/>
          <w:sz w:val="24"/>
          <w:szCs w:val="24"/>
          <w:highlight w:val="none"/>
        </w:rPr>
        <w:t xml:space="preserve">投标日期:</w:t>
      </w:r>
      <w:r/>
    </w:p>
    <w:p>
      <w:p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3</w:t>
      </w:r>
      <w:r>
        <w:rPr>
          <w:rFonts w:ascii="宋体" w:hAnsi="宋体" w:eastAsia="宋体" w:cs="宋体"/>
          <w:b/>
          <w:color w:val="000000"/>
          <w:sz w:val="24"/>
          <w:highlight w:val="none"/>
        </w:rPr>
        <w:t xml:space="preserve">)供应商情况表</w:t>
      </w:r>
      <w:r/>
    </w:p>
    <w:p>
      <w:pPr>
        <w:ind w:firstLine="480"/>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供应商情况表</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5"/>
        <w:gridCol w:w="2086"/>
        <w:gridCol w:w="1702"/>
        <w:gridCol w:w="3545"/>
      </w:tblGrid>
      <w:tr>
        <w:trPr>
          <w:trHeight w:val="4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6"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2"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成立日期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5"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注册地址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6"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注册资金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经营范围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3"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企业资质等级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6" w:type="dxa"/>
            <w:vAlign w:val="bottom"/>
            <w:textDirection w:val="lrTb"/>
            <w:noWrap w:val="false"/>
          </w:tcPr>
          <w:p>
            <w:pPr>
              <w:jc w:val="right"/>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员工总人数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bottom"/>
            <w:textDirection w:val="lrTb"/>
            <w:noWrap w:val="false"/>
          </w:tcPr>
          <w:p>
            <w:pPr>
              <w:jc w:val="right"/>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6" w:type="dxa"/>
            <w:vAlign w:val="bottom"/>
            <w:textDirection w:val="lrTb"/>
            <w:noWrap w:val="false"/>
          </w:tcPr>
          <w:p>
            <w:pPr>
              <w:jc w:val="right"/>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销售收入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bottom"/>
            <w:textDirection w:val="lrTb"/>
            <w:noWrap w:val="false"/>
          </w:tcPr>
          <w:p>
            <w:pPr>
              <w:jc w:val="right"/>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年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6" w:type="dxa"/>
            <w:vAlign w:val="bottom"/>
            <w:textDirection w:val="lrTb"/>
            <w:noWrap w:val="false"/>
          </w:tcPr>
          <w:p>
            <w:pPr>
              <w:jc w:val="right"/>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年</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bottom"/>
            <w:textDirection w:val="lrTb"/>
            <w:noWrap w:val="false"/>
          </w:tcPr>
          <w:p>
            <w:pPr>
              <w:jc w:val="right"/>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平方米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单位简历及内设机构情况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3"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单位优势及特长</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3"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10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商业信誉和健全的财务会计制度介绍</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3"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10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履行合同所必需的设备和专业技术能力情况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3"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9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依法缴纳税收和社会保障资金情况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3"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12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参加政府采购活动前三年内，在经营活动中有无重大违法记录</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3"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其他需要说明的情况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3"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（本页不够可另加页附后）</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7、售后服务承诺书</w:t>
      </w:r>
      <w:r/>
    </w:p>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售后服务承诺书</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1"/>
        <w:gridCol w:w="3182"/>
        <w:gridCol w:w="2224"/>
        <w:gridCol w:w="2981"/>
      </w:tblGrid>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2"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售后服务内容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4"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期限（时间）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w:t>
            </w:r>
            <w:r/>
          </w:p>
        </w:tc>
      </w:tr>
      <w:tr>
        <w:trPr>
          <w:trHeight w:val="7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2" w:type="dxa"/>
            <w:vAlign w:val="center"/>
            <w:textDirection w:val="lrTb"/>
            <w:noWrap w:val="false"/>
          </w:tcPr>
          <w:p>
            <w:pPr>
              <w:jc w:val="center"/>
              <w:spacing w:before="200" w:after="20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免费质保期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4"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7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2" w:type="dxa"/>
            <w:vAlign w:val="center"/>
            <w:textDirection w:val="lrTb"/>
            <w:noWrap w:val="false"/>
          </w:tcPr>
          <w:p>
            <w:pPr>
              <w:jc w:val="center"/>
              <w:spacing w:before="200" w:after="20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免费质保期满后优惠更换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4"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2" w:type="dxa"/>
            <w:vAlign w:val="center"/>
            <w:textDirection w:val="lrTb"/>
            <w:noWrap w:val="false"/>
          </w:tcPr>
          <w:p>
            <w:pPr>
              <w:jc w:val="center"/>
              <w:spacing w:before="200" w:after="20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服务响应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4"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6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2" w:type="dxa"/>
            <w:vAlign w:val="center"/>
            <w:textDirection w:val="lrTb"/>
            <w:noWrap w:val="false"/>
          </w:tcPr>
          <w:p>
            <w:pPr>
              <w:jc w:val="center"/>
              <w:spacing w:before="200" w:after="20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解决问题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4"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2"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4"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响应供应商（单位公章）：</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法定代表人（签字或盖章）：</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日期：年月日</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20"/>
        <w:spacing w:before="240" w:after="24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注：1、针对服务内容有必须说明的事项，请在“备注”栏目内注明；</w:t>
      </w:r>
      <w:r/>
    </w:p>
    <w:p>
      <w:pPr>
        <w:ind w:firstLine="96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2、如有其它售后服务内容，可自行参照填写。</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8、中小企业声明函</w:t>
      </w:r>
      <w:r/>
    </w:p>
    <w:p>
      <w:pPr>
        <w:ind w:firstLine="480"/>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中小企业声明函</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本公司（联合体）郑重声明，根据《政府采购促进中小企业发展管理办法》（财库﹝2020﹞46 号）的规定，本公司（联合体）参加</w:t>
      </w:r>
      <w:r>
        <w:rPr>
          <w:rFonts w:ascii="宋体" w:hAnsi="宋体" w:eastAsia="宋体" w:cs="宋体"/>
          <w:color w:val="000000"/>
          <w:sz w:val="24"/>
          <w:highlight w:val="none"/>
          <w:u w:val="single"/>
        </w:rPr>
        <w:t xml:space="preserve">（单位名称）</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（项目名称）</w:t>
      </w:r>
      <w:r>
        <w:rPr>
          <w:rFonts w:ascii="宋体" w:hAnsi="宋体" w:eastAsia="宋体" w:cs="宋体"/>
          <w:color w:val="000000"/>
          <w:sz w:val="24"/>
          <w:highlight w:val="none"/>
        </w:rPr>
        <w:t xml:space="preserve">采购活动，提供货物全部由符合政策要求的中小企业制造。相关企业（含联合体中的中小企业、签订分包意向协议的中小企业）的具体情况如下：</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 </w:t>
      </w:r>
      <w:r>
        <w:rPr>
          <w:rFonts w:ascii="宋体" w:hAnsi="宋体" w:eastAsia="宋体" w:cs="宋体"/>
          <w:color w:val="000000"/>
          <w:sz w:val="24"/>
          <w:highlight w:val="none"/>
          <w:u w:val="single"/>
        </w:rPr>
        <w:t xml:space="preserve"> （标的物名称）</w:t>
      </w:r>
      <w:r>
        <w:rPr>
          <w:rFonts w:ascii="宋体" w:hAnsi="宋体" w:eastAsia="宋体" w:cs="宋体"/>
          <w:color w:val="000000"/>
          <w:sz w:val="24"/>
          <w:highlight w:val="none"/>
        </w:rPr>
        <w:t xml:space="preserve">，属于</w:t>
      </w:r>
      <w:r>
        <w:rPr>
          <w:rFonts w:ascii="宋体" w:hAnsi="宋体" w:eastAsia="宋体" w:cs="宋体"/>
          <w:color w:val="000000"/>
          <w:sz w:val="24"/>
          <w:highlight w:val="none"/>
          <w:u w:val="single"/>
        </w:rPr>
        <w:t xml:space="preserve"> 工业 </w:t>
      </w:r>
      <w:r>
        <w:rPr>
          <w:rFonts w:ascii="宋体" w:hAnsi="宋体" w:eastAsia="宋体" w:cs="宋体"/>
          <w:color w:val="000000"/>
          <w:sz w:val="24"/>
          <w:highlight w:val="none"/>
        </w:rPr>
        <w:t xml:space="preserve">；制造商为</w:t>
      </w:r>
      <w:r>
        <w:rPr>
          <w:rFonts w:ascii="宋体" w:hAnsi="宋体" w:eastAsia="宋体" w:cs="宋体"/>
          <w:color w:val="000000"/>
          <w:sz w:val="24"/>
          <w:highlight w:val="none"/>
          <w:u w:val="single"/>
        </w:rPr>
        <w:t xml:space="preserve">  （企业名称）</w:t>
      </w:r>
      <w:r>
        <w:rPr>
          <w:rFonts w:ascii="宋体" w:hAnsi="宋体" w:eastAsia="宋体" w:cs="宋体"/>
          <w:color w:val="000000"/>
          <w:sz w:val="24"/>
          <w:highlight w:val="none"/>
        </w:rPr>
        <w:t xml:space="preserve">，从业人员</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人，营业收入为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万元，资产总额为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万元，属于</w:t>
      </w:r>
      <w:r>
        <w:rPr>
          <w:rFonts w:ascii="宋体" w:hAnsi="宋体" w:eastAsia="宋体" w:cs="宋体"/>
          <w:color w:val="000000"/>
          <w:sz w:val="24"/>
          <w:highlight w:val="none"/>
          <w:u w:val="single"/>
        </w:rPr>
        <w:t xml:space="preserve">（¨中型企业、¨小型企业、¨微型企业）</w:t>
      </w:r>
      <w:r>
        <w:rPr>
          <w:rFonts w:ascii="宋体" w:hAnsi="宋体" w:eastAsia="宋体" w:cs="宋体"/>
          <w:color w:val="000000"/>
          <w:sz w:val="24"/>
          <w:highlight w:val="none"/>
        </w:rPr>
        <w:t xml:space="preserve">；</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 </w:t>
      </w:r>
      <w:r>
        <w:rPr>
          <w:rFonts w:ascii="宋体" w:hAnsi="宋体" w:eastAsia="宋体" w:cs="宋体"/>
          <w:color w:val="000000"/>
          <w:sz w:val="24"/>
          <w:highlight w:val="none"/>
          <w:u w:val="single"/>
        </w:rPr>
        <w:t xml:space="preserve">（标的物名称）</w:t>
      </w:r>
      <w:r>
        <w:rPr>
          <w:rFonts w:ascii="宋体" w:hAnsi="宋体" w:eastAsia="宋体" w:cs="宋体"/>
          <w:color w:val="000000"/>
          <w:sz w:val="24"/>
          <w:highlight w:val="none"/>
        </w:rPr>
        <w:t xml:space="preserve"> ，属于</w:t>
      </w:r>
      <w:r>
        <w:rPr>
          <w:rFonts w:ascii="宋体" w:hAnsi="宋体" w:eastAsia="宋体" w:cs="宋体"/>
          <w:color w:val="000000"/>
          <w:sz w:val="24"/>
          <w:highlight w:val="none"/>
          <w:u w:val="single"/>
        </w:rPr>
        <w:t xml:space="preserve"> 工业 </w:t>
      </w:r>
      <w:r>
        <w:rPr>
          <w:rFonts w:ascii="宋体" w:hAnsi="宋体" w:eastAsia="宋体" w:cs="宋体"/>
          <w:color w:val="000000"/>
          <w:sz w:val="24"/>
          <w:highlight w:val="none"/>
        </w:rPr>
        <w:t xml:space="preserve">；制造商为</w:t>
      </w:r>
      <w:r>
        <w:rPr>
          <w:rFonts w:ascii="宋体" w:hAnsi="宋体" w:eastAsia="宋体" w:cs="宋体"/>
          <w:color w:val="000000"/>
          <w:sz w:val="24"/>
          <w:highlight w:val="none"/>
          <w:u w:val="single"/>
        </w:rPr>
        <w:t xml:space="preserve">  （企业名称）</w:t>
      </w:r>
      <w:r>
        <w:rPr>
          <w:rFonts w:ascii="宋体" w:hAnsi="宋体" w:eastAsia="宋体" w:cs="宋体"/>
          <w:color w:val="000000"/>
          <w:sz w:val="24"/>
          <w:highlight w:val="none"/>
        </w:rPr>
        <w:t xml:space="preserve">，从业人员</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人，营业收入为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万元，资产总额为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万元，属于</w:t>
      </w:r>
      <w:r>
        <w:rPr>
          <w:rFonts w:ascii="宋体" w:hAnsi="宋体" w:eastAsia="宋体" w:cs="宋体"/>
          <w:color w:val="000000"/>
          <w:sz w:val="24"/>
          <w:highlight w:val="none"/>
          <w:u w:val="single"/>
        </w:rPr>
        <w:t xml:space="preserve">（¨中型企业、¨小型企业、¨微型企业）</w:t>
      </w:r>
      <w:r>
        <w:rPr>
          <w:rFonts w:ascii="宋体" w:hAnsi="宋体" w:eastAsia="宋体" w:cs="宋体"/>
          <w:color w:val="000000"/>
          <w:sz w:val="24"/>
          <w:highlight w:val="none"/>
        </w:rPr>
        <w:t xml:space="preserve">；</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以上企业，不属于大企业的分支机构，不存在控股股东为大企业的情形，也不存在与大企业的负责人为同一人的情形。</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本企业对上述声明内容的真实性负责。如有虚假，将依法承担相应责任。</w:t>
      </w:r>
      <w:r/>
    </w:p>
    <w:p>
      <w:pPr>
        <w:ind w:firstLine="480"/>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企业名称（盖章）：</w:t>
      </w:r>
      <w:r/>
    </w:p>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日期：</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w:t>
      </w:r>
      <w:r/>
    </w:p>
    <w:p>
      <w:pPr>
        <w:numPr>
          <w:ilvl w:val="0"/>
          <w:numId w:val="3"/>
        </w:num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中小企业划分标准详见“工信部联企业〔2011〕300号通知中的《中小企业划型标准规定》”。</w:t>
      </w:r>
      <w:r/>
    </w:p>
    <w:p>
      <w:pPr>
        <w:numPr>
          <w:ilvl w:val="0"/>
          <w:numId w:val="3"/>
        </w:num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u w:val="single"/>
        </w:rPr>
        <w:t xml:space="preserve">如供应商认定所投货物制造商为中型、小型或微型企业，则需根据“工信部联企业〔2011〕300号”通知中的《中小企业划型标准规定》填报“中小企业声明函”</w:t>
      </w:r>
      <w:r>
        <w:rPr>
          <w:rFonts w:ascii="宋体" w:hAnsi="宋体" w:eastAsia="宋体" w:cs="宋体"/>
          <w:b/>
          <w:color w:val="000000"/>
          <w:sz w:val="24"/>
          <w:highlight w:val="none"/>
        </w:rPr>
        <w:t xml:space="preserve">。</w:t>
      </w:r>
      <w:r/>
    </w:p>
    <w:p>
      <w:pPr>
        <w:numPr>
          <w:ilvl w:val="0"/>
          <w:numId w:val="3"/>
        </w:num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从业人员、营业收入、资产总额填报上一年度数据，无上一年度数据的新成立企业可不填报。</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4、响应单位所投不同货物的生产制造商信息均需填报。</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5、供应商应对照中小企业划分标准和采购标的所属行业：</w:t>
      </w:r>
      <w:r>
        <w:rPr>
          <w:rFonts w:ascii="宋体" w:hAnsi="宋体" w:eastAsia="宋体" w:cs="宋体"/>
          <w:b/>
          <w:color w:val="000000"/>
          <w:sz w:val="24"/>
          <w:highlight w:val="none"/>
          <w:u w:val="single"/>
        </w:rPr>
        <w:t xml:space="preserve">工业 </w:t>
      </w:r>
      <w:r>
        <w:rPr>
          <w:rFonts w:ascii="宋体" w:hAnsi="宋体" w:eastAsia="宋体" w:cs="宋体"/>
          <w:b/>
          <w:color w:val="000000"/>
          <w:sz w:val="24"/>
          <w:highlight w:val="none"/>
        </w:rPr>
        <w:t xml:space="preserve">，如实、完整填报《中小企业声明函》，如未对（中型企业、小型企业、微型企业）进行勾选，视同非中、小、微企业，不享受相应扶持政策。</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9、残疾人福利性单位声明函</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24"/>
          <w:highlight w:val="none"/>
          <w:u w:val="single"/>
        </w:rPr>
        <w:t xml:space="preserve">                    ：</w:t>
      </w:r>
      <w:r/>
    </w:p>
    <w:p>
      <w:pPr>
        <w:ind w:firstLine="504"/>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none"/>
        </w:rPr>
        <w:t xml:space="preserve">本单位郑重声明，根据《财政部民政部中国残疾人联合会关于促进残疾人就业政府采购政策的通知》（财库</w:t>
      </w:r>
      <w:r>
        <w:rPr>
          <w:rFonts w:ascii="宋体" w:hAnsi="宋体" w:eastAsia="宋体" w:cs="宋体"/>
          <w:color w:val="000000"/>
          <w:sz w:val="24"/>
          <w:highlight w:val="none"/>
        </w:rPr>
        <w:t xml:space="preserve">〔2017〕141</w:t>
      </w:r>
      <w:r>
        <w:rPr>
          <w:rFonts w:ascii="宋体" w:hAnsi="宋体" w:eastAsia="宋体" w:cs="宋体"/>
          <w:color w:val="000000"/>
          <w:spacing w:val="6"/>
          <w:sz w:val="24"/>
          <w:highlight w:val="none"/>
        </w:rPr>
        <w:t xml:space="preserve">号）的规定，本单位为符合条件的残疾人福利性单位，且本单位参加</w:t>
      </w:r>
      <w:r>
        <w:rPr>
          <w:rFonts w:ascii="宋体" w:hAnsi="宋体" w:eastAsia="宋体" w:cs="宋体"/>
          <w:color w:val="000000"/>
          <w:spacing w:val="6"/>
          <w:sz w:val="24"/>
          <w:highlight w:val="none"/>
          <w:u w:val="single"/>
        </w:rPr>
        <w:t xml:space="preserve"> （采购单位） </w:t>
      </w:r>
      <w:r>
        <w:rPr>
          <w:rFonts w:ascii="宋体" w:hAnsi="宋体" w:eastAsia="宋体" w:cs="宋体"/>
          <w:color w:val="000000"/>
          <w:spacing w:val="6"/>
          <w:sz w:val="24"/>
          <w:highlight w:val="none"/>
        </w:rPr>
        <w:t xml:space="preserve">单位的</w:t>
      </w:r>
      <w:r>
        <w:rPr>
          <w:rFonts w:ascii="宋体" w:hAnsi="宋体" w:eastAsia="宋体" w:cs="宋体"/>
          <w:color w:val="000000"/>
          <w:sz w:val="24"/>
          <w:highlight w:val="none"/>
          <w:u w:val="single"/>
        </w:rPr>
        <w:t xml:space="preserve">（采购编号及项目名称）</w:t>
      </w:r>
      <w:r>
        <w:rPr>
          <w:rFonts w:ascii="宋体" w:hAnsi="宋体" w:eastAsia="宋体" w:cs="宋体"/>
          <w:color w:val="000000"/>
          <w:spacing w:val="6"/>
          <w:sz w:val="24"/>
          <w:highlight w:val="none"/>
        </w:rPr>
        <w:t xml:space="preserve">项目采购活动提供本单位制造的货物；或者提供其他残疾人福利性单位制造的货物（不包括使用非残疾人福利性单位注册商标的货物）。</w:t>
      </w:r>
      <w:r/>
    </w:p>
    <w:p>
      <w:pPr>
        <w:ind w:firstLine="504"/>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none"/>
        </w:rPr>
        <w:t xml:space="preserve">本单位对上述声明的真实性负责。如有虚假，将依法承担相应责任。</w:t>
      </w:r>
      <w:r/>
    </w:p>
    <w:p>
      <w:pPr>
        <w:ind w:firstLine="504"/>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none"/>
        </w:rPr>
        <w:t xml:space="preserve"> </w:t>
      </w:r>
      <w:r/>
    </w:p>
    <w:p>
      <w:pPr>
        <w:ind w:firstLine="504"/>
        <w:jc w:val="right"/>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none"/>
        </w:rPr>
        <w:t xml:space="preserve"> </w:t>
      </w:r>
      <w:r/>
    </w:p>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响应单位：（单位盖章）</w:t>
      </w:r>
      <w:r/>
    </w:p>
    <w:p>
      <w:pPr>
        <w:ind w:firstLine="480"/>
        <w:jc w:val="right"/>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日期：年月日</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pStyle w:val="719"/>
        <w:jc w:val="center"/>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t xml:space="preserve"> </w:t>
      </w:r>
      <w:r/>
    </w:p>
    <w:p>
      <w:pPr>
        <w:pStyle w:val="719"/>
        <w:jc w:val="center"/>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t xml:space="preserve"> </w:t>
      </w:r>
      <w:r/>
    </w:p>
    <w:p>
      <w:pPr>
        <w:pStyle w:val="719"/>
        <w:jc w:val="center"/>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t xml:space="preserve"> </w:t>
      </w:r>
      <w:r/>
    </w:p>
    <w:p>
      <w:pPr>
        <w:pStyle w:val="719"/>
        <w:jc w:val="center"/>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t xml:space="preserve"> </w:t>
      </w:r>
      <w:r/>
    </w:p>
    <w:p>
      <w:pPr>
        <w:pStyle w:val="719"/>
        <w:jc w:val="center"/>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t xml:space="preserve"> </w:t>
      </w:r>
      <w:r/>
    </w:p>
    <w:p>
      <w:pPr>
        <w:pStyle w:val="719"/>
        <w:jc w:val="center"/>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t xml:space="preserve"> </w:t>
      </w:r>
      <w:r/>
    </w:p>
    <w:p>
      <w:pPr>
        <w:pStyle w:val="719"/>
        <w:jc w:val="center"/>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t xml:space="preserve">第四章 谈判采购内容</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before="240" w:after="24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before="240" w:after="24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before="240" w:after="24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before="240" w:after="24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before="240" w:after="24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before="240" w:after="24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受</w:t>
      </w:r>
      <w:r>
        <w:rPr>
          <w:rFonts w:hint="eastAsia" w:ascii="宋体" w:hAnsi="宋体" w:eastAsia="宋体" w:cs="宋体"/>
          <w:color w:val="000000"/>
          <w:sz w:val="24"/>
          <w:highlight w:val="none"/>
        </w:rPr>
        <w:t xml:space="preserve">苏州市公安局苏州工业园区分局</w:t>
      </w:r>
      <w:r>
        <w:rPr>
          <w:rFonts w:ascii="宋体" w:hAnsi="宋体" w:eastAsia="宋体" w:cs="宋体"/>
          <w:color w:val="000000"/>
          <w:sz w:val="24"/>
          <w:highlight w:val="none"/>
        </w:rPr>
        <w:t xml:space="preserve">之委托，苏州海企国际工程咨询有限公司作为采购代理机构，对其拟采购的以下设备进行竞争性谈判采购。欢迎符合资格要求的供应商前来报名参加。</w:t>
      </w:r>
      <w:r/>
    </w:p>
    <w:p>
      <w:pPr>
        <w:pStyle w:val="720"/>
        <w:numPr>
          <w:ilvl w:val="0"/>
          <w:numId w:val="4"/>
        </w:numPr>
        <w:ind w:left="0"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cs="宋体"/>
          <w:color w:val="000000"/>
          <w:highlight w:val="none"/>
        </w:rPr>
        <w:t xml:space="preserve">采购编号：</w:t>
      </w:r>
      <w:r>
        <w:rPr>
          <w:rFonts w:hint="eastAsia" w:cs="宋体"/>
          <w:color w:val="000000"/>
          <w:highlight w:val="none"/>
          <w:lang w:eastAsia="zh-CN"/>
        </w:rPr>
        <w:t xml:space="preserve">JSZC-320591-SZHQ-T2026-0018</w:t>
      </w:r>
      <w:r/>
    </w:p>
    <w:p>
      <w:pPr>
        <w:pStyle w:val="720"/>
        <w:numPr>
          <w:ilvl w:val="0"/>
          <w:numId w:val="4"/>
        </w:numPr>
        <w:ind w:left="0"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cs="宋体"/>
          <w:color w:val="000000"/>
          <w:highlight w:val="none"/>
        </w:rPr>
        <w:t xml:space="preserve">采购需求</w:t>
      </w:r>
      <w:r/>
    </w:p>
    <w:p>
      <w:pPr>
        <w:numPr>
          <w:ilvl w:val="0"/>
          <w:numId w:val="5"/>
        </w:num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采购清单</w:t>
      </w:r>
      <w:r>
        <w:rPr>
          <w:rFonts w:hint="eastAsia" w:ascii="宋体" w:hAnsi="宋体" w:eastAsia="宋体" w:cs="宋体"/>
          <w:color w:val="000000"/>
          <w:sz w:val="24"/>
          <w:highlight w:val="none"/>
          <w:lang w:val="en-US" w:eastAsia="zh-CN"/>
        </w:rPr>
        <w:t xml:space="preserve">（所有设备的总报价不得超过最高限价且各设备单价不得超过单价最高限价）</w:t>
      </w:r>
      <w:r>
        <w:rPr>
          <w:rFonts w:ascii="宋体" w:hAnsi="宋体" w:eastAsia="宋体" w:cs="宋体"/>
          <w:color w:val="000000"/>
          <w:sz w:val="24"/>
          <w:highlight w:val="none"/>
        </w:rPr>
        <w:t xml:space="preserve">：</w:t>
      </w:r>
      <w:r/>
    </w:p>
    <w:tbl>
      <w:tblPr>
        <w:tblStyle w:val="7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92"/>
        <w:gridCol w:w="5604"/>
        <w:gridCol w:w="760"/>
        <w:gridCol w:w="492"/>
        <w:gridCol w:w="1245"/>
        <w:gridCol w:w="524"/>
      </w:tblGrid>
      <w:tr>
        <w:trPr>
          <w:jc w:val="center"/>
          <w:trHeight w:val="358"/>
        </w:trPr>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rPr>
            </w:pPr>
            <w:r>
              <w:rPr>
                <w:rFonts w:ascii="宋体" w:hAnsi="宋体" w:eastAsia="宋体" w:cs="宋体"/>
                <w:b/>
                <w:bCs/>
                <w:color w:val="auto"/>
                <w:sz w:val="24"/>
                <w:szCs w:val="24"/>
                <w:highlight w:val="none"/>
                <w:lang w:val="zh-TW" w:eastAsia="zh-TW"/>
              </w:rPr>
              <w:t xml:space="preserve">序号</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rPr>
            </w:pPr>
            <w:r>
              <w:rPr>
                <w:rFonts w:ascii="宋体" w:hAnsi="宋体" w:eastAsia="宋体" w:cs="宋体"/>
                <w:b/>
                <w:bCs/>
                <w:color w:val="auto"/>
                <w:sz w:val="24"/>
                <w:szCs w:val="24"/>
                <w:highlight w:val="none"/>
                <w:lang w:val="zh-TW" w:eastAsia="zh-TW"/>
              </w:rPr>
              <w:t xml:space="preserve">采购内容</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rPr>
            </w:pPr>
            <w:r>
              <w:rPr>
                <w:rFonts w:ascii="宋体" w:hAnsi="宋体" w:eastAsia="宋体" w:cs="宋体"/>
                <w:b/>
                <w:bCs/>
                <w:color w:val="auto"/>
                <w:sz w:val="24"/>
                <w:szCs w:val="24"/>
                <w:highlight w:val="none"/>
                <w:lang w:val="zh-TW" w:eastAsia="zh-TW"/>
              </w:rPr>
              <w:t xml:space="preserve">数量</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rPr>
            </w:pPr>
            <w:r>
              <w:rPr>
                <w:rFonts w:ascii="宋体" w:hAnsi="宋体" w:eastAsia="宋体" w:cs="宋体"/>
                <w:b/>
                <w:bCs/>
                <w:color w:val="auto"/>
                <w:sz w:val="24"/>
                <w:szCs w:val="24"/>
                <w:highlight w:val="none"/>
                <w:lang w:val="zh-TW" w:eastAsia="zh-TW"/>
              </w:rPr>
              <w:t xml:space="preserve">单位</w:t>
            </w:r>
            <w:r/>
          </w:p>
        </w:tc>
        <w:tc>
          <w:tcPr>
            <w:tcW w:w="0" w:type="auto"/>
            <w:textDirection w:val="lrTb"/>
            <w:noWrap w:val="false"/>
          </w:tcPr>
          <w:p>
            <w:pPr>
              <w:pStyle w:val="1033"/>
              <w:jc w:val="center"/>
              <w:spacing w:line="360" w:lineRule="auto"/>
              <w:shd w:val="clear" w:color="auto"/>
              <w:rPr>
                <w:rFonts w:hint="eastAsia" w:ascii="宋体" w:hAnsi="宋体" w:eastAsia="宋体" w:cs="宋体"/>
                <w:b/>
                <w:bCs/>
                <w:color w:val="auto"/>
                <w:sz w:val="24"/>
                <w:szCs w:val="24"/>
                <w:highlight w:val="none"/>
                <w:lang w:val="zh-TW" w:eastAsia="zh-CN"/>
              </w:rPr>
            </w:pPr>
            <w:r>
              <w:rPr>
                <w:rFonts w:ascii="宋体" w:hAnsi="宋体" w:eastAsia="宋体" w:cs="宋体"/>
                <w:b/>
                <w:bCs/>
                <w:color w:val="auto"/>
                <w:sz w:val="24"/>
                <w:szCs w:val="24"/>
                <w:highlight w:val="none"/>
                <w:lang w:val="zh-TW"/>
              </w:rPr>
              <w:t xml:space="preserve">单价限价</w:t>
            </w:r>
            <w:r>
              <w:rPr>
                <w:rFonts w:hint="eastAsia" w:ascii="宋体" w:hAnsi="宋体" w:eastAsia="宋体" w:cs="宋体"/>
                <w:b/>
                <w:bCs/>
                <w:color w:val="auto"/>
                <w:sz w:val="24"/>
                <w:szCs w:val="24"/>
                <w:highlight w:val="none"/>
                <w:lang w:val="zh-TW" w:eastAsia="zh-CN"/>
              </w:rPr>
              <w:t xml:space="preserve">（</w:t>
            </w:r>
            <w:r>
              <w:rPr>
                <w:rFonts w:hint="eastAsia" w:ascii="宋体" w:hAnsi="宋体" w:eastAsia="宋体" w:cs="宋体"/>
                <w:b/>
                <w:bCs/>
                <w:color w:val="auto"/>
                <w:sz w:val="24"/>
                <w:szCs w:val="24"/>
                <w:highlight w:val="none"/>
                <w:lang w:val="en-US" w:eastAsia="zh-CN"/>
              </w:rPr>
              <w:t xml:space="preserve">元</w:t>
            </w:r>
            <w:r>
              <w:rPr>
                <w:rFonts w:hint="eastAsia" w:ascii="宋体" w:hAnsi="宋体" w:eastAsia="宋体" w:cs="宋体"/>
                <w:b/>
                <w:bCs/>
                <w:color w:val="auto"/>
                <w:sz w:val="24"/>
                <w:szCs w:val="24"/>
                <w:highlight w:val="none"/>
                <w:lang w:val="zh-TW" w:eastAsia="zh-CN"/>
              </w:rPr>
              <w:t xml:space="preserve">）</w:t>
            </w:r>
            <w:r/>
          </w:p>
        </w:tc>
        <w:tc>
          <w:tcPr>
            <w:shd w:val="clear" w:color="auto" w:fill="auto"/>
            <w:tcW w:w="0" w:type="auto"/>
            <w:vAlign w:val="center"/>
            <w:textDirection w:val="lrTb"/>
            <w:noWrap w:val="false"/>
          </w:tcPr>
          <w:p>
            <w:pPr>
              <w:pStyle w:val="1033"/>
              <w:jc w:val="center"/>
              <w:spacing w:line="360" w:lineRule="auto"/>
              <w:shd w:val="clear" w:color="auto"/>
              <w:rPr>
                <w:rFonts w:hint="default" w:ascii="宋体" w:hAnsi="宋体" w:eastAsia="宋体" w:cs="宋体"/>
                <w:b/>
                <w:bCs/>
                <w:color w:val="auto"/>
                <w:sz w:val="24"/>
                <w:szCs w:val="24"/>
                <w:highlight w:val="none"/>
                <w:lang w:val="zh-TW" w:eastAsia="zh-TW"/>
              </w:rPr>
            </w:pPr>
            <w:r>
              <w:rPr>
                <w:rFonts w:ascii="宋体" w:hAnsi="宋体" w:eastAsia="宋体" w:cs="宋体"/>
                <w:b/>
                <w:bCs/>
                <w:color w:val="auto"/>
                <w:sz w:val="24"/>
                <w:szCs w:val="24"/>
                <w:highlight w:val="none"/>
                <w:lang w:val="zh-TW" w:eastAsia="zh-TW"/>
              </w:rPr>
              <w:t xml:space="preserve">备注</w:t>
            </w:r>
            <w:r/>
          </w:p>
        </w:tc>
      </w:tr>
      <w:tr>
        <w:trPr>
          <w:jc w:val="center"/>
          <w:trHeight w:val="720"/>
        </w:trPr>
        <w:tc>
          <w:tcPr>
            <w:shd w:val="clear" w:color="auto" w:fill="auto"/>
            <w:tcMar>
              <w:left w:w="80" w:type="dxa"/>
              <w:top w:w="80" w:type="dxa"/>
              <w:right w:w="80" w:type="dxa"/>
              <w:bottom w:w="80" w:type="dxa"/>
            </w:tcMar>
            <w:tcW w:w="0" w:type="auto"/>
            <w:vAlign w:val="center"/>
            <w:textDirection w:val="lrTb"/>
            <w:noWrap w:val="false"/>
          </w:tcPr>
          <w:p>
            <w:pPr>
              <w:pStyle w:val="1033"/>
              <w:numPr>
                <w:ilvl w:val="0"/>
                <w:numId w:val="6"/>
              </w:numPr>
              <w:jc w:val="center"/>
              <w:spacing w:line="360" w:lineRule="auto"/>
              <w:shd w:val="clear" w:color="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lang w:val="zh-CN"/>
              </w:rPr>
            </w:pPr>
            <w:r>
              <w:rPr>
                <w:rFonts w:ascii="宋体" w:hAnsi="宋体" w:eastAsia="宋体" w:cs="宋体"/>
                <w:color w:val="auto"/>
                <w:sz w:val="24"/>
                <w:szCs w:val="24"/>
                <w:highlight w:val="none"/>
              </w:rPr>
              <w:t xml:space="preserve">依托咪酯</w:t>
            </w:r>
            <w:r>
              <w:rPr>
                <w:rFonts w:hint="eastAsia" w:ascii="宋体" w:hAnsi="宋体" w:eastAsia="宋体" w:cs="宋体"/>
                <w:color w:val="auto"/>
                <w:sz w:val="24"/>
                <w:szCs w:val="24"/>
                <w:highlight w:val="none"/>
                <w:lang w:val="en-US" w:eastAsia="zh-CN"/>
              </w:rPr>
              <w:t xml:space="preserve">/右美沙芬</w:t>
            </w:r>
            <w:r>
              <w:rPr>
                <w:rFonts w:ascii="宋体" w:hAnsi="宋体" w:eastAsia="宋体" w:cs="宋体"/>
                <w:color w:val="auto"/>
                <w:sz w:val="24"/>
                <w:szCs w:val="24"/>
                <w:highlight w:val="none"/>
              </w:rPr>
              <w:t xml:space="preserve">尿液检测试剂</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000</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keepNext/>
              <w:spacing w:before="60" w:after="60" w:line="360" w:lineRule="auto"/>
              <w:shd w:val="clear" w:color="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份</w:t>
            </w:r>
            <w:r/>
          </w:p>
        </w:tc>
        <w:tc>
          <w:tcPr>
            <w:tcW w:w="0" w:type="auto"/>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.50</w:t>
            </w:r>
            <w:r/>
          </w:p>
        </w:tc>
        <w:tc>
          <w:tcPr>
            <w:shd w:val="clear" w:color="auto" w:fill="auto"/>
            <w:tcW w:w="0" w:type="auto"/>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tc>
      </w:tr>
      <w:tr>
        <w:trPr>
          <w:jc w:val="center"/>
          <w:trHeight w:val="858"/>
        </w:trPr>
        <w:tc>
          <w:tcPr>
            <w:shd w:val="clear" w:color="auto" w:fill="auto"/>
            <w:tcMar>
              <w:left w:w="80" w:type="dxa"/>
              <w:top w:w="80" w:type="dxa"/>
              <w:right w:w="80" w:type="dxa"/>
              <w:bottom w:w="80" w:type="dxa"/>
            </w:tcMar>
            <w:tcW w:w="0" w:type="auto"/>
            <w:vAlign w:val="center"/>
            <w:textDirection w:val="lrTb"/>
            <w:noWrap w:val="false"/>
          </w:tcPr>
          <w:p>
            <w:pPr>
              <w:pStyle w:val="1033"/>
              <w:numPr>
                <w:ilvl w:val="0"/>
                <w:numId w:val="6"/>
              </w:numPr>
              <w:jc w:val="center"/>
              <w:spacing w:line="360" w:lineRule="auto"/>
              <w:shd w:val="clear" w:color="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lang w:val="zh-CN"/>
              </w:rPr>
            </w:pPr>
            <w:r>
              <w:rPr>
                <w:rFonts w:ascii="宋体" w:hAnsi="宋体" w:eastAsia="宋体" w:cs="宋体"/>
                <w:color w:val="auto"/>
                <w:sz w:val="24"/>
                <w:szCs w:val="24"/>
                <w:highlight w:val="none"/>
              </w:rPr>
              <w:t xml:space="preserve">吗啡—甲基苯丙胺-氯胺酮(MOP-MET-KET)唾液检测试剂（胶体金法）</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6000</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keepNext/>
              <w:spacing w:before="60" w:after="60" w:line="360" w:lineRule="auto"/>
              <w:shd w:val="clear" w:color="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份</w:t>
            </w:r>
            <w:r/>
          </w:p>
        </w:tc>
        <w:tc>
          <w:tcPr>
            <w:tcW w:w="0" w:type="auto"/>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0</w:t>
            </w:r>
            <w:r/>
          </w:p>
        </w:tc>
        <w:tc>
          <w:tcPr>
            <w:shd w:val="clear" w:color="auto" w:fill="auto"/>
            <w:tcW w:w="0" w:type="auto"/>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tc>
      </w:tr>
      <w:tr>
        <w:trPr>
          <w:jc w:val="center"/>
          <w:trHeight w:val="1822"/>
        </w:trPr>
        <w:tc>
          <w:tcPr>
            <w:shd w:val="clear" w:color="auto" w:fill="auto"/>
            <w:tcMar>
              <w:left w:w="80" w:type="dxa"/>
              <w:top w:w="80" w:type="dxa"/>
              <w:right w:w="80" w:type="dxa"/>
              <w:bottom w:w="80" w:type="dxa"/>
            </w:tcMar>
            <w:tcW w:w="0" w:type="auto"/>
            <w:vAlign w:val="center"/>
            <w:textDirection w:val="lrTb"/>
            <w:noWrap w:val="false"/>
          </w:tcPr>
          <w:p>
            <w:pPr>
              <w:pStyle w:val="1033"/>
              <w:numPr>
                <w:ilvl w:val="0"/>
                <w:numId w:val="6"/>
              </w:numPr>
              <w:jc w:val="center"/>
              <w:spacing w:line="360" w:lineRule="auto"/>
              <w:shd w:val="clear" w:color="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吗啡、甲基安非他明、氯胺酮、3,4-二亚甲二氧基甲基苯丙胺、四氢大麻酚酸（MOP-MET-KET-MDMA-THC）尿液联合检测试剂</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ascii="宋体" w:hAnsi="宋体" w:eastAsia="宋体" w:cs="宋体"/>
                <w:color w:val="auto"/>
                <w:sz w:val="24"/>
                <w:szCs w:val="24"/>
                <w:highlight w:val="none"/>
              </w:rPr>
              <w:t xml:space="preserve">000</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keepNext/>
              <w:spacing w:before="60" w:after="60" w:line="360" w:lineRule="auto"/>
              <w:shd w:val="clear" w:color="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份</w:t>
            </w:r>
            <w:r/>
          </w:p>
        </w:tc>
        <w:tc>
          <w:tcPr>
            <w:tcW w:w="0" w:type="auto"/>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0</w:t>
            </w:r>
            <w:r/>
          </w:p>
        </w:tc>
        <w:tc>
          <w:tcPr>
            <w:shd w:val="clear" w:color="auto" w:fill="auto"/>
            <w:tcW w:w="0" w:type="auto"/>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tc>
      </w:tr>
      <w:tr>
        <w:trPr>
          <w:jc w:val="center"/>
          <w:trHeight w:val="705"/>
        </w:trPr>
        <w:tc>
          <w:tcPr>
            <w:shd w:val="clear" w:color="auto" w:fill="auto"/>
            <w:tcMar>
              <w:left w:w="80" w:type="dxa"/>
              <w:top w:w="80" w:type="dxa"/>
              <w:right w:w="80" w:type="dxa"/>
              <w:bottom w:w="80" w:type="dxa"/>
            </w:tcMar>
            <w:tcW w:w="0" w:type="auto"/>
            <w:vAlign w:val="center"/>
            <w:textDirection w:val="lrTb"/>
            <w:noWrap w:val="false"/>
          </w:tcPr>
          <w:p>
            <w:pPr>
              <w:pStyle w:val="1033"/>
              <w:numPr>
                <w:ilvl w:val="0"/>
                <w:numId w:val="6"/>
              </w:numPr>
              <w:jc w:val="center"/>
              <w:spacing w:line="360" w:lineRule="auto"/>
              <w:shd w:val="clear" w:color="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替来他明/异丙帕酯尿液检测试剂</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00</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keepNext/>
              <w:spacing w:before="60" w:after="60" w:line="360" w:lineRule="auto"/>
              <w:shd w:val="clear" w:color="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份</w:t>
            </w:r>
            <w:r/>
          </w:p>
        </w:tc>
        <w:tc>
          <w:tcPr>
            <w:tcW w:w="0" w:type="auto"/>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16</w:t>
            </w:r>
            <w:r>
              <w:rPr>
                <w:rFonts w:hint="eastAsia" w:ascii="宋体" w:hAnsi="宋体" w:eastAsia="宋体" w:cs="宋体"/>
                <w:sz w:val="24"/>
                <w:szCs w:val="24"/>
                <w:highlight w:val="none"/>
              </w:rPr>
              <w:t xml:space="preserve">.00</w:t>
            </w:r>
            <w:r/>
          </w:p>
        </w:tc>
        <w:tc>
          <w:tcPr>
            <w:shd w:val="clear" w:color="auto" w:fill="auto"/>
            <w:tcW w:w="0" w:type="auto"/>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tc>
      </w:tr>
      <w:tr>
        <w:trPr>
          <w:jc w:val="center"/>
          <w:trHeight w:val="705"/>
        </w:trPr>
        <w:tc>
          <w:tcPr>
            <w:shd w:val="clear" w:color="auto" w:fill="auto"/>
            <w:tcMar>
              <w:left w:w="80" w:type="dxa"/>
              <w:top w:w="80" w:type="dxa"/>
              <w:right w:w="80" w:type="dxa"/>
              <w:bottom w:w="80" w:type="dxa"/>
            </w:tcMar>
            <w:tcW w:w="0" w:type="auto"/>
            <w:vAlign w:val="center"/>
            <w:textDirection w:val="lrTb"/>
            <w:noWrap w:val="false"/>
          </w:tcPr>
          <w:p>
            <w:pPr>
              <w:pStyle w:val="1033"/>
              <w:numPr>
                <w:ilvl w:val="0"/>
                <w:numId w:val="6"/>
              </w:numPr>
              <w:jc w:val="center"/>
              <w:spacing w:line="360" w:lineRule="auto"/>
              <w:shd w:val="clear" w:color="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替来他明毛发检测试剂</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4000</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keepNext/>
              <w:spacing w:before="60" w:after="60"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份</w:t>
            </w:r>
            <w:r/>
          </w:p>
        </w:tc>
        <w:tc>
          <w:tcPr>
            <w:tcW w:w="0" w:type="auto"/>
            <w:vAlign w:val="center"/>
            <w:textDirection w:val="lrTb"/>
            <w:noWrap w:val="false"/>
          </w:tcPr>
          <w:p>
            <w:pPr>
              <w:jc w:val="center"/>
              <w:spacing w:line="360" w:lineRule="auto"/>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20.50</w:t>
            </w:r>
            <w:r/>
          </w:p>
        </w:tc>
        <w:tc>
          <w:tcPr>
            <w:shd w:val="clear" w:color="auto" w:fill="auto"/>
            <w:tcW w:w="0" w:type="auto"/>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60"/>
        </w:trPr>
        <w:tc>
          <w:tcPr>
            <w:shd w:val="clear" w:color="auto" w:fill="auto"/>
            <w:tcMar>
              <w:left w:w="80" w:type="dxa"/>
              <w:top w:w="80" w:type="dxa"/>
              <w:right w:w="80" w:type="dxa"/>
              <w:bottom w:w="80" w:type="dxa"/>
            </w:tcMar>
            <w:tcW w:w="0" w:type="auto"/>
            <w:vAlign w:val="center"/>
            <w:textDirection w:val="lrTb"/>
            <w:noWrap w:val="false"/>
          </w:tcPr>
          <w:p>
            <w:pPr>
              <w:pStyle w:val="1033"/>
              <w:numPr>
                <w:ilvl w:val="0"/>
                <w:numId w:val="6"/>
              </w:numPr>
              <w:jc w:val="center"/>
              <w:spacing w:line="360" w:lineRule="auto"/>
              <w:shd w:val="clear" w:color="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eastAsia="zh-CN"/>
              </w:rPr>
              <w:t xml:space="preserve">依托咪酯</w:t>
            </w:r>
            <w:r>
              <w:rPr>
                <w:rFonts w:hint="eastAsia" w:ascii="宋体" w:hAnsi="宋体" w:eastAsia="宋体" w:cs="宋体"/>
                <w:color w:val="auto"/>
                <w:sz w:val="24"/>
                <w:szCs w:val="24"/>
                <w:highlight w:val="none"/>
              </w:rPr>
              <w:t xml:space="preserve">/右美沙芬毛发检测试剂</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4000</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keepNext/>
              <w:spacing w:before="60" w:after="60" w:line="360" w:lineRule="auto"/>
              <w:shd w:val="clear" w:color="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份</w:t>
            </w:r>
            <w:r/>
          </w:p>
        </w:tc>
        <w:tc>
          <w:tcPr>
            <w:tcW w:w="0" w:type="auto"/>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0</w:t>
            </w:r>
            <w:r/>
          </w:p>
        </w:tc>
        <w:tc>
          <w:tcPr>
            <w:shd w:val="clear" w:color="auto" w:fill="auto"/>
            <w:tcW w:w="0" w:type="auto"/>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tc>
      </w:tr>
      <w:tr>
        <w:trPr>
          <w:jc w:val="center"/>
          <w:trHeight w:val="855"/>
        </w:trPr>
        <w:tc>
          <w:tcPr>
            <w:shd w:val="clear" w:color="auto" w:fill="auto"/>
            <w:tcMar>
              <w:left w:w="80" w:type="dxa"/>
              <w:top w:w="80" w:type="dxa"/>
              <w:right w:w="80" w:type="dxa"/>
              <w:bottom w:w="80" w:type="dxa"/>
            </w:tcMar>
            <w:tcW w:w="0" w:type="auto"/>
            <w:vAlign w:val="center"/>
            <w:textDirection w:val="lrTb"/>
            <w:noWrap w:val="false"/>
          </w:tcPr>
          <w:p>
            <w:pPr>
              <w:pStyle w:val="1033"/>
              <w:numPr>
                <w:ilvl w:val="0"/>
                <w:numId w:val="6"/>
              </w:numPr>
              <w:jc w:val="center"/>
              <w:spacing w:line="360" w:lineRule="auto"/>
              <w:shd w:val="clear" w:color="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吗啡—甲基苯丙胺-氯胺酮—曲马多毛发四联检测试剂（胶体金法）</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10000</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keepNext/>
              <w:spacing w:before="60" w:after="60" w:line="360" w:lineRule="auto"/>
              <w:shd w:val="clear" w:color="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份</w:t>
            </w:r>
            <w:r/>
          </w:p>
        </w:tc>
        <w:tc>
          <w:tcPr>
            <w:tcW w:w="0" w:type="auto"/>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36</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0</w:t>
            </w:r>
            <w:r/>
          </w:p>
        </w:tc>
        <w:tc>
          <w:tcPr>
            <w:shd w:val="clear" w:color="auto" w:fill="auto"/>
            <w:tcW w:w="0" w:type="auto"/>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tc>
      </w:tr>
      <w:tr>
        <w:trPr>
          <w:jc w:val="center"/>
          <w:trHeight w:val="855"/>
        </w:trPr>
        <w:tc>
          <w:tcPr>
            <w:shd w:val="clear" w:color="auto" w:fill="auto"/>
            <w:tcMar>
              <w:left w:w="80" w:type="dxa"/>
              <w:top w:w="80" w:type="dxa"/>
              <w:right w:w="80" w:type="dxa"/>
              <w:bottom w:w="80" w:type="dxa"/>
            </w:tcMar>
            <w:tcW w:w="0" w:type="auto"/>
            <w:vAlign w:val="center"/>
            <w:textDirection w:val="lrTb"/>
            <w:noWrap w:val="false"/>
          </w:tcPr>
          <w:p>
            <w:pPr>
              <w:pStyle w:val="1033"/>
              <w:numPr>
                <w:ilvl w:val="0"/>
                <w:numId w:val="6"/>
              </w:numPr>
              <w:jc w:val="center"/>
              <w:spacing w:line="360" w:lineRule="auto"/>
              <w:shd w:val="clear" w:color="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吗啡、甲基安非他明、氯胺酮、3,4-二亚甲二氧基甲基苯丙胺、可卡因、四氢大麻酚酸、芬太尼毛发七联检测试剂（胶体金法</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10000</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keepNext/>
              <w:spacing w:before="60" w:after="60" w:line="360" w:lineRule="auto"/>
              <w:shd w:val="clear" w:color="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份</w:t>
            </w:r>
            <w:r/>
          </w:p>
        </w:tc>
        <w:tc>
          <w:tcPr>
            <w:tcW w:w="0" w:type="auto"/>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62</w:t>
            </w:r>
            <w:r>
              <w:rPr>
                <w:rFonts w:hint="eastAsia" w:ascii="宋体" w:hAnsi="宋体" w:eastAsia="宋体" w:cs="宋体"/>
                <w:sz w:val="24"/>
                <w:szCs w:val="24"/>
                <w:highlight w:val="none"/>
              </w:rPr>
              <w:t xml:space="preserve">.00</w:t>
            </w:r>
            <w:r/>
          </w:p>
        </w:tc>
        <w:tc>
          <w:tcPr>
            <w:shd w:val="clear" w:color="auto" w:fill="auto"/>
            <w:tcW w:w="0" w:type="auto"/>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核心产品</w:t>
            </w:r>
            <w:r/>
          </w:p>
        </w:tc>
      </w:tr>
      <w:tr>
        <w:trPr>
          <w:jc w:val="center"/>
          <w:trHeight w:val="855"/>
        </w:trPr>
        <w:tc>
          <w:tcPr>
            <w:shd w:val="clear" w:color="auto" w:fill="auto"/>
            <w:tcMar>
              <w:left w:w="80" w:type="dxa"/>
              <w:top w:w="80" w:type="dxa"/>
              <w:right w:w="80" w:type="dxa"/>
              <w:bottom w:w="80" w:type="dxa"/>
            </w:tcMar>
            <w:tcW w:w="0" w:type="auto"/>
            <w:vAlign w:val="center"/>
            <w:textDirection w:val="lrTb"/>
            <w:noWrap w:val="false"/>
          </w:tcPr>
          <w:p>
            <w:pPr>
              <w:pStyle w:val="1033"/>
              <w:numPr>
                <w:ilvl w:val="0"/>
                <w:numId w:val="6"/>
              </w:numPr>
              <w:jc w:val="center"/>
              <w:spacing w:line="360" w:lineRule="auto"/>
              <w:shd w:val="clear" w:color="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lang w:val="zh-CN"/>
              </w:rPr>
            </w:pPr>
            <w:r>
              <w:rPr>
                <w:rFonts w:ascii="宋体" w:hAnsi="宋体" w:eastAsia="宋体" w:cs="宋体"/>
                <w:color w:val="auto"/>
                <w:sz w:val="24"/>
                <w:szCs w:val="24"/>
                <w:highlight w:val="none"/>
              </w:rPr>
              <w:t xml:space="preserve">吗啡—甲基苯丙胺-氯胺酮(MOP-MET-KET)毛发三联检测试剂（荧光法）</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000</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keepNext/>
              <w:spacing w:before="60" w:after="60" w:line="360" w:lineRule="auto"/>
              <w:shd w:val="clear" w:color="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份</w:t>
            </w:r>
            <w:r/>
          </w:p>
        </w:tc>
        <w:tc>
          <w:tcPr>
            <w:tcW w:w="0" w:type="auto"/>
            <w:vAlign w:val="center"/>
            <w:textDirection w:val="lrTb"/>
            <w:noWrap w:val="false"/>
          </w:tcPr>
          <w:p>
            <w:pPr>
              <w:jc w:val="center"/>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41.5</w:t>
            </w:r>
            <w:r>
              <w:rPr>
                <w:rFonts w:hint="eastAsia" w:ascii="宋体" w:hAnsi="宋体" w:eastAsia="宋体" w:cs="宋体"/>
                <w:sz w:val="24"/>
                <w:szCs w:val="24"/>
                <w:highlight w:val="none"/>
                <w:lang w:val="en-US" w:eastAsia="zh-CN"/>
              </w:rPr>
              <w:t xml:space="preserve">0</w:t>
            </w:r>
            <w:r/>
          </w:p>
        </w:tc>
        <w:tc>
          <w:tcPr>
            <w:shd w:val="clear" w:color="auto" w:fill="auto"/>
            <w:tcW w:w="0" w:type="auto"/>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tc>
      </w:tr>
      <w:tr>
        <w:trPr>
          <w:jc w:val="center"/>
          <w:trHeight w:val="765"/>
        </w:trPr>
        <w:tc>
          <w:tcPr>
            <w:shd w:val="clear" w:color="auto" w:fill="auto"/>
            <w:tcMar>
              <w:left w:w="80" w:type="dxa"/>
              <w:top w:w="80" w:type="dxa"/>
              <w:right w:w="80" w:type="dxa"/>
              <w:bottom w:w="80" w:type="dxa"/>
            </w:tcMar>
            <w:tcW w:w="0" w:type="auto"/>
            <w:vAlign w:val="center"/>
            <w:textDirection w:val="lrTb"/>
            <w:noWrap w:val="false"/>
          </w:tcPr>
          <w:p>
            <w:pPr>
              <w:pStyle w:val="1033"/>
              <w:numPr>
                <w:ilvl w:val="0"/>
                <w:numId w:val="6"/>
              </w:numPr>
              <w:jc w:val="center"/>
              <w:spacing w:line="360" w:lineRule="auto"/>
              <w:shd w:val="clear" w:color="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毛发采集箱</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keepNext/>
              <w:spacing w:before="60" w:after="60"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个</w:t>
            </w:r>
            <w:r/>
          </w:p>
        </w:tc>
        <w:tc>
          <w:tcPr>
            <w:tcW w:w="0" w:type="auto"/>
            <w:vAlign w:val="center"/>
            <w:textDirection w:val="lrTb"/>
            <w:noWrap w:val="false"/>
          </w:tcPr>
          <w:p>
            <w:pPr>
              <w:jc w:val="center"/>
              <w:spacing w:line="360" w:lineRule="auto"/>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928.00</w:t>
            </w:r>
            <w:r/>
          </w:p>
        </w:tc>
        <w:tc>
          <w:tcPr>
            <w:shd w:val="clear" w:color="auto" w:fill="auto"/>
            <w:tcW w:w="0" w:type="auto"/>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765"/>
        </w:trPr>
        <w:tc>
          <w:tcPr>
            <w:shd w:val="clear" w:color="auto" w:fill="auto"/>
            <w:tcMar>
              <w:left w:w="80" w:type="dxa"/>
              <w:top w:w="80" w:type="dxa"/>
              <w:right w:w="80" w:type="dxa"/>
              <w:bottom w:w="80" w:type="dxa"/>
            </w:tcMar>
            <w:tcW w:w="0" w:type="auto"/>
            <w:vAlign w:val="center"/>
            <w:textDirection w:val="lrTb"/>
            <w:noWrap w:val="false"/>
          </w:tcPr>
          <w:p>
            <w:pPr>
              <w:pStyle w:val="1033"/>
              <w:numPr>
                <w:ilvl w:val="0"/>
                <w:numId w:val="6"/>
              </w:numPr>
              <w:jc w:val="center"/>
              <w:spacing w:line="360" w:lineRule="auto"/>
              <w:shd w:val="clear" w:color="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lang w:val="zh-CN"/>
              </w:rPr>
            </w:pPr>
            <w:r>
              <w:rPr>
                <w:rFonts w:ascii="宋体" w:hAnsi="宋体" w:eastAsia="宋体" w:cs="宋体"/>
                <w:color w:val="auto"/>
                <w:sz w:val="24"/>
                <w:szCs w:val="24"/>
                <w:highlight w:val="none"/>
              </w:rPr>
              <w:t xml:space="preserve">毒物毒品筛查试剂盒</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1000</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keepNext/>
              <w:spacing w:before="60" w:after="60" w:line="360" w:lineRule="auto"/>
              <w:shd w:val="clear" w:color="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个</w:t>
            </w:r>
            <w:r/>
          </w:p>
        </w:tc>
        <w:tc>
          <w:tcPr>
            <w:tcW w:w="0" w:type="auto"/>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w:t>
            </w:r>
            <w:r/>
          </w:p>
        </w:tc>
        <w:tc>
          <w:tcPr>
            <w:shd w:val="clear" w:color="auto" w:fill="auto"/>
            <w:tcW w:w="0" w:type="auto"/>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tc>
      </w:tr>
      <w:tr>
        <w:trPr>
          <w:jc w:val="center"/>
          <w:trHeight w:val="675"/>
        </w:trPr>
        <w:tc>
          <w:tcPr>
            <w:shd w:val="clear" w:color="auto" w:fill="auto"/>
            <w:tcMar>
              <w:left w:w="80" w:type="dxa"/>
              <w:top w:w="80" w:type="dxa"/>
              <w:right w:w="80" w:type="dxa"/>
              <w:bottom w:w="80" w:type="dxa"/>
            </w:tcMar>
            <w:tcW w:w="0" w:type="auto"/>
            <w:vAlign w:val="center"/>
            <w:textDirection w:val="lrTb"/>
            <w:noWrap w:val="false"/>
          </w:tcPr>
          <w:p>
            <w:pPr>
              <w:pStyle w:val="1033"/>
              <w:numPr>
                <w:ilvl w:val="0"/>
                <w:numId w:val="6"/>
              </w:numPr>
              <w:jc w:val="center"/>
              <w:spacing w:line="360" w:lineRule="auto"/>
              <w:shd w:val="clear" w:color="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lang w:val="zh-CN"/>
              </w:rPr>
            </w:pPr>
            <w:r>
              <w:rPr>
                <w:rFonts w:ascii="宋体" w:hAnsi="宋体" w:eastAsia="宋体" w:cs="宋体"/>
                <w:color w:val="auto"/>
                <w:sz w:val="24"/>
                <w:szCs w:val="24"/>
                <w:highlight w:val="none"/>
              </w:rPr>
              <w:t xml:space="preserve">毒品检测箱</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2</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keepNext/>
              <w:spacing w:before="60" w:after="60" w:line="360" w:lineRule="auto"/>
              <w:shd w:val="clear" w:color="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个</w:t>
            </w:r>
            <w:r/>
          </w:p>
        </w:tc>
        <w:tc>
          <w:tcPr>
            <w:tcW w:w="0" w:type="auto"/>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50000.00</w:t>
            </w:r>
            <w:r/>
          </w:p>
        </w:tc>
        <w:tc>
          <w:tcPr>
            <w:shd w:val="clear" w:color="auto" w:fill="auto"/>
            <w:tcW w:w="0" w:type="auto"/>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核心产品</w:t>
            </w:r>
            <w:r/>
          </w:p>
        </w:tc>
      </w:tr>
      <w:tr>
        <w:trPr>
          <w:jc w:val="center"/>
          <w:trHeight w:val="675"/>
        </w:trPr>
        <w:tc>
          <w:tcPr>
            <w:shd w:val="clear" w:color="auto" w:fill="auto"/>
            <w:tcMar>
              <w:left w:w="80" w:type="dxa"/>
              <w:top w:w="80" w:type="dxa"/>
              <w:right w:w="80" w:type="dxa"/>
              <w:bottom w:w="80" w:type="dxa"/>
            </w:tcMar>
            <w:tcW w:w="0" w:type="auto"/>
            <w:vAlign w:val="center"/>
            <w:textDirection w:val="lrTb"/>
            <w:noWrap w:val="false"/>
          </w:tcPr>
          <w:p>
            <w:pPr>
              <w:pStyle w:val="1033"/>
              <w:numPr>
                <w:ilvl w:val="0"/>
                <w:numId w:val="6"/>
              </w:numPr>
              <w:jc w:val="center"/>
              <w:spacing w:line="360" w:lineRule="auto"/>
              <w:shd w:val="clear" w:color="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唾液毒品检测仪</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keepNext/>
              <w:spacing w:before="60" w:after="60"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W w:w="0" w:type="auto"/>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0" w:type="auto"/>
            <w:vAlign w:val="center"/>
            <w:textDirection w:val="lrTb"/>
            <w:noWrap w:val="false"/>
          </w:tcPr>
          <w:p>
            <w:pPr>
              <w:jc w:val="center"/>
              <w:spacing w:line="360" w:lineRule="auto"/>
              <w:shd w:val="clear" w:color="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使用支持</w:t>
            </w:r>
            <w:r/>
          </w:p>
        </w:tc>
      </w:tr>
      <w:tr>
        <w:trPr>
          <w:jc w:val="center"/>
          <w:trHeight w:val="843"/>
        </w:trPr>
        <w:tc>
          <w:tcPr>
            <w:shd w:val="clear" w:color="auto" w:fill="auto"/>
            <w:tcMar>
              <w:left w:w="80" w:type="dxa"/>
              <w:top w:w="80" w:type="dxa"/>
              <w:right w:w="80" w:type="dxa"/>
              <w:bottom w:w="80" w:type="dxa"/>
            </w:tcMar>
            <w:tcW w:w="0" w:type="auto"/>
            <w:vAlign w:val="center"/>
            <w:textDirection w:val="lrTb"/>
            <w:noWrap w:val="false"/>
          </w:tcPr>
          <w:p>
            <w:pPr>
              <w:pStyle w:val="1033"/>
              <w:numPr>
                <w:ilvl w:val="0"/>
                <w:numId w:val="6"/>
              </w:numPr>
              <w:jc w:val="center"/>
              <w:spacing w:line="360" w:lineRule="auto"/>
              <w:shd w:val="clear" w:color="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lang w:val="zh-CN"/>
              </w:rPr>
            </w:pPr>
            <w:r>
              <w:rPr>
                <w:rFonts w:ascii="宋体" w:hAnsi="宋体" w:eastAsia="宋体" w:cs="宋体"/>
                <w:color w:val="auto"/>
                <w:sz w:val="24"/>
                <w:szCs w:val="24"/>
                <w:highlight w:val="none"/>
              </w:rPr>
              <w:t xml:space="preserve">毛发毒品现场检测仪</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keepNext/>
              <w:spacing w:before="60" w:after="60" w:line="360" w:lineRule="auto"/>
              <w:shd w:val="clear" w:color="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台</w:t>
            </w:r>
            <w:r/>
          </w:p>
        </w:tc>
        <w:tc>
          <w:tcPr>
            <w:tcW w:w="0" w:type="auto"/>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0" w:type="auto"/>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使用支持</w:t>
            </w:r>
            <w:r/>
          </w:p>
        </w:tc>
      </w:tr>
      <w:tr>
        <w:trPr>
          <w:jc w:val="center"/>
          <w:trHeight w:val="855"/>
        </w:trPr>
        <w:tc>
          <w:tcPr>
            <w:shd w:val="clear" w:color="auto" w:fill="auto"/>
            <w:tcMar>
              <w:left w:w="80" w:type="dxa"/>
              <w:top w:w="80" w:type="dxa"/>
              <w:right w:w="80" w:type="dxa"/>
              <w:bottom w:w="80" w:type="dxa"/>
            </w:tcMar>
            <w:tcW w:w="0" w:type="auto"/>
            <w:vAlign w:val="center"/>
            <w:textDirection w:val="lrTb"/>
            <w:noWrap w:val="false"/>
          </w:tcPr>
          <w:p>
            <w:pPr>
              <w:pStyle w:val="1033"/>
              <w:numPr>
                <w:ilvl w:val="0"/>
                <w:numId w:val="6"/>
              </w:numPr>
              <w:jc w:val="center"/>
              <w:spacing w:line="360" w:lineRule="auto"/>
              <w:shd w:val="clear" w:color="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lang w:val="zh-CN"/>
              </w:rPr>
            </w:pPr>
            <w:r>
              <w:rPr>
                <w:rFonts w:ascii="宋体" w:hAnsi="宋体" w:eastAsia="宋体" w:cs="宋体"/>
                <w:color w:val="auto"/>
                <w:sz w:val="24"/>
                <w:szCs w:val="24"/>
                <w:highlight w:val="none"/>
              </w:rPr>
              <w:t xml:space="preserve">毛发痕量毒品检测仪</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spacing w:line="360" w:lineRule="auto"/>
              <w:shd w:val="clear" w:color="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2</w:t>
            </w:r>
            <w:r/>
          </w:p>
        </w:tc>
        <w:tc>
          <w:tcPr>
            <w:shd w:val="clear" w:color="auto" w:fill="auto"/>
            <w:tcMar>
              <w:left w:w="80" w:type="dxa"/>
              <w:top w:w="80" w:type="dxa"/>
              <w:right w:w="80" w:type="dxa"/>
              <w:bottom w:w="80" w:type="dxa"/>
            </w:tcMar>
            <w:tcW w:w="0" w:type="auto"/>
            <w:vAlign w:val="center"/>
            <w:textDirection w:val="lrTb"/>
            <w:noWrap w:val="false"/>
          </w:tcPr>
          <w:p>
            <w:pPr>
              <w:pStyle w:val="1033"/>
              <w:jc w:val="center"/>
              <w:keepNext/>
              <w:spacing w:before="60" w:after="60" w:line="360" w:lineRule="auto"/>
              <w:shd w:val="clear" w:color="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台</w:t>
            </w:r>
            <w:r/>
          </w:p>
        </w:tc>
        <w:tc>
          <w:tcPr>
            <w:tcW w:w="0" w:type="auto"/>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0" w:type="auto"/>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使用支持</w:t>
            </w:r>
            <w:r/>
          </w:p>
        </w:tc>
      </w:tr>
    </w:tbl>
    <w:p>
      <w:pPr>
        <w:pStyle w:val="776"/>
        <w:shd w:val="clear" w:color="auto"/>
        <w:rPr>
          <w:highlight w:val="none"/>
        </w:rPr>
      </w:pPr>
      <w:r>
        <w:rPr>
          <w:highlight w:val="none"/>
        </w:rPr>
      </w:r>
      <w:r/>
    </w:p>
    <w:p>
      <w:pPr>
        <w:pStyle w:val="720"/>
        <w:numPr>
          <w:ilvl w:val="0"/>
          <w:numId w:val="7"/>
        </w:numPr>
        <w:ind w:left="0" w:firstLine="482"/>
        <w:spacing w:line="360" w:lineRule="auto"/>
        <w:shd w:val="clear" w:color="auto"/>
        <w:rPr>
          <w:rFonts w:cs="宋体"/>
          <w:color w:val="000000"/>
          <w:highlight w:val="none"/>
        </w:rPr>
        <w:pBdr>
          <w:top w:val="none" w:color="000000" w:sz="0" w:space="0"/>
          <w:left w:val="none" w:color="000000" w:sz="0" w:space="0"/>
          <w:bottom w:val="none" w:color="000000" w:sz="0" w:space="0"/>
          <w:right w:val="none" w:color="000000" w:sz="0" w:space="0"/>
        </w:pBdr>
      </w:pPr>
      <w:r>
        <w:rPr>
          <w:rFonts w:hint="eastAsia" w:cs="宋体"/>
          <w:color w:val="000000"/>
          <w:highlight w:val="none"/>
        </w:rPr>
        <w:t xml:space="preserve">技术要求</w:t>
      </w:r>
      <w:r/>
    </w:p>
    <w:tbl>
      <w:tblPr>
        <w:tblStyle w:val="729"/>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985"/>
        <w:gridCol w:w="1749"/>
        <w:gridCol w:w="6508"/>
      </w:tblGrid>
      <w:tr>
        <w:trPr>
          <w:jc w:val="center"/>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877" w:type="pct"/>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采购内容</w:t>
            </w:r>
            <w:r/>
          </w:p>
        </w:tc>
        <w:tc>
          <w:tcPr>
            <w:tcBorders>
              <w:top w:val="single" w:color="auto" w:sz="4" w:space="0"/>
              <w:left w:val="none" w:color="000000" w:sz="4" w:space="0"/>
              <w:bottom w:val="single" w:color="auto" w:sz="4" w:space="0"/>
              <w:right w:val="single" w:color="auto" w:sz="4" w:space="0"/>
            </w:tcBorders>
            <w:tcW w:w="3262" w:type="pct"/>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参数及要求</w:t>
            </w:r>
            <w:r/>
          </w:p>
        </w:tc>
      </w:tr>
      <w:tr>
        <w:trPr>
          <w:jc w:val="center"/>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877" w:type="pct"/>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依托咪酯</w:t>
            </w:r>
            <w:r>
              <w:rPr>
                <w:rFonts w:hint="eastAsia" w:ascii="宋体" w:hAnsi="宋体" w:eastAsia="宋体" w:cs="宋体"/>
                <w:sz w:val="24"/>
                <w:szCs w:val="24"/>
                <w:highlight w:val="none"/>
                <w:lang w:val="en-US" w:eastAsia="zh-CN"/>
              </w:rPr>
              <w:t xml:space="preserve">/右美沙芬</w:t>
            </w:r>
            <w:r>
              <w:rPr>
                <w:rFonts w:hint="eastAsia" w:ascii="宋体" w:hAnsi="宋体" w:eastAsia="宋体" w:cs="宋体"/>
                <w:sz w:val="24"/>
                <w:szCs w:val="24"/>
                <w:highlight w:val="none"/>
              </w:rPr>
              <w:t xml:space="preserve">尿液检测试剂</w:t>
            </w:r>
            <w:r/>
          </w:p>
        </w:tc>
        <w:tc>
          <w:tcPr>
            <w:tcBorders>
              <w:top w:val="single" w:color="auto" w:sz="4" w:space="0"/>
              <w:left w:val="none" w:color="000000" w:sz="4" w:space="0"/>
              <w:bottom w:val="single" w:color="auto" w:sz="4" w:space="0"/>
              <w:right w:val="single" w:color="auto" w:sz="4" w:space="0"/>
            </w:tcBorders>
            <w:tcW w:w="3262" w:type="pct"/>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1.规格：25人份/盒，铝箔袋单人份包装；产品由试剂卡、吸管、干燥剂组成，试剂卡由试纸条和塑料盒组成；</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2.检测原理：胶体金免疫层析原理；有效期不小于24个月；适应于人尿液的检测，无需处理，即开即用，5分钟内观察结果，4℃-30℃保存；</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3.依托咪酯</w:t>
            </w:r>
            <w:r>
              <w:rPr>
                <w:rFonts w:hint="eastAsia" w:ascii="宋体" w:hAnsi="宋体" w:eastAsia="宋体" w:cs="宋体"/>
                <w:sz w:val="24"/>
                <w:szCs w:val="24"/>
                <w:highlight w:val="none"/>
                <w:lang w:val="en-US" w:eastAsia="zh-CN"/>
              </w:rPr>
              <w:t xml:space="preserve">/右美沙芬</w:t>
            </w:r>
            <w:r>
              <w:rPr>
                <w:rFonts w:hint="eastAsia" w:ascii="宋体" w:hAnsi="宋体" w:eastAsia="宋体" w:cs="宋体"/>
                <w:sz w:val="24"/>
                <w:szCs w:val="24"/>
                <w:highlight w:val="none"/>
              </w:rPr>
              <w:t xml:space="preserve">最低检出浓度：在检出率不小于90%前提下，对浓度为1000ng/mL，进样量为80μL，进样质量为80ng的依托咪酯</w:t>
            </w:r>
            <w:r>
              <w:rPr>
                <w:rFonts w:hint="eastAsia" w:ascii="宋体" w:hAnsi="宋体" w:eastAsia="宋体" w:cs="宋体"/>
                <w:sz w:val="24"/>
                <w:szCs w:val="24"/>
                <w:highlight w:val="none"/>
                <w:lang w:val="en-US" w:eastAsia="zh-CN"/>
              </w:rPr>
              <w:t xml:space="preserve">和右美沙芬</w:t>
            </w:r>
            <w:r>
              <w:rPr>
                <w:rFonts w:hint="eastAsia" w:ascii="宋体" w:hAnsi="宋体" w:eastAsia="宋体" w:cs="宋体"/>
                <w:sz w:val="24"/>
                <w:szCs w:val="24"/>
                <w:highlight w:val="none"/>
              </w:rPr>
              <w:t xml:space="preserve">溶液进行采样分析，结果应为阳性（即检出限为1000 ng/mL）。</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4.为保障检测效果，试剂卡膜条宽度应≥3.9mm；</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5.为保障检测效率，试剂卡上的液体移动速度应≥50mm/min。</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6.当在试剂卡滴样区域滴加 80μL的人工尿液后，试剂条显色区域上出现液体的时间应小于等于5s。</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7.试剂的检测结果有效判读时间（即结果保留时间）：时间跨度应大于等于5min。</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8.重复性：对同一批次的10份试剂，分别滴注浓度为1500ng/mL，进样量为80μL，进样质量为120ng的依托咪酯溶液，检测结果应均显示阳性。</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9.批间差：对不同三批次各5份试剂进行检测，分别滴注浓度为1500ng/mL，进样量为80μL，进样质量为120ng的依托咪酯溶液，结果应均为阳性。</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10.抗干扰性：在浓度为100μg/mL，进样量为80μL时，分别对下列药物进行测试，试剂卡检测结果均应显示阴性：枸橼酸西地那非、布洛芬、对乙酰氨基酚、阿司匹林、伪麻黄碱；</w:t>
            </w:r>
            <w:r/>
          </w:p>
        </w:tc>
      </w:tr>
      <w:tr>
        <w:trPr>
          <w:jc w:val="center"/>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877" w:type="pct"/>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吗啡—甲基苯丙胺-氯胺酮(MOP-MET-KET)唾液检测试剂（胶体金法）</w:t>
            </w:r>
            <w:r/>
          </w:p>
        </w:tc>
        <w:tc>
          <w:tcPr>
            <w:tcBorders>
              <w:top w:val="single" w:color="auto" w:sz="4" w:space="0"/>
              <w:left w:val="none" w:color="000000" w:sz="4" w:space="0"/>
              <w:bottom w:val="single" w:color="auto" w:sz="4" w:space="0"/>
              <w:right w:val="single" w:color="auto" w:sz="4" w:space="0"/>
            </w:tcBorders>
            <w:tcW w:w="3262" w:type="pct"/>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方法学原理：胶体金免疫层析法；</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产品规格：卡型；</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检测样本：唾液；</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最低检出限：吗啡：15ng/mL，甲基安非他明：50ng/mL，氯胺酮：50ng/mL，一次性可同时检测以上三种毒品及其代谢物；</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储存条件：4～30℃存储；</w:t>
            </w:r>
            <w:r/>
          </w:p>
        </w:tc>
      </w:tr>
      <w:tr>
        <w:trPr>
          <w:jc w:val="center"/>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auto" w:sz="4" w:space="0"/>
              <w:left w:val="none" w:color="000000" w:sz="4" w:space="0"/>
              <w:bottom w:val="single" w:color="auto" w:sz="4" w:space="0"/>
              <w:right w:val="single" w:color="auto" w:sz="4" w:space="0"/>
            </w:tcBorders>
            <w:tcW w:w="877" w:type="pct"/>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吗啡、甲基安非他明、氯胺酮、3,4-二亚甲二氧基甲基苯丙胺、四氢大麻酚酸（MOP-MET-KET-MDMA-THC）尿液联合检测试剂</w:t>
            </w:r>
            <w:r/>
          </w:p>
        </w:tc>
        <w:tc>
          <w:tcPr>
            <w:tcBorders>
              <w:top w:val="single" w:color="auto" w:sz="4" w:space="0"/>
              <w:left w:val="none" w:color="000000" w:sz="4" w:space="0"/>
              <w:bottom w:val="single" w:color="auto" w:sz="4" w:space="0"/>
              <w:right w:val="single" w:color="auto" w:sz="4" w:space="0"/>
            </w:tcBorders>
            <w:tcW w:w="3262" w:type="pct"/>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方法学原理：胶体金免疫层析法；</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产品规格：尿杯型</w:t>
            </w:r>
            <w:r>
              <w:rPr>
                <w:rFonts w:hint="eastAsia" w:ascii="宋体" w:hAnsi="宋体" w:eastAsia="宋体" w:cs="宋体"/>
                <w:sz w:val="24"/>
                <w:szCs w:val="24"/>
                <w:highlight w:val="none"/>
                <w:lang w:val="en-US" w:eastAsia="zh-CN"/>
              </w:rPr>
              <w:t xml:space="preserve">/卡型</w:t>
            </w:r>
            <w:r>
              <w:rPr>
                <w:rFonts w:hint="eastAsia" w:ascii="宋体" w:hAnsi="宋体" w:eastAsia="宋体" w:cs="宋体"/>
                <w:sz w:val="24"/>
                <w:szCs w:val="24"/>
                <w:highlight w:val="none"/>
              </w:rPr>
              <w:t xml:space="preserve">；</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检测样本：适用于人尿液的检测，无需处理，即开即用，5分钟内观察结果；</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最低检出限：吗啡300ng/mL，甲基安非他明1000ng/mL，氯胺酮1000ng/mL、3,4-二亚甲二氧基甲基苯丙胺500ng/mL、四氢大麻酚酸50ng/mL，一次性可同时检测以上五种毒品及其代谢物；</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储存条件：4～30℃存储；</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提供国家药监局颁发的《医疗器械注册证》或提供国家药监局网站注册证信息查询结果的截图。</w:t>
            </w:r>
            <w:r/>
          </w:p>
        </w:tc>
      </w:tr>
      <w:tr>
        <w:trPr>
          <w:jc w:val="center"/>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single" w:color="auto" w:sz="4" w:space="0"/>
              <w:left w:val="none" w:color="000000" w:sz="4" w:space="0"/>
              <w:bottom w:val="single" w:color="auto" w:sz="4" w:space="0"/>
              <w:right w:val="single" w:color="auto" w:sz="4" w:space="0"/>
            </w:tcBorders>
            <w:tcW w:w="877" w:type="pct"/>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color w:val="auto"/>
                <w:sz w:val="24"/>
                <w:szCs w:val="24"/>
                <w:highlight w:val="none"/>
              </w:rPr>
              <w:t xml:space="preserve">替来他明/异丙帕酯尿液检测试剂</w:t>
            </w:r>
            <w:r/>
          </w:p>
        </w:tc>
        <w:tc>
          <w:tcPr>
            <w:tcBorders>
              <w:top w:val="single" w:color="auto" w:sz="4" w:space="0"/>
              <w:left w:val="none" w:color="000000" w:sz="4" w:space="0"/>
              <w:bottom w:val="single" w:color="auto" w:sz="4" w:space="0"/>
              <w:right w:val="single" w:color="auto" w:sz="4" w:space="0"/>
            </w:tcBorders>
            <w:tcW w:w="3262" w:type="pct"/>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1.规格：25人份/盒，铝箔袋单人份包装；产品由试剂卡、吸管、干燥剂组成，试剂卡由试纸条和塑料盒组成；</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2.检测原理：胶体金免疫层析原理；有效期不小于24个月；适应于人尿液的检测，无需处理，即开即用，5分钟内观察结果，4℃-30℃保存；</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color w:val="auto"/>
                <w:sz w:val="24"/>
                <w:szCs w:val="24"/>
                <w:highlight w:val="none"/>
              </w:rPr>
              <w:t xml:space="preserve">替来他明/异丙帕酯</w:t>
            </w:r>
            <w:r>
              <w:rPr>
                <w:rFonts w:hint="eastAsia" w:ascii="宋体" w:hAnsi="宋体" w:eastAsia="宋体" w:cs="宋体"/>
                <w:sz w:val="24"/>
                <w:szCs w:val="24"/>
                <w:highlight w:val="none"/>
              </w:rPr>
              <w:t xml:space="preserve">最低检出浓度：在检出率不小于90%前提下，对浓度为1000ng/mL，进样量为80μL，进样质量为80ng的</w:t>
            </w:r>
            <w:r>
              <w:rPr>
                <w:rFonts w:hint="eastAsia" w:ascii="宋体" w:hAnsi="宋体" w:eastAsia="宋体" w:cs="宋体"/>
                <w:color w:val="auto"/>
                <w:sz w:val="24"/>
                <w:szCs w:val="24"/>
                <w:highlight w:val="none"/>
              </w:rPr>
              <w:t xml:space="preserve">替来他明/异丙帕酯</w:t>
            </w:r>
            <w:r>
              <w:rPr>
                <w:rFonts w:hint="eastAsia" w:ascii="宋体" w:hAnsi="宋体" w:eastAsia="宋体" w:cs="宋体"/>
                <w:sz w:val="24"/>
                <w:szCs w:val="24"/>
                <w:highlight w:val="none"/>
              </w:rPr>
              <w:t xml:space="preserve">溶液进行采样分析，结果应为阳性（即检出限为1000 ng/mL）。</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4.为保障检测效果，试剂卡膜条宽度应≥3.9mm；</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5.为保障检测效率，试剂卡上的液体移动速度应≥50mm/min。</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6.当在试剂卡滴样区域滴加 80μL的人工尿液后，试剂条显色区域上出现液体的时间应小于等于5s。</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7.试剂的检测结果有效判读时间（即结果保留时间）：时间跨度应大于等于5min；。</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8.重复性：对同一批次的10份试剂，分别滴注浓度为1500ng/mL，进样量为80μL，进样质量为120ng的</w:t>
            </w:r>
            <w:r>
              <w:rPr>
                <w:rFonts w:hint="eastAsia" w:ascii="宋体" w:hAnsi="宋体" w:eastAsia="宋体" w:cs="宋体"/>
                <w:color w:val="auto"/>
                <w:sz w:val="24"/>
                <w:szCs w:val="24"/>
                <w:highlight w:val="none"/>
              </w:rPr>
              <w:t xml:space="preserve">替来他明</w:t>
            </w:r>
            <w:r>
              <w:rPr>
                <w:rFonts w:hint="eastAsia" w:ascii="宋体" w:hAnsi="宋体" w:eastAsia="宋体" w:cs="宋体"/>
                <w:sz w:val="24"/>
                <w:szCs w:val="24"/>
                <w:highlight w:val="none"/>
              </w:rPr>
              <w:t xml:space="preserve">溶液，检测结果应均显示阳性。</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9.批间差：对不同三批次各5份试剂进行检测，分别滴注浓度为1500ng/mL，进样量为80μL，进样质量为120ng的</w:t>
            </w:r>
            <w:r>
              <w:rPr>
                <w:rFonts w:hint="eastAsia" w:ascii="宋体" w:hAnsi="宋体" w:eastAsia="宋体" w:cs="宋体"/>
                <w:color w:val="auto"/>
                <w:sz w:val="24"/>
                <w:szCs w:val="24"/>
                <w:highlight w:val="none"/>
              </w:rPr>
              <w:t xml:space="preserve">替来他明</w:t>
            </w:r>
            <w:r>
              <w:rPr>
                <w:rFonts w:hint="eastAsia" w:ascii="宋体" w:hAnsi="宋体" w:eastAsia="宋体" w:cs="宋体"/>
                <w:sz w:val="24"/>
                <w:szCs w:val="24"/>
                <w:highlight w:val="none"/>
              </w:rPr>
              <w:t xml:space="preserve">溶液，结果应均为阳性。</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10.抗干扰性：在浓度为100μg/mL，进样量为80μL时，分别对下列药物进行测试，试剂卡检测结果均应显示阴性：枸橼酸西地那非、布洛芬、对乙酰氨基酚、阿司匹林、伪麻黄碱；</w:t>
            </w:r>
            <w:r/>
          </w:p>
        </w:tc>
      </w:tr>
      <w:tr>
        <w:trPr>
          <w:jc w:val="center"/>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877" w:type="pct"/>
            <w:vAlign w:val="center"/>
            <w:textDirection w:val="lrTb"/>
            <w:noWrap w:val="false"/>
          </w:tcPr>
          <w:p>
            <w:pPr>
              <w:spacing w:line="360" w:lineRule="auto"/>
              <w:shd w:val="clear" w:color="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替来他明毛发检测试剂</w:t>
            </w:r>
            <w:r/>
          </w:p>
        </w:tc>
        <w:tc>
          <w:tcPr>
            <w:tcBorders>
              <w:top w:val="single" w:color="auto" w:sz="4" w:space="0"/>
              <w:left w:val="none" w:color="000000" w:sz="4" w:space="0"/>
              <w:bottom w:val="single" w:color="auto" w:sz="4" w:space="0"/>
              <w:right w:val="single" w:color="auto" w:sz="4" w:space="0"/>
            </w:tcBorders>
            <w:tcW w:w="3262" w:type="pct"/>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规格：卡型（滴加式），铝箔袋单人份包装； 产品由试剂卡、干燥剂组成。试剂卡由试纸条和塑料盒组成；有效期不小于24个月；4℃-30℃保存。检测原理：胶体金法； 适应于人毛发中</w:t>
            </w:r>
            <w:r>
              <w:rPr>
                <w:rFonts w:hint="eastAsia" w:ascii="宋体" w:hAnsi="宋体" w:eastAsia="宋体" w:cs="宋体"/>
                <w:sz w:val="24"/>
                <w:szCs w:val="24"/>
                <w:highlight w:val="none"/>
                <w:lang w:val="en-US" w:eastAsia="zh-CN"/>
              </w:rPr>
              <w:t xml:space="preserve">替来他明</w:t>
            </w:r>
            <w:r>
              <w:rPr>
                <w:rFonts w:hint="eastAsia" w:ascii="宋体" w:hAnsi="宋体" w:eastAsia="宋体" w:cs="宋体"/>
                <w:sz w:val="24"/>
                <w:szCs w:val="24"/>
                <w:highlight w:val="none"/>
              </w:rPr>
              <w:t xml:space="preserve">及其代谢物的检测；</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为保障上样效果，试剂卡膜条宽度应≥3.9mm。</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为保障检测效率，试剂卡上的液体移动速度应≥50mm/min。</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试剂的检测结果有效判读时间（即结果保留时间）：时间跨度应大于等于5min。</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检出限：在检出率大于等于90%前提下，对浓度为1000ng/mL，进样量为80μL，进样质量为80ng的</w:t>
            </w:r>
            <w:r>
              <w:rPr>
                <w:rFonts w:hint="eastAsia" w:ascii="宋体" w:hAnsi="宋体" w:eastAsia="宋体" w:cs="宋体"/>
                <w:sz w:val="24"/>
                <w:szCs w:val="24"/>
                <w:highlight w:val="none"/>
                <w:lang w:val="en-US" w:eastAsia="zh-CN"/>
              </w:rPr>
              <w:t xml:space="preserve">替来他明</w:t>
            </w:r>
            <w:r>
              <w:rPr>
                <w:rFonts w:hint="eastAsia" w:ascii="宋体" w:hAnsi="宋体" w:eastAsia="宋体" w:cs="宋体"/>
                <w:sz w:val="24"/>
                <w:szCs w:val="24"/>
                <w:highlight w:val="none"/>
              </w:rPr>
              <w:t xml:space="preserve">溶液进行采样分析，结果应为阳性（即检出限为1000 ng/mL）。</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阳性样本检测：取50mg毛发，装入含1ml裂解液的毛发处理管中，用毛发仪进行研磨处理，然后取出静置数分钟后开始检测。结果应为阳性。</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准确性：对不含的样品溶液进行检测，结果应显示为阴性；对1500ng/mL的</w:t>
            </w:r>
            <w:r>
              <w:rPr>
                <w:rFonts w:hint="eastAsia" w:ascii="宋体" w:hAnsi="宋体" w:eastAsia="宋体" w:cs="宋体"/>
                <w:sz w:val="24"/>
                <w:szCs w:val="24"/>
                <w:highlight w:val="none"/>
                <w:lang w:val="en-US" w:eastAsia="zh-CN"/>
              </w:rPr>
              <w:t xml:space="preserve">替来他明</w:t>
            </w:r>
            <w:r>
              <w:rPr>
                <w:rFonts w:hint="eastAsia" w:ascii="宋体" w:hAnsi="宋体" w:eastAsia="宋体" w:cs="宋体"/>
                <w:sz w:val="24"/>
                <w:szCs w:val="24"/>
                <w:highlight w:val="none"/>
              </w:rPr>
              <w:t xml:space="preserve">样本溶液进行检测，结果应显示为阳性。</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重复性：对同一批次的10份试剂，分别滴注浓度为1500ng/mL，进样量为 80μL，进样质量为 120ng的</w:t>
            </w:r>
            <w:r>
              <w:rPr>
                <w:rFonts w:hint="eastAsia" w:ascii="宋体" w:hAnsi="宋体" w:eastAsia="宋体" w:cs="宋体"/>
                <w:color w:val="auto"/>
                <w:sz w:val="24"/>
                <w:szCs w:val="24"/>
                <w:highlight w:val="none"/>
              </w:rPr>
              <w:t xml:space="preserve">替来他明</w:t>
            </w:r>
            <w:r>
              <w:rPr>
                <w:rFonts w:hint="eastAsia" w:ascii="宋体" w:hAnsi="宋体" w:eastAsia="宋体" w:cs="宋体"/>
                <w:sz w:val="24"/>
                <w:szCs w:val="24"/>
                <w:highlight w:val="none"/>
              </w:rPr>
              <w:t xml:space="preserve">溶液，检测结果应均显示阳性。</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批间差：对不同三批次各5份试剂进行检测，分别滴注浓度为1500ng/mL，进样量为 80μL，进样质量为 120ng的</w:t>
            </w:r>
            <w:r>
              <w:rPr>
                <w:rFonts w:hint="eastAsia" w:ascii="宋体" w:hAnsi="宋体" w:eastAsia="宋体" w:cs="宋体"/>
                <w:color w:val="auto"/>
                <w:sz w:val="24"/>
                <w:szCs w:val="24"/>
                <w:highlight w:val="none"/>
              </w:rPr>
              <w:t xml:space="preserve">替来他明</w:t>
            </w:r>
            <w:r>
              <w:rPr>
                <w:rFonts w:hint="eastAsia" w:ascii="宋体" w:hAnsi="宋体" w:eastAsia="宋体" w:cs="宋体"/>
                <w:sz w:val="24"/>
                <w:szCs w:val="24"/>
                <w:highlight w:val="none"/>
              </w:rPr>
              <w:t xml:space="preserve">溶液，结果应均为阳性。</w:t>
            </w:r>
            <w:r/>
          </w:p>
          <w:p>
            <w:pP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抗干扰性：在浓度为100μg/mL，进样量为80 μL时，分别对下列药物进行测试，试剂卡检测结果均应显示阴性：枸橼酸西地那非、布洛芬、对乙酰氨基酚、阿司匹林、伪麻黄碱；</w:t>
            </w:r>
            <w:r/>
          </w:p>
        </w:tc>
      </w:tr>
      <w:tr>
        <w:trPr>
          <w:jc w:val="center"/>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877" w:type="pct"/>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依托咪酯</w:t>
            </w:r>
            <w:r>
              <w:rPr>
                <w:rFonts w:hint="eastAsia" w:ascii="宋体" w:hAnsi="宋体" w:eastAsia="宋体" w:cs="宋体"/>
                <w:sz w:val="24"/>
                <w:szCs w:val="24"/>
                <w:highlight w:val="none"/>
                <w:lang w:val="en-US" w:eastAsia="zh-CN"/>
              </w:rPr>
              <w:t xml:space="preserve">/右美沙芬</w:t>
            </w:r>
            <w:r>
              <w:rPr>
                <w:rFonts w:hint="eastAsia" w:ascii="宋体" w:hAnsi="宋体" w:eastAsia="宋体" w:cs="宋体"/>
                <w:sz w:val="24"/>
                <w:szCs w:val="24"/>
                <w:highlight w:val="none"/>
              </w:rPr>
              <w:t xml:space="preserve">毛发检测试剂</w:t>
            </w:r>
            <w:r/>
          </w:p>
        </w:tc>
        <w:tc>
          <w:tcPr>
            <w:tcBorders>
              <w:top w:val="single" w:color="auto" w:sz="4" w:space="0"/>
              <w:left w:val="none" w:color="000000" w:sz="4" w:space="0"/>
              <w:bottom w:val="single" w:color="auto" w:sz="4" w:space="0"/>
              <w:right w:val="single" w:color="auto" w:sz="4" w:space="0"/>
            </w:tcBorders>
            <w:tcW w:w="3262" w:type="pct"/>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规格：卡型（滴加式），铝箔袋单人份包装； 产品由试剂卡、干燥剂组成。试剂卡由试纸条和塑料盒组成；有效期不小于24个月；4℃-30℃保存。检测原理：胶体金法； 适应于人毛发中依托咪酯</w:t>
            </w:r>
            <w:r>
              <w:rPr>
                <w:rFonts w:hint="eastAsia" w:ascii="宋体" w:hAnsi="宋体" w:eastAsia="宋体" w:cs="宋体"/>
                <w:sz w:val="24"/>
                <w:szCs w:val="24"/>
                <w:highlight w:val="none"/>
                <w:lang w:val="en-US" w:eastAsia="zh-CN"/>
              </w:rPr>
              <w:t xml:space="preserve">和右美沙芬</w:t>
            </w:r>
            <w:r>
              <w:rPr>
                <w:rFonts w:hint="eastAsia" w:ascii="宋体" w:hAnsi="宋体" w:eastAsia="宋体" w:cs="宋体"/>
                <w:sz w:val="24"/>
                <w:szCs w:val="24"/>
                <w:highlight w:val="none"/>
              </w:rPr>
              <w:t xml:space="preserve">及其代谢物的检测；</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为保障上样效果，试剂卡膜条宽度应≥3.9mm。</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为保障检测效率，试剂卡上的液体移动速度应≥50mm/min；。</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试剂的检测结果有效判读时间（即结果保留时间）：时间跨度应大于等于5min。</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检出限：在检出率大于等于90%前提下，对浓度为1000ng/mL，进样量为80μL，进样质量为80ng的依托咪酯</w:t>
            </w:r>
            <w:r>
              <w:rPr>
                <w:rFonts w:hint="eastAsia" w:ascii="宋体" w:hAnsi="宋体" w:eastAsia="宋体" w:cs="宋体"/>
                <w:sz w:val="24"/>
                <w:szCs w:val="24"/>
                <w:highlight w:val="none"/>
                <w:lang w:val="en-US" w:eastAsia="zh-CN"/>
              </w:rPr>
              <w:t xml:space="preserve">和右美沙芬</w:t>
            </w:r>
            <w:r>
              <w:rPr>
                <w:rFonts w:hint="eastAsia" w:ascii="宋体" w:hAnsi="宋体" w:eastAsia="宋体" w:cs="宋体"/>
                <w:sz w:val="24"/>
                <w:szCs w:val="24"/>
                <w:highlight w:val="none"/>
              </w:rPr>
              <w:t xml:space="preserve">溶液进行采样分析，结果应为阳性（即检出限为1000 ng/mL）。</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阳性样本检测：取50mg毛发，装入含1ml裂解液的毛发处理管中，用毛发仪进行研磨处理，然后取出静置数分钟后开始检测。结果应为阳性。</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准确性：对不含依托咪酯</w:t>
            </w:r>
            <w:r>
              <w:rPr>
                <w:rFonts w:hint="eastAsia" w:ascii="宋体" w:hAnsi="宋体" w:eastAsia="宋体" w:cs="宋体"/>
                <w:sz w:val="24"/>
                <w:szCs w:val="24"/>
                <w:highlight w:val="none"/>
                <w:lang w:val="en-US" w:eastAsia="zh-CN"/>
              </w:rPr>
              <w:t xml:space="preserve">和右美沙芬</w:t>
            </w:r>
            <w:r>
              <w:rPr>
                <w:rFonts w:hint="eastAsia" w:ascii="宋体" w:hAnsi="宋体" w:eastAsia="宋体" w:cs="宋体"/>
                <w:sz w:val="24"/>
                <w:szCs w:val="24"/>
                <w:highlight w:val="none"/>
              </w:rPr>
              <w:t xml:space="preserve">的样品溶液进行检测，结果应显示为阴性；对1500ng/mL的依托咪酯</w:t>
            </w:r>
            <w:r>
              <w:rPr>
                <w:rFonts w:hint="eastAsia" w:ascii="宋体" w:hAnsi="宋体" w:eastAsia="宋体" w:cs="宋体"/>
                <w:sz w:val="24"/>
                <w:szCs w:val="24"/>
                <w:highlight w:val="none"/>
                <w:lang w:val="en-US" w:eastAsia="zh-CN"/>
              </w:rPr>
              <w:t xml:space="preserve">和右美沙芬</w:t>
            </w:r>
            <w:r>
              <w:rPr>
                <w:rFonts w:hint="eastAsia" w:ascii="宋体" w:hAnsi="宋体" w:eastAsia="宋体" w:cs="宋体"/>
                <w:sz w:val="24"/>
                <w:szCs w:val="24"/>
                <w:highlight w:val="none"/>
              </w:rPr>
              <w:t xml:space="preserve">样本溶液进行检测，结果应显示为阳性。</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重复性：对同一批次的10份试剂，分别滴注浓度为1500ng/mL，进样量为 80μL，进样质量为 120ng的依托咪酯溶液，检测结果应均显示阳性。</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批间差：对不同三批次各5份试剂进行检测，分别滴注浓度为1500ng/mL，进样量为 80μL，进样质量为 120ng的依托咪酯溶液，结果应均为阳性。</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抗干扰性：在浓度为100μg/mL，进样量为80 μL时，分别对下列药物进行测试，试剂卡检测结果均应显示阴性：枸橼酸西地那非、布洛芬、对乙酰氨基酚、阿司匹林、伪麻黄碱；</w:t>
            </w:r>
            <w:r/>
          </w:p>
        </w:tc>
      </w:tr>
      <w:tr>
        <w:trPr>
          <w:jc w:val="center"/>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7</w:t>
            </w:r>
            <w:r/>
          </w:p>
        </w:tc>
        <w:tc>
          <w:tcPr>
            <w:tcBorders>
              <w:top w:val="single" w:color="auto" w:sz="4" w:space="0"/>
              <w:left w:val="none" w:color="000000" w:sz="4" w:space="0"/>
              <w:bottom w:val="single" w:color="auto" w:sz="4" w:space="0"/>
              <w:right w:val="single" w:color="auto" w:sz="4" w:space="0"/>
            </w:tcBorders>
            <w:tcW w:w="877" w:type="pct"/>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color w:val="auto"/>
                <w:sz w:val="24"/>
                <w:szCs w:val="24"/>
                <w:highlight w:val="none"/>
              </w:rPr>
              <w:t xml:space="preserve">吗啡—甲基苯丙胺-氯胺酮—曲马多毛发四联检测试剂（胶体金法）</w:t>
            </w:r>
            <w:r/>
          </w:p>
        </w:tc>
        <w:tc>
          <w:tcPr>
            <w:tcBorders>
              <w:top w:val="single" w:color="auto" w:sz="4" w:space="0"/>
              <w:left w:val="none" w:color="000000" w:sz="4" w:space="0"/>
              <w:bottom w:val="single" w:color="auto" w:sz="4" w:space="0"/>
              <w:right w:val="single" w:color="auto" w:sz="4" w:space="0"/>
            </w:tcBorders>
            <w:tcW w:w="3262" w:type="pct"/>
            <w:vAlign w:val="center"/>
            <w:textDirection w:val="lrTb"/>
            <w:noWrap w:val="false"/>
          </w:tcPr>
          <w:p>
            <w:pPr>
              <w:spacing w:line="360" w:lineRule="auto"/>
              <w:shd w:val="clear" w:color="auto"/>
              <w:rPr>
                <w:rFonts w:ascii="宋体" w:hAnsi="宋体" w:eastAsia="宋体" w:cs="宋体"/>
                <w:sz w:val="24"/>
                <w:szCs w:val="24"/>
                <w:highlight w:val="none"/>
              </w:rPr>
            </w:pPr>
            <w:r/>
            <w:bookmarkStart w:id="0" w:name="_Hlk129769247"/>
            <w:r>
              <w:rPr>
                <w:rFonts w:hint="eastAsia" w:ascii="宋体" w:hAnsi="宋体" w:eastAsia="宋体" w:cs="宋体"/>
                <w:sz w:val="24"/>
                <w:szCs w:val="24"/>
                <w:highlight w:val="none"/>
              </w:rPr>
              <w:t xml:space="preserve">规格：卡型（滴加式），铝箔袋单人份包装。</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产品由试剂卡、干燥剂组成。试剂卡由试纸条和塑料盒组成；有效期不小于24个月；4℃-30℃保存。</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检测原理：胶体金法；适应于人毛发中吗啡、甲基苯丙胺、氯胺酮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曲马多</w:t>
            </w:r>
            <w:r>
              <w:rPr>
                <w:rFonts w:hint="eastAsia" w:ascii="宋体" w:hAnsi="宋体" w:eastAsia="宋体" w:cs="宋体"/>
                <w:sz w:val="24"/>
                <w:szCs w:val="24"/>
                <w:highlight w:val="none"/>
              </w:rPr>
              <w:t xml:space="preserve">及其代谢物的检测， 一次可同时检测</w:t>
            </w:r>
            <w:r>
              <w:rPr>
                <w:rFonts w:hint="eastAsia" w:ascii="宋体" w:hAnsi="宋体" w:eastAsia="宋体" w:cs="宋体"/>
                <w:sz w:val="24"/>
                <w:szCs w:val="24"/>
                <w:highlight w:val="none"/>
                <w:lang w:val="en-US" w:eastAsia="zh-CN"/>
              </w:rPr>
              <w:t xml:space="preserve">四</w:t>
            </w:r>
            <w:r>
              <w:rPr>
                <w:rFonts w:hint="eastAsia" w:ascii="宋体" w:hAnsi="宋体" w:eastAsia="宋体" w:cs="宋体"/>
                <w:sz w:val="24"/>
                <w:szCs w:val="24"/>
                <w:highlight w:val="none"/>
              </w:rPr>
              <w:t xml:space="preserve">个项目，上样成功后，5 分钟内可通过肉眼判读结果。</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为保证检测效果，膜条宽度应大于等于3mm。</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为保证上样速度，试剂卡液体移动速度：当在试剂卡上滴加100μL的毛发裂解液时，试剂卡上的液体移动速度应≥40mm/min；</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上样成功后，5 分钟内可通过肉眼判读结果。</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干扰试验：在浓度为1 μg/mL，进样量为100μL时，对下列药物进行测试，结果应显示为阴性：阿司匹林、雷尼替丁、对乙酰氨基酚、氨茶碱、布洛芬；</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批间差：对3批不同批次的毛发检测试剂卡进行检测，批次间检验结果应一致。</w:t>
            </w:r>
            <w:bookmarkEnd w:id="0"/>
            <w:r/>
            <w:r/>
          </w:p>
        </w:tc>
      </w:tr>
      <w:tr>
        <w:trPr>
          <w:jc w:val="center"/>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8</w:t>
            </w:r>
            <w:r/>
          </w:p>
        </w:tc>
        <w:tc>
          <w:tcPr>
            <w:tcBorders>
              <w:top w:val="single" w:color="auto" w:sz="4" w:space="0"/>
              <w:left w:val="none" w:color="000000" w:sz="4" w:space="0"/>
              <w:bottom w:val="single" w:color="auto" w:sz="4" w:space="0"/>
              <w:right w:val="single" w:color="auto" w:sz="4" w:space="0"/>
            </w:tcBorders>
            <w:tcW w:w="877" w:type="pct"/>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color w:val="auto"/>
                <w:sz w:val="24"/>
                <w:szCs w:val="24"/>
                <w:highlight w:val="none"/>
              </w:rPr>
              <w:t xml:space="preserve">吗啡、甲基安非他明、氯胺酮、3,4-二亚甲二氧基甲基苯丙胺、可卡因、四氢大麻酚酸、芬太尼毛发七联检测试剂（胶体金法）</w:t>
            </w:r>
            <w:r/>
          </w:p>
        </w:tc>
        <w:tc>
          <w:tcPr>
            <w:tcBorders>
              <w:top w:val="single" w:color="auto" w:sz="4" w:space="0"/>
              <w:left w:val="none" w:color="000000" w:sz="4" w:space="0"/>
              <w:bottom w:val="single" w:color="auto" w:sz="4" w:space="0"/>
              <w:right w:val="single" w:color="auto" w:sz="4" w:space="0"/>
            </w:tcBorders>
            <w:tcW w:w="3262" w:type="pct"/>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为保证适配性，</w:t>
            </w:r>
            <w:r>
              <w:rPr>
                <w:rFonts w:hint="eastAsia" w:ascii="宋体" w:hAnsi="宋体" w:eastAsia="宋体" w:cs="宋体"/>
                <w:sz w:val="24"/>
                <w:szCs w:val="24"/>
                <w:highlight w:val="none"/>
              </w:rPr>
              <w:t xml:space="preserve">本检测试剂与</w:t>
            </w:r>
            <w:r>
              <w:rPr>
                <w:rFonts w:hint="eastAsia" w:ascii="宋体" w:hAnsi="宋体" w:eastAsia="宋体" w:cs="宋体"/>
                <w:sz w:val="24"/>
                <w:szCs w:val="24"/>
                <w:highlight w:val="none"/>
              </w:rPr>
              <w:t xml:space="preserve">序号1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设备一（研磨设备）应为同一厂家。</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为保障上样效果，试剂卡的膜条宽度应大于等于4 mm；</w:t>
            </w:r>
            <w:r/>
          </w:p>
          <w:p>
            <w:pPr>
              <w:spacing w:line="360" w:lineRule="auto"/>
              <w:shd w:val="clear" w:color="auto"/>
              <w:rPr>
                <w:rFonts w:ascii="宋体" w:hAnsi="宋体" w:eastAsia="宋体" w:cs="宋体"/>
                <w:b/>
                <w:bCs/>
                <w:sz w:val="24"/>
                <w:szCs w:val="24"/>
                <w:highlight w:val="none"/>
              </w:rPr>
            </w:pPr>
            <w:r>
              <w:rPr>
                <w:rFonts w:hint="eastAsia" w:ascii="宋体" w:hAnsi="宋体" w:eastAsia="宋体" w:cs="宋体"/>
                <w:sz w:val="24"/>
                <w:szCs w:val="24"/>
                <w:highlight w:val="none"/>
              </w:rPr>
              <w:t xml:space="preserve">为保障上样速度，当在试剂卡上滴加100μL的毛发裂解液时，试剂卡上的液体移动速度应大于等于40mm/min；</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检测原理：胶体金法；适应于人毛发中吗啡、冰毒（或甲基苯丙胺）、</w:t>
            </w:r>
            <w:r>
              <w:rPr>
                <w:rFonts w:hint="eastAsia" w:ascii="宋体" w:hAnsi="宋体" w:eastAsia="宋体" w:cs="宋体"/>
                <w:color w:val="auto"/>
                <w:sz w:val="24"/>
                <w:szCs w:val="24"/>
                <w:highlight w:val="none"/>
              </w:rPr>
              <w:t xml:space="preserve">3,4-二亚甲二氧基甲基苯丙胺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sz w:val="24"/>
                <w:szCs w:val="24"/>
                <w:highlight w:val="none"/>
              </w:rPr>
              <w:t xml:space="preserve">氯胺酮、大麻（或四氢大麻酚）、</w:t>
            </w:r>
            <w:r>
              <w:rPr>
                <w:rFonts w:hint="eastAsia" w:ascii="宋体" w:hAnsi="宋体" w:eastAsia="宋体" w:cs="宋体"/>
                <w:color w:val="auto"/>
                <w:sz w:val="24"/>
                <w:szCs w:val="24"/>
                <w:highlight w:val="none"/>
              </w:rPr>
              <w:t xml:space="preserve">芬太尼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sz w:val="24"/>
                <w:szCs w:val="24"/>
                <w:highlight w:val="none"/>
              </w:rPr>
              <w:t xml:space="preserve">可卡因及其代谢物的检测， 一次可同时检测</w:t>
            </w:r>
            <w:r>
              <w:rPr>
                <w:rFonts w:hint="eastAsia" w:ascii="宋体" w:hAnsi="宋体" w:eastAsia="宋体" w:cs="宋体"/>
                <w:sz w:val="24"/>
                <w:szCs w:val="24"/>
                <w:highlight w:val="none"/>
                <w:lang w:val="en-US" w:eastAsia="zh-CN"/>
              </w:rPr>
              <w:t xml:space="preserve">七</w:t>
            </w:r>
            <w:r>
              <w:rPr>
                <w:rFonts w:hint="eastAsia" w:ascii="宋体" w:hAnsi="宋体" w:eastAsia="宋体" w:cs="宋体"/>
                <w:sz w:val="24"/>
                <w:szCs w:val="24"/>
                <w:highlight w:val="none"/>
              </w:rPr>
              <w:t xml:space="preserve">个项目。无需处理，即开即用, 4℃-30℃保存。上样成功后，5 分钟内可通过肉眼判读结果；</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检出限：在进样量为100μL前提下，对以下溶液进行检测，对应项目的检测试剂条检测结果应显示为阳性：吗啡30ng/mL、 冰毒（或甲基苯丙胺）20ng/mL、氯胺酮10ng/mL、</w:t>
            </w:r>
            <w:r>
              <w:rPr>
                <w:rFonts w:hint="eastAsia" w:ascii="宋体" w:hAnsi="宋体" w:eastAsia="宋体" w:cs="宋体"/>
                <w:color w:val="auto"/>
                <w:sz w:val="24"/>
                <w:szCs w:val="24"/>
                <w:highlight w:val="none"/>
              </w:rPr>
              <w:t xml:space="preserve">3,4-二亚甲二氧基甲基苯丙胺</w:t>
            </w:r>
            <w:r>
              <w:rPr>
                <w:rFonts w:hint="eastAsia" w:ascii="宋体" w:hAnsi="宋体" w:eastAsia="宋体" w:cs="宋体"/>
                <w:sz w:val="24"/>
                <w:szCs w:val="24"/>
                <w:highlight w:val="none"/>
              </w:rPr>
              <w:t xml:space="preserve">20ng/mL</w:t>
            </w:r>
            <w:r>
              <w:rPr>
                <w:rFonts w:hint="eastAsia" w:ascii="宋体" w:hAnsi="宋体" w:eastAsia="宋体" w:cs="宋体"/>
                <w:color w:val="auto"/>
                <w:sz w:val="24"/>
                <w:szCs w:val="24"/>
                <w:highlight w:val="none"/>
              </w:rPr>
              <w:t xml:space="preserve">、</w:t>
            </w:r>
            <w:r>
              <w:rPr>
                <w:rFonts w:hint="eastAsia" w:ascii="宋体" w:hAnsi="宋体" w:eastAsia="宋体" w:cs="宋体"/>
                <w:sz w:val="24"/>
                <w:szCs w:val="24"/>
                <w:highlight w:val="none"/>
              </w:rPr>
              <w:t xml:space="preserve">可卡因25ng/m</w:t>
            </w:r>
            <w:r>
              <w:rPr>
                <w:rFonts w:hint="eastAsia" w:ascii="宋体" w:hAnsi="宋体" w:eastAsia="宋体" w:cs="宋体"/>
                <w:sz w:val="24"/>
                <w:szCs w:val="24"/>
                <w:highlight w:val="none"/>
                <w:lang w:val="en-US" w:eastAsia="zh-CN"/>
              </w:rPr>
              <w:t xml:space="preserve">L</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大麻（或四氢大麻酚）20ng/mL、</w:t>
            </w:r>
            <w:r>
              <w:rPr>
                <w:rFonts w:hint="eastAsia" w:ascii="宋体" w:hAnsi="宋体" w:eastAsia="宋体" w:cs="宋体"/>
                <w:sz w:val="24"/>
                <w:szCs w:val="24"/>
                <w:highlight w:val="none"/>
                <w:lang w:val="en-US" w:eastAsia="zh-CN"/>
              </w:rPr>
              <w:t xml:space="preserve">芬太尼</w:t>
            </w:r>
            <w:r>
              <w:rPr>
                <w:rFonts w:hint="eastAsia" w:ascii="宋体" w:hAnsi="宋体" w:eastAsia="宋体" w:cs="宋体"/>
                <w:sz w:val="24"/>
                <w:szCs w:val="24"/>
                <w:highlight w:val="none"/>
              </w:rPr>
              <w:t xml:space="preserve">20ng/mL。</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抗干扰性：在浓度为1μg/mL，进样量为</w:t>
            </w:r>
            <w:r>
              <w:rPr>
                <w:rFonts w:ascii="宋体" w:hAnsi="宋体" w:eastAsia="宋体" w:cs="宋体"/>
                <w:sz w:val="24"/>
                <w:szCs w:val="24"/>
                <w:highlight w:val="none"/>
              </w:rPr>
              <w:t xml:space="preserve">100</w:t>
            </w:r>
            <w:r>
              <w:rPr>
                <w:rFonts w:hint="eastAsia" w:ascii="宋体" w:hAnsi="宋体" w:eastAsia="宋体" w:cs="宋体"/>
                <w:sz w:val="24"/>
                <w:szCs w:val="24"/>
                <w:highlight w:val="none"/>
              </w:rPr>
              <w:t xml:space="preserve">μL时，分别对下列药物、毒品干扰物进行测试，试剂卡检测结果均应显示阴性：阿司匹林、雷尼替丁、对乙酰氨基酚、氨茶碱、布洛芬；</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批间差：对3批不同批次的毛发检测试剂卡进行检测，批次间检验结果应一致；</w:t>
            </w:r>
            <w:r/>
          </w:p>
          <w:p>
            <w:pPr>
              <w:spacing w:line="360" w:lineRule="auto"/>
              <w:shd w:val="clear" w:color="auto"/>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9</w:t>
            </w:r>
            <w:r/>
          </w:p>
        </w:tc>
        <w:tc>
          <w:tcPr>
            <w:tcBorders>
              <w:top w:val="single" w:color="auto" w:sz="4" w:space="0"/>
              <w:left w:val="none" w:color="000000" w:sz="4" w:space="0"/>
              <w:bottom w:val="single" w:color="auto" w:sz="4" w:space="0"/>
              <w:right w:val="single" w:color="auto" w:sz="4" w:space="0"/>
            </w:tcBorders>
            <w:tcW w:w="877" w:type="pct"/>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吗啡—甲基苯丙胺-氯胺酮(MOP-MET-KET)毛发三联检测试剂（荧光法）</w:t>
            </w:r>
            <w:r/>
          </w:p>
        </w:tc>
        <w:tc>
          <w:tcPr>
            <w:tcBorders>
              <w:top w:val="single" w:color="auto" w:sz="4" w:space="0"/>
              <w:left w:val="none" w:color="000000" w:sz="4" w:space="0"/>
              <w:bottom w:val="single" w:color="auto" w:sz="4" w:space="0"/>
              <w:right w:val="single" w:color="auto" w:sz="4" w:space="0"/>
            </w:tcBorders>
            <w:tcW w:w="3262" w:type="pct"/>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为保证适配性，本检测试剂与</w:t>
            </w:r>
            <w:r>
              <w:rPr>
                <w:rFonts w:hint="eastAsia" w:ascii="宋体" w:hAnsi="宋体" w:eastAsia="宋体" w:cs="宋体"/>
                <w:sz w:val="24"/>
                <w:szCs w:val="24"/>
                <w:highlight w:val="none"/>
              </w:rPr>
              <w:t xml:space="preserve">序号1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毛发痕量毒品检测仪应为同一厂家。</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规格：卡型（滴加式），铝箔袋单人份包装;</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每份试剂的铝箔袋内应含检测卡、毛发裂解液、干燥剂和滴管；有效期不小于24个月；4℃-30℃保存;</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检测原理：荧光法；适应于人毛发中吗啡、甲基苯丙胺、氯胺酮及其代谢物的检测， 一次可同时检测三个项目;</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为保证上样效果，膜条宽度应大于等于4mm；</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为保证检测速度，当在试剂卡上滴加100μL的毛发裂解液时，试剂卡上的液体移动速度应≥60mm/min。</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检出限：在检出率大于等于90%前提下，对浓度为2ng/mL，进样量为100μL,进样质量为0.2ng的吗啡、甲基苯丙胺、氯胺酮溶液进行采样分析，检测结果应显示为阳性；</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批内差：对同一批次的10份吗啡、甲基苯丙胺、氯胺酮毛发联合检测试剂卡进行检测，分别滴注浓度为10ng/mL，进样量为100μL，进样质量为1ng的 吗啡、甲基苯丙胺、氯胺酮溶液，检测结果的重复性偏差应不大于4% ；</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批间差：对三个批次各10份吗啡、甲基苯丙胺、氯胺酮毛发联合检测试剂卡进行检测，分别滴注浓度为10ng/mL，进样量为100μL，进样质量为1ng的吗啡、甲基苯丙胺、氯胺酮溶液，检测结果的重复性偏差应不大于4% ；</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试剂卡稳定性：当试剂卡检测为阳性时，静置后第5min、第10min的测试结果仍为阳性；</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抗干扰反应：在浓度为1μg/mL，进样量为100 μL，对下列药物及毒品干扰物进行测试， 吗啡、甲基苯丙胺、氯胺酮联合毛发试剂卡检测结果应为阴性：西地那非、阿莫西林、对乙酰氨基酚、雷尼替丁、茶苯海明；</w:t>
            </w:r>
            <w:r/>
          </w:p>
        </w:tc>
      </w:tr>
      <w:tr>
        <w:trPr>
          <w:jc w:val="center"/>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spacing w:line="360" w:lineRule="auto"/>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p>
        </w:tc>
        <w:tc>
          <w:tcPr>
            <w:tcBorders>
              <w:top w:val="single" w:color="auto" w:sz="4" w:space="0"/>
              <w:left w:val="none" w:color="000000" w:sz="4" w:space="0"/>
              <w:bottom w:val="single" w:color="auto" w:sz="4" w:space="0"/>
              <w:right w:val="single" w:color="auto" w:sz="4" w:space="0"/>
            </w:tcBorders>
            <w:tcW w:w="877" w:type="pct"/>
            <w:vAlign w:val="center"/>
            <w:textDirection w:val="lrTb"/>
            <w:noWrap w:val="false"/>
          </w:tcPr>
          <w:p>
            <w:pPr>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毛发采集箱</w:t>
            </w:r>
            <w:r/>
          </w:p>
        </w:tc>
        <w:tc>
          <w:tcPr>
            <w:tcBorders>
              <w:top w:val="single" w:color="auto" w:sz="4" w:space="0"/>
              <w:left w:val="none" w:color="000000" w:sz="4" w:space="0"/>
              <w:bottom w:val="single" w:color="auto" w:sz="4" w:space="0"/>
              <w:right w:val="single" w:color="auto" w:sz="4" w:space="0"/>
            </w:tcBorders>
            <w:tcW w:w="3262" w:type="pct"/>
            <w:vAlign w:val="center"/>
            <w:textDirection w:val="lrTb"/>
            <w:noWrap w:val="false"/>
          </w:tcPr>
          <w:p>
            <w:pPr>
              <w:pStyle w:val="734"/>
              <w:ind w:left="0" w:firstLine="0"/>
              <w:jc w:val="both"/>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毛发采集箱包含：自动毛发采集器，剪刀，镊子、记号笔、毛发分装带、尺子、铝箔纸等工具；</w:t>
            </w:r>
            <w:r/>
          </w:p>
          <w:p>
            <w:pPr>
              <w:pStyle w:val="734"/>
              <w:ind w:left="0" w:firstLine="0"/>
              <w:jc w:val="both"/>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1.设备重量不应超过500g</w:t>
            </w:r>
            <w:r/>
          </w:p>
          <w:p>
            <w:pPr>
              <w:pStyle w:val="734"/>
              <w:ind w:left="0" w:firstLine="0"/>
              <w:jc w:val="both"/>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2.设备尺寸应不大于 245mm(长)x57mm(宽)x57mm(高)，设备定刀片尺寸应不大于39.6mmx17.4mmx1.3mm;，设备动刀片尺寸应不大于35.6mmx17.4mmX1.3mm</w:t>
            </w:r>
            <w:r/>
          </w:p>
          <w:p>
            <w:pPr>
              <w:pStyle w:val="734"/>
              <w:ind w:left="0" w:firstLine="0"/>
              <w:jc w:val="both"/>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3.设备应具有USB-A接口</w:t>
            </w:r>
            <w:r/>
          </w:p>
          <w:p>
            <w:pPr>
              <w:pStyle w:val="734"/>
              <w:ind w:left="0" w:firstLine="0"/>
              <w:jc w:val="both"/>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4.设备启动时间应不超过3s</w:t>
            </w:r>
            <w:r/>
          </w:p>
          <w:p>
            <w:pPr>
              <w:pStyle w:val="734"/>
              <w:ind w:left="0" w:firstLine="0"/>
              <w:jc w:val="both"/>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5.设备应具有两块可拆卸的充电电池，可直接连接Type-C接口或充电底座充电</w:t>
            </w:r>
            <w:r/>
          </w:p>
          <w:p>
            <w:pPr>
              <w:pStyle w:val="734"/>
              <w:ind w:left="0" w:firstLine="0"/>
              <w:jc w:val="both"/>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设备电池充满电后在25℃室温环境下连续工作时间应不低于60min；</w:t>
            </w:r>
            <w:r>
              <w:rPr>
                <w:rFonts w:hint="eastAsia" w:ascii="宋体" w:hAnsi="宋体" w:eastAsia="宋体" w:cs="宋体"/>
                <w:b/>
                <w:bCs/>
                <w:sz w:val="24"/>
                <w:szCs w:val="24"/>
                <w:highlight w:val="none"/>
              </w:rPr>
              <w:t xml:space="preserve">需提供由公安部权威检测机构出具的检测报告扫描件（原件成交后备查）</w:t>
            </w:r>
            <w:r>
              <w:rPr>
                <w:rFonts w:hint="eastAsia" w:ascii="宋体" w:hAnsi="宋体" w:eastAsia="宋体" w:cs="宋体"/>
                <w:sz w:val="24"/>
                <w:szCs w:val="24"/>
                <w:highlight w:val="none"/>
              </w:rPr>
              <w:t xml:space="preserve">；</w:t>
            </w:r>
            <w:r/>
          </w:p>
          <w:p>
            <w:pPr>
              <w:pStyle w:val="734"/>
              <w:ind w:left="0" w:firstLine="0"/>
              <w:jc w:val="both"/>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设备电池在在25℃室温环境下充满电的时间应不高于7h；</w:t>
            </w:r>
            <w:r>
              <w:rPr>
                <w:rFonts w:hint="eastAsia" w:ascii="宋体" w:hAnsi="宋体" w:eastAsia="宋体" w:cs="宋体"/>
                <w:b/>
                <w:bCs/>
                <w:sz w:val="24"/>
                <w:szCs w:val="24"/>
                <w:highlight w:val="none"/>
              </w:rPr>
              <w:t xml:space="preserve">需提供由公安部权威检测机构出具的检测报告扫描件（原件成交后备查）</w:t>
            </w:r>
            <w:r>
              <w:rPr>
                <w:rFonts w:hint="eastAsia" w:ascii="宋体" w:hAnsi="宋体" w:eastAsia="宋体" w:cs="宋体"/>
                <w:sz w:val="24"/>
                <w:szCs w:val="24"/>
                <w:highlight w:val="none"/>
              </w:rPr>
              <w:t xml:space="preserve">；</w:t>
            </w:r>
            <w:r/>
          </w:p>
          <w:p>
            <w:pPr>
              <w:pStyle w:val="734"/>
              <w:ind w:left="0" w:firstLine="0"/>
              <w:jc w:val="both"/>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设备可对毛发进行一次性切断并自行分装为两份；</w:t>
            </w:r>
            <w:r>
              <w:rPr>
                <w:rFonts w:hint="eastAsia" w:ascii="宋体" w:hAnsi="宋体" w:eastAsia="宋体" w:cs="宋体"/>
                <w:b/>
                <w:bCs/>
                <w:sz w:val="24"/>
                <w:szCs w:val="24"/>
                <w:highlight w:val="none"/>
              </w:rPr>
              <w:t xml:space="preserve">需提供由公安部权威检测机构出具的检测报告扫描件（原件成交后备查）</w:t>
            </w:r>
            <w:r>
              <w:rPr>
                <w:rFonts w:hint="eastAsia" w:ascii="宋体" w:hAnsi="宋体" w:eastAsia="宋体" w:cs="宋体"/>
                <w:sz w:val="24"/>
                <w:szCs w:val="24"/>
                <w:highlight w:val="none"/>
              </w:rPr>
              <w:t xml:space="preserve">；</w:t>
            </w:r>
            <w:r/>
          </w:p>
          <w:p>
            <w:pPr>
              <w:pStyle w:val="734"/>
              <w:ind w:left="0" w:firstLine="0"/>
              <w:jc w:val="both"/>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将人造毛发(5根一束)拉直并垂直放入刀口时，设备切断的毛发长度应不超过30mm；</w:t>
            </w:r>
            <w:r>
              <w:rPr>
                <w:rFonts w:hint="eastAsia" w:ascii="宋体" w:hAnsi="宋体" w:eastAsia="宋体" w:cs="宋体"/>
                <w:b/>
                <w:bCs/>
                <w:sz w:val="24"/>
                <w:szCs w:val="24"/>
                <w:highlight w:val="none"/>
              </w:rPr>
              <w:t xml:space="preserve">需提供由公安部权威检测机构出具的检测报告扫描件（原件成交后备查）</w:t>
            </w:r>
            <w:r>
              <w:rPr>
                <w:rFonts w:hint="eastAsia" w:ascii="宋体" w:hAnsi="宋体" w:eastAsia="宋体" w:cs="宋体"/>
                <w:sz w:val="24"/>
                <w:szCs w:val="24"/>
                <w:highlight w:val="none"/>
              </w:rPr>
              <w:t xml:space="preserve">；</w:t>
            </w:r>
            <w:r/>
          </w:p>
          <w:p>
            <w:pPr>
              <w:pStyle w:val="734"/>
              <w:ind w:left="0" w:firstLine="0"/>
              <w:jc w:val="both"/>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10.设备应通过锋利度测试；</w:t>
            </w:r>
            <w:r/>
          </w:p>
        </w:tc>
      </w:tr>
      <w:tr>
        <w:trPr>
          <w:jc w:val="center"/>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spacing w:line="360" w:lineRule="auto"/>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w:t>
            </w:r>
            <w:r/>
          </w:p>
        </w:tc>
        <w:tc>
          <w:tcPr>
            <w:tcBorders>
              <w:top w:val="single" w:color="auto" w:sz="4" w:space="0"/>
              <w:left w:val="none" w:color="000000" w:sz="4" w:space="0"/>
              <w:bottom w:val="single" w:color="auto" w:sz="4" w:space="0"/>
              <w:right w:val="single" w:color="auto" w:sz="4" w:space="0"/>
            </w:tcBorders>
            <w:tcW w:w="877" w:type="pct"/>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毒物毒品筛查试剂盒</w:t>
            </w:r>
            <w:r/>
          </w:p>
        </w:tc>
        <w:tc>
          <w:tcPr>
            <w:tcBorders>
              <w:top w:val="single" w:color="auto" w:sz="4" w:space="0"/>
              <w:left w:val="none" w:color="000000" w:sz="4" w:space="0"/>
              <w:bottom w:val="single" w:color="auto" w:sz="4" w:space="0"/>
              <w:right w:val="single" w:color="auto" w:sz="4" w:space="0"/>
            </w:tcBorders>
            <w:tcW w:w="3262" w:type="pct"/>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 检测方法：原位电离检测法；</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 样本类型：适用于固体、气体等类型样品的现场采样；</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3. 检测项目：吗啡、冰毒、K粉、大麻、摇头丸、海洛因、氯胺酮、依托咪酯等传统及新精神活性物质检测（可联检）；</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4. 每个试剂盒配备唯一标识RFID芯片；</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5. 关键部位（如尖端）具备保护结构，防止采样或转移过程中造成损坏；</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6. 尺寸不大于80mm×20mm×15mm；</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7.试剂盒为一次性使用，避免污染。</w:t>
            </w:r>
            <w:r/>
          </w:p>
        </w:tc>
      </w:tr>
      <w:tr>
        <w:trPr>
          <w:jc w:val="center"/>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877" w:type="pct"/>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毒品检测箱</w:t>
            </w:r>
            <w:r/>
          </w:p>
        </w:tc>
        <w:tc>
          <w:tcPr>
            <w:tcBorders>
              <w:top w:val="single" w:color="auto" w:sz="4" w:space="0"/>
              <w:left w:val="none" w:color="000000" w:sz="4" w:space="0"/>
              <w:bottom w:val="single" w:color="auto" w:sz="4" w:space="0"/>
              <w:right w:val="single" w:color="auto" w:sz="4" w:space="0"/>
            </w:tcBorders>
            <w:tcW w:w="3262" w:type="pct"/>
            <w:vAlign w:val="center"/>
            <w:textDirection w:val="lrTb"/>
            <w:noWrap w:val="false"/>
          </w:tcPr>
          <w:p>
            <w:pPr>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设备一：</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毒品检测箱</w:t>
            </w:r>
            <w:r>
              <w:rPr>
                <w:rFonts w:hint="eastAsia" w:ascii="宋体" w:hAnsi="宋体" w:eastAsia="宋体" w:cs="宋体"/>
                <w:sz w:val="24"/>
                <w:szCs w:val="24"/>
                <w:highlight w:val="none"/>
                <w:lang w:val="en-US" w:eastAsia="zh-CN"/>
              </w:rPr>
              <w:t xml:space="preserve">设备一应采用荧光聚合物传感技术</w:t>
            </w:r>
            <w:r>
              <w:rPr>
                <w:rFonts w:hint="eastAsia" w:ascii="宋体" w:hAnsi="宋体" w:eastAsia="宋体" w:cs="宋体"/>
                <w:sz w:val="24"/>
                <w:szCs w:val="24"/>
                <w:highlight w:val="none"/>
              </w:rPr>
              <w:t xml:space="preserve">。</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配置应至少包含：主机</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1台、擦拭采样模块1个、气体采样模块1个、敏感器件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20个、采样载体10包、电源适配器1个、校验棒1个、内六角小扳手1个、Type-C数据线</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1根。</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▲仪器检测毒品种类：包括但不限于：冰毒、</w:t>
            </w:r>
            <w:r>
              <w:rPr>
                <w:rFonts w:hint="eastAsia" w:ascii="宋体" w:hAnsi="宋体" w:eastAsia="宋体" w:cs="宋体"/>
                <w:sz w:val="24"/>
                <w:szCs w:val="24"/>
                <w:highlight w:val="none"/>
                <w:lang w:val="en-US" w:eastAsia="zh-CN"/>
              </w:rPr>
              <w:t xml:space="preserve">吗啡、杜冷丁、甲卡西酮、麻古、摇头丸、可卡因、安非他明、氯胺酮、四氢大麻酚、氟胺酮、摇头丸（MDMA）摇头丸（MDA）伪麻黄碱、麻黄碱、戊酰芬太尼、芬太尼、枸橼酸芬太尼、美沙酮、巴比妥、非那西汀、咖啡因、鸦片、海洛因、罂粟碱等24种以上毒品种类（含24种）</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需提供由公安部权威检测机构出具的检测报告扫描件（原件成交后备查）</w:t>
            </w:r>
            <w:r>
              <w:rPr>
                <w:rFonts w:hint="eastAsia" w:ascii="宋体" w:hAnsi="宋体" w:eastAsia="宋体" w:cs="宋体"/>
                <w:sz w:val="24"/>
                <w:szCs w:val="24"/>
                <w:highlight w:val="none"/>
              </w:rPr>
              <w:t xml:space="preserve">；</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仪器技术原理：荧光聚合物传感技术；</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仪器取样方式：应具备吸气采样和擦拭采样方式；</w:t>
            </w:r>
            <w:r/>
          </w:p>
          <w:p>
            <w:pP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▲仪器灵敏度：在探测率大于等于90%的前提下，仪器的探测限应小于等于5ng（冰毒</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氯胺酮</w:t>
            </w:r>
            <w:r>
              <w:rPr>
                <w:rFonts w:hint="eastAsia" w:ascii="宋体" w:hAnsi="宋体" w:eastAsia="宋体" w:cs="宋体"/>
                <w:sz w:val="24"/>
                <w:szCs w:val="24"/>
                <w:highlight w:val="none"/>
              </w:rPr>
              <w:t xml:space="preserve">样品）；在探测率大于等于90%的前提下，仪器的探测限应小于等于</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ng（</w:t>
            </w:r>
            <w:r>
              <w:rPr>
                <w:rFonts w:hint="eastAsia" w:ascii="宋体" w:hAnsi="宋体" w:eastAsia="宋体" w:cs="宋体"/>
                <w:sz w:val="24"/>
                <w:szCs w:val="24"/>
                <w:highlight w:val="none"/>
                <w:lang w:val="en-US" w:eastAsia="zh-CN"/>
              </w:rPr>
              <w:t xml:space="preserve">甲卡西酮</w:t>
            </w:r>
            <w:r>
              <w:rPr>
                <w:rFonts w:hint="eastAsia" w:ascii="宋体" w:hAnsi="宋体" w:eastAsia="宋体" w:cs="宋体"/>
                <w:sz w:val="24"/>
                <w:szCs w:val="24"/>
                <w:highlight w:val="none"/>
              </w:rPr>
              <w:t xml:space="preserve">样品）；</w:t>
            </w:r>
            <w:r>
              <w:rPr>
                <w:rFonts w:hint="eastAsia" w:ascii="宋体" w:hAnsi="宋体" w:eastAsia="宋体" w:cs="宋体"/>
                <w:b/>
                <w:bCs/>
                <w:sz w:val="24"/>
                <w:szCs w:val="24"/>
                <w:highlight w:val="none"/>
              </w:rPr>
              <w:t xml:space="preserve">需提供由公安部权威检测机构出具的检测报告扫描件（原件成交后备查）</w:t>
            </w:r>
            <w:r>
              <w:rPr>
                <w:rFonts w:hint="eastAsia" w:ascii="宋体" w:hAnsi="宋体" w:eastAsia="宋体" w:cs="宋体"/>
                <w:sz w:val="24"/>
                <w:szCs w:val="24"/>
                <w:highlight w:val="none"/>
              </w:rPr>
              <w:t xml:space="preserve">；</w:t>
            </w:r>
            <w:r/>
          </w:p>
          <w:p>
            <w:pPr>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报警响应时间：仪器的报警响应时间应小于等于10s；</w:t>
            </w:r>
            <w:r>
              <w:rPr>
                <w:rFonts w:hint="eastAsia" w:ascii="宋体" w:hAnsi="宋体" w:eastAsia="宋体" w:cs="宋体"/>
                <w:b/>
                <w:bCs/>
                <w:sz w:val="24"/>
                <w:szCs w:val="24"/>
                <w:highlight w:val="none"/>
              </w:rPr>
              <w:t xml:space="preserve">需提供由公安部权威检测机构出具的检测报告扫描件（原件成交后备查）</w:t>
            </w:r>
            <w:r>
              <w:rPr>
                <w:rFonts w:hint="eastAsia" w:ascii="宋体" w:hAnsi="宋体" w:eastAsia="宋体" w:cs="宋体"/>
                <w:sz w:val="24"/>
                <w:szCs w:val="24"/>
                <w:highlight w:val="none"/>
              </w:rPr>
              <w:t xml:space="preserve">；</w:t>
            </w:r>
            <w:r/>
          </w:p>
          <w:p>
            <w:pPr>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报警恢复时间：仪器对10ng的冰毒样本进行采样分析，报警恢复时间应小于等于5s；</w:t>
            </w:r>
            <w:r>
              <w:rPr>
                <w:rFonts w:hint="eastAsia" w:ascii="宋体" w:hAnsi="宋体" w:eastAsia="宋体" w:cs="宋体"/>
                <w:b/>
                <w:bCs/>
                <w:sz w:val="24"/>
                <w:szCs w:val="24"/>
                <w:highlight w:val="none"/>
              </w:rPr>
              <w:t xml:space="preserve">需提供由公安部权威检测机构出具的检测报告扫描件（原件成交后备查）</w:t>
            </w:r>
            <w:r>
              <w:rPr>
                <w:rFonts w:hint="eastAsia" w:ascii="宋体" w:hAnsi="宋体" w:eastAsia="宋体" w:cs="宋体"/>
                <w:sz w:val="24"/>
                <w:szCs w:val="24"/>
                <w:highlight w:val="none"/>
              </w:rPr>
              <w:t xml:space="preserve">；</w:t>
            </w:r>
            <w:r/>
          </w:p>
          <w:p>
            <w:pPr>
              <w:spacing w:line="360" w:lineRule="auto"/>
              <w:shd w:val="clear" w:color="auto"/>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过载恢复时间：仪器对1</w:t>
            </w:r>
            <w:r>
              <w:rPr>
                <w:rFonts w:hint="eastAsia" w:ascii="宋体" w:hAnsi="宋体" w:eastAsia="宋体" w:cs="宋体"/>
                <w:i w:val="0"/>
                <w:iCs w:val="0"/>
                <w:caps w:val="0"/>
                <w:color w:val="333333"/>
                <w:spacing w:val="0"/>
                <w:sz w:val="24"/>
                <w:szCs w:val="24"/>
                <w:highlight w:val="none"/>
                <w:shd w:val="clear" w:color="auto" w:fill="ffffff"/>
              </w:rPr>
              <w:t xml:space="preserve">μg</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的冰毒样本进行采样分析，过载恢复时间应小于等于6s；</w:t>
            </w:r>
            <w:r>
              <w:rPr>
                <w:rFonts w:hint="eastAsia" w:ascii="宋体" w:hAnsi="宋体" w:eastAsia="宋体" w:cs="宋体"/>
                <w:b/>
                <w:bCs/>
                <w:sz w:val="24"/>
                <w:szCs w:val="24"/>
                <w:highlight w:val="none"/>
              </w:rPr>
              <w:t xml:space="preserve">需提供由公安部权威检测机构出具的检测报告扫描件（原件成交后备查）</w:t>
            </w:r>
            <w:r>
              <w:rPr>
                <w:rFonts w:hint="eastAsia" w:ascii="宋体" w:hAnsi="宋体" w:eastAsia="宋体" w:cs="宋体"/>
                <w:sz w:val="24"/>
                <w:szCs w:val="24"/>
                <w:highlight w:val="none"/>
              </w:rPr>
              <w:t xml:space="preserve">；</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仪器屏幕尺寸：应大于等于</w:t>
            </w:r>
            <w:r>
              <w:rPr>
                <w:rFonts w:hint="eastAsia" w:ascii="宋体" w:hAnsi="宋体" w:eastAsia="宋体" w:cs="宋体"/>
                <w:sz w:val="24"/>
                <w:szCs w:val="24"/>
                <w:highlight w:val="none"/>
                <w:lang w:val="en-US" w:eastAsia="zh-CN"/>
              </w:rPr>
              <w:t xml:space="preserve">5.0</w:t>
            </w:r>
            <w:r>
              <w:rPr>
                <w:rFonts w:hint="eastAsia" w:ascii="宋体" w:hAnsi="宋体" w:eastAsia="宋体" w:cs="宋体"/>
                <w:sz w:val="24"/>
                <w:szCs w:val="24"/>
                <w:highlight w:val="none"/>
              </w:rPr>
              <w:t xml:space="preserve">英寸；</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仪器应无内置放射源；</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仪器应具有数据的实时存储、检索、导出功能，数据的存储量应大于等于110万条；</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仪器应能够提供声、光、字符、振动等报警提示；报警声级应可调，其最大报警声级应大于等于80dB(A) ；</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手持式仪器应自备电源，自备电源的持续工作时间应大于等于1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h；使用自备电源供电时，仪器的待机时长应大于等于24小时；自备电源的电量从0%充至100%所需时间应小于等于3小时；</w:t>
            </w:r>
            <w:r/>
          </w:p>
          <w:p>
            <w:pP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仪器误报警率：对空白采样载体或洁净空气样品进行采样分析，仪器的误报警率应小于等于0.5%；</w:t>
            </w:r>
            <w:r/>
          </w:p>
          <w:p>
            <w:pPr>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设备二：</w:t>
            </w:r>
            <w:r/>
          </w:p>
          <w:p>
            <w:pPr>
              <w:pStyle w:val="819"/>
              <w:numPr>
                <w:ilvl w:val="0"/>
                <w:numId w:val="0"/>
              </w:numPr>
              <w:jc w:val="left"/>
              <w:spacing w:line="400" w:lineRule="exact"/>
              <w:shd w:val="clear" w:color="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毒品检测箱设备二应</w:t>
            </w:r>
            <w:r>
              <w:rPr>
                <w:rFonts w:hint="eastAsia" w:ascii="宋体" w:hAnsi="宋体" w:eastAsia="宋体" w:cs="宋体"/>
                <w:sz w:val="24"/>
                <w:szCs w:val="24"/>
                <w:highlight w:val="none"/>
              </w:rPr>
              <w:t xml:space="preserve">采用离子迁移谱技术；</w:t>
            </w:r>
            <w:r>
              <w:rPr>
                <w:rFonts w:hint="eastAsia" w:ascii="宋体" w:hAnsi="宋体" w:eastAsia="宋体" w:cs="宋体"/>
                <w:b/>
                <w:bCs/>
                <w:sz w:val="24"/>
                <w:szCs w:val="24"/>
                <w:highlight w:val="none"/>
              </w:rPr>
              <w:t xml:space="preserve">需提供由公安部权威检测机构出具的检测报告扫描件（原件成交后备查）</w:t>
            </w:r>
            <w:r>
              <w:rPr>
                <w:rFonts w:hint="eastAsia" w:ascii="宋体" w:hAnsi="宋体" w:eastAsia="宋体" w:cs="宋体"/>
                <w:sz w:val="24"/>
                <w:szCs w:val="24"/>
                <w:highlight w:val="none"/>
              </w:rPr>
              <w:t xml:space="preserve">；</w:t>
            </w:r>
            <w:r/>
          </w:p>
          <w:p>
            <w:pPr>
              <w:pStyle w:val="819"/>
              <w:numPr>
                <w:ilvl w:val="0"/>
                <w:numId w:val="0"/>
              </w:numPr>
              <w:jc w:val="left"/>
              <w:spacing w:line="400" w:lineRule="exact"/>
              <w:shd w:val="clear" w:color="auto"/>
              <w:rPr>
                <w:rFonts w:hint="eastAsia" w:ascii="宋体" w:hAnsi="宋体" w:eastAsia="宋体" w:cs="宋体"/>
                <w:spacing w:val="6"/>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放射源</w:t>
            </w:r>
            <w:r>
              <w:rPr>
                <w:rFonts w:hint="eastAsia" w:ascii="宋体" w:hAnsi="宋体" w:eastAsia="宋体" w:cs="宋体"/>
                <w:spacing w:val="6"/>
                <w:sz w:val="24"/>
                <w:szCs w:val="24"/>
                <w:highlight w:val="none"/>
              </w:rPr>
              <w:t xml:space="preserve">：设备应采用</w:t>
            </w:r>
            <w:r>
              <w:rPr>
                <w:rFonts w:hint="eastAsia" w:ascii="宋体" w:hAnsi="宋体" w:eastAsia="宋体" w:cs="宋体"/>
                <w:sz w:val="24"/>
                <w:szCs w:val="24"/>
                <w:highlight w:val="none"/>
              </w:rPr>
              <w:t xml:space="preserve">用电晕放电，无放射源；</w:t>
            </w:r>
            <w:r>
              <w:rPr>
                <w:rFonts w:hint="eastAsia" w:ascii="宋体" w:hAnsi="宋体" w:eastAsia="宋体" w:cs="宋体"/>
                <w:b/>
                <w:bCs/>
                <w:sz w:val="24"/>
                <w:szCs w:val="24"/>
                <w:highlight w:val="none"/>
              </w:rPr>
              <w:t xml:space="preserve">需提供由公安部权威检测机构出具的检测报告扫描件（原件成交后备查）</w:t>
            </w:r>
            <w:r>
              <w:rPr>
                <w:rFonts w:hint="eastAsia" w:ascii="宋体" w:hAnsi="宋体" w:eastAsia="宋体" w:cs="宋体"/>
                <w:sz w:val="24"/>
                <w:szCs w:val="24"/>
                <w:highlight w:val="none"/>
              </w:rPr>
              <w:t xml:space="preserve">；</w:t>
            </w:r>
            <w:r/>
          </w:p>
          <w:p>
            <w:pPr>
              <w:pStyle w:val="819"/>
              <w:numPr>
                <w:ilvl w:val="0"/>
                <w:numId w:val="0"/>
              </w:numPr>
              <w:jc w:val="left"/>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3.同步双模式功能要求</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在双模式探测模式下，仪器应能在一次检测中同时对样品中包含的炸药和毒品进行探测并报警</w:t>
            </w:r>
            <w:r>
              <w:rPr>
                <w:rFonts w:hint="eastAsia" w:ascii="宋体" w:hAnsi="宋体" w:eastAsia="宋体" w:cs="宋体"/>
                <w:sz w:val="24"/>
                <w:szCs w:val="24"/>
                <w:highlight w:val="none"/>
              </w:rPr>
              <w:t xml:space="preserve">；</w:t>
            </w:r>
            <w:r/>
          </w:p>
          <w:p>
            <w:pPr>
              <w:pStyle w:val="819"/>
              <w:numPr>
                <w:ilvl w:val="0"/>
                <w:numId w:val="0"/>
              </w:numPr>
              <w:jc w:val="left"/>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取样方式：</w:t>
            </w:r>
            <w:r>
              <w:rPr>
                <w:rFonts w:hint="eastAsia" w:ascii="宋体" w:hAnsi="宋体" w:eastAsia="宋体" w:cs="宋体"/>
                <w:spacing w:val="6"/>
                <w:sz w:val="24"/>
                <w:szCs w:val="24"/>
                <w:highlight w:val="none"/>
              </w:rPr>
              <w:t xml:space="preserve">擦拭采样；</w:t>
            </w:r>
            <w:r/>
          </w:p>
          <w:p>
            <w:pPr>
              <w:pStyle w:val="819"/>
              <w:numPr>
                <w:ilvl w:val="0"/>
                <w:numId w:val="0"/>
              </w:numPr>
              <w:jc w:val="left"/>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软件功能：</w:t>
            </w:r>
            <w:r>
              <w:rPr>
                <w:rFonts w:hint="eastAsia" w:ascii="宋体" w:hAnsi="宋体" w:eastAsia="宋体" w:cs="宋体"/>
                <w:spacing w:val="6"/>
                <w:sz w:val="24"/>
                <w:szCs w:val="24"/>
                <w:highlight w:val="none"/>
              </w:rPr>
              <w:t xml:space="preserve">具有自检、校准功能，新样品数据的添加功能，能通过USB、有线网络连接的方式对物质库进行升级；</w:t>
            </w:r>
            <w:r/>
          </w:p>
          <w:p>
            <w:pPr>
              <w:pStyle w:val="819"/>
              <w:numPr>
                <w:ilvl w:val="0"/>
                <w:numId w:val="0"/>
              </w:numPr>
              <w:jc w:val="left"/>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存储：</w:t>
            </w:r>
            <w:r>
              <w:rPr>
                <w:rFonts w:hint="eastAsia" w:ascii="宋体" w:hAnsi="宋体" w:eastAsia="宋体" w:cs="宋体"/>
                <w:spacing w:val="6"/>
                <w:sz w:val="24"/>
                <w:szCs w:val="24"/>
                <w:highlight w:val="none"/>
              </w:rPr>
              <w:t xml:space="preserve">存储量检测数据不少于100万条；</w:t>
            </w:r>
            <w:r/>
          </w:p>
          <w:p>
            <w:pPr>
              <w:pStyle w:val="819"/>
              <w:numPr>
                <w:ilvl w:val="0"/>
                <w:numId w:val="0"/>
              </w:numPr>
              <w:jc w:val="left"/>
              <w:spacing w:line="400" w:lineRule="exact"/>
              <w:shd w:val="clear" w:color="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显示屏幕：</w:t>
            </w:r>
            <w:r>
              <w:rPr>
                <w:rFonts w:hint="eastAsia" w:ascii="宋体" w:hAnsi="宋体" w:eastAsia="宋体" w:cs="宋体"/>
                <w:sz w:val="24"/>
                <w:szCs w:val="24"/>
                <w:highlight w:val="none"/>
                <w:lang w:val="en-US" w:eastAsia="zh-CN"/>
              </w:rPr>
              <w:t xml:space="preserve">设备应具备</w:t>
            </w:r>
            <w:r>
              <w:rPr>
                <w:rFonts w:hint="eastAsia" w:ascii="宋体" w:hAnsi="宋体" w:eastAsia="宋体" w:cs="宋体"/>
                <w:sz w:val="24"/>
                <w:szCs w:val="24"/>
                <w:highlight w:val="none"/>
              </w:rPr>
              <w:t xml:space="preserve">7寸彩色触摸</w:t>
            </w:r>
            <w:r>
              <w:rPr>
                <w:rFonts w:hint="eastAsia" w:ascii="宋体" w:hAnsi="宋体" w:eastAsia="宋体" w:cs="宋体"/>
                <w:sz w:val="24"/>
                <w:szCs w:val="24"/>
                <w:highlight w:val="none"/>
                <w:lang w:val="en-US" w:eastAsia="zh-CN"/>
              </w:rPr>
              <w:t xml:space="preserve">显示</w:t>
            </w:r>
            <w:r>
              <w:rPr>
                <w:rFonts w:hint="eastAsia" w:ascii="宋体" w:hAnsi="宋体" w:eastAsia="宋体" w:cs="宋体"/>
                <w:sz w:val="24"/>
                <w:szCs w:val="24"/>
                <w:highlight w:val="none"/>
              </w:rPr>
              <w:t xml:space="preserve">屏；</w:t>
            </w:r>
            <w:r/>
          </w:p>
          <w:p>
            <w:pPr>
              <w:pStyle w:val="819"/>
              <w:numPr>
                <w:ilvl w:val="0"/>
                <w:numId w:val="0"/>
              </w:numPr>
              <w:jc w:val="left"/>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网络接口：</w:t>
            </w:r>
            <w:r>
              <w:rPr>
                <w:rFonts w:hint="eastAsia" w:ascii="宋体" w:hAnsi="宋体" w:eastAsia="宋体" w:cs="宋体"/>
                <w:spacing w:val="6"/>
                <w:sz w:val="24"/>
                <w:szCs w:val="24"/>
                <w:highlight w:val="none"/>
              </w:rPr>
              <w:t xml:space="preserve">USB接口，RJ45网络接口和1个HDMI接口；</w:t>
            </w:r>
            <w:r/>
          </w:p>
          <w:p>
            <w:pPr>
              <w:pStyle w:val="819"/>
              <w:numPr>
                <w:ilvl w:val="0"/>
                <w:numId w:val="0"/>
              </w:numPr>
              <w:jc w:val="left"/>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管理平台：</w:t>
            </w:r>
            <w:r>
              <w:rPr>
                <w:rFonts w:hint="eastAsia" w:ascii="宋体" w:hAnsi="宋体" w:eastAsia="宋体" w:cs="宋体"/>
                <w:spacing w:val="6"/>
                <w:sz w:val="24"/>
                <w:szCs w:val="24"/>
                <w:highlight w:val="none"/>
              </w:rPr>
              <w:t xml:space="preserve">应支持数据显示、状态监测、报警结果显示、故障诊断、数据查看等远程管理功能；</w:t>
            </w:r>
            <w:r/>
          </w:p>
          <w:p>
            <w:pPr>
              <w:pStyle w:val="819"/>
              <w:numPr>
                <w:ilvl w:val="0"/>
                <w:numId w:val="0"/>
              </w:numPr>
              <w:jc w:val="left"/>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报警提示：</w:t>
            </w:r>
            <w:r>
              <w:rPr>
                <w:rFonts w:hint="eastAsia" w:ascii="宋体" w:hAnsi="宋体" w:eastAsia="宋体" w:cs="宋体"/>
                <w:spacing w:val="6"/>
                <w:sz w:val="24"/>
                <w:szCs w:val="24"/>
                <w:highlight w:val="none"/>
              </w:rPr>
              <w:t xml:space="preserve">能够提供声、光、字符等报警提示，可以根据使用场景要求调节报警音量，并可切换至振动报警模式；</w:t>
            </w:r>
            <w:r/>
          </w:p>
          <w:p>
            <w:pPr>
              <w:pStyle w:val="819"/>
              <w:numPr>
                <w:ilvl w:val="0"/>
                <w:numId w:val="0"/>
              </w:numPr>
              <w:jc w:val="left"/>
              <w:spacing w:line="400" w:lineRule="exact"/>
              <w:shd w:val="clear" w:color="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11.</w:t>
            </w:r>
            <w:r>
              <w:rPr>
                <w:rFonts w:hint="eastAsia" w:ascii="宋体" w:hAnsi="宋体" w:eastAsia="宋体" w:cs="宋体"/>
                <w:sz w:val="24"/>
                <w:szCs w:val="24"/>
                <w:highlight w:val="none"/>
              </w:rPr>
              <w:t xml:space="preserve">▲定位功能：</w:t>
            </w:r>
            <w:r>
              <w:rPr>
                <w:rFonts w:hint="eastAsia" w:ascii="宋体" w:hAnsi="宋体" w:eastAsia="宋体" w:cs="宋体"/>
                <w:spacing w:val="6"/>
                <w:sz w:val="24"/>
                <w:szCs w:val="24"/>
                <w:highlight w:val="none"/>
              </w:rPr>
              <w:t xml:space="preserve">具有GPS定位功能，并应能将仪器的位置信息通过网络上传到管理平台；</w:t>
            </w:r>
            <w:r>
              <w:rPr>
                <w:rFonts w:hint="eastAsia" w:ascii="宋体" w:hAnsi="宋体" w:eastAsia="宋体" w:cs="宋体"/>
                <w:b/>
                <w:bCs/>
                <w:sz w:val="24"/>
                <w:szCs w:val="24"/>
                <w:highlight w:val="none"/>
              </w:rPr>
              <w:t xml:space="preserve">需提供由公安部权威检测机构出具的检测报告扫描件（原件成交后备查）</w:t>
            </w:r>
            <w:r>
              <w:rPr>
                <w:rFonts w:hint="eastAsia" w:ascii="宋体" w:hAnsi="宋体" w:eastAsia="宋体" w:cs="宋体"/>
                <w:sz w:val="24"/>
                <w:szCs w:val="24"/>
                <w:highlight w:val="none"/>
              </w:rPr>
              <w:t xml:space="preserve">；</w:t>
            </w:r>
            <w:r/>
          </w:p>
          <w:p>
            <w:pPr>
              <w:pStyle w:val="819"/>
              <w:numPr>
                <w:ilvl w:val="0"/>
                <w:numId w:val="0"/>
              </w:numPr>
              <w:jc w:val="left"/>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▲滤芯切换要求：</w:t>
            </w:r>
            <w:r>
              <w:rPr>
                <w:rFonts w:hint="eastAsia" w:ascii="宋体" w:hAnsi="宋体" w:eastAsia="宋体" w:cs="宋体"/>
                <w:color w:val="auto"/>
                <w:sz w:val="24"/>
                <w:szCs w:val="24"/>
                <w:highlight w:val="none"/>
              </w:rPr>
              <w:t xml:space="preserve">设备具备两套再生滤芯，可交替切换使用；</w:t>
            </w:r>
            <w:r>
              <w:rPr>
                <w:rFonts w:hint="eastAsia" w:ascii="宋体" w:hAnsi="宋体" w:eastAsia="宋体" w:cs="宋体"/>
                <w:b/>
                <w:bCs/>
                <w:sz w:val="24"/>
                <w:szCs w:val="24"/>
                <w:highlight w:val="none"/>
              </w:rPr>
              <w:t xml:space="preserve">需提供由公安部权威检测机构出具的检测报告扫描件（原件成交后备查）</w:t>
            </w:r>
            <w:r>
              <w:rPr>
                <w:rFonts w:hint="eastAsia" w:ascii="宋体" w:hAnsi="宋体" w:eastAsia="宋体" w:cs="宋体"/>
                <w:sz w:val="24"/>
                <w:szCs w:val="24"/>
                <w:highlight w:val="none"/>
              </w:rPr>
              <w:t xml:space="preserve">；</w:t>
            </w:r>
            <w:r/>
          </w:p>
          <w:p>
            <w:pPr>
              <w:pStyle w:val="819"/>
              <w:numPr>
                <w:ilvl w:val="0"/>
                <w:numId w:val="0"/>
              </w:numPr>
              <w:jc w:val="left"/>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▲冷启动时间：不大于</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分钟；</w:t>
            </w:r>
            <w:r>
              <w:rPr>
                <w:rFonts w:hint="eastAsia" w:ascii="宋体" w:hAnsi="宋体" w:eastAsia="宋体" w:cs="宋体"/>
                <w:b/>
                <w:bCs/>
                <w:sz w:val="24"/>
                <w:szCs w:val="24"/>
                <w:highlight w:val="none"/>
              </w:rPr>
              <w:t xml:space="preserve">需提供由公安部权威检测机构出具的检测报告扫描件（原件成交后备查）</w:t>
            </w:r>
            <w:r>
              <w:rPr>
                <w:rFonts w:hint="eastAsia" w:ascii="宋体" w:hAnsi="宋体" w:eastAsia="宋体" w:cs="宋体"/>
                <w:sz w:val="24"/>
                <w:szCs w:val="24"/>
                <w:highlight w:val="none"/>
              </w:rPr>
              <w:t xml:space="preserve">；</w:t>
            </w:r>
            <w:r/>
          </w:p>
          <w:p>
            <w:pPr>
              <w:pStyle w:val="819"/>
              <w:numPr>
                <w:ilvl w:val="0"/>
                <w:numId w:val="0"/>
              </w:numPr>
              <w:jc w:val="left"/>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毒品物质库：</w:t>
            </w:r>
            <w:r>
              <w:rPr>
                <w:rFonts w:hint="eastAsia" w:ascii="宋体" w:hAnsi="宋体" w:eastAsia="宋体" w:cs="宋体"/>
                <w:spacing w:val="6"/>
                <w:sz w:val="24"/>
                <w:szCs w:val="24"/>
                <w:highlight w:val="none"/>
              </w:rPr>
              <w:t xml:space="preserve">盐酸可卡因、盐酸海洛因、四氢大麻酚、甲基苯丙胺、盐酸氯胺酮、盐酸吗啡、甲卡西酮、芬太尼等；</w:t>
            </w:r>
            <w:r/>
          </w:p>
          <w:p>
            <w:pPr>
              <w:pStyle w:val="819"/>
              <w:numPr>
                <w:ilvl w:val="0"/>
                <w:numId w:val="0"/>
              </w:numPr>
              <w:jc w:val="left"/>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爆炸物物质库：</w:t>
            </w:r>
            <w:r>
              <w:rPr>
                <w:rFonts w:hint="eastAsia" w:ascii="宋体" w:hAnsi="宋体" w:eastAsia="宋体" w:cs="宋体"/>
                <w:spacing w:val="6"/>
                <w:sz w:val="24"/>
                <w:szCs w:val="24"/>
                <w:highlight w:val="none"/>
              </w:rPr>
              <w:t xml:space="preserve">梯恩梯、黑索今、太安、硝化甘油、硝酸铵、黑火药（硫磺代）、三过氧化三丙酮(TATP)等；</w:t>
            </w:r>
            <w:r/>
          </w:p>
          <w:p>
            <w:pPr>
              <w:pStyle w:val="819"/>
              <w:numPr>
                <w:ilvl w:val="0"/>
                <w:numId w:val="0"/>
              </w:numPr>
              <w:jc w:val="left"/>
              <w:spacing w:line="400" w:lineRule="exact"/>
              <w:shd w:val="clear" w:color="auto"/>
              <w:rPr>
                <w:rFonts w:hint="eastAsia" w:ascii="宋体" w:hAnsi="宋体" w:eastAsia="宋体" w:cs="宋体"/>
                <w:sz w:val="24"/>
                <w:szCs w:val="24"/>
                <w:highlight w:val="none"/>
              </w:rPr>
            </w:pPr>
            <w:r>
              <w:rPr>
                <w:rFonts w:hint="eastAsia" w:ascii="宋体" w:hAnsi="宋体" w:eastAsia="宋体" w:cs="宋体"/>
                <w:spacing w:val="6"/>
                <w:sz w:val="24"/>
                <w:szCs w:val="24"/>
                <w:highlight w:val="none"/>
                <w:lang w:val="en-US" w:eastAsia="zh-CN"/>
              </w:rPr>
              <w:t xml:space="preserve">16.</w:t>
            </w:r>
            <w:r>
              <w:rPr>
                <w:rFonts w:hint="eastAsia" w:ascii="宋体" w:hAnsi="宋体" w:eastAsia="宋体" w:cs="宋体"/>
                <w:spacing w:val="6"/>
                <w:sz w:val="24"/>
                <w:szCs w:val="24"/>
                <w:highlight w:val="none"/>
              </w:rPr>
              <w:t xml:space="preserve"> 误报率：不大于1%；</w:t>
            </w:r>
            <w:r/>
          </w:p>
          <w:p>
            <w:pPr>
              <w:pStyle w:val="819"/>
              <w:numPr>
                <w:ilvl w:val="0"/>
                <w:numId w:val="0"/>
              </w:numPr>
              <w:jc w:val="left"/>
              <w:spacing w:line="400" w:lineRule="exact"/>
              <w:shd w:val="clear" w:color="auto"/>
              <w:rPr>
                <w:rFonts w:hint="eastAsia" w:ascii="宋体" w:hAnsi="宋体" w:eastAsia="宋体" w:cs="宋体"/>
                <w:sz w:val="24"/>
                <w:szCs w:val="24"/>
                <w:highlight w:val="none"/>
              </w:rPr>
            </w:pPr>
            <w:r>
              <w:rPr>
                <w:rFonts w:hint="eastAsia" w:ascii="宋体" w:hAnsi="宋体" w:eastAsia="宋体" w:cs="宋体"/>
                <w:spacing w:val="6"/>
                <w:sz w:val="24"/>
                <w:szCs w:val="24"/>
                <w:highlight w:val="none"/>
                <w:lang w:val="en-US" w:eastAsia="zh-CN"/>
              </w:rPr>
              <w:t xml:space="preserve">17.</w:t>
            </w:r>
            <w:r>
              <w:rPr>
                <w:rFonts w:hint="eastAsia" w:ascii="宋体" w:hAnsi="宋体" w:eastAsia="宋体" w:cs="宋体"/>
                <w:spacing w:val="6"/>
                <w:sz w:val="24"/>
                <w:szCs w:val="24"/>
                <w:highlight w:val="none"/>
              </w:rPr>
              <w:t xml:space="preserve">分析时间：≤8.5秒；</w:t>
            </w:r>
            <w:r/>
          </w:p>
          <w:p>
            <w:pPr>
              <w:pStyle w:val="819"/>
              <w:numPr>
                <w:ilvl w:val="0"/>
                <w:numId w:val="0"/>
              </w:numPr>
              <w:jc w:val="left"/>
              <w:spacing w:line="400" w:lineRule="exact"/>
              <w:shd w:val="clear" w:color="auto"/>
              <w:rPr>
                <w:rFonts w:hint="eastAsia" w:ascii="宋体" w:hAnsi="宋体" w:eastAsia="宋体" w:cs="宋体"/>
                <w:sz w:val="24"/>
                <w:szCs w:val="24"/>
                <w:highlight w:val="none"/>
              </w:rPr>
            </w:pPr>
            <w:r>
              <w:rPr>
                <w:rFonts w:hint="eastAsia" w:ascii="宋体" w:hAnsi="宋体" w:eastAsia="宋体" w:cs="宋体"/>
                <w:spacing w:val="6"/>
                <w:sz w:val="24"/>
                <w:szCs w:val="24"/>
                <w:highlight w:val="none"/>
                <w:lang w:val="en-US" w:eastAsia="zh-CN"/>
              </w:rPr>
              <w:t xml:space="preserve">18.</w:t>
            </w:r>
            <w:r>
              <w:rPr>
                <w:rFonts w:hint="eastAsia" w:ascii="宋体" w:hAnsi="宋体" w:eastAsia="宋体" w:cs="宋体"/>
                <w:spacing w:val="6"/>
                <w:sz w:val="24"/>
                <w:szCs w:val="24"/>
                <w:highlight w:val="none"/>
              </w:rPr>
              <w:t xml:space="preserve">探测限：对盐酸可卡因进行采样分析，在检出率不小于90％的前提下，探测限应不大于10ng；对梯恩梯进行采样分析，在检出率不小于90％的前提下，探测限应不大</w:t>
            </w:r>
            <w:r>
              <w:rPr>
                <w:rFonts w:hint="eastAsia" w:ascii="宋体" w:hAnsi="宋体" w:eastAsia="宋体" w:cs="宋体"/>
                <w:color w:val="auto"/>
                <w:spacing w:val="6"/>
                <w:sz w:val="24"/>
                <w:szCs w:val="24"/>
                <w:highlight w:val="none"/>
              </w:rPr>
              <w:t xml:space="preserve">于</w:t>
            </w:r>
            <w:r>
              <w:rPr>
                <w:rFonts w:hint="eastAsia" w:ascii="宋体" w:hAnsi="宋体" w:eastAsia="宋体" w:cs="宋体"/>
                <w:color w:val="auto"/>
                <w:spacing w:val="6"/>
                <w:sz w:val="24"/>
                <w:szCs w:val="24"/>
                <w:highlight w:val="none"/>
                <w:lang w:val="en-US" w:eastAsia="zh-CN"/>
              </w:rPr>
              <w:t xml:space="preserve">10</w:t>
            </w:r>
            <w:r>
              <w:rPr>
                <w:rFonts w:hint="eastAsia" w:ascii="宋体" w:hAnsi="宋体" w:eastAsia="宋体" w:cs="宋体"/>
                <w:color w:val="auto"/>
                <w:spacing w:val="6"/>
                <w:sz w:val="24"/>
                <w:szCs w:val="24"/>
                <w:highlight w:val="none"/>
              </w:rPr>
              <w:t xml:space="preserve">ng</w:t>
            </w:r>
            <w:r>
              <w:rPr>
                <w:rFonts w:hint="eastAsia" w:ascii="宋体" w:hAnsi="宋体" w:eastAsia="宋体" w:cs="宋体"/>
                <w:spacing w:val="6"/>
                <w:sz w:val="24"/>
                <w:szCs w:val="24"/>
                <w:highlight w:val="none"/>
              </w:rPr>
              <w:t xml:space="preserve">；</w:t>
            </w:r>
            <w:r/>
          </w:p>
          <w:p>
            <w:pPr>
              <w:pStyle w:val="819"/>
              <w:numPr>
                <w:ilvl w:val="0"/>
                <w:numId w:val="0"/>
              </w:numPr>
              <w:ind w:left="-136"/>
              <w:jc w:val="left"/>
              <w:spacing w:line="400" w:lineRule="exact"/>
              <w:shd w:val="clear" w:color="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lang w:val="en-US" w:eastAsia="zh-CN"/>
              </w:rPr>
              <w:t xml:space="preserve">19.</w:t>
            </w:r>
            <w:r>
              <w:rPr>
                <w:rFonts w:hint="eastAsia" w:ascii="宋体" w:hAnsi="宋体" w:eastAsia="宋体" w:cs="宋体"/>
                <w:spacing w:val="6"/>
                <w:sz w:val="24"/>
                <w:szCs w:val="24"/>
                <w:highlight w:val="none"/>
              </w:rPr>
              <w:t xml:space="preserve">过负荷恢复时间 ：对盐酸可卡因进行分析，在采样质量为1 μg的前提下，过负荷恢复时间应不大于6分钟10秒；对梯恩梯进行分析，在采样质量为1 μg的前提下，过负荷恢复时间应不大于45秒。</w:t>
            </w:r>
            <w:r/>
          </w:p>
          <w:p>
            <w:pPr>
              <w:spacing w:line="360" w:lineRule="auto"/>
              <w:shd w:val="clear" w:color="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r>
      <w:tr>
        <w:trPr>
          <w:jc w:val="center"/>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spacing w:line="360" w:lineRule="auto"/>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w:t>
            </w:r>
            <w:r/>
          </w:p>
        </w:tc>
        <w:tc>
          <w:tcPr>
            <w:tcBorders>
              <w:top w:val="single" w:color="auto" w:sz="4" w:space="0"/>
              <w:left w:val="none" w:color="000000" w:sz="4" w:space="0"/>
              <w:bottom w:val="single" w:color="auto" w:sz="4" w:space="0"/>
              <w:right w:val="single" w:color="auto" w:sz="4" w:space="0"/>
            </w:tcBorders>
            <w:tcW w:w="877" w:type="pct"/>
            <w:vAlign w:val="center"/>
            <w:textDirection w:val="lrTb"/>
            <w:noWrap w:val="false"/>
          </w:tcPr>
          <w:p>
            <w:pPr>
              <w:spacing w:line="360" w:lineRule="auto"/>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唾液毒品检测仪</w:t>
            </w:r>
            <w:r/>
          </w:p>
        </w:tc>
        <w:tc>
          <w:tcPr>
            <w:tcBorders>
              <w:top w:val="single" w:color="auto" w:sz="4" w:space="0"/>
              <w:left w:val="none" w:color="000000" w:sz="4" w:space="0"/>
              <w:bottom w:val="single" w:color="auto" w:sz="4" w:space="0"/>
              <w:right w:val="single" w:color="auto" w:sz="4" w:space="0"/>
            </w:tcBorders>
            <w:tcW w:w="3262" w:type="pct"/>
            <w:vAlign w:val="center"/>
            <w:textDirection w:val="lrTb"/>
            <w:noWrap w:val="false"/>
          </w:tcPr>
          <w:p>
            <w:pPr>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1.通过配套唾液毒品检测试剂，最多能支持5种以上毒品查验；</w:t>
            </w:r>
            <w:r/>
          </w:p>
          <w:p>
            <w:pPr>
              <w:numPr>
                <w:ilvl w:val="0"/>
                <w:numId w:val="0"/>
              </w:numPr>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2.设备具有物证采集、存储功能；</w:t>
            </w:r>
            <w:r/>
          </w:p>
          <w:p>
            <w:pPr>
              <w:pStyle w:val="776"/>
              <w:ind w:left="0" w:firstLine="0"/>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3.设备具有实时传输功能，数据自动保存，可上传服务器；</w:t>
            </w:r>
            <w:r/>
          </w:p>
          <w:p>
            <w:pPr>
              <w:pStyle w:val="776"/>
              <w:ind w:left="0" w:firstLine="0"/>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4.设备具有身份证自动识别功能；</w:t>
            </w:r>
            <w:r/>
          </w:p>
          <w:p>
            <w:pPr>
              <w:pStyle w:val="776"/>
              <w:ind w:left="0" w:firstLine="0"/>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5.设备具有现场打印功能；</w:t>
            </w:r>
            <w:r/>
          </w:p>
          <w:p>
            <w:pPr>
              <w:pStyle w:val="776"/>
              <w:ind w:left="0" w:firstLine="0"/>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6.检测速度小于等于5分钟；</w:t>
            </w:r>
            <w:r/>
          </w:p>
          <w:p>
            <w:pPr>
              <w:pStyle w:val="776"/>
              <w:ind w:left="0" w:firstLine="0"/>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7.设备重量小于等于0.5KG，便于手持操作；</w:t>
            </w:r>
            <w:r/>
          </w:p>
          <w:p>
            <w:pPr>
              <w:pStyle w:val="776"/>
              <w:ind w:left="0" w:firstLine="0"/>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8.设备具有5英寸以上显示屏。</w:t>
            </w:r>
            <w:r/>
          </w:p>
        </w:tc>
      </w:tr>
      <w:tr>
        <w:trPr>
          <w:jc w:val="center"/>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p>
        </w:tc>
        <w:tc>
          <w:tcPr>
            <w:tcBorders>
              <w:top w:val="single" w:color="auto" w:sz="4" w:space="0"/>
              <w:left w:val="none" w:color="000000" w:sz="4" w:space="0"/>
              <w:bottom w:val="single" w:color="auto" w:sz="4" w:space="0"/>
              <w:right w:val="single" w:color="auto" w:sz="4" w:space="0"/>
            </w:tcBorders>
            <w:tcW w:w="877" w:type="pct"/>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毛发毒品现场检测仪</w:t>
            </w:r>
            <w:r/>
          </w:p>
        </w:tc>
        <w:tc>
          <w:tcPr>
            <w:tcBorders>
              <w:top w:val="single" w:color="auto" w:sz="4" w:space="0"/>
              <w:left w:val="none" w:color="000000" w:sz="4" w:space="0"/>
              <w:bottom w:val="single" w:color="auto" w:sz="4" w:space="0"/>
              <w:right w:val="single" w:color="auto" w:sz="4" w:space="0"/>
            </w:tcBorders>
            <w:tcW w:w="3262" w:type="pct"/>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以下</w:t>
            </w:r>
            <w:r>
              <w:rPr>
                <w:rFonts w:hint="eastAsia" w:ascii="宋体" w:hAnsi="宋体" w:eastAsia="宋体" w:cs="宋体"/>
                <w:sz w:val="24"/>
                <w:szCs w:val="24"/>
                <w:highlight w:val="none"/>
                <w:lang w:val="en-US" w:eastAsia="zh-CN"/>
              </w:rPr>
              <w:t xml:space="preserve">十</w:t>
            </w:r>
            <w:r>
              <w:rPr>
                <w:rFonts w:hint="eastAsia" w:ascii="宋体" w:hAnsi="宋体" w:eastAsia="宋体" w:cs="宋体"/>
                <w:sz w:val="24"/>
                <w:szCs w:val="24"/>
                <w:highlight w:val="none"/>
              </w:rPr>
              <w:t xml:space="preserve">套设备供使用支持，其中：设备一（研磨设备）</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套，设备二1套，设备三</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套</w:t>
            </w:r>
            <w:r/>
          </w:p>
          <w:p>
            <w:pPr>
              <w:spacing w:line="360" w:lineRule="auto"/>
              <w:shd w:val="clear" w:color="auto"/>
              <w:rPr>
                <w:rFonts w:ascii="宋体" w:hAnsi="宋体" w:eastAsia="宋体" w:cs="宋体"/>
                <w:sz w:val="21"/>
                <w:szCs w:val="21"/>
                <w:highlight w:val="none"/>
              </w:rPr>
            </w:pPr>
            <w:r>
              <w:rPr>
                <w:rFonts w:hint="eastAsia" w:ascii="宋体" w:hAnsi="宋体" w:eastAsia="宋体" w:cs="宋体"/>
                <w:sz w:val="24"/>
                <w:szCs w:val="24"/>
                <w:highlight w:val="none"/>
              </w:rPr>
              <w:t xml:space="preserve">设</w:t>
            </w:r>
            <w:r>
              <w:rPr>
                <w:rFonts w:hint="eastAsia" w:ascii="宋体" w:hAnsi="宋体" w:eastAsia="宋体" w:cs="宋体"/>
                <w:sz w:val="21"/>
                <w:szCs w:val="21"/>
                <w:highlight w:val="none"/>
              </w:rPr>
              <w:t xml:space="preserve">备一（便携式毛发中毒品现场检测仪）</w:t>
            </w:r>
            <w:r/>
          </w:p>
          <w:p>
            <w:pPr>
              <w:jc w:val="left"/>
              <w:spacing w:after="84"/>
              <w:shd w:val="clear" w:color="auto"/>
              <w:rPr>
                <w:rFonts w:hint="eastAsia" w:ascii="宋体" w:hAnsi="宋体" w:eastAsia="宋体" w:cs="宋体"/>
                <w:sz w:val="24"/>
                <w:szCs w:val="24"/>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通过毛发，设备能同时检测出吗啡、冰毒、氯胺酮、可卡因、摇头丸、大麻</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曲马多</w:t>
            </w:r>
            <w:r>
              <w:rPr>
                <w:rFonts w:hint="eastAsia" w:ascii="宋体" w:hAnsi="宋体" w:eastAsia="宋体" w:cs="宋体"/>
                <w:sz w:val="21"/>
                <w:szCs w:val="21"/>
                <w:highlight w:val="none"/>
              </w:rPr>
              <w:t xml:space="preserve">等多种</w:t>
            </w:r>
            <w:r>
              <w:rPr>
                <w:rFonts w:hint="eastAsia" w:ascii="宋体" w:hAnsi="宋体" w:eastAsia="宋体" w:cs="宋体"/>
                <w:sz w:val="24"/>
                <w:szCs w:val="24"/>
                <w:highlight w:val="none"/>
              </w:rPr>
              <w:t xml:space="preserve">毒品。</w:t>
            </w:r>
            <w:r/>
          </w:p>
          <w:p>
            <w:pPr>
              <w:jc w:val="left"/>
              <w:spacing w:after="84"/>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仪器具有身份证识别模块功能，可直接读取第二代身份证。</w:t>
            </w:r>
            <w:r/>
          </w:p>
          <w:p>
            <w:pPr>
              <w:jc w:val="left"/>
              <w:spacing w:after="84"/>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仪器适用于现场筛查，所有操作包含前处理可在无外接电源下通过内置电源完成。</w:t>
            </w:r>
            <w:r/>
          </w:p>
          <w:p>
            <w:pPr>
              <w:jc w:val="left"/>
              <w:spacing w:after="84"/>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仪器的冷启动时间不超过lmin。</w:t>
            </w:r>
            <w:r/>
          </w:p>
          <w:p>
            <w:pPr>
              <w:jc w:val="left"/>
              <w:spacing w:after="84"/>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仪器应包含毛发前处理模块，无需借助其他仪器，实现毛发前处理和检测一体化操作。</w:t>
            </w:r>
            <w:r/>
          </w:p>
          <w:p>
            <w:pPr>
              <w:pStyle w:val="730"/>
              <w:ind w:firstLine="0"/>
              <w:spacing w:line="24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仪器能同时对多个样本进行批量检测，从毛发处理到结果判读平均每个样本检测不超过5分钟。</w:t>
            </w:r>
            <w:r/>
          </w:p>
          <w:p>
            <w:pPr>
              <w:jc w:val="left"/>
              <w:spacing w:after="84"/>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仪器能识别试剂卡上的条形码或二维码，并自动匹配试剂卡名称。</w:t>
            </w:r>
            <w:r/>
          </w:p>
          <w:p>
            <w:pPr>
              <w:jc w:val="left"/>
              <w:spacing w:after="84"/>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仪器能同时适用于常见毒品单卡和多联卡的检测，可在同一时间并行读取单卡和三联卡。</w:t>
            </w:r>
            <w:r/>
          </w:p>
          <w:p>
            <w:pPr>
              <w:jc w:val="left"/>
              <w:spacing w:after="84"/>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仪器具有数据存储（存储量不少于100000条）、查看、查询、导出、打印功能。</w:t>
            </w:r>
            <w:r/>
          </w:p>
          <w:p>
            <w:pPr>
              <w:jc w:val="left"/>
              <w:spacing w:after="84"/>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仪器支持数据连接：LAN接口/USB 接口/COM 接口。</w:t>
            </w:r>
            <w:r/>
          </w:p>
          <w:p>
            <w:pPr>
              <w:jc w:val="left"/>
              <w:spacing w:after="84"/>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阈值：符合公安部规定标准</w:t>
            </w:r>
            <w:r/>
          </w:p>
          <w:p>
            <w:pPr>
              <w:jc w:val="left"/>
              <w:spacing w:after="84"/>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仪器具有自检、校准功能。</w:t>
            </w:r>
            <w:r>
              <w:rPr>
                <w:rFonts w:hint="eastAsia" w:ascii="宋体" w:hAnsi="宋体" w:eastAsia="宋体" w:cs="宋体"/>
                <w:sz w:val="24"/>
                <w:szCs w:val="24"/>
                <w:highlight w:val="none"/>
                <w:lang w:val="zh-TW"/>
              </w:rPr>
              <w:t xml:space="preserve">仪器能够显示检测结果信息，对不同毒品种类加以分析识别，并能够提供声、字符等报警提示信号。</w:t>
            </w:r>
            <w:r/>
          </w:p>
          <w:p>
            <w:pPr>
              <w:pStyle w:val="746"/>
              <w:spacing w:before="120" w:after="120"/>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仪器支持数据分析功能，可按时间、被检测人、毒品种类等信息进行检测数据汇总及分析。</w:t>
            </w:r>
            <w:r/>
          </w:p>
          <w:p>
            <w:pPr>
              <w:pStyle w:val="746"/>
              <w:spacing w:before="120" w:after="120"/>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仪器对检测结果的重复性偏差应≤1%。</w:t>
            </w:r>
            <w:r/>
          </w:p>
          <w:p>
            <w:pPr>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仪器入围公安部2023年度毛发现场快筛器材检测能力比对通过名单。</w:t>
            </w:r>
            <w:r/>
          </w:p>
          <w:p>
            <w:pP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设备二（</w:t>
            </w:r>
            <w:r>
              <w:rPr>
                <w:rFonts w:hint="eastAsia" w:ascii="宋体" w:hAnsi="宋体" w:eastAsia="宋体" w:cs="宋体"/>
                <w:sz w:val="24"/>
                <w:szCs w:val="24"/>
                <w:highlight w:val="none"/>
                <w:lang w:val="en-US" w:eastAsia="zh-CN"/>
              </w:rPr>
              <w:t xml:space="preserve">便携式X光机</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p>
          <w:p>
            <w:pPr>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1.设备应由成像板、X射线源、显示终端、辐射剂量仪、备用电源、以及携行箱等附件组成</w:t>
            </w:r>
            <w:r/>
          </w:p>
          <w:p>
            <w:pPr>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2.成像板</w:t>
            </w:r>
            <w:r>
              <w:rPr>
                <w:rFonts w:hint="eastAsia" w:ascii="宋体" w:hAnsi="宋体" w:eastAsia="宋体" w:cs="宋体"/>
                <w:sz w:val="24"/>
                <w:szCs w:val="24"/>
                <w:highlight w:val="none"/>
                <w:lang w:eastAsia="zh-CN"/>
              </w:rPr>
              <w:t xml:space="preserve">尺寸:</w:t>
            </w:r>
            <w:r>
              <w:rPr>
                <w:rFonts w:hint="eastAsia" w:ascii="宋体" w:hAnsi="宋体" w:eastAsia="宋体" w:cs="宋体"/>
                <w:sz w:val="24"/>
                <w:szCs w:val="24"/>
                <w:highlight w:val="none"/>
                <w:lang w:val="en-US" w:eastAsia="zh-CN"/>
              </w:rPr>
              <w:t xml:space="preserve">不小于430mm*430mm，厚度不大于16mm</w:t>
            </w:r>
            <w:r>
              <w:rPr>
                <w:rFonts w:hint="eastAsia" w:ascii="宋体" w:hAnsi="宋体" w:eastAsia="宋体" w:cs="宋体"/>
                <w:sz w:val="24"/>
                <w:szCs w:val="24"/>
                <w:highlight w:val="none"/>
                <w:lang w:eastAsia="zh-CN"/>
              </w:rPr>
              <w:t xml:space="preserve">；</w:t>
            </w:r>
            <w:r/>
          </w:p>
          <w:p>
            <w:pPr>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有效成像面积:430毫米×</w:t>
            </w:r>
            <w:r>
              <w:rPr>
                <w:rFonts w:hint="eastAsia" w:ascii="宋体" w:hAnsi="宋体" w:eastAsia="宋体" w:cs="宋体"/>
                <w:sz w:val="24"/>
                <w:szCs w:val="24"/>
                <w:highlight w:val="none"/>
                <w:lang w:val="en-US" w:eastAsia="zh-CN"/>
              </w:rPr>
              <w:t xml:space="preserve">43</w:t>
            </w:r>
            <w:r>
              <w:rPr>
                <w:rFonts w:hint="eastAsia" w:ascii="宋体" w:hAnsi="宋体" w:eastAsia="宋体" w:cs="宋体"/>
                <w:sz w:val="24"/>
                <w:szCs w:val="24"/>
                <w:highlight w:val="none"/>
                <w:lang w:eastAsia="zh-CN"/>
              </w:rPr>
              <w:t xml:space="preserve">0毫米</w:t>
            </w:r>
            <w:r/>
          </w:p>
          <w:p>
            <w:pPr>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像素尺寸:</w:t>
            </w:r>
            <w:r>
              <w:rPr>
                <w:rFonts w:hint="eastAsia" w:ascii="宋体" w:hAnsi="宋体" w:eastAsia="宋体" w:cs="宋体"/>
                <w:sz w:val="24"/>
                <w:szCs w:val="24"/>
                <w:highlight w:val="none"/>
                <w:lang w:val="en-US" w:eastAsia="zh-CN"/>
              </w:rPr>
              <w:t xml:space="preserve">小于等于</w:t>
            </w:r>
            <w:r>
              <w:rPr>
                <w:rFonts w:hint="eastAsia" w:ascii="宋体" w:hAnsi="宋体" w:eastAsia="宋体" w:cs="宋体"/>
                <w:sz w:val="24"/>
                <w:szCs w:val="24"/>
                <w:highlight w:val="none"/>
                <w:lang w:eastAsia="zh-CN"/>
              </w:rPr>
              <w:t xml:space="preserve">100微米；</w:t>
            </w:r>
            <w:r/>
          </w:p>
          <w:p>
            <w:pPr>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探测器电池类型:内置锂电池；</w:t>
            </w:r>
            <w:r/>
          </w:p>
          <w:p>
            <w:pPr>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探测器供电方式:锂电池和外接市电；</w:t>
            </w:r>
            <w:r/>
          </w:p>
          <w:p>
            <w:pPr>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7.灰度级</w:t>
            </w:r>
            <w:r>
              <w:rPr>
                <w:rFonts w:hint="eastAsia" w:ascii="宋体" w:hAnsi="宋体" w:eastAsia="宋体" w:cs="宋体"/>
                <w:sz w:val="24"/>
                <w:szCs w:val="24"/>
                <w:highlight w:val="none"/>
                <w:lang w:eastAsia="zh-CN"/>
              </w:rPr>
              <w:t xml:space="preserve">:16bit；</w:t>
            </w:r>
            <w:r/>
          </w:p>
          <w:p>
            <w:pPr>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探测器重量:</w:t>
            </w:r>
            <w:r>
              <w:rPr>
                <w:rFonts w:hint="eastAsia" w:ascii="宋体" w:hAnsi="宋体" w:eastAsia="宋体" w:cs="宋体"/>
                <w:sz w:val="24"/>
                <w:szCs w:val="24"/>
                <w:highlight w:val="none"/>
                <w:lang w:val="en-US" w:eastAsia="zh-CN"/>
              </w:rPr>
              <w:t xml:space="preserve">小于等于9kg</w:t>
            </w:r>
            <w:r>
              <w:rPr>
                <w:rFonts w:hint="eastAsia" w:ascii="宋体" w:hAnsi="宋体" w:eastAsia="宋体" w:cs="宋体"/>
                <w:sz w:val="24"/>
                <w:szCs w:val="24"/>
                <w:highlight w:val="none"/>
                <w:lang w:eastAsia="zh-CN"/>
              </w:rPr>
              <w:t xml:space="preserve">（装配一块电池）；</w:t>
            </w:r>
            <w:r/>
          </w:p>
          <w:p>
            <w:pPr>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lang w:eastAsia="zh-CN"/>
              </w:rPr>
              <w:t xml:space="preserve">探测器通讯方式:以太网和无线WIFI；</w:t>
            </w:r>
            <w:r/>
          </w:p>
          <w:p>
            <w:pPr>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探测器底部盲区:</w:t>
            </w:r>
            <w:r>
              <w:rPr>
                <w:rFonts w:hint="eastAsia" w:ascii="宋体" w:hAnsi="宋体" w:eastAsia="宋体" w:cs="宋体"/>
                <w:sz w:val="24"/>
                <w:szCs w:val="24"/>
                <w:highlight w:val="none"/>
                <w:lang w:val="en-US" w:eastAsia="zh-CN"/>
              </w:rPr>
              <w:t xml:space="preserve">小于等于</w:t>
            </w:r>
            <w:r>
              <w:rPr>
                <w:rFonts w:hint="eastAsia" w:ascii="宋体" w:hAnsi="宋体" w:eastAsia="宋体" w:cs="宋体"/>
                <w:sz w:val="24"/>
                <w:szCs w:val="24"/>
                <w:highlight w:val="none"/>
                <w:lang w:eastAsia="zh-CN"/>
              </w:rPr>
              <w:t xml:space="preserve">9mm；</w:t>
            </w:r>
            <w:r>
              <w:rPr>
                <w:rFonts w:hint="eastAsia" w:ascii="宋体" w:hAnsi="宋体" w:eastAsia="宋体" w:cs="宋体"/>
                <w:b/>
                <w:bCs/>
                <w:sz w:val="24"/>
                <w:szCs w:val="24"/>
                <w:highlight w:val="none"/>
              </w:rPr>
              <w:t xml:space="preserve">需提供由公安部权威检测机构出具的检测报告扫描件（原件成交后备查）</w:t>
            </w:r>
            <w:r>
              <w:rPr>
                <w:rFonts w:hint="eastAsia" w:ascii="宋体" w:hAnsi="宋体" w:eastAsia="宋体" w:cs="宋体"/>
                <w:sz w:val="24"/>
                <w:szCs w:val="24"/>
                <w:highlight w:val="none"/>
              </w:rPr>
              <w:t xml:space="preserve">；</w:t>
            </w:r>
            <w:r/>
          </w:p>
          <w:p>
            <w:pPr>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lang w:eastAsia="zh-CN"/>
              </w:rPr>
              <w:t xml:space="preserve">X射线源重量:6.7千克（装配一块电池）；</w:t>
            </w:r>
            <w:r/>
          </w:p>
          <w:p>
            <w:pPr>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lang w:eastAsia="zh-CN"/>
              </w:rPr>
              <w:t xml:space="preserve">空间分辨</w:t>
            </w:r>
            <w:r>
              <w:rPr>
                <w:rFonts w:hint="eastAsia" w:ascii="宋体" w:hAnsi="宋体" w:eastAsia="宋体" w:cs="宋体"/>
                <w:sz w:val="24"/>
                <w:szCs w:val="24"/>
                <w:highlight w:val="none"/>
                <w:lang w:val="en-US" w:eastAsia="zh-CN"/>
              </w:rPr>
              <w:t xml:space="preserve">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小于等于0.01mm</w:t>
            </w:r>
            <w:r>
              <w:rPr>
                <w:rFonts w:hint="eastAsia" w:ascii="宋体" w:hAnsi="宋体" w:eastAsia="宋体" w:cs="宋体"/>
                <w:sz w:val="24"/>
                <w:szCs w:val="24"/>
                <w:highlight w:val="none"/>
                <w:lang w:eastAsia="zh-CN"/>
              </w:rPr>
              <w:t xml:space="preserve">；</w:t>
            </w:r>
            <w:r/>
          </w:p>
          <w:p>
            <w:pPr>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穿透力:</w:t>
            </w:r>
            <w:r>
              <w:rPr>
                <w:rFonts w:hint="eastAsia" w:ascii="宋体" w:hAnsi="宋体" w:eastAsia="宋体" w:cs="宋体"/>
                <w:sz w:val="24"/>
                <w:szCs w:val="24"/>
                <w:highlight w:val="none"/>
                <w:lang w:val="en-US" w:eastAsia="zh-CN"/>
              </w:rPr>
              <w:t xml:space="preserve">大于等于55</w:t>
            </w:r>
            <w:r>
              <w:rPr>
                <w:rFonts w:hint="eastAsia" w:ascii="宋体" w:hAnsi="宋体" w:eastAsia="宋体" w:cs="宋体"/>
                <w:sz w:val="24"/>
                <w:szCs w:val="24"/>
                <w:highlight w:val="none"/>
                <w:lang w:eastAsia="zh-CN"/>
              </w:rPr>
              <w:t xml:space="preserve">毫米钢板，</w:t>
            </w:r>
            <w:r>
              <w:rPr>
                <w:rFonts w:hint="eastAsia" w:ascii="宋体" w:hAnsi="宋体" w:eastAsia="宋体" w:cs="宋体"/>
                <w:sz w:val="24"/>
                <w:szCs w:val="24"/>
                <w:highlight w:val="none"/>
                <w:lang w:val="en-US" w:eastAsia="zh-CN"/>
              </w:rPr>
              <w:t xml:space="preserve">大于等于6</w:t>
            </w:r>
            <w:r>
              <w:rPr>
                <w:rFonts w:hint="eastAsia" w:ascii="宋体" w:hAnsi="宋体" w:eastAsia="宋体" w:cs="宋体"/>
                <w:sz w:val="24"/>
                <w:szCs w:val="24"/>
                <w:highlight w:val="none"/>
                <w:lang w:eastAsia="zh-CN"/>
              </w:rPr>
              <w:t xml:space="preserve">00毫米铝板；</w:t>
            </w:r>
            <w:r>
              <w:rPr>
                <w:rFonts w:hint="eastAsia" w:ascii="宋体" w:hAnsi="宋体" w:eastAsia="宋体" w:cs="宋体"/>
                <w:b/>
                <w:bCs/>
                <w:sz w:val="24"/>
                <w:szCs w:val="24"/>
                <w:highlight w:val="none"/>
              </w:rPr>
              <w:t xml:space="preserve">需提供由公安部权威检测机构出具的检测报告扫描件（原件成交后备查）</w:t>
            </w:r>
            <w:r>
              <w:rPr>
                <w:rFonts w:hint="eastAsia" w:ascii="宋体" w:hAnsi="宋体" w:eastAsia="宋体" w:cs="宋体"/>
                <w:sz w:val="24"/>
                <w:szCs w:val="24"/>
                <w:highlight w:val="none"/>
              </w:rPr>
              <w:t xml:space="preserve">；</w:t>
            </w:r>
            <w:r/>
          </w:p>
          <w:p>
            <w:pPr>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14.辐射泄露强度：1米处小于等于1.2</w:t>
            </w:r>
            <w:r>
              <w:rPr>
                <w:rFonts w:hint="eastAsia" w:ascii="宋体" w:hAnsi="宋体" w:eastAsia="宋体" w:cs="宋体"/>
                <w:sz w:val="24"/>
                <w:szCs w:val="24"/>
                <w:highlight w:val="none"/>
              </w:rPr>
              <w:t xml:space="preserve">微希沃特/小时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0.05m处小于等于30</w:t>
            </w:r>
            <w:r>
              <w:rPr>
                <w:rFonts w:hint="eastAsia" w:ascii="宋体" w:hAnsi="宋体" w:eastAsia="宋体" w:cs="宋体"/>
                <w:sz w:val="24"/>
                <w:szCs w:val="24"/>
                <w:highlight w:val="none"/>
              </w:rPr>
              <w:t xml:space="preserve">微希沃特/小时</w:t>
            </w:r>
            <w:r>
              <w:rPr>
                <w:rFonts w:hint="eastAsia" w:ascii="宋体" w:hAnsi="宋体" w:eastAsia="宋体" w:cs="宋体"/>
                <w:sz w:val="24"/>
                <w:szCs w:val="24"/>
                <w:highlight w:val="none"/>
                <w:lang w:eastAsia="zh-CN"/>
              </w:rPr>
              <w:t xml:space="preserve">；</w:t>
            </w:r>
            <w:r/>
          </w:p>
          <w:p>
            <w:pPr>
              <w:spacing w:line="360" w:lineRule="auto"/>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15.无线控制距离：大于等于150m;</w:t>
            </w:r>
            <w:r/>
          </w:p>
          <w:p>
            <w:pPr>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16.</w:t>
            </w:r>
            <w:r>
              <w:rPr>
                <w:rFonts w:hint="eastAsia" w:ascii="宋体" w:hAnsi="宋体" w:eastAsia="宋体" w:cs="宋体"/>
                <w:sz w:val="24"/>
                <w:szCs w:val="24"/>
                <w:highlight w:val="none"/>
                <w:lang w:eastAsia="zh-CN"/>
              </w:rPr>
              <w:t xml:space="preserve">X射线出束提醒:便携式X射线源在发射X射线时，具有声光报警提示；</w:t>
            </w:r>
            <w:r/>
          </w:p>
          <w:p>
            <w:pPr>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17.</w:t>
            </w:r>
            <w:r>
              <w:rPr>
                <w:rFonts w:hint="eastAsia" w:ascii="宋体" w:hAnsi="宋体" w:eastAsia="宋体" w:cs="宋体"/>
                <w:sz w:val="24"/>
                <w:szCs w:val="24"/>
                <w:highlight w:val="none"/>
                <w:lang w:eastAsia="zh-CN"/>
              </w:rPr>
              <w:t xml:space="preserve">X射线源供电方式:锂电池和外接市电；</w:t>
            </w:r>
            <w:r/>
          </w:p>
          <w:p>
            <w:pPr>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18.</w:t>
            </w:r>
            <w:r>
              <w:rPr>
                <w:rFonts w:hint="eastAsia" w:ascii="宋体" w:hAnsi="宋体" w:eastAsia="宋体" w:cs="宋体"/>
                <w:sz w:val="24"/>
                <w:szCs w:val="24"/>
                <w:highlight w:val="none"/>
                <w:lang w:eastAsia="zh-CN"/>
              </w:rPr>
              <w:t xml:space="preserve">计算机:</w:t>
            </w:r>
            <w:r>
              <w:rPr>
                <w:rFonts w:hint="eastAsia" w:ascii="宋体" w:hAnsi="宋体" w:eastAsia="宋体" w:cs="宋体"/>
                <w:sz w:val="24"/>
                <w:szCs w:val="24"/>
                <w:highlight w:val="none"/>
                <w:lang w:val="en-US" w:eastAsia="zh-CN"/>
              </w:rPr>
              <w:t xml:space="preserve">笔记本或平板电脑</w:t>
            </w:r>
            <w:r>
              <w:rPr>
                <w:rFonts w:hint="eastAsia" w:ascii="宋体" w:hAnsi="宋体" w:eastAsia="宋体" w:cs="宋体"/>
                <w:sz w:val="24"/>
                <w:szCs w:val="24"/>
                <w:highlight w:val="none"/>
                <w:lang w:eastAsia="zh-CN"/>
              </w:rPr>
              <w:t xml:space="preserve">；</w:t>
            </w:r>
            <w:r/>
          </w:p>
          <w:p>
            <w:pPr>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19.</w:t>
            </w:r>
            <w:r>
              <w:rPr>
                <w:rFonts w:hint="eastAsia" w:ascii="宋体" w:hAnsi="宋体" w:eastAsia="宋体" w:cs="宋体"/>
                <w:sz w:val="24"/>
                <w:szCs w:val="24"/>
                <w:highlight w:val="none"/>
                <w:lang w:eastAsia="zh-CN"/>
              </w:rPr>
              <w:t xml:space="preserve">图像处理:边缘增强、伪彩色、黑白、反色、超级增强、直方均衡、窗宽窗位</w:t>
            </w:r>
            <w:r/>
          </w:p>
          <w:p>
            <w:pPr>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lang w:eastAsia="zh-CN"/>
              </w:rPr>
              <w:t xml:space="preserve">软件功能:设备能分辨厚度为1mm-120mm的聚甲基丙烯酸甲酯，并赋予不同饱和度的橙色，设备应能分辨厚度为1mm-20mm的铝，并赋予不同饱和度的绿色，设备应能分辨厚度为0.2mm-14mm厚的钢，并赋予不同饱和度的蓝色；</w:t>
            </w:r>
            <w:r/>
          </w:p>
          <w:p>
            <w:pPr>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21.</w:t>
            </w:r>
            <w:r>
              <w:rPr>
                <w:rFonts w:hint="eastAsia" w:ascii="宋体" w:hAnsi="宋体" w:eastAsia="宋体" w:cs="宋体"/>
                <w:sz w:val="24"/>
                <w:szCs w:val="24"/>
                <w:highlight w:val="none"/>
                <w:lang w:eastAsia="zh-CN"/>
              </w:rPr>
              <w:t xml:space="preserve">存储能力:至少10000幅图像</w:t>
            </w:r>
            <w:r/>
          </w:p>
          <w:p>
            <w:pPr>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设备三（便携式质谱仪）</w:t>
            </w:r>
            <w:r>
              <w:rPr>
                <w:rFonts w:hint="eastAsia" w:ascii="宋体" w:hAnsi="宋体" w:eastAsia="宋体" w:cs="宋体"/>
                <w:sz w:val="24"/>
                <w:szCs w:val="24"/>
                <w:highlight w:val="none"/>
                <w:lang w:eastAsia="zh-CN"/>
              </w:rPr>
              <w:t xml:space="preserve">：</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 控制软件：支持Windows 10以上操作环境，系统提供分析系统检测器全自动控制；用户界面可以实现高效能的仪器调谐和方法优化，包括碰撞能量的自动优化，并可利用优化参数方便地建立分析方法；可进行数据采集、数据处理、定性分析；有建立数据库功能，谱库检索功能。</w:t>
            </w:r>
            <w:r/>
          </w:p>
          <w:p>
            <w:pPr>
              <w:spacing w:line="360" w:lineRule="auto"/>
              <w:shd w:val="clear" w:color="auto"/>
              <w:rPr>
                <w:rFonts w:ascii="宋体" w:hAnsi="宋体" w:eastAsia="宋体" w:cs="宋体"/>
                <w:b/>
                <w:bCs/>
                <w:sz w:val="24"/>
                <w:szCs w:val="24"/>
                <w:highlight w:val="none"/>
              </w:rPr>
            </w:pPr>
            <w:r>
              <w:rPr>
                <w:rFonts w:hint="eastAsia" w:ascii="宋体" w:hAnsi="宋体" w:eastAsia="宋体" w:cs="宋体"/>
                <w:sz w:val="24"/>
                <w:szCs w:val="24"/>
                <w:highlight w:val="none"/>
              </w:rPr>
              <w:t xml:space="preserve">扫描模式： MS1、MS2、MS3、MS4、MS5</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喷雾电压：0-4500v可调</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进样量：可自定义(1-80ms)可调输入进样量。</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前体离子：可自定义输入所要被选择监控的离子m/z</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粗筛前体离子能量：可根据对前体离子选择监测的洁净效果进行自定义调节</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细筛前体离子能量：可根据对前体离子选择监测的洁净效果进行自定义调节</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碰撞能量：多级串联质谱的离子诱导碰撞解离所需能量可自定义调节。</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方法建立：</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可自行建立质谱分析方法，包括正模式、质量分析范围、母离子质荷比、碰撞能量等；可建立多种方法同时扫描，并可保存和调用成熟方法文件进行样品检测；</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数据查看：可查看采集的谱图，并能以多种模式显示，包括谱图重叠显示、绝对强度/相对强度显示等功能</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设备端数据管理：可管理检测器的数据，包括拷贝、存储空间释放等功能</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环境适应性：仪器可监控内部环境，仪器界面上应显示仪器环境温度，不同温度下仪器应能正常运行。</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仪器尺寸：全部仪器（包括但不限于样品引入系统、机械泵、控制系统等非一体化设备）整机长宽高不超过40cm×27cm×18cm。</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仪器重量：全部仪器（包括但不限于样品引入系统、机械泵、控制系统等非一体化设备）整机重量不超过11kg。</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仪器冷启动时间≤5min</w:t>
            </w:r>
            <w:r/>
          </w:p>
          <w:p>
            <w:pPr>
              <w:spacing w:line="360" w:lineRule="auto"/>
              <w:shd w:val="clear" w:color="auto"/>
              <w:rPr>
                <w:highlight w:val="none"/>
              </w:rPr>
            </w:pPr>
            <w:r>
              <w:rPr>
                <w:rFonts w:hint="eastAsia" w:ascii="宋体" w:hAnsi="宋体" w:eastAsia="宋体" w:cs="宋体"/>
                <w:sz w:val="24"/>
                <w:szCs w:val="24"/>
                <w:highlight w:val="none"/>
              </w:rPr>
              <w:t xml:space="preserve">持续工作时间：仪器应自备电源，在常温下，电池100％充满后（不更换电池的情况下），持续工作时间大于等于2小时。</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电池更换：仪器可在持续工作状态下不关机快速更换电池，更换电池时间小于等于20秒。</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电池安全认证：应满足IATA第63版DGR手册包装说明967Ⅰ节要求。</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测试时间≤90s</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软件功能：仪器具有数据上传功能，能够显示探测结果信息（包含一级质谱图、二级质谱图），对不同毒品种类加以分析识别，并发出报警信号，报警阀值参数可由授权用户设置修改。并可将所选时间段内的检测数据生产PDF格式的统计报告；仪器可实时显示通讯状态、真空状态、储存状态、环境温度、环境湿度；</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显示屏不小于7.5英吋，设备采用LCD显示屏，支持多点触控，在穿戴防护装备时也可正常操作。</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数据接口：仪器具备无线通讯功能。仪器支持无线连接专用质谱分析软件。可远程操作，实现进样、检测、数据分析等自定义控制。</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自动识别：仪器可自动识别样品检测与仪器校准，整个过程无需人为操作。</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可探测毒物种类：仪器能够探测出农药类、兽药类、抗生素类、生物碱类、镇定类药物、麻醉及精神类药物、其他临床药物。</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可探测毒品种类：仪器能够探测出常见毒品、麻醉及精神类药品、芬太尼类、合成大麻素类、卡西酮类、苯乙胺类、色胺类、哌嗪类。</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▲样品探测限：仪器可检出≤20ng/ml可卡因；</w:t>
            </w:r>
            <w:r>
              <w:rPr>
                <w:rFonts w:hint="eastAsia" w:ascii="宋体" w:hAnsi="宋体" w:eastAsia="宋体" w:cs="宋体"/>
                <w:b/>
                <w:bCs/>
                <w:sz w:val="24"/>
                <w:szCs w:val="24"/>
                <w:highlight w:val="none"/>
              </w:rPr>
              <w:t xml:space="preserve">需提供由公安部权威检测机构出具的检测报告扫描件（原件成交后备查</w:t>
            </w:r>
            <w:r>
              <w:rPr>
                <w:rFonts w:hint="eastAsia" w:ascii="宋体" w:hAnsi="宋体" w:eastAsia="宋体" w:cs="宋体"/>
                <w:szCs w:val="21"/>
                <w:highlight w:val="none"/>
              </w:rPr>
              <w:t xml:space="preserve">)</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▲生物检材探测限：</w:t>
            </w:r>
            <w:r>
              <w:rPr>
                <w:rFonts w:hint="eastAsia" w:ascii="宋体" w:hAnsi="宋体" w:eastAsia="宋体" w:cs="宋体"/>
                <w:szCs w:val="21"/>
                <w:highlight w:val="none"/>
              </w:rPr>
              <w:t xml:space="preserve">样品不经前处理直接进样，仪器可检出含有≤1μg/ml的甲基苯丙胺尿液、血液、唾液样本；</w:t>
            </w:r>
            <w:r>
              <w:rPr>
                <w:rFonts w:hint="eastAsia" w:ascii="宋体" w:hAnsi="宋体" w:eastAsia="宋体" w:cs="宋体"/>
                <w:b/>
                <w:bCs/>
                <w:sz w:val="24"/>
                <w:szCs w:val="24"/>
                <w:highlight w:val="none"/>
              </w:rPr>
              <w:t xml:space="preserve">需提供由公安部权威检测机构出具的检测报告扫描件（原件成交后备查</w:t>
            </w:r>
            <w:r>
              <w:rPr>
                <w:rFonts w:hint="eastAsia" w:ascii="宋体" w:hAnsi="宋体" w:eastAsia="宋体" w:cs="宋体"/>
                <w:sz w:val="24"/>
                <w:szCs w:val="24"/>
                <w:highlight w:val="none"/>
              </w:rPr>
              <w:t xml:space="preserve">）</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误检率</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≤1%；</w:t>
            </w:r>
            <w:r/>
          </w:p>
          <w:p>
            <w:pPr>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不少于400种毒品、200种毒物二级谱库（提供品种表格，格式自拟）</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进样部分参数：</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采样方法：原位电离直接采样及痕量擦拭采样。</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电离源：设备使用非放射性大气压电离源</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质谱部分参数：</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质量分析器：高精度线性离子阱。</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灵敏度：维拉帕米0.5ng/mL(ppb)</w:t>
            </w:r>
            <w:r/>
          </w:p>
          <w:p>
            <w:pPr>
              <w:spacing w:line="360" w:lineRule="auto"/>
              <w:shd w:val="clear" w:color="auto"/>
              <w:rPr>
                <w:rFonts w:ascii="宋体" w:hAnsi="宋体" w:eastAsia="宋体" w:cs="宋体"/>
                <w:b/>
                <w:bCs/>
                <w:sz w:val="24"/>
                <w:szCs w:val="24"/>
                <w:highlight w:val="none"/>
              </w:rPr>
            </w:pPr>
            <w:r>
              <w:rPr>
                <w:rFonts w:hint="eastAsia" w:ascii="宋体" w:hAnsi="宋体" w:eastAsia="宋体" w:cs="宋体"/>
                <w:sz w:val="24"/>
                <w:szCs w:val="24"/>
                <w:highlight w:val="none"/>
              </w:rPr>
              <w:t xml:space="preserve">串联质谱分析能力：仪器可实现四级以上的串级质谱分析</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质量范围： m/z 60-900 Th</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分辨率：FWHM≤0.5Th检测模式：正离子、负离子。</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正负极性切换时间</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＜10s</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真空系统：真空泵全部内置，无需外接真空泵。</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气体要求：利用空气做载气和碰撞气，无需连接外置气瓶。</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真空度：开机后五分钟内达到10-5Torr</w:t>
            </w:r>
            <w:r/>
          </w:p>
        </w:tc>
      </w:tr>
      <w:tr>
        <w:trPr>
          <w:jc w:val="center"/>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877" w:type="pct"/>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毛发痕量毒品检测仪</w:t>
            </w:r>
            <w:r/>
          </w:p>
        </w:tc>
        <w:tc>
          <w:tcPr>
            <w:tcBorders>
              <w:top w:val="single" w:color="auto" w:sz="4" w:space="0"/>
              <w:left w:val="none" w:color="000000" w:sz="4" w:space="0"/>
              <w:bottom w:val="single" w:color="auto" w:sz="4" w:space="0"/>
              <w:right w:val="single" w:color="auto" w:sz="4" w:space="0"/>
            </w:tcBorders>
            <w:tcW w:w="3262" w:type="pct"/>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功能：基于荧光免疫层析法原理，主要用于毒品现场筛查试剂无需冷藏、前处理快速、操作简单。仪器内置打印机，支持热敏打印检测结果。便携性强，可单兵携带，仪器自带电池；</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仪器应为手持式，重量应≤1kg；仪器应使用不小于5英寸液晶彩色全触控显示屏。</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数据接口：仪器应具有USB接口和ID卡接口。</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条码识别：仪器应能识别毛发毒品检测试剂卡上的条形码，并自动匹配待测样品名称。</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仪器应支持手写、笔画、拼音、英文等输入方式，输入法应可支持连接互联网升级；</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仪器应内置可充电锂电池，支持电池供电，电池应具有UL认证；</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仪器应支持设置待机休眠时间，在仪器充满电时，待机时间应不小于9小时；仪器在充满电时，连续工作时间应不小于5小时；</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采样告知书：为确保采样得到被采集人同意，仪器应能显示采样告知书，并支持打印；</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仪器应具有</w:t>
            </w:r>
            <w:r>
              <w:rPr>
                <w:rFonts w:hint="eastAsia" w:ascii="宋体" w:hAnsi="宋体" w:eastAsia="宋体" w:cs="宋体"/>
                <w:sz w:val="24"/>
                <w:szCs w:val="24"/>
                <w:highlight w:val="none"/>
              </w:rPr>
              <w:t xml:space="preserve">身份证识别功能：</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仪器应具有自检功能；</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仪器应</w:t>
            </w:r>
            <w:r>
              <w:rPr>
                <w:rFonts w:hint="eastAsia" w:ascii="宋体" w:hAnsi="宋体" w:eastAsia="宋体" w:cs="宋体"/>
                <w:sz w:val="24"/>
                <w:szCs w:val="24"/>
                <w:highlight w:val="none"/>
                <w:lang w:val="en-US" w:eastAsia="zh-CN"/>
              </w:rPr>
              <w:t xml:space="preserve">具有</w:t>
            </w:r>
            <w:r>
              <w:rPr>
                <w:rFonts w:hint="eastAsia" w:ascii="宋体" w:hAnsi="宋体" w:eastAsia="宋体" w:cs="宋体"/>
                <w:sz w:val="24"/>
                <w:szCs w:val="24"/>
                <w:highlight w:val="none"/>
              </w:rPr>
              <w:t xml:space="preserve">数据上传功能：</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仪器应</w:t>
            </w:r>
            <w:r>
              <w:rPr>
                <w:rFonts w:hint="eastAsia" w:ascii="宋体" w:hAnsi="宋体" w:eastAsia="宋体" w:cs="宋体"/>
                <w:sz w:val="24"/>
                <w:szCs w:val="24"/>
                <w:highlight w:val="none"/>
                <w:lang w:val="en-US" w:eastAsia="zh-CN"/>
              </w:rPr>
              <w:t xml:space="preserve">具</w:t>
            </w:r>
            <w:r>
              <w:rPr>
                <w:rFonts w:hint="eastAsia" w:ascii="宋体" w:hAnsi="宋体" w:eastAsia="宋体" w:cs="宋体"/>
                <w:sz w:val="24"/>
                <w:szCs w:val="24"/>
                <w:highlight w:val="none"/>
              </w:rPr>
              <w:t xml:space="preserve">历史数据查询功能： </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数据断电恢复功能：仪器应具有数据断电恢复功能。</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检测模式： 仪器应具有快速检测和标准检测两种检测模式，仪器在快速模式下分析时间应不大于20s，仪器在标准模式下分析时间应不大于5min。</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可检测毛发毒品种类：在检出率为100%的前提下，浓度为10ng/mL，进样量为100μL，进样质量为1ng时，仪器应能通过专项毛发毒品检测试剂卡分别检测出以下毒品样品：吗啡、甲基苯丙胺、氯胺酮、可卡因、3,4-亚甲二氧基甲基苯丙胺(MDMA)、甲卡西酮、O6-单乙酰吗啡、吗啡/甲基苯丙胺、吗啡/甲基苯丙胺/氯胺酮。</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检测限：在检出率大于等于90%的前提下，浓度为2ng/mL，进样量为100μL，进样质量为0.2ng时，仪器对以下溶液进行采样分析，检测结果应显示为阳性：吗啡、甲基苯丙胺、氯胺酮、3，4-亚甲二氧基甲基苯丙胺、甲卡西酮、O6-单乙酰吗啡、吗啡/甲基苯丙胺、吗啡/甲基苯丙胺/氯胺酮；</w:t>
            </w:r>
            <w:r/>
          </w:p>
          <w:p>
            <w:pPr>
              <w:spacing w:line="360" w:lineRule="auto"/>
              <w:shd w:val="clear" w:color="auto"/>
              <w:rPr>
                <w:rFonts w:ascii="宋体" w:hAnsi="宋体" w:eastAsia="宋体" w:cs="宋体"/>
                <w:sz w:val="24"/>
                <w:szCs w:val="24"/>
                <w:highlight w:val="none"/>
              </w:rPr>
            </w:pPr>
            <w:r>
              <w:rPr>
                <w:rFonts w:ascii="宋体" w:hAnsi="宋体" w:eastAsia="宋体" w:cs="宋体"/>
                <w:sz w:val="24"/>
                <w:szCs w:val="24"/>
                <w:highlight w:val="none"/>
              </w:rPr>
            </w:r>
            <w:r/>
          </w:p>
        </w:tc>
      </w:tr>
    </w:tbl>
    <w:p>
      <w:pPr>
        <w:shd w:val="clear" w:color="auto"/>
        <w:rPr>
          <w:highlight w:val="none"/>
        </w:rPr>
      </w:pPr>
      <w:r>
        <w:rPr>
          <w:highlight w:val="none"/>
        </w:rPr>
      </w:r>
      <w:r/>
    </w:p>
    <w:p>
      <w:pPr>
        <w:pStyle w:val="720"/>
        <w:numPr>
          <w:ilvl w:val="0"/>
          <w:numId w:val="0"/>
        </w:numPr>
        <w:ind w:firstLine="482"/>
        <w:spacing w:line="360" w:lineRule="auto"/>
        <w:shd w:val="clear" w:color="auto"/>
        <w:rPr>
          <w:rFonts w:cs="宋体"/>
          <w:color w:val="000000"/>
          <w:highlight w:val="none"/>
        </w:rPr>
        <w:pBdr>
          <w:top w:val="none" w:color="000000" w:sz="0" w:space="0"/>
          <w:left w:val="none" w:color="000000" w:sz="0" w:space="0"/>
          <w:bottom w:val="none" w:color="000000" w:sz="0" w:space="0"/>
          <w:right w:val="none" w:color="000000" w:sz="0" w:space="0"/>
        </w:pBdr>
      </w:pPr>
      <w:r>
        <w:rPr>
          <w:rFonts w:hint="eastAsia" w:cs="宋体"/>
          <w:color w:val="000000"/>
          <w:highlight w:val="none"/>
        </w:rPr>
        <w:t xml:space="preserve">注：</w:t>
      </w:r>
      <w:r/>
    </w:p>
    <w:p>
      <w:pPr>
        <w:pStyle w:val="720"/>
        <w:numPr>
          <w:ilvl w:val="0"/>
          <w:numId w:val="0"/>
        </w:numPr>
        <w:ind w:firstLine="482"/>
        <w:spacing w:line="360" w:lineRule="auto"/>
        <w:shd w:val="clear" w:color="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响应供应商响应的技术参数应符合或优于采购文件的要求，不允许出现负偏离，</w:t>
      </w:r>
      <w:r>
        <w:rPr>
          <w:rFonts w:hint="eastAsia" w:cs="宋体"/>
          <w:color w:val="000000"/>
          <w:highlight w:val="none"/>
          <w:lang w:val="en-US" w:eastAsia="zh-CN"/>
        </w:rPr>
        <w:t xml:space="preserve">▲参数为重要参数</w:t>
      </w:r>
      <w:r>
        <w:rPr>
          <w:rFonts w:hint="eastAsia" w:ascii="宋体" w:hAnsi="宋体" w:eastAsia="宋体" w:cs="宋体"/>
          <w:color w:val="000000"/>
          <w:highlight w:val="none"/>
        </w:rPr>
        <w:t xml:space="preserve">，响应供应商需提供证明材料，否则视为非实质性响应，作无效标处理；</w:t>
      </w:r>
      <w:r/>
    </w:p>
    <w:p>
      <w:pPr>
        <w:ind w:firstLine="482"/>
        <w:spacing w:line="360" w:lineRule="auto"/>
        <w:shd w:val="clear" w:color="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四、商务要求：</w:t>
      </w:r>
      <w:r/>
    </w:p>
    <w:p>
      <w:pPr>
        <w:ind w:firstLine="480"/>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1、质保期：</w:t>
      </w:r>
      <w:r>
        <w:rPr>
          <w:rFonts w:hint="eastAsia" w:ascii="宋体" w:hAnsi="宋体" w:eastAsia="宋体" w:cs="宋体"/>
          <w:bCs/>
          <w:color w:val="000000" w:themeColor="text1"/>
          <w:sz w:val="24"/>
          <w:szCs w:val="24"/>
          <w:highlight w:val="none"/>
          <w14:textFill>
            <w14:solidFill>
              <w14:schemeClr w14:val="tx1"/>
            </w14:solidFill>
          </w14:textFill>
        </w:rPr>
        <w:t xml:space="preserve">质保期自交货验收完成之日起计算，质保期不低于壹年</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在免费质保期内，</w:t>
      </w:r>
      <w:r>
        <w:rPr>
          <w:rFonts w:hint="eastAsia" w:ascii="宋体" w:hAnsi="宋体" w:eastAsia="宋体" w:cs="宋体"/>
          <w:b w:val="0"/>
          <w:bCs/>
          <w:sz w:val="24"/>
          <w:szCs w:val="24"/>
          <w:highlight w:val="none"/>
          <w:lang w:val="en-US" w:eastAsia="zh-CN"/>
        </w:rPr>
        <w:t xml:space="preserve">供应商</w:t>
      </w:r>
      <w:r>
        <w:rPr>
          <w:rFonts w:hint="eastAsia" w:ascii="宋体" w:hAnsi="宋体" w:eastAsia="宋体" w:cs="宋体"/>
          <w:b w:val="0"/>
          <w:bCs/>
          <w:sz w:val="24"/>
          <w:szCs w:val="24"/>
          <w:highlight w:val="none"/>
        </w:rPr>
        <w:t xml:space="preserve">应以优良的服务态度，提供24小时的技术服务支持，一旦货物出现产品问题，</w:t>
      </w:r>
      <w:r>
        <w:rPr>
          <w:rFonts w:hint="eastAsia" w:ascii="宋体" w:hAnsi="宋体" w:eastAsia="宋体" w:cs="宋体"/>
          <w:b w:val="0"/>
          <w:bCs/>
          <w:sz w:val="24"/>
          <w:szCs w:val="24"/>
          <w:highlight w:val="none"/>
          <w:lang w:val="en-US" w:eastAsia="zh-CN"/>
        </w:rPr>
        <w:t xml:space="preserve">供应商</w:t>
      </w:r>
      <w:r>
        <w:rPr>
          <w:rFonts w:hint="eastAsia" w:ascii="宋体" w:hAnsi="宋体" w:eastAsia="宋体" w:cs="宋体"/>
          <w:b w:val="0"/>
          <w:bCs/>
          <w:sz w:val="24"/>
          <w:szCs w:val="24"/>
          <w:highlight w:val="none"/>
        </w:rPr>
        <w:t xml:space="preserve">应在1小时以内响应，2小时内赶到现场，4小时内解决问题或免费提供同款备品更换到位以保证</w:t>
      </w:r>
      <w:r>
        <w:rPr>
          <w:rFonts w:hint="eastAsia" w:ascii="宋体" w:hAnsi="宋体" w:eastAsia="宋体" w:cs="宋体"/>
          <w:b w:val="0"/>
          <w:bCs/>
          <w:sz w:val="24"/>
          <w:szCs w:val="24"/>
          <w:highlight w:val="none"/>
          <w:lang w:val="en-US" w:eastAsia="zh-CN"/>
        </w:rPr>
        <w:t xml:space="preserve">采购人</w:t>
      </w:r>
      <w:r>
        <w:rPr>
          <w:rFonts w:hint="eastAsia" w:ascii="宋体" w:hAnsi="宋体" w:eastAsia="宋体" w:cs="宋体"/>
          <w:b w:val="0"/>
          <w:bCs/>
          <w:sz w:val="24"/>
          <w:szCs w:val="24"/>
          <w:highlight w:val="none"/>
        </w:rPr>
        <w:t xml:space="preserve">的使用需要。如</w:t>
      </w:r>
      <w:r>
        <w:rPr>
          <w:rFonts w:hint="eastAsia" w:ascii="宋体" w:hAnsi="宋体" w:eastAsia="宋体" w:cs="宋体"/>
          <w:b w:val="0"/>
          <w:bCs/>
          <w:sz w:val="24"/>
          <w:szCs w:val="24"/>
          <w:highlight w:val="none"/>
          <w:lang w:val="en-US" w:eastAsia="zh-CN"/>
        </w:rPr>
        <w:t xml:space="preserve">供应商</w:t>
      </w:r>
      <w:r>
        <w:rPr>
          <w:rFonts w:hint="eastAsia" w:ascii="宋体" w:hAnsi="宋体" w:eastAsia="宋体" w:cs="宋体"/>
          <w:b w:val="0"/>
          <w:bCs/>
          <w:sz w:val="24"/>
          <w:szCs w:val="24"/>
          <w:highlight w:val="none"/>
        </w:rPr>
        <w:t xml:space="preserve">在接到通知后24小时内没有答复或处理问题，</w:t>
      </w:r>
      <w:r>
        <w:rPr>
          <w:rFonts w:hint="eastAsia" w:ascii="宋体" w:hAnsi="宋体" w:eastAsia="宋体" w:cs="宋体"/>
          <w:b w:val="0"/>
          <w:bCs/>
          <w:sz w:val="24"/>
          <w:szCs w:val="24"/>
          <w:highlight w:val="none"/>
          <w:lang w:val="en-US" w:eastAsia="zh-CN"/>
        </w:rPr>
        <w:t xml:space="preserve">采购人</w:t>
      </w:r>
      <w:r>
        <w:rPr>
          <w:rFonts w:hint="eastAsia" w:ascii="宋体" w:hAnsi="宋体" w:eastAsia="宋体" w:cs="宋体"/>
          <w:b w:val="0"/>
          <w:bCs/>
          <w:sz w:val="24"/>
          <w:szCs w:val="24"/>
          <w:highlight w:val="none"/>
        </w:rPr>
        <w:t xml:space="preserve">有权直接聘请第三方提供服务，因此而造成的费用、损失风险由</w:t>
      </w:r>
      <w:r>
        <w:rPr>
          <w:rFonts w:hint="eastAsia" w:ascii="宋体" w:hAnsi="宋体" w:eastAsia="宋体" w:cs="宋体"/>
          <w:b w:val="0"/>
          <w:bCs/>
          <w:sz w:val="24"/>
          <w:szCs w:val="24"/>
          <w:highlight w:val="none"/>
          <w:lang w:val="en-US" w:eastAsia="zh-CN"/>
        </w:rPr>
        <w:t xml:space="preserve">供应商</w:t>
      </w:r>
      <w:r>
        <w:rPr>
          <w:rFonts w:hint="eastAsia" w:ascii="宋体" w:hAnsi="宋体" w:eastAsia="宋体" w:cs="宋体"/>
          <w:b w:val="0"/>
          <w:bCs/>
          <w:sz w:val="24"/>
          <w:szCs w:val="24"/>
          <w:highlight w:val="none"/>
        </w:rPr>
        <w:t xml:space="preserve">承担，</w:t>
      </w:r>
      <w:r>
        <w:rPr>
          <w:rFonts w:hint="eastAsia" w:ascii="宋体" w:hAnsi="宋体" w:eastAsia="宋体" w:cs="宋体"/>
          <w:b w:val="0"/>
          <w:bCs/>
          <w:sz w:val="24"/>
          <w:szCs w:val="24"/>
          <w:highlight w:val="none"/>
          <w:lang w:val="en-US" w:eastAsia="zh-CN"/>
        </w:rPr>
        <w:t xml:space="preserve">采购人</w:t>
      </w:r>
      <w:r>
        <w:rPr>
          <w:rFonts w:hint="eastAsia" w:ascii="宋体" w:hAnsi="宋体" w:eastAsia="宋体" w:cs="宋体"/>
          <w:b w:val="0"/>
          <w:bCs/>
          <w:sz w:val="24"/>
          <w:szCs w:val="24"/>
          <w:highlight w:val="none"/>
        </w:rPr>
        <w:t xml:space="preserve">可在保证金或合同金额中直接予以扣除。</w:t>
      </w:r>
      <w:r/>
    </w:p>
    <w:p>
      <w:pPr>
        <w:ind w:firstLine="480"/>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3、当关系人对毛发等检测试剂/标本提出疑问时，谈判响应单位承诺在2小时内对采购单位提供的异样标本进行技术响应并收集样本，随后委托第三方法医毒物司法鉴定单位检测鉴定处理。</w:t>
      </w:r>
      <w:bookmarkStart w:id="1" w:name="table_bs"/>
      <w:r/>
      <w:bookmarkEnd w:id="1"/>
      <w:r/>
      <w:r/>
    </w:p>
    <w:p>
      <w:pPr>
        <w:ind w:firstLine="480"/>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3.1当关系人对毛发检测试剂/标本提出疑问时，谈判响应单位有能处理采购单位提供异样标本的能力并提供详细的服务方案。</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、带▲参数，在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成交后3个工作日内，成交供应商须将</w:t>
      </w:r>
      <w:r>
        <w:rPr>
          <w:rFonts w:hint="eastAsia" w:ascii="宋体" w:hAnsi="宋体" w:eastAsia="宋体" w:cs="宋体"/>
          <w:color w:val="000000" w:themeColor="text1"/>
          <w:sz w:val="24"/>
          <w:szCs w:val="24"/>
          <w:highlight w:val="none"/>
          <w14:textFill>
            <w14:solidFill>
              <w14:schemeClr w14:val="tx1"/>
            </w14:solidFill>
          </w14:textFill>
        </w:rPr>
        <w:t xml:space="preserve">公安部权威检测机构出具的检测报告原件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送至采购人处核查</w:t>
      </w:r>
      <w:r>
        <w:rPr>
          <w:rFonts w:hint="eastAsia" w:ascii="宋体" w:hAnsi="宋体" w:eastAsia="宋体" w:cs="宋体"/>
          <w:color w:val="000000" w:themeColor="text1"/>
          <w:sz w:val="24"/>
          <w:szCs w:val="24"/>
          <w:highlight w:val="none"/>
          <w14:textFill>
            <w14:solidFill>
              <w14:schemeClr w14:val="tx1"/>
            </w14:solidFill>
          </w14:textFill>
        </w:rPr>
        <w:t xml:space="preserve">，发现弄虚作假的将上报监督部门处理。</w:t>
      </w:r>
      <w:r/>
    </w:p>
    <w:p>
      <w:pPr>
        <w:pStyle w:val="720"/>
        <w:numPr>
          <w:ilvl w:val="0"/>
          <w:numId w:val="0"/>
        </w:num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hint="eastAsia" w:cs="宋体"/>
          <w:color w:val="000000"/>
          <w:highlight w:val="none"/>
        </w:rPr>
        <w:t xml:space="preserve">五</w:t>
      </w:r>
      <w:r>
        <w:rPr>
          <w:rFonts w:cs="宋体"/>
          <w:color w:val="000000"/>
          <w:highlight w:val="none"/>
        </w:rPr>
        <w:t xml:space="preserve">、综合说明：</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1、谈判响应报价中须包含所有产品的全部费用。</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2、供应商须明确所投设备生产厂家、品牌、型号、规格和外形、尺寸等；提供设备的配置清单，并提供详细的技术参数、性能说明书。</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3、供应商必须承诺响应文件中提出的全部技术规格与要求，如果以其中某些条款不响应时，应在文件中逐条列出，未列出的视同响应。</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4、供应商须对所投项目的所有设备全部响应，只投其中部分的为无效投标。投标总报价</w:t>
      </w:r>
      <w:r>
        <w:rPr>
          <w:rFonts w:hint="eastAsia" w:ascii="宋体" w:hAnsi="宋体" w:eastAsia="宋体" w:cs="宋体"/>
          <w:color w:val="000000"/>
          <w:sz w:val="24"/>
          <w:highlight w:val="none"/>
          <w:lang w:eastAsia="zh-CN"/>
        </w:rPr>
        <w:t xml:space="preserve">包括乙方所投产品及其备品、备件和专用工具费用、税费及包装、运至最终目的地的运输、保险、搬运费、安装调试、检测验收、采购单位指定部门的抽样产品的检测检验费用、技术支持与培训、售后服务与维保及相关劳务支出等工作所发生的全部费用以及乙方企业利润、税金和政策性文件规定及合同包含的所有风险、责任等各项应有费用。</w:t>
      </w:r>
      <w:r>
        <w:rPr>
          <w:rFonts w:ascii="宋体" w:hAnsi="宋体" w:eastAsia="宋体" w:cs="宋体"/>
          <w:color w:val="000000"/>
          <w:sz w:val="24"/>
          <w:highlight w:val="none"/>
        </w:rPr>
        <w:t xml:space="preserve">除非因特殊原因并经买卖双方协商同意，响应供应商不得再要求追加任何费用。同时，除非合同条款中另有规定，否则，响应供应商所报价格在合同实施期间不因市场变化因素而变动。</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供应商应严格按照采购文件的有关规定提供合格商品，保证货物（含随机货物附（配）件）为全新、未使用的原装正品（有明确的生产厂商或制造厂商）。供应商须提供质量保证，在质保期内该货物或产品出现质量问题（人为除外），无条件更换。</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供应商应保证采购单位免除且供应商承担由于采购单位在其本国使用该货物或设备任何一部分时而引起第三方提出的侵犯专利权、商标权或工业设计权的起诉、行动、行政程序索赔、请求等以及采购单位为此而产生的损失和损害、费用和支出（包括律师费）。</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7、交货期：</w:t>
      </w:r>
      <w:r>
        <w:rPr>
          <w:rFonts w:hint="eastAsia" w:ascii="宋体" w:hAnsi="宋体" w:eastAsia="宋体" w:cs="宋体"/>
          <w:color w:val="000000"/>
          <w:sz w:val="24"/>
          <w:highlight w:val="none"/>
          <w:lang w:eastAsia="zh-CN"/>
        </w:rPr>
        <w:t xml:space="preserve">2年供货期，分批供货，收到采购人供货通知后7天内送至指定地点</w:t>
      </w:r>
      <w:r>
        <w:rPr>
          <w:rFonts w:ascii="宋体" w:hAnsi="宋体" w:eastAsia="宋体" w:cs="宋体"/>
          <w:color w:val="000000"/>
          <w:sz w:val="24"/>
          <w:highlight w:val="none"/>
        </w:rPr>
        <w:t xml:space="preserve">。</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8、交货地点：采购单位指定地点。</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9</w:t>
      </w:r>
      <w:r>
        <w:rPr>
          <w:rFonts w:ascii="宋体" w:hAnsi="宋体" w:eastAsia="宋体" w:cs="宋体"/>
          <w:color w:val="000000"/>
          <w:sz w:val="24"/>
          <w:highlight w:val="none"/>
        </w:rPr>
        <w:t xml:space="preserve">、付款方式：详见合同特殊条款。</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0</w:t>
      </w:r>
      <w:r>
        <w:rPr>
          <w:rFonts w:ascii="宋体" w:hAnsi="宋体" w:eastAsia="宋体" w:cs="宋体"/>
          <w:color w:val="000000"/>
          <w:sz w:val="24"/>
          <w:highlight w:val="none"/>
        </w:rPr>
        <w:t xml:space="preserve">、验收标准：供应商提供的货物必须符合我国最新颁布的与之相关的技术规范与标准，同时必须满足采购文件中技术参数要求和成交供应商承诺的其它指标。成交供应商应向采购单位提供详细的验收标准、验收手册。当双方对验收标准有争议时，可委托双方一致认可的国家相关权威检测中心进行检测，费用由成交供应商承担，只有在设备完全正常运转和采购单位确认后，设备的安装工作才能认为已全部完成。验收不合格的全部退货并由成交供应商承担采购单位因此而造成的全部损失。同时，采购单位有权立即终止合同的执行。</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1</w:t>
      </w:r>
      <w:r>
        <w:rPr>
          <w:rFonts w:ascii="宋体" w:hAnsi="宋体" w:eastAsia="宋体" w:cs="宋体"/>
          <w:color w:val="000000"/>
          <w:sz w:val="24"/>
          <w:highlight w:val="none"/>
        </w:rPr>
        <w:t xml:space="preserve">、凡涉及响应文件的补充说明和修改，均以苏州政府采购网上发布的通知为准。</w:t>
      </w:r>
      <w:r/>
    </w:p>
    <w:p>
      <w:pPr>
        <w:pStyle w:val="719"/>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719"/>
        <w:ind w:firstLine="1044"/>
        <w:jc w:val="center"/>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t xml:space="preserve"> </w:t>
      </w:r>
      <w:r/>
    </w:p>
    <w:p>
      <w:pPr>
        <w:pStyle w:val="719"/>
        <w:ind w:firstLine="1044"/>
        <w:jc w:val="center"/>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t xml:space="preserve">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t xml:space="preserve"> </w:t>
      </w:r>
      <w:r/>
    </w:p>
    <w:p>
      <w:pPr>
        <w:pStyle w:val="721"/>
        <w:spacing w:line="360" w:lineRule="auto"/>
        <w:shd w:val="clear" w:color="auto"/>
        <w:rPr>
          <w:rFonts w:hint="default"/>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t xml:space="preserve">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pStyle w:val="719"/>
        <w:ind w:firstLine="1044"/>
        <w:jc w:val="center"/>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t xml:space="preserve"> </w:t>
      </w:r>
      <w:r/>
    </w:p>
    <w:p>
      <w:pPr>
        <w:pStyle w:val="719"/>
        <w:jc w:val="center"/>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t xml:space="preserve">第五章 合同条款</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440" w:lineRule="exact"/>
        <w:shd w:val="clear" w:color="auto"/>
        <w:rPr>
          <w:color w:val="000000" w:themeColor="text1"/>
          <w:szCs w:val="24"/>
          <w:highlight w:val="none"/>
          <w14:textFill>
            <w14:solidFill>
              <w14:schemeClr w14:val="tx1"/>
            </w14:solidFill>
          </w14:textFill>
        </w:rPr>
      </w:pPr>
      <w:r>
        <w:rPr>
          <w:color w:val="000000" w:themeColor="text1"/>
          <w:szCs w:val="24"/>
          <w:highlight w:val="none"/>
          <w14:textFill>
            <w14:solidFill>
              <w14:schemeClr w14:val="tx1"/>
            </w14:solidFill>
          </w14:textFill>
        </w:rPr>
      </w:r>
      <w:r/>
    </w:p>
    <w:p>
      <w:pPr>
        <w:jc w:val="center"/>
        <w:spacing w:line="240" w:lineRule="atLeast"/>
        <w:shd w:val="clear" w:color="auto"/>
        <w:rPr>
          <w:rFonts w:hint="eastAsia" w:ascii="宋体" w:hAnsi="宋体" w:eastAsia="宋体" w:cs="宋体"/>
          <w:spacing w:val="-10"/>
          <w:sz w:val="44"/>
          <w:szCs w:val="44"/>
          <w:highlight w:val="none"/>
        </w:rPr>
      </w:pPr>
      <w:r>
        <w:rPr>
          <w:rFonts w:hint="eastAsia" w:ascii="宋体" w:hAnsi="宋体" w:eastAsia="宋体" w:cs="宋体"/>
          <w:spacing w:val="-10"/>
          <w:sz w:val="44"/>
          <w:szCs w:val="44"/>
          <w:highlight w:val="none"/>
        </w:rPr>
        <w:t xml:space="preserve">政府采购合同</w:t>
      </w:r>
      <w:r/>
    </w:p>
    <w:p>
      <w:pPr>
        <w:spacing w:before="120" w:after="120" w:line="440" w:lineRule="exact"/>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项目名称：    </w:t>
      </w:r>
      <w:r/>
    </w:p>
    <w:p>
      <w:pPr>
        <w:spacing w:before="120" w:after="120" w:line="440" w:lineRule="exact"/>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项目编号：</w:t>
      </w:r>
      <w:r/>
    </w:p>
    <w:p>
      <w:pPr>
        <w:jc w:val="left"/>
        <w:spacing w:line="360" w:lineRule="auto"/>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left"/>
        <w:spacing w:line="360" w:lineRule="auto"/>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甲方（项目采购人）：</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 </w:t>
      </w:r>
      <w:r>
        <w:rPr>
          <w:rFonts w:hint="eastAsia" w:ascii="宋体" w:hAnsi="宋体" w:eastAsia="宋体" w:cs="宋体"/>
          <w:sz w:val="24"/>
          <w:szCs w:val="24"/>
          <w:highlight w:val="none"/>
        </w:rPr>
        <w:tab/>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单位地址： </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w:t>
      </w:r>
      <w:r/>
    </w:p>
    <w:p>
      <w:pPr>
        <w:jc w:val="left"/>
        <w:spacing w:line="360" w:lineRule="auto"/>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left"/>
        <w:spacing w:line="360" w:lineRule="auto"/>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乙方（成交供应商）：</w:t>
      </w:r>
      <w:r/>
    </w:p>
    <w:p>
      <w:pPr>
        <w:spacing w:before="120" w:after="120" w:line="44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 </w:t>
      </w:r>
      <w:r>
        <w:rPr>
          <w:rFonts w:hint="eastAsia" w:ascii="宋体" w:hAnsi="宋体" w:eastAsia="宋体" w:cs="宋体"/>
          <w:sz w:val="24"/>
          <w:szCs w:val="24"/>
          <w:highlight w:val="none"/>
        </w:rPr>
        <w:tab/>
      </w:r>
      <w:r/>
    </w:p>
    <w:p>
      <w:pPr>
        <w:spacing w:before="120" w:after="120" w:line="44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单位地址： </w:t>
      </w:r>
      <w:r/>
    </w:p>
    <w:p>
      <w:pPr>
        <w:spacing w:before="120" w:after="120" w:line="44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w:t>
      </w:r>
      <w:r/>
    </w:p>
    <w:p>
      <w:pPr>
        <w:ind w:firstLine="720"/>
        <w:spacing w:before="120" w:after="120" w:line="44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甲方所需</w:t>
      </w:r>
      <w:r>
        <w:rPr>
          <w:rFonts w:hint="eastAsia" w:ascii="宋体" w:hAnsi="宋体" w:eastAsia="宋体" w:cs="宋体"/>
          <w:sz w:val="24"/>
          <w:szCs w:val="24"/>
          <w:highlight w:val="none"/>
          <w:u w:val="single"/>
        </w:rPr>
        <w:t xml:space="preserve">  (项目名称)  </w:t>
      </w:r>
      <w:r>
        <w:rPr>
          <w:rFonts w:hint="eastAsia" w:ascii="宋体" w:hAnsi="宋体" w:eastAsia="宋体" w:cs="宋体"/>
          <w:sz w:val="24"/>
          <w:szCs w:val="24"/>
          <w:highlight w:val="none"/>
        </w:rPr>
        <w:t xml:space="preserve">经</w:t>
      </w:r>
      <w:r>
        <w:rPr>
          <w:rFonts w:hint="eastAsia" w:ascii="宋体" w:hAnsi="宋体" w:eastAsia="宋体" w:cs="宋体"/>
          <w:sz w:val="24"/>
          <w:szCs w:val="24"/>
          <w:highlight w:val="none"/>
          <w:u w:val="single"/>
          <w:lang w:val="en-US" w:eastAsia="zh-CN"/>
        </w:rPr>
        <w:t xml:space="preserve">苏州海企国际工程咨询有限公司</w:t>
      </w:r>
      <w:r>
        <w:rPr>
          <w:rFonts w:hint="eastAsia" w:ascii="宋体" w:hAnsi="宋体" w:eastAsia="宋体" w:cs="宋体"/>
          <w:sz w:val="24"/>
          <w:szCs w:val="24"/>
          <w:highlight w:val="none"/>
        </w:rPr>
        <w:t xml:space="preserve">以</w:t>
      </w:r>
      <w:r>
        <w:rPr>
          <w:rFonts w:hint="eastAsia" w:ascii="宋体" w:hAnsi="宋体" w:eastAsia="宋体" w:cs="宋体"/>
          <w:sz w:val="24"/>
          <w:szCs w:val="24"/>
          <w:highlight w:val="none"/>
          <w:u w:val="single"/>
        </w:rPr>
        <w:t xml:space="preserve">  竞争性谈判  </w:t>
      </w:r>
      <w:r>
        <w:rPr>
          <w:rFonts w:hint="eastAsia" w:ascii="宋体" w:hAnsi="宋体" w:eastAsia="宋体" w:cs="宋体"/>
          <w:sz w:val="24"/>
          <w:szCs w:val="24"/>
          <w:highlight w:val="none"/>
        </w:rPr>
        <w:t xml:space="preserve">方式进行采购，并依法确定乙方为成交供应商。甲、乙双方根据《中华人民共和国政府采购法》、《中华人民共和国民法典》等相关法律以及本项目采购文件的规定，签署本合同。下列文件是构成本合同不可分割的部分：</w:t>
      </w:r>
      <w:r/>
    </w:p>
    <w:p>
      <w:pPr>
        <w:numPr>
          <w:ilvl w:val="0"/>
          <w:numId w:val="0"/>
        </w:numPr>
        <w:ind w:firstLine="482"/>
        <w:keepLines w:val="0"/>
        <w:keepNext w:val="0"/>
        <w:pageBreakBefore w:val="0"/>
        <w:spacing w:before="120" w:after="120" w:line="360" w:lineRule="auto"/>
        <w:shd w:val="clear" w:color="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bidi="ar-SA"/>
        </w:rPr>
        <w:t xml:space="preserve">一、</w:t>
      </w:r>
      <w:r>
        <w:rPr>
          <w:rFonts w:hint="eastAsia" w:ascii="宋体" w:hAnsi="宋体" w:eastAsia="宋体" w:cs="宋体"/>
          <w:b/>
          <w:bCs/>
          <w:sz w:val="24"/>
          <w:szCs w:val="24"/>
          <w:highlight w:val="none"/>
        </w:rPr>
        <w:t xml:space="preserve">合同文件</w:t>
      </w:r>
      <w:r/>
    </w:p>
    <w:p>
      <w:pPr>
        <w:numPr>
          <w:ilvl w:val="0"/>
          <w:numId w:val="0"/>
        </w:numPr>
        <w:ind w:firstLine="480"/>
        <w:keepLines w:val="0"/>
        <w:keepNext w:val="0"/>
        <w:pageBreakBefore w:val="0"/>
        <w:spacing w:before="120" w:after="120"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以下文件是构成本合同不可分割的部分：</w:t>
      </w:r>
      <w:r/>
    </w:p>
    <w:p>
      <w:pPr>
        <w:ind w:firstLine="480"/>
        <w:keepLines w:val="0"/>
        <w:keepNext w:val="0"/>
        <w:pageBreakBefore w:val="0"/>
        <w:spacing w:before="120" w:after="120"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（一）合同条款及其附件、补充协议等；</w:t>
      </w:r>
      <w:r/>
    </w:p>
    <w:p>
      <w:pPr>
        <w:ind w:firstLine="480"/>
        <w:keepLines w:val="0"/>
        <w:keepNext w:val="0"/>
        <w:pageBreakBefore w:val="0"/>
        <w:spacing w:before="120" w:after="120"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（二）确定成交供应商的文件（包括但不限于中标通知书、成交通知书等）；</w:t>
      </w:r>
      <w:r/>
    </w:p>
    <w:p>
      <w:pPr>
        <w:ind w:firstLine="480"/>
        <w:keepLines w:val="0"/>
        <w:keepNext w:val="0"/>
        <w:pageBreakBefore w:val="0"/>
        <w:spacing w:before="120" w:after="120"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（三）本项目采购文件；</w:t>
      </w:r>
      <w:r/>
    </w:p>
    <w:p>
      <w:pPr>
        <w:ind w:firstLine="480"/>
        <w:keepLines w:val="0"/>
        <w:keepNext w:val="0"/>
        <w:pageBreakBefore w:val="0"/>
        <w:spacing w:before="120" w:after="120"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（四）成交供应商响应文件；</w:t>
      </w:r>
      <w:r/>
    </w:p>
    <w:p>
      <w:pPr>
        <w:ind w:firstLine="480"/>
        <w:keepLines w:val="0"/>
        <w:keepNext w:val="0"/>
        <w:pageBreakBefore w:val="0"/>
        <w:spacing w:before="120" w:after="120"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（五）成交供应商做出的有关澄清、说明或者补正文件。</w:t>
      </w:r>
      <w:r/>
    </w:p>
    <w:p>
      <w:pPr>
        <w:ind w:firstLine="480"/>
        <w:keepLines w:val="0"/>
        <w:keepNext w:val="0"/>
        <w:pageBreakBefore w:val="0"/>
        <w:spacing w:before="120" w:after="120"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以上文件与本合同具有同等法律效力，若与本合同内容有冲突的，则以本合同内容为准。如上述文件之间存在冲突或不一致的，以排列序位在前的文件为准，同一序位的文件以形成时间在后的为准。</w:t>
      </w:r>
      <w:r/>
    </w:p>
    <w:p>
      <w:pPr>
        <w:pStyle w:val="786"/>
        <w:ind w:firstLine="482"/>
        <w:keepLines w:val="0"/>
        <w:keepNext w:val="0"/>
        <w:pageBreakBefore w:val="0"/>
        <w:shd w:val="clear" w:color="auto"/>
        <w:widowControl/>
        <w:rPr>
          <w:rFonts w:hint="eastAsia"/>
          <w:b/>
          <w:bCs/>
          <w:highlight w:val="none"/>
        </w:rPr>
      </w:pPr>
      <w:r>
        <w:rPr>
          <w:rFonts w:hint="eastAsia"/>
          <w:b/>
          <w:bCs/>
          <w:highlight w:val="none"/>
        </w:rPr>
        <w:t xml:space="preserve">二、采购货物清单</w:t>
      </w:r>
      <w:r/>
    </w:p>
    <w:tbl>
      <w:tblPr>
        <w:tblStyle w:val="72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71"/>
        <w:gridCol w:w="1737"/>
        <w:gridCol w:w="474"/>
        <w:gridCol w:w="791"/>
        <w:gridCol w:w="950"/>
        <w:gridCol w:w="950"/>
        <w:gridCol w:w="950"/>
        <w:gridCol w:w="950"/>
        <w:gridCol w:w="814"/>
        <w:gridCol w:w="950"/>
      </w:tblGrid>
      <w:tr>
        <w:trPr/>
        <w:tc>
          <w:tcPr>
            <w:tcBorders>
              <w:top w:val="single" w:color="auto" w:sz="4" w:space="0"/>
              <w:left w:val="single" w:color="auto" w:sz="4" w:space="0"/>
              <w:bottom w:val="single" w:color="auto" w:sz="4" w:space="0"/>
              <w:right w:val="single" w:color="auto" w:sz="4" w:space="0"/>
            </w:tcBorders>
            <w:tcW w:w="261" w:type="pct"/>
            <w:textDirection w:val="lrTb"/>
            <w:noWrap w:val="false"/>
          </w:tcPr>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60" w:type="pct"/>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货物名称</w:t>
            </w:r>
            <w:r/>
          </w:p>
        </w:tc>
        <w:tc>
          <w:tcPr>
            <w:tcBorders>
              <w:top w:val="single" w:color="auto" w:sz="4" w:space="0"/>
              <w:left w:val="single" w:color="auto" w:sz="4" w:space="0"/>
              <w:bottom w:val="single" w:color="auto" w:sz="4" w:space="0"/>
              <w:right w:val="single" w:color="auto" w:sz="4" w:space="0"/>
            </w:tcBorders>
            <w:tcW w:w="262" w:type="pct"/>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品牌</w:t>
            </w:r>
            <w:r/>
          </w:p>
        </w:tc>
        <w:tc>
          <w:tcPr>
            <w:tcBorders>
              <w:top w:val="single" w:color="auto" w:sz="4" w:space="0"/>
              <w:left w:val="single" w:color="auto" w:sz="4" w:space="0"/>
              <w:bottom w:val="single" w:color="auto" w:sz="4" w:space="0"/>
              <w:right w:val="single" w:color="auto" w:sz="4" w:space="0"/>
            </w:tcBorders>
            <w:tcW w:w="437" w:type="pct"/>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规格</w:t>
            </w:r>
            <w:r/>
          </w:p>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型号</w:t>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w:t>
            </w:r>
            <w:r/>
          </w:p>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量</w:t>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w:t>
            </w:r>
            <w:r/>
          </w:p>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位</w:t>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产地</w:t>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单价(元)</w:t>
            </w:r>
            <w:r/>
          </w:p>
        </w:tc>
        <w:tc>
          <w:tcPr>
            <w:tcBorders>
              <w:top w:val="single" w:color="auto" w:sz="4" w:space="0"/>
              <w:left w:val="single" w:color="auto" w:sz="4" w:space="0"/>
              <w:bottom w:val="single" w:color="auto" w:sz="4" w:space="0"/>
              <w:right w:val="single" w:color="auto" w:sz="4" w:space="0"/>
            </w:tcBorders>
            <w:tcW w:w="450" w:type="pct"/>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总价（元）</w:t>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261" w:type="pct"/>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960"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62"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437"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450"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261" w:type="pct"/>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960"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62"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437"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450"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261" w:type="pct"/>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960"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62"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437"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450"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261" w:type="pct"/>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960"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62"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437"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450"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261" w:type="pct"/>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960"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62"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437"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450"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numPr>
          <w:ilvl w:val="0"/>
          <w:numId w:val="0"/>
        </w:numPr>
        <w:ind w:left="0" w:firstLine="482"/>
        <w:jc w:val="left"/>
        <w:keepLines w:val="0"/>
        <w:keepNext w:val="0"/>
        <w:pageBreakBefore w:val="0"/>
        <w:spacing w:line="360" w:lineRule="auto"/>
        <w:shd w:val="clear" w:color="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bidi="ar-SA"/>
        </w:rPr>
        <w:t xml:space="preserve">三、</w:t>
      </w:r>
      <w:r>
        <w:rPr>
          <w:rFonts w:hint="eastAsia" w:ascii="宋体" w:hAnsi="宋体" w:eastAsia="宋体" w:cs="宋体"/>
          <w:b/>
          <w:bCs/>
          <w:sz w:val="24"/>
          <w:szCs w:val="24"/>
          <w:highlight w:val="none"/>
        </w:rPr>
        <w:t xml:space="preserve">合同金额</w:t>
      </w:r>
      <w:r/>
    </w:p>
    <w:p>
      <w:pPr>
        <w:numPr>
          <w:ilvl w:val="0"/>
          <w:numId w:val="0"/>
        </w:num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本合同（含税）金额为人民币        元，大写：         元整。合同金额包括乙方所投产品及其备品、备件和专用工具费用、税费及包装、运至最终目的地的运输、保险、搬运费、安装调试、检测验收、采购单位指定部门的抽样产品的检测检验费用、技术支持与培训、售后服务与维保及相关劳务支出等工作所发生的全部费用以及乙方企业利润、税金和政策性文件规定及合同包含的所有风险、责任等各项应有费用。除双方另有约定且协商一致外，甲方无需支付其他任何费用。</w:t>
      </w:r>
      <w:r/>
    </w:p>
    <w:p>
      <w:pPr>
        <w:numPr>
          <w:ilvl w:val="0"/>
          <w:numId w:val="0"/>
        </w:numPr>
        <w:ind w:firstLine="482"/>
        <w:jc w:val="left"/>
        <w:keepLines w:val="0"/>
        <w:keepNext w:val="0"/>
        <w:pageBreakBefore w:val="0"/>
        <w:spacing w:line="360" w:lineRule="auto"/>
        <w:shd w:val="clear" w:color="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bidi="ar-SA"/>
        </w:rPr>
        <w:t xml:space="preserve">四、</w:t>
      </w:r>
      <w:r>
        <w:rPr>
          <w:rFonts w:hint="eastAsia" w:ascii="宋体" w:hAnsi="宋体" w:eastAsia="宋体" w:cs="宋体"/>
          <w:b/>
          <w:bCs/>
          <w:sz w:val="24"/>
          <w:szCs w:val="24"/>
          <w:highlight w:val="none"/>
        </w:rPr>
        <w:t xml:space="preserve">付款</w:t>
      </w:r>
      <w:r/>
    </w:p>
    <w:p>
      <w:pPr>
        <w:numPr>
          <w:ilvl w:val="0"/>
          <w:numId w:val="0"/>
        </w:num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1、甲方根据乙方在本合同中所提供银行开户信息转账支付。</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乙方开户名称：               </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                               </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银行账号：</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数字人民币ID：            </w:t>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双方协商一致同意，在本合同签订后，若因乙方办理“园采贷”信用融资的需要，本合同第四条第1款中约定的收款账号可作变更，变更后的账号为甲方付款时中征应收账款融资服务平台中资金提供方指定的回款账户，甲方支付至该账号的款项，亦视为已向乙方履行完毕支付义务。甲乙双方应签订变更账号的补充协议或由乙方提供账号的变更申请。</w:t>
      </w:r>
      <w:r>
        <w:rPr>
          <w:rFonts w:hint="eastAsia" w:ascii="宋体" w:hAnsi="宋体" w:eastAsia="宋体" w:cs="宋体"/>
          <w:color w:val="000000" w:themeColor="text1"/>
          <w:sz w:val="24"/>
          <w:szCs w:val="24"/>
          <w:highlight w:val="none"/>
          <w14:textFill>
            <w14:solidFill>
              <w14:schemeClr w14:val="tx1"/>
            </w14:solidFill>
          </w14:textFill>
        </w:rPr>
        <w:t xml:space="preserve">乙方银行账户如需变更，应至少于付款期限届满前10个工作日书面通知甲方，否则产生的一切责任、因变更引起的额外费用由乙方承担。</w:t>
      </w:r>
      <w:r>
        <w:rPr>
          <w:rFonts w:hint="eastAsia" w:ascii="宋体" w:hAnsi="宋体" w:eastAsia="宋体" w:cs="宋体"/>
          <w:sz w:val="24"/>
          <w:szCs w:val="24"/>
          <w:highlight w:val="none"/>
        </w:rPr>
        <w:t xml:space="preserve">除上述情况下，乙方不得擅自变更收款账户信息。</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2、付款条件和付款时间:</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2.1预付款：</w:t>
      </w:r>
      <w:r/>
    </w:p>
    <w:p>
      <w:pPr>
        <w:ind w:firstLine="480"/>
        <w:jc w:val="left"/>
        <w:keepLines w:val="0"/>
        <w:keepNext w:val="0"/>
        <w:pageBreakBefore w:val="0"/>
        <w:spacing w:line="360" w:lineRule="auto"/>
        <w:shd w:val="clear" w:color="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无预付款</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有预付款：</w:t>
      </w:r>
      <w:r/>
    </w:p>
    <w:p>
      <w:pPr>
        <w:ind w:firstLine="72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□乙方明确表示无需预付款；</w:t>
      </w:r>
      <w:r/>
    </w:p>
    <w:p>
      <w:pPr>
        <w:ind w:firstLine="72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□待合同签订生效后，甲方支付合同金额的30%的预付款，预付款将从第</w:t>
      </w:r>
      <w:r>
        <w:rPr>
          <w:rFonts w:hint="eastAsia" w:ascii="宋体" w:hAnsi="宋体" w:eastAsia="宋体" w:cs="宋体"/>
          <w:sz w:val="24"/>
          <w:szCs w:val="24"/>
          <w:highlight w:val="none"/>
          <w:u w:val="single"/>
        </w:rPr>
        <w:t xml:space="preserve">1</w:t>
      </w:r>
      <w:r>
        <w:rPr>
          <w:rFonts w:hint="eastAsia" w:ascii="宋体" w:hAnsi="宋体" w:eastAsia="宋体" w:cs="宋体"/>
          <w:sz w:val="24"/>
          <w:szCs w:val="24"/>
          <w:highlight w:val="none"/>
        </w:rPr>
        <w:t xml:space="preserve">笔（期）待支付的进度款款项中扣除。</w:t>
      </w:r>
      <w:r/>
    </w:p>
    <w:p>
      <w:pPr>
        <w:ind w:firstLine="480"/>
        <w:keepLines w:val="0"/>
        <w:keepNext w:val="0"/>
        <w:pageBreakBefore w:val="0"/>
        <w:spacing w:line="360" w:lineRule="auto"/>
        <w:shd w:val="clear" w:color="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w:t>
      </w:r>
      <w:r>
        <w:rPr>
          <w:rFonts w:hint="eastAsia" w:ascii="宋体" w:hAnsi="宋体" w:eastAsia="宋体" w:cs="宋体"/>
          <w:b/>
          <w:sz w:val="24"/>
          <w:szCs w:val="24"/>
          <w:highlight w:val="none"/>
        </w:rPr>
        <w:t xml:space="preserve">进度款：</w:t>
      </w:r>
      <w:r>
        <w:rPr>
          <w:rFonts w:hint="eastAsia" w:ascii="宋体" w:hAnsi="宋体" w:eastAsia="宋体" w:cs="宋体"/>
          <w:sz w:val="24"/>
          <w:szCs w:val="24"/>
          <w:highlight w:val="none"/>
        </w:rPr>
        <w:t xml:space="preserve">所提供的货物全部</w:t>
      </w:r>
      <w:r>
        <w:rPr>
          <w:rFonts w:hint="eastAsia" w:ascii="宋体" w:hAnsi="宋体" w:eastAsia="宋体"/>
          <w:sz w:val="24"/>
          <w:szCs w:val="24"/>
          <w:highlight w:val="none"/>
        </w:rPr>
        <w:t xml:space="preserve">到达甲方指定地点</w:t>
      </w:r>
      <w:r>
        <w:rPr>
          <w:rFonts w:hint="eastAsia" w:ascii="宋体" w:hAnsi="宋体" w:eastAsia="宋体" w:cs="宋体"/>
          <w:sz w:val="24"/>
          <w:szCs w:val="24"/>
          <w:highlight w:val="none"/>
        </w:rPr>
        <w:t xml:space="preserve">，且甲方验收合格后通知乙方开具发票，甲方收到发票后</w:t>
      </w:r>
      <w:r>
        <w:rPr>
          <w:rFonts w:hint="eastAsia" w:ascii="宋体" w:hAnsi="宋体" w:eastAsia="宋体" w:cs="宋体"/>
          <w:color w:val="000000"/>
          <w:sz w:val="24"/>
          <w:highlight w:val="none"/>
        </w:rPr>
        <w:t xml:space="preserve">于202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年支付</w:t>
      </w:r>
      <w:r>
        <w:rPr>
          <w:rFonts w:hint="eastAsia" w:ascii="宋体" w:hAnsi="宋体" w:eastAsia="宋体" w:cs="宋体"/>
          <w:sz w:val="24"/>
          <w:szCs w:val="24"/>
          <w:highlight w:val="none"/>
        </w:rPr>
        <w:t xml:space="preserve">合同金额的</w:t>
      </w:r>
      <w:r>
        <w:rPr>
          <w:rFonts w:hint="eastAsia" w:ascii="宋体" w:hAnsi="宋体" w:eastAsia="宋体" w:cs="宋体"/>
          <w:sz w:val="24"/>
          <w:szCs w:val="24"/>
          <w:highlight w:val="none"/>
          <w:lang w:val="en-US" w:eastAsia="zh-CN"/>
        </w:rPr>
        <w:t xml:space="preserve">50</w:t>
      </w:r>
      <w:r>
        <w:rPr>
          <w:rFonts w:hint="eastAsia" w:ascii="宋体" w:hAnsi="宋体" w:eastAsia="宋体" w:cs="宋体"/>
          <w:sz w:val="24"/>
          <w:szCs w:val="24"/>
          <w:highlight w:val="none"/>
        </w:rPr>
        <w:t xml:space="preserve">％；</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w:t>
      </w:r>
      <w:r>
        <w:rPr>
          <w:rFonts w:hint="eastAsia" w:ascii="宋体" w:hAnsi="宋体" w:eastAsia="宋体" w:cs="宋体"/>
          <w:b/>
          <w:sz w:val="24"/>
          <w:szCs w:val="24"/>
          <w:highlight w:val="none"/>
        </w:rPr>
        <w:t xml:space="preserve">结清款：</w:t>
      </w: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年8月前</w:t>
      </w:r>
      <w:r>
        <w:rPr>
          <w:rFonts w:hint="eastAsia" w:ascii="宋体" w:hAnsi="宋体" w:eastAsia="宋体" w:cs="宋体"/>
          <w:sz w:val="24"/>
          <w:szCs w:val="24"/>
          <w:highlight w:val="none"/>
        </w:rPr>
        <w:t xml:space="preserve">无质量问题的在收到乙方发票后一次性付清剩余5</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%（无息）。</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2.4在签订合同时，乙方明确表示无需预付款或者主动要求降低预付款比例的，甲方可不适用上述关于预付款的规定。</w:t>
      </w:r>
      <w:r/>
    </w:p>
    <w:p>
      <w:pPr>
        <w:numPr>
          <w:ilvl w:val="0"/>
          <w:numId w:val="0"/>
        </w:numPr>
        <w:ind w:firstLine="482"/>
        <w:jc w:val="left"/>
        <w:keepLines w:val="0"/>
        <w:keepNext w:val="0"/>
        <w:pageBreakBefore w:val="0"/>
        <w:spacing w:line="360" w:lineRule="auto"/>
        <w:shd w:val="clear" w:color="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bidi="ar-SA"/>
        </w:rPr>
        <w:t xml:space="preserve">五、</w:t>
      </w:r>
      <w:r>
        <w:rPr>
          <w:rFonts w:hint="eastAsia" w:ascii="宋体" w:hAnsi="宋体" w:eastAsia="宋体" w:cs="宋体"/>
          <w:b/>
          <w:bCs/>
          <w:sz w:val="24"/>
          <w:szCs w:val="24"/>
          <w:highlight w:val="none"/>
        </w:rPr>
        <w:t xml:space="preserve">交货时间、地点</w:t>
      </w:r>
      <w:r/>
    </w:p>
    <w:p>
      <w:pPr>
        <w:numPr>
          <w:ilvl w:val="0"/>
          <w:numId w:val="0"/>
        </w:numPr>
        <w:ind w:firstLine="480"/>
        <w:jc w:val="left"/>
        <w:keepLines w:val="0"/>
        <w:keepNext w:val="0"/>
        <w:pageBreakBefore w:val="0"/>
        <w:spacing w:line="360" w:lineRule="auto"/>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1、交付时间：</w:t>
      </w:r>
      <w:r>
        <w:rPr>
          <w:rFonts w:hint="eastAsia" w:ascii="宋体" w:hAnsi="宋体" w:eastAsia="宋体" w:cs="宋体"/>
          <w:sz w:val="24"/>
          <w:szCs w:val="24"/>
          <w:highlight w:val="none"/>
          <w:lang w:eastAsia="zh-CN"/>
        </w:rPr>
        <w:t xml:space="preserve">2年供货期，分批供货，收到采购人供货通知后7天内送至指定地点</w:t>
      </w:r>
      <w:r>
        <w:rPr>
          <w:rFonts w:hint="eastAsia" w:ascii="宋体" w:hAnsi="宋体" w:eastAsia="宋体" w:cs="宋体"/>
          <w:sz w:val="24"/>
          <w:szCs w:val="24"/>
          <w:highlight w:val="none"/>
        </w:rPr>
        <w:t xml:space="preserve">。如因现场不具备进场安装条件的，甲方将书面或邮件通知乙方调整履行期限的起算日。</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2、交货地点：</w:t>
      </w:r>
      <w:r>
        <w:rPr>
          <w:rFonts w:hint="eastAsia" w:ascii="宋体" w:hAnsi="宋体" w:eastAsia="宋体" w:cs="宋体"/>
          <w:sz w:val="24"/>
          <w:szCs w:val="24"/>
          <w:highlight w:val="none"/>
          <w:u w:val="single"/>
          <w:lang w:val="en-US" w:eastAsia="zh-CN"/>
        </w:rPr>
        <w:t xml:space="preserve">甲方指定地点</w:t>
      </w:r>
      <w:r>
        <w:rPr>
          <w:rFonts w:hint="eastAsia" w:ascii="宋体" w:hAnsi="宋体" w:eastAsia="宋体" w:cs="宋体"/>
          <w:sz w:val="24"/>
          <w:szCs w:val="24"/>
          <w:highlight w:val="none"/>
          <w:u w:val="single"/>
        </w:rPr>
        <w:t xml:space="preserve">  </w:t>
      </w:r>
      <w:r/>
    </w:p>
    <w:p>
      <w:pPr>
        <w:ind w:firstLine="482"/>
        <w:jc w:val="left"/>
        <w:keepLines w:val="0"/>
        <w:keepNext w:val="0"/>
        <w:pageBreakBefore w:val="0"/>
        <w:spacing w:line="360" w:lineRule="auto"/>
        <w:shd w:val="clear" w:color="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、包装与运输</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1、乙方应妥善包装货物，适合运输、防潮、防湿、防锈、耐野蛮装卸，任何由于乙方包装不善而造成的损失由乙方负责；</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2、乙方包装货物时，必须附有装箱清单。</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3、乙方应自行选择适宜的运输工具及线路安排货物运输。</w:t>
      </w:r>
      <w:r/>
    </w:p>
    <w:p>
      <w:pPr>
        <w:ind w:firstLine="482"/>
        <w:keepLines w:val="0"/>
        <w:keepNext w:val="0"/>
        <w:pageBreakBefore w:val="0"/>
        <w:spacing w:line="360" w:lineRule="auto"/>
        <w:shd w:val="clear" w:color="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七</w:t>
      </w:r>
      <w:r>
        <w:rPr>
          <w:rFonts w:hint="eastAsia" w:ascii="宋体" w:hAnsi="宋体" w:eastAsia="宋体" w:cs="宋体"/>
          <w:b/>
          <w:sz w:val="24"/>
          <w:szCs w:val="24"/>
          <w:highlight w:val="none"/>
        </w:rPr>
        <w:t xml:space="preserve">、质量保证</w:t>
      </w:r>
      <w:r/>
    </w:p>
    <w:p>
      <w:pPr>
        <w:ind w:firstLine="482"/>
        <w:keepLines w:val="0"/>
        <w:keepNext w:val="0"/>
        <w:pageBreakBefore w:val="0"/>
        <w:spacing w:line="360" w:lineRule="auto"/>
        <w:shd w:val="clear" w:color="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1、乙方应保证货物的生产、安装、检验检测、调试等各项技术标准，应当符合国家或行业标准。</w:t>
      </w:r>
      <w:r/>
    </w:p>
    <w:p>
      <w:pPr>
        <w:ind w:firstLine="482"/>
        <w:jc w:val="left"/>
        <w:keepLines w:val="0"/>
        <w:keepNext w:val="0"/>
        <w:pageBreakBefore w:val="0"/>
        <w:spacing w:line="360" w:lineRule="auto"/>
        <w:shd w:val="clear" w:color="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2、乙方应保证提供给甲方的货物是货物生产厂商原造的，全新、未使用过的，产品质量符合国家或行业标准、采购文件所列的各项要求以及乙方在投标（响应）文件中承诺的其它指标。</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3、乙方应保证提供给甲方的货物是通过货物生产厂商的出厂检验合格的，并提供质量合格证书。</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4、乙方应保证所提供的货物经正确安装、合理操作和维护保养在其使用寿命期内具有令甲方满意的性能，并对由于合同货物的设计、工艺或材料的缺陷而发生的任何故障负责。</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乙方应保证甲方在中国境内使用货物或货物的任何一部分时，免受第三方提出的侵犯其知识产权的诉讼。如甲方因合同货物的知识产权原因而受到第三方的索赔请求，乙方应负责处理，承担相关法律责任，并承担甲方因此发生的全部费用及损失。</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乙方应保证其对货物的销售不损害任何第三方的合法权益和社会公众利益。任何第三方不会因乙方原因而基于所有权、抵押权、留置权或其他任何权利或事由对合同货物主张权利。如出现此类情况，乙方应负责处理，承担相关法律责任，并承担甲方因此发生的全部费用及损失。</w:t>
      </w:r>
      <w:r/>
    </w:p>
    <w:p>
      <w:pPr>
        <w:ind w:firstLine="482"/>
        <w:keepLines w:val="0"/>
        <w:keepNext w:val="0"/>
        <w:pageBreakBefore w:val="0"/>
        <w:spacing w:line="360" w:lineRule="auto"/>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、检验与验收</w:t>
      </w:r>
      <w:r/>
    </w:p>
    <w:p>
      <w:pPr>
        <w:ind w:firstLine="482"/>
        <w:keepLines w:val="0"/>
        <w:keepNext w:val="0"/>
        <w:pageBreakBefore w:val="0"/>
        <w:spacing w:line="360" w:lineRule="auto"/>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本项目将根据政府采购法及相关法规，以及《苏州工业园区政府采购履约验收管理暂行办法》文件的规定，对乙方进行履约验收，采购文件中设置检测报告相关要求，应聘请检测机构实施检验、出具检测报告。具体履约验收方案详见合同文本—附件1”</w:t>
      </w:r>
      <w:r/>
    </w:p>
    <w:p>
      <w:pPr>
        <w:ind w:firstLine="480"/>
        <w:keepLines w:val="0"/>
        <w:keepNext w:val="0"/>
        <w:pageBreakBefore w:val="0"/>
        <w:spacing w:line="360" w:lineRule="auto"/>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b w:val="0"/>
          <w:color w:val="auto"/>
          <w:sz w:val="24"/>
          <w:szCs w:val="24"/>
          <w:highlight w:val="none"/>
        </w:rPr>
        <w:t xml:space="preserve">2、由于甲方自身能力、检验方法和检验手段的限制，对于</w:t>
      </w:r>
      <w:r>
        <w:rPr>
          <w:rFonts w:hint="eastAsia" w:ascii="宋体" w:hAnsi="宋体" w:eastAsia="宋体" w:cs="宋体"/>
          <w:color w:val="auto"/>
          <w:sz w:val="24"/>
          <w:szCs w:val="24"/>
          <w:highlight w:val="none"/>
        </w:rPr>
        <w:t xml:space="preserve">货物</w:t>
      </w:r>
      <w:r>
        <w:rPr>
          <w:rFonts w:hint="eastAsia" w:ascii="宋体" w:hAnsi="宋体" w:eastAsia="宋体" w:cs="宋体"/>
          <w:b w:val="0"/>
          <w:color w:val="auto"/>
          <w:sz w:val="24"/>
          <w:szCs w:val="24"/>
          <w:highlight w:val="none"/>
        </w:rPr>
        <w:t xml:space="preserve">部分质量瑕疵尤其是潜在的或隐蔽的质量瑕疵，在短时间内可能无法发现。因此，验收</w:t>
      </w:r>
      <w:r>
        <w:rPr>
          <w:rFonts w:hint="eastAsia" w:ascii="宋体" w:hAnsi="宋体" w:eastAsia="宋体" w:cs="宋体"/>
          <w:color w:val="auto"/>
          <w:sz w:val="24"/>
          <w:szCs w:val="24"/>
          <w:highlight w:val="none"/>
        </w:rPr>
        <w:t xml:space="preserve">书</w:t>
      </w:r>
      <w:r>
        <w:rPr>
          <w:rFonts w:hint="eastAsia" w:ascii="宋体" w:hAnsi="宋体" w:eastAsia="宋体" w:cs="宋体"/>
          <w:b w:val="0"/>
          <w:color w:val="auto"/>
          <w:sz w:val="24"/>
          <w:szCs w:val="24"/>
          <w:highlight w:val="none"/>
        </w:rPr>
        <w:t xml:space="preserve">的签署仅作为合同标的物质保期起算的依据，不代表甲方对质量异议权利的放弃，也不代表乙方对产品质量保证责任的免除。甲方验收通过，并不免除乙方对货物的质量问题承担责任的义务。如验收通过后，产品出现质量问题影响甲方使用的，甲方仍有权要求乙方采取维修、退货换货、支付违约金、赔偿损失等方式处理</w:t>
      </w:r>
      <w:r>
        <w:rPr>
          <w:rFonts w:hint="eastAsia" w:ascii="宋体" w:hAnsi="宋体" w:eastAsia="宋体" w:cs="宋体"/>
          <w:b/>
          <w:color w:val="auto"/>
          <w:sz w:val="24"/>
          <w:szCs w:val="24"/>
          <w:highlight w:val="none"/>
        </w:rPr>
        <w:t xml:space="preserve">。</w:t>
      </w:r>
      <w:r/>
    </w:p>
    <w:p>
      <w:pPr>
        <w:ind w:firstLine="482"/>
        <w:jc w:val="left"/>
        <w:keepLines w:val="0"/>
        <w:keepNext w:val="0"/>
        <w:pageBreakBefore w:val="0"/>
        <w:spacing w:line="360" w:lineRule="auto"/>
        <w:shd w:val="clear" w:color="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九</w:t>
      </w:r>
      <w:r>
        <w:rPr>
          <w:rFonts w:hint="eastAsia" w:ascii="宋体" w:hAnsi="宋体" w:eastAsia="宋体" w:cs="宋体"/>
          <w:b/>
          <w:bCs/>
          <w:sz w:val="24"/>
          <w:szCs w:val="24"/>
          <w:highlight w:val="none"/>
        </w:rPr>
        <w:t xml:space="preserve">、质保期和售后服务</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b/>
          <w:sz w:val="24"/>
          <w:szCs w:val="24"/>
          <w:highlight w:val="none"/>
        </w:rPr>
        <w:t xml:space="preserve">乙方对货物的免费质保期为</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年，时间自最终验收合格并交付使用之日（如交付日与验收合格之日不一致，则以日期后者为准）起计算。若货物生产厂家规定的免费质保期长于本合同质保期，质保期以较长者为准。</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2、在质保期内项目所有产品及其形成的系统性能如出现质量问题（人为除外），乙方负责无条件免费更换或修复。更换的货物的免费质保期应重新计算。</w:t>
      </w:r>
      <w:r/>
    </w:p>
    <w:p>
      <w:pPr>
        <w:ind w:firstLine="482"/>
        <w:keepLines w:val="0"/>
        <w:keepNext w:val="0"/>
        <w:pageBreakBefore w:val="0"/>
        <w:spacing w:line="360" w:lineRule="auto"/>
        <w:shd w:val="clear" w:color="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在免费质保期内，乙方应以优良的服务态度，提供24小时的技术服务支持，一旦货物出现产品问题，乙方应在1小时以内响应，2小时内赶到现场，4小时内解决问题或免费提供同款备品更换到位以保证甲方的使用需要。如乙方在接到通知后24小时内没有答复或处理问题，甲方有权直接聘请第三方提供服务，因此而造成的费用、损失风险由乙方承担，甲方可在保证金或合同金额中直接予以扣除。</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4、如因甲方使用不当而引起的缺陷，或因甲方人员维护不当而损坏的货物或零部件，乙方不负保修责任，乙方应按照或比照本合同相关条款规定提供更换或修理服务，由此引起的合理费用由甲方负担。</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如因乙方提供的货物有缺陷、服务达不到要求，或乙方提供的技术资料有错误，或乙方在现场的技术人员指导有错误而使合同货物不能达到合同规定的指标和技术性能，乙方应负责按本合同相关条款规定修理或更换，使货物运行指标和技术性能以及相关服务达到合同规定,由此引起的全部费用由乙方承担。若以上原因导致或引起甲方损失及导致或引起第三方受到损害的，全部赔偿责任均应由乙方承担。</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6、在免费保修期内，如果由于乙方更换、修理和续补货物或更换服务，而造成本合同不得不停止履行，保修期应依照停止运行的实际时间加以延长，如因此给甲方造成损失，乙方应负责赔偿。</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在免费保修期届满后，乙方保证继续为甲方提供设备的维修服务，甲方应按乙方提供的不差于任何第三方的优惠价格向乙方支付相关费用，乙方保证在合同货物使用期内以不高于本合同货物、相关配件及服务的价格，并且不差于任何第三方的优惠价格，向甲方提供备品、备件及维修服务。</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8、乙方不履行或拖延履行质保义务、售后服务义务的，甲方有权直接聘请第三方提供，因此而造成的费用、损失风险由乙方承担，甲方可在货款或履约保证金中直接予以扣除。</w:t>
      </w:r>
      <w:r/>
    </w:p>
    <w:p>
      <w:pPr>
        <w:ind w:firstLine="513"/>
        <w:spacing w:line="400" w:lineRule="exact"/>
        <w:shd w:val="clear" w:color="auto"/>
        <w:tabs>
          <w:tab w:val="left" w:pos="142" w:leader="none"/>
          <w:tab w:val="left" w:pos="60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十</w:t>
      </w:r>
      <w:r>
        <w:rPr>
          <w:rFonts w:hint="eastAsia" w:ascii="宋体" w:hAnsi="宋体" w:eastAsia="宋体" w:cs="宋体"/>
          <w:b/>
          <w:bCs/>
          <w:color w:val="000000" w:themeColor="text1"/>
          <w:sz w:val="24"/>
          <w:szCs w:val="24"/>
          <w:highlight w:val="none"/>
          <w14:textFill>
            <w14:solidFill>
              <w14:schemeClr w14:val="tx1"/>
            </w14:solidFill>
          </w14:textFill>
        </w:rPr>
        <w:t xml:space="preserve">、履约保证金</w:t>
      </w:r>
      <w:r/>
    </w:p>
    <w:p>
      <w:pPr>
        <w:ind w:firstLine="511"/>
        <w:spacing w:line="400" w:lineRule="exact"/>
        <w:shd w:val="clear" w:color="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1、☑不要求提交履约保证金</w:t>
      </w:r>
      <w:r/>
    </w:p>
    <w:p>
      <w:pPr>
        <w:ind w:firstLine="511"/>
        <w:spacing w:line="400" w:lineRule="exact"/>
        <w:shd w:val="clear" w:color="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2、□要求提交履约保证金：乙方交纳合同金额的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%（不得超过合同金额的10%），即人民币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元，作为本合同的履约保证金。在签订合同前，中标人应当以支票、汇票、本票或者金融机构、担保机构出具的保函等非现金形式提交。联合体中标的，其履约保证金以联合体各方或者联合体中牵头人的名义提交。</w:t>
      </w:r>
      <w:r/>
    </w:p>
    <w:p>
      <w:pPr>
        <w:ind w:firstLine="511"/>
        <w:spacing w:line="400" w:lineRule="exact"/>
        <w:shd w:val="clear" w:color="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3、合同履行结束后，甲方应及时退还交纳的履约保证金。采购人逾期退还的，应当根据实际逾期期限向中标供应商支付逾期利息，逾期利率：</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511"/>
        <w:spacing w:line="400" w:lineRule="exact"/>
        <w:shd w:val="clear" w:color="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4、履约保证金退还条件：</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511"/>
        <w:spacing w:line="400" w:lineRule="exact"/>
        <w:shd w:val="clear" w:color="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5、履约保证金退还时间：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511"/>
        <w:spacing w:line="400" w:lineRule="exact"/>
        <w:shd w:val="clear" w:color="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6、履约保证金退还方式：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511"/>
        <w:spacing w:line="400" w:lineRule="exact"/>
        <w:shd w:val="clear" w:color="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7、履约保证金不予退还的情形：</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511"/>
        <w:spacing w:line="400" w:lineRule="exact"/>
        <w:shd w:val="clear" w:color="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8、其他：中标人无故拖延或拒不提交履约保证金的，视为拒绝与采购人签订合同。</w:t>
      </w:r>
      <w:r/>
    </w:p>
    <w:p>
      <w:pPr>
        <w:ind w:firstLine="511"/>
        <w:spacing w:line="400" w:lineRule="exact"/>
        <w:shd w:val="clear" w:color="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2"/>
        <w:jc w:val="left"/>
        <w:keepLines w:val="0"/>
        <w:keepNext w:val="0"/>
        <w:pageBreakBefore w:val="0"/>
        <w:spacing w:line="360" w:lineRule="auto"/>
        <w:shd w:val="clear" w:color="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一</w:t>
      </w:r>
      <w:r>
        <w:rPr>
          <w:rFonts w:hint="eastAsia" w:ascii="宋体" w:hAnsi="宋体" w:eastAsia="宋体" w:cs="宋体"/>
          <w:b/>
          <w:bCs/>
          <w:sz w:val="24"/>
          <w:szCs w:val="24"/>
          <w:highlight w:val="none"/>
        </w:rPr>
        <w:t xml:space="preserve">、违约责任</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若乙方未如期按照合同约定交付合同货物或提供服务，或乙方未能履行合同规定的任何其他义务时，甲方有权直接向乙方发出违约通知书，乙方应按照甲方选择的下列一种或多种方式承担赔偿责任及违约责任：</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每迟延交付合同货物或提供服务一日，乙方应按照本合同总金额的万分之五向甲方支付违约金。如甲方未选择解除合同的，乙方仍应在甲方要求的期限内履行约定的义务，按照上述约定承担逾期服务违约金，并承担由此给甲方造成的损失及甲方因此产生的对第三方的责任。</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甲方规定的时间内，用符合合同规定的规格、质量和性能要求的新零件、部件或货物来更换有缺陷的零件、部件和货物，或修补缺陷部分以达到合同规定的要求，乙方应承担由此发生的相关费用并承担由此给甲方造成的损失及甲方因此产生的对第三方的责任。此时，相关货物的质量保修期也应相应延长。</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3）根据货物、服务低劣程度、损坏程度以及使甲方所遭受的损失及甲方因此产生的对第三方的责任，经双方商定降低货物、服务的价格或赔偿甲方所遭受的损失及甲方因此产生的对第三方的责任。</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4）按合同规定的同种货币将甲方所退货物已支付的货款全部退还给甲方，并承担由此发生的损失和相关费用及甲方因此产生的对第三方的责任。</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5）甲方有权部分或全部解除合同，并要求乙方赔偿由此造成的损失及甲方因此产生的对第三方的责任。此时甲方可采取必要的补救措施，相关费用由乙方承担。</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6）甲方为采取必要的补救措施或因防止损失扩大而支出的合理费用应由乙方承担。</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2、如果乙方在收到甲方的违约通知书</w:t>
      </w:r>
      <w:r>
        <w:rPr>
          <w:rFonts w:hint="eastAsia" w:ascii="宋体" w:hAnsi="宋体" w:eastAsia="宋体" w:cs="宋体"/>
          <w:sz w:val="24"/>
          <w:szCs w:val="24"/>
          <w:highlight w:val="none"/>
          <w:u w:val="single"/>
        </w:rPr>
        <w:t xml:space="preserve">7</w:t>
      </w:r>
      <w:r>
        <w:rPr>
          <w:rFonts w:hint="eastAsia" w:ascii="宋体" w:hAnsi="宋体" w:eastAsia="宋体" w:cs="宋体"/>
          <w:sz w:val="24"/>
          <w:szCs w:val="24"/>
          <w:highlight w:val="none"/>
        </w:rPr>
        <w:t xml:space="preserve">日内未作答复也没有按照甲方选择的方式承担违约责任，则甲方有权从尚未支付的合同价款或保证金中扣回相当于甲方选择的方式计算的索赔金额。如果前述金额不足以补偿，甲方有权向乙方提出不足部分的赔偿要求。</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3、当违约行为给对方造成损失时，违约方还应当赔偿对方因此所受全部损失。当构成严重违约致使不能实现合同目的时，守约方可以单方面决定解除合同，违约方同时还应当承担违约责任。</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4、因乙方违约导致合同解除的，乙方应当全额退还甲方已经支付的货款，自行取回货物，并向甲方支付合同总金额20%的违约金并承担所有费用。</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5、如果出现政府采购监管部门在处理投诉事项期间，通知甲方暂停采购活动的情形，或者询问或质疑事项可能影响最终成交结果的，导致甲方中止履行合同的情形，均不视为甲方违约。</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6、甲方无故逾期支付货款的应按照逾期付款金额的每天万分之四支付逾期付款违约金，但甲方支付此项违约金的数额不超过合同总金额5%。</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7、甲方违反合同规定，无故拒绝接收乙方交付的合格货物，应当承担乙方由此造成的损失。</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8、乙方应赔偿甲方的损失、支付给甲方的违约金以及其他依据本合同应支付给甲方的费用，甲方有权直接从未支付款项中予以扣除，不足部分有权要求乙方予以补足。</w:t>
      </w:r>
      <w:r/>
    </w:p>
    <w:p>
      <w:pPr>
        <w:ind w:firstLine="482"/>
        <w:jc w:val="left"/>
        <w:keepLines w:val="0"/>
        <w:keepNext w:val="0"/>
        <w:pageBreakBefore w:val="0"/>
        <w:spacing w:line="360" w:lineRule="auto"/>
        <w:shd w:val="clear" w:color="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、合同的解除和转让</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1、有下列情形之一，合同一方可以解除合同：</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（1）因不可抗力致使不能实现合同目的，未受不可抗力影响的一方有权解除合同；</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（2）因一方违约导致合同不能履行，另一方有权解除合同。</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（3）一方明确表示不履行或实质上已停止履行合同或发生丧失履约能力的情形时，另一方有权解除合同。</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2、政府采购合同继续履行将损害国家利益和社会公共利益，甲方有权变更、中止或者终止、解除合同。</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3、合同的部分和全部都不得转让，否则视为违约，乙方应向甲方支付合同总金额20%的违约金，同时甲方有权单方解除合同。</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有权解除合同的一方，应当在其知道或者应当知道解除事由之日起【一年】内书面通知对方提出解除合同；另一方如有异议，应当在解除合同通知到达之日起【7】日内提出异议，否则视为无异议，合同自异议期满之次日起即告解除。</w:t>
      </w:r>
      <w:r/>
    </w:p>
    <w:p>
      <w:pPr>
        <w:ind w:firstLine="482"/>
        <w:jc w:val="left"/>
        <w:keepLines w:val="0"/>
        <w:keepNext w:val="0"/>
        <w:pageBreakBefore w:val="0"/>
        <w:spacing w:line="360" w:lineRule="auto"/>
        <w:shd w:val="clear" w:color="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、不可抗力</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1、不可抗力指下列事件：战争、动乱、瘟疫、严重火灾、洪水、地震、风暴或其他自然灾害，以及本合同各方不可预见、不可防止并不能避免或克服的一切其他因素及事件。</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做出的公证证明。</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4、合同各方应根据不可抗力对本合同履行的影响程度，协商确定是否终止本合同，或是继续履行本合同。</w:t>
      </w:r>
      <w:r/>
    </w:p>
    <w:p>
      <w:pPr>
        <w:ind w:firstLine="482"/>
        <w:jc w:val="left"/>
        <w:keepLines w:val="0"/>
        <w:keepNext w:val="0"/>
        <w:pageBreakBefore w:val="0"/>
        <w:spacing w:line="360" w:lineRule="auto"/>
        <w:shd w:val="clear" w:color="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、保密条款</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任何一方对其获知的本合同及附件中其他各方的商业秘密和国家秘密等非公开信息负有保密义务。乙方在履行本合同过程中所知悉的甲方相关设施设备的信息以及其他未公开信息，均视为甲方的保密信息，乙方对此负有保密义务，不得泄露给任何第三方或用于本合同之外的目的。</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此外的其他情形下，除非法律、法规另有规定或得到本合同之其他各方的书面许可，任何一方不得向第三人泄露前款规定的商业秘密和国家秘密以及保密信息等非公开信息。保密期限自任何一方获知该商业秘密和国家秘密及保密信息等非公开信息之日起至本条规定的秘密成为公开信息之日止。</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4、乙方违反前述保密义务的，应向甲方支付合同总金额30%的违约金，并赔偿由此给甲方造成的一切损失。</w:t>
      </w:r>
      <w:r/>
    </w:p>
    <w:p>
      <w:pPr>
        <w:ind w:firstLine="482"/>
        <w:jc w:val="left"/>
        <w:keepLines w:val="0"/>
        <w:keepNext w:val="0"/>
        <w:pageBreakBefore w:val="0"/>
        <w:spacing w:line="360" w:lineRule="auto"/>
        <w:shd w:val="clear" w:color="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、联系方式</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双方发出与本合同有关的通知或回复，应以专人送递、传真、特快专递、邮件或其他双方在签订合同时确认的方式发出；如果以专人送递或特快专递发送，以送达至对方的住所地或通讯联络地为送达；如果以传真方式发送，发件人在收到传真报告后视为送达；如果采用电子邮件的方式，则应在发送后由对方以书面方式予以确认。</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双方发出的与本合同有关的通知或回复均应发至本合同签订时确认的通讯地址（本合同首部载明），一方变更通讯地址，应自变更之日起3个工作日内，将变更后的地址通知对方。变更方不履行通知义务的，应对此造成的一切后果承担法律责任。</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3、上述发出通知、回复的费用由发出一方承担。</w:t>
      </w:r>
      <w:r/>
    </w:p>
    <w:p>
      <w:pPr>
        <w:ind w:firstLine="482"/>
        <w:jc w:val="left"/>
        <w:keepLines w:val="0"/>
        <w:keepNext w:val="0"/>
        <w:pageBreakBefore w:val="0"/>
        <w:spacing w:line="360" w:lineRule="auto"/>
        <w:shd w:val="clear" w:color="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、争议的解决 </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与本合同有关的一切争议，双方应通过友好协商解决。如果经协商不能达成协议，可以向甲方所在地有管辖权的人民法院起诉。</w:t>
      </w:r>
      <w:bookmarkStart w:id="2" w:name="OLE_LINK263"/>
      <w:r/>
      <w:bookmarkStart w:id="3" w:name="OLE_LINK264"/>
      <w:r/>
      <w:bookmarkStart w:id="4" w:name="OLE_LINK170"/>
      <w:r/>
      <w:bookmarkStart w:id="5" w:name="OLE_LINK73"/>
      <w:r/>
      <w:bookmarkStart w:id="6" w:name="OLE_LINK815"/>
      <w:r/>
      <w:bookmarkStart w:id="7" w:name="OLE_LINK814"/>
      <w:r>
        <w:rPr>
          <w:rFonts w:hint="eastAsia" w:ascii="宋体" w:hAnsi="宋体" w:eastAsia="宋体" w:cs="宋体"/>
          <w:sz w:val="24"/>
          <w:szCs w:val="24"/>
          <w:highlight w:val="none"/>
        </w:rPr>
        <w:t xml:space="preserve">若</w:t>
      </w:r>
      <w:bookmarkStart w:id="8" w:name="OLE_LINK102"/>
      <w:r/>
      <w:bookmarkStart w:id="9" w:name="OLE_LINK103"/>
      <w:r>
        <w:rPr>
          <w:rFonts w:hint="eastAsia" w:ascii="宋体" w:hAnsi="宋体" w:eastAsia="宋体" w:cs="宋体"/>
          <w:sz w:val="24"/>
          <w:szCs w:val="24"/>
          <w:highlight w:val="none"/>
        </w:rPr>
        <w:t xml:space="preserve">由于乙方违约或乙方追究甲方违约不成立的而产生纠纷的，甲方为处理纠纷产生的费用由乙方承担，该费用包括但不限于保全费、诉讼费、鉴定费、律师费、差旅费等</w:t>
      </w:r>
      <w:bookmarkEnd w:id="2"/>
      <w:r/>
      <w:bookmarkEnd w:id="3"/>
      <w:r/>
      <w:bookmarkEnd w:id="4"/>
      <w:r/>
      <w:bookmarkEnd w:id="5"/>
      <w:r/>
      <w:bookmarkEnd w:id="8"/>
      <w:r/>
      <w:bookmarkEnd w:id="9"/>
      <w:r>
        <w:rPr>
          <w:rFonts w:hint="eastAsia" w:ascii="宋体" w:hAnsi="宋体" w:eastAsia="宋体" w:cs="宋体"/>
          <w:sz w:val="24"/>
          <w:szCs w:val="24"/>
          <w:highlight w:val="none"/>
        </w:rPr>
        <w:t xml:space="preserve">。</w:t>
      </w:r>
      <w:bookmarkEnd w:id="6"/>
      <w:r/>
      <w:bookmarkEnd w:id="7"/>
      <w:r/>
      <w:r/>
    </w:p>
    <w:p>
      <w:pPr>
        <w:numPr>
          <w:ilvl w:val="0"/>
          <w:numId w:val="0"/>
        </w:numPr>
        <w:ind w:firstLine="482"/>
        <w:jc w:val="left"/>
        <w:keepLines w:val="0"/>
        <w:keepNext w:val="0"/>
        <w:pageBreakBefore w:val="0"/>
        <w:spacing w:line="360" w:lineRule="auto"/>
        <w:shd w:val="clear" w:color="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bidi="ar-SA"/>
        </w:rPr>
        <w:t xml:space="preserve">十七、</w:t>
      </w:r>
      <w:r>
        <w:rPr>
          <w:rFonts w:hint="eastAsia" w:ascii="宋体" w:hAnsi="宋体" w:eastAsia="宋体" w:cs="宋体"/>
          <w:b/>
          <w:bCs/>
          <w:sz w:val="24"/>
          <w:szCs w:val="24"/>
          <w:highlight w:val="none"/>
        </w:rPr>
        <w:t xml:space="preserve">合同生效及其他</w:t>
      </w:r>
      <w:r/>
    </w:p>
    <w:p>
      <w:pPr>
        <w:numPr>
          <w:ilvl w:val="0"/>
          <w:numId w:val="0"/>
        </w:num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1、如甲乙双方通过“苏采云”系统线上签订电子合同的，则本合同自双方在“苏采云”系统中加盖电子印章之日起生效。如甲乙双方签订纸质合同的，则本合同自甲乙双方签章之日起生效。</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2、如签署纸质合同，壹式肆份，甲乙双方各执贰份，具有同等法律效力。</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合同系指本文件及其附件中的所有部分，采购文件、中标的投标（响应）文件、中标（成交）通知书、中标（成交）人在招标（采购）过程中的澄清和承诺等为本合同不可缺少的组成部分。本合同履行过程中发生相关修改内容，须符合《中华人民共和国政府采购法》和相关法律法规规定；补充协议作为本合同不可分割的一部分。</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4、本合同应按照中华人民共和国的现行法律进行解释。</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5、合同附件：货物类项目履约验收方案</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（以下无正文）</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                                         乙方：</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名称(公章)：                                   名称(公章)：</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法定（授权）代表人：                           法定（授权）代表人：</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签订日期：                                    签订日期： </w:t>
      </w:r>
      <w:r/>
    </w:p>
    <w:p>
      <w:pPr>
        <w:jc w:val="left"/>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jc w:val="left"/>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rFonts w:ascii="宋体" w:hAnsi="宋体" w:eastAsia="宋体" w:cs="宋体"/>
          <w:color w:val="000000"/>
          <w:sz w:val="22"/>
          <w:highlight w:val="none"/>
        </w:rPr>
        <w:t xml:space="preserve">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shd w:val="clear" w:color="auto"/>
        <w:rPr>
          <w:rFonts w:ascii="宋体" w:hAnsi="宋体" w:eastAsia="宋体" w:cs="宋体"/>
          <w:color w:val="000000"/>
          <w:sz w:val="52"/>
          <w:highlight w:val="none"/>
        </w:rPr>
      </w:pPr>
      <w:r>
        <w:rPr>
          <w:rFonts w:ascii="宋体" w:hAnsi="宋体" w:eastAsia="宋体" w:cs="宋体"/>
          <w:color w:val="000000"/>
          <w:sz w:val="52"/>
          <w:highlight w:val="none"/>
        </w:rPr>
        <w:br w:type="page" w:clear="all"/>
      </w:r>
      <w:r/>
    </w:p>
    <w:p>
      <w:pPr>
        <w:jc w:val="left"/>
        <w:spacing w:line="360" w:lineRule="auto"/>
        <w:shd w:val="clear" w:color="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附件1：</w:t>
      </w:r>
      <w:r/>
    </w:p>
    <w:p>
      <w:pPr>
        <w:jc w:val="center"/>
        <w:spacing w:line="360" w:lineRule="auto"/>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货物类项目履约验收方案</w:t>
      </w:r>
      <w:r/>
    </w:p>
    <w:p>
      <w:pPr>
        <w:jc w:val="left"/>
        <w:spacing w:line="360" w:lineRule="auto"/>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一、项目概况</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供应商名称：</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合同金额：</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验收主体：</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二、验收目的</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jc w:val="left"/>
        <w:spacing w:line="360" w:lineRule="auto"/>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三、验收依据</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苏州工业园区采购人通过政府采购方式和程序确定供应商的货物和服务类政府采购项目应当执行《苏州工业园区政府采购履约验收管理暂行办法》。政府采购文件、供应商投标（响应）文件、政府采购合同是履约验收工作的基本依据。</w:t>
      </w:r>
      <w:r/>
    </w:p>
    <w:p>
      <w:pPr>
        <w:numPr>
          <w:ilvl w:val="0"/>
          <w:numId w:val="8"/>
        </w:numPr>
        <w:jc w:val="left"/>
        <w:spacing w:line="360" w:lineRule="auto"/>
        <w:shd w:val="clear" w:color="auto"/>
        <w:widowControl/>
        <w:rPr>
          <w:rFonts w:hint="eastAsia" w:ascii="宋体" w:hAnsi="宋体" w:eastAsia="宋体" w:cs="宋体"/>
          <w:b/>
          <w:bCs/>
          <w:sz w:val="24"/>
          <w:szCs w:val="24"/>
          <w:highlight w:val="none"/>
        </w:rPr>
      </w:pPr>
      <w:r>
        <w:rPr>
          <w:rFonts w:hint="eastAsia" w:ascii="宋体" w:hAnsi="宋体" w:eastAsia="宋体" w:cs="宋体"/>
          <w:b/>
          <w:sz w:val="24"/>
          <w:szCs w:val="24"/>
          <w:highlight w:val="none"/>
        </w:rPr>
        <w:t xml:space="preserve">验收</w:t>
      </w:r>
      <w:r>
        <w:rPr>
          <w:rFonts w:hint="eastAsia" w:ascii="宋体" w:hAnsi="宋体" w:eastAsia="宋体" w:cs="宋体"/>
          <w:b/>
          <w:bCs/>
          <w:sz w:val="24"/>
          <w:szCs w:val="24"/>
          <w:highlight w:val="none"/>
        </w:rPr>
        <w:t xml:space="preserve">责任主体</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jc w:val="left"/>
        <w:spacing w:line="360" w:lineRule="auto"/>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五、验收方式及验收内容</w:t>
      </w:r>
      <w:r/>
    </w:p>
    <w:p>
      <w:pPr>
        <w:jc w:val="left"/>
        <w:spacing w:line="360" w:lineRule="auto"/>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 5.1日常考核</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w:t>
      </w:r>
      <w:r>
        <w:rPr>
          <w:rFonts w:hint="eastAsia" w:ascii="宋体" w:hAnsi="宋体" w:eastAsia="宋体" w:cs="宋体"/>
          <w:b/>
          <w:bCs/>
          <w:sz w:val="24"/>
          <w:szCs w:val="24"/>
          <w:highlight w:val="none"/>
        </w:rPr>
        <w:t xml:space="preserve">采购人书面要求供应商限期整改，由此造成的一切损失由供应商承担。</w:t>
      </w:r>
      <w:r/>
    </w:p>
    <w:p>
      <w:pPr>
        <w:jc w:val="left"/>
        <w:spacing w:line="360" w:lineRule="auto"/>
        <w:shd w:val="clear" w:color="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5.2检测(检验)验收</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5.2.1 采购文件中设置检测报告相关要求的，应由采购人聘请有资质的检测机构实施检验、出具检测报告，且检测机构、检测标准、检测内容等应与采购文件中的要求一致或相关，</w:t>
      </w:r>
      <w:r>
        <w:rPr>
          <w:rFonts w:hint="eastAsia" w:ascii="宋体" w:hAnsi="宋体" w:eastAsia="宋体" w:cs="宋体"/>
          <w:b/>
          <w:bCs/>
          <w:sz w:val="24"/>
          <w:szCs w:val="24"/>
          <w:highlight w:val="none"/>
        </w:rPr>
        <w:t xml:space="preserve">相关费用由供应商承担。</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w:t>
      </w:r>
      <w:r>
        <w:rPr>
          <w:rFonts w:hint="eastAsia" w:ascii="宋体" w:hAnsi="宋体" w:eastAsia="宋体" w:cs="宋体"/>
          <w:b/>
          <w:bCs/>
          <w:sz w:val="24"/>
          <w:szCs w:val="24"/>
          <w:highlight w:val="none"/>
        </w:rPr>
        <w:t xml:space="preserve">供应商拒不配合抽样送检的，其所移交货物作不合格处理。</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5.2.3当某一产品检验不合格时，认定该类产品均不合格，采购人书面通知供应商限期进行整改，供应商应在限期完成不合格产品的更换，若供应商未按时完成整改或整改后再次抽检仍不合格的，</w:t>
      </w:r>
      <w:r>
        <w:rPr>
          <w:rFonts w:hint="eastAsia" w:ascii="宋体" w:hAnsi="宋体" w:eastAsia="宋体" w:cs="宋体"/>
          <w:b/>
          <w:bCs/>
          <w:sz w:val="24"/>
          <w:szCs w:val="24"/>
          <w:highlight w:val="none"/>
        </w:rPr>
        <w:t xml:space="preserve">则采购人有权终止合同，重新采购，由此造成的一切损失由供应商承担。</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5.2.4对检验结果存在异议时，启用备样检验，</w:t>
      </w:r>
      <w:r>
        <w:rPr>
          <w:rFonts w:hint="eastAsia" w:ascii="宋体" w:hAnsi="宋体" w:eastAsia="宋体" w:cs="宋体"/>
          <w:b/>
          <w:bCs/>
          <w:sz w:val="24"/>
          <w:szCs w:val="24"/>
          <w:highlight w:val="none"/>
        </w:rPr>
        <w:t xml:space="preserve">相关费用由异议提出方承担。</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5.2.5实施检验检测所造成的产品损坏、损耗，</w:t>
      </w:r>
      <w:r>
        <w:rPr>
          <w:rFonts w:hint="eastAsia" w:ascii="宋体" w:hAnsi="宋体" w:eastAsia="宋体" w:cs="宋体"/>
          <w:b/>
          <w:bCs/>
          <w:sz w:val="24"/>
          <w:szCs w:val="24"/>
          <w:highlight w:val="none"/>
        </w:rPr>
        <w:t xml:space="preserve">其替换补充或维修费用由供应商承担。</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5.2.6除上述5.2.1 条检测要求以外，采购人有权指定有资质的检验检测机构对整体货物按</w:t>
      </w:r>
      <w:r>
        <w:rPr>
          <w:rFonts w:hint="eastAsia" w:ascii="宋体" w:hAnsi="宋体" w:eastAsia="宋体" w:cs="宋体"/>
          <w:b/>
          <w:bCs/>
          <w:sz w:val="24"/>
          <w:szCs w:val="24"/>
          <w:highlight w:val="none"/>
        </w:rPr>
        <w:t xml:space="preserve">不超过合同金额5%</w:t>
      </w:r>
      <w:r>
        <w:rPr>
          <w:rFonts w:hint="eastAsia" w:ascii="宋体" w:hAnsi="宋体" w:eastAsia="宋体" w:cs="宋体"/>
          <w:sz w:val="24"/>
          <w:szCs w:val="24"/>
          <w:highlight w:val="none"/>
        </w:rPr>
        <w:t xml:space="preserve">的比例进行随机抽检，检验依据现行有效的国家或行业标准。</w:t>
      </w:r>
      <w:r>
        <w:rPr>
          <w:rFonts w:hint="eastAsia" w:ascii="宋体" w:hAnsi="宋体" w:eastAsia="宋体" w:cs="宋体"/>
          <w:b/>
          <w:bCs/>
          <w:sz w:val="24"/>
          <w:szCs w:val="24"/>
          <w:highlight w:val="none"/>
        </w:rPr>
        <w:t xml:space="preserve">若检测合格由采购人支付检测费用，检测不合格由供应商支付，</w:t>
      </w:r>
      <w:r>
        <w:rPr>
          <w:rFonts w:hint="eastAsia" w:ascii="宋体" w:hAnsi="宋体" w:eastAsia="宋体" w:cs="宋体"/>
          <w:sz w:val="24"/>
          <w:szCs w:val="24"/>
          <w:highlight w:val="none"/>
        </w:rPr>
        <w:t xml:space="preserve">且采购人书面通知供应商限期进行整改。若供应商未按时完成整改或整改后再次抽检仍不合格的，</w:t>
      </w:r>
      <w:r>
        <w:rPr>
          <w:rFonts w:hint="eastAsia" w:ascii="宋体" w:hAnsi="宋体" w:eastAsia="宋体" w:cs="宋体"/>
          <w:b/>
          <w:bCs/>
          <w:sz w:val="24"/>
          <w:szCs w:val="24"/>
          <w:highlight w:val="none"/>
        </w:rPr>
        <w:t xml:space="preserve">则采购人有权终止合同，重新采购，由此造成的一切损失由供应商承担。</w:t>
      </w:r>
      <w:r/>
    </w:p>
    <w:p>
      <w:pPr>
        <w:jc w:val="left"/>
        <w:spacing w:line="360" w:lineRule="auto"/>
        <w:shd w:val="clear" w:color="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5.3最终验收</w:t>
      </w:r>
      <w:r/>
    </w:p>
    <w:p>
      <w:pPr>
        <w:jc w:val="left"/>
        <w:spacing w:line="360" w:lineRule="auto"/>
        <w:shd w:val="clear" w:color="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5.3.1验收准备</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5.3.1.1合同履行达到采购文件明确的验收条件时，供应商应向采购人发出项目验收申请，确定验收时间、地点及有关事项。供应商未及时履约或发出验收申请的，采购人应及时书面催告，提出履约验收要求。</w:t>
      </w:r>
      <w:r>
        <w:rPr>
          <w:rFonts w:hint="eastAsia" w:ascii="宋体" w:hAnsi="宋体" w:eastAsia="宋体" w:cs="宋体"/>
          <w:b/>
          <w:bCs/>
          <w:sz w:val="24"/>
          <w:szCs w:val="24"/>
          <w:highlight w:val="none"/>
        </w:rPr>
        <w:t xml:space="preserve">供应商在收到催告后五个工作日内拒不配合的，采购人应依照合同约定追究其责任。</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5.3.1.2供应商应当配合采购人、采购代理机构做好项目验收工作，及时提供与项目验收相关的生产、技术、服务、数量、质量、安全、合格证明及验收所必须具备的其他材料。</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5.3.1.3采购人应及时全面准备验收，自收到验收申请之日起</w:t>
      </w:r>
      <w:r>
        <w:rPr>
          <w:rFonts w:hint="eastAsia" w:ascii="宋体" w:hAnsi="宋体" w:eastAsia="宋体" w:cs="宋体"/>
          <w:b/>
          <w:sz w:val="24"/>
          <w:szCs w:val="24"/>
          <w:highlight w:val="none"/>
        </w:rPr>
        <w:t xml:space="preserve">五个工作日</w:t>
      </w:r>
      <w:r>
        <w:rPr>
          <w:rFonts w:hint="eastAsia" w:ascii="宋体" w:hAnsi="宋体" w:eastAsia="宋体" w:cs="宋体"/>
          <w:sz w:val="24"/>
          <w:szCs w:val="24"/>
          <w:highlight w:val="none"/>
        </w:rPr>
        <w:t xml:space="preserve">内做好通水、通电、准备验收工具等必要的验收准备工作、启动项目验收、通知供应商。</w:t>
      </w:r>
      <w:r/>
    </w:p>
    <w:p>
      <w:pPr>
        <w:jc w:val="left"/>
        <w:spacing w:line="360" w:lineRule="auto"/>
        <w:shd w:val="clear" w:color="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5.3.2验收小组</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5.3.2.1</w:t>
      </w:r>
      <w:r>
        <w:rPr>
          <w:rFonts w:hint="eastAsia" w:ascii="宋体" w:hAnsi="宋体" w:eastAsia="宋体" w:cs="宋体"/>
          <w:b/>
          <w:bCs/>
          <w:sz w:val="24"/>
          <w:szCs w:val="24"/>
          <w:highlight w:val="none"/>
        </w:rPr>
        <w:t xml:space="preserve">采购人应当组织成立验收小组</w:t>
      </w:r>
      <w:r>
        <w:rPr>
          <w:rFonts w:hint="eastAsia" w:ascii="宋体" w:hAnsi="宋体" w:eastAsia="宋体" w:cs="宋体"/>
          <w:sz w:val="24"/>
          <w:szCs w:val="24"/>
          <w:highlight w:val="none"/>
        </w:rPr>
        <w:t xml:space="preserve">，验收小组负责实施项目验收工作，其成员构成、人员数量以及负责人由采购人确定，</w:t>
      </w:r>
      <w:r>
        <w:rPr>
          <w:rFonts w:hint="eastAsia" w:ascii="宋体" w:hAnsi="宋体" w:eastAsia="宋体" w:cs="宋体"/>
          <w:b/>
          <w:bCs/>
          <w:sz w:val="24"/>
          <w:szCs w:val="24"/>
          <w:highlight w:val="none"/>
        </w:rPr>
        <w:t xml:space="preserve">劳务报酬等费用由采购人承担</w:t>
      </w:r>
      <w:r>
        <w:rPr>
          <w:rFonts w:hint="eastAsia" w:ascii="宋体" w:hAnsi="宋体" w:eastAsia="宋体" w:cs="宋体"/>
          <w:sz w:val="24"/>
          <w:szCs w:val="24"/>
          <w:highlight w:val="none"/>
        </w:rPr>
        <w:t xml:space="preserve">。验收小组应由采购人指定的具有相关专业能力或从事相关领域工作的 3 人以上单数人员组成，其中至少包含 1 名采购人的工作人员，若经办采购的人员与采购需求人员分属不同部门，二者应当同时参与验收。</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5.3.2.2采购人可以委托同领域其他单位或者第三方专业机构人员，该人员不得同时作为《苏州工业园区政府采购履约验收管理暂行办法》第二十八条规定的参与验收人员。</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5.3.2.3采取代建方式进行采购的，结合代建协议内容按照前款5.3.2.1、5.3.2.2成立验收小组。日常考核、分段验收小组成员的组成不受5.3.2.1、5.3.2.2规定约束，但采购人的工作人员必须参与最终验收。</w:t>
      </w:r>
      <w:r/>
    </w:p>
    <w:p>
      <w:pPr>
        <w:jc w:val="left"/>
        <w:spacing w:line="360" w:lineRule="auto"/>
        <w:shd w:val="clear" w:color="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5.3.3参与验收人员</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5.3.3.1对于采购人和使用人分离的采购项目，采购人应当邀请实际使用人参与验收。政府向社会公众提供的公共服务项目，验收时应当邀请服务对象参与，且验收结果应当向社会公布。</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5.3.3.2采购人可以邀请参加本项目的其他供应商、专家、第三方专业机构参与验收。若采购项目受到参与该项目投标（响应）的其他供应商的投诉，且投诉事项是针对中标结果中的型号、参数等与履约验收相关问题的，可以重点邀请前述供应商参与验收</w:t>
      </w:r>
      <w:r/>
    </w:p>
    <w:p>
      <w:pPr>
        <w:jc w:val="left"/>
        <w:spacing w:line="360" w:lineRule="auto"/>
        <w:shd w:val="clear" w:color="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5.3.4验收内容</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5.3.4.1验收时，验收小组应与供应商一起验货，如发现货物短缺、质次、损坏、产地和规格不符等问题，应作详细记录由双方进行签字确认，</w:t>
      </w:r>
      <w:r>
        <w:rPr>
          <w:rFonts w:hint="eastAsia" w:ascii="宋体" w:hAnsi="宋体" w:eastAsia="宋体" w:cs="宋体"/>
          <w:b/>
          <w:bCs/>
          <w:sz w:val="24"/>
          <w:szCs w:val="24"/>
          <w:highlight w:val="none"/>
        </w:rPr>
        <w:t xml:space="preserve">供应商立即无条件地在合同约定期限内调换或补齐，由此造成的一切损失由供应商承担。</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5.3.4.2交付验收标准适用标准为：</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①按照现行国家标准执行，无国家标准的，按行业标准执行，无国家和行业标准的，按企业标准执行，并且应符合相关法律、法规规定的要求；</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②采购文件所列的各项要求、采购合同、供应商在投标（响应）文件中承诺的质量技术指标。</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5.3.5验收记录</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5.3.5.1验收小组应当要求参与验收的供应商、专业机构、专家和服务对象等出具书面意见，作为验收书的重要组成部分。</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5.3.5.3验收结束后，验收小组应在验收书中作出最终验收意见，验收小组成员对验收意见有异议的，应当在验收意见栏签署不同意见并说明理由，否则视为同意验收意见。验收意见由供应商盖章确认后报采购人。</w:t>
      </w:r>
      <w:r/>
    </w:p>
    <w:p>
      <w:pPr>
        <w:jc w:val="left"/>
        <w:spacing w:line="360" w:lineRule="auto"/>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六、验收结果</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w:t>
      </w:r>
      <w:r>
        <w:rPr>
          <w:rFonts w:hint="eastAsia" w:ascii="宋体" w:hAnsi="宋体" w:eastAsia="宋体" w:cs="宋体"/>
          <w:b/>
          <w:bCs/>
          <w:sz w:val="24"/>
          <w:szCs w:val="24"/>
          <w:highlight w:val="none"/>
        </w:rPr>
        <w:t xml:space="preserve">《政府采购履约验收书》（见下表1）、合同是申请支付政府采购合同价款的必备资料。</w:t>
      </w:r>
      <w:r>
        <w:rPr>
          <w:rFonts w:hint="eastAsia" w:ascii="宋体" w:hAnsi="宋体" w:eastAsia="宋体" w:cs="宋体"/>
          <w:sz w:val="24"/>
          <w:szCs w:val="24"/>
          <w:highlight w:val="none"/>
        </w:rPr>
        <w:t xml:space="preserve">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七、验收资料归档</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tbl>
      <w:tblPr>
        <w:tblStyle w:val="729"/>
        <w:tblpPr w:horzAnchor="page" w:tblpX="996" w:vertAnchor="text" w:tblpY="-181" w:leftFromText="180" w:topFromText="0" w:rightFromText="180" w:bottomFromText="0"/>
        <w:tblW w:w="5122" w:type="pct"/>
        <w:tblInd w:w="0" w:type="dxa"/>
        <w:tblLayout w:type="fixed"/>
        <w:tblCellMar>
          <w:left w:w="108" w:type="dxa"/>
          <w:top w:w="0" w:type="dxa"/>
          <w:right w:w="108" w:type="dxa"/>
          <w:bottom w:w="0" w:type="dxa"/>
        </w:tblCellMar>
        <w:tblLook w:val="04A0" w:firstRow="1" w:lastRow="0" w:firstColumn="1" w:lastColumn="0" w:noHBand="0" w:noVBand="1"/>
      </w:tblPr>
      <w:tblGrid>
        <w:gridCol w:w="1429"/>
        <w:gridCol w:w="1598"/>
        <w:gridCol w:w="2734"/>
        <w:gridCol w:w="1247"/>
        <w:gridCol w:w="1296"/>
        <w:gridCol w:w="1169"/>
      </w:tblGrid>
      <w:tr>
        <w:trPr>
          <w:trHeight w:val="600"/>
        </w:trPr>
        <w:tc>
          <w:tcPr>
            <w:gridSpan w:val="6"/>
            <w:shd w:val="clear" w:color="auto" w:fill="auto"/>
            <w:tcW w:w="5000" w:type="pct"/>
            <w:vAlign w:val="center"/>
            <w:textDirection w:val="lrTb"/>
            <w:noWrap/>
          </w:tcPr>
          <w:p>
            <w:pPr>
              <w:jc w:val="center"/>
              <w:spacing w:line="480" w:lineRule="auto"/>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
              </w:rPr>
              <w:t xml:space="preserve">表1：政府采购履约验收书（货物类）</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采购人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供应商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0"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（姓名+职务+单位）</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采购代理机构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验收日期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0"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合同金额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采购方式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0"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项目名称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944"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项目编号</w:t>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验收组织形式</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245" w:type="pct"/>
            <w:vAlign w:val="center"/>
            <w:textDirection w:val="lrTb"/>
            <w:noWrap w:val="false"/>
          </w:tcPr>
          <w:p>
            <w:pPr>
              <w:jc w:val="both"/>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□采购人自行组织验收          □委托代理机构验收</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是否日常考核/分段验收</w:t>
            </w:r>
            <w:r/>
          </w:p>
        </w:tc>
        <w:tc>
          <w:tcPr>
            <w:shd w:val="clear" w:color="auto" w:fill="auto"/>
            <w:tcBorders>
              <w:top w:val="single" w:color="000000" w:sz="4" w:space="0"/>
              <w:left w:val="single" w:color="000000" w:sz="4" w:space="0"/>
              <w:bottom w:val="single" w:color="000000" w:sz="4" w:space="0"/>
              <w:right w:val="single" w:color="000000" w:sz="4" w:space="0"/>
            </w:tcBorders>
            <w:tcW w:w="843" w:type="pct"/>
            <w:vAlign w:val="center"/>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□是        □否</w:t>
            </w:r>
            <w:r/>
          </w:p>
        </w:tc>
        <w:tc>
          <w:tcPr>
            <w:shd w:val="clear" w:color="auto" w:fill="auto"/>
            <w:tcBorders>
              <w:top w:val="single" w:color="000000" w:sz="4" w:space="0"/>
              <w:left w:val="single" w:color="000000" w:sz="4" w:space="0"/>
              <w:bottom w:val="none" w:color="000000" w:sz="4" w:space="0"/>
              <w:right w:val="single" w:color="000000" w:sz="4" w:space="0"/>
            </w:tcBorders>
            <w:tcW w:w="1443"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日常考核/分段验收情况</w:t>
            </w:r>
            <w:r/>
          </w:p>
        </w:tc>
        <w:tc>
          <w:tcPr>
            <w:gridSpan w:val="3"/>
            <w:shd w:val="clear" w:color="auto" w:fill="auto"/>
            <w:tcBorders>
              <w:top w:val="single" w:color="000000" w:sz="4" w:space="0"/>
              <w:left w:val="none" w:color="000000" w:sz="4" w:space="0"/>
              <w:bottom w:val="none" w:color="000000" w:sz="4" w:space="0"/>
              <w:right w:val="single" w:color="000000" w:sz="4" w:space="0"/>
            </w:tcBorders>
            <w:tcW w:w="1959" w:type="pct"/>
            <w:vAlign w:val="center"/>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本项目验收共分        期，本次为第        期</w:t>
            </w:r>
            <w:r/>
          </w:p>
        </w:tc>
      </w:tr>
      <w:tr>
        <w:trPr>
          <w:trHeight w:val="500"/>
        </w:trPr>
        <w:tc>
          <w:tcPr>
            <w:gridSpan w:val="2"/>
            <w:shd w:val="clear" w:color="auto" w:fill="auto"/>
            <w:tcBorders>
              <w:top w:val="single" w:color="000000" w:sz="4" w:space="0"/>
              <w:left w:val="single" w:color="000000" w:sz="4" w:space="0"/>
              <w:bottom w:val="single" w:color="000000" w:sz="4" w:space="0"/>
              <w:right w:val="single" w:color="000000" w:sz="4" w:space="0"/>
            </w:tcBorders>
            <w:tcW w:w="1597"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验收人员</w:t>
            </w:r>
            <w:r>
              <w:rPr>
                <w:rFonts w:hint="eastAsia" w:ascii="宋体" w:hAnsi="宋体" w:eastAsia="宋体" w:cs="宋体"/>
                <w:b/>
                <w:color w:val="auto"/>
                <w:sz w:val="24"/>
                <w:szCs w:val="24"/>
                <w:highlight w:val="none"/>
                <w:lang w:val="en-US" w:eastAsia="zh-CN" w:bidi="ar-SA"/>
              </w:rPr>
              <w:t xml:space="preserve">（按实际情况勾选）</w:t>
            </w:r>
            <w:r/>
          </w:p>
        </w:tc>
        <w:tc>
          <w:tcPr>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验收方式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验收依据和过程（可附附件）</w:t>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验收意见</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vMerge w:val="restart"/>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验收小组成员</w:t>
            </w:r>
            <w:r/>
          </w:p>
        </w:tc>
        <w:tc>
          <w:tcPr>
            <w:shd w:val="clear" w:color="auto" w:fill="auto"/>
            <w:tcBorders>
              <w:top w:val="single" w:color="000000" w:sz="4" w:space="0"/>
              <w:left w:val="single" w:color="000000" w:sz="4" w:space="0"/>
              <w:bottom w:val="single" w:color="000000" w:sz="4" w:space="0"/>
              <w:right w:val="single" w:color="000000" w:sz="4" w:space="0"/>
            </w:tcBorders>
            <w:tcW w:w="843" w:type="pct"/>
            <w:vAlign w:val="top"/>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□采购人：</w:t>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（非日常考核/分段验收时必选）</w:t>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（姓名+所属部门）</w:t>
            </w:r>
            <w:r/>
          </w:p>
        </w:tc>
        <w:tc>
          <w:tcPr>
            <w:shd w:val="clear" w:color="auto" w:fill="auto"/>
            <w:tcBorders>
              <w:top w:val="single" w:color="000000" w:sz="4" w:space="0"/>
              <w:left w:val="single" w:color="000000" w:sz="4" w:space="0"/>
              <w:bottom w:val="single" w:color="000000" w:sz="4" w:space="0"/>
              <w:right w:val="single" w:color="000000" w:sz="4" w:space="0"/>
            </w:tcBorders>
            <w:tcW w:w="1443" w:type="pct"/>
            <w:vAlign w:val="center"/>
            <w:vMerge w:val="restart"/>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□外包装检查</w:t>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□核对规格参数和数量</w:t>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□检查标的物合格证、说明书等证明信息</w:t>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□安装调试</w:t>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□核实供应商售后服务等在响应文件中承诺的内容</w:t>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□对照采购文件中检测机构、检测标准、检测内容对相应标的物进行抽查检验（采购文件中设置相关要求时必选）</w:t>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□对照采购人需求，对标的物中涉及专业领域的部分进行复核</w:t>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□其他：</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42" w:type="pct"/>
            <w:vAlign w:val="center"/>
            <w:vMerge w:val="restart"/>
            <w:textDirection w:val="lrTb"/>
            <w:noWrap w:val="false"/>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both"/>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vMerge w:val="continue"/>
            <w:textDirection w:val="lrTb"/>
            <w:noWrap/>
          </w:tcPr>
          <w:p>
            <w:pPr>
              <w:jc w:val="both"/>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3" w:type="pct"/>
            <w:vAlign w:val="top"/>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□代建单位：</w:t>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（姓名+单位+所属部门）</w:t>
            </w:r>
            <w:r/>
          </w:p>
        </w:tc>
        <w:tc>
          <w:tcPr>
            <w:shd w:val="clear" w:color="auto" w:fill="auto"/>
            <w:tcBorders>
              <w:top w:val="single" w:color="000000" w:sz="4" w:space="0"/>
              <w:left w:val="single" w:color="000000" w:sz="4" w:space="0"/>
              <w:bottom w:val="single" w:color="000000" w:sz="4" w:space="0"/>
              <w:right w:val="single" w:color="000000" w:sz="4" w:space="0"/>
            </w:tcBorders>
            <w:tcW w:w="1443" w:type="pct"/>
            <w:vAlign w:val="center"/>
            <w:vMerge w:val="continue"/>
            <w:textDirection w:val="lrTb"/>
            <w:noWrap w:val="false"/>
          </w:tcPr>
          <w:p>
            <w:pPr>
              <w:jc w:val="both"/>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42" w:type="pct"/>
            <w:vAlign w:val="center"/>
            <w:vMerge w:val="continue"/>
            <w:textDirection w:val="lrTb"/>
            <w:noWrap w:val="false"/>
          </w:tcPr>
          <w:p>
            <w:pPr>
              <w:jc w:val="both"/>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both"/>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vMerge w:val="continue"/>
            <w:textDirection w:val="lrTb"/>
            <w:noWrap/>
          </w:tcPr>
          <w:p>
            <w:pPr>
              <w:jc w:val="both"/>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none" w:color="000000" w:sz="4" w:space="0"/>
            </w:tcBorders>
            <w:tcW w:w="843" w:type="pct"/>
            <w:vAlign w:val="top"/>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□受采购人委托的代理机构：</w:t>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(姓名）</w:t>
            </w:r>
            <w:r/>
          </w:p>
        </w:tc>
        <w:tc>
          <w:tcPr>
            <w:shd w:val="clear" w:color="auto" w:fill="auto"/>
            <w:tcBorders>
              <w:top w:val="single" w:color="000000" w:sz="4" w:space="0"/>
              <w:left w:val="single" w:color="000000" w:sz="4" w:space="0"/>
              <w:bottom w:val="single" w:color="000000" w:sz="4" w:space="0"/>
              <w:right w:val="single" w:color="000000" w:sz="4" w:space="0"/>
            </w:tcBorders>
            <w:tcW w:w="1443" w:type="pct"/>
            <w:vAlign w:val="center"/>
            <w:vMerge w:val="continue"/>
            <w:textDirection w:val="lrTb"/>
            <w:noWrap w:val="false"/>
          </w:tcPr>
          <w:p>
            <w:pPr>
              <w:jc w:val="both"/>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42" w:type="pct"/>
            <w:vAlign w:val="center"/>
            <w:vMerge w:val="continue"/>
            <w:textDirection w:val="lrTb"/>
            <w:noWrap w:val="false"/>
          </w:tcPr>
          <w:p>
            <w:pPr>
              <w:jc w:val="both"/>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774"/>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vMerge w:val="continue"/>
            <w:textDirection w:val="lrTb"/>
            <w:noWrap/>
          </w:tcPr>
          <w:p>
            <w:pPr>
              <w:jc w:val="both"/>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none" w:color="000000" w:sz="4" w:space="0"/>
            </w:tcBorders>
            <w:tcW w:w="843" w:type="pct"/>
            <w:vAlign w:val="top"/>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□采购人委托的同领域其他单位人员或第三方专业机构的专家：</w:t>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（姓名+单位）</w:t>
            </w:r>
            <w:r/>
          </w:p>
        </w:tc>
        <w:tc>
          <w:tcPr>
            <w:shd w:val="clear" w:color="auto" w:fill="auto"/>
            <w:tcBorders>
              <w:top w:val="single" w:color="000000" w:sz="4" w:space="0"/>
              <w:left w:val="single" w:color="000000" w:sz="4" w:space="0"/>
              <w:bottom w:val="single" w:color="000000" w:sz="4" w:space="0"/>
              <w:right w:val="single" w:color="000000" w:sz="4" w:space="0"/>
            </w:tcBorders>
            <w:tcW w:w="1443" w:type="pct"/>
            <w:vAlign w:val="center"/>
            <w:vMerge w:val="continue"/>
            <w:textDirection w:val="lrTb"/>
            <w:noWrap w:val="false"/>
          </w:tcPr>
          <w:p>
            <w:pPr>
              <w:jc w:val="both"/>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42" w:type="pct"/>
            <w:vAlign w:val="center"/>
            <w:vMerge w:val="continue"/>
            <w:textDirection w:val="lrTb"/>
            <w:noWrap w:val="false"/>
          </w:tcPr>
          <w:p>
            <w:pPr>
              <w:jc w:val="both"/>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1283"/>
        </w:trPr>
        <w:tc>
          <w:tcPr>
            <w:shd w:val="clear" w:color="auto" w:fill="auto"/>
            <w:tcBorders>
              <w:top w:val="single" w:color="000000" w:sz="4" w:space="0"/>
              <w:left w:val="single" w:color="000000" w:sz="4" w:space="0"/>
              <w:right w:val="single" w:color="000000" w:sz="4" w:space="0"/>
            </w:tcBorders>
            <w:tcW w:w="754" w:type="pct"/>
            <w:vAlign w:val="center"/>
            <w:vMerge w:val="restart"/>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验收参与人员</w:t>
            </w:r>
            <w:r/>
          </w:p>
        </w:tc>
        <w:tc>
          <w:tcPr>
            <w:shd w:val="clear" w:color="auto" w:fill="auto"/>
            <w:tcBorders>
              <w:top w:val="single" w:color="000000" w:sz="4" w:space="0"/>
              <w:left w:val="single" w:color="000000" w:sz="4" w:space="0"/>
              <w:bottom w:val="single" w:color="000000" w:sz="4" w:space="0"/>
              <w:right w:val="none" w:color="000000" w:sz="4" w:space="0"/>
            </w:tcBorders>
            <w:tcW w:w="843" w:type="pct"/>
            <w:vAlign w:val="top"/>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□实际使用人（符合本办法第二十六条规定情形时必选）：</w:t>
            </w:r>
            <w:r/>
          </w:p>
        </w:tc>
        <w:tc>
          <w:tcPr>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1417"/>
        </w:trPr>
        <w:tc>
          <w:tcPr>
            <w:shd w:val="clear" w:color="auto" w:fill="auto"/>
            <w:tcBorders>
              <w:left w:val="single" w:color="000000" w:sz="4" w:space="0"/>
              <w:right w:val="single" w:color="000000" w:sz="4" w:space="0"/>
            </w:tcBorders>
            <w:tcW w:w="754" w:type="pct"/>
            <w:vAlign w:val="center"/>
            <w:vMerge w:val="continue"/>
            <w:textDirection w:val="lrTb"/>
            <w:noWrap/>
          </w:tcPr>
          <w:p>
            <w:pPr>
              <w:jc w:val="both"/>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none" w:color="000000" w:sz="4" w:space="0"/>
            </w:tcBorders>
            <w:tcW w:w="843" w:type="pct"/>
            <w:vAlign w:val="top"/>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□第三方专业机构（本办法第二十七条第一款、第二十八条规定情形）：</w:t>
            </w:r>
            <w:r/>
          </w:p>
        </w:tc>
        <w:tc>
          <w:tcPr>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1059"/>
        </w:trPr>
        <w:tc>
          <w:tcPr>
            <w:shd w:val="clear" w:color="auto" w:fill="auto"/>
            <w:tcBorders>
              <w:left w:val="single" w:color="000000" w:sz="4" w:space="0"/>
              <w:right w:val="single" w:color="000000" w:sz="4" w:space="0"/>
            </w:tcBorders>
            <w:tcW w:w="754" w:type="pct"/>
            <w:vAlign w:val="center"/>
            <w:vMerge w:val="continue"/>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none" w:color="000000" w:sz="4" w:space="0"/>
            </w:tcBorders>
            <w:tcW w:w="843" w:type="pct"/>
            <w:vAlign w:val="top"/>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□专家（本办法第二十八条规定情形）：</w:t>
            </w:r>
            <w:r/>
          </w:p>
        </w:tc>
        <w:tc>
          <w:tcPr>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出具书面意见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1092"/>
        </w:trPr>
        <w:tc>
          <w:tcPr>
            <w:shd w:val="clear" w:color="auto" w:fill="auto"/>
            <w:tcBorders>
              <w:left w:val="single" w:color="000000" w:sz="4" w:space="0"/>
              <w:bottom w:val="none" w:color="000000" w:sz="4" w:space="0"/>
              <w:right w:val="single" w:color="000000" w:sz="4" w:space="0"/>
            </w:tcBorders>
            <w:tcW w:w="754" w:type="pct"/>
            <w:vAlign w:val="center"/>
            <w:vMerge w:val="continue"/>
            <w:textDirection w:val="lrTb"/>
            <w:noWrap/>
          </w:tcPr>
          <w:p>
            <w:pPr>
              <w:jc w:val="both"/>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none" w:color="000000" w:sz="4" w:space="0"/>
            </w:tcBorders>
            <w:tcW w:w="843" w:type="pct"/>
            <w:vAlign w:val="top"/>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□参加本项目的其他供应商（本办法第二十八条规定情形）：</w:t>
            </w:r>
            <w:r/>
          </w:p>
        </w:tc>
        <w:tc>
          <w:tcPr>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验收意见</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245" w:type="pct"/>
            <w:vAlign w:val="bottom"/>
            <w:textDirection w:val="lrTb"/>
            <w:noWrap w:val="false"/>
          </w:tcPr>
          <w:p>
            <w:pPr>
              <w:jc w:val="left"/>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
              </w:rPr>
              <w:t xml:space="preserve">（如意见一致，请全体验收小组成员分别签名，如有异议，请分别签署意见并签名）</w:t>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验收小组成员对上述验收结论：□无异议 </w:t>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验收小组成员签字： </w:t>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         </w:t>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□有异议，单独提供验收意见</w:t>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验收小组成员签字：  </w:t>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                                    </w:t>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供应商签字：</w:t>
            </w:r>
            <w:r/>
          </w:p>
        </w:tc>
      </w:tr>
      <w:tr>
        <w:trPr>
          <w:trHeight w:val="1966"/>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异议复核</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245" w:type="pct"/>
            <w:vAlign w:val="center"/>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异议事项：</w:t>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复核意见：</w:t>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签字：</w: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验收结论</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245" w:type="pct"/>
            <w:vAlign w:val="center"/>
            <w:textDirection w:val="lrTb"/>
            <w:noWrap/>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（采购人签署验收意见并盖章）</w:t>
            </w:r>
            <w:r/>
          </w:p>
        </w:tc>
      </w:tr>
    </w:tbl>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rPr>
          <w:rFonts w:ascii="宋体" w:hAnsi="宋体" w:eastAsia="宋体" w:cs="宋体"/>
          <w:color w:val="000000"/>
          <w:sz w:val="52"/>
          <w:highlight w:val="none"/>
        </w:rPr>
      </w:pPr>
      <w:r>
        <w:rPr>
          <w:rFonts w:ascii="宋体" w:hAnsi="宋体" w:eastAsia="宋体" w:cs="宋体"/>
          <w:color w:val="000000"/>
          <w:sz w:val="52"/>
          <w:highlight w:val="none"/>
        </w:rPr>
        <w:br w:type="page" w:clear="all"/>
      </w:r>
      <w:r/>
    </w:p>
    <w:p>
      <w:pPr>
        <w:pStyle w:val="719"/>
        <w:jc w:val="center"/>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t xml:space="preserve">第六章 评审办法</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一、评审办法</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1、成交原则：在响应最后报价不超过采购预算，且响应内容的质量和服务均能满足谈判文件实质性响应要求的供应商（不少于三家）中，提出最低报价的供应商确定为成交供应商。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通过资格审查、符合性审查的不同供应商参加同一合同项下投标，提供的核心产品同一品牌同一型号的，在供应商递交最终报价后，计算实质性响应供应商数量时，按一家供应商计算；由采购人或采购人委托谈判小组确定一个最终报价最低的同品牌同型号供应商获得成交供应商推荐资格；同品牌同型号供应商最终报价相同的，由谈判小组采取随机抽取方式确定获得成交供应商推荐资格的同品牌供应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3、供应商如存在第3条评审价格调整因素所列之情形，将按该条的规定对其响应报价进行调整，调整后的价格为评审价格，并以此作为评审成交依据。但，成交后仍将按谈判中最后实际报价签订采购合同。</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4、谈判小组各成员独立对每个进入合格性评审程序的供应商的响应文件按合格性评审办法进行评审和评价，以判定响应文件的质量和服务均能满足谈判文件实质性响应要求，并确定成交供应商。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评审方法如下：</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评委对供应商的响应文件按照谈判文件的规定和要求进行资格性和符合性审查。经评委评审，如“评审内容表”中的评审内容均满足谈判文件要求的，则认为该供应商响应文件评审合格；如某一项条款内容评审不合格的，评委需要在备注栏中注明不合格原因。逐项汇总所有评委评审意见，以确定每个项目条款内容的最终合格性。如评委在某一项目条款内容是否合格出现评审意见不一致的，则按少数服从多数的原则，确定该一项条款是否合格。</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（2）评审意见汇总确定后，有评审内容项评审意见确定为不合格的，则该响应文件将被视为不合格，且不具备成交资格。</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评审委员会在评审合格的响应文件中以提出最后报价中最低报价的供应商作为成交供应商。如有两个或两个以上经评审合格供应商的最后报价相同且均为最低的，则由谈判小组以抽签方式在提出最低报价的供应商中确定成交供应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谈判小组认为，响应报价由低到高排在前面的供应商的报价或者某些分项报价明显不合理或者低于成本，有可能影响商品质量和不能诚信履约的，应当要求其在规定的期限内提供书面文件予以解释说明，并提交相关证明材料；否则，谈判小组可以取消该供应商的成交资格，按顺序由排在后面的供应商递补，以此类推。</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二、评审内容表</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38"/>
        <w:gridCol w:w="2916"/>
        <w:gridCol w:w="1551"/>
      </w:tblGrid>
      <w:tr>
        <w:trPr>
          <w:trHeight w:val="5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38"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评审内容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6"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是否合格（是/否）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不合格原因</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8"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1、合格响应供应商的资格条件是否满足谈判文件要求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8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8"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2、响应产品的数量、技术参数、功能、证明材料等是否符合谈判文件要求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7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8"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3、交货期、付款方式、免费质保期、售后服务是否符合谈判文件要求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1"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6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8"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4、其他（除供应商资格条件及采购技术内容以外的其他涉及实质性响应谈判文件的条款内容）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1"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jc w:val="right"/>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rFonts w:ascii="宋体" w:hAnsi="宋体" w:eastAsia="宋体" w:cs="宋体"/>
          <w:b/>
          <w:color w:val="000000"/>
          <w:sz w:val="24"/>
          <w:highlight w:val="none"/>
        </w:rPr>
        <w:t xml:space="preserve">（全文完）</w:t>
      </w:r>
      <w:r/>
    </w:p>
    <w:p>
      <w:pPr>
        <w:spacing w:line="360" w:lineRule="auto"/>
        <w:shd w:val="clear" w:color="auto"/>
        <w:rPr>
          <w:highlight w:val="none"/>
        </w:rPr>
      </w:pPr>
      <w:r>
        <w:rPr>
          <w:highlight w:val="none"/>
        </w:rPr>
      </w:r>
      <w:r/>
    </w:p>
    <w:sectPr>
      <w:headerReference w:type="default" r:id="rId9"/>
      <w:headerReference w:type="first" r:id="rId10"/>
      <w:footerReference w:type="default" r:id="rId11"/>
      <w:footerReference w:type="first" r:id="rId12"/>
      <w:footnotePr/>
      <w:endnotePr/>
      <w:type w:val="nextPage"/>
      <w:pgSz w:w="11906" w:h="16838" w:orient="portrait"/>
      <w:pgMar w:top="1134" w:right="1366" w:bottom="1134" w:left="1508" w:header="569" w:footer="675"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MS Gothic">
    <w:panose1 w:val="020B0609070205080204"/>
  </w:font>
  <w:font w:name="MingLiU">
    <w:panose1 w:val="02020500000000000000"/>
  </w:font>
  <w:font w:name="Calibri">
    <w:panose1 w:val="020F0502020204030204"/>
  </w:font>
  <w:font w:name="微软雅黑">
    <w:panose1 w:val="020B0503020204020204"/>
  </w:font>
  <w:font w:name="Courier New">
    <w:panose1 w:val="020703090202050204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Tms Rmn">
    <w:panose1 w:val="020B0503020202020204"/>
  </w:font>
  <w:font w:name="Arial Unicode MS">
    <w:panose1 w:val="020B0604020202020204"/>
  </w:font>
  <w:font w:name="Arial">
    <w:panose1 w:val="020B0604020202020204"/>
  </w:font>
  <w:font w:name="创艺简仿宋">
    <w:panose1 w:val="020B0503020202020204"/>
  </w:font>
  <w:font w:name="楷体_GB2312">
    <w:panose1 w:val="02010609060101010101"/>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ind w:right="360" w:firstLine="34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2438400</wp:posOffset>
              </wp:positionH>
              <wp:positionV relativeFrom="paragraph">
                <wp:posOffset>8890</wp:posOffset>
              </wp:positionV>
              <wp:extent cx="1048385" cy="13906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048385" cy="139065"/>
                      </a:xfrm>
                      <a:prstGeom prst="rect">
                        <a:avLst/>
                      </a:prstGeom>
                      <a:noFill/>
                      <a:ln>
                        <a:noFill/>
                      </a:ln>
                      <a:effectLst/>
                    </wps:spPr>
                    <wps:txbx>
                      <w:txbxContent>
                        <w:p>
                          <w:pPr>
                            <w:pStyle w:val="753"/>
                          </w:pPr>
                          <w:r>
                            <w:rPr>
                              <w:rFonts w:hint="eastAsia"/>
                            </w:rPr>
                            <w:t xml:space="preserve">第</w:t>
                          </w: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rPr>
                              <w:rFonts w:hint="eastAsia"/>
                            </w:rPr>
                            <w:t xml:space="preserve">页共</w:t>
                          </w:r>
                          <w:r>
                            <w:fldChar w:fldCharType="begin"/>
                          </w:r>
                          <w:r>
                            <w:instrText xml:space="preserve"> NUMPAGES  \* MERGEFORMAT </w:instrText>
                          </w:r>
                          <w:r>
                            <w:fldChar w:fldCharType="separate"/>
                          </w:r>
                          <w:r>
                            <w:t xml:space="preserve">70</w:t>
                          </w:r>
                          <w:r>
                            <w:fldChar w:fldCharType="end"/>
                          </w:r>
                          <w:r>
                            <w:rPr>
                              <w:rFonts w:hint="eastAsia"/>
                            </w:rPr>
                            <w:t xml:space="preserve">页</w:t>
                          </w:r>
                          <w:r/>
                        </w:p>
                      </w:txbxContent>
                    </wps:txbx>
                    <wps:bodyPr lIns="0" tIns="0" rIns="0" bIns="0" upright="1"/>
                  </wps:wsp>
                </a:graphicData>
              </a:graphic>
            </wp:anchor>
          </w:drawing>
        </mc:Choice>
        <mc:Fallback>
          <w:pict>
            <v:shape id="shape 0" o:spid="_x0000_s0" o:spt="202" type="#_x0000_t202" style="position:absolute;z-index:251659264;o:allowoverlap:true;o:allowincell:true;mso-position-horizontal-relative:margin;margin-left:192.0pt;mso-position-horizontal:absolute;mso-position-vertical-relative:text;margin-top:0.7pt;mso-position-vertical:absolute;width:82.5pt;height:10.9pt;mso-wrap-distance-left:9.0pt;mso-wrap-distance-top:0.0pt;mso-wrap-distance-right:9.0pt;mso-wrap-distance-bottom:0.0pt;visibility:visible;" filled="f" stroked="f">
              <v:textbox inset="0,0,0,0">
                <w:txbxContent>
                  <w:p>
                    <w:pPr>
                      <w:pStyle w:val="753"/>
                    </w:pPr>
                    <w:r>
                      <w:rPr>
                        <w:rFonts w:hint="eastAsia"/>
                      </w:rPr>
                      <w:t xml:space="preserve">第</w:t>
                    </w: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rPr>
                        <w:rFonts w:hint="eastAsia"/>
                      </w:rPr>
                      <w:t xml:space="preserve">页共</w:t>
                    </w:r>
                    <w:r>
                      <w:fldChar w:fldCharType="begin"/>
                    </w:r>
                    <w:r>
                      <w:instrText xml:space="preserve"> NUMPAGES  \* MERGEFORMAT </w:instrText>
                    </w:r>
                    <w:r>
                      <w:fldChar w:fldCharType="separate"/>
                    </w:r>
                    <w:r>
                      <w:t xml:space="preserve">70</w:t>
                    </w:r>
                    <w:r>
                      <w:fldChar w:fldCharType="end"/>
                    </w:r>
                    <w:r>
                      <w:rPr>
                        <w:rFonts w:hint="eastAsia"/>
                      </w:rPr>
                      <w:t xml:space="preserve">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53"/>
                          </w:pPr>
                          <w:r>
                            <w:rPr>
                              <w:rFonts w:hint="eastAsia"/>
                            </w:rPr>
                            <w:t xml:space="preserve">第</w:t>
                          </w: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t xml:space="preserve">页共</w:t>
                          </w:r>
                          <w:r>
                            <w:fldChar w:fldCharType="begin"/>
                          </w:r>
                          <w:r>
                            <w:instrText xml:space="preserve"> NUMPAGES  \* MERGEFORMAT </w:instrText>
                          </w:r>
                          <w:r>
                            <w:fldChar w:fldCharType="separate"/>
                          </w:r>
                          <w:r>
                            <w:t xml:space="preserve">72</w:t>
                          </w:r>
                          <w:r>
                            <w:fldChar w:fldCharType="end"/>
                          </w:r>
                          <w:r>
                            <w:rPr>
                              <w:rFonts w:hint="eastAsia"/>
                            </w:rPr>
                            <w:t xml:space="preserve">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3"/>
                    </w:pPr>
                    <w:r>
                      <w:rPr>
                        <w:rFonts w:hint="eastAsia"/>
                      </w:rPr>
                      <w:t xml:space="preserve">第</w:t>
                    </w: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t xml:space="preserve">页共</w:t>
                    </w:r>
                    <w:r>
                      <w:fldChar w:fldCharType="begin"/>
                    </w:r>
                    <w:r>
                      <w:instrText xml:space="preserve"> NUMPAGES  \* MERGEFORMAT </w:instrText>
                    </w:r>
                    <w:r>
                      <w:fldChar w:fldCharType="separate"/>
                    </w:r>
                    <w:r>
                      <w:t xml:space="preserve">72</w:t>
                    </w:r>
                    <w:r>
                      <w:fldChar w:fldCharType="end"/>
                    </w:r>
                    <w:r>
                      <w:rPr>
                        <w:rFonts w:hint="eastAsia"/>
                      </w:rP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pBdr>
        <w:top w:val="none" w:color="auto" w:sz="0" w:space="1"/>
        <w:left w:val="none" w:color="auto" w:sz="0" w:space="4"/>
        <w:bottom w:val="none" w:color="auto" w:sz="0" w:space="1"/>
        <w:right w:val="none" w:color="auto" w:sz="0" w:space="4"/>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ind w:left="0" w:firstLine="0"/>
      </w:pPr>
      <w:rPr>
        <w:rFonts w:hint="eastAsia" w:ascii="宋体" w:hAnsi="宋体" w:eastAsia="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
    <w:multiLevelType w:val="hybridMultilevel"/>
    <w:lvl w:ilvl="0">
      <w:start w:val="1"/>
      <w:numFmt w:val="chineseCountingThousand"/>
      <w:pStyle w:val="72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0" w:firstLine="0"/>
      </w:pPr>
    </w:lvl>
    <w:lvl w:ilvl="1">
      <w:start w:val="1"/>
      <w:numFmt w:val="decimal"/>
      <w:isLgl w:val="false"/>
      <w:suff w:val="tab"/>
      <w:lvlText w:val="%2、"/>
      <w:lvlJc w:val="left"/>
      <w:pPr>
        <w:ind w:left="1260" w:hanging="36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num w:numId="1">
    <w:abstractNumId w:val="2"/>
  </w:num>
  <w:num w:numId="2">
    <w:abstractNumId w:val="5"/>
  </w:num>
  <w:num w:numId="3">
    <w:abstractNumId w:val="7"/>
  </w:num>
  <w:num w:numId="4">
    <w:abstractNumId w:val="1"/>
  </w:num>
  <w:num w:numId="5">
    <w:abstractNumId w:val="3"/>
  </w:num>
  <w:num w:numId="6">
    <w:abstractNumId w:val="6"/>
  </w:num>
  <w:num w:numId="7">
    <w:abstractNumId w:val="4"/>
  </w:num>
  <w:num w:numId="8">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next w:val="730"/>
    <w:uiPriority w:val="0"/>
    <w:qFormat/>
    <w:pPr>
      <w:jc w:val="both"/>
      <w:widowControl w:val="off"/>
    </w:pPr>
    <w:rPr>
      <w:rFonts w:hint="default" w:ascii="Times New Roman" w:hAnsi="Times New Roman" w:eastAsia="楷体_GB2312" w:cs="Times New Roman"/>
      <w:sz w:val="26"/>
      <w:lang w:val="en-US" w:eastAsia="zh-CN" w:bidi="ar-SA"/>
    </w:rPr>
  </w:style>
  <w:style w:type="paragraph" w:styleId="719">
    <w:name w:val="Heading 1"/>
    <w:basedOn w:val="718"/>
    <w:next w:val="718"/>
    <w:uiPriority w:val="0"/>
    <w:qFormat/>
    <w:pPr>
      <w:keepLines/>
      <w:keepNext/>
      <w:spacing w:before="340" w:after="330" w:line="578" w:lineRule="auto"/>
      <w:outlineLvl w:val="0"/>
    </w:pPr>
    <w:rPr>
      <w:b/>
      <w:sz w:val="44"/>
    </w:rPr>
  </w:style>
  <w:style w:type="paragraph" w:styleId="720">
    <w:name w:val="Heading 2"/>
    <w:basedOn w:val="718"/>
    <w:next w:val="718"/>
    <w:uiPriority w:val="0"/>
    <w:qFormat/>
    <w:pPr>
      <w:numPr>
        <w:ilvl w:val="0"/>
        <w:numId w:val="1"/>
      </w:numPr>
      <w:jc w:val="left"/>
      <w:keepLines/>
      <w:keepNext/>
      <w:outlineLvl w:val="1"/>
    </w:pPr>
    <w:rPr>
      <w:rFonts w:ascii="宋体" w:hAnsi="宋体" w:eastAsia="宋体"/>
      <w:b/>
      <w:sz w:val="24"/>
    </w:rPr>
  </w:style>
  <w:style w:type="paragraph" w:styleId="721">
    <w:name w:val="Heading 3"/>
    <w:basedOn w:val="718"/>
    <w:next w:val="718"/>
    <w:link w:val="978"/>
    <w:uiPriority w:val="0"/>
    <w:qFormat/>
    <w:pPr>
      <w:jc w:val="left"/>
      <w:keepLines/>
      <w:keepNext/>
      <w:outlineLvl w:val="2"/>
    </w:pPr>
    <w:rPr>
      <w:rFonts w:hint="eastAsia" w:ascii="楷体_GB2312"/>
      <w:b/>
      <w:sz w:val="32"/>
      <w:szCs w:val="32"/>
    </w:rPr>
  </w:style>
  <w:style w:type="paragraph" w:styleId="722">
    <w:name w:val="Heading 4"/>
    <w:basedOn w:val="718"/>
    <w:next w:val="718"/>
    <w:uiPriority w:val="0"/>
    <w:qFormat/>
    <w:pPr>
      <w:keepLines/>
      <w:keepNext/>
      <w:spacing w:before="280" w:after="290" w:line="376" w:lineRule="auto"/>
      <w:outlineLvl w:val="3"/>
    </w:pPr>
    <w:rPr>
      <w:rFonts w:ascii="Arial" w:hAnsi="Arial" w:eastAsia="黑体"/>
      <w:b/>
      <w:bCs/>
      <w:sz w:val="28"/>
      <w:szCs w:val="28"/>
    </w:rPr>
  </w:style>
  <w:style w:type="paragraph" w:styleId="723">
    <w:name w:val="Heading 5"/>
    <w:basedOn w:val="718"/>
    <w:next w:val="718"/>
    <w:uiPriority w:val="0"/>
    <w:qFormat/>
    <w:pPr>
      <w:jc w:val="left"/>
      <w:keepLines/>
      <w:keepNext/>
      <w:spacing w:before="280" w:after="290" w:line="376" w:lineRule="atLeast"/>
      <w:outlineLvl w:val="4"/>
    </w:pPr>
    <w:rPr>
      <w:rFonts w:ascii="宋体" w:hAnsi="Tms Rmn" w:eastAsia="宋体"/>
      <w:b/>
      <w:sz w:val="28"/>
    </w:rPr>
  </w:style>
  <w:style w:type="paragraph" w:styleId="724">
    <w:name w:val="Heading 6"/>
    <w:basedOn w:val="718"/>
    <w:next w:val="718"/>
    <w:uiPriority w:val="0"/>
    <w:qFormat/>
    <w:pPr>
      <w:jc w:val="left"/>
      <w:keepLines/>
      <w:keepNext/>
      <w:spacing w:before="240" w:after="64" w:line="320" w:lineRule="atLeast"/>
      <w:outlineLvl w:val="5"/>
    </w:pPr>
    <w:rPr>
      <w:rFonts w:ascii="黑体" w:hAnsi="Tms Rmn" w:eastAsia="黑体"/>
      <w:b/>
      <w:sz w:val="24"/>
    </w:rPr>
  </w:style>
  <w:style w:type="paragraph" w:styleId="725">
    <w:name w:val="Heading 7"/>
    <w:basedOn w:val="718"/>
    <w:next w:val="718"/>
    <w:uiPriority w:val="0"/>
    <w:qFormat/>
    <w:pPr>
      <w:jc w:val="left"/>
      <w:keepLines/>
      <w:keepNext/>
      <w:spacing w:before="240" w:after="64" w:line="320" w:lineRule="atLeast"/>
      <w:outlineLvl w:val="6"/>
    </w:pPr>
    <w:rPr>
      <w:rFonts w:ascii="宋体" w:hAnsi="Tms Rmn" w:eastAsia="宋体"/>
      <w:b/>
      <w:sz w:val="24"/>
    </w:rPr>
  </w:style>
  <w:style w:type="paragraph" w:styleId="726">
    <w:name w:val="Heading 8"/>
    <w:basedOn w:val="718"/>
    <w:next w:val="718"/>
    <w:uiPriority w:val="0"/>
    <w:qFormat/>
    <w:pPr>
      <w:keepLines/>
      <w:keepNext/>
      <w:spacing w:before="240" w:after="64" w:line="320" w:lineRule="auto"/>
      <w:outlineLvl w:val="7"/>
    </w:pPr>
    <w:rPr>
      <w:rFonts w:ascii="Arial" w:hAnsi="Arial" w:eastAsia="黑体"/>
      <w:sz w:val="24"/>
      <w:szCs w:val="24"/>
    </w:rPr>
  </w:style>
  <w:style w:type="paragraph" w:styleId="727">
    <w:name w:val="Heading 9"/>
    <w:basedOn w:val="718"/>
    <w:next w:val="718"/>
    <w:uiPriority w:val="0"/>
    <w:qFormat/>
    <w:pPr>
      <w:keepLines/>
      <w:keepNext/>
      <w:spacing w:before="240" w:after="64" w:line="320" w:lineRule="auto"/>
      <w:outlineLvl w:val="8"/>
    </w:pPr>
    <w:rPr>
      <w:rFonts w:ascii="Arial" w:hAnsi="Arial" w:eastAsia="黑体"/>
      <w:sz w:val="21"/>
      <w:szCs w:val="21"/>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Body Text First Indent"/>
    <w:basedOn w:val="718"/>
    <w:next w:val="718"/>
    <w:uiPriority w:val="0"/>
    <w:qFormat/>
    <w:pPr>
      <w:ind w:firstLine="420"/>
      <w:spacing w:after="120" w:line="240" w:lineRule="auto"/>
    </w:pPr>
    <w:rPr>
      <w:rFonts w:ascii="Times New Roman"/>
      <w:sz w:val="26"/>
    </w:rPr>
  </w:style>
  <w:style w:type="paragraph" w:styleId="731">
    <w:name w:val="toc 7"/>
    <w:basedOn w:val="718"/>
    <w:next w:val="718"/>
    <w:uiPriority w:val="0"/>
    <w:semiHidden/>
    <w:qFormat/>
    <w:pPr>
      <w:ind w:left="2520"/>
    </w:pPr>
  </w:style>
  <w:style w:type="paragraph" w:styleId="732">
    <w:name w:val="index 8"/>
    <w:basedOn w:val="718"/>
    <w:next w:val="718"/>
    <w:uiPriority w:val="0"/>
    <w:semiHidden/>
    <w:qFormat/>
    <w:pPr>
      <w:ind w:left="2940"/>
    </w:pPr>
  </w:style>
  <w:style w:type="paragraph" w:styleId="733">
    <w:name w:val="List Number"/>
    <w:basedOn w:val="718"/>
    <w:uiPriority w:val="0"/>
    <w:qFormat/>
    <w:pPr>
      <w:ind w:left="1125" w:hanging="555"/>
      <w:tabs>
        <w:tab w:val="left" w:pos="1125" w:leader="none"/>
      </w:tabs>
    </w:pPr>
    <w:rPr>
      <w:rFonts w:eastAsia="宋体"/>
      <w:sz w:val="21"/>
      <w:szCs w:val="24"/>
    </w:rPr>
  </w:style>
  <w:style w:type="paragraph" w:styleId="734">
    <w:name w:val="Normal Indent"/>
    <w:basedOn w:val="718"/>
    <w:link w:val="966"/>
    <w:uiPriority w:val="0"/>
    <w:qFormat/>
    <w:pPr>
      <w:ind w:firstLine="420"/>
      <w:jc w:val="left"/>
    </w:pPr>
    <w:rPr>
      <w:sz w:val="24"/>
    </w:rPr>
  </w:style>
  <w:style w:type="paragraph" w:styleId="735">
    <w:name w:val="Caption"/>
    <w:basedOn w:val="718"/>
    <w:next w:val="7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6">
    <w:name w:val="index 5"/>
    <w:basedOn w:val="718"/>
    <w:next w:val="718"/>
    <w:uiPriority w:val="0"/>
    <w:semiHidden/>
    <w:qFormat/>
    <w:pPr>
      <w:ind w:left="1680"/>
    </w:pPr>
  </w:style>
  <w:style w:type="paragraph" w:styleId="737">
    <w:name w:val="Document Map"/>
    <w:basedOn w:val="718"/>
    <w:uiPriority w:val="0"/>
    <w:semiHidden/>
    <w:qFormat/>
    <w:pPr>
      <w:shd w:val="clear" w:color="auto" w:fill="000080"/>
    </w:pPr>
    <w:rPr>
      <w:rFonts w:eastAsia="宋体"/>
      <w:sz w:val="21"/>
    </w:rPr>
  </w:style>
  <w:style w:type="paragraph" w:styleId="738">
    <w:name w:val="annotation text"/>
    <w:basedOn w:val="718"/>
    <w:uiPriority w:val="0"/>
    <w:semiHidden/>
    <w:qFormat/>
    <w:pPr>
      <w:jc w:val="left"/>
    </w:pPr>
  </w:style>
  <w:style w:type="paragraph" w:styleId="739">
    <w:name w:val="index 6"/>
    <w:basedOn w:val="718"/>
    <w:next w:val="718"/>
    <w:uiPriority w:val="0"/>
    <w:semiHidden/>
    <w:qFormat/>
    <w:pPr>
      <w:ind w:left="2100"/>
    </w:pPr>
  </w:style>
  <w:style w:type="paragraph" w:styleId="740">
    <w:name w:val="Body Text"/>
    <w:basedOn w:val="718"/>
    <w:uiPriority w:val="0"/>
    <w:qFormat/>
    <w:pPr>
      <w:spacing w:line="400" w:lineRule="exact"/>
    </w:pPr>
    <w:rPr>
      <w:rFonts w:ascii="楷体_GB2312"/>
      <w:sz w:val="28"/>
    </w:rPr>
  </w:style>
  <w:style w:type="paragraph" w:styleId="741">
    <w:name w:val="Body Text Indent"/>
    <w:basedOn w:val="718"/>
    <w:uiPriority w:val="0"/>
    <w:qFormat/>
    <w:pPr>
      <w:ind w:left="570"/>
      <w:spacing w:line="520" w:lineRule="exact"/>
    </w:pPr>
    <w:rPr>
      <w:rFonts w:ascii="方正仿宋简体" w:hAnsi="创艺简仿宋" w:eastAsia="方正仿宋简体"/>
      <w:sz w:val="24"/>
    </w:rPr>
  </w:style>
  <w:style w:type="paragraph" w:styleId="742">
    <w:name w:val="Block Text"/>
    <w:basedOn w:val="719"/>
    <w:next w:val="718"/>
    <w:uiPriority w:val="0"/>
    <w:qFormat/>
    <w:pPr>
      <w:ind w:left="630" w:right="-609" w:firstLine="420"/>
      <w:spacing w:line="360" w:lineRule="auto"/>
    </w:pPr>
    <w:rPr>
      <w:rFonts w:hint="eastAsia" w:ascii="仿宋_GB2312" w:eastAsia="仿宋_GB2312"/>
      <w:sz w:val="21"/>
    </w:rPr>
  </w:style>
  <w:style w:type="paragraph" w:styleId="743">
    <w:name w:val="index 4"/>
    <w:basedOn w:val="718"/>
    <w:next w:val="718"/>
    <w:uiPriority w:val="0"/>
    <w:semiHidden/>
    <w:qFormat/>
    <w:pPr>
      <w:ind w:left="1260"/>
    </w:pPr>
  </w:style>
  <w:style w:type="paragraph" w:styleId="744">
    <w:name w:val="toc 5"/>
    <w:basedOn w:val="718"/>
    <w:next w:val="718"/>
    <w:uiPriority w:val="0"/>
    <w:semiHidden/>
    <w:qFormat/>
    <w:pPr>
      <w:ind w:left="1680"/>
    </w:pPr>
  </w:style>
  <w:style w:type="paragraph" w:styleId="745">
    <w:name w:val="toc 3"/>
    <w:basedOn w:val="718"/>
    <w:next w:val="718"/>
    <w:uiPriority w:val="0"/>
    <w:semiHidden/>
    <w:qFormat/>
    <w:pPr>
      <w:ind w:left="840"/>
    </w:pPr>
  </w:style>
  <w:style w:type="paragraph" w:styleId="746">
    <w:name w:val="Plain Text"/>
    <w:basedOn w:val="718"/>
    <w:next w:val="718"/>
    <w:link w:val="974"/>
    <w:uiPriority w:val="0"/>
    <w:qFormat/>
    <w:rPr>
      <w:rFonts w:ascii="宋体" w:hAnsi="Courier New"/>
    </w:rPr>
  </w:style>
  <w:style w:type="paragraph" w:styleId="747">
    <w:name w:val="toc 8"/>
    <w:basedOn w:val="718"/>
    <w:next w:val="718"/>
    <w:uiPriority w:val="0"/>
    <w:semiHidden/>
    <w:qFormat/>
    <w:pPr>
      <w:ind w:left="2940"/>
    </w:pPr>
  </w:style>
  <w:style w:type="paragraph" w:styleId="748">
    <w:name w:val="index 3"/>
    <w:basedOn w:val="718"/>
    <w:next w:val="718"/>
    <w:uiPriority w:val="0"/>
    <w:semiHidden/>
    <w:qFormat/>
    <w:pPr>
      <w:ind w:left="840"/>
    </w:pPr>
  </w:style>
  <w:style w:type="paragraph" w:styleId="749">
    <w:name w:val="Date"/>
    <w:basedOn w:val="718"/>
    <w:next w:val="718"/>
    <w:uiPriority w:val="0"/>
    <w:qFormat/>
    <w:rPr>
      <w:rFonts w:ascii="宋体" w:hAnsi="宋体"/>
      <w:sz w:val="24"/>
    </w:rPr>
  </w:style>
  <w:style w:type="paragraph" w:styleId="750">
    <w:name w:val="Body Text Indent 2"/>
    <w:basedOn w:val="718"/>
    <w:link w:val="967"/>
    <w:uiPriority w:val="0"/>
    <w:qFormat/>
    <w:pPr>
      <w:ind w:firstLine="502"/>
      <w:spacing w:line="360" w:lineRule="auto"/>
      <w:tabs>
        <w:tab w:val="left" w:pos="0" w:leader="none"/>
      </w:tabs>
    </w:pPr>
    <w:rPr>
      <w:rFonts w:ascii="宋体" w:eastAsia="宋体"/>
      <w:b/>
      <w:bCs/>
      <w:sz w:val="24"/>
    </w:rPr>
  </w:style>
  <w:style w:type="paragraph" w:styleId="751">
    <w:name w:val="endnote text"/>
    <w:basedOn w:val="718"/>
    <w:link w:val="968"/>
    <w:uiPriority w:val="0"/>
    <w:qFormat/>
    <w:pPr>
      <w:jc w:val="left"/>
    </w:pPr>
  </w:style>
  <w:style w:type="paragraph" w:styleId="752">
    <w:name w:val="Balloon Text"/>
    <w:basedOn w:val="718"/>
    <w:uiPriority w:val="0"/>
    <w:semiHidden/>
    <w:qFormat/>
    <w:rPr>
      <w:sz w:val="18"/>
      <w:szCs w:val="18"/>
    </w:rPr>
  </w:style>
  <w:style w:type="paragraph" w:styleId="753">
    <w:name w:val="Footer"/>
    <w:basedOn w:val="718"/>
    <w:uiPriority w:val="0"/>
    <w:qFormat/>
    <w:pPr>
      <w:jc w:val="left"/>
      <w:tabs>
        <w:tab w:val="center" w:pos="4153" w:leader="none"/>
        <w:tab w:val="right" w:pos="8306" w:leader="none"/>
      </w:tabs>
    </w:pPr>
    <w:rPr>
      <w:sz w:val="18"/>
    </w:rPr>
  </w:style>
  <w:style w:type="paragraph" w:styleId="754">
    <w:name w:val="envelope return"/>
    <w:basedOn w:val="718"/>
    <w:uiPriority w:val="0"/>
    <w:qFormat/>
    <w:rPr>
      <w:rFonts w:ascii="Arial" w:hAnsi="Arial"/>
    </w:rPr>
  </w:style>
  <w:style w:type="paragraph" w:styleId="755">
    <w:name w:val="Header"/>
    <w:basedOn w:val="718"/>
    <w:uiPriority w:val="0"/>
    <w:qFormat/>
    <w:pPr>
      <w:jc w:val="center"/>
      <w:tabs>
        <w:tab w:val="center" w:pos="4153" w:leader="none"/>
        <w:tab w:val="right" w:pos="8306" w:leader="none"/>
      </w:tabs>
      <w:pBdr>
        <w:bottom w:val="single" w:color="auto" w:sz="6" w:space="1"/>
      </w:pBdr>
    </w:pPr>
    <w:rPr>
      <w:sz w:val="18"/>
    </w:rPr>
  </w:style>
  <w:style w:type="paragraph" w:styleId="756">
    <w:name w:val="toc 1"/>
    <w:basedOn w:val="718"/>
    <w:next w:val="718"/>
    <w:uiPriority w:val="39"/>
    <w:qFormat/>
    <w:pPr>
      <w:jc w:val="left"/>
    </w:pPr>
    <w:rPr>
      <w:sz w:val="24"/>
    </w:rPr>
  </w:style>
  <w:style w:type="paragraph" w:styleId="757">
    <w:name w:val="toc 4"/>
    <w:basedOn w:val="718"/>
    <w:next w:val="718"/>
    <w:uiPriority w:val="0"/>
    <w:semiHidden/>
    <w:qFormat/>
    <w:pPr>
      <w:ind w:left="1260"/>
    </w:pPr>
  </w:style>
  <w:style w:type="paragraph" w:styleId="758">
    <w:name w:val="index heading"/>
    <w:basedOn w:val="718"/>
    <w:next w:val="759"/>
    <w:uiPriority w:val="0"/>
    <w:semiHidden/>
    <w:qFormat/>
  </w:style>
  <w:style w:type="paragraph" w:styleId="759">
    <w:name w:val="index 1"/>
    <w:basedOn w:val="718"/>
    <w:next w:val="718"/>
    <w:uiPriority w:val="0"/>
    <w:semiHidden/>
    <w:qFormat/>
  </w:style>
  <w:style w:type="paragraph" w:styleId="760">
    <w:name w:val="Subtitle"/>
    <w:basedOn w:val="718"/>
    <w:link w:val="970"/>
    <w:uiPriority w:val="0"/>
    <w:qFormat/>
    <w:pPr>
      <w:jc w:val="center"/>
      <w:spacing w:before="240" w:after="60" w:line="312" w:lineRule="auto"/>
      <w:outlineLvl w:val="1"/>
    </w:pPr>
    <w:rPr>
      <w:rFonts w:ascii="Arial" w:hAnsi="Arial" w:eastAsia="宋体"/>
      <w:b/>
      <w:bCs/>
      <w:sz w:val="32"/>
      <w:szCs w:val="32"/>
    </w:rPr>
  </w:style>
  <w:style w:type="paragraph" w:styleId="761">
    <w:name w:val="List"/>
    <w:basedOn w:val="718"/>
    <w:uiPriority w:val="0"/>
    <w:qFormat/>
    <w:pPr>
      <w:contextualSpacing/>
      <w:ind w:left="200" w:hanging="200"/>
    </w:pPr>
  </w:style>
  <w:style w:type="paragraph" w:styleId="762">
    <w:name w:val="footnote text"/>
    <w:basedOn w:val="719"/>
    <w:next w:val="742"/>
    <w:uiPriority w:val="0"/>
    <w:semiHidden/>
    <w:qFormat/>
    <w:pPr>
      <w:jc w:val="left"/>
    </w:pPr>
    <w:rPr>
      <w:sz w:val="18"/>
    </w:rPr>
  </w:style>
  <w:style w:type="paragraph" w:styleId="763">
    <w:name w:val="toc 6"/>
    <w:basedOn w:val="718"/>
    <w:next w:val="718"/>
    <w:uiPriority w:val="0"/>
    <w:semiHidden/>
    <w:qFormat/>
    <w:pPr>
      <w:ind w:left="2100"/>
    </w:pPr>
  </w:style>
  <w:style w:type="paragraph" w:styleId="764">
    <w:name w:val="Body Text Indent 3"/>
    <w:basedOn w:val="718"/>
    <w:uiPriority w:val="0"/>
    <w:qFormat/>
    <w:pPr>
      <w:ind w:firstLine="617"/>
      <w:spacing w:line="360" w:lineRule="auto"/>
    </w:pPr>
    <w:rPr>
      <w:rFonts w:eastAsia="宋体"/>
      <w:sz w:val="24"/>
      <w:szCs w:val="24"/>
    </w:rPr>
  </w:style>
  <w:style w:type="paragraph" w:styleId="765">
    <w:name w:val="index 7"/>
    <w:basedOn w:val="718"/>
    <w:next w:val="718"/>
    <w:uiPriority w:val="0"/>
    <w:semiHidden/>
    <w:qFormat/>
    <w:pPr>
      <w:ind w:left="2520"/>
    </w:pPr>
  </w:style>
  <w:style w:type="paragraph" w:styleId="766">
    <w:name w:val="index 9"/>
    <w:basedOn w:val="718"/>
    <w:next w:val="718"/>
    <w:uiPriority w:val="0"/>
    <w:semiHidden/>
    <w:qFormat/>
    <w:pPr>
      <w:ind w:left="3360"/>
    </w:pPr>
  </w:style>
  <w:style w:type="paragraph" w:styleId="767">
    <w:name w:val="table of figures"/>
    <w:basedOn w:val="718"/>
    <w:next w:val="718"/>
    <w:uiPriority w:val="0"/>
    <w:semiHidden/>
    <w:qFormat/>
    <w:pPr>
      <w:ind w:left="420" w:hanging="420"/>
      <w:jc w:val="left"/>
    </w:pPr>
    <w:rPr>
      <w:smallCaps/>
      <w:sz w:val="24"/>
    </w:rPr>
  </w:style>
  <w:style w:type="paragraph" w:styleId="768">
    <w:name w:val="toc 2"/>
    <w:basedOn w:val="718"/>
    <w:next w:val="718"/>
    <w:uiPriority w:val="0"/>
    <w:semiHidden/>
    <w:qFormat/>
    <w:pPr>
      <w:ind w:left="420"/>
    </w:pPr>
  </w:style>
  <w:style w:type="paragraph" w:styleId="769">
    <w:name w:val="toc 9"/>
    <w:basedOn w:val="718"/>
    <w:next w:val="718"/>
    <w:uiPriority w:val="0"/>
    <w:semiHidden/>
    <w:qFormat/>
    <w:pPr>
      <w:ind w:left="3360"/>
    </w:pPr>
  </w:style>
  <w:style w:type="paragraph" w:styleId="770">
    <w:name w:val="Body Text 2"/>
    <w:basedOn w:val="718"/>
    <w:uiPriority w:val="0"/>
    <w:qFormat/>
    <w:pPr>
      <w:spacing w:after="120" w:line="480" w:lineRule="auto"/>
    </w:pPr>
  </w:style>
  <w:style w:type="paragraph" w:styleId="771">
    <w:name w:val="HTML Preformatted"/>
    <w:basedOn w:val="71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772">
    <w:name w:val="Normal (Web)"/>
    <w:basedOn w:val="718"/>
    <w:uiPriority w:val="99"/>
    <w:qFormat/>
    <w:pPr>
      <w:jc w:val="left"/>
      <w:spacing w:before="100" w:beforeAutospacing="1" w:after="100" w:afterAutospacing="1"/>
      <w:widowControl/>
    </w:pPr>
    <w:rPr>
      <w:rFonts w:ascii="宋体" w:hAnsi="宋体" w:eastAsia="宋体" w:cs="宋体"/>
      <w:sz w:val="24"/>
      <w:szCs w:val="24"/>
    </w:rPr>
  </w:style>
  <w:style w:type="paragraph" w:styleId="773">
    <w:name w:val="index 2"/>
    <w:basedOn w:val="718"/>
    <w:next w:val="718"/>
    <w:uiPriority w:val="0"/>
    <w:semiHidden/>
    <w:qFormat/>
    <w:pPr>
      <w:ind w:left="420"/>
    </w:pPr>
  </w:style>
  <w:style w:type="paragraph" w:styleId="774">
    <w:name w:val="Title"/>
    <w:basedOn w:val="718"/>
    <w:next w:val="718"/>
    <w:link w:val="1031"/>
    <w:uiPriority w:val="0"/>
    <w:qFormat/>
    <w:pPr>
      <w:jc w:val="center"/>
      <w:spacing w:before="240" w:after="60"/>
      <w:outlineLvl w:val="0"/>
    </w:pPr>
    <w:rPr>
      <w:rFonts w:asciiTheme="majorHAnsi" w:hAnsiTheme="majorHAnsi" w:eastAsiaTheme="majorEastAsia" w:cstheme="majorBidi"/>
      <w:b/>
      <w:bCs/>
      <w:sz w:val="32"/>
      <w:szCs w:val="32"/>
    </w:rPr>
  </w:style>
  <w:style w:type="paragraph" w:styleId="775">
    <w:name w:val="annotation subject"/>
    <w:basedOn w:val="738"/>
    <w:next w:val="738"/>
    <w:uiPriority w:val="0"/>
    <w:semiHidden/>
    <w:qFormat/>
    <w:rPr>
      <w:b/>
      <w:bCs/>
    </w:rPr>
  </w:style>
  <w:style w:type="paragraph" w:styleId="776">
    <w:name w:val="Body Text First Indent 2"/>
    <w:basedOn w:val="741"/>
    <w:uiPriority w:val="0"/>
    <w:qFormat/>
    <w:pPr>
      <w:ind w:firstLine="420"/>
    </w:pPr>
  </w:style>
  <w:style w:type="table" w:styleId="777">
    <w:name w:val="Table Grid"/>
    <w:basedOn w:val="72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8">
    <w:name w:val="Strong"/>
    <w:basedOn w:val="728"/>
    <w:uiPriority w:val="22"/>
    <w:qFormat/>
    <w:rPr>
      <w:b/>
      <w:bCs/>
    </w:rPr>
  </w:style>
  <w:style w:type="character" w:styleId="779">
    <w:name w:val="endnote reference"/>
    <w:uiPriority w:val="0"/>
    <w:qFormat/>
    <w:rPr>
      <w:vertAlign w:val="superscript"/>
    </w:rPr>
  </w:style>
  <w:style w:type="character" w:styleId="780">
    <w:name w:val="page number"/>
    <w:basedOn w:val="728"/>
    <w:uiPriority w:val="99"/>
    <w:qFormat/>
  </w:style>
  <w:style w:type="character" w:styleId="781">
    <w:name w:val="FollowedHyperlink"/>
    <w:uiPriority w:val="0"/>
    <w:qFormat/>
    <w:rPr>
      <w:color w:val="999999"/>
      <w:u w:val="none"/>
    </w:rPr>
  </w:style>
  <w:style w:type="character" w:styleId="782">
    <w:name w:val="Emphasis"/>
    <w:basedOn w:val="728"/>
    <w:uiPriority w:val="0"/>
    <w:qFormat/>
  </w:style>
  <w:style w:type="character" w:styleId="783">
    <w:name w:val="Hyperlink"/>
    <w:uiPriority w:val="0"/>
    <w:qFormat/>
    <w:rPr>
      <w:color w:val="333333"/>
      <w:u w:val="none"/>
    </w:rPr>
  </w:style>
  <w:style w:type="character" w:styleId="784">
    <w:name w:val="annotation reference"/>
    <w:uiPriority w:val="0"/>
    <w:qFormat/>
    <w:rPr>
      <w:sz w:val="21"/>
      <w:szCs w:val="21"/>
    </w:rPr>
  </w:style>
  <w:style w:type="character" w:styleId="785">
    <w:name w:val="footnote reference"/>
    <w:uiPriority w:val="0"/>
    <w:semiHidden/>
    <w:qFormat/>
    <w:rPr>
      <w:vertAlign w:val="superscript"/>
    </w:rPr>
  </w:style>
  <w:style w:type="paragraph" w:styleId="786" w:customStyle="1">
    <w:name w:val="段"/>
    <w:next w:val="718"/>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787" w:customStyle="1">
    <w:name w:val="目录 71"/>
    <w:next w:val="718"/>
    <w:uiPriority w:val="0"/>
    <w:qFormat/>
    <w:pPr>
      <w:ind w:left="2125"/>
      <w:jc w:val="both"/>
    </w:pPr>
    <w:rPr>
      <w:rFonts w:hint="default" w:ascii="Times New Roman" w:hAnsi="Times New Roman" w:eastAsia="宋体" w:cs="Times New Roman"/>
      <w:sz w:val="21"/>
      <w:lang w:val="en-US" w:eastAsia="zh-CN" w:bidi="ar-SA"/>
    </w:rPr>
  </w:style>
  <w:style w:type="character" w:styleId="788" w:customStyle="1">
    <w:name w:val="Quote Char"/>
    <w:uiPriority w:val="29"/>
    <w:qFormat/>
    <w:rPr>
      <w:i/>
    </w:rPr>
  </w:style>
  <w:style w:type="character" w:styleId="789" w:customStyle="1">
    <w:name w:val="Intense Quote Char"/>
    <w:uiPriority w:val="30"/>
    <w:qFormat/>
    <w:rPr>
      <w:i/>
    </w:rPr>
  </w:style>
  <w:style w:type="table" w:styleId="790" w:customStyle="1">
    <w:name w:val="Plain Table 1"/>
    <w:basedOn w:val="7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2"/>
    <w:basedOn w:val="72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3"/>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Plain Table 4"/>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Plain Table 5"/>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Grid Table 1 Light"/>
    <w:basedOn w:val="72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2"/>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3"/>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4"/>
    <w:basedOn w:val="72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customStyle="1">
    <w:name w:val="Grid Table 5 Dark"/>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Grid Table 6 Colorful"/>
    <w:basedOn w:val="72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1" w:customStyle="1">
    <w:name w:val="Grid Table 7 Colorful"/>
    <w:basedOn w:val="72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List Table 1 Light"/>
    <w:basedOn w:val="72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2"/>
    <w:basedOn w:val="72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4" w:customStyle="1">
    <w:name w:val="List Table 3"/>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4"/>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5 Dark"/>
    <w:basedOn w:val="72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6 Colorful"/>
    <w:basedOn w:val="72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8" w:customStyle="1">
    <w:name w:val="List Table 7 Colorful"/>
    <w:basedOn w:val="72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9" w:customStyle="1">
    <w:name w:val="TOC Heading"/>
    <w:uiPriority w:val="39"/>
    <w:unhideWhenUsed/>
    <w:qFormat/>
    <w:rPr>
      <w:rFonts w:hint="default" w:ascii="Times New Roman" w:hAnsi="Times New Roman" w:eastAsia="宋体" w:cs="Times New Roman"/>
    </w:rPr>
  </w:style>
  <w:style w:type="character" w:styleId="810" w:customStyle="1">
    <w:name w:val="Heading 1 Char"/>
    <w:basedOn w:val="728"/>
    <w:uiPriority w:val="9"/>
    <w:qFormat/>
    <w:rPr>
      <w:rFonts w:ascii="Arial" w:hAnsi="Arial" w:eastAsia="Arial" w:cs="Arial"/>
      <w:sz w:val="40"/>
      <w:szCs w:val="40"/>
    </w:rPr>
  </w:style>
  <w:style w:type="character" w:styleId="811" w:customStyle="1">
    <w:name w:val="Heading 2 Char"/>
    <w:basedOn w:val="728"/>
    <w:uiPriority w:val="9"/>
    <w:qFormat/>
    <w:rPr>
      <w:rFonts w:ascii="Arial" w:hAnsi="Arial" w:eastAsia="Arial" w:cs="Arial"/>
      <w:sz w:val="34"/>
    </w:rPr>
  </w:style>
  <w:style w:type="character" w:styleId="812" w:customStyle="1">
    <w:name w:val="Heading 3 Char"/>
    <w:basedOn w:val="728"/>
    <w:uiPriority w:val="9"/>
    <w:qFormat/>
    <w:rPr>
      <w:rFonts w:ascii="Arial" w:hAnsi="Arial" w:eastAsia="Arial" w:cs="Arial"/>
      <w:sz w:val="30"/>
      <w:szCs w:val="30"/>
    </w:rPr>
  </w:style>
  <w:style w:type="character" w:styleId="813" w:customStyle="1">
    <w:name w:val="Heading 4 Char"/>
    <w:basedOn w:val="728"/>
    <w:uiPriority w:val="9"/>
    <w:qFormat/>
    <w:rPr>
      <w:rFonts w:ascii="Arial" w:hAnsi="Arial" w:eastAsia="Arial" w:cs="Arial"/>
      <w:b/>
      <w:bCs/>
      <w:sz w:val="26"/>
      <w:szCs w:val="26"/>
    </w:rPr>
  </w:style>
  <w:style w:type="character" w:styleId="814" w:customStyle="1">
    <w:name w:val="Heading 5 Char"/>
    <w:basedOn w:val="728"/>
    <w:uiPriority w:val="9"/>
    <w:qFormat/>
    <w:rPr>
      <w:rFonts w:ascii="Arial" w:hAnsi="Arial" w:eastAsia="Arial" w:cs="Arial"/>
      <w:b/>
      <w:bCs/>
      <w:sz w:val="24"/>
      <w:szCs w:val="24"/>
    </w:rPr>
  </w:style>
  <w:style w:type="character" w:styleId="815" w:customStyle="1">
    <w:name w:val="Heading 6 Char"/>
    <w:basedOn w:val="728"/>
    <w:uiPriority w:val="9"/>
    <w:qFormat/>
    <w:rPr>
      <w:rFonts w:ascii="Arial" w:hAnsi="Arial" w:eastAsia="Arial" w:cs="Arial"/>
      <w:b/>
      <w:bCs/>
      <w:sz w:val="22"/>
      <w:szCs w:val="22"/>
    </w:rPr>
  </w:style>
  <w:style w:type="character" w:styleId="816" w:customStyle="1">
    <w:name w:val="Heading 7 Char"/>
    <w:basedOn w:val="728"/>
    <w:uiPriority w:val="9"/>
    <w:qFormat/>
    <w:rPr>
      <w:rFonts w:ascii="Arial" w:hAnsi="Arial" w:eastAsia="Arial" w:cs="Arial"/>
      <w:b/>
      <w:bCs/>
      <w:i/>
      <w:iCs/>
      <w:sz w:val="22"/>
      <w:szCs w:val="22"/>
    </w:rPr>
  </w:style>
  <w:style w:type="character" w:styleId="817" w:customStyle="1">
    <w:name w:val="Heading 8 Char"/>
    <w:basedOn w:val="728"/>
    <w:uiPriority w:val="9"/>
    <w:qFormat/>
    <w:rPr>
      <w:rFonts w:ascii="Arial" w:hAnsi="Arial" w:eastAsia="Arial" w:cs="Arial"/>
      <w:i/>
      <w:iCs/>
      <w:sz w:val="22"/>
      <w:szCs w:val="22"/>
    </w:rPr>
  </w:style>
  <w:style w:type="character" w:styleId="818" w:customStyle="1">
    <w:name w:val="Heading 9 Char"/>
    <w:basedOn w:val="728"/>
    <w:uiPriority w:val="9"/>
    <w:qFormat/>
    <w:rPr>
      <w:rFonts w:ascii="Arial" w:hAnsi="Arial" w:eastAsia="Arial" w:cs="Arial"/>
      <w:i/>
      <w:iCs/>
      <w:sz w:val="21"/>
      <w:szCs w:val="21"/>
    </w:rPr>
  </w:style>
  <w:style w:type="paragraph" w:styleId="819">
    <w:name w:val="No Spacing"/>
    <w:uiPriority w:val="1"/>
    <w:qFormat/>
    <w:rPr>
      <w:rFonts w:hint="default" w:ascii="Times New Roman" w:hAnsi="Times New Roman" w:eastAsia="宋体" w:cs="Times New Roman"/>
      <w:lang w:val="en-US" w:eastAsia="zh-CN" w:bidi="ar-SA"/>
    </w:rPr>
  </w:style>
  <w:style w:type="character" w:styleId="820" w:customStyle="1">
    <w:name w:val="Title Char"/>
    <w:basedOn w:val="728"/>
    <w:uiPriority w:val="10"/>
    <w:qFormat/>
    <w:rPr>
      <w:sz w:val="48"/>
      <w:szCs w:val="48"/>
    </w:rPr>
  </w:style>
  <w:style w:type="character" w:styleId="821" w:customStyle="1">
    <w:name w:val="Subtitle Char"/>
    <w:basedOn w:val="728"/>
    <w:uiPriority w:val="11"/>
    <w:qFormat/>
    <w:rPr>
      <w:sz w:val="24"/>
      <w:szCs w:val="24"/>
    </w:rPr>
  </w:style>
  <w:style w:type="paragraph" w:styleId="822">
    <w:name w:val="Quote"/>
    <w:basedOn w:val="718"/>
    <w:next w:val="718"/>
    <w:link w:val="823"/>
    <w:uiPriority w:val="29"/>
    <w:qFormat/>
    <w:pPr>
      <w:ind w:left="720" w:right="720"/>
    </w:pPr>
    <w:rPr>
      <w:i/>
    </w:rPr>
  </w:style>
  <w:style w:type="character" w:styleId="823" w:customStyle="1">
    <w:name w:val="引用 Char"/>
    <w:link w:val="822"/>
    <w:uiPriority w:val="29"/>
    <w:qFormat/>
    <w:rPr>
      <w:i/>
    </w:rPr>
  </w:style>
  <w:style w:type="paragraph" w:styleId="824">
    <w:name w:val="Intense Quote"/>
    <w:basedOn w:val="718"/>
    <w:next w:val="718"/>
    <w:link w:val="8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明显引用 Char"/>
    <w:link w:val="824"/>
    <w:uiPriority w:val="30"/>
    <w:qFormat/>
    <w:rPr>
      <w:i/>
    </w:rPr>
  </w:style>
  <w:style w:type="character" w:styleId="826" w:customStyle="1">
    <w:name w:val="Header Char"/>
    <w:basedOn w:val="728"/>
    <w:uiPriority w:val="99"/>
    <w:qFormat/>
  </w:style>
  <w:style w:type="character" w:styleId="827" w:customStyle="1">
    <w:name w:val="Footer Char"/>
    <w:basedOn w:val="728"/>
    <w:uiPriority w:val="99"/>
    <w:qFormat/>
  </w:style>
  <w:style w:type="character" w:styleId="828" w:customStyle="1">
    <w:name w:val="Caption Char"/>
    <w:uiPriority w:val="99"/>
    <w:qFormat/>
  </w:style>
  <w:style w:type="table" w:styleId="829" w:customStyle="1">
    <w:name w:val="Table Grid Light"/>
    <w:basedOn w:val="7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0" w:customStyle="1">
    <w:name w:val="无格式表格 11"/>
    <w:basedOn w:val="7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无格式表格 21"/>
    <w:basedOn w:val="72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无格式表格 31"/>
    <w:basedOn w:val="72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无格式表格 41"/>
    <w:basedOn w:val="72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无格式表格 51"/>
    <w:basedOn w:val="72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网格表 1 浅色1"/>
    <w:basedOn w:val="72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1"/>
    <w:basedOn w:val="72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2"/>
    <w:basedOn w:val="72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3"/>
    <w:basedOn w:val="72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4"/>
    <w:basedOn w:val="72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5"/>
    <w:basedOn w:val="72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6"/>
    <w:basedOn w:val="72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2" w:customStyle="1">
    <w:name w:val="网格表 21"/>
    <w:basedOn w:val="7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3" w:customStyle="1">
    <w:name w:val="Grid Table 2 - Accent 1"/>
    <w:basedOn w:val="72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4" w:customStyle="1">
    <w:name w:val="Grid Table 2 - Accent 2"/>
    <w:basedOn w:val="72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2 - Accent 3"/>
    <w:basedOn w:val="72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2 - Accent 4"/>
    <w:basedOn w:val="72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2 - Accent 5"/>
    <w:basedOn w:val="72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Grid Table 2 - Accent 6"/>
    <w:basedOn w:val="72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网格表 31"/>
    <w:basedOn w:val="7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1"/>
    <w:basedOn w:val="72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2"/>
    <w:basedOn w:val="72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3"/>
    <w:basedOn w:val="72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4"/>
    <w:basedOn w:val="72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5"/>
    <w:basedOn w:val="72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6"/>
    <w:basedOn w:val="72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网格表 41"/>
    <w:basedOn w:val="72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Grid Table 4 - Accent 1"/>
    <w:basedOn w:val="72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8" w:customStyle="1">
    <w:name w:val="Grid Table 4 - Accent 2"/>
    <w:basedOn w:val="72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9" w:customStyle="1">
    <w:name w:val="Grid Table 4 - Accent 3"/>
    <w:basedOn w:val="72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0" w:customStyle="1">
    <w:name w:val="Grid Table 4 - Accent 4"/>
    <w:basedOn w:val="72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1" w:customStyle="1">
    <w:name w:val="Grid Table 4 - Accent 5"/>
    <w:basedOn w:val="72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2" w:customStyle="1">
    <w:name w:val="Grid Table 4 - Accent 6"/>
    <w:basedOn w:val="72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3" w:customStyle="1">
    <w:name w:val="网格表 5 深色1"/>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4" w:customStyle="1">
    <w:name w:val="Grid Table 5 Dark- Accent 1"/>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5" w:customStyle="1">
    <w:name w:val="Grid Table 5 Dark - Accent 2"/>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6" w:customStyle="1">
    <w:name w:val="Grid Table 5 Dark - Accent 3"/>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7" w:customStyle="1">
    <w:name w:val="Grid Table 5 Dark- Accent 4"/>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8" w:customStyle="1">
    <w:name w:val="Grid Table 5 Dark - Accent 5"/>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9" w:customStyle="1">
    <w:name w:val="Grid Table 5 Dark - Accent 6"/>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0" w:customStyle="1">
    <w:name w:val="网格表 6 彩色1"/>
    <w:basedOn w:val="72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1" w:customStyle="1">
    <w:name w:val="Grid Table 6 Colorful - Accent 1"/>
    <w:basedOn w:val="72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2" w:customStyle="1">
    <w:name w:val="Grid Table 6 Colorful - Accent 2"/>
    <w:basedOn w:val="72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3" w:customStyle="1">
    <w:name w:val="Grid Table 6 Colorful - Accent 3"/>
    <w:basedOn w:val="72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4" w:customStyle="1">
    <w:name w:val="Grid Table 6 Colorful - Accent 4"/>
    <w:basedOn w:val="72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5" w:customStyle="1">
    <w:name w:val="Grid Table 6 Colorful - Accent 5"/>
    <w:basedOn w:val="72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6" w:customStyle="1">
    <w:name w:val="Grid Table 6 Colorful - Accent 6"/>
    <w:basedOn w:val="72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7" w:customStyle="1">
    <w:name w:val="网格表 7 彩色1"/>
    <w:basedOn w:val="72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Grid Table 7 Colorful - Accent 1"/>
    <w:basedOn w:val="72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9" w:customStyle="1">
    <w:name w:val="Grid Table 7 Colorful - Accent 2"/>
    <w:basedOn w:val="72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Grid Table 7 Colorful - Accent 3"/>
    <w:basedOn w:val="72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1" w:customStyle="1">
    <w:name w:val="Grid Table 7 Colorful - Accent 4"/>
    <w:basedOn w:val="72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Grid Table 7 Colorful - Accent 5"/>
    <w:basedOn w:val="72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3" w:customStyle="1">
    <w:name w:val="Grid Table 7 Colorful - Accent 6"/>
    <w:basedOn w:val="72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4" w:customStyle="1">
    <w:name w:val="清单表 1 浅色1"/>
    <w:basedOn w:val="72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customStyle="1">
    <w:name w:val="List Table 1 Light - Accent 1"/>
    <w:basedOn w:val="729"/>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1 Light - Accent 2"/>
    <w:basedOn w:val="729"/>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7" w:customStyle="1">
    <w:name w:val="List Table 1 Light - Accent 3"/>
    <w:basedOn w:val="729"/>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8" w:customStyle="1">
    <w:name w:val="List Table 1 Light - Accent 4"/>
    <w:basedOn w:val="729"/>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9" w:customStyle="1">
    <w:name w:val="List Table 1 Light - Accent 5"/>
    <w:basedOn w:val="729"/>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0" w:customStyle="1">
    <w:name w:val="List Table 1 Light - Accent 6"/>
    <w:basedOn w:val="729"/>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1" w:customStyle="1">
    <w:name w:val="清单表 21"/>
    <w:basedOn w:val="72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2" w:customStyle="1">
    <w:name w:val="List Table 2 - Accent 1"/>
    <w:basedOn w:val="72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3" w:customStyle="1">
    <w:name w:val="List Table 2 - Accent 2"/>
    <w:basedOn w:val="72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4" w:customStyle="1">
    <w:name w:val="List Table 2 - Accent 3"/>
    <w:basedOn w:val="72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5" w:customStyle="1">
    <w:name w:val="List Table 2 - Accent 4"/>
    <w:basedOn w:val="72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6" w:customStyle="1">
    <w:name w:val="List Table 2 - Accent 5"/>
    <w:basedOn w:val="72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7" w:customStyle="1">
    <w:name w:val="List Table 2 - Accent 6"/>
    <w:basedOn w:val="72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8" w:customStyle="1">
    <w:name w:val="清单表 31"/>
    <w:basedOn w:val="7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3 - Accent 1"/>
    <w:basedOn w:val="72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3 - Accent 2"/>
    <w:basedOn w:val="72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1" w:customStyle="1">
    <w:name w:val="List Table 3 - Accent 3"/>
    <w:basedOn w:val="72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2" w:customStyle="1">
    <w:name w:val="List Table 3 - Accent 4"/>
    <w:basedOn w:val="72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3" w:customStyle="1">
    <w:name w:val="List Table 3 - Accent 5"/>
    <w:basedOn w:val="72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4" w:customStyle="1">
    <w:name w:val="List Table 3 - Accent 6"/>
    <w:basedOn w:val="72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5" w:customStyle="1">
    <w:name w:val="清单表 41"/>
    <w:basedOn w:val="7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4 - Accent 1"/>
    <w:basedOn w:val="72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4 - Accent 2"/>
    <w:basedOn w:val="72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8" w:customStyle="1">
    <w:name w:val="List Table 4 - Accent 3"/>
    <w:basedOn w:val="72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9" w:customStyle="1">
    <w:name w:val="List Table 4 - Accent 4"/>
    <w:basedOn w:val="72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0" w:customStyle="1">
    <w:name w:val="List Table 4 - Accent 5"/>
    <w:basedOn w:val="72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1" w:customStyle="1">
    <w:name w:val="List Table 4 - Accent 6"/>
    <w:basedOn w:val="72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2" w:customStyle="1">
    <w:name w:val="清单表 5 深色1"/>
    <w:basedOn w:val="72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1"/>
    <w:basedOn w:val="72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2"/>
    <w:basedOn w:val="72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3"/>
    <w:basedOn w:val="72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4"/>
    <w:basedOn w:val="72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5"/>
    <w:basedOn w:val="72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6"/>
    <w:basedOn w:val="72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清单表 6 彩色1"/>
    <w:basedOn w:val="72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0" w:customStyle="1">
    <w:name w:val="List Table 6 Colorful - Accent 1"/>
    <w:basedOn w:val="729"/>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1" w:customStyle="1">
    <w:name w:val="List Table 6 Colorful - Accent 2"/>
    <w:basedOn w:val="729"/>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2" w:customStyle="1">
    <w:name w:val="List Table 6 Colorful - Accent 3"/>
    <w:basedOn w:val="729"/>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3" w:customStyle="1">
    <w:name w:val="List Table 6 Colorful - Accent 4"/>
    <w:basedOn w:val="729"/>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4" w:customStyle="1">
    <w:name w:val="List Table 6 Colorful - Accent 5"/>
    <w:basedOn w:val="729"/>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5" w:customStyle="1">
    <w:name w:val="List Table 6 Colorful - Accent 6"/>
    <w:basedOn w:val="729"/>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6" w:customStyle="1">
    <w:name w:val="清单表 7 彩色1"/>
    <w:basedOn w:val="72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List Table 7 Colorful - Accent 1"/>
    <w:basedOn w:val="729"/>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8" w:customStyle="1">
    <w:name w:val="List Table 7 Colorful - Accent 2"/>
    <w:basedOn w:val="729"/>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List Table 7 Colorful - Accent 3"/>
    <w:basedOn w:val="729"/>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0" w:customStyle="1">
    <w:name w:val="List Table 7 Colorful - Accent 4"/>
    <w:basedOn w:val="729"/>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List Table 7 Colorful - Accent 5"/>
    <w:basedOn w:val="729"/>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2" w:customStyle="1">
    <w:name w:val="List Table 7 Colorful - Accent 6"/>
    <w:basedOn w:val="729"/>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3" w:customStyle="1">
    <w:name w:val="Lined - Accent"/>
    <w:basedOn w:val="72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Lined - Accent 1"/>
    <w:basedOn w:val="72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Lined - Accent 2"/>
    <w:basedOn w:val="72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Lined - Accent 3"/>
    <w:basedOn w:val="72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Lined - Accent 4"/>
    <w:basedOn w:val="72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Lined - Accent 5"/>
    <w:basedOn w:val="72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Lined - Accent 6"/>
    <w:basedOn w:val="72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amp; Lined - Accent"/>
    <w:basedOn w:val="72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Bordered &amp; Lined - Accent 1"/>
    <w:basedOn w:val="72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2" w:customStyle="1">
    <w:name w:val="Bordered &amp; Lined - Accent 2"/>
    <w:basedOn w:val="72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3" w:customStyle="1">
    <w:name w:val="Bordered &amp; Lined - Accent 3"/>
    <w:basedOn w:val="72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4" w:customStyle="1">
    <w:name w:val="Bordered &amp; Lined - Accent 4"/>
    <w:basedOn w:val="72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Bordered &amp; Lined - Accent 5"/>
    <w:basedOn w:val="72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Bordered &amp; Lined - Accent 6"/>
    <w:basedOn w:val="72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w:basedOn w:val="72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8" w:customStyle="1">
    <w:name w:val="Bordered - Accent 1"/>
    <w:basedOn w:val="72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9" w:customStyle="1">
    <w:name w:val="Bordered - Accent 2"/>
    <w:basedOn w:val="72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0" w:customStyle="1">
    <w:name w:val="Bordered - Accent 3"/>
    <w:basedOn w:val="72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1" w:customStyle="1">
    <w:name w:val="Bordered - Accent 4"/>
    <w:basedOn w:val="72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2" w:customStyle="1">
    <w:name w:val="Bordered - Accent 5"/>
    <w:basedOn w:val="72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3" w:customStyle="1">
    <w:name w:val="Bordered - Accent 6"/>
    <w:basedOn w:val="72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4" w:customStyle="1">
    <w:name w:val="Footnote Text Char"/>
    <w:uiPriority w:val="99"/>
    <w:qFormat/>
    <w:rPr>
      <w:sz w:val="18"/>
    </w:rPr>
  </w:style>
  <w:style w:type="character" w:styleId="955" w:customStyle="1">
    <w:name w:val="Endnote Text Char"/>
    <w:uiPriority w:val="99"/>
    <w:qFormat/>
    <w:rPr>
      <w:sz w:val="20"/>
    </w:rPr>
  </w:style>
  <w:style w:type="paragraph" w:styleId="956" w:customStyle="1">
    <w:name w:val="TOC 标题1"/>
    <w:uiPriority w:val="39"/>
    <w:unhideWhenUsed/>
    <w:qFormat/>
    <w:rPr>
      <w:rFonts w:hint="default" w:ascii="Times New Roman" w:hAnsi="Times New Roman" w:eastAsia="宋体" w:cs="Times New Roman"/>
      <w:lang w:val="en-US" w:eastAsia="zh-CN" w:bidi="ar-SA"/>
    </w:rPr>
  </w:style>
  <w:style w:type="paragraph" w:styleId="957" w:customStyle="1">
    <w:name w:val="目录 51"/>
    <w:next w:val="718"/>
    <w:uiPriority w:val="0"/>
    <w:qFormat/>
    <w:pPr>
      <w:ind w:left="1275"/>
      <w:jc w:val="both"/>
    </w:pPr>
    <w:rPr>
      <w:rFonts w:hint="default" w:ascii="Times New Roman" w:hAnsi="Times New Roman" w:eastAsia="宋体" w:cs="Times New Roman"/>
      <w:sz w:val="21"/>
      <w:lang w:val="en-US" w:eastAsia="zh-CN" w:bidi="ar-SA"/>
    </w:rPr>
  </w:style>
  <w:style w:type="paragraph" w:styleId="958" w:customStyle="1">
    <w:name w:val="一级条标题"/>
    <w:basedOn w:val="959"/>
    <w:next w:val="78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9" w:customStyle="1">
    <w:name w:val="章标题"/>
    <w:next w:val="71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60" w:customStyle="1">
    <w:name w:val="style4"/>
    <w:basedOn w:val="718"/>
    <w:next w:val="961"/>
    <w:uiPriority w:val="0"/>
    <w:qFormat/>
    <w:pPr>
      <w:spacing w:before="280" w:after="280"/>
      <w:widowControl/>
    </w:pPr>
    <w:rPr>
      <w:rFonts w:ascii="宋体"/>
      <w:sz w:val="18"/>
    </w:rPr>
  </w:style>
  <w:style w:type="paragraph" w:styleId="961" w:customStyle="1">
    <w:name w:val="2"/>
    <w:next w:val="718"/>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962" w:customStyle="1">
    <w:name w:val="font01"/>
    <w:uiPriority w:val="0"/>
    <w:qFormat/>
    <w:rPr>
      <w:rFonts w:hint="eastAsia" w:ascii="宋体" w:hAnsi="宋体" w:eastAsia="宋体" w:cs="宋体"/>
      <w:color w:val="000000"/>
      <w:sz w:val="22"/>
      <w:szCs w:val="22"/>
      <w:u w:val="none"/>
    </w:rPr>
  </w:style>
  <w:style w:type="character" w:styleId="963" w:customStyle="1">
    <w:name w:val="_正文段落 Char"/>
    <w:link w:val="964"/>
    <w:uiPriority w:val="0"/>
    <w:qFormat/>
    <w:rPr>
      <w:rFonts w:ascii="宋体" w:hAnsi="宋体"/>
      <w:sz w:val="24"/>
      <w:szCs w:val="24"/>
    </w:rPr>
  </w:style>
  <w:style w:type="paragraph" w:styleId="964" w:customStyle="1">
    <w:name w:val="_正文段落"/>
    <w:basedOn w:val="718"/>
    <w:link w:val="963"/>
    <w:uiPriority w:val="0"/>
    <w:qFormat/>
    <w:pPr>
      <w:ind w:firstLine="480"/>
      <w:spacing w:line="360" w:lineRule="auto"/>
    </w:pPr>
    <w:rPr>
      <w:rFonts w:ascii="宋体" w:hAnsi="宋体" w:eastAsia="宋体"/>
      <w:sz w:val="24"/>
      <w:szCs w:val="24"/>
    </w:rPr>
  </w:style>
  <w:style w:type="character" w:styleId="965" w:customStyle="1">
    <w:name w:val="ca-221"/>
    <w:uiPriority w:val="0"/>
    <w:qFormat/>
    <w:rPr>
      <w:rFonts w:hint="eastAsia" w:ascii="宋体" w:hAnsi="宋体" w:eastAsia="宋体"/>
      <w:color w:val="ff0000"/>
      <w:sz w:val="24"/>
      <w:szCs w:val="24"/>
    </w:rPr>
  </w:style>
  <w:style w:type="character" w:styleId="966" w:customStyle="1">
    <w:name w:val="正文缩进 Char"/>
    <w:link w:val="734"/>
    <w:uiPriority w:val="0"/>
    <w:qFormat/>
    <w:rPr>
      <w:rFonts w:eastAsia="楷体_GB2312"/>
      <w:sz w:val="24"/>
      <w:lang w:val="en-US" w:eastAsia="zh-CN" w:bidi="ar-SA"/>
    </w:rPr>
  </w:style>
  <w:style w:type="character" w:styleId="967" w:customStyle="1">
    <w:name w:val="正文文本缩进 2 Char"/>
    <w:link w:val="750"/>
    <w:uiPriority w:val="0"/>
    <w:qFormat/>
    <w:rPr>
      <w:rFonts w:ascii="宋体"/>
      <w:b/>
      <w:bCs/>
      <w:sz w:val="24"/>
    </w:rPr>
  </w:style>
  <w:style w:type="character" w:styleId="968" w:customStyle="1">
    <w:name w:val="尾注文本 Char"/>
    <w:link w:val="751"/>
    <w:uiPriority w:val="0"/>
    <w:qFormat/>
    <w:rPr>
      <w:rFonts w:eastAsia="楷体_GB2312"/>
      <w:sz w:val="26"/>
    </w:rPr>
  </w:style>
  <w:style w:type="character" w:styleId="969" w:customStyle="1">
    <w:name w:val="font51"/>
    <w:uiPriority w:val="0"/>
    <w:qFormat/>
    <w:rPr>
      <w:rFonts w:hint="eastAsia" w:ascii="宋体" w:hAnsi="宋体" w:eastAsia="宋体" w:cs="宋体"/>
      <w:color w:val="000000"/>
      <w:sz w:val="16"/>
      <w:szCs w:val="16"/>
      <w:u w:val="none"/>
    </w:rPr>
  </w:style>
  <w:style w:type="character" w:styleId="970" w:customStyle="1">
    <w:name w:val="副标题 Char"/>
    <w:link w:val="760"/>
    <w:uiPriority w:val="0"/>
    <w:qFormat/>
    <w:rPr>
      <w:rFonts w:ascii="Arial" w:hAnsi="Arial" w:cs="Arial"/>
      <w:b/>
      <w:bCs/>
      <w:sz w:val="32"/>
      <w:szCs w:val="32"/>
    </w:rPr>
  </w:style>
  <w:style w:type="character" w:styleId="971" w:customStyle="1">
    <w:name w:val="font61"/>
    <w:uiPriority w:val="0"/>
    <w:qFormat/>
    <w:rPr>
      <w:rFonts w:hint="eastAsia" w:ascii="宋体" w:hAnsi="宋体" w:eastAsia="宋体" w:cs="宋体"/>
      <w:color w:val="000000"/>
      <w:sz w:val="20"/>
      <w:szCs w:val="20"/>
      <w:u w:val="none"/>
    </w:rPr>
  </w:style>
  <w:style w:type="character" w:styleId="972" w:customStyle="1">
    <w:name w:val="font11"/>
    <w:uiPriority w:val="0"/>
    <w:qFormat/>
    <w:rPr>
      <w:rFonts w:hint="eastAsia" w:ascii="微软雅黑" w:hAnsi="微软雅黑" w:eastAsia="微软雅黑" w:cs="微软雅黑"/>
      <w:color w:val="000000"/>
      <w:sz w:val="18"/>
      <w:szCs w:val="18"/>
      <w:u w:val="none"/>
    </w:rPr>
  </w:style>
  <w:style w:type="character" w:styleId="973" w:customStyle="1">
    <w:name w:val="fontstyle01"/>
    <w:uiPriority w:val="0"/>
    <w:qFormat/>
    <w:rPr>
      <w:rFonts w:hint="eastAsia" w:ascii="宋体" w:hAnsi="宋体" w:eastAsia="宋体"/>
      <w:color w:val="000000"/>
      <w:sz w:val="22"/>
      <w:szCs w:val="22"/>
    </w:rPr>
  </w:style>
  <w:style w:type="character" w:styleId="974" w:customStyle="1">
    <w:name w:val="纯文本 Char"/>
    <w:link w:val="746"/>
    <w:uiPriority w:val="0"/>
    <w:qFormat/>
    <w:rPr>
      <w:rFonts w:ascii="宋体" w:hAnsi="Courier New" w:eastAsia="楷体_GB2312"/>
      <w:sz w:val="26"/>
      <w:lang w:val="en-US" w:eastAsia="zh-CN" w:bidi="ar-SA"/>
    </w:rPr>
  </w:style>
  <w:style w:type="character" w:styleId="975" w:customStyle="1">
    <w:name w:val="font112"/>
    <w:uiPriority w:val="0"/>
    <w:qFormat/>
    <w:rPr>
      <w:rFonts w:hint="eastAsia" w:ascii="宋体" w:hAnsi="宋体" w:eastAsia="宋体" w:cs="宋体"/>
      <w:color w:val="000000"/>
      <w:sz w:val="16"/>
      <w:szCs w:val="16"/>
      <w:u w:val="none"/>
    </w:rPr>
  </w:style>
  <w:style w:type="character" w:styleId="976" w:customStyle="1">
    <w:name w:val="font41"/>
    <w:uiPriority w:val="0"/>
    <w:qFormat/>
    <w:rPr>
      <w:rFonts w:ascii="宋体" w:hAnsi="宋体" w:eastAsia="宋体" w:cs="宋体"/>
      <w:b/>
      <w:color w:val="000000"/>
      <w:sz w:val="18"/>
      <w:szCs w:val="18"/>
      <w:u w:val="none"/>
    </w:rPr>
  </w:style>
  <w:style w:type="character" w:styleId="977" w:customStyle="1">
    <w:name w:val="font31"/>
    <w:uiPriority w:val="0"/>
    <w:qFormat/>
    <w:rPr>
      <w:rFonts w:hint="default" w:ascii="Tahoma" w:hAnsi="Tahoma" w:eastAsia="Tahoma" w:cs="Tahoma"/>
      <w:color w:val="000000"/>
      <w:sz w:val="22"/>
      <w:szCs w:val="22"/>
      <w:u w:val="none"/>
    </w:rPr>
  </w:style>
  <w:style w:type="character" w:styleId="978" w:customStyle="1">
    <w:name w:val="标题 3 Char"/>
    <w:link w:val="721"/>
    <w:uiPriority w:val="0"/>
    <w:qFormat/>
    <w:rPr>
      <w:rFonts w:hint="eastAsia" w:ascii="楷体_GB2312" w:eastAsia="楷体_GB2312" w:cs="楷体_GB2312"/>
      <w:b/>
      <w:sz w:val="32"/>
      <w:szCs w:val="32"/>
    </w:rPr>
  </w:style>
  <w:style w:type="paragraph" w:styleId="979" w:customStyle="1">
    <w:name w:val="font6"/>
    <w:basedOn w:val="718"/>
    <w:uiPriority w:val="0"/>
    <w:qFormat/>
    <w:pPr>
      <w:jc w:val="left"/>
      <w:spacing w:before="100" w:beforeAutospacing="1" w:after="100" w:afterAutospacing="1"/>
      <w:widowControl/>
    </w:pPr>
    <w:rPr>
      <w:rFonts w:hint="eastAsia" w:ascii="宋体" w:hAnsi="宋体" w:eastAsia="宋体" w:cs="Arial Unicode MS"/>
      <w:b/>
      <w:bCs/>
      <w:sz w:val="18"/>
      <w:szCs w:val="18"/>
    </w:rPr>
  </w:style>
  <w:style w:type="paragraph" w:styleId="980" w:customStyle="1">
    <w:name w:val="xl50"/>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81" w:customStyle="1">
    <w:name w:val="列表段落1"/>
    <w:basedOn w:val="718"/>
    <w:uiPriority w:val="34"/>
    <w:qFormat/>
    <w:pPr>
      <w:ind w:firstLine="420"/>
    </w:pPr>
  </w:style>
  <w:style w:type="paragraph" w:styleId="982" w:customStyle="1">
    <w:name w:val="xl53"/>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3" w:customStyle="1">
    <w:name w:val="正文1"/>
    <w:next w:val="718"/>
    <w:uiPriority w:val="0"/>
    <w:qFormat/>
    <w:pPr>
      <w:ind w:firstLine="200"/>
      <w:jc w:val="both"/>
      <w:widowControl w:val="off"/>
    </w:pPr>
    <w:rPr>
      <w:rFonts w:hint="default" w:ascii="Times New Roman" w:hAnsi="Times New Roman" w:eastAsia="仿宋_GB2312" w:cs="Times New Roman"/>
      <w:sz w:val="24"/>
      <w:lang w:val="en-US" w:eastAsia="zh-CN" w:bidi="ar-SA"/>
    </w:rPr>
  </w:style>
  <w:style w:type="paragraph" w:styleId="984" w:customStyle="1">
    <w:name w:val="xl56"/>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5" w:customStyle="1">
    <w:name w:val="xl61"/>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86" w:customStyle="1">
    <w:name w:val="Char"/>
    <w:basedOn w:val="718"/>
    <w:uiPriority w:val="0"/>
    <w:qFormat/>
    <w:rPr>
      <w:rFonts w:ascii="Tahoma" w:hAnsi="Tahoma" w:eastAsia="宋体"/>
      <w:sz w:val="24"/>
    </w:rPr>
  </w:style>
  <w:style w:type="paragraph" w:styleId="987" w:customStyle="1">
    <w:name w:val="xl51"/>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88" w:customStyle="1">
    <w:name w:val="列出段落1"/>
    <w:basedOn w:val="718"/>
    <w:uiPriority w:val="34"/>
    <w:qFormat/>
    <w:pPr>
      <w:ind w:firstLine="420"/>
    </w:pPr>
    <w:rPr>
      <w:rFonts w:ascii="Calibri" w:hAnsi="Calibri" w:eastAsia="宋体"/>
      <w:sz w:val="21"/>
      <w:szCs w:val="22"/>
    </w:rPr>
  </w:style>
  <w:style w:type="paragraph" w:styleId="989" w:customStyle="1">
    <w:name w:val="xl66"/>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90" w:customStyle="1">
    <w:name w:val="xl57"/>
    <w:basedOn w:val="71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91" w:customStyle="1">
    <w:name w:val="纯文本4"/>
    <w:basedOn w:val="718"/>
    <w:uiPriority w:val="0"/>
    <w:qFormat/>
    <w:rPr>
      <w:rFonts w:ascii="宋体" w:hAnsi="Courier New"/>
    </w:rPr>
  </w:style>
  <w:style w:type="paragraph" w:styleId="992">
    <w:name w:val="List Paragraph"/>
    <w:basedOn w:val="718"/>
    <w:uiPriority w:val="34"/>
    <w:qFormat/>
    <w:pPr>
      <w:spacing w:line="360" w:lineRule="auto"/>
      <w:framePr w:hSpace="180" w:wrap="around" w:vAnchor="text" w:hAnchor="page" w:x="1780" w:y="85"/>
    </w:pPr>
    <w:rPr>
      <w:rFonts w:eastAsia="宋体"/>
      <w:sz w:val="21"/>
      <w:szCs w:val="24"/>
    </w:rPr>
  </w:style>
  <w:style w:type="paragraph" w:styleId="993" w:customStyle="1">
    <w:name w:val="Char1"/>
    <w:basedOn w:val="718"/>
    <w:uiPriority w:val="0"/>
    <w:qFormat/>
    <w:pPr>
      <w:jc w:val="left"/>
      <w:spacing w:after="160" w:line="240" w:lineRule="exact"/>
      <w:widowControl/>
    </w:pPr>
    <w:rPr>
      <w:rFonts w:ascii="Verdana" w:hAnsi="Verdana" w:eastAsia="仿宋_GB2312"/>
      <w:sz w:val="24"/>
      <w:lang w:eastAsia="en-US"/>
    </w:rPr>
  </w:style>
  <w:style w:type="paragraph" w:styleId="994" w:customStyle="1">
    <w:name w:val="xl49"/>
    <w:basedOn w:val="718"/>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995" w:customStyle="1">
    <w:name w:val="首行缩进"/>
    <w:basedOn w:val="718"/>
    <w:uiPriority w:val="0"/>
    <w:qFormat/>
    <w:pPr>
      <w:ind w:firstLine="480"/>
    </w:pPr>
    <w:rPr>
      <w:lang w:val="zh-CN"/>
    </w:rPr>
  </w:style>
  <w:style w:type="paragraph" w:styleId="996" w:customStyle="1">
    <w:name w:val="xl63"/>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997" w:customStyle="1">
    <w:name w:val="xl45"/>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98" w:customStyle="1">
    <w:name w:val="正文首行缩进两字符"/>
    <w:basedOn w:val="718"/>
    <w:uiPriority w:val="0"/>
    <w:qFormat/>
    <w:pPr>
      <w:ind w:firstLine="200"/>
      <w:spacing w:line="360" w:lineRule="auto"/>
    </w:pPr>
    <w:rPr>
      <w:rFonts w:eastAsia="宋体"/>
      <w:sz w:val="21"/>
      <w:szCs w:val="24"/>
    </w:rPr>
  </w:style>
  <w:style w:type="paragraph" w:styleId="999" w:customStyle="1">
    <w:name w:val="xl60"/>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00" w:customStyle="1">
    <w:name w:val="xl59"/>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01" w:customStyle="1">
    <w:name w:val="Default Paragraph Font Para Char"/>
    <w:basedOn w:val="718"/>
    <w:uiPriority w:val="0"/>
    <w:semiHidden/>
    <w:qFormat/>
    <w:pPr>
      <w:jc w:val="left"/>
      <w:spacing w:after="160" w:line="240" w:lineRule="exact"/>
      <w:widowControl/>
    </w:pPr>
    <w:rPr>
      <w:rFonts w:ascii="Verdana" w:hAnsi="Verdana" w:eastAsia="宋体"/>
      <w:sz w:val="20"/>
      <w:lang w:eastAsia="en-US"/>
    </w:rPr>
  </w:style>
  <w:style w:type="paragraph" w:styleId="1002" w:customStyle="1">
    <w:name w:val="List Paragraph1"/>
    <w:basedOn w:val="718"/>
    <w:uiPriority w:val="0"/>
    <w:qFormat/>
    <w:pPr>
      <w:ind w:firstLine="420"/>
    </w:pPr>
    <w:rPr>
      <w:rFonts w:ascii="Calibri" w:hAnsi="Calibri" w:eastAsia="宋体"/>
      <w:sz w:val="21"/>
      <w:szCs w:val="22"/>
    </w:rPr>
  </w:style>
  <w:style w:type="paragraph" w:styleId="1003" w:customStyle="1">
    <w:name w:val="xl54"/>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04" w:customStyle="1">
    <w:name w:val="正文 A A"/>
    <w:uiPriority w:val="0"/>
    <w:qFormat/>
    <w:pPr>
      <w:jc w:val="both"/>
      <w:widowControl w:val="off"/>
    </w:pPr>
    <w:rPr>
      <w:rFonts w:hint="default" w:ascii="Arial Unicode MS" w:hAnsi="Arial Unicode MS" w:eastAsia="Arial Unicode MS" w:cs="Arial Unicode MS"/>
      <w:color w:val="000000"/>
      <w:sz w:val="21"/>
      <w:szCs w:val="21"/>
      <w:lang w:val="en-US" w:eastAsia="zh-CN" w:bidi="ar-SA"/>
    </w:rPr>
  </w:style>
  <w:style w:type="paragraph" w:styleId="1005" w:customStyle="1">
    <w:name w:val="xl52"/>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06" w:customStyle="1">
    <w:name w:val="Body 1"/>
    <w:uiPriority w:val="0"/>
    <w:qFormat/>
    <w:rPr>
      <w:rFonts w:hint="default" w:ascii="Helvetica" w:hAnsi="Helvetica" w:eastAsia="Arial Unicode MS" w:cs="Times New Roman"/>
      <w:color w:val="000000"/>
      <w:sz w:val="24"/>
      <w:lang w:val="en-US" w:eastAsia="zh-CN" w:bidi="ar-SA"/>
    </w:rPr>
  </w:style>
  <w:style w:type="paragraph" w:styleId="1007" w:customStyle="1">
    <w:name w:val="xl47"/>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08" w:customStyle="1">
    <w:name w:val="小四 段落 宋体 Char"/>
    <w:basedOn w:val="733"/>
    <w:uiPriority w:val="0"/>
    <w:qFormat/>
    <w:pPr>
      <w:ind w:left="0" w:right="-33" w:firstLine="480"/>
      <w:jc w:val="left"/>
      <w:spacing w:line="360" w:lineRule="auto"/>
      <w:tabs>
        <w:tab w:val="clear" w:pos="1125" w:leader="none"/>
      </w:tabs>
    </w:pPr>
    <w:rPr>
      <w:sz w:val="24"/>
    </w:rPr>
  </w:style>
  <w:style w:type="paragraph" w:styleId="1009" w:customStyle="1">
    <w:name w:val="xl58"/>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10" w:customStyle="1">
    <w:name w:val="小四 段落 宋体 Char Char Char Char Char Char Char"/>
    <w:basedOn w:val="733"/>
    <w:uiPriority w:val="0"/>
    <w:semiHidden/>
    <w:qFormat/>
    <w:pPr>
      <w:ind w:left="0" w:right="-33" w:firstLine="545"/>
      <w:jc w:val="left"/>
      <w:spacing w:line="360" w:lineRule="auto"/>
      <w:tabs>
        <w:tab w:val="clear" w:pos="1125" w:leader="none"/>
      </w:tabs>
    </w:pPr>
    <w:rPr>
      <w:sz w:val="24"/>
    </w:rPr>
  </w:style>
  <w:style w:type="paragraph" w:styleId="1011" w:customStyle="1">
    <w:name w:val="Char Char Char"/>
    <w:basedOn w:val="718"/>
    <w:uiPriority w:val="0"/>
    <w:qFormat/>
    <w:rPr>
      <w:rFonts w:ascii="Tahoma" w:hAnsi="Tahoma" w:eastAsia="宋体"/>
      <w:sz w:val="24"/>
    </w:rPr>
  </w:style>
  <w:style w:type="paragraph" w:styleId="1012" w:customStyle="1">
    <w:name w:val="纯文本1"/>
    <w:basedOn w:val="718"/>
    <w:uiPriority w:val="0"/>
    <w:qFormat/>
    <w:pPr>
      <w:ind w:firstLine="520"/>
      <w:jc w:val="right"/>
      <w:spacing w:line="360" w:lineRule="auto"/>
    </w:pPr>
    <w:rPr>
      <w:rFonts w:ascii="宋体" w:hAnsi="Courier New"/>
    </w:rPr>
  </w:style>
  <w:style w:type="paragraph" w:styleId="1013" w:customStyle="1">
    <w:name w:val="xl64"/>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14" w:customStyle="1">
    <w:name w:val="xl55"/>
    <w:basedOn w:val="71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15" w:customStyle="1">
    <w:name w:val="xl46"/>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16" w:customStyle="1">
    <w:name w:val="xl62"/>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17" w:customStyle="1">
    <w:name w:val="xl48"/>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18" w:customStyle="1">
    <w:name w:val="_Style 30"/>
    <w:basedOn w:val="718"/>
    <w:next w:val="746"/>
    <w:uiPriority w:val="0"/>
    <w:qFormat/>
    <w:rPr>
      <w:rFonts w:ascii="宋体" w:hAnsi="Courier New"/>
    </w:rPr>
  </w:style>
  <w:style w:type="paragraph" w:styleId="1019" w:customStyle="1">
    <w:name w:val="小四 段落 宋体 Char Char Char Char Char Char"/>
    <w:basedOn w:val="1010"/>
    <w:uiPriority w:val="0"/>
    <w:qFormat/>
    <w:pPr>
      <w:ind w:firstLine="480"/>
    </w:pPr>
    <w:rPr>
      <w:rFonts w:ascii="宋体" w:hAnsi="宋体"/>
    </w:rPr>
  </w:style>
  <w:style w:type="paragraph" w:styleId="1020" w:customStyle="1">
    <w:name w:val="font5"/>
    <w:basedOn w:val="718"/>
    <w:uiPriority w:val="0"/>
    <w:qFormat/>
    <w:pPr>
      <w:jc w:val="left"/>
      <w:spacing w:before="100" w:beforeAutospacing="1" w:after="100" w:afterAutospacing="1"/>
      <w:widowControl/>
    </w:pPr>
    <w:rPr>
      <w:rFonts w:hint="eastAsia" w:ascii="宋体" w:hAnsi="宋体" w:eastAsia="宋体"/>
      <w:sz w:val="18"/>
      <w:szCs w:val="18"/>
    </w:rPr>
  </w:style>
  <w:style w:type="paragraph" w:styleId="1021" w:customStyle="1">
    <w:name w:val="style1"/>
    <w:basedOn w:val="718"/>
    <w:uiPriority w:val="0"/>
    <w:qFormat/>
    <w:pPr>
      <w:jc w:val="left"/>
      <w:spacing w:before="100" w:beforeAutospacing="1" w:after="100" w:afterAutospacing="1"/>
      <w:widowControl/>
    </w:pPr>
    <w:rPr>
      <w:rFonts w:ascii="宋体" w:hAnsi="宋体" w:eastAsia="宋体" w:cs="宋体"/>
      <w:sz w:val="24"/>
      <w:szCs w:val="24"/>
    </w:rPr>
  </w:style>
  <w:style w:type="paragraph" w:styleId="1022" w:customStyle="1">
    <w:name w:val="xl65"/>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23" w:customStyle="1">
    <w:name w:val="p0"/>
    <w:basedOn w:val="718"/>
    <w:uiPriority w:val="0"/>
    <w:qFormat/>
    <w:pPr>
      <w:jc w:val="left"/>
      <w:widowControl/>
    </w:pPr>
    <w:rPr>
      <w:rFonts w:eastAsia="宋体"/>
      <w:sz w:val="24"/>
      <w:szCs w:val="24"/>
    </w:rPr>
  </w:style>
  <w:style w:type="paragraph" w:styleId="1024" w:customStyle="1">
    <w:name w:val="正文2"/>
    <w:uiPriority w:val="0"/>
    <w:qFormat/>
    <w:pPr>
      <w:jc w:val="both"/>
    </w:pPr>
    <w:rPr>
      <w:rFonts w:hint="default" w:ascii="Times New Roman" w:hAnsi="Times New Roman" w:eastAsia="宋体" w:cs="Times New Roman"/>
      <w:sz w:val="21"/>
      <w:szCs w:val="21"/>
      <w:lang w:val="en-US" w:eastAsia="zh-CN" w:bidi="ar-SA"/>
    </w:rPr>
  </w:style>
  <w:style w:type="character" w:styleId="1025" w:customStyle="1">
    <w:name w:val="font21"/>
    <w:basedOn w:val="728"/>
    <w:uiPriority w:val="0"/>
    <w:qFormat/>
    <w:rPr>
      <w:rFonts w:hint="eastAsia" w:ascii="MingLiU" w:hAnsi="MingLiU" w:eastAsia="MingLiU" w:cs="MingLiU"/>
      <w:b/>
      <w:bCs/>
      <w:color w:val="000000"/>
      <w:sz w:val="18"/>
      <w:szCs w:val="18"/>
      <w:u w:val="none"/>
    </w:rPr>
  </w:style>
  <w:style w:type="paragraph" w:styleId="1026" w:customStyle="1">
    <w:name w:val="表格文字"/>
    <w:basedOn w:val="741"/>
    <w:next w:val="740"/>
    <w:uiPriority w:val="0"/>
    <w:qFormat/>
    <w:pPr>
      <w:ind w:left="0"/>
    </w:pPr>
    <w:rPr>
      <w:rFonts w:ascii="Times New Roman" w:hAnsi="Times New Roman"/>
      <w:bCs/>
      <w:spacing w:val="10"/>
    </w:rPr>
  </w:style>
  <w:style w:type="paragraph" w:styleId="1027" w:customStyle="1">
    <w:name w:val="标准文件_标准正文"/>
    <w:basedOn w:val="718"/>
    <w:next w:val="1028"/>
    <w:uiPriority w:val="0"/>
    <w:qFormat/>
    <w:pPr>
      <w:ind w:firstLine="200"/>
      <w:spacing w:line="400" w:lineRule="exact"/>
    </w:pPr>
    <w:rPr>
      <w:rFonts w:eastAsia="宋体"/>
    </w:rPr>
  </w:style>
  <w:style w:type="paragraph" w:styleId="1028" w:customStyle="1">
    <w:name w:val="标准文件_段"/>
    <w:uiPriority w:val="0"/>
    <w:qFormat/>
    <w:pPr>
      <w:ind w:firstLine="200"/>
      <w:jc w:val="both"/>
    </w:pPr>
    <w:rPr>
      <w:rFonts w:hint="default" w:ascii="宋体" w:hAnsi="Times New Roman" w:eastAsia="宋体" w:cs="Times New Roman"/>
      <w:sz w:val="21"/>
      <w:lang w:val="en-US" w:eastAsia="zh-CN" w:bidi="ar-SA"/>
    </w:rPr>
  </w:style>
  <w:style w:type="paragraph" w:styleId="1029"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1030" w:customStyle="1">
    <w:name w:val="Table Paragraph"/>
    <w:basedOn w:val="718"/>
    <w:uiPriority w:val="1"/>
    <w:qFormat/>
    <w:rPr>
      <w:rFonts w:ascii="宋体" w:hAnsi="宋体" w:eastAsia="宋体" w:cs="宋体"/>
    </w:rPr>
  </w:style>
  <w:style w:type="character" w:styleId="1031" w:customStyle="1">
    <w:name w:val="标题 Char"/>
    <w:basedOn w:val="728"/>
    <w:link w:val="774"/>
    <w:uiPriority w:val="0"/>
    <w:qFormat/>
    <w:rPr>
      <w:rFonts w:asciiTheme="majorHAnsi" w:hAnsiTheme="majorHAnsi" w:eastAsiaTheme="majorEastAsia" w:cstheme="majorBidi"/>
      <w:b/>
      <w:bCs/>
      <w:sz w:val="32"/>
      <w:szCs w:val="32"/>
    </w:rPr>
  </w:style>
  <w:style w:type="paragraph" w:styleId="1032" w:customStyle="1">
    <w:name w:val="修订1"/>
    <w:hidden/>
    <w:uiPriority w:val="99"/>
    <w:unhideWhenUsed/>
    <w:qFormat/>
    <w:rPr>
      <w:rFonts w:hint="default" w:ascii="Times New Roman" w:hAnsi="Times New Roman" w:eastAsia="楷体_GB2312" w:cs="Times New Roman"/>
      <w:sz w:val="26"/>
      <w:lang w:val="en-US" w:eastAsia="zh-CN" w:bidi="ar-SA"/>
    </w:rPr>
  </w:style>
  <w:style w:type="paragraph" w:styleId="1033" w:customStyle="1">
    <w:name w:val="正文 A"/>
    <w:uiPriority w:val="0"/>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1034" w:customStyle="1">
    <w:name w:val="null3"/>
    <w:hidden/>
    <w:uiPriority w:val="0"/>
    <w:qFormat/>
    <w:rPr>
      <w:rFonts w:hint="eastAsia" w:asciiTheme="minorHAnsi" w:hAnsiTheme="minorHAnsi" w:eastAsiaTheme="minorEastAsia" w:cstheme="minorBidi"/>
      <w:lang w:val="en-US" w:eastAsia="zh-CN" w:bidi="ar-SA"/>
    </w:rPr>
  </w:style>
  <w:style w:type="character" w:styleId="1035" w:customStyle="1">
    <w:name w:val="NormalCharacter"/>
    <w:uiPriority w:val="0"/>
    <w:semiHidden/>
    <w:qFormat/>
  </w:style>
  <w:style w:type="paragraph" w:styleId="1036" w:customStyle="1">
    <w:name w:val="UserStyle_13"/>
    <w:basedOn w:val="718"/>
    <w:uiPriority w:val="0"/>
    <w:qFormat/>
    <w:pPr>
      <w:ind w:firstLine="420"/>
      <w:widowControl/>
    </w:pPr>
    <w:rPr>
      <w:rFonts w:ascii="宋体"/>
      <w:sz w:val="24"/>
    </w:rPr>
  </w:style>
  <w:style w:type="paragraph" w:styleId="1037" w:customStyle="1">
    <w:name w:val="正文缩进111"/>
    <w:basedOn w:val="718"/>
    <w:next w:val="718"/>
    <w:uiPriority w:val="0"/>
    <w:qFormat/>
    <w:pPr>
      <w:ind w:firstLine="420"/>
      <w:jc w:val="left"/>
    </w:pPr>
    <w:rPr>
      <w:sz w:val="24"/>
    </w:rPr>
  </w:style>
  <w:style w:type="paragraph" w:styleId="1038" w:customStyle="1">
    <w:name w:val="正文文本缩进1"/>
    <w:basedOn w:val="1039"/>
    <w:next w:val="718"/>
    <w:uiPriority w:val="0"/>
    <w:qFormat/>
    <w:pPr>
      <w:ind w:left="420" w:firstLine="3584"/>
      <w:spacing w:before="0" w:after="120" w:line="240" w:lineRule="auto"/>
    </w:pPr>
  </w:style>
  <w:style w:type="paragraph" w:styleId="1039" w:customStyle="1">
    <w:name w:val="标题 11"/>
    <w:basedOn w:val="718"/>
    <w:next w:val="718"/>
    <w:uiPriority w:val="0"/>
    <w:qFormat/>
    <w:pPr>
      <w:keepLines/>
      <w:keepNext/>
      <w:spacing w:before="340" w:after="330" w:line="578" w:lineRule="auto"/>
      <w:outlineLvl w:val="0"/>
    </w:pPr>
    <w:rPr>
      <w:b/>
      <w:sz w:val="44"/>
    </w:rPr>
  </w:style>
  <w:style w:type="numbering" w:styleId="136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58B5F4E-3DF3-49B4-A59D-9A60FE3B1767}"/>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user</dc:creator>
  <cp:lastModifiedBy>王雨</cp:lastModifiedBy>
  <cp:revision>12</cp:revision>
  <dcterms:created xsi:type="dcterms:W3CDTF">2024-09-23T03:14:00Z</dcterms:created>
  <dcterms:modified xsi:type="dcterms:W3CDTF">2026-07-24T08:57:58Z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B73F5976A6B649ED99C8F37D6C0E7EA3_13</vt:lpwstr>
  </property>
  <property fmtid="{D5CDD505-2E9C-101B-9397-08002B2CF9AE}" pid="4" name="KSOTemplateDocerSaveRecord">
    <vt:lpwstr>eyJoZGlkIjoiNmUyNmIwMjE0NjBmNzVjMDkwYjM4OTAxNWQ2ZjYxMzEiLCJ1c2VySWQiOiI0MTQ1MjkwNzEifQ==</vt:lpwstr>
  </property>
</Properties>
</file>