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8"/>
        <w:jc w:val="center"/>
        <w:spacing w:line="360" w:lineRule="auto"/>
        <w:rPr>
          <w:rFonts w:hint="eastAsia" w:ascii="黑体" w:hAnsi="黑体" w:eastAsia="黑体" w:cs="Times New Roman"/>
          <w:bCs/>
          <w:color w:val="auto"/>
          <w:sz w:val="48"/>
          <w:szCs w:val="48"/>
          <w:highlight w:val="none"/>
          <w:lang w:eastAsia="zh-CN"/>
        </w:rPr>
      </w:pPr>
      <w:r>
        <w:rPr>
          <w:rFonts w:hint="eastAsia" w:ascii="黑体" w:hAnsi="黑体" w:eastAsia="黑体" w:cs="Times New Roman"/>
          <w:bCs/>
          <w:color w:val="auto"/>
          <w:sz w:val="48"/>
          <w:szCs w:val="48"/>
          <w:highlight w:val="none"/>
          <w:lang w:eastAsia="zh-CN"/>
        </w:rPr>
        <w:t xml:space="preserve">科普教育中心提升项目</w:t>
      </w:r>
      <w:r/>
    </w:p>
    <w:p>
      <w:pPr>
        <w:pStyle w:val="888"/>
        <w:jc w:val="center"/>
        <w:spacing w:line="360" w:lineRule="auto"/>
        <w:rPr>
          <w:rFonts w:hint="eastAsia" w:ascii="黑体" w:hAnsi="黑体" w:eastAsia="黑体"/>
          <w:color w:val="auto"/>
          <w:sz w:val="84"/>
          <w:szCs w:val="84"/>
          <w:highlight w:val="none"/>
        </w:rPr>
      </w:pPr>
      <w:r>
        <w:rPr>
          <w:rFonts w:hint="eastAsia" w:ascii="黑体" w:hAnsi="黑体" w:eastAsia="黑体"/>
          <w:color w:val="auto"/>
          <w:sz w:val="84"/>
          <w:szCs w:val="84"/>
          <w:highlight w:val="none"/>
        </w:rPr>
      </w:r>
      <w:r/>
    </w:p>
    <w:p>
      <w:pPr>
        <w:pStyle w:val="888"/>
        <w:jc w:val="center"/>
        <w:spacing w:line="360" w:lineRule="auto"/>
        <w:rPr>
          <w:rFonts w:hint="eastAsia" w:ascii="黑体" w:hAnsi="黑体" w:eastAsia="黑体" w:cs="Times New Roman"/>
          <w:color w:val="auto"/>
          <w:sz w:val="84"/>
          <w:szCs w:val="84"/>
          <w:highlight w:val="none"/>
        </w:rPr>
      </w:pPr>
      <w:r>
        <w:rPr>
          <w:rFonts w:hint="eastAsia" w:ascii="黑体" w:hAnsi="黑体" w:eastAsia="黑体"/>
          <w:color w:val="auto"/>
          <w:sz w:val="84"/>
          <w:szCs w:val="84"/>
          <w:highlight w:val="none"/>
        </w:rPr>
        <w:t xml:space="preserve">竞争性磋商文件</w:t>
      </w:r>
      <w:r/>
    </w:p>
    <w:p>
      <w:pPr>
        <w:pStyle w:val="888"/>
        <w:jc w:val="center"/>
        <w:spacing w:line="360" w:lineRule="auto"/>
        <w:rPr>
          <w:rFonts w:hint="eastAsia" w:ascii="黑体" w:hAnsi="黑体" w:eastAsia="黑体" w:cs="Times New Roman"/>
          <w:color w:val="auto"/>
          <w:sz w:val="52"/>
          <w:szCs w:val="52"/>
          <w:highlight w:val="none"/>
        </w:rPr>
      </w:pPr>
      <w:r>
        <w:rPr>
          <w:rFonts w:hint="eastAsia" w:ascii="黑体" w:hAnsi="黑体" w:eastAsia="黑体" w:cs="Times New Roman"/>
          <w:color w:val="auto"/>
          <w:sz w:val="52"/>
          <w:szCs w:val="52"/>
          <w:highlight w:val="none"/>
        </w:rPr>
        <w:t xml:space="preserve">工程类</w:t>
      </w:r>
      <w:r/>
    </w:p>
    <w:p>
      <w:pPr>
        <w:pStyle w:val="888"/>
        <w:spacing w:before="240" w:after="240" w:line="360" w:lineRule="auto"/>
        <w:rPr>
          <w:rFonts w:ascii="黑体" w:hAnsi="黑体" w:eastAsia="黑体" w:cs="Times New Roman"/>
          <w:color w:val="auto"/>
          <w:sz w:val="52"/>
          <w:szCs w:val="52"/>
          <w:highlight w:val="none"/>
        </w:rPr>
      </w:pPr>
      <w:r>
        <w:rPr>
          <w:rFonts w:ascii="黑体" w:hAnsi="黑体" w:eastAsia="黑体" w:cs="Times New Roman"/>
          <w:color w:val="auto"/>
          <w:sz w:val="52"/>
          <w:szCs w:val="52"/>
          <w:highlight w:val="none"/>
        </w:rPr>
      </w:r>
      <w:r/>
    </w:p>
    <w:p>
      <w:pPr>
        <w:ind w:firstLine="2241"/>
        <w:rPr>
          <w:rFonts w:ascii="宋体" w:hAnsi="宋体" w:cs="宋体"/>
          <w:b/>
          <w:bCs/>
          <w:color w:val="auto"/>
          <w:sz w:val="32"/>
          <w:szCs w:val="32"/>
          <w:highlight w:val="none"/>
          <w:lang w:eastAsia="zh-CN"/>
        </w:rPr>
      </w:pPr>
      <w:r>
        <w:rPr>
          <w:rFonts w:hint="eastAsia" w:ascii="宋体" w:hAnsi="宋体" w:cs="宋体"/>
          <w:b/>
          <w:bCs/>
          <w:color w:val="auto"/>
          <w:sz w:val="32"/>
          <w:szCs w:val="32"/>
          <w:highlight w:val="none"/>
          <w:lang w:eastAsia="zh-CN"/>
        </w:rPr>
        <w:t xml:space="preserve">采购编号：JSZC-320000-JSDZ-C2026-0049</w:t>
      </w:r>
      <w:r/>
    </w:p>
    <w:p>
      <w:pPr>
        <w:ind w:left="640" w:firstLine="1281"/>
        <w:rPr>
          <w:rFonts w:ascii="宋体" w:hAnsi="宋体" w:cs="宋体"/>
          <w:b/>
          <w:bCs/>
          <w:color w:val="auto"/>
          <w:sz w:val="32"/>
          <w:szCs w:val="32"/>
          <w:highlight w:val="none"/>
          <w:lang w:eastAsia="zh-CN"/>
        </w:rPr>
      </w:pPr>
      <w:r>
        <w:rPr>
          <w:rFonts w:ascii="宋体" w:hAnsi="宋体" w:cs="宋体"/>
          <w:b/>
          <w:bCs/>
          <w:color w:val="auto"/>
          <w:sz w:val="32"/>
          <w:szCs w:val="32"/>
          <w:highlight w:val="none"/>
          <w:lang w:eastAsia="zh-CN"/>
        </w:rPr>
      </w:r>
      <w:r/>
    </w:p>
    <w:p>
      <w:pPr>
        <w:ind w:left="640" w:firstLine="1601"/>
        <w:rPr>
          <w:rFonts w:ascii="宋体" w:hAnsi="宋体" w:cs="宋体"/>
          <w:b/>
          <w:bCs/>
          <w:color w:val="auto"/>
          <w:sz w:val="32"/>
          <w:szCs w:val="32"/>
          <w:highlight w:val="none"/>
          <w:lang w:eastAsia="zh-CN"/>
        </w:rPr>
      </w:pPr>
      <w:r>
        <w:rPr>
          <w:rFonts w:hint="eastAsia" w:ascii="宋体" w:hAnsi="宋体" w:cs="宋体"/>
          <w:b/>
          <w:bCs/>
          <w:color w:val="auto"/>
          <w:sz w:val="32"/>
          <w:szCs w:val="32"/>
          <w:highlight w:val="none"/>
          <w:lang w:eastAsia="zh-CN"/>
        </w:rPr>
        <w:t xml:space="preserve">采 购 人：江苏省中国科学院植物研究所</w:t>
      </w:r>
      <w:r/>
    </w:p>
    <w:p>
      <w:pPr>
        <w:ind w:left="698"/>
        <w:jc w:val="center"/>
        <w:rPr>
          <w:rFonts w:ascii="宋体" w:hAnsi="宋体" w:cs="宋体"/>
          <w:b/>
          <w:bCs/>
          <w:color w:val="auto"/>
          <w:sz w:val="32"/>
          <w:szCs w:val="32"/>
          <w:highlight w:val="none"/>
          <w:lang w:eastAsia="zh-CN"/>
        </w:rPr>
      </w:pPr>
      <w:r>
        <w:rPr>
          <w:rFonts w:ascii="宋体" w:hAnsi="宋体" w:cs="宋体"/>
          <w:b/>
          <w:bCs/>
          <w:color w:val="auto"/>
          <w:sz w:val="32"/>
          <w:szCs w:val="32"/>
          <w:highlight w:val="none"/>
          <w:lang w:eastAsia="zh-CN"/>
        </w:rPr>
      </w:r>
      <w:r/>
    </w:p>
    <w:p>
      <w:pPr>
        <w:ind w:left="698"/>
        <w:jc w:val="center"/>
        <w:rPr>
          <w:rFonts w:ascii="宋体" w:hAnsi="宋体" w:cs="宋体"/>
          <w:b/>
          <w:bCs/>
          <w:color w:val="auto"/>
          <w:sz w:val="32"/>
          <w:szCs w:val="32"/>
          <w:highlight w:val="none"/>
          <w:lang w:eastAsia="zh-CN"/>
        </w:rPr>
      </w:pPr>
      <w:r>
        <w:rPr>
          <w:rFonts w:hint="eastAsia" w:ascii="宋体" w:hAnsi="宋体" w:cs="宋体"/>
          <w:b/>
          <w:bCs/>
          <w:color w:val="auto"/>
          <w:sz w:val="32"/>
          <w:szCs w:val="32"/>
          <w:highlight w:val="none"/>
          <w:lang w:eastAsia="zh-CN"/>
        </w:rPr>
        <w:t xml:space="preserve"> 采购代理机构：大洲设计咨询集团有限公司</w:t>
      </w:r>
      <w:r/>
    </w:p>
    <w:p>
      <w:pPr>
        <w:jc w:val="center"/>
        <w:rPr>
          <w:rFonts w:ascii="宋体" w:hAnsi="宋体" w:cs="宋体"/>
          <w:color w:val="auto"/>
          <w:sz w:val="32"/>
          <w:szCs w:val="32"/>
          <w:highlight w:val="none"/>
          <w:lang w:eastAsia="zh-CN"/>
        </w:rPr>
      </w:pPr>
      <w:r>
        <w:rPr>
          <w:rFonts w:ascii="宋体" w:hAnsi="宋体" w:cs="宋体"/>
          <w:color w:val="auto"/>
          <w:sz w:val="32"/>
          <w:szCs w:val="32"/>
          <w:highlight w:val="none"/>
          <w:lang w:eastAsia="zh-CN"/>
        </w:rPr>
      </w:r>
      <w:r/>
    </w:p>
    <w:p>
      <w:pPr>
        <w:ind w:right="1933" w:firstLine="2241"/>
        <w:spacing w:line="357" w:lineRule="auto"/>
        <w:rPr>
          <w:rFonts w:eastAsia="Times New Roman"/>
          <w:color w:val="auto"/>
          <w:highlight w:val="none"/>
          <w:lang w:eastAsia="zh-CN"/>
        </w:rPr>
      </w:pPr>
      <w:r>
        <w:rPr>
          <w:rFonts w:hint="eastAsia" w:ascii="宋体" w:hAnsi="宋体" w:cs="宋体"/>
          <w:b/>
          <w:bCs/>
          <w:color w:val="auto"/>
          <w:sz w:val="32"/>
          <w:szCs w:val="32"/>
          <w:highlight w:val="none"/>
          <w:lang w:eastAsia="zh-CN"/>
        </w:rPr>
        <w:t xml:space="preserve">日   期：</w:t>
      </w:r>
      <w:r>
        <w:rPr>
          <w:rFonts w:ascii="宋体" w:hAnsi="宋体" w:cs="宋体"/>
          <w:b/>
          <w:bCs/>
          <w:color w:val="auto"/>
          <w:sz w:val="32"/>
          <w:szCs w:val="32"/>
          <w:highlight w:val="none"/>
          <w:lang w:eastAsia="zh-CN"/>
        </w:rPr>
        <w:t xml:space="preserve">二○二</w:t>
      </w:r>
      <w:r>
        <w:rPr>
          <w:rFonts w:hint="eastAsia" w:ascii="宋体" w:hAnsi="宋体" w:cs="宋体"/>
          <w:b/>
          <w:bCs/>
          <w:color w:val="auto"/>
          <w:sz w:val="32"/>
          <w:szCs w:val="32"/>
          <w:highlight w:val="none"/>
          <w:lang w:eastAsia="zh-CN"/>
        </w:rPr>
        <w:t xml:space="preserve">六</w:t>
      </w:r>
      <w:r>
        <w:rPr>
          <w:rFonts w:ascii="宋体" w:hAnsi="宋体" w:cs="宋体"/>
          <w:b/>
          <w:bCs/>
          <w:color w:val="auto"/>
          <w:sz w:val="32"/>
          <w:szCs w:val="32"/>
          <w:highlight w:val="none"/>
          <w:lang w:eastAsia="zh-CN"/>
        </w:rPr>
        <w:t xml:space="preserve">年</w:t>
      </w:r>
      <w:r>
        <w:rPr>
          <w:rFonts w:hint="eastAsia" w:ascii="宋体" w:hAnsi="宋体" w:cs="宋体"/>
          <w:b/>
          <w:bCs/>
          <w:color w:val="auto"/>
          <w:sz w:val="32"/>
          <w:szCs w:val="32"/>
          <w:highlight w:val="none"/>
          <w:lang w:val="en-US" w:eastAsia="zh-CN"/>
        </w:rPr>
        <w:t xml:space="preserve">六</w:t>
      </w:r>
      <w:r>
        <w:rPr>
          <w:rFonts w:ascii="宋体" w:hAnsi="宋体" w:cs="宋体"/>
          <w:b/>
          <w:bCs/>
          <w:color w:val="auto"/>
          <w:sz w:val="32"/>
          <w:szCs w:val="32"/>
          <w:highlight w:val="none"/>
          <w:lang w:eastAsia="zh-CN"/>
        </w:rPr>
        <w:t xml:space="preserve">月</w:t>
      </w:r>
      <w:r/>
    </w:p>
    <w:p>
      <w:pPr>
        <w:ind w:left="1572" w:right="1933"/>
        <w:jc w:val="center"/>
        <w:spacing w:line="357" w:lineRule="auto"/>
        <w:rPr>
          <w:rFonts w:ascii="黑体" w:hAnsi="黑体" w:eastAsia="黑体" w:cs="黑体"/>
          <w:color w:val="auto"/>
          <w:sz w:val="36"/>
          <w:szCs w:val="36"/>
          <w:highlight w:val="none"/>
          <w:lang w:eastAsia="zh-CN"/>
        </w:rPr>
      </w:pPr>
      <w:r>
        <w:rPr>
          <w:rFonts w:ascii="黑体" w:hAnsi="黑体" w:eastAsia="黑体" w:cs="黑体"/>
          <w:color w:val="auto"/>
          <w:sz w:val="36"/>
          <w:szCs w:val="36"/>
          <w:highlight w:val="none"/>
          <w:lang w:eastAsia="zh-CN"/>
        </w:rPr>
      </w:r>
      <w:r/>
    </w:p>
    <w:p>
      <w:pPr>
        <w:jc w:val="center"/>
        <w:spacing w:line="357" w:lineRule="auto"/>
        <w:rPr>
          <w:rFonts w:ascii="黑体" w:hAnsi="黑体" w:eastAsia="黑体" w:cs="黑体"/>
          <w:color w:val="auto"/>
          <w:sz w:val="36"/>
          <w:szCs w:val="36"/>
          <w:highlight w:val="none"/>
          <w:lang w:eastAsia="zh-CN"/>
        </w:rPr>
        <w:sectPr>
          <w:headerReference w:type="default" r:id="rId9"/>
          <w:footnotePr/>
          <w:endnotePr/>
          <w:type w:val="continuous"/>
          <w:pgSz w:w="11910" w:h="16840" w:orient="portrait"/>
          <w:pgMar w:top="1440" w:right="1080" w:bottom="1440" w:left="1080" w:header="720" w:footer="720" w:gutter="0"/>
          <w:cols w:num="1" w:sep="0" w:space="720" w:equalWidth="1"/>
          <w:docGrid w:linePitch="360"/>
        </w:sectPr>
      </w:pPr>
      <w:r>
        <w:rPr>
          <w:rFonts w:ascii="黑体" w:hAnsi="黑体" w:eastAsia="黑体" w:cs="黑体"/>
          <w:color w:val="auto"/>
          <w:sz w:val="36"/>
          <w:szCs w:val="36"/>
          <w:highlight w:val="none"/>
          <w:lang w:eastAsia="zh-CN"/>
        </w:rPr>
      </w:r>
      <w:r/>
    </w:p>
    <w:p>
      <w:pPr>
        <w:pStyle w:val="766"/>
        <w:jc w:val="center"/>
        <w:spacing w:line="360" w:lineRule="auto"/>
        <w:tabs>
          <w:tab w:val="left" w:pos="4171" w:leader="none"/>
        </w:tabs>
        <w:rPr>
          <w:color w:val="auto"/>
          <w:sz w:val="36"/>
          <w:szCs w:val="36"/>
          <w:highlight w:val="none"/>
          <w:lang w:eastAsia="zh-CN"/>
        </w:rPr>
      </w:pPr>
      <w:r/>
      <w:bookmarkStart w:id="0" w:name="_bookmark0"/>
      <w:r/>
      <w:bookmarkEnd w:id="0"/>
      <w:r/>
      <w:bookmarkStart w:id="1" w:name="_Toc20878"/>
      <w:r>
        <w:rPr>
          <w:color w:val="auto"/>
          <w:sz w:val="36"/>
          <w:szCs w:val="36"/>
          <w:highlight w:val="none"/>
          <w:lang w:eastAsia="zh-CN"/>
        </w:rPr>
        <w:t xml:space="preserve">第一章</w:t>
      </w:r>
      <w:r>
        <w:rPr>
          <w:rFonts w:hint="eastAsia"/>
          <w:color w:val="auto"/>
          <w:sz w:val="36"/>
          <w:szCs w:val="36"/>
          <w:highlight w:val="none"/>
          <w:lang w:eastAsia="zh-CN"/>
        </w:rPr>
        <w:t xml:space="preserve"> </w:t>
      </w:r>
      <w:r>
        <w:rPr>
          <w:color w:val="auto"/>
          <w:sz w:val="36"/>
          <w:szCs w:val="36"/>
          <w:highlight w:val="none"/>
          <w:lang w:eastAsia="zh-CN"/>
        </w:rPr>
        <w:t xml:space="preserve">竞争性磋商邀请</w:t>
      </w:r>
      <w:bookmarkEnd w:id="1"/>
      <w:r/>
      <w:r/>
    </w:p>
    <w:p>
      <w:pPr>
        <w:ind w:firstLine="512"/>
        <w:spacing w:line="360" w:lineRule="auto"/>
        <w:rPr>
          <w:rFonts w:hint="eastAsia" w:ascii="宋体" w:hAnsi="宋体" w:eastAsia="宋体" w:cs="宋体"/>
          <w:color w:val="auto"/>
          <w:sz w:val="24"/>
          <w:szCs w:val="24"/>
          <w:highlight w:val="none"/>
          <w:lang w:eastAsia="zh-CN"/>
        </w:rPr>
      </w:pPr>
      <w:r>
        <w:rPr>
          <w:rStyle w:val="840"/>
          <w:rFonts w:hint="eastAsia" w:ascii="宋体" w:hAnsi="宋体" w:eastAsia="宋体" w:cs="宋体"/>
          <w:color w:val="auto"/>
          <w:spacing w:val="8"/>
          <w:sz w:val="24"/>
          <w:szCs w:val="24"/>
          <w:highlight w:val="none"/>
          <w:u w:val="single"/>
          <w:lang w:eastAsia="zh-CN"/>
        </w:rPr>
        <w:t xml:space="preserve">科普教育中心提升项目</w:t>
      </w:r>
      <w:r>
        <w:rPr>
          <w:rStyle w:val="840"/>
          <w:rFonts w:hint="eastAsia" w:ascii="宋体" w:hAnsi="宋体" w:eastAsia="宋体" w:cs="宋体"/>
          <w:color w:val="auto"/>
          <w:spacing w:val="8"/>
          <w:sz w:val="24"/>
          <w:szCs w:val="24"/>
          <w:highlight w:val="none"/>
          <w:lang w:eastAsia="zh-CN"/>
        </w:rPr>
        <w:t xml:space="preserve">采购项目</w:t>
      </w:r>
      <w:r>
        <w:rPr>
          <w:rFonts w:hint="eastAsia" w:ascii="宋体" w:hAnsi="宋体" w:eastAsia="宋体" w:cs="宋体"/>
          <w:color w:val="auto"/>
          <w:sz w:val="24"/>
          <w:szCs w:val="24"/>
          <w:highlight w:val="none"/>
          <w:lang w:eastAsia="zh-CN"/>
        </w:rPr>
        <w:t xml:space="preserve">的潜在供应商应在</w:t>
      </w:r>
      <w:r>
        <w:rPr>
          <w:rFonts w:hint="eastAsia" w:ascii="宋体" w:hAnsi="宋体" w:eastAsia="宋体" w:cs="宋体"/>
          <w:color w:val="auto"/>
          <w:sz w:val="24"/>
          <w:szCs w:val="24"/>
          <w:highlight w:val="none"/>
          <w:u w:val="single"/>
          <w:lang w:eastAsia="zh-CN"/>
        </w:rPr>
        <w:t xml:space="preserve">江苏政府采购网</w:t>
      </w:r>
      <w:r>
        <w:rPr>
          <w:rFonts w:hint="eastAsia" w:ascii="宋体" w:hAnsi="宋体" w:eastAsia="宋体" w:cs="宋体"/>
          <w:color w:val="auto"/>
          <w:sz w:val="24"/>
          <w:szCs w:val="24"/>
          <w:highlight w:val="none"/>
          <w:lang w:eastAsia="zh-CN"/>
        </w:rPr>
        <w:t xml:space="preserve">获取采购文件，并于</w:t>
      </w:r>
      <w:r>
        <w:rPr>
          <w:rFonts w:hint="eastAsia" w:ascii="宋体" w:hAnsi="宋体" w:eastAsia="宋体" w:cs="宋体"/>
          <w:color w:val="auto"/>
          <w:sz w:val="24"/>
          <w:szCs w:val="24"/>
          <w:highlight w:val="none"/>
          <w:u w:val="single"/>
          <w:lang w:eastAsia="zh-CN"/>
        </w:rPr>
        <w:t xml:space="preserve">2026年0</w:t>
      </w:r>
      <w:r>
        <w:rPr>
          <w:rFonts w:hint="eastAsia" w:ascii="宋体" w:hAnsi="宋体" w:eastAsia="宋体" w:cs="宋体"/>
          <w:color w:val="auto"/>
          <w:sz w:val="24"/>
          <w:szCs w:val="24"/>
          <w:highlight w:val="none"/>
          <w:u w:val="single"/>
          <w:lang w:val="en-US" w:eastAsia="zh-CN"/>
        </w:rPr>
        <w:t xml:space="preserve">7</w:t>
      </w:r>
      <w:r>
        <w:rPr>
          <w:rFonts w:hint="eastAsia" w:ascii="宋体" w:hAnsi="宋体" w:eastAsia="宋体" w:cs="宋体"/>
          <w:color w:val="auto"/>
          <w:sz w:val="24"/>
          <w:szCs w:val="24"/>
          <w:highlight w:val="none"/>
          <w:u w:val="single"/>
          <w:lang w:eastAsia="zh-CN"/>
        </w:rPr>
        <w:t xml:space="preserve">月</w:t>
      </w:r>
      <w:r>
        <w:rPr>
          <w:rFonts w:hint="eastAsia" w:ascii="宋体" w:hAnsi="宋体" w:eastAsia="宋体" w:cs="宋体"/>
          <w:color w:val="auto"/>
          <w:sz w:val="24"/>
          <w:szCs w:val="24"/>
          <w:highlight w:val="none"/>
          <w:u w:val="single"/>
          <w:lang w:val="en-US" w:eastAsia="zh-CN"/>
        </w:rPr>
        <w:t xml:space="preserve">06</w:t>
      </w:r>
      <w:r>
        <w:rPr>
          <w:rFonts w:hint="eastAsia" w:ascii="宋体" w:hAnsi="宋体" w:eastAsia="宋体" w:cs="宋体"/>
          <w:color w:val="auto"/>
          <w:sz w:val="24"/>
          <w:szCs w:val="24"/>
          <w:highlight w:val="none"/>
          <w:u w:val="single"/>
          <w:lang w:eastAsia="zh-CN"/>
        </w:rPr>
        <w:t xml:space="preserve">日14点30分</w:t>
      </w:r>
      <w:r>
        <w:rPr>
          <w:rFonts w:hint="eastAsia" w:ascii="宋体" w:hAnsi="宋体" w:eastAsia="宋体" w:cs="宋体"/>
          <w:color w:val="auto"/>
          <w:sz w:val="24"/>
          <w:szCs w:val="24"/>
          <w:highlight w:val="none"/>
          <w:lang w:eastAsia="zh-CN"/>
        </w:rPr>
        <w:t xml:space="preserve">（北京时间）前提交响应文件。</w:t>
      </w:r>
      <w:r/>
    </w:p>
    <w:p>
      <w:pPr>
        <w:pStyle w:val="834"/>
        <w:ind w:firstLine="482"/>
        <w:rPr>
          <w:rFonts w:hint="eastAsia" w:eastAsia="宋体" w:cs="宋体"/>
          <w:b/>
          <w:bCs/>
          <w:color w:val="auto"/>
          <w:highlight w:val="none"/>
          <w:lang w:eastAsia="zh-CN"/>
        </w:rPr>
      </w:pPr>
      <w:r/>
      <w:bookmarkStart w:id="2" w:name="_Toc28359089"/>
      <w:r/>
      <w:bookmarkStart w:id="3" w:name="_Toc28359012"/>
      <w:r/>
      <w:bookmarkStart w:id="4" w:name="_Toc35393798"/>
      <w:r/>
      <w:bookmarkStart w:id="5" w:name="_Toc35393629"/>
      <w:r>
        <w:rPr>
          <w:rFonts w:hint="eastAsia" w:eastAsia="宋体" w:cs="宋体"/>
          <w:b/>
          <w:bCs/>
          <w:color w:val="auto"/>
          <w:highlight w:val="none"/>
          <w:lang w:eastAsia="zh-CN"/>
        </w:rPr>
        <w:t xml:space="preserve">一、项目基本情况</w:t>
      </w:r>
      <w:bookmarkEnd w:id="2"/>
      <w:r/>
      <w:bookmarkEnd w:id="3"/>
      <w:r/>
      <w:bookmarkEnd w:id="4"/>
      <w:r/>
      <w:bookmarkEnd w:id="5"/>
      <w:r/>
      <w:r/>
    </w:p>
    <w:p>
      <w:pPr>
        <w:pStyle w:val="782"/>
        <w:ind w:left="0" w:firstLine="480"/>
        <w:spacing w:before="0" w:line="360" w:lineRule="auto"/>
        <w:rPr>
          <w:rFonts w:hint="eastAsia" w:cs="宋体"/>
          <w:color w:val="auto"/>
          <w:highlight w:val="none"/>
          <w:lang w:eastAsia="zh-CN"/>
        </w:rPr>
      </w:pPr>
      <w:r>
        <w:rPr>
          <w:rFonts w:hint="eastAsia" w:cs="宋体"/>
          <w:color w:val="auto"/>
          <w:highlight w:val="none"/>
          <w:lang w:eastAsia="zh-CN"/>
        </w:rPr>
        <w:t xml:space="preserve">1.项目编号：JSZC-320000-JSDZ-C2026-0049</w:t>
      </w:r>
      <w:r/>
    </w:p>
    <w:p>
      <w:pPr>
        <w:pStyle w:val="782"/>
        <w:ind w:left="0" w:firstLine="480"/>
        <w:spacing w:before="0" w:line="360" w:lineRule="auto"/>
        <w:rPr>
          <w:rFonts w:hint="eastAsia" w:cs="宋体"/>
          <w:color w:val="auto"/>
          <w:highlight w:val="none"/>
          <w:lang w:eastAsia="zh-CN"/>
        </w:rPr>
      </w:pPr>
      <w:r>
        <w:rPr>
          <w:rFonts w:hint="eastAsia" w:cs="宋体"/>
          <w:color w:val="auto"/>
          <w:highlight w:val="none"/>
          <w:lang w:eastAsia="zh-CN"/>
        </w:rPr>
        <w:t xml:space="preserve">2.项目名称：科普教育中心提升项目 </w:t>
      </w:r>
      <w:r/>
    </w:p>
    <w:p>
      <w:pPr>
        <w:pStyle w:val="782"/>
        <w:ind w:left="0" w:firstLine="480"/>
        <w:spacing w:before="0" w:line="360" w:lineRule="auto"/>
        <w:rPr>
          <w:rFonts w:hint="eastAsia" w:cs="宋体"/>
          <w:color w:val="auto"/>
          <w:highlight w:val="none"/>
          <w:lang w:eastAsia="zh-CN"/>
        </w:rPr>
      </w:pPr>
      <w:r>
        <w:rPr>
          <w:rFonts w:hint="eastAsia" w:cs="宋体"/>
          <w:color w:val="auto"/>
          <w:highlight w:val="none"/>
          <w:lang w:eastAsia="zh-CN"/>
        </w:rPr>
        <w:t xml:space="preserve">3.采购方式：竞争性磋商</w:t>
      </w:r>
      <w:r/>
    </w:p>
    <w:p>
      <w:pPr>
        <w:pStyle w:val="782"/>
        <w:ind w:left="0" w:firstLine="480"/>
        <w:spacing w:before="0" w:line="360" w:lineRule="auto"/>
        <w:rPr>
          <w:rFonts w:hint="eastAsia" w:cs="宋体"/>
          <w:color w:val="000000" w:themeColor="text1"/>
          <w:highlight w:val="none"/>
        </w:rPr>
      </w:pPr>
      <w:r>
        <w:rPr>
          <w:rFonts w:hint="eastAsia" w:cs="宋体"/>
          <w:color w:val="000000" w:themeColor="text1"/>
          <w:highlight w:val="none"/>
          <w:lang w:eastAsia="zh-CN"/>
        </w:rPr>
        <w:t xml:space="preserve">4.项目预算：人民币</w:t>
      </w:r>
      <w:r>
        <w:rPr>
          <w:rFonts w:hint="eastAsia" w:cs="宋体"/>
          <w:color w:val="000000" w:themeColor="text1"/>
          <w:highlight w:val="none"/>
          <w:lang w:val="en-US" w:eastAsia="zh-CN"/>
        </w:rPr>
        <w:t xml:space="preserve">398</w:t>
      </w:r>
      <w:r>
        <w:rPr>
          <w:rFonts w:hint="eastAsia" w:cs="宋体"/>
          <w:color w:val="000000" w:themeColor="text1"/>
          <w:highlight w:val="none"/>
          <w:lang w:eastAsia="zh-CN"/>
        </w:rPr>
        <w:t xml:space="preserve">万元</w:t>
      </w:r>
      <w:r>
        <w:rPr>
          <w:color w:val="000000" w:themeColor="text1"/>
        </w:rPr>
      </w:r>
    </w:p>
    <w:p>
      <w:pPr>
        <w:pStyle w:val="782"/>
        <w:ind w:left="0" w:firstLine="480"/>
        <w:spacing w:before="0" w:line="360" w:lineRule="auto"/>
        <w:rPr>
          <w:rFonts w:cs="宋体"/>
          <w:color w:val="000000" w:themeColor="text1"/>
          <w:highlight w:val="none"/>
        </w:rPr>
      </w:pPr>
      <w:r>
        <w:rPr>
          <w:rFonts w:hint="eastAsia" w:cs="宋体"/>
          <w:color w:val="000000" w:themeColor="text1"/>
          <w:highlight w:val="none"/>
          <w:lang w:eastAsia="zh-CN"/>
        </w:rPr>
        <w:t xml:space="preserve">5.最高限价（如有）：人民币</w:t>
      </w:r>
      <w:r>
        <w:rPr>
          <w:rFonts w:hint="eastAsia" w:cs="宋体"/>
          <w:color w:val="000000" w:themeColor="text1"/>
          <w:highlight w:val="none"/>
          <w:lang w:eastAsia="zh-CN"/>
        </w:rPr>
        <w:t xml:space="preserve">397.124147万元</w:t>
      </w:r>
      <w:r>
        <w:rPr>
          <w:rFonts w:hint="eastAsia" w:cs="宋体"/>
          <w:color w:val="000000" w:themeColor="text1"/>
          <w:highlight w:val="none"/>
          <w:lang w:eastAsia="zh-CN"/>
        </w:rPr>
        <w:t xml:space="preserve">，</w:t>
      </w:r>
      <w:r>
        <w:rPr>
          <w:rFonts w:hint="eastAsia" w:cs="宋体"/>
          <w:color w:val="000000" w:themeColor="text1"/>
          <w:highlight w:val="none"/>
          <w:lang w:eastAsia="zh-CN"/>
        </w:rPr>
        <w:t xml:space="preserve">超过</w:t>
      </w:r>
      <w:r>
        <w:rPr>
          <w:rFonts w:hint="eastAsia" w:cs="宋体"/>
          <w:color w:val="000000" w:themeColor="text1"/>
          <w:highlight w:val="none"/>
          <w:lang w:eastAsia="zh-CN"/>
        </w:rPr>
      </w:r>
      <w:r>
        <w:rPr>
          <w:rFonts w:hint="eastAsia" w:cs="宋体"/>
          <w:color w:val="000000" w:themeColor="text1"/>
          <w:highlight w:val="none"/>
          <w:lang w:eastAsia="zh-CN"/>
        </w:rPr>
        <w:t xml:space="preserve">最高限价为无效响应</w:t>
      </w:r>
      <w:r>
        <w:rPr>
          <w:color w:val="000000" w:themeColor="text1"/>
        </w:rPr>
      </w:r>
    </w:p>
    <w:p>
      <w:pPr>
        <w:pStyle w:val="834"/>
        <w:rPr>
          <w:rFonts w:eastAsia="宋体" w:cs="宋体"/>
          <w:bCs/>
          <w:color w:val="000000" w:themeColor="text1"/>
          <w:highlight w:val="none"/>
        </w:rPr>
      </w:pPr>
      <w:r>
        <w:rPr>
          <w:rFonts w:hint="eastAsia" w:eastAsia="宋体" w:cs="宋体"/>
          <w:bCs/>
          <w:color w:val="000000" w:themeColor="text1"/>
          <w:highlight w:val="none"/>
          <w:lang w:eastAsia="zh-CN"/>
        </w:rPr>
        <w:t xml:space="preserve">6.采购需求：本次采购为江苏省中国科学院植物研究所科普教育中心提升项目，包含包括但不限于结构加固、屋面防水层、外观翻新等，具体详见图纸及工程量清单。</w:t>
      </w:r>
      <w:r>
        <w:rPr>
          <w:color w:val="000000" w:themeColor="text1"/>
        </w:rPr>
      </w:r>
    </w:p>
    <w:p>
      <w:pPr>
        <w:pStyle w:val="834"/>
        <w:rPr>
          <w:rFonts w:hint="eastAsia" w:eastAsia="宋体" w:cs="宋体"/>
          <w:bCs/>
          <w:color w:val="000000" w:themeColor="text1"/>
          <w:highlight w:val="none"/>
        </w:rPr>
      </w:pPr>
      <w:r>
        <w:rPr>
          <w:rFonts w:hint="eastAsia" w:eastAsia="宋体" w:cs="宋体"/>
          <w:bCs/>
          <w:color w:val="000000" w:themeColor="text1"/>
          <w:highlight w:val="none"/>
          <w:lang w:eastAsia="zh-CN"/>
        </w:rPr>
        <w:t xml:space="preserve">7.合同履行期限：</w:t>
      </w:r>
      <w:r>
        <w:rPr>
          <w:rFonts w:hint="eastAsia" w:eastAsia="宋体" w:cs="宋体"/>
          <w:bCs/>
          <w:color w:val="000000" w:themeColor="text1"/>
          <w:highlight w:val="none"/>
          <w:lang w:val="en-US" w:eastAsia="zh-CN"/>
        </w:rPr>
        <w:t xml:space="preserve">180</w:t>
      </w:r>
      <w:r>
        <w:rPr>
          <w:rFonts w:hint="eastAsia" w:eastAsia="宋体" w:cs="宋体"/>
          <w:bCs/>
          <w:color w:val="000000" w:themeColor="text1"/>
          <w:highlight w:val="none"/>
          <w:lang w:eastAsia="zh-CN"/>
        </w:rPr>
        <w:t xml:space="preserve">日历日（具体开工时间以甲方通知为准）。 </w:t>
      </w:r>
      <w:r>
        <w:rPr>
          <w:color w:val="000000" w:themeColor="text1"/>
        </w:rPr>
      </w:r>
    </w:p>
    <w:p>
      <w:pPr>
        <w:pStyle w:val="834"/>
        <w:rPr>
          <w:rFonts w:eastAsia="宋体" w:cs="宋体"/>
          <w:color w:val="auto"/>
          <w:highlight w:val="none"/>
          <w:lang w:eastAsia="zh-CN"/>
        </w:rPr>
      </w:pPr>
      <w:r>
        <w:rPr>
          <w:rFonts w:hint="eastAsia" w:eastAsia="宋体" w:cs="宋体"/>
          <w:bCs/>
          <w:color w:val="auto"/>
          <w:highlight w:val="none"/>
          <w:lang w:eastAsia="zh-CN"/>
        </w:rPr>
        <w:t xml:space="preserve">8.本项目是否接受联合体</w:t>
      </w:r>
      <w:bookmarkStart w:id="6" w:name="_Toc28359080"/>
      <w:r/>
      <w:bookmarkStart w:id="7" w:name="_Toc35393622"/>
      <w:r/>
      <w:bookmarkStart w:id="8" w:name="_Toc35393791"/>
      <w:r/>
      <w:bookmarkStart w:id="9" w:name="_Toc28359003"/>
      <w:r>
        <w:rPr>
          <w:rFonts w:hint="eastAsia" w:eastAsia="宋体" w:cs="宋体"/>
          <w:bCs/>
          <w:color w:val="auto"/>
          <w:highlight w:val="none"/>
          <w:lang w:eastAsia="zh-CN"/>
        </w:rPr>
        <w:t xml:space="preserve">：否</w:t>
      </w:r>
      <w:r/>
    </w:p>
    <w:p>
      <w:pPr>
        <w:pStyle w:val="834"/>
        <w:ind w:firstLine="482"/>
        <w:rPr>
          <w:rFonts w:hint="eastAsia" w:eastAsia="宋体" w:cs="宋体"/>
          <w:b/>
          <w:bCs/>
          <w:color w:val="auto"/>
          <w:highlight w:val="none"/>
          <w:lang w:eastAsia="zh-CN"/>
        </w:rPr>
      </w:pPr>
      <w:r>
        <w:rPr>
          <w:rFonts w:hint="eastAsia" w:eastAsia="宋体" w:cs="宋体"/>
          <w:b/>
          <w:bCs/>
          <w:color w:val="auto"/>
          <w:highlight w:val="none"/>
          <w:lang w:eastAsia="zh-CN"/>
        </w:rPr>
        <w:t xml:space="preserve">二、申请人的资格要求：</w:t>
      </w:r>
      <w:bookmarkEnd w:id="6"/>
      <w:r/>
      <w:bookmarkEnd w:id="7"/>
      <w:r/>
      <w:bookmarkEnd w:id="8"/>
      <w:r/>
      <w:bookmarkEnd w:id="9"/>
      <w:r/>
      <w:r/>
    </w:p>
    <w:p>
      <w:pPr>
        <w:pStyle w:val="834"/>
        <w:rPr>
          <w:rFonts w:hint="eastAsia" w:eastAsia="宋体" w:cs="宋体"/>
          <w:bCs/>
          <w:color w:val="auto"/>
          <w:highlight w:val="none"/>
          <w:lang w:eastAsia="zh-CN"/>
        </w:rPr>
      </w:pPr>
      <w:r>
        <w:rPr>
          <w:rFonts w:hint="eastAsia" w:eastAsia="宋体" w:cs="宋体"/>
          <w:bCs/>
          <w:color w:val="auto"/>
          <w:highlight w:val="none"/>
          <w:lang w:eastAsia="zh-CN"/>
        </w:rPr>
        <w:t xml:space="preserve">1.满足《中华人民共和国政府采购法》第二十二条规定：</w:t>
      </w:r>
      <w:r/>
    </w:p>
    <w:p>
      <w:pPr>
        <w:pStyle w:val="834"/>
        <w:rPr>
          <w:rFonts w:hint="eastAsia" w:eastAsia="宋体" w:cs="宋体"/>
          <w:bCs/>
          <w:color w:val="auto"/>
          <w:highlight w:val="none"/>
          <w:lang w:eastAsia="zh-CN"/>
        </w:rPr>
      </w:pPr>
      <w:r/>
      <w:bookmarkStart w:id="10" w:name="_Toc28359081"/>
      <w:r/>
      <w:bookmarkStart w:id="11" w:name="_Toc28359004"/>
      <w:r>
        <w:rPr>
          <w:rFonts w:hint="eastAsia" w:eastAsia="宋体" w:cs="宋体"/>
          <w:bCs/>
          <w:color w:val="auto"/>
          <w:highlight w:val="none"/>
          <w:lang w:eastAsia="zh-CN"/>
        </w:rPr>
        <w:t xml:space="preserve">（1）具有独立承担民事责任的能力（提供法人或者其他组织的营业执照，自然人的身份证明扫描件加盖电子公章）；</w:t>
      </w:r>
      <w:r/>
    </w:p>
    <w:p>
      <w:pPr>
        <w:pStyle w:val="834"/>
        <w:rPr>
          <w:rFonts w:hint="eastAsia" w:eastAsia="宋体" w:cs="宋体"/>
          <w:bCs/>
          <w:color w:val="auto"/>
          <w:highlight w:val="none"/>
          <w:lang w:eastAsia="zh-CN"/>
        </w:rPr>
      </w:pPr>
      <w:r>
        <w:rPr>
          <w:rFonts w:hint="eastAsia" w:eastAsia="宋体" w:cs="宋体"/>
          <w:bCs/>
          <w:color w:val="auto"/>
          <w:highlight w:val="none"/>
          <w:lang w:eastAsia="zh-CN"/>
        </w:rPr>
        <w:t xml:space="preserve">（2）具有良好的商业信誉和健全的财务会计制度（提供由第三方专业机构出具的2025年度财务审计报告（财务审计报告至少包含资产负债表、利润表、现金流量表、第三方专业机构盖章和注册会计师签章、签字页）或近半年内（2025年12月起至今）任一月的财务报表（至少包括资产负债表和利润表）的扫描件加盖电子公章或近半年内（2025年12月起至今）银行出具的企业资信证明的扫描件加盖电子公章</w:t>
      </w:r>
      <w:r>
        <w:rPr>
          <w:rFonts w:hint="eastAsia" w:eastAsia="宋体" w:cs="宋体"/>
          <w:bCs/>
          <w:color w:val="auto"/>
          <w:highlight w:val="none"/>
          <w:lang w:val="zh-TW" w:eastAsia="zh-CN"/>
        </w:rPr>
        <w:t xml:space="preserve">，</w:t>
      </w:r>
      <w:r>
        <w:rPr>
          <w:rFonts w:hint="eastAsia" w:eastAsia="宋体" w:cs="宋体"/>
          <w:bCs/>
          <w:color w:val="auto"/>
          <w:highlight w:val="none"/>
          <w:lang w:eastAsia="zh-CN"/>
        </w:rPr>
        <w:t xml:space="preserve">或财政部门认可的政府采购专业担保机构出具的投标担保函，法人或者其他组织成立未满一年的无需提供）；</w:t>
      </w:r>
      <w:r/>
    </w:p>
    <w:p>
      <w:pPr>
        <w:pStyle w:val="834"/>
        <w:rPr>
          <w:rFonts w:hint="eastAsia" w:eastAsia="宋体" w:cs="宋体"/>
          <w:bCs/>
          <w:color w:val="auto"/>
          <w:highlight w:val="none"/>
          <w:lang w:eastAsia="zh-CN"/>
        </w:rPr>
      </w:pPr>
      <w:r>
        <w:rPr>
          <w:rFonts w:hint="eastAsia" w:eastAsia="宋体" w:cs="宋体"/>
          <w:bCs/>
          <w:color w:val="auto"/>
          <w:highlight w:val="none"/>
          <w:lang w:eastAsia="zh-CN"/>
        </w:rPr>
        <w:t xml:space="preserve">（3）具有履行合同所必需的设备和专业技术能力（根据项目需求提供履行合同所必需的设备和专业技术能力的证明材料或书面声明原件）； </w:t>
      </w:r>
      <w:r/>
    </w:p>
    <w:p>
      <w:pPr>
        <w:pStyle w:val="834"/>
        <w:rPr>
          <w:rFonts w:hint="eastAsia" w:eastAsia="宋体" w:cs="宋体"/>
          <w:bCs/>
          <w:color w:val="auto"/>
          <w:highlight w:val="none"/>
          <w:lang w:eastAsia="zh-CN"/>
        </w:rPr>
      </w:pPr>
      <w:r>
        <w:rPr>
          <w:rFonts w:hint="eastAsia" w:eastAsia="宋体" w:cs="宋体"/>
          <w:bCs/>
          <w:color w:val="auto"/>
          <w:highlight w:val="none"/>
          <w:lang w:eastAsia="zh-CN"/>
        </w:rPr>
        <w:t xml:space="preserve">（4）有依法缴纳税收和社会保障资金的良好记录（提供参加本次政府采购活动近半年内（2025年12月起至今）任一月的缴纳税收和社会保险的凭据扫描件加盖电子公章，依法享受缓缴、免缴税收、社会保障资金的提供证明材料扫描件加盖电子公章）；</w:t>
      </w:r>
      <w:r/>
    </w:p>
    <w:p>
      <w:pPr>
        <w:pStyle w:val="834"/>
        <w:rPr>
          <w:rFonts w:hint="eastAsia" w:eastAsia="宋体" w:cs="宋体"/>
          <w:bCs/>
          <w:color w:val="auto"/>
          <w:highlight w:val="none"/>
          <w:lang w:eastAsia="zh-CN"/>
        </w:rPr>
      </w:pPr>
      <w:r>
        <w:rPr>
          <w:rFonts w:hint="eastAsia" w:eastAsia="宋体" w:cs="宋体"/>
          <w:bCs/>
          <w:color w:val="auto"/>
          <w:highlight w:val="none"/>
          <w:lang w:eastAsia="zh-CN"/>
        </w:rPr>
        <w:t xml:space="preserve">（5）参加政府采购活动前三年内，在经营活动中没有重大违法记录（提供参加本次政府采购活动前3年内在经营活动中没有重大违法记录的书面声明）（格式见后附件）；</w:t>
      </w:r>
      <w:r/>
    </w:p>
    <w:p>
      <w:pPr>
        <w:pStyle w:val="834"/>
        <w:rPr>
          <w:rFonts w:hint="eastAsia" w:eastAsia="宋体" w:cs="宋体"/>
          <w:bCs/>
          <w:color w:val="auto"/>
          <w:highlight w:val="none"/>
          <w:lang w:eastAsia="zh-CN"/>
        </w:rPr>
      </w:pPr>
      <w:r>
        <w:rPr>
          <w:rFonts w:hint="eastAsia" w:eastAsia="宋体" w:cs="宋体"/>
          <w:bCs/>
          <w:color w:val="auto"/>
          <w:highlight w:val="none"/>
          <w:lang w:eastAsia="zh-CN"/>
        </w:rPr>
        <w:t xml:space="preserve">（6）法律、行政法规规定的其他条件。</w:t>
      </w:r>
      <w:r/>
    </w:p>
    <w:p>
      <w:pPr>
        <w:pStyle w:val="834"/>
        <w:ind w:firstLine="482"/>
        <w:rPr>
          <w:rFonts w:hint="eastAsia" w:eastAsia="宋体" w:cs="宋体"/>
          <w:bCs/>
          <w:color w:val="auto"/>
          <w:highlight w:val="none"/>
          <w:lang w:eastAsia="zh-CN"/>
        </w:rPr>
      </w:pPr>
      <w:r>
        <w:rPr>
          <w:rFonts w:hint="eastAsia" w:eastAsia="宋体" w:cs="宋体"/>
          <w:b/>
          <w:color w:val="auto"/>
          <w:highlight w:val="none"/>
          <w:lang w:eastAsia="zh-CN"/>
        </w:rPr>
        <w:t xml:space="preserve">2.落实政府采购政策需满足的资格要求：/</w:t>
      </w:r>
      <w:r/>
    </w:p>
    <w:p>
      <w:pPr>
        <w:pStyle w:val="834"/>
        <w:ind w:firstLine="482"/>
        <w:rPr>
          <w:rFonts w:eastAsia="宋体" w:cs="宋体"/>
          <w:b/>
          <w:color w:val="auto"/>
          <w:highlight w:val="none"/>
          <w:lang w:eastAsia="zh-CN"/>
        </w:rPr>
      </w:pPr>
      <w:r>
        <w:rPr>
          <w:rFonts w:hint="eastAsia" w:eastAsia="宋体" w:cs="宋体"/>
          <w:b/>
          <w:color w:val="auto"/>
          <w:highlight w:val="none"/>
          <w:lang w:eastAsia="zh-CN"/>
        </w:rPr>
        <w:t xml:space="preserve">3.本项目的特定资格要求：</w:t>
      </w:r>
      <w:r/>
    </w:p>
    <w:p>
      <w:pPr>
        <w:pStyle w:val="834"/>
        <w:rPr>
          <w:rFonts w:hint="eastAsia" w:eastAsia="宋体" w:cs="宋体"/>
          <w:bCs/>
          <w:color w:val="auto"/>
          <w:highlight w:val="none"/>
          <w:lang w:eastAsia="zh-CN"/>
        </w:rPr>
      </w:pPr>
      <w:r/>
      <w:bookmarkStart w:id="12" w:name="_Toc35393792"/>
      <w:r/>
      <w:bookmarkStart w:id="13" w:name="_Toc35393623"/>
      <w:r>
        <w:rPr>
          <w:rFonts w:hint="eastAsia" w:eastAsia="宋体" w:cs="宋体"/>
          <w:bCs/>
          <w:color w:val="auto"/>
          <w:highlight w:val="none"/>
          <w:lang w:eastAsia="zh-CN"/>
        </w:rPr>
        <w:t xml:space="preserve">（1）供应商资质等级及范围：具有建筑工程施工总承包三级及以上资质，并具有安全生产许可证；（需提供有效的资质证书、安全生产许可证复印件加盖供应商公章）</w:t>
      </w:r>
      <w:r/>
    </w:p>
    <w:p>
      <w:pPr>
        <w:pStyle w:val="834"/>
        <w:rPr>
          <w:rFonts w:hint="eastAsia" w:eastAsia="宋体" w:cs="宋体"/>
          <w:bCs/>
          <w:color w:val="auto"/>
          <w:highlight w:val="none"/>
          <w:lang w:eastAsia="zh-CN"/>
        </w:rPr>
      </w:pPr>
      <w:r>
        <w:rPr>
          <w:rFonts w:hint="eastAsia" w:eastAsia="宋体" w:cs="宋体"/>
          <w:bCs/>
          <w:color w:val="auto"/>
          <w:highlight w:val="none"/>
          <w:lang w:eastAsia="zh-CN"/>
        </w:rPr>
        <w:t xml:space="preserve">（2）项目负责人具有注册建造师建筑工程二级(含)以上并且具有有效的安全生产考核合格证书(B证)。（提供建造师证书、安全生产考核证书及供应商为其缴纳的近半年内（2025年12月起至今）任意一个月的社保缴纳证明材料扫描件加盖电子公章。）</w:t>
      </w:r>
      <w:r/>
    </w:p>
    <w:p>
      <w:pPr>
        <w:pStyle w:val="834"/>
        <w:rPr>
          <w:rFonts w:hint="eastAsia" w:eastAsia="宋体" w:cs="宋体"/>
          <w:bCs/>
          <w:color w:val="auto"/>
          <w:highlight w:val="none"/>
          <w:lang w:eastAsia="zh-CN"/>
        </w:rPr>
      </w:pPr>
      <w:r>
        <w:rPr>
          <w:rFonts w:hint="eastAsia" w:eastAsia="宋体" w:cs="宋体"/>
          <w:bCs/>
          <w:color w:val="auto"/>
          <w:highlight w:val="none"/>
          <w:lang w:eastAsia="zh-CN"/>
        </w:rPr>
        <w:t xml:space="preserve">（3）响应供应商满足以下条件（提供承诺书原件）： </w:t>
      </w:r>
      <w:r/>
    </w:p>
    <w:p>
      <w:pPr>
        <w:pStyle w:val="834"/>
        <w:rPr>
          <w:rFonts w:hint="eastAsia" w:eastAsia="宋体" w:cs="宋体"/>
          <w:bCs/>
          <w:color w:val="auto"/>
          <w:highlight w:val="none"/>
          <w:lang w:eastAsia="zh-CN"/>
        </w:rPr>
      </w:pPr>
      <w:r>
        <w:rPr>
          <w:rFonts w:hint="eastAsia" w:eastAsia="宋体" w:cs="宋体"/>
          <w:bCs/>
          <w:color w:val="auto"/>
          <w:highlight w:val="none"/>
          <w:lang w:eastAsia="zh-CN"/>
        </w:rPr>
        <w:t xml:space="preserve">a.未处于被责令停业、投标资格被取消或财产被接管、冻结和破产状态的企业； </w:t>
      </w:r>
      <w:r/>
    </w:p>
    <w:p>
      <w:pPr>
        <w:pStyle w:val="834"/>
        <w:rPr>
          <w:rFonts w:hint="eastAsia" w:eastAsia="宋体" w:cs="宋体"/>
          <w:bCs/>
          <w:color w:val="auto"/>
          <w:highlight w:val="none"/>
          <w:lang w:eastAsia="zh-CN"/>
        </w:rPr>
      </w:pPr>
      <w:r>
        <w:rPr>
          <w:rFonts w:hint="eastAsia" w:eastAsia="宋体" w:cs="宋体"/>
          <w:bCs/>
          <w:color w:val="auto"/>
          <w:highlight w:val="none"/>
          <w:lang w:eastAsia="zh-CN"/>
        </w:rPr>
        <w:t xml:space="preserve">b.企业没有因骗取中标、严重违约或者违规用工、拖欠工人工资以及发生重大工程质量、安全生产事故等问题，被有关部门暂停投标资格并在暂停期内的。</w:t>
      </w:r>
      <w:r/>
    </w:p>
    <w:p>
      <w:pPr>
        <w:pStyle w:val="834"/>
        <w:rPr>
          <w:rFonts w:hint="eastAsia" w:eastAsia="宋体" w:cs="宋体"/>
          <w:bCs/>
          <w:color w:val="auto"/>
          <w:highlight w:val="none"/>
          <w:lang w:eastAsia="zh-CN"/>
        </w:rPr>
      </w:pPr>
      <w:r>
        <w:rPr>
          <w:rFonts w:hint="eastAsia" w:eastAsia="宋体" w:cs="宋体"/>
          <w:bCs/>
          <w:color w:val="auto"/>
          <w:highlight w:val="none"/>
          <w:lang w:eastAsia="zh-CN"/>
        </w:rPr>
        <w:t xml:space="preserve">4.拒绝下述供应商参加本次采购活动：</w:t>
      </w:r>
      <w:r/>
    </w:p>
    <w:p>
      <w:pPr>
        <w:pStyle w:val="834"/>
        <w:rPr>
          <w:rFonts w:hint="eastAsia" w:eastAsia="宋体" w:cs="宋体"/>
          <w:bCs/>
          <w:color w:val="auto"/>
          <w:highlight w:val="none"/>
          <w:lang w:eastAsia="zh-CN"/>
        </w:rPr>
      </w:pPr>
      <w:r>
        <w:rPr>
          <w:rFonts w:hint="eastAsia" w:eastAsia="宋体" w:cs="宋体"/>
          <w:bCs/>
          <w:color w:val="auto"/>
          <w:highlight w:val="none"/>
          <w:lang w:eastAsia="zh-CN"/>
        </w:rPr>
        <w:t xml:space="preserve">（1）供应商单位负责人为同一人或者存在直接控股、管理关系的不同供应商，不得参加同一合同项下的政府采购活动。</w:t>
      </w:r>
      <w:r/>
    </w:p>
    <w:p>
      <w:pPr>
        <w:pStyle w:val="834"/>
        <w:rPr>
          <w:rFonts w:hint="eastAsia" w:eastAsia="宋体" w:cs="宋体"/>
          <w:bCs/>
          <w:color w:val="auto"/>
          <w:highlight w:val="none"/>
          <w:lang w:eastAsia="zh-CN"/>
        </w:rPr>
      </w:pPr>
      <w:r>
        <w:rPr>
          <w:rFonts w:hint="eastAsia" w:eastAsia="宋体" w:cs="宋体"/>
          <w:bCs/>
          <w:color w:val="auto"/>
          <w:highlight w:val="none"/>
          <w:lang w:eastAsia="zh-CN"/>
        </w:rPr>
        <w:t xml:space="preserve">（2）凡为采购项目提供整体设计、规范编制或者项目管理、监理、检测等服务的供应商，不得再参加本项目的采购活动。</w:t>
      </w:r>
      <w:r/>
    </w:p>
    <w:p>
      <w:pPr>
        <w:pStyle w:val="834"/>
        <w:rPr>
          <w:rFonts w:hint="eastAsia" w:eastAsia="宋体" w:cs="宋体"/>
          <w:bCs/>
          <w:color w:val="auto"/>
          <w:highlight w:val="none"/>
          <w:lang w:eastAsia="zh-CN"/>
        </w:rPr>
      </w:pPr>
      <w:r>
        <w:rPr>
          <w:rFonts w:hint="eastAsia" w:eastAsia="宋体" w:cs="宋体"/>
          <w:bCs/>
          <w:color w:val="auto"/>
          <w:highlight w:val="none"/>
          <w:lang w:eastAsia="zh-CN"/>
        </w:rPr>
        <w:t xml:space="preserve">（3）供应商被“信用中国”网站（www.creditchina.gov.cn）、“中国政府采购网"(www.ccgp.gov.cn)列入失信被执行人、重大税收违法案件当事人名单、政府采购严重违法失信行为记录名单。</w:t>
      </w:r>
      <w:r/>
    </w:p>
    <w:p>
      <w:pPr>
        <w:pStyle w:val="834"/>
        <w:ind w:firstLine="482"/>
        <w:rPr>
          <w:rFonts w:hint="eastAsia" w:eastAsia="宋体" w:cs="宋体"/>
          <w:b/>
          <w:bCs/>
          <w:color w:val="auto"/>
          <w:highlight w:val="none"/>
          <w:lang w:eastAsia="zh-CN"/>
        </w:rPr>
      </w:pPr>
      <w:r>
        <w:rPr>
          <w:rFonts w:hint="eastAsia" w:eastAsia="宋体" w:cs="宋体"/>
          <w:b/>
          <w:bCs/>
          <w:color w:val="auto"/>
          <w:highlight w:val="none"/>
          <w:lang w:eastAsia="zh-CN"/>
        </w:rPr>
        <w:t xml:space="preserve">三、获取采购文件</w:t>
      </w:r>
      <w:bookmarkEnd w:id="10"/>
      <w:r/>
      <w:bookmarkEnd w:id="11"/>
      <w:r/>
      <w:bookmarkEnd w:id="12"/>
      <w:r/>
      <w:bookmarkEnd w:id="13"/>
      <w:r/>
      <w:r/>
    </w:p>
    <w:p>
      <w:pPr>
        <w:ind w:firstLine="480"/>
        <w:spacing w:line="360" w:lineRule="auto"/>
        <w:rPr>
          <w:rFonts w:hint="eastAsia" w:ascii="宋体" w:hAnsi="宋体" w:eastAsia="宋体" w:cs="宋体"/>
          <w:bCs/>
          <w:color w:val="auto"/>
          <w:sz w:val="24"/>
          <w:szCs w:val="24"/>
          <w:highlight w:val="none"/>
          <w:lang w:val="zh-TW" w:eastAsia="zh-CN"/>
        </w:rPr>
      </w:pPr>
      <w:r/>
      <w:bookmarkStart w:id="14" w:name="_Toc28359092"/>
      <w:r/>
      <w:bookmarkStart w:id="15" w:name="_Toc35393801"/>
      <w:r/>
      <w:bookmarkStart w:id="16" w:name="_Toc28359015"/>
      <w:r/>
      <w:bookmarkStart w:id="17" w:name="_Toc35393632"/>
      <w:r/>
      <w:bookmarkStart w:id="18" w:name="_Toc35393795"/>
      <w:r/>
      <w:bookmarkStart w:id="19" w:name="_Toc35393626"/>
      <w:r>
        <w:rPr>
          <w:rFonts w:hint="eastAsia" w:ascii="宋体" w:hAnsi="宋体" w:eastAsia="宋体" w:cs="宋体"/>
          <w:bCs/>
          <w:color w:val="auto"/>
          <w:sz w:val="24"/>
          <w:szCs w:val="24"/>
          <w:highlight w:val="none"/>
          <w:lang w:eastAsia="zh-CN"/>
        </w:rPr>
        <w:t xml:space="preserve">时间：</w:t>
      </w:r>
      <w:r>
        <w:rPr>
          <w:rFonts w:hint="eastAsia" w:ascii="宋体" w:hAnsi="宋体" w:eastAsia="宋体" w:cs="宋体"/>
          <w:bCs/>
          <w:color w:val="auto"/>
          <w:sz w:val="24"/>
          <w:szCs w:val="24"/>
          <w:highlight w:val="none"/>
          <w:lang w:val="zh-TW" w:eastAsia="zh-CN"/>
        </w:rPr>
        <w:t xml:space="preserve">自</w:t>
      </w:r>
      <w:r>
        <w:rPr>
          <w:rFonts w:hint="eastAsia" w:ascii="宋体" w:hAnsi="宋体" w:eastAsia="宋体" w:cs="宋体"/>
          <w:bCs/>
          <w:color w:val="auto"/>
          <w:sz w:val="24"/>
          <w:szCs w:val="24"/>
          <w:highlight w:val="none"/>
          <w:lang w:eastAsia="zh-CN"/>
        </w:rPr>
        <w:t xml:space="preserve">采购</w:t>
      </w:r>
      <w:r>
        <w:rPr>
          <w:rFonts w:hint="eastAsia" w:ascii="宋体" w:hAnsi="宋体" w:eastAsia="宋体" w:cs="宋体"/>
          <w:bCs/>
          <w:color w:val="auto"/>
          <w:sz w:val="24"/>
          <w:szCs w:val="24"/>
          <w:highlight w:val="none"/>
          <w:lang w:val="zh-TW" w:eastAsia="zh-CN"/>
        </w:rPr>
        <w:t xml:space="preserve">文件公告发布之日起5个工作日</w:t>
      </w:r>
      <w:r/>
    </w:p>
    <w:p>
      <w:pPr>
        <w:ind w:firstLine="480"/>
        <w:spacing w:line="360" w:lineRule="auto"/>
        <w:rPr>
          <w:rFonts w:hint="eastAsia" w:ascii="宋体" w:hAnsi="宋体" w:eastAsia="宋体" w:cs="宋体"/>
          <w:bCs/>
          <w:color w:val="auto"/>
          <w:sz w:val="24"/>
          <w:szCs w:val="24"/>
          <w:highlight w:val="none"/>
          <w:lang w:val="zh-TW" w:eastAsia="zh-CN"/>
        </w:rPr>
      </w:pPr>
      <w:r>
        <w:rPr>
          <w:rFonts w:hint="eastAsia" w:ascii="宋体" w:hAnsi="宋体" w:eastAsia="宋体" w:cs="宋体"/>
          <w:bCs/>
          <w:color w:val="auto"/>
          <w:sz w:val="24"/>
          <w:szCs w:val="24"/>
          <w:highlight w:val="none"/>
          <w:lang w:val="zh-TW" w:eastAsia="zh-CN"/>
        </w:rPr>
        <w:t xml:space="preserve">地点:江苏政府采购网苏采云系统</w:t>
      </w:r>
      <w:r/>
    </w:p>
    <w:p>
      <w:pPr>
        <w:ind w:firstLine="480"/>
        <w:spacing w:line="360" w:lineRule="auto"/>
        <w:rPr>
          <w:rFonts w:hint="eastAsia" w:ascii="宋体" w:hAnsi="宋体" w:eastAsia="宋体" w:cs="宋体"/>
          <w:bCs/>
          <w:color w:val="auto"/>
          <w:sz w:val="24"/>
          <w:szCs w:val="24"/>
          <w:highlight w:val="none"/>
          <w:lang w:val="zh-TW" w:eastAsia="zh-CN"/>
        </w:rPr>
      </w:pPr>
      <w:r>
        <w:rPr>
          <w:rFonts w:hint="eastAsia" w:ascii="宋体" w:hAnsi="宋体" w:eastAsia="宋体" w:cs="宋体"/>
          <w:bCs/>
          <w:color w:val="auto"/>
          <w:sz w:val="24"/>
          <w:szCs w:val="24"/>
          <w:highlight w:val="none"/>
          <w:lang w:val="zh-TW" w:eastAsia="zh-CN"/>
        </w:rPr>
        <w:t xml:space="preserve">方式:在“江苏政府采购网”自行免费下载采购文件</w:t>
      </w:r>
      <w:r/>
    </w:p>
    <w:p>
      <w:pPr>
        <w:ind w:firstLine="480"/>
        <w:spacing w:line="360" w:lineRule="auto"/>
        <w:rPr>
          <w:rFonts w:hint="eastAsia" w:ascii="宋体" w:hAnsi="宋体" w:eastAsia="宋体" w:cs="宋体"/>
          <w:bCs/>
          <w:color w:val="auto"/>
          <w:sz w:val="24"/>
          <w:szCs w:val="24"/>
          <w:highlight w:val="none"/>
          <w:lang w:val="zh-TW" w:eastAsia="zh-CN"/>
        </w:rPr>
      </w:pPr>
      <w:r>
        <w:rPr>
          <w:rFonts w:hint="eastAsia" w:ascii="宋体" w:hAnsi="宋体" w:eastAsia="宋体" w:cs="宋体"/>
          <w:bCs/>
          <w:color w:val="auto"/>
          <w:sz w:val="24"/>
          <w:szCs w:val="24"/>
          <w:highlight w:val="none"/>
          <w:lang w:val="zh-TW" w:eastAsia="zh-CN"/>
        </w:rPr>
        <w:t xml:space="preserve">售价:0.00元。</w:t>
      </w:r>
      <w:r/>
    </w:p>
    <w:p>
      <w:pPr>
        <w:pStyle w:val="834"/>
        <w:ind w:firstLine="482"/>
        <w:rPr>
          <w:rFonts w:hint="eastAsia" w:eastAsia="宋体" w:cs="宋体"/>
          <w:b/>
          <w:bCs/>
          <w:color w:val="auto"/>
          <w:highlight w:val="none"/>
          <w:lang w:eastAsia="zh-CN"/>
        </w:rPr>
      </w:pPr>
      <w:r>
        <w:rPr>
          <w:rFonts w:hint="eastAsia" w:eastAsia="宋体" w:cs="宋体"/>
          <w:b/>
          <w:bCs/>
          <w:color w:val="auto"/>
          <w:highlight w:val="none"/>
          <w:lang w:eastAsia="zh-CN"/>
        </w:rPr>
        <w:t xml:space="preserve">四、响应文件提交</w:t>
      </w:r>
      <w:bookmarkEnd w:id="14"/>
      <w:r/>
      <w:bookmarkEnd w:id="15"/>
      <w:r/>
      <w:bookmarkEnd w:id="16"/>
      <w:r/>
      <w:bookmarkEnd w:id="17"/>
      <w:r/>
      <w:r/>
    </w:p>
    <w:p>
      <w:pPr>
        <w:pStyle w:val="834"/>
        <w:rPr>
          <w:rFonts w:hint="eastAsia" w:eastAsia="宋体" w:cs="宋体"/>
          <w:bCs/>
          <w:color w:val="auto"/>
          <w:highlight w:val="none"/>
          <w:u w:val="single"/>
          <w:lang w:eastAsia="zh-CN"/>
        </w:rPr>
      </w:pPr>
      <w:r>
        <w:rPr>
          <w:rFonts w:hint="eastAsia" w:eastAsia="宋体" w:cs="宋体"/>
          <w:bCs/>
          <w:color w:val="auto"/>
          <w:highlight w:val="none"/>
          <w:lang w:eastAsia="zh-CN"/>
        </w:rPr>
        <w:t xml:space="preserve">截止时间：</w:t>
      </w:r>
      <w:r>
        <w:rPr>
          <w:rFonts w:hint="eastAsia" w:eastAsia="宋体" w:cs="宋体"/>
          <w:bCs/>
          <w:color w:val="auto"/>
          <w:highlight w:val="none"/>
          <w:u w:val="single"/>
          <w:lang w:eastAsia="zh-CN"/>
        </w:rPr>
        <w:t xml:space="preserve">2026年0</w:t>
      </w:r>
      <w:r>
        <w:rPr>
          <w:rFonts w:hint="eastAsia" w:eastAsia="宋体" w:cs="宋体"/>
          <w:bCs/>
          <w:color w:val="auto"/>
          <w:highlight w:val="none"/>
          <w:u w:val="single"/>
          <w:lang w:val="en-US" w:eastAsia="zh-CN"/>
        </w:rPr>
        <w:t xml:space="preserve">7</w:t>
      </w:r>
      <w:r>
        <w:rPr>
          <w:rFonts w:hint="eastAsia" w:eastAsia="宋体" w:cs="宋体"/>
          <w:bCs/>
          <w:color w:val="auto"/>
          <w:highlight w:val="none"/>
          <w:u w:val="single"/>
          <w:lang w:eastAsia="zh-CN"/>
        </w:rPr>
        <w:t xml:space="preserve">月</w:t>
      </w:r>
      <w:r>
        <w:rPr>
          <w:rFonts w:hint="eastAsia" w:eastAsia="宋体" w:cs="宋体"/>
          <w:bCs/>
          <w:color w:val="auto"/>
          <w:highlight w:val="none"/>
          <w:u w:val="single"/>
          <w:lang w:val="en-US" w:eastAsia="zh-CN"/>
        </w:rPr>
        <w:t xml:space="preserve">06</w:t>
      </w:r>
      <w:r>
        <w:rPr>
          <w:rFonts w:hint="eastAsia" w:eastAsia="宋体" w:cs="宋体"/>
          <w:bCs/>
          <w:color w:val="auto"/>
          <w:highlight w:val="none"/>
          <w:u w:val="single"/>
          <w:lang w:eastAsia="zh-CN"/>
        </w:rPr>
        <w:t xml:space="preserve">日14点30分</w:t>
      </w:r>
      <w:r>
        <w:rPr>
          <w:rFonts w:hint="eastAsia" w:eastAsia="宋体" w:cs="宋体"/>
          <w:bCs/>
          <w:color w:val="auto"/>
          <w:highlight w:val="none"/>
          <w:lang w:eastAsia="zh-CN"/>
        </w:rPr>
        <w:t xml:space="preserve">（北京时间）</w:t>
      </w:r>
      <w:r/>
    </w:p>
    <w:p>
      <w:pPr>
        <w:pStyle w:val="834"/>
        <w:rPr>
          <w:rFonts w:hint="eastAsia" w:eastAsia="宋体" w:cs="宋体"/>
          <w:bCs/>
          <w:color w:val="auto"/>
          <w:highlight w:val="none"/>
          <w:u w:val="single"/>
          <w:lang w:eastAsia="zh-CN"/>
        </w:rPr>
      </w:pPr>
      <w:r>
        <w:rPr>
          <w:rFonts w:hint="eastAsia" w:eastAsia="宋体" w:cs="宋体"/>
          <w:bCs/>
          <w:color w:val="auto"/>
          <w:highlight w:val="none"/>
          <w:lang w:eastAsia="zh-CN"/>
        </w:rPr>
        <w:t xml:space="preserve">地点：“苏采云”政府采购交易系统网上开标大厅</w:t>
      </w:r>
      <w:r/>
    </w:p>
    <w:p>
      <w:pPr>
        <w:pStyle w:val="834"/>
        <w:ind w:firstLine="482"/>
        <w:rPr>
          <w:rFonts w:hint="eastAsia" w:eastAsia="宋体" w:cs="宋体"/>
          <w:b/>
          <w:bCs/>
          <w:color w:val="auto"/>
          <w:highlight w:val="none"/>
          <w:lang w:eastAsia="zh-CN"/>
        </w:rPr>
      </w:pPr>
      <w:r/>
      <w:bookmarkStart w:id="20" w:name="_Toc35393633"/>
      <w:r/>
      <w:bookmarkStart w:id="21" w:name="_Toc35393802"/>
      <w:r/>
      <w:bookmarkStart w:id="22" w:name="_Toc28359016"/>
      <w:r/>
      <w:bookmarkStart w:id="23" w:name="_Toc28359093"/>
      <w:r>
        <w:rPr>
          <w:rFonts w:hint="eastAsia" w:eastAsia="宋体" w:cs="宋体"/>
          <w:b/>
          <w:bCs/>
          <w:color w:val="auto"/>
          <w:highlight w:val="none"/>
          <w:lang w:eastAsia="zh-CN"/>
        </w:rPr>
        <w:t xml:space="preserve">五、开启</w:t>
      </w:r>
      <w:bookmarkEnd w:id="20"/>
      <w:r/>
      <w:bookmarkEnd w:id="21"/>
      <w:r/>
      <w:bookmarkEnd w:id="22"/>
      <w:r/>
      <w:bookmarkEnd w:id="23"/>
      <w:r/>
      <w:r/>
    </w:p>
    <w:p>
      <w:pPr>
        <w:pStyle w:val="834"/>
        <w:rPr>
          <w:rFonts w:hint="eastAsia" w:eastAsia="宋体" w:cs="宋体"/>
          <w:bCs/>
          <w:color w:val="auto"/>
          <w:highlight w:val="none"/>
          <w:u w:val="single"/>
          <w:lang w:eastAsia="zh-CN"/>
        </w:rPr>
      </w:pPr>
      <w:r>
        <w:rPr>
          <w:rFonts w:hint="eastAsia" w:eastAsia="宋体" w:cs="宋体"/>
          <w:bCs/>
          <w:color w:val="auto"/>
          <w:highlight w:val="none"/>
          <w:lang w:eastAsia="zh-CN"/>
        </w:rPr>
        <w:t xml:space="preserve">时间：</w:t>
      </w:r>
      <w:r>
        <w:rPr>
          <w:rFonts w:hint="eastAsia" w:eastAsia="宋体" w:cs="宋体"/>
          <w:bCs/>
          <w:color w:val="auto"/>
          <w:highlight w:val="none"/>
          <w:u w:val="single"/>
          <w:lang w:eastAsia="zh-CN"/>
        </w:rPr>
        <w:t xml:space="preserve">2026年0</w:t>
      </w:r>
      <w:r>
        <w:rPr>
          <w:rFonts w:hint="eastAsia" w:eastAsia="宋体" w:cs="宋体"/>
          <w:bCs/>
          <w:color w:val="auto"/>
          <w:highlight w:val="none"/>
          <w:u w:val="single"/>
          <w:lang w:val="en-US" w:eastAsia="zh-CN"/>
        </w:rPr>
        <w:t xml:space="preserve">7月06</w:t>
      </w:r>
      <w:r>
        <w:rPr>
          <w:rFonts w:hint="eastAsia" w:eastAsia="宋体" w:cs="宋体"/>
          <w:bCs/>
          <w:color w:val="auto"/>
          <w:highlight w:val="none"/>
          <w:u w:val="single"/>
          <w:lang w:eastAsia="zh-CN"/>
        </w:rPr>
        <w:t xml:space="preserve">日14点30分</w:t>
      </w:r>
      <w:r>
        <w:rPr>
          <w:rFonts w:hint="eastAsia" w:eastAsia="宋体" w:cs="宋体"/>
          <w:bCs/>
          <w:color w:val="auto"/>
          <w:highlight w:val="none"/>
          <w:lang w:eastAsia="zh-CN"/>
        </w:rPr>
        <w:t xml:space="preserve">（北京时间）</w:t>
      </w:r>
      <w:r/>
    </w:p>
    <w:p>
      <w:pPr>
        <w:pStyle w:val="834"/>
        <w:rPr>
          <w:rFonts w:hint="eastAsia" w:eastAsia="宋体" w:cs="宋体"/>
          <w:bCs/>
          <w:color w:val="auto"/>
          <w:highlight w:val="none"/>
          <w:lang w:eastAsia="zh-CN"/>
        </w:rPr>
      </w:pPr>
      <w:r>
        <w:rPr>
          <w:rFonts w:hint="eastAsia" w:eastAsia="宋体" w:cs="宋体"/>
          <w:bCs/>
          <w:color w:val="auto"/>
          <w:highlight w:val="none"/>
          <w:lang w:eastAsia="zh-CN"/>
        </w:rPr>
        <w:t xml:space="preserve">地点：</w:t>
      </w:r>
      <w:bookmarkStart w:id="24" w:name="_Toc35393803"/>
      <w:r/>
      <w:bookmarkStart w:id="25" w:name="_Toc35393634"/>
      <w:r/>
      <w:bookmarkStart w:id="26" w:name="_Toc28359094"/>
      <w:r/>
      <w:bookmarkStart w:id="27" w:name="_Toc28359017"/>
      <w:r>
        <w:rPr>
          <w:rFonts w:hint="eastAsia" w:eastAsia="宋体" w:cs="宋体"/>
          <w:bCs/>
          <w:color w:val="auto"/>
          <w:highlight w:val="none"/>
          <w:lang w:eastAsia="zh-CN"/>
        </w:rPr>
        <w:t xml:space="preserve">“苏采云”政府采购交易</w:t>
      </w:r>
      <w:bookmarkStart w:id="1110" w:name="_GoBack"/>
      <w:r/>
      <w:bookmarkEnd w:id="1110"/>
      <w:r>
        <w:rPr>
          <w:rFonts w:hint="eastAsia" w:eastAsia="宋体" w:cs="宋体"/>
          <w:bCs/>
          <w:color w:val="auto"/>
          <w:highlight w:val="none"/>
          <w:lang w:eastAsia="zh-CN"/>
        </w:rPr>
        <w:t xml:space="preserve">系统网上开标大厅</w:t>
      </w:r>
      <w:r/>
    </w:p>
    <w:p>
      <w:pPr>
        <w:pStyle w:val="834"/>
        <w:ind w:firstLine="482"/>
        <w:rPr>
          <w:rFonts w:hint="eastAsia" w:eastAsia="宋体" w:cs="宋体"/>
          <w:b/>
          <w:bCs/>
          <w:color w:val="auto"/>
          <w:highlight w:val="none"/>
          <w:lang w:eastAsia="zh-CN"/>
        </w:rPr>
      </w:pPr>
      <w:r>
        <w:rPr>
          <w:rFonts w:hint="eastAsia" w:eastAsia="宋体" w:cs="宋体"/>
          <w:b/>
          <w:bCs/>
          <w:color w:val="auto"/>
          <w:highlight w:val="none"/>
          <w:lang w:eastAsia="zh-CN"/>
        </w:rPr>
        <w:t xml:space="preserve">六、公告期限</w:t>
      </w:r>
      <w:bookmarkEnd w:id="24"/>
      <w:r/>
      <w:bookmarkEnd w:id="25"/>
      <w:r/>
      <w:bookmarkEnd w:id="26"/>
      <w:r/>
      <w:bookmarkEnd w:id="27"/>
      <w:r/>
      <w:r/>
    </w:p>
    <w:p>
      <w:pPr>
        <w:pStyle w:val="834"/>
        <w:rPr>
          <w:rFonts w:hint="eastAsia" w:eastAsia="宋体" w:cs="宋体"/>
          <w:bCs/>
          <w:color w:val="auto"/>
          <w:highlight w:val="none"/>
          <w:lang w:eastAsia="zh-CN"/>
        </w:rPr>
      </w:pPr>
      <w:r>
        <w:rPr>
          <w:rFonts w:hint="eastAsia" w:eastAsia="宋体" w:cs="宋体"/>
          <w:bCs/>
          <w:color w:val="auto"/>
          <w:highlight w:val="none"/>
          <w:lang w:eastAsia="zh-CN"/>
        </w:rPr>
        <w:t xml:space="preserve">自公告发布之日起3个工作日</w:t>
      </w:r>
      <w:r/>
    </w:p>
    <w:p>
      <w:pPr>
        <w:pStyle w:val="834"/>
        <w:ind w:firstLine="482"/>
        <w:rPr>
          <w:rFonts w:hint="eastAsia" w:eastAsia="宋体" w:cs="宋体"/>
          <w:b/>
          <w:bCs/>
          <w:color w:val="auto"/>
          <w:highlight w:val="none"/>
          <w:lang w:eastAsia="zh-CN"/>
        </w:rPr>
      </w:pPr>
      <w:r>
        <w:rPr>
          <w:rFonts w:hint="eastAsia" w:eastAsia="宋体" w:cs="宋体"/>
          <w:b/>
          <w:bCs/>
          <w:color w:val="auto"/>
          <w:highlight w:val="none"/>
          <w:lang w:eastAsia="zh-CN"/>
        </w:rPr>
        <w:t xml:space="preserve">七、其他补充事宜</w:t>
      </w:r>
      <w:bookmarkEnd w:id="18"/>
      <w:r/>
      <w:bookmarkEnd w:id="19"/>
      <w:r/>
      <w:bookmarkStart w:id="28" w:name="_Toc28359085"/>
      <w:r/>
      <w:bookmarkStart w:id="29" w:name="_Toc35393627"/>
      <w:r/>
      <w:bookmarkStart w:id="30" w:name="_Toc28359008"/>
      <w:r/>
      <w:bookmarkStart w:id="31" w:name="_Toc35393796"/>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1.集中考察现场或答疑：</w:t>
      </w:r>
      <w:r>
        <w:rPr>
          <w:rFonts w:hint="eastAsia" w:ascii="宋体" w:hAnsi="宋体" w:eastAsia="宋体" w:cs="宋体"/>
          <w:color w:val="auto"/>
          <w:sz w:val="24"/>
          <w:szCs w:val="24"/>
          <w:highlight w:val="none"/>
          <w:lang w:eastAsia="zh-CN"/>
        </w:rPr>
        <w:t xml:space="preserve">采购人不统一组织现场踏勘，各供应商可在获取采购文件后响应文件提交截止时间前自行踏勘现场。请各供应商务必对采购文件进行仔细认真阅读，在随后的采购中，对采购文件所作出的推论、解释和结论及由此造成的后果由供应商负责。</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2.潜在供应商访问政府采购管理交易系统（苏采云）的网络地址和方法：</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（2）“CA数字证书”的获取：供应商需办理CA锁，“苏采云”系统目前仅支持“苏采云”系统下的政务CA，省内各地区办理的“苏采云”系统下的政务CA全省通用。</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（3）“CA数字证书”的办理材料以及供应商操作手册详见：http://jsxcmm.com/help/gys.html。</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（4）潜在供应商访问“苏采云”系统的网络地址和方法：“苏采云”系统的网址：http://jszfcg.jsczt.cn/jszc/login。</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（5）采购文件（后缀名为“.kedt”）、供应商操作手册及政府采购客户端工具也可通过“苏采云”系统--已报名项目--报名详情页面内相应链接进行下载。</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（6）招标代理机构（采购代理机构）将数据电文形式的采购文件加载至“苏采云”系统，供潜在供应商下载或者查阅。    </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（7）苏采云系统使用谷歌浏览器参与不见面开标。</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4.磋商保证金数额及交纳办法：本项目不收取磋商保证金。</w:t>
      </w:r>
      <w:r/>
    </w:p>
    <w:p>
      <w:pPr>
        <w:pStyle w:val="834"/>
        <w:rPr>
          <w:rFonts w:eastAsia="宋体" w:cs="宋体"/>
          <w:color w:val="auto"/>
          <w:highlight w:val="none"/>
          <w:lang w:eastAsia="zh-CN"/>
        </w:rPr>
      </w:pPr>
      <w:r>
        <w:rPr>
          <w:rFonts w:hint="eastAsia" w:eastAsia="宋体" w:cs="宋体"/>
          <w:color w:val="auto"/>
          <w:highlight w:val="none"/>
          <w:lang w:eastAsia="zh-CN"/>
        </w:rPr>
        <w:t xml:space="preserve">5.发布平台：</w:t>
      </w:r>
      <w:r>
        <w:rPr>
          <w:rFonts w:hint="eastAsia" w:cs="宋体"/>
          <w:bCs/>
          <w:color w:val="auto"/>
          <w:highlight w:val="none"/>
          <w:lang w:eastAsia="zh-CN"/>
        </w:rPr>
        <w:t xml:space="preserve">江苏政府采购网</w:t>
      </w:r>
      <w:r/>
    </w:p>
    <w:p>
      <w:pPr>
        <w:pStyle w:val="834"/>
        <w:ind w:firstLine="482"/>
        <w:rPr>
          <w:rFonts w:hint="eastAsia" w:eastAsia="宋体" w:cs="宋体"/>
          <w:b/>
          <w:bCs/>
          <w:color w:val="auto"/>
          <w:highlight w:val="none"/>
          <w:lang w:eastAsia="zh-CN"/>
        </w:rPr>
      </w:pPr>
      <w:r>
        <w:rPr>
          <w:rFonts w:hint="eastAsia" w:eastAsia="宋体" w:cs="宋体"/>
          <w:b/>
          <w:bCs/>
          <w:color w:val="auto"/>
          <w:highlight w:val="none"/>
          <w:lang w:eastAsia="zh-CN"/>
        </w:rPr>
        <w:t xml:space="preserve">八、对本次采购提出询问，请按以下方式联系</w:t>
      </w:r>
      <w:bookmarkEnd w:id="28"/>
      <w:r/>
      <w:bookmarkEnd w:id="29"/>
      <w:r/>
      <w:bookmarkEnd w:id="30"/>
      <w:r/>
      <w:bookmarkEnd w:id="31"/>
      <w:r/>
      <w:r/>
    </w:p>
    <w:p>
      <w:pPr>
        <w:pStyle w:val="834"/>
        <w:rPr>
          <w:rFonts w:hint="eastAsia" w:eastAsia="宋体" w:cs="宋体"/>
          <w:bCs/>
          <w:color w:val="auto"/>
          <w:highlight w:val="none"/>
          <w:lang w:eastAsia="zh-CN"/>
        </w:rPr>
      </w:pPr>
      <w:r>
        <w:rPr>
          <w:rFonts w:hint="eastAsia" w:eastAsia="宋体" w:cs="宋体"/>
          <w:bCs/>
          <w:color w:val="auto"/>
          <w:highlight w:val="none"/>
          <w:lang w:eastAsia="zh-CN"/>
        </w:rPr>
        <w:t xml:space="preserve">1.采购人信息</w:t>
      </w:r>
      <w:r/>
    </w:p>
    <w:p>
      <w:pPr>
        <w:ind w:firstLine="480"/>
        <w:spacing w:line="360" w:lineRule="auto"/>
        <w:rPr>
          <w:rFonts w:hint="eastAsia" w:ascii="宋体" w:hAnsi="宋体" w:eastAsia="宋体" w:cs="宋体"/>
          <w:color w:val="auto"/>
          <w:sz w:val="24"/>
          <w:szCs w:val="24"/>
          <w:highlight w:val="none"/>
          <w:lang w:eastAsia="zh-CN"/>
        </w:rPr>
      </w:pPr>
      <w:r/>
      <w:bookmarkStart w:id="32" w:name="_Toc28359009"/>
      <w:r/>
      <w:bookmarkStart w:id="33" w:name="_Toc28359086"/>
      <w:r>
        <w:rPr>
          <w:rFonts w:hint="eastAsia" w:ascii="宋体" w:hAnsi="宋体" w:eastAsia="宋体" w:cs="宋体"/>
          <w:color w:val="auto"/>
          <w:sz w:val="24"/>
          <w:szCs w:val="24"/>
          <w:highlight w:val="none"/>
          <w:lang w:eastAsia="zh-CN"/>
        </w:rPr>
        <w:t xml:space="preserve">采购人：江苏省中国科学院植物研究所</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地址：玄武区前湖后村1号</w:t>
      </w:r>
      <w:r/>
    </w:p>
    <w:p>
      <w:pPr>
        <w:pStyle w:val="834"/>
        <w:rPr>
          <w:rFonts w:hint="eastAsia" w:eastAsia="宋体" w:cs="宋体"/>
          <w:bCs/>
          <w:color w:val="auto"/>
          <w:highlight w:val="none"/>
          <w:lang w:eastAsia="zh-CN"/>
        </w:rPr>
      </w:pPr>
      <w:r>
        <w:rPr>
          <w:rFonts w:hint="eastAsia" w:eastAsia="宋体" w:cs="宋体"/>
          <w:bCs/>
          <w:color w:val="auto"/>
          <w:highlight w:val="none"/>
          <w:lang w:eastAsia="zh-CN"/>
        </w:rPr>
        <w:t xml:space="preserve">联系人： 辛老师</w:t>
      </w:r>
      <w:r>
        <w:rPr>
          <w:rFonts w:hint="eastAsia" w:eastAsia="宋体" w:cs="宋体"/>
          <w:bCs/>
          <w:color w:val="auto"/>
          <w:highlight w:val="none"/>
          <w:lang w:val="en-US" w:eastAsia="zh-CN"/>
        </w:rPr>
        <w:t xml:space="preserve"> </w:t>
      </w:r>
      <w:r>
        <w:rPr>
          <w:rFonts w:hint="eastAsia" w:eastAsia="宋体" w:cs="宋体"/>
          <w:bCs/>
          <w:color w:val="auto"/>
          <w:highlight w:val="none"/>
          <w:lang w:eastAsia="zh-CN"/>
        </w:rPr>
        <w:t xml:space="preserve">姚老师 025-84347161</w:t>
      </w:r>
      <w:r/>
    </w:p>
    <w:p>
      <w:pPr>
        <w:pStyle w:val="834"/>
        <w:rPr>
          <w:rFonts w:hint="eastAsia" w:eastAsia="宋体" w:cs="宋体"/>
          <w:bCs/>
          <w:color w:val="auto"/>
          <w:highlight w:val="none"/>
          <w:lang w:eastAsia="zh-CN"/>
        </w:rPr>
      </w:pPr>
      <w:r>
        <w:rPr>
          <w:rFonts w:hint="eastAsia" w:eastAsia="宋体" w:cs="宋体"/>
          <w:bCs/>
          <w:color w:val="auto"/>
          <w:highlight w:val="none"/>
          <w:lang w:eastAsia="zh-CN"/>
        </w:rPr>
        <w:t xml:space="preserve">2.采购代理机构信息</w:t>
      </w:r>
      <w:bookmarkEnd w:id="32"/>
      <w:r/>
      <w:bookmarkEnd w:id="33"/>
      <w:r/>
      <w:r/>
    </w:p>
    <w:p>
      <w:pPr>
        <w:pStyle w:val="834"/>
        <w:rPr>
          <w:rFonts w:hint="eastAsia" w:eastAsia="宋体" w:cs="宋体"/>
          <w:bCs/>
          <w:color w:val="auto"/>
          <w:highlight w:val="none"/>
          <w:lang w:eastAsia="zh-CN"/>
        </w:rPr>
      </w:pPr>
      <w:r>
        <w:rPr>
          <w:rFonts w:hint="eastAsia" w:eastAsia="宋体" w:cs="宋体"/>
          <w:bCs/>
          <w:color w:val="auto"/>
          <w:highlight w:val="none"/>
          <w:lang w:eastAsia="zh-CN"/>
        </w:rPr>
        <w:t xml:space="preserve">名称：大洲设计咨询集团有限公司　</w:t>
      </w:r>
      <w:r/>
    </w:p>
    <w:p>
      <w:pPr>
        <w:pStyle w:val="834"/>
        <w:rPr>
          <w:rFonts w:hint="eastAsia" w:eastAsia="宋体" w:cs="宋体"/>
          <w:bCs/>
          <w:color w:val="auto"/>
          <w:highlight w:val="none"/>
          <w:lang w:eastAsia="zh-CN"/>
        </w:rPr>
      </w:pPr>
      <w:r>
        <w:rPr>
          <w:rFonts w:hint="eastAsia" w:eastAsia="宋体" w:cs="宋体"/>
          <w:bCs/>
          <w:color w:val="auto"/>
          <w:highlight w:val="none"/>
          <w:lang w:eastAsia="zh-CN"/>
        </w:rPr>
        <w:t xml:space="preserve">地址：南京市浦口区浦滨路150号中科创新广场2号楼19楼</w:t>
      </w:r>
      <w:r/>
    </w:p>
    <w:p>
      <w:pPr>
        <w:pStyle w:val="834"/>
        <w:rPr>
          <w:rFonts w:hint="eastAsia" w:eastAsia="宋体" w:cs="宋体"/>
          <w:bCs/>
          <w:color w:val="auto"/>
          <w:highlight w:val="none"/>
          <w:lang w:eastAsia="zh-CN"/>
        </w:rPr>
      </w:pPr>
      <w:r>
        <w:rPr>
          <w:rFonts w:hint="eastAsia" w:eastAsia="宋体" w:cs="宋体"/>
          <w:bCs/>
          <w:color w:val="auto"/>
          <w:highlight w:val="none"/>
          <w:lang w:eastAsia="zh-CN"/>
        </w:rPr>
        <w:t xml:space="preserve">联系方式：</w:t>
      </w:r>
      <w:bookmarkStart w:id="34" w:name="_Toc28359087"/>
      <w:r/>
      <w:bookmarkStart w:id="35" w:name="_Toc28359010"/>
      <w:r>
        <w:rPr>
          <w:rFonts w:hint="eastAsia" w:eastAsia="宋体" w:cs="宋体"/>
          <w:bCs/>
          <w:color w:val="auto"/>
          <w:highlight w:val="none"/>
          <w:lang w:eastAsia="zh-CN"/>
        </w:rPr>
        <w:t xml:space="preserve">18061483081</w:t>
      </w:r>
      <w:r/>
    </w:p>
    <w:p>
      <w:pPr>
        <w:pStyle w:val="834"/>
        <w:rPr>
          <w:rFonts w:hint="eastAsia" w:eastAsia="宋体" w:cs="宋体"/>
          <w:bCs/>
          <w:color w:val="auto"/>
          <w:highlight w:val="none"/>
          <w:lang w:eastAsia="zh-CN"/>
        </w:rPr>
      </w:pPr>
      <w:r>
        <w:rPr>
          <w:rFonts w:hint="eastAsia" w:eastAsia="宋体" w:cs="宋体"/>
          <w:bCs/>
          <w:color w:val="auto"/>
          <w:highlight w:val="none"/>
          <w:lang w:eastAsia="zh-CN"/>
        </w:rPr>
        <w:t xml:space="preserve">3.项目联系方式</w:t>
      </w:r>
      <w:bookmarkEnd w:id="34"/>
      <w:r/>
      <w:bookmarkEnd w:id="35"/>
      <w:r/>
      <w:r/>
    </w:p>
    <w:p>
      <w:pPr>
        <w:pStyle w:val="834"/>
        <w:rPr>
          <w:rFonts w:hint="eastAsia" w:eastAsia="宋体" w:cs="宋体"/>
          <w:bCs/>
          <w:color w:val="auto"/>
          <w:highlight w:val="none"/>
          <w:lang w:eastAsia="zh-CN"/>
        </w:rPr>
      </w:pPr>
      <w:r>
        <w:rPr>
          <w:rFonts w:hint="eastAsia" w:eastAsia="宋体" w:cs="宋体"/>
          <w:bCs/>
          <w:color w:val="auto"/>
          <w:highlight w:val="none"/>
          <w:lang w:eastAsia="zh-CN"/>
        </w:rPr>
        <w:t xml:space="preserve">项目联系人：张工  马工 </w:t>
      </w:r>
      <w:r/>
    </w:p>
    <w:p>
      <w:pPr>
        <w:pStyle w:val="834"/>
        <w:rPr>
          <w:rFonts w:hint="eastAsia" w:eastAsia="宋体" w:cs="宋体"/>
          <w:bCs/>
          <w:color w:val="auto"/>
          <w:highlight w:val="none"/>
          <w:lang w:eastAsia="zh-CN"/>
        </w:rPr>
      </w:pPr>
      <w:r>
        <w:rPr>
          <w:rFonts w:hint="eastAsia" w:eastAsia="宋体" w:cs="宋体"/>
          <w:bCs/>
          <w:color w:val="auto"/>
          <w:highlight w:val="none"/>
          <w:lang w:eastAsia="zh-CN"/>
        </w:rPr>
        <w:t xml:space="preserve">电话：18061483081</w:t>
      </w:r>
      <w:r/>
    </w:p>
    <w:p>
      <w:pPr>
        <w:pStyle w:val="766"/>
        <w:jc w:val="center"/>
        <w:spacing w:line="360" w:lineRule="auto"/>
        <w:tabs>
          <w:tab w:val="left" w:pos="4171" w:leader="none"/>
        </w:tabs>
        <w:rPr>
          <w:color w:val="auto"/>
          <w:highlight w:val="none"/>
          <w:lang w:eastAsia="zh-CN"/>
        </w:rPr>
      </w:pPr>
      <w:r/>
      <w:bookmarkStart w:id="36" w:name="_Toc24193"/>
      <w:r>
        <w:rPr>
          <w:color w:val="auto"/>
          <w:sz w:val="36"/>
          <w:szCs w:val="36"/>
          <w:highlight w:val="none"/>
          <w:lang w:eastAsia="zh-CN"/>
        </w:rPr>
        <w:br w:type="page" w:clear="all"/>
      </w:r>
      <w:r>
        <w:rPr>
          <w:color w:val="auto"/>
          <w:sz w:val="36"/>
          <w:szCs w:val="36"/>
          <w:highlight w:val="none"/>
          <w:lang w:eastAsia="zh-CN"/>
        </w:rPr>
        <w:t xml:space="preserve">第二章</w:t>
      </w:r>
      <w:r>
        <w:rPr>
          <w:rFonts w:hint="eastAsia"/>
          <w:color w:val="auto"/>
          <w:sz w:val="36"/>
          <w:szCs w:val="36"/>
          <w:highlight w:val="none"/>
          <w:lang w:eastAsia="zh-CN"/>
        </w:rPr>
        <w:t xml:space="preserve">  </w:t>
      </w:r>
      <w:r>
        <w:rPr>
          <w:color w:val="auto"/>
          <w:sz w:val="36"/>
          <w:szCs w:val="36"/>
          <w:highlight w:val="none"/>
          <w:lang w:eastAsia="zh-CN"/>
        </w:rPr>
        <w:t xml:space="preserve">供应商须知</w:t>
      </w:r>
      <w:bookmarkEnd w:id="36"/>
      <w:r/>
      <w:bookmarkStart w:id="37" w:name="_bookmark2"/>
      <w:r/>
      <w:bookmarkEnd w:id="37"/>
      <w:r/>
      <w:r/>
    </w:p>
    <w:p>
      <w:pPr>
        <w:ind w:firstLine="482"/>
        <w:spacing w:line="360" w:lineRule="auto"/>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val="zh-CN" w:eastAsia="zh-CN"/>
        </w:rPr>
        <w:t xml:space="preserve">一、总则</w:t>
      </w:r>
      <w:r/>
    </w:p>
    <w:p>
      <w:pPr>
        <w:ind w:firstLine="480"/>
        <w:spacing w:line="360" w:lineRule="auto"/>
        <w:rPr>
          <w:rFonts w:hint="eastAsia" w:ascii="宋体" w:hAnsi="宋体" w:eastAsia="宋体" w:cs="宋体"/>
          <w:color w:val="auto"/>
          <w:sz w:val="24"/>
          <w:szCs w:val="24"/>
          <w:highlight w:val="none"/>
          <w:lang w:val="zh-CN" w:eastAsia="zh-CN"/>
        </w:rPr>
      </w:pPr>
      <w:r/>
      <w:bookmarkStart w:id="38" w:name="_Toc508699410"/>
      <w:r>
        <w:rPr>
          <w:rFonts w:hint="eastAsia" w:ascii="宋体" w:hAnsi="宋体" w:eastAsia="宋体" w:cs="宋体"/>
          <w:color w:val="auto"/>
          <w:sz w:val="24"/>
          <w:szCs w:val="24"/>
          <w:highlight w:val="none"/>
          <w:lang w:val="zh-CN" w:eastAsia="zh-CN"/>
        </w:rPr>
        <w:t xml:space="preserve">1、法律</w:t>
      </w:r>
      <w:bookmarkEnd w:id="38"/>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1.1 《中华人民共和国政府采购法》《中华人民共和国政府采购法实施条例》</w:t>
      </w:r>
      <w:r>
        <w:rPr>
          <w:rFonts w:hint="eastAsia" w:ascii="宋体" w:hAnsi="宋体" w:eastAsia="宋体" w:cs="宋体"/>
          <w:color w:val="auto"/>
          <w:sz w:val="24"/>
          <w:szCs w:val="24"/>
          <w:highlight w:val="none"/>
          <w:lang w:eastAsia="zh-CN"/>
        </w:rPr>
        <w:t xml:space="preserve">《政府采购竞争性磋商采购方式管理暂行办法》</w:t>
      </w:r>
      <w:r>
        <w:rPr>
          <w:rFonts w:hint="eastAsia" w:ascii="宋体" w:hAnsi="宋体" w:eastAsia="宋体" w:cs="宋体"/>
          <w:color w:val="auto"/>
          <w:sz w:val="24"/>
          <w:szCs w:val="24"/>
          <w:highlight w:val="none"/>
          <w:lang w:val="zh-CN" w:eastAsia="zh-CN"/>
        </w:rPr>
        <w:t xml:space="preserve">等有关法律、规章和规定等。</w:t>
      </w:r>
      <w:r/>
    </w:p>
    <w:p>
      <w:pPr>
        <w:ind w:firstLine="482"/>
        <w:spacing w:line="360" w:lineRule="auto"/>
        <w:rPr>
          <w:rFonts w:hint="eastAsia" w:ascii="宋体" w:hAnsi="宋体" w:eastAsia="宋体" w:cs="宋体"/>
          <w:b/>
          <w:color w:val="auto"/>
          <w:sz w:val="24"/>
          <w:szCs w:val="24"/>
          <w:highlight w:val="none"/>
          <w:lang w:val="zh-CN" w:eastAsia="zh-CN"/>
        </w:rPr>
      </w:pPr>
      <w:r/>
      <w:bookmarkStart w:id="39" w:name="_Toc508699411"/>
      <w:r>
        <w:rPr>
          <w:rFonts w:hint="eastAsia" w:ascii="宋体" w:hAnsi="宋体" w:eastAsia="宋体" w:cs="宋体"/>
          <w:b/>
          <w:color w:val="auto"/>
          <w:sz w:val="24"/>
          <w:szCs w:val="24"/>
          <w:highlight w:val="none"/>
          <w:lang w:val="zh-CN" w:eastAsia="zh-CN"/>
        </w:rPr>
        <w:t xml:space="preserve">2、定义</w:t>
      </w:r>
      <w:bookmarkEnd w:id="39"/>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2.1 “</w:t>
      </w:r>
      <w:r>
        <w:rPr>
          <w:rFonts w:hint="eastAsia" w:ascii="宋体" w:hAnsi="宋体" w:eastAsia="宋体" w:cs="宋体"/>
          <w:b/>
          <w:color w:val="auto"/>
          <w:sz w:val="24"/>
          <w:szCs w:val="24"/>
          <w:highlight w:val="none"/>
          <w:lang w:val="zh-CN" w:eastAsia="zh-CN"/>
        </w:rPr>
        <w:t xml:space="preserve">供应商</w:t>
      </w: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eastAsia="zh-CN"/>
        </w:rPr>
        <w:t xml:space="preserve">是指参加磋商竞争，并符合采购文件规定资格条件的法人、其他组织或者自然人。</w:t>
      </w:r>
      <w:r/>
    </w:p>
    <w:p>
      <w:pPr>
        <w:ind w:firstLine="480"/>
        <w:spacing w:line="360" w:lineRule="auto"/>
        <w:rPr>
          <w:rFonts w:hint="eastAsia" w:ascii="宋体" w:hAnsi="宋体" w:eastAsia="宋体" w:cs="宋体"/>
          <w:b/>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2.2 “工程”指本采购文件中所述相关工程。</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2.3 “用户或使用单位”是指使用</w:t>
      </w:r>
      <w:r>
        <w:rPr>
          <w:rFonts w:hint="eastAsia" w:ascii="宋体" w:hAnsi="宋体" w:eastAsia="宋体" w:cs="宋体"/>
          <w:color w:val="auto"/>
          <w:sz w:val="24"/>
          <w:szCs w:val="24"/>
          <w:highlight w:val="none"/>
          <w:lang w:eastAsia="zh-CN"/>
        </w:rPr>
        <w:t xml:space="preserve">本工程</w:t>
      </w:r>
      <w:r>
        <w:rPr>
          <w:rFonts w:hint="eastAsia" w:ascii="宋体" w:hAnsi="宋体" w:eastAsia="宋体" w:cs="宋体"/>
          <w:color w:val="auto"/>
          <w:sz w:val="24"/>
          <w:szCs w:val="24"/>
          <w:highlight w:val="none"/>
          <w:lang w:val="zh-CN" w:eastAsia="zh-CN"/>
        </w:rPr>
        <w:t xml:space="preserve">的单位。</w:t>
      </w:r>
      <w:r/>
    </w:p>
    <w:p>
      <w:pPr>
        <w:ind w:firstLine="482"/>
        <w:spacing w:line="360" w:lineRule="auto"/>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val="zh-CN" w:eastAsia="zh-CN"/>
        </w:rPr>
        <w:t xml:space="preserve">3、政策功能</w:t>
      </w:r>
      <w:r/>
    </w:p>
    <w:p>
      <w:pPr>
        <w:ind w:firstLine="420"/>
        <w:spacing w:line="360" w:lineRule="auto"/>
        <w:rPr>
          <w:rFonts w:hint="eastAsia" w:ascii="宋体" w:hAnsi="宋体" w:eastAsia="宋体" w:cs="宋体"/>
          <w:b/>
          <w:color w:val="auto"/>
          <w:sz w:val="24"/>
          <w:szCs w:val="24"/>
          <w:highlight w:val="none"/>
          <w:lang w:eastAsia="zh-CN"/>
        </w:rPr>
        <w:outlineLvl w:val="0"/>
      </w:pPr>
      <w:r/>
      <w:bookmarkStart w:id="40" w:name="_Toc508699412"/>
      <w:r>
        <w:rPr>
          <w:rFonts w:hint="eastAsia" w:ascii="宋体" w:hAnsi="宋体" w:eastAsia="宋体" w:cs="宋体"/>
          <w:b/>
          <w:color w:val="auto"/>
          <w:sz w:val="24"/>
          <w:szCs w:val="24"/>
          <w:highlight w:val="none"/>
          <w:lang w:eastAsia="zh-CN"/>
        </w:rPr>
        <w:t xml:space="preserve">3.1 中小企业、监狱企业、残疾人福利性单位相关政策</w:t>
      </w:r>
      <w:r/>
    </w:p>
    <w:p>
      <w:pPr>
        <w:ind w:firstLine="480"/>
        <w:spacing w:line="360" w:lineRule="auto"/>
        <w:rPr>
          <w:rFonts w:hint="eastAsia" w:ascii="宋体" w:hAnsi="宋体" w:eastAsia="宋体" w:cs="宋体"/>
          <w:color w:val="auto"/>
          <w:sz w:val="24"/>
          <w:szCs w:val="24"/>
          <w:highlight w:val="none"/>
          <w:lang w:eastAsia="zh-CN"/>
        </w:rPr>
        <w:outlineLvl w:val="0"/>
      </w:pPr>
      <w:r>
        <w:rPr>
          <w:rFonts w:hint="eastAsia" w:ascii="宋体" w:hAnsi="宋体" w:eastAsia="宋体" w:cs="宋体"/>
          <w:color w:val="auto"/>
          <w:sz w:val="24"/>
          <w:szCs w:val="24"/>
          <w:highlight w:val="none"/>
          <w:lang w:eastAsia="zh-CN"/>
        </w:rPr>
        <w:t xml:space="preserve">（1）政府采购促进中小企业发展，小企业（含小型、微型企业）提供的产品和服务在评标时将获得优势，参加投标（响应）的小企业，应当提供《中小企业声明函》（“中小企业划型标准”详见《关于印发中小企业划型标准规定的通知》工信部联企业〔2011〕300号及国家统计局关于印发《统计上大中小微型企业划分办法（2017）》的通知》）。</w:t>
      </w:r>
      <w:r/>
    </w:p>
    <w:p>
      <w:pPr>
        <w:ind w:firstLine="420"/>
        <w:spacing w:line="360" w:lineRule="auto"/>
        <w:rPr>
          <w:rFonts w:hint="eastAsia" w:ascii="宋体" w:hAnsi="宋体" w:eastAsia="宋体" w:cs="宋体"/>
          <w:color w:val="auto"/>
          <w:sz w:val="24"/>
          <w:szCs w:val="24"/>
          <w:highlight w:val="none"/>
          <w:lang w:eastAsia="zh-CN"/>
        </w:rPr>
        <w:outlineLvl w:val="0"/>
      </w:pPr>
      <w:r>
        <w:rPr>
          <w:rFonts w:hint="eastAsia" w:ascii="宋体" w:hAnsi="宋体" w:eastAsia="宋体" w:cs="宋体"/>
          <w:color w:val="auto"/>
          <w:sz w:val="24"/>
          <w:szCs w:val="24"/>
          <w:highlight w:val="none"/>
          <w:lang w:eastAsia="zh-CN"/>
        </w:rPr>
        <w:t xml:space="preserve">（2）对于专门面向中小企业或小型、微型企业的项目，只面向中小企业或小型、微型企业采购。对于非专门面向中小企业的货物服务采购项目，对符合规定的小微企业报价给予10%的扣除，用扣除后的价格参加评审。政府采购工程的价格评审优惠按照财库〔2020〕46号文件的规定执行（工程项目为5%）。</w:t>
      </w:r>
      <w:r/>
    </w:p>
    <w:p>
      <w:pPr>
        <w:ind w:firstLine="420"/>
        <w:spacing w:line="360" w:lineRule="auto"/>
        <w:rPr>
          <w:rFonts w:hint="eastAsia" w:ascii="宋体" w:hAnsi="宋体" w:eastAsia="宋体" w:cs="宋体"/>
          <w:b/>
          <w:bCs/>
          <w:color w:val="auto"/>
          <w:sz w:val="24"/>
          <w:szCs w:val="24"/>
          <w:highlight w:val="none"/>
          <w:lang w:eastAsia="zh-CN"/>
        </w:rPr>
        <w:outlineLvl w:val="0"/>
      </w:pPr>
      <w:r>
        <w:rPr>
          <w:rFonts w:hint="eastAsia" w:ascii="宋体" w:hAnsi="宋体" w:eastAsia="宋体" w:cs="宋体"/>
          <w:color w:val="auto"/>
          <w:sz w:val="24"/>
          <w:szCs w:val="24"/>
          <w:highlight w:val="none"/>
          <w:lang w:eastAsia="zh-CN"/>
        </w:rPr>
        <w:t xml:space="preserve">（3）对于接受供应商以联合体形式参加采购活动的项目，小型、微型企业联合体应当符合《政府采购促进中小企业发展管理办法》的通知（财库〔2020〕46号）第四条的规定。联合协议中约定，小型、微型企业的协议合同金额占到联合体协议合同总金额30%以上的，给予联合体4%的价格扣除。联合体各方均为小型、微型企业的，联合体视同为小型、微型企业给予10%价格扣除。组成联合体的大中型企业和其他自然人、法人或者其他组织，与小型、微型企业之间不得存在投资关系。政府采购工程的价格评审优惠按照财库〔2020〕46号文件的规定执行。</w:t>
      </w:r>
      <w:r/>
    </w:p>
    <w:p>
      <w:pPr>
        <w:ind w:firstLine="420"/>
        <w:spacing w:line="360" w:lineRule="auto"/>
        <w:rPr>
          <w:rFonts w:hint="eastAsia" w:ascii="宋体" w:hAnsi="宋体" w:eastAsia="宋体" w:cs="宋体"/>
          <w:color w:val="auto"/>
          <w:sz w:val="24"/>
          <w:szCs w:val="24"/>
          <w:highlight w:val="none"/>
          <w:lang w:eastAsia="zh-CN"/>
        </w:rPr>
        <w:outlineLvl w:val="0"/>
      </w:pPr>
      <w:r>
        <w:rPr>
          <w:rFonts w:hint="eastAsia" w:ascii="宋体" w:hAnsi="宋体" w:eastAsia="宋体" w:cs="宋体"/>
          <w:color w:val="auto"/>
          <w:sz w:val="24"/>
          <w:szCs w:val="24"/>
          <w:highlight w:val="none"/>
          <w:lang w:eastAsia="zh-CN"/>
        </w:rPr>
        <w:t xml:space="preserve">（4）根据《财库〔2014〕68号》监狱企业视同小型、微型企业，享受中小企业发展的政府采购政策（监狱企业参加政府采购活动时，应当提供由省级以上监狱管理局、戒毒管理局（含新疆生产建设兵团）出具的属于监狱企业的证明文件），未提供上述资料的报价，其价格不予扣除。</w:t>
      </w:r>
      <w:r/>
    </w:p>
    <w:p>
      <w:pPr>
        <w:ind w:firstLine="420"/>
        <w:spacing w:line="360" w:lineRule="auto"/>
        <w:rPr>
          <w:rFonts w:hint="eastAsia" w:ascii="宋体" w:hAnsi="宋体" w:eastAsia="宋体" w:cs="宋体"/>
          <w:color w:val="auto"/>
          <w:sz w:val="24"/>
          <w:szCs w:val="24"/>
          <w:highlight w:val="none"/>
          <w:lang w:eastAsia="zh-CN"/>
        </w:rPr>
        <w:outlineLvl w:val="0"/>
      </w:pPr>
      <w:r>
        <w:rPr>
          <w:rFonts w:hint="eastAsia" w:ascii="宋体" w:hAnsi="宋体" w:eastAsia="宋体" w:cs="宋体"/>
          <w:color w:val="auto"/>
          <w:sz w:val="24"/>
          <w:szCs w:val="24"/>
          <w:highlight w:val="none"/>
          <w:lang w:eastAsia="zh-CN"/>
        </w:rPr>
        <w:t xml:space="preserve">（5）根据《财库〔2017〕141号》符合条件的残疾人福利性单位视同小型、微型企业，享受中小企业发展的政府采购政策。残疾人福利性单位属于小型、微型企业的，不重复享受政策。参加投标（响应）的残疾人福利性单位，应当提供 《残疾人福利性单位声明函》，未提供上述资料的报价，其价格不予扣除。</w:t>
      </w:r>
      <w:r/>
    </w:p>
    <w:p>
      <w:pPr>
        <w:ind w:firstLine="420"/>
        <w:spacing w:line="360" w:lineRule="auto"/>
        <w:rPr>
          <w:rFonts w:hint="eastAsia" w:ascii="宋体" w:hAnsi="宋体" w:eastAsia="宋体" w:cs="宋体"/>
          <w:color w:val="auto"/>
          <w:sz w:val="24"/>
          <w:szCs w:val="24"/>
          <w:highlight w:val="none"/>
          <w:lang w:eastAsia="zh-CN"/>
        </w:rPr>
        <w:outlineLvl w:val="0"/>
      </w:pPr>
      <w:r>
        <w:rPr>
          <w:rFonts w:hint="eastAsia" w:ascii="宋体" w:hAnsi="宋体" w:eastAsia="宋体" w:cs="宋体"/>
          <w:color w:val="auto"/>
          <w:sz w:val="24"/>
          <w:szCs w:val="24"/>
          <w:highlight w:val="none"/>
          <w:lang w:eastAsia="zh-CN"/>
        </w:rPr>
        <w:t xml:space="preserve">（6）参加政府采购活动的中小企业应当按“关于印发《政府采购促进中小企业发展管理办法》的通知[财库〔2020〕46号]” 规定提供《中小企业声明函》，未提供上述资料的报价，其价格不予扣除。</w:t>
      </w:r>
      <w:r/>
    </w:p>
    <w:p>
      <w:pPr>
        <w:ind w:firstLine="420"/>
        <w:spacing w:line="360" w:lineRule="auto"/>
        <w:rPr>
          <w:rFonts w:hint="eastAsia" w:ascii="宋体" w:hAnsi="宋体" w:eastAsia="宋体" w:cs="宋体"/>
          <w:color w:val="auto"/>
          <w:sz w:val="24"/>
          <w:szCs w:val="24"/>
          <w:highlight w:val="none"/>
          <w:lang w:eastAsia="zh-CN"/>
        </w:rPr>
        <w:outlineLvl w:val="0"/>
      </w:pPr>
      <w:r>
        <w:rPr>
          <w:rFonts w:hint="eastAsia" w:ascii="宋体" w:hAnsi="宋体" w:eastAsia="宋体" w:cs="宋体"/>
          <w:color w:val="auto"/>
          <w:sz w:val="24"/>
          <w:szCs w:val="24"/>
          <w:highlight w:val="none"/>
          <w:lang w:eastAsia="zh-CN"/>
        </w:rPr>
        <w:t xml:space="preserve">（7）中小企业依据《政府采购促进中小企业发展管理办法》的通知（财库〔2020〕46号）、《关于进一步加大政府采购支持中小企业力度的通知》（财库〔2022〕19号）规定的政策获取政府采购合同后，小微企业不得将合同分包给大中型企业，中型企业不得将合同分包给大型企业。</w:t>
      </w:r>
      <w:r/>
    </w:p>
    <w:p>
      <w:pPr>
        <w:ind w:firstLine="482"/>
        <w:spacing w:line="360" w:lineRule="auto"/>
        <w:rPr>
          <w:rFonts w:hint="eastAsia" w:ascii="宋体" w:hAnsi="宋体" w:eastAsia="宋体" w:cs="宋体"/>
          <w:b/>
          <w:bCs/>
          <w:color w:val="auto"/>
          <w:sz w:val="24"/>
          <w:szCs w:val="24"/>
          <w:highlight w:val="none"/>
          <w:lang w:val="zh-CN" w:eastAsia="zh-CN"/>
        </w:rPr>
      </w:pPr>
      <w:r>
        <w:rPr>
          <w:rFonts w:hint="eastAsia" w:ascii="宋体" w:hAnsi="宋体" w:eastAsia="宋体" w:cs="宋体"/>
          <w:b/>
          <w:color w:val="auto"/>
          <w:sz w:val="24"/>
          <w:szCs w:val="24"/>
          <w:highlight w:val="none"/>
          <w:lang w:eastAsia="zh-CN"/>
        </w:rPr>
        <w:t xml:space="preserve">4、</w:t>
      </w:r>
      <w:r>
        <w:rPr>
          <w:rFonts w:hint="eastAsia" w:ascii="宋体" w:hAnsi="宋体" w:eastAsia="宋体" w:cs="宋体"/>
          <w:b/>
          <w:bCs/>
          <w:color w:val="auto"/>
          <w:sz w:val="24"/>
          <w:szCs w:val="24"/>
          <w:highlight w:val="none"/>
          <w:lang w:val="zh-CN" w:eastAsia="zh-CN"/>
        </w:rPr>
        <w:t xml:space="preserve">磋商费用</w:t>
      </w:r>
      <w:bookmarkEnd w:id="40"/>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4.1 供应商应承担所有与准备和参加磋商有关的费用，无论采购结果如何，代理人和采购人在任何情况下均无义务和责任承担这些费用。</w:t>
      </w:r>
      <w:r/>
    </w:p>
    <w:p>
      <w:pPr>
        <w:ind w:firstLine="482"/>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color w:val="auto"/>
          <w:sz w:val="24"/>
          <w:szCs w:val="24"/>
          <w:highlight w:val="none"/>
          <w:lang w:val="zh-CN" w:eastAsia="zh-CN"/>
        </w:rPr>
        <w:t xml:space="preserve">4.2本次采购招标代理服务费由</w:t>
      </w:r>
      <w:r>
        <w:rPr>
          <w:rFonts w:hint="eastAsia" w:ascii="宋体" w:hAnsi="宋体" w:eastAsia="宋体" w:cs="宋体"/>
          <w:b/>
          <w:color w:val="auto"/>
          <w:sz w:val="24"/>
          <w:szCs w:val="24"/>
          <w:highlight w:val="none"/>
          <w:lang w:eastAsia="zh-CN"/>
        </w:rPr>
        <w:t xml:space="preserve">成交</w:t>
      </w:r>
      <w:r>
        <w:rPr>
          <w:rFonts w:hint="eastAsia" w:ascii="宋体" w:hAnsi="宋体" w:eastAsia="宋体" w:cs="宋体"/>
          <w:b/>
          <w:color w:val="auto"/>
          <w:sz w:val="24"/>
          <w:szCs w:val="24"/>
          <w:highlight w:val="none"/>
          <w:lang w:val="zh-CN" w:eastAsia="zh-CN"/>
        </w:rPr>
        <w:t xml:space="preserve">供应商按照国家发展计划委员会发布的《招标代理服务收费管理暂行办法》（计价格[2002]1980号）文60%支付给采购代理机构，单个项目保底收费3000元；清单及控制价编制费按苏价服〔2014〕383号文收费标准60%收取。请供应商予以关注并核算到总报价中，以上费用无需单独列项。</w:t>
      </w:r>
      <w:r/>
    </w:p>
    <w:p>
      <w:pPr>
        <w:ind w:firstLine="482"/>
        <w:spacing w:line="360" w:lineRule="auto"/>
        <w:rPr>
          <w:rFonts w:hint="eastAsia" w:ascii="宋体" w:hAnsi="宋体" w:eastAsia="宋体" w:cs="宋体"/>
          <w:b/>
          <w:color w:val="auto"/>
          <w:sz w:val="24"/>
          <w:szCs w:val="24"/>
          <w:highlight w:val="none"/>
          <w:lang w:val="zh-CN" w:eastAsia="zh-CN"/>
        </w:rPr>
      </w:pPr>
      <w:r>
        <w:rPr>
          <w:rFonts w:hint="eastAsia" w:ascii="宋体" w:hAnsi="宋体" w:eastAsia="宋体" w:cs="宋体"/>
          <w:b/>
          <w:color w:val="auto"/>
          <w:sz w:val="24"/>
          <w:szCs w:val="24"/>
          <w:highlight w:val="none"/>
          <w:lang w:val="zh-CN" w:eastAsia="zh-CN"/>
        </w:rPr>
        <w:t xml:space="preserve">二、响应文件编制</w:t>
      </w:r>
      <w:r/>
    </w:p>
    <w:p>
      <w:pPr>
        <w:ind w:firstLine="482"/>
        <w:spacing w:line="360" w:lineRule="auto"/>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val="zh-CN" w:eastAsia="zh-CN"/>
        </w:rPr>
        <w:t xml:space="preserve">5、</w:t>
      </w:r>
      <w:r>
        <w:rPr>
          <w:rFonts w:hint="eastAsia" w:ascii="宋体" w:hAnsi="宋体" w:eastAsia="宋体" w:cs="宋体"/>
          <w:color w:val="auto"/>
          <w:sz w:val="24"/>
          <w:szCs w:val="24"/>
          <w:highlight w:val="none"/>
          <w:lang w:val="zh-CN" w:eastAsia="zh-CN"/>
        </w:rPr>
        <w:t xml:space="preserve">供应商应当按照采购文件的要求编制响应文件，并对其提交的响应文件真实性、合法性承担法律责任。</w:t>
      </w:r>
      <w:r/>
    </w:p>
    <w:p>
      <w:pPr>
        <w:ind w:firstLine="482"/>
        <w:spacing w:line="360" w:lineRule="auto"/>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val="zh-CN" w:eastAsia="zh-CN"/>
        </w:rPr>
        <w:t xml:space="preserve">6、响应文件的语言、计量单位、货币和编制</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6.1 提交的响应文件、技术文件和资料，包括图纸中的说明，以及供应商与代理人就有关磋商的所有来往函电均应使用中文。响应文件中若有英文或其他语言文字的资料，应提供相应的中文翻译资料。对不同文本响应文件的解释发生异议的，以中文文本为准。</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6.2 供应商所使用的计量单位应为国家法定计量单位。</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6.3 供应商应用人民币报价。</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6.4 响应文件应字迹清楚、内容齐全、不得涂改。如有修改，修改处须有供应商</w:t>
      </w:r>
      <w:r>
        <w:rPr>
          <w:rFonts w:hint="eastAsia" w:ascii="宋体" w:hAnsi="宋体" w:eastAsia="宋体" w:cs="宋体"/>
          <w:color w:val="auto"/>
          <w:sz w:val="24"/>
          <w:szCs w:val="24"/>
          <w:highlight w:val="none"/>
          <w:lang w:eastAsia="zh-CN"/>
        </w:rPr>
        <w:t xml:space="preserve">电子</w:t>
      </w:r>
      <w:r>
        <w:rPr>
          <w:rFonts w:hint="eastAsia" w:ascii="宋体" w:hAnsi="宋体" w:eastAsia="宋体" w:cs="宋体"/>
          <w:color w:val="auto"/>
          <w:sz w:val="24"/>
          <w:szCs w:val="24"/>
          <w:highlight w:val="none"/>
          <w:lang w:val="zh-CN" w:eastAsia="zh-CN"/>
        </w:rPr>
        <w:t xml:space="preserve">公章或法定代表人或其授权磋商代表签字</w:t>
      </w:r>
      <w:r>
        <w:rPr>
          <w:rFonts w:hint="eastAsia" w:ascii="宋体" w:hAnsi="宋体" w:eastAsia="宋体" w:cs="宋体"/>
          <w:color w:val="auto"/>
          <w:sz w:val="24"/>
          <w:szCs w:val="24"/>
          <w:highlight w:val="none"/>
          <w:lang w:eastAsia="zh-CN"/>
        </w:rPr>
        <w:t xml:space="preserve">或签章</w:t>
      </w:r>
      <w:r>
        <w:rPr>
          <w:rFonts w:hint="eastAsia" w:ascii="宋体" w:hAnsi="宋体" w:eastAsia="宋体" w:cs="宋体"/>
          <w:color w:val="auto"/>
          <w:sz w:val="24"/>
          <w:szCs w:val="24"/>
          <w:highlight w:val="none"/>
          <w:lang w:val="zh-CN" w:eastAsia="zh-CN"/>
        </w:rPr>
        <w:t xml:space="preserve">。</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6.5响应文件应逐页编码，不得跳页（包括但不限于授权、证明材料、声明及产品介绍、彩页等）。</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6.</w:t>
      </w:r>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lang w:val="zh-CN" w:eastAsia="zh-CN"/>
        </w:rPr>
        <w:t xml:space="preserve"> 供应商应在响应文件中写清相应的项目编号、项目名称、供应商名称、地址、电话、传真等。</w:t>
      </w:r>
      <w:r/>
    </w:p>
    <w:p>
      <w:pPr>
        <w:numPr>
          <w:ilvl w:val="0"/>
          <w:numId w:val="1"/>
        </w:numPr>
        <w:ind w:firstLine="420"/>
        <w:spacing w:line="360" w:lineRule="auto"/>
        <w:shd w:val="clear" w:color="auto" w:fill="ffffff"/>
        <w:widowControl/>
        <w:rPr>
          <w:rFonts w:hint="eastAsia" w:ascii="宋体" w:hAnsi="宋体" w:cs="宋体"/>
          <w:b/>
          <w:bCs/>
          <w:color w:val="auto"/>
          <w:szCs w:val="21"/>
          <w:highlight w:val="none"/>
          <w:lang w:eastAsia="zh-CN"/>
        </w:rPr>
      </w:pPr>
      <w:r>
        <w:rPr>
          <w:rFonts w:hint="eastAsia" w:ascii="宋体" w:hAnsi="宋体" w:cs="宋体"/>
          <w:b/>
          <w:bCs/>
          <w:color w:val="auto"/>
          <w:szCs w:val="21"/>
          <w:highlight w:val="none"/>
          <w:lang w:eastAsia="zh-CN"/>
        </w:rPr>
        <w:t xml:space="preserve">联合体投标</w:t>
      </w:r>
      <w:r>
        <w:rPr>
          <w:rFonts w:hint="eastAsia" w:ascii="宋体" w:hAnsi="宋体" w:eastAsia="宋体" w:cs="宋体"/>
          <w:b/>
          <w:bCs/>
          <w:color w:val="auto"/>
          <w:szCs w:val="21"/>
          <w:highlight w:val="none"/>
          <w:lang w:eastAsia="zh-CN"/>
        </w:rPr>
        <w:t xml:space="preserve">（本项目不接受）</w:t>
      </w:r>
      <w:r/>
    </w:p>
    <w:p>
      <w:pPr>
        <w:ind w:firstLine="420"/>
        <w:spacing w:line="36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7.1 两个以上的自然人、法人或者其他组织可以组成一个联合体，以一个投标人的身份共同参加政府采购。</w:t>
      </w:r>
      <w:r/>
    </w:p>
    <w:p>
      <w:pPr>
        <w:ind w:firstLine="420"/>
        <w:spacing w:line="36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7.2 联合体中有同类资质的投标人按照联合体分工承担相同工作的，按照资质等级较低的投标人确定资质等级。</w:t>
      </w:r>
      <w:r/>
    </w:p>
    <w:p>
      <w:pPr>
        <w:ind w:firstLine="420"/>
        <w:spacing w:line="36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7.3 联合体各方之间应当签订联合体协议，明确约定联合体各方承担的工作和相应的责任，并将联合体协议连同响应文件一同提交。</w:t>
      </w:r>
      <w:r/>
    </w:p>
    <w:p>
      <w:pPr>
        <w:ind w:firstLine="420"/>
        <w:spacing w:line="36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7.4 以联合体形式参加政府采购活动的，联合体各方不得再单独参加或者与其他投标人另外组成联合体参加同一合同项下的政府采购活动。</w:t>
      </w:r>
      <w:r/>
    </w:p>
    <w:p>
      <w:pPr>
        <w:ind w:firstLine="482"/>
        <w:spacing w:line="360" w:lineRule="auto"/>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eastAsia="zh-CN"/>
        </w:rPr>
        <w:t xml:space="preserve">8</w:t>
      </w:r>
      <w:r>
        <w:rPr>
          <w:rFonts w:hint="eastAsia" w:ascii="宋体" w:hAnsi="宋体" w:eastAsia="宋体" w:cs="宋体"/>
          <w:b/>
          <w:bCs/>
          <w:color w:val="auto"/>
          <w:sz w:val="24"/>
          <w:szCs w:val="24"/>
          <w:highlight w:val="none"/>
          <w:lang w:val="zh-CN" w:eastAsia="zh-CN"/>
        </w:rPr>
        <w:t xml:space="preserve">、响应文件的组成</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8</w:t>
      </w:r>
      <w:r>
        <w:rPr>
          <w:rFonts w:hint="eastAsia" w:ascii="宋体" w:hAnsi="宋体" w:eastAsia="宋体" w:cs="宋体"/>
          <w:color w:val="auto"/>
          <w:sz w:val="24"/>
          <w:szCs w:val="24"/>
          <w:highlight w:val="none"/>
          <w:lang w:val="zh-CN" w:eastAsia="zh-CN"/>
        </w:rPr>
        <w:t xml:space="preserve">.1 </w:t>
      </w:r>
      <w:r>
        <w:rPr>
          <w:rFonts w:hint="eastAsia" w:ascii="宋体" w:hAnsi="宋体" w:eastAsia="宋体" w:cs="宋体"/>
          <w:color w:val="auto"/>
          <w:sz w:val="24"/>
          <w:szCs w:val="24"/>
          <w:highlight w:val="none"/>
          <w:lang w:eastAsia="zh-CN"/>
        </w:rPr>
        <w:t xml:space="preserve">供应商应当根据磋商文件要求编制响应文件，并根据自己的商务能力、技术水平对磋商文件提出的要求和条件逐条标明是否响应。</w:t>
      </w:r>
      <w:r>
        <w:rPr>
          <w:rFonts w:hint="eastAsia" w:ascii="宋体" w:hAnsi="宋体" w:eastAsia="宋体" w:cs="宋体"/>
          <w:color w:val="auto"/>
          <w:sz w:val="24"/>
          <w:szCs w:val="24"/>
          <w:highlight w:val="none"/>
          <w:lang w:val="zh-CN" w:eastAsia="zh-CN"/>
        </w:rPr>
        <w:t xml:space="preserve">响应文件由商务部分、技术部分、价格部分，以及其他部分组成。</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bCs/>
          <w:color w:val="auto"/>
          <w:sz w:val="24"/>
          <w:szCs w:val="24"/>
          <w:highlight w:val="none"/>
          <w:lang w:eastAsia="zh-CN"/>
        </w:rPr>
        <w:t xml:space="preserve">8</w:t>
      </w:r>
      <w:r>
        <w:rPr>
          <w:rFonts w:hint="eastAsia" w:ascii="宋体" w:hAnsi="宋体" w:eastAsia="宋体" w:cs="宋体"/>
          <w:bCs/>
          <w:color w:val="auto"/>
          <w:sz w:val="24"/>
          <w:szCs w:val="24"/>
          <w:highlight w:val="none"/>
          <w:lang w:val="zh-CN" w:eastAsia="zh-CN"/>
        </w:rPr>
        <w:t xml:space="preserve">.2 </w:t>
      </w:r>
      <w:r>
        <w:rPr>
          <w:rFonts w:hint="eastAsia" w:ascii="宋体" w:hAnsi="宋体" w:eastAsia="宋体" w:cs="宋体"/>
          <w:b/>
          <w:bCs/>
          <w:color w:val="auto"/>
          <w:sz w:val="24"/>
          <w:szCs w:val="24"/>
          <w:highlight w:val="none"/>
          <w:lang w:val="zh-CN" w:eastAsia="zh-CN"/>
        </w:rPr>
        <w:t xml:space="preserve">响应文件的商务部分。</w:t>
      </w:r>
      <w:r>
        <w:rPr>
          <w:rFonts w:hint="eastAsia" w:ascii="宋体" w:hAnsi="宋体" w:eastAsia="宋体" w:cs="宋体"/>
          <w:color w:val="auto"/>
          <w:sz w:val="24"/>
          <w:szCs w:val="24"/>
          <w:highlight w:val="none"/>
          <w:lang w:val="zh-CN" w:eastAsia="zh-CN"/>
        </w:rPr>
        <w:t xml:space="preserve">商务部分是证明供应商有资格参加磋商和成交后有能力履行合同的文件，</w:t>
      </w:r>
      <w:r>
        <w:rPr>
          <w:rFonts w:hint="eastAsia" w:ascii="宋体" w:hAnsi="宋体" w:eastAsia="宋体" w:cs="宋体"/>
          <w:color w:val="auto"/>
          <w:sz w:val="24"/>
          <w:szCs w:val="24"/>
          <w:highlight w:val="none"/>
          <w:lang w:eastAsia="zh-CN"/>
        </w:rPr>
        <w:t xml:space="preserve">这些文件应能满足竞争性磋商采购文件的要求</w:t>
      </w:r>
      <w:r>
        <w:rPr>
          <w:rFonts w:hint="eastAsia" w:ascii="宋体" w:hAnsi="宋体" w:eastAsia="宋体" w:cs="宋体"/>
          <w:color w:val="auto"/>
          <w:sz w:val="24"/>
          <w:szCs w:val="24"/>
          <w:highlight w:val="none"/>
          <w:lang w:val="zh-CN" w:eastAsia="zh-CN"/>
        </w:rPr>
        <w:t xml:space="preserve">，包括但不限于下列文件，其中加“★”项目不得有缺失或无效：</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（1）★磋商申请及声明；</w:t>
      </w:r>
      <w:r/>
    </w:p>
    <w:p>
      <w:pPr>
        <w:ind w:firstLine="480"/>
        <w:spacing w:line="360" w:lineRule="auto"/>
        <w:widowControl/>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（2）★法定代表人授权委托书及委托代理人的身份证复印件扫描件； </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（3）★</w:t>
      </w:r>
      <w:r>
        <w:rPr>
          <w:rFonts w:hint="eastAsia" w:ascii="宋体" w:hAnsi="宋体" w:eastAsia="宋体" w:cs="宋体"/>
          <w:color w:val="auto"/>
          <w:sz w:val="24"/>
          <w:szCs w:val="24"/>
          <w:highlight w:val="none"/>
          <w:lang w:eastAsia="zh-CN"/>
        </w:rPr>
        <w:t xml:space="preserve">第一章磋商邀请中</w:t>
      </w:r>
      <w:r>
        <w:rPr>
          <w:rFonts w:hint="eastAsia" w:ascii="宋体" w:hAnsi="宋体" w:eastAsia="宋体" w:cs="宋体"/>
          <w:color w:val="auto"/>
          <w:sz w:val="24"/>
          <w:szCs w:val="24"/>
          <w:highlight w:val="none"/>
          <w:lang w:val="zh-CN" w:eastAsia="zh-CN"/>
        </w:rPr>
        <w:t xml:space="preserve">《中华人民共和国政府采购法》规定的资格条件证明文件；</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（4）★</w:t>
      </w:r>
      <w:r>
        <w:rPr>
          <w:rFonts w:hint="eastAsia" w:ascii="宋体" w:hAnsi="宋体" w:eastAsia="宋体" w:cs="宋体"/>
          <w:color w:val="auto"/>
          <w:sz w:val="24"/>
          <w:szCs w:val="24"/>
          <w:highlight w:val="none"/>
          <w:lang w:eastAsia="zh-CN"/>
        </w:rPr>
        <w:t xml:space="preserve">第一章磋商邀请中采购人根据采购项目的特殊要求规定的特定条件证明文件；</w:t>
      </w:r>
      <w:r/>
    </w:p>
    <w:p>
      <w:pPr>
        <w:ind w:firstLine="480"/>
        <w:spacing w:line="360" w:lineRule="auto"/>
        <w:widowControl/>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（5）★《商务条款偏离表》；</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（6）供应商认为需要</w:t>
      </w:r>
      <w:r>
        <w:rPr>
          <w:rFonts w:hint="eastAsia" w:ascii="宋体" w:hAnsi="宋体" w:eastAsia="宋体" w:cs="宋体"/>
          <w:color w:val="auto"/>
          <w:sz w:val="24"/>
          <w:szCs w:val="24"/>
          <w:highlight w:val="none"/>
          <w:lang w:val="zh-CN" w:eastAsia="zh-CN"/>
        </w:rPr>
        <w:t xml:space="preserve">提供的其他资格证明文件和商务资料。</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bCs/>
          <w:color w:val="auto"/>
          <w:sz w:val="24"/>
          <w:szCs w:val="24"/>
          <w:highlight w:val="none"/>
          <w:lang w:eastAsia="zh-CN"/>
        </w:rPr>
        <w:t xml:space="preserve">8</w:t>
      </w:r>
      <w:r>
        <w:rPr>
          <w:rFonts w:hint="eastAsia" w:ascii="宋体" w:hAnsi="宋体" w:eastAsia="宋体" w:cs="宋体"/>
          <w:bCs/>
          <w:color w:val="auto"/>
          <w:sz w:val="24"/>
          <w:szCs w:val="24"/>
          <w:highlight w:val="none"/>
          <w:lang w:val="zh-CN" w:eastAsia="zh-CN"/>
        </w:rPr>
        <w:t xml:space="preserve">.3 </w:t>
      </w:r>
      <w:r>
        <w:rPr>
          <w:rFonts w:hint="eastAsia" w:ascii="宋体" w:hAnsi="宋体" w:eastAsia="宋体" w:cs="宋体"/>
          <w:b/>
          <w:bCs/>
          <w:color w:val="auto"/>
          <w:sz w:val="24"/>
          <w:szCs w:val="24"/>
          <w:highlight w:val="none"/>
          <w:lang w:val="zh-CN" w:eastAsia="zh-CN"/>
        </w:rPr>
        <w:t xml:space="preserve">响应文件的技术部分。</w:t>
      </w:r>
      <w:r>
        <w:rPr>
          <w:rFonts w:hint="eastAsia" w:ascii="宋体" w:hAnsi="宋体" w:eastAsia="宋体" w:cs="宋体"/>
          <w:color w:val="auto"/>
          <w:sz w:val="24"/>
          <w:szCs w:val="24"/>
          <w:highlight w:val="none"/>
          <w:lang w:val="zh-CN" w:eastAsia="zh-CN"/>
        </w:rPr>
        <w:t xml:space="preserve">技术部分是证明</w:t>
      </w:r>
      <w:r>
        <w:rPr>
          <w:rFonts w:hint="eastAsia" w:ascii="宋体" w:hAnsi="宋体" w:eastAsia="宋体" w:cs="宋体"/>
          <w:color w:val="auto"/>
          <w:sz w:val="24"/>
          <w:szCs w:val="24"/>
          <w:highlight w:val="none"/>
          <w:lang w:eastAsia="zh-CN"/>
        </w:rPr>
        <w:t xml:space="preserve">供应商提供的工程是合格的，并符合磋商文件要求的证明文件，以及</w:t>
      </w:r>
      <w:r>
        <w:rPr>
          <w:rFonts w:hint="eastAsia" w:ascii="宋体" w:hAnsi="宋体" w:eastAsia="宋体" w:cs="宋体"/>
          <w:color w:val="auto"/>
          <w:sz w:val="24"/>
          <w:szCs w:val="24"/>
          <w:highlight w:val="none"/>
          <w:lang w:val="zh-CN" w:eastAsia="zh-CN"/>
        </w:rPr>
        <w:t xml:space="preserve">对</w:t>
      </w:r>
      <w:r>
        <w:rPr>
          <w:rFonts w:hint="eastAsia" w:ascii="宋体" w:hAnsi="宋体" w:eastAsia="宋体" w:cs="宋体"/>
          <w:color w:val="auto"/>
          <w:sz w:val="24"/>
          <w:szCs w:val="24"/>
          <w:highlight w:val="none"/>
          <w:lang w:eastAsia="zh-CN"/>
        </w:rPr>
        <w:t xml:space="preserve">工程</w:t>
      </w:r>
      <w:r>
        <w:rPr>
          <w:rFonts w:hint="eastAsia" w:ascii="宋体" w:hAnsi="宋体" w:eastAsia="宋体" w:cs="宋体"/>
          <w:color w:val="auto"/>
          <w:sz w:val="24"/>
          <w:szCs w:val="24"/>
          <w:highlight w:val="none"/>
          <w:lang w:val="zh-CN" w:eastAsia="zh-CN"/>
        </w:rPr>
        <w:t xml:space="preserve">的详细说明，这些文件可以是文字资料、图纸和数据等。提供的</w:t>
      </w:r>
      <w:r>
        <w:rPr>
          <w:rFonts w:hint="eastAsia" w:ascii="宋体" w:hAnsi="宋体" w:eastAsia="宋体" w:cs="宋体"/>
          <w:color w:val="auto"/>
          <w:sz w:val="24"/>
          <w:szCs w:val="24"/>
          <w:highlight w:val="none"/>
          <w:lang w:eastAsia="zh-CN"/>
        </w:rPr>
        <w:t xml:space="preserve">工程</w:t>
      </w:r>
      <w:r>
        <w:rPr>
          <w:rFonts w:hint="eastAsia" w:ascii="宋体" w:hAnsi="宋体" w:eastAsia="宋体" w:cs="宋体"/>
          <w:color w:val="auto"/>
          <w:sz w:val="24"/>
          <w:szCs w:val="24"/>
          <w:highlight w:val="none"/>
          <w:lang w:val="zh-CN" w:eastAsia="zh-CN"/>
        </w:rPr>
        <w:t xml:space="preserve">如与磋商文件要求有不符之处，应说明其差别之所在。包括但不限于下列文件，其中加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zh-CN" w:eastAsia="zh-CN"/>
        </w:rPr>
        <w:t xml:space="preserve">项目不得有缺失或无效：</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（1）★《技术条款偏离表》；</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zh-CN" w:eastAsia="zh-CN"/>
        </w:rPr>
        <w:t xml:space="preserve">）实施方案；</w:t>
      </w:r>
      <w:r/>
    </w:p>
    <w:p>
      <w:pPr>
        <w:ind w:firstLine="480"/>
        <w:spacing w:line="360" w:lineRule="auto"/>
        <w:widowControl/>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（3）供应商认为需要</w:t>
      </w:r>
      <w:r>
        <w:rPr>
          <w:rFonts w:hint="eastAsia" w:ascii="宋体" w:hAnsi="宋体" w:eastAsia="宋体" w:cs="宋体"/>
          <w:color w:val="auto"/>
          <w:sz w:val="24"/>
          <w:szCs w:val="24"/>
          <w:highlight w:val="none"/>
          <w:lang w:val="zh-CN" w:eastAsia="zh-CN"/>
        </w:rPr>
        <w:t xml:space="preserve">提供的其他技术资料。</w:t>
      </w:r>
      <w:r/>
    </w:p>
    <w:p>
      <w:pPr>
        <w:ind w:firstLine="480"/>
        <w:spacing w:line="360" w:lineRule="auto"/>
        <w:rPr>
          <w:rFonts w:hint="eastAsia" w:ascii="宋体" w:hAnsi="宋体" w:eastAsia="宋体" w:cs="宋体"/>
          <w:b/>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8</w:t>
      </w:r>
      <w:r>
        <w:rPr>
          <w:rFonts w:hint="eastAsia" w:ascii="宋体" w:hAnsi="宋体" w:eastAsia="宋体" w:cs="宋体"/>
          <w:color w:val="auto"/>
          <w:sz w:val="24"/>
          <w:szCs w:val="24"/>
          <w:highlight w:val="none"/>
          <w:lang w:val="zh-CN" w:eastAsia="zh-CN"/>
        </w:rPr>
        <w:t xml:space="preserve">.4 </w:t>
      </w:r>
      <w:r>
        <w:rPr>
          <w:rFonts w:hint="eastAsia" w:ascii="宋体" w:hAnsi="宋体" w:eastAsia="宋体" w:cs="宋体"/>
          <w:b/>
          <w:color w:val="auto"/>
          <w:sz w:val="24"/>
          <w:szCs w:val="24"/>
          <w:highlight w:val="none"/>
          <w:lang w:val="zh-CN" w:eastAsia="zh-CN"/>
        </w:rPr>
        <w:t xml:space="preserve">响应文件的价格部分</w:t>
      </w:r>
      <w:r/>
    </w:p>
    <w:p>
      <w:pPr>
        <w:ind w:firstLine="480"/>
        <w:spacing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1）磋商报价应根据供应商实际情况自主进行，并最大限度地满足竞争性磋商文件的要求，但不得低于成本。应充分考虑政策性调整、建材市场风险和施工过程中可能发生的费用进行报价，包括相关政策规定的由采购人办理的手续，请供应商代为办理，所有有关取样检测费用及其他费用请列入报价。若未单独列出，将视为已列入其他子项中，成交后综合单价将不再调整。</w:t>
      </w:r>
      <w:r/>
    </w:p>
    <w:p>
      <w:pPr>
        <w:ind w:firstLine="480"/>
        <w:spacing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（2）供应商必须按照竞争性磋商文件规定的报价编制要求，工程量清单格式及要求进行报价，除了工程量清单报价，采购人不再接受其他任何形式的报价以及说明（如降价函、报价修正函、优惠报价说明等）。</w:t>
      </w:r>
      <w:r/>
    </w:p>
    <w:p>
      <w:pPr>
        <w:ind w:firstLine="480"/>
        <w:spacing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3）磋商报价以工程量清单和图纸为准，供应商所报的综合单价应包括工程量清单子项中所需的显在的和隐含的一切费用，包括清单中没有反映但施工过程中所需的工作的内容。供应商的磋商报价一经报出，即被认为是包括了本项目下的所有施工内容的全部费用。如果报出的清单中没有列项，且施工中又必须发生的项目，业主有权认为，其已经综合在分部分项工程量清单的综合单价中，竣工结算时不予调整。</w:t>
      </w:r>
      <w:r/>
    </w:p>
    <w:p>
      <w:pPr>
        <w:ind w:firstLine="480"/>
        <w:spacing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（4）供应商除按竞争性磋商文件所列的措施项目报价外，供应商可自愿至现场踏勘以充分了解工地位置、环境、道路、装卸限制等任何足以影响报价的情况及施工组织设计进行措施项目的报价。</w:t>
      </w:r>
      <w:r/>
    </w:p>
    <w:p>
      <w:pPr>
        <w:ind w:firstLine="480"/>
        <w:spacing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（5）对于工程量清单中“项目特征”，只是采购人对该部分分部分项工程特征的概述，而非是工程特征的全部描述，计价时必须按施工图纸及相关的国家规范的要求。</w:t>
      </w:r>
      <w:r/>
    </w:p>
    <w:p>
      <w:pPr>
        <w:ind w:firstLine="480"/>
        <w:spacing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（6）本工程设备和材料由供应商自购部分，其规格、技术指标、质量等级详见施工图及工程量清单，同时必须满足相应技术规范或技术标准的要求。</w:t>
      </w:r>
      <w:r/>
    </w:p>
    <w:p>
      <w:pPr>
        <w:ind w:firstLine="480"/>
        <w:spacing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7）所有材料磋商报价时均应包括但不限于采保费、安装费、卸力费、二次搬运、国家有关管理部门要求的对工程的所有材料检测费以及夜间施工办证费、排污费、道路占用费、噪音费、安全施工费、交通安全防护费等均包含在磋商报价内，采购人不另行支付，供应商在磋商报价时自行考虑，结算时不调整。</w:t>
      </w:r>
      <w:r/>
    </w:p>
    <w:p>
      <w:pPr>
        <w:ind w:firstLine="480"/>
        <w:spacing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8）工程量清单报价应包括完成竞争性磋商文件、施工图纸及技术规范规定全部内容的工程量清单项目所需的全部费用，其内含：1分部分项工程费、措施费、其他项目费和规费、税金；2完成每分部分项工程所含全部工程内容的费用（包含现存的和隐含的工作内容）；3完成每项工程内容所需的全部费用；4工程量清单项目中没有体现的施工图纸所含的工程内容，施工中又必须发生的工程内容所需的费用；5考虑风险因素而调整的费用；6因采购人在竞争性磋商文件中的要求而发生的费用。</w:t>
      </w:r>
      <w:r/>
    </w:p>
    <w:p>
      <w:pPr>
        <w:ind w:firstLine="480"/>
        <w:spacing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（9）供应商应对清单中的每一个项目进行报价（包括综合单价及合价），对采购人所列专业分包项目应含服务费、配合费等，如漏报或少报项目，则视为已包含在其他项目的综合单价或合价中，结算时不调整。</w:t>
      </w:r>
      <w:r/>
    </w:p>
    <w:p>
      <w:pPr>
        <w:ind w:firstLine="480"/>
        <w:spacing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（10）本项目工程量清单中所列措施项目为一般性项目，供应商须根据本工程的实际要求进行增补，并计算其费用，但不得低于成本，且本项目的所有措施项目费用结算时不调整。</w:t>
      </w:r>
      <w:r/>
    </w:p>
    <w:p>
      <w:pPr>
        <w:ind w:firstLine="480"/>
        <w:spacing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（11）成交单位必须在约定工期内完成所有施工，并清理完毕撤出场地。</w:t>
      </w:r>
      <w:r/>
    </w:p>
    <w:p>
      <w:pPr>
        <w:ind w:firstLine="480"/>
        <w:spacing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（12）暂定材料的名称、规格型号及单价详见“工程量清单总说明”（如有）。</w:t>
      </w:r>
      <w:r/>
    </w:p>
    <w:p>
      <w:pPr>
        <w:ind w:firstLine="480"/>
        <w:spacing w:line="360" w:lineRule="auto"/>
        <w:rPr>
          <w:rFonts w:hint="eastAsia" w:ascii="宋体" w:hAnsi="宋体" w:eastAsia="宋体"/>
          <w:b/>
          <w:bCs/>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w:t>
      </w:r>
      <w:r>
        <w:rPr>
          <w:rFonts w:hint="eastAsia" w:ascii="宋体" w:hAnsi="宋体" w:eastAsia="宋体"/>
          <w:color w:val="auto"/>
          <w:sz w:val="24"/>
          <w:szCs w:val="24"/>
          <w:highlight w:val="none"/>
          <w:lang w:eastAsia="zh-CN"/>
        </w:rPr>
        <w:t xml:space="preserve">13</w:t>
      </w:r>
      <w:r>
        <w:rPr>
          <w:rFonts w:hint="eastAsia" w:ascii="宋体" w:hAnsi="宋体" w:eastAsia="宋体"/>
          <w:color w:val="auto"/>
          <w:sz w:val="24"/>
          <w:szCs w:val="24"/>
          <w:highlight w:val="none"/>
          <w:lang w:val="zh-CN" w:eastAsia="zh-CN"/>
        </w:rPr>
        <w:t xml:space="preserve">）</w:t>
      </w:r>
      <w:r>
        <w:rPr>
          <w:rFonts w:ascii="宋体" w:hAnsi="宋体" w:eastAsia="宋体"/>
          <w:b/>
          <w:bCs/>
          <w:color w:val="auto"/>
          <w:sz w:val="24"/>
          <w:szCs w:val="24"/>
          <w:highlight w:val="none"/>
          <w:lang w:val="zh-CN" w:eastAsia="zh-CN"/>
        </w:rPr>
        <w:t xml:space="preserve">经磋商后，二次报价为最终报价，二次报价原则上不高于首次报价，如果成交价低于供应商在响应文件首次报价的，分项报价（除暂列金额、材料暂估价、专业工程暂估价以外</w:t>
      </w:r>
      <w:r>
        <w:rPr>
          <w:rFonts w:hint="eastAsia" w:ascii="宋体" w:hAnsi="宋体" w:eastAsia="宋体"/>
          <w:b/>
          <w:bCs/>
          <w:color w:val="auto"/>
          <w:sz w:val="24"/>
          <w:szCs w:val="24"/>
          <w:highlight w:val="none"/>
          <w:lang w:val="zh-CN" w:eastAsia="zh-CN"/>
        </w:rPr>
        <w:t xml:space="preserve">的所有费用）同比例调整。</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8</w:t>
      </w:r>
      <w:r>
        <w:rPr>
          <w:rFonts w:hint="eastAsia" w:ascii="宋体" w:hAnsi="宋体" w:eastAsia="宋体" w:cs="宋体"/>
          <w:color w:val="auto"/>
          <w:sz w:val="24"/>
          <w:szCs w:val="24"/>
          <w:highlight w:val="none"/>
          <w:lang w:val="zh-CN" w:eastAsia="zh-CN"/>
        </w:rPr>
        <w:t xml:space="preserve">.5 </w:t>
      </w:r>
      <w:r>
        <w:rPr>
          <w:rFonts w:hint="eastAsia" w:ascii="宋体" w:hAnsi="宋体" w:eastAsia="宋体" w:cs="宋体"/>
          <w:b/>
          <w:color w:val="auto"/>
          <w:sz w:val="24"/>
          <w:szCs w:val="24"/>
          <w:highlight w:val="none"/>
          <w:lang w:val="zh-CN" w:eastAsia="zh-CN"/>
        </w:rPr>
        <w:t xml:space="preserve">响应文件的其他部分。</w:t>
      </w:r>
      <w:r>
        <w:rPr>
          <w:rFonts w:hint="eastAsia" w:ascii="宋体" w:hAnsi="宋体" w:eastAsia="宋体" w:cs="宋体"/>
          <w:color w:val="auto"/>
          <w:sz w:val="24"/>
          <w:szCs w:val="24"/>
          <w:highlight w:val="none"/>
          <w:lang w:val="zh-CN" w:eastAsia="zh-CN"/>
        </w:rPr>
        <w:t xml:space="preserve">其他部分由供应商根据编制响应文件需要提供的其他相关文件。</w:t>
      </w:r>
      <w:r/>
    </w:p>
    <w:p>
      <w:pPr>
        <w:ind w:firstLine="482"/>
        <w:spacing w:line="360" w:lineRule="auto"/>
        <w:rPr>
          <w:rFonts w:hint="eastAsia" w:ascii="宋体" w:hAnsi="宋体" w:eastAsia="宋体" w:cs="宋体"/>
          <w:b/>
          <w:bCs/>
          <w:color w:val="auto"/>
          <w:sz w:val="24"/>
          <w:szCs w:val="24"/>
          <w:highlight w:val="none"/>
          <w:lang w:val="zh-CN" w:eastAsia="zh-CN"/>
        </w:rPr>
      </w:pPr>
      <w:r/>
      <w:bookmarkStart w:id="41" w:name="_Toc508699413"/>
      <w:r>
        <w:rPr>
          <w:rFonts w:hint="eastAsia" w:ascii="宋体" w:hAnsi="宋体" w:eastAsia="宋体" w:cs="宋体"/>
          <w:b/>
          <w:bCs/>
          <w:color w:val="auto"/>
          <w:sz w:val="24"/>
          <w:szCs w:val="24"/>
          <w:highlight w:val="none"/>
          <w:lang w:val="zh-CN" w:eastAsia="zh-CN"/>
        </w:rPr>
        <w:t xml:space="preserve">三、响应文件</w:t>
      </w:r>
      <w:bookmarkEnd w:id="41"/>
      <w:r>
        <w:rPr>
          <w:rFonts w:hint="eastAsia" w:ascii="宋体" w:hAnsi="宋体" w:eastAsia="宋体" w:cs="宋体"/>
          <w:b/>
          <w:bCs/>
          <w:color w:val="auto"/>
          <w:sz w:val="24"/>
          <w:szCs w:val="24"/>
          <w:highlight w:val="none"/>
          <w:lang w:val="zh-CN" w:eastAsia="zh-CN"/>
        </w:rPr>
        <w:t xml:space="preserve">递交</w:t>
      </w:r>
      <w:r/>
    </w:p>
    <w:p>
      <w:pPr>
        <w:ind w:firstLine="482"/>
        <w:spacing w:line="360" w:lineRule="auto"/>
        <w:rPr>
          <w:rFonts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9</w:t>
      </w:r>
      <w:r>
        <w:rPr>
          <w:rFonts w:hint="eastAsia" w:ascii="宋体" w:hAnsi="宋体" w:eastAsia="宋体" w:cs="宋体"/>
          <w:b/>
          <w:bCs/>
          <w:color w:val="auto"/>
          <w:sz w:val="24"/>
          <w:szCs w:val="24"/>
          <w:highlight w:val="none"/>
          <w:lang w:val="zh-CN" w:eastAsia="zh-CN"/>
        </w:rPr>
        <w:t xml:space="preserve">、响应文件递交</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9</w:t>
      </w:r>
      <w:r>
        <w:rPr>
          <w:rFonts w:hint="eastAsia" w:ascii="宋体" w:hAnsi="宋体" w:eastAsia="宋体" w:cs="宋体"/>
          <w:color w:val="auto"/>
          <w:sz w:val="24"/>
          <w:szCs w:val="24"/>
          <w:highlight w:val="none"/>
          <w:lang w:val="zh-CN" w:eastAsia="zh-CN"/>
        </w:rPr>
        <w:t xml:space="preserve">.1 供应商应当按照《操作手册》的规定递交电子响应文件，在磋商响应截止时间前制作并上传电子响应文件。招标代理机构拒绝接收提交响应文件截止时间后上传的任何电子响应文件。</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9.</w:t>
      </w:r>
      <w:r>
        <w:rPr>
          <w:rFonts w:hint="eastAsia" w:ascii="宋体" w:hAnsi="宋体" w:eastAsia="宋体" w:cs="宋体"/>
          <w:color w:val="auto"/>
          <w:sz w:val="24"/>
          <w:szCs w:val="24"/>
          <w:highlight w:val="none"/>
          <w:lang w:eastAsia="zh-CN"/>
        </w:rPr>
        <w:t xml:space="preserve">2 </w:t>
      </w:r>
      <w:r>
        <w:rPr>
          <w:rFonts w:hint="eastAsia" w:ascii="宋体" w:hAnsi="宋体" w:eastAsia="宋体" w:cs="宋体"/>
          <w:color w:val="auto"/>
          <w:sz w:val="24"/>
          <w:szCs w:val="24"/>
          <w:highlight w:val="none"/>
          <w:lang w:val="zh-CN" w:eastAsia="zh-CN"/>
        </w:rPr>
        <w:t xml:space="preserve">供应商应充分考虑到网络环境、网络带宽等风险因素，如因供应商自身原因造成电子响应文件未在“苏采云”系统规定的时间内成功解密的，按照本磋商文件规定做无效响应处理。</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10、响应文件的撤回和修改</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10.1 响应文件的撤回</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（1）供应商可在提交响应文件截止时间前撤回其电子响应文件，具体操作方法见《操作手册》。</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（2）供应商撤回电子响应文件，则认为其不再参与本项目磋商活动。</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10.2 响应文件的修改</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（1）供应商可在提交响应文件截止时间前对其电子响应文件进行修改，具体操作方法见《操作手册》。</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（2）提交响应文件截止时间之后，供应商不得对其电子响应文件作任何修改。</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10.3 在提交响应文件截止时间至磋商文件中规定的磋商有效期满之间的这段时间内，供应商不得撤回其响应文件。</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10.4 如标书制作工具中格式和内容与“江苏政府采购网”发布的磋商文件不一致，以上述网站发布的磋商文件为准。</w:t>
      </w:r>
      <w:r/>
    </w:p>
    <w:p>
      <w:pPr>
        <w:ind w:firstLine="482"/>
        <w:spacing w:line="360" w:lineRule="auto"/>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eastAsia="zh-CN"/>
        </w:rPr>
        <w:t xml:space="preserve">10.5 </w:t>
      </w:r>
      <w:r>
        <w:rPr>
          <w:rFonts w:hint="eastAsia" w:ascii="宋体" w:hAnsi="宋体" w:eastAsia="宋体" w:cs="宋体"/>
          <w:b/>
          <w:bCs/>
          <w:color w:val="auto"/>
          <w:sz w:val="24"/>
          <w:szCs w:val="24"/>
          <w:highlight w:val="none"/>
          <w:lang w:val="zh-CN" w:eastAsia="zh-CN"/>
        </w:rPr>
        <w:t xml:space="preserve">成交供应商需无偿提供纸质版响应文件一式叁份（壹份正本、贰份副本）；(加盖公章电子版标书一份,U盘形式，响应文件电子版中必须包含响应文件的全部内容，不得加密，所有文档、图表等采用WORD格式)。</w:t>
      </w:r>
      <w:r/>
    </w:p>
    <w:p>
      <w:pPr>
        <w:ind w:firstLine="482"/>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val="zh-CN" w:eastAsia="zh-CN"/>
        </w:rPr>
        <w:t xml:space="preserve">四、磋商</w:t>
      </w:r>
      <w:r/>
    </w:p>
    <w:p>
      <w:pPr>
        <w:ind w:firstLine="482"/>
        <w:spacing w:line="360" w:lineRule="auto"/>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val="zh-CN" w:eastAsia="zh-CN"/>
        </w:rPr>
        <w:t xml:space="preserve">1</w:t>
      </w:r>
      <w:r>
        <w:rPr>
          <w:rFonts w:hint="eastAsia" w:ascii="宋体" w:hAnsi="宋体" w:eastAsia="宋体" w:cs="宋体"/>
          <w:b/>
          <w:bCs/>
          <w:color w:val="auto"/>
          <w:sz w:val="24"/>
          <w:szCs w:val="24"/>
          <w:highlight w:val="none"/>
          <w:lang w:eastAsia="zh-CN"/>
        </w:rPr>
        <w:t xml:space="preserve">1</w:t>
      </w:r>
      <w:r>
        <w:rPr>
          <w:rFonts w:hint="eastAsia" w:ascii="宋体" w:hAnsi="宋体" w:eastAsia="宋体" w:cs="宋体"/>
          <w:b/>
          <w:bCs/>
          <w:color w:val="auto"/>
          <w:sz w:val="24"/>
          <w:szCs w:val="24"/>
          <w:highlight w:val="none"/>
          <w:lang w:val="zh-CN" w:eastAsia="zh-CN"/>
        </w:rPr>
        <w:t xml:space="preserve">、响应文件解密</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11</w:t>
      </w:r>
      <w:r>
        <w:rPr>
          <w:rFonts w:hint="eastAsia" w:ascii="宋体" w:hAnsi="宋体" w:eastAsia="宋体" w:cs="宋体"/>
          <w:color w:val="auto"/>
          <w:sz w:val="24"/>
          <w:szCs w:val="24"/>
          <w:highlight w:val="none"/>
          <w:lang w:val="zh-CN" w:eastAsia="zh-CN"/>
        </w:rPr>
        <w:t xml:space="preserve">.1 供应商应当按照《操作手册》规定，在苏采云系统规定的时间内对响应文件进行解密。</w:t>
      </w:r>
      <w:r/>
    </w:p>
    <w:p>
      <w:pPr>
        <w:ind w:firstLine="482"/>
        <w:spacing w:line="360" w:lineRule="auto"/>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val="zh-CN" w:eastAsia="zh-CN"/>
        </w:rPr>
        <w:t xml:space="preserve">1</w:t>
      </w:r>
      <w:r>
        <w:rPr>
          <w:rFonts w:hint="eastAsia" w:ascii="宋体" w:hAnsi="宋体" w:eastAsia="宋体" w:cs="宋体"/>
          <w:b/>
          <w:bCs/>
          <w:color w:val="auto"/>
          <w:sz w:val="24"/>
          <w:szCs w:val="24"/>
          <w:highlight w:val="none"/>
          <w:lang w:eastAsia="zh-CN"/>
        </w:rPr>
        <w:t xml:space="preserve">2</w:t>
      </w:r>
      <w:r>
        <w:rPr>
          <w:rFonts w:hint="eastAsia" w:ascii="宋体" w:hAnsi="宋体" w:eastAsia="宋体" w:cs="宋体"/>
          <w:b/>
          <w:bCs/>
          <w:color w:val="auto"/>
          <w:sz w:val="24"/>
          <w:szCs w:val="24"/>
          <w:highlight w:val="none"/>
          <w:lang w:val="zh-CN" w:eastAsia="zh-CN"/>
        </w:rPr>
        <w:t xml:space="preserve">、磋商组织</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w:t>
      </w: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zh-CN" w:eastAsia="zh-CN"/>
        </w:rPr>
        <w:t xml:space="preserve">.1 </w:t>
      </w:r>
      <w:r>
        <w:rPr>
          <w:rFonts w:hint="eastAsia" w:ascii="宋体" w:hAnsi="宋体" w:eastAsia="宋体" w:cs="宋体"/>
          <w:color w:val="auto"/>
          <w:sz w:val="24"/>
          <w:szCs w:val="24"/>
          <w:highlight w:val="none"/>
          <w:lang w:eastAsia="zh-CN"/>
        </w:rPr>
        <w:t xml:space="preserve">磋商</w:t>
      </w:r>
      <w:r>
        <w:rPr>
          <w:rFonts w:hint="eastAsia" w:ascii="宋体" w:hAnsi="宋体" w:eastAsia="宋体" w:cs="宋体"/>
          <w:color w:val="auto"/>
          <w:sz w:val="24"/>
          <w:szCs w:val="24"/>
          <w:highlight w:val="none"/>
          <w:lang w:val="zh-CN" w:eastAsia="zh-CN"/>
        </w:rPr>
        <w:t xml:space="preserve">工作由代理人负责组织，具体</w:t>
      </w:r>
      <w:r>
        <w:rPr>
          <w:rFonts w:hint="eastAsia" w:ascii="宋体" w:hAnsi="宋体" w:eastAsia="宋体" w:cs="宋体"/>
          <w:color w:val="auto"/>
          <w:sz w:val="24"/>
          <w:szCs w:val="24"/>
          <w:highlight w:val="none"/>
          <w:lang w:eastAsia="zh-CN"/>
        </w:rPr>
        <w:t xml:space="preserve">磋商</w:t>
      </w:r>
      <w:r>
        <w:rPr>
          <w:rFonts w:hint="eastAsia" w:ascii="宋体" w:hAnsi="宋体" w:eastAsia="宋体" w:cs="宋体"/>
          <w:color w:val="auto"/>
          <w:sz w:val="24"/>
          <w:szCs w:val="24"/>
          <w:highlight w:val="none"/>
          <w:lang w:val="zh-CN" w:eastAsia="zh-CN"/>
        </w:rPr>
        <w:t xml:space="preserve">事务由依法组建的磋商小组负责。</w:t>
      </w:r>
      <w:r/>
    </w:p>
    <w:p>
      <w:pPr>
        <w:ind w:firstLine="482"/>
        <w:spacing w:line="360" w:lineRule="auto"/>
        <w:rPr>
          <w:rFonts w:hint="eastAsia" w:ascii="宋体" w:hAnsi="宋体" w:eastAsia="宋体" w:cs="宋体"/>
          <w:b/>
          <w:color w:val="auto"/>
          <w:sz w:val="24"/>
          <w:szCs w:val="24"/>
          <w:highlight w:val="none"/>
          <w:lang w:val="zh-CN" w:eastAsia="zh-CN"/>
        </w:rPr>
      </w:pPr>
      <w:r>
        <w:rPr>
          <w:rFonts w:hint="eastAsia" w:ascii="宋体" w:hAnsi="宋体" w:eastAsia="宋体" w:cs="宋体"/>
          <w:b/>
          <w:color w:val="auto"/>
          <w:sz w:val="24"/>
          <w:szCs w:val="24"/>
          <w:highlight w:val="none"/>
          <w:lang w:val="zh-CN" w:eastAsia="zh-CN"/>
        </w:rPr>
        <w:t xml:space="preserve">1</w:t>
      </w:r>
      <w:r>
        <w:rPr>
          <w:rFonts w:hint="eastAsia" w:ascii="宋体" w:hAnsi="宋体" w:eastAsia="宋体" w:cs="宋体"/>
          <w:b/>
          <w:color w:val="auto"/>
          <w:sz w:val="24"/>
          <w:szCs w:val="24"/>
          <w:highlight w:val="none"/>
          <w:lang w:eastAsia="zh-CN"/>
        </w:rPr>
        <w:t xml:space="preserve">3</w:t>
      </w:r>
      <w:r>
        <w:rPr>
          <w:rFonts w:hint="eastAsia" w:ascii="宋体" w:hAnsi="宋体" w:eastAsia="宋体" w:cs="宋体"/>
          <w:b/>
          <w:color w:val="auto"/>
          <w:sz w:val="24"/>
          <w:szCs w:val="24"/>
          <w:highlight w:val="none"/>
          <w:lang w:val="zh-CN" w:eastAsia="zh-CN"/>
        </w:rPr>
        <w:t xml:space="preserve">、磋商程序</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w:t>
      </w: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lang w:val="zh-CN" w:eastAsia="zh-CN"/>
        </w:rPr>
        <w:t xml:space="preserve">.1磋商小组审阅供应商所递交的响应文件，凡不具备资格条件的供应商不得进入磋商程序。</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w:t>
      </w: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lang w:val="zh-CN" w:eastAsia="zh-CN"/>
        </w:rPr>
        <w:t xml:space="preserve">.2 磋商小组将与通过资格审查和符合性审查的供应商分别进行磋商。磋商小组通过“苏采云”系统向供应商发出《磋商函》，供应商应当按照要求在“苏采云”系统提交《磋商响应函》并加盖电子公章。</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w:t>
      </w: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lang w:val="zh-CN" w:eastAsia="zh-CN"/>
        </w:rPr>
        <w:t xml:space="preserve">.3 磋商过程中，磋商小组可以根据磋商文件和磋商情况实质性变动采购需求中的技术、服务要求以及合同草案条款，但不得变动磋商文件中的其他内容。实质性变动的内容，须经采购人代表确认。</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对磋商文件作出的实质性变动是磋商文件的有效组成部分，磋商小组应当及时以书面形式同时通知所有参加磋商的供应商。</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w:t>
      </w: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lang w:val="zh-CN" w:eastAsia="zh-CN"/>
        </w:rPr>
        <w:t xml:space="preserve">.4 如磋商文件有实质性变动的，供应商应当按照磋商文件的变动情况和磋商小组的要求在苏采云系统中重新提交响应文件，并加盖电子公章。</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w:t>
      </w: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lang w:val="zh-CN" w:eastAsia="zh-CN"/>
        </w:rPr>
        <w:t xml:space="preserve">.5 磋商</w:t>
      </w:r>
      <w:r>
        <w:rPr>
          <w:rFonts w:hint="eastAsia" w:ascii="宋体" w:hAnsi="宋体" w:eastAsia="宋体" w:cs="宋体"/>
          <w:color w:val="auto"/>
          <w:sz w:val="24"/>
          <w:szCs w:val="24"/>
          <w:highlight w:val="none"/>
          <w:lang w:val="zh-CN" w:eastAsia="zh-CN"/>
        </w:rPr>
        <w:t xml:space="preserve">结束后，磋商小组将在“苏采云”系统向所有实质性响应的供应商发出《最后报价要求函》及最后报价格式表，要求所有实质性响应的供应商在规定时间内提交最后报价并加盖电子公章，提交最后报价的供应商不得少于3家。最后报价是供应商响应文件的有效组成部分，除项目扩大了供货范围，增加了采购内容、提高了技术要求外，原则上不得高于上一轮报价。符合《政府采购竞争性磋商采购方式理暂行办法》第三条第四项及《财政部关于竞争性磋商采购方式管理暂行办法有关问题的补充通知》（财库〔2015〕124号）规定情形的，提交最后报价的供应商可以为2家。</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w:t>
      </w: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lang w:val="zh-CN" w:eastAsia="zh-CN"/>
        </w:rPr>
        <w:t xml:space="preserve">.6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w:t>
      </w: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eastAsia="zh-CN"/>
        </w:rPr>
        <w:t xml:space="preserve">7 </w:t>
      </w:r>
      <w:r>
        <w:rPr>
          <w:rFonts w:hint="eastAsia" w:ascii="宋体" w:hAnsi="宋体" w:eastAsia="宋体" w:cs="宋体"/>
          <w:color w:val="auto"/>
          <w:sz w:val="24"/>
          <w:szCs w:val="24"/>
          <w:highlight w:val="none"/>
          <w:lang w:val="zh-CN" w:eastAsia="zh-CN"/>
        </w:rPr>
        <w:t xml:space="preserve">项目评审期间，磋商小组有权要求供应商对响应文件中含义不明确、同类问题表述不一致或者有明显文字和计算错误的内容等作出必要的澄清、说明或者补正。</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供应商的澄清、说明或者补正不得超出响应文件的范围或者改变响应文件的实质性内容。</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磋商小组并非对每个供应商都作澄清要求。</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w:t>
      </w: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eastAsia="zh-CN"/>
        </w:rPr>
        <w:t xml:space="preserve">8</w:t>
      </w:r>
      <w:r>
        <w:rPr>
          <w:rFonts w:hint="eastAsia" w:ascii="宋体" w:hAnsi="宋体" w:eastAsia="宋体" w:cs="宋体"/>
          <w:color w:val="auto"/>
          <w:sz w:val="24"/>
          <w:szCs w:val="24"/>
          <w:highlight w:val="none"/>
          <w:lang w:val="zh-CN" w:eastAsia="zh-CN"/>
        </w:rPr>
        <w:t xml:space="preserve">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w:t>
      </w: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eastAsia="zh-CN"/>
        </w:rPr>
        <w:t xml:space="preserve">9 </w:t>
      </w:r>
      <w:r>
        <w:rPr>
          <w:rFonts w:hint="eastAsia" w:ascii="宋体" w:hAnsi="宋体" w:eastAsia="宋体" w:cs="宋体"/>
          <w:color w:val="auto"/>
          <w:sz w:val="24"/>
          <w:szCs w:val="24"/>
          <w:highlight w:val="none"/>
          <w:lang w:val="zh-CN" w:eastAsia="zh-CN"/>
        </w:rPr>
        <w:t xml:space="preserve">接到磋商小组澄清、说明和补正要求的供应商如未按规定做出澄清、说明和补正，其风险由供应商自行承担。</w:t>
      </w:r>
      <w:r/>
    </w:p>
    <w:p>
      <w:pPr>
        <w:ind w:firstLine="421"/>
        <w:spacing w:line="360" w:lineRule="auto"/>
        <w:widowControl/>
        <w:rPr>
          <w:rFonts w:hint="eastAsia" w:ascii="宋体" w:hAnsi="宋体" w:eastAsia="宋体" w:cs="宋体"/>
          <w:b/>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13.10 </w:t>
      </w:r>
      <w:r>
        <w:rPr>
          <w:rFonts w:hint="eastAsia" w:ascii="宋体" w:hAnsi="宋体" w:eastAsia="宋体" w:cs="宋体"/>
          <w:b/>
          <w:color w:val="auto"/>
          <w:sz w:val="24"/>
          <w:szCs w:val="24"/>
          <w:highlight w:val="none"/>
          <w:lang w:eastAsia="zh-CN"/>
        </w:rPr>
        <w:t xml:space="preserve">采购评审中出现下列情形之一的，评审委员会应当启动异常低价投标（响应）审查程序：</w:t>
      </w:r>
      <w:r/>
    </w:p>
    <w:p>
      <w:pPr>
        <w:ind w:firstLine="421"/>
        <w:spacing w:line="360" w:lineRule="auto"/>
        <w:widowControl/>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（1）投标（响应）报价低于全部通过符合性审查供应商投标（响应）报价平均值50%的，即投标（响应）报价&lt;全部通过符合性审查供应商投标（响应）报价平均值×50%；</w:t>
      </w:r>
      <w:r/>
    </w:p>
    <w:p>
      <w:pPr>
        <w:ind w:firstLine="421"/>
        <w:spacing w:line="360" w:lineRule="auto"/>
        <w:widowControl/>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（2）投标（响应）报价低于通过符合性审查的次低报价供应商投标（响应）报价50%的，即投标（响应）报价&lt;通过符合性审查的次低报价供应商投标（响应）报价×50%；</w:t>
      </w:r>
      <w:r/>
    </w:p>
    <w:p>
      <w:pPr>
        <w:ind w:firstLine="421"/>
        <w:spacing w:line="360" w:lineRule="auto"/>
        <w:widowControl/>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（3）投标（响应）报价低于采购项目最高限价50%的，即投标（响应）报价&lt;采购项目最高限价×50%；</w:t>
      </w:r>
      <w:r/>
    </w:p>
    <w:p>
      <w:pPr>
        <w:ind w:firstLine="421"/>
        <w:spacing w:line="360" w:lineRule="auto"/>
        <w:widowControl/>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（4）评审委员会基于专业判断，认为供应商报价过低，有可能影响产品质量或者不能诚信履约的其他情形。</w:t>
      </w:r>
      <w:r/>
    </w:p>
    <w:p>
      <w:pPr>
        <w:ind w:firstLine="421"/>
        <w:spacing w:line="360" w:lineRule="auto"/>
        <w:widowControl/>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1"/>
        <w:spacing w:line="360" w:lineRule="auto"/>
        <w:widowControl/>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1"/>
        <w:spacing w:line="360" w:lineRule="auto"/>
        <w:widowControl/>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1"/>
        <w:spacing w:line="360" w:lineRule="auto"/>
        <w:widowControl/>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color w:val="auto"/>
          <w:sz w:val="24"/>
          <w:szCs w:val="24"/>
          <w:highlight w:val="none"/>
          <w:lang w:val="zh-CN" w:eastAsia="zh-CN"/>
        </w:rPr>
        <w:t xml:space="preserve">1</w:t>
      </w: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eastAsia="zh-CN"/>
        </w:rPr>
        <w:t xml:space="preserve">11</w:t>
      </w:r>
      <w:r>
        <w:rPr>
          <w:rFonts w:hint="eastAsia" w:ascii="宋体" w:hAnsi="宋体" w:eastAsia="宋体" w:cs="宋体"/>
          <w:color w:val="auto"/>
          <w:sz w:val="24"/>
          <w:szCs w:val="24"/>
          <w:highlight w:val="none"/>
          <w:lang w:val="zh-CN" w:eastAsia="zh-CN"/>
        </w:rPr>
        <w:t xml:space="preserve"> 出现下列情形之一的响应文件按照</w:t>
      </w:r>
      <w:r>
        <w:rPr>
          <w:rFonts w:hint="eastAsia" w:ascii="宋体" w:hAnsi="宋体" w:eastAsia="宋体" w:cs="宋体"/>
          <w:b/>
          <w:color w:val="auto"/>
          <w:sz w:val="24"/>
          <w:szCs w:val="24"/>
          <w:highlight w:val="none"/>
          <w:lang w:val="zh-CN" w:eastAsia="zh-CN"/>
        </w:rPr>
        <w:t xml:space="preserve">无效处理：</w:t>
      </w:r>
      <w:r/>
    </w:p>
    <w:p>
      <w:pPr>
        <w:ind w:firstLine="42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（1）响应文件所报的投标价格超过磋商文件规定的预算价、限价的；</w:t>
      </w:r>
      <w:r/>
    </w:p>
    <w:p>
      <w:pPr>
        <w:ind w:firstLine="42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（2）未实质性响应磋商文件要求的；</w:t>
      </w:r>
      <w:r>
        <w:rPr>
          <w:rFonts w:hint="eastAsia" w:ascii="宋体" w:hAnsi="宋体" w:eastAsia="宋体"/>
          <w:b/>
          <w:color w:val="auto"/>
          <w:sz w:val="24"/>
          <w:szCs w:val="24"/>
          <w:highlight w:val="none"/>
          <w:lang w:val="zh-CN" w:eastAsia="zh-CN"/>
        </w:rPr>
        <w:t xml:space="preserve">(实质性要求是指本竞争性磋商文件中用带星（“★”）</w:t>
      </w:r>
      <w:r>
        <w:rPr>
          <w:rFonts w:hint="eastAsia" w:ascii="宋体" w:hAnsi="宋体" w:eastAsia="宋体"/>
          <w:b/>
          <w:color w:val="auto"/>
          <w:sz w:val="24"/>
          <w:szCs w:val="24"/>
          <w:highlight w:val="none"/>
          <w:lang w:eastAsia="zh-CN"/>
        </w:rPr>
        <w:t xml:space="preserve">或</w:t>
      </w:r>
      <w:r>
        <w:rPr>
          <w:rFonts w:hint="eastAsia" w:ascii="宋体" w:hAnsi="宋体" w:eastAsia="宋体"/>
          <w:b/>
          <w:color w:val="auto"/>
          <w:sz w:val="24"/>
          <w:szCs w:val="24"/>
          <w:highlight w:val="none"/>
          <w:lang w:val="zh-CN" w:eastAsia="zh-CN"/>
        </w:rPr>
        <w:t xml:space="preserve">其他文字说明的要求)</w:t>
      </w:r>
      <w:r>
        <w:rPr>
          <w:rFonts w:hint="eastAsia" w:ascii="宋体" w:hAnsi="宋体" w:eastAsia="宋体"/>
          <w:color w:val="auto"/>
          <w:sz w:val="24"/>
          <w:szCs w:val="24"/>
          <w:highlight w:val="none"/>
          <w:lang w:val="zh-CN" w:eastAsia="zh-CN"/>
        </w:rPr>
        <w:t xml:space="preserve">；</w:t>
      </w:r>
      <w:r/>
    </w:p>
    <w:p>
      <w:pPr>
        <w:ind w:firstLine="42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（3）响应文件中已标价工程量清单与采购文件规定的暂估价、暂列金额及甲供材料价格不一致的；</w:t>
      </w:r>
      <w:r/>
    </w:p>
    <w:p>
      <w:pPr>
        <w:ind w:firstLine="42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（4）响应文件中已标价工程量清单与采购文件明确列出的不可竞争费用项目或费率或计算基础不一致的；</w:t>
      </w:r>
      <w:r/>
    </w:p>
    <w:p>
      <w:pPr>
        <w:ind w:firstLine="42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（5）响应文件中已标价工程量清单与采购文件提供的工程量清单中的项目编码、项目名称、项目特征、计量单位、工程量不一致的（措施项目增项除外）；</w:t>
      </w:r>
      <w:r/>
    </w:p>
    <w:p>
      <w:pPr>
        <w:ind w:firstLine="42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（6）不符合法律、法规和磋商文件规定的其他实质性要求的。</w:t>
      </w:r>
      <w:r/>
    </w:p>
    <w:p>
      <w:pPr>
        <w:ind w:firstLine="480"/>
        <w:spacing w:line="360" w:lineRule="auto"/>
        <w:rPr>
          <w:rFonts w:hint="eastAsia" w:ascii="宋体" w:hAnsi="宋体" w:eastAsia="宋体" w:cs="宋体"/>
          <w:b/>
          <w:bCs/>
          <w:color w:val="auto"/>
          <w:sz w:val="24"/>
          <w:szCs w:val="24"/>
          <w:highlight w:val="none"/>
          <w:lang w:eastAsia="zh-CN"/>
        </w:rPr>
      </w:pPr>
      <w:r/>
      <w:bookmarkStart w:id="42" w:name="_Toc508699414"/>
      <w:r>
        <w:rPr>
          <w:rFonts w:hint="eastAsia" w:ascii="宋体" w:hAnsi="宋体" w:eastAsia="宋体" w:cs="宋体"/>
          <w:color w:val="auto"/>
          <w:sz w:val="24"/>
          <w:szCs w:val="24"/>
          <w:highlight w:val="none"/>
          <w:lang w:val="zh-CN" w:eastAsia="zh-CN"/>
        </w:rPr>
        <w:t xml:space="preserve">1</w:t>
      </w: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eastAsia="zh-CN"/>
        </w:rPr>
        <w:t xml:space="preserve">12</w:t>
      </w:r>
      <w:r>
        <w:rPr>
          <w:rFonts w:hint="eastAsia" w:ascii="宋体" w:hAnsi="宋体" w:eastAsia="宋体" w:cs="宋体"/>
          <w:color w:val="auto"/>
          <w:sz w:val="24"/>
          <w:szCs w:val="24"/>
          <w:highlight w:val="none"/>
          <w:lang w:val="zh-CN" w:eastAsia="zh-CN"/>
        </w:rPr>
        <w:t xml:space="preserve"> </w:t>
      </w:r>
      <w:r>
        <w:rPr>
          <w:rFonts w:hint="eastAsia" w:ascii="宋体" w:hAnsi="宋体" w:eastAsia="宋体" w:cs="宋体"/>
          <w:b/>
          <w:bCs/>
          <w:color w:val="auto"/>
          <w:sz w:val="24"/>
          <w:szCs w:val="24"/>
          <w:highlight w:val="none"/>
          <w:lang w:eastAsia="zh-CN"/>
        </w:rPr>
        <w:t xml:space="preserve">出现下列情形之一的，磋商终止：</w:t>
      </w:r>
      <w:bookmarkEnd w:id="42"/>
      <w:r/>
      <w:r/>
    </w:p>
    <w:p>
      <w:pPr>
        <w:ind w:firstLine="480"/>
        <w:spacing w:line="360" w:lineRule="auto"/>
        <w:rPr>
          <w:rFonts w:hint="eastAsia" w:ascii="宋体" w:hAnsi="宋体" w:eastAsia="宋体" w:cs="宋体"/>
          <w:bCs/>
          <w:color w:val="auto"/>
          <w:sz w:val="24"/>
          <w:szCs w:val="24"/>
          <w:highlight w:val="none"/>
          <w:lang w:val="zh-CN" w:eastAsia="zh-CN"/>
        </w:rPr>
      </w:pPr>
      <w:r/>
      <w:bookmarkStart w:id="43" w:name="_Toc508699415"/>
      <w:r>
        <w:rPr>
          <w:rFonts w:hint="eastAsia" w:ascii="宋体" w:hAnsi="宋体" w:eastAsia="宋体" w:cs="宋体"/>
          <w:bCs/>
          <w:color w:val="auto"/>
          <w:sz w:val="24"/>
          <w:szCs w:val="24"/>
          <w:highlight w:val="none"/>
          <w:lang w:val="zh-CN" w:eastAsia="zh-CN"/>
        </w:rPr>
        <w:t xml:space="preserve">（1）因情况变化，不再符合规定的竞争性磋商采购方式适用情形的；</w:t>
      </w:r>
      <w:r/>
    </w:p>
    <w:p>
      <w:pPr>
        <w:ind w:firstLine="480"/>
        <w:spacing w:line="360" w:lineRule="auto"/>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zh-CN" w:eastAsia="zh-CN"/>
        </w:rPr>
        <w:t xml:space="preserve">（2）出现影响采购公正的违法、违规行为的；</w:t>
      </w:r>
      <w:r/>
    </w:p>
    <w:p>
      <w:pPr>
        <w:ind w:firstLine="480"/>
        <w:spacing w:line="360" w:lineRule="auto"/>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zh-CN" w:eastAsia="zh-CN"/>
        </w:rPr>
        <w:t xml:space="preserve">（3）除《政府采购竞争性磋商采购方式理暂行办法》第三条第四项及《财政部关于竞争性磋商采购方式管理暂行办法有关问题的补充通知》（财库〔2015〕124号）规定情形外，在采购过程中符合要求的供应商或者报价未超过采购预算的供应商不足3家的；</w:t>
      </w:r>
      <w:r/>
    </w:p>
    <w:p>
      <w:pPr>
        <w:ind w:firstLine="480"/>
        <w:spacing w:line="360" w:lineRule="auto"/>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zh-CN" w:eastAsia="zh-CN"/>
        </w:rPr>
        <w:t xml:space="preserve">（4）在“苏采云”系统规定时间内成功解密电子响应文件的供应商不足3家的。</w:t>
      </w:r>
      <w:bookmarkEnd w:id="43"/>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w:t>
      </w: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lang w:val="zh-CN" w:eastAsia="zh-CN"/>
        </w:rPr>
        <w:t xml:space="preserve">、未通过资格审查或符合性审查的供应商，磋商小组将通过苏采云系统告知具体原因，评审结束后将不再接受有关询问。</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w:t>
      </w:r>
      <w:r>
        <w:rPr>
          <w:rFonts w:hint="eastAsia" w:ascii="宋体"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lang w:val="zh-CN" w:eastAsia="zh-CN"/>
        </w:rPr>
        <w:t xml:space="preserve">、供应商在项目评审全过程中应保持通讯畅通，及时登录苏采云系统查阅、答复相关信息，并安排专人与采购代理机构及磋商小组联系。</w:t>
      </w:r>
      <w:r/>
    </w:p>
    <w:p>
      <w:pPr>
        <w:ind w:firstLine="482"/>
        <w:spacing w:line="360" w:lineRule="auto"/>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val="zh-CN" w:eastAsia="zh-CN"/>
        </w:rPr>
        <w:t xml:space="preserve">1</w:t>
      </w:r>
      <w:r>
        <w:rPr>
          <w:rFonts w:hint="eastAsia" w:ascii="宋体" w:hAnsi="宋体" w:eastAsia="宋体" w:cs="宋体"/>
          <w:b/>
          <w:bCs/>
          <w:color w:val="auto"/>
          <w:sz w:val="24"/>
          <w:szCs w:val="24"/>
          <w:highlight w:val="none"/>
          <w:lang w:eastAsia="zh-CN"/>
        </w:rPr>
        <w:t xml:space="preserve">6</w:t>
      </w:r>
      <w:r>
        <w:rPr>
          <w:rFonts w:hint="eastAsia" w:ascii="宋体" w:hAnsi="宋体" w:eastAsia="宋体" w:cs="宋体"/>
          <w:b/>
          <w:bCs/>
          <w:color w:val="auto"/>
          <w:sz w:val="24"/>
          <w:szCs w:val="24"/>
          <w:highlight w:val="none"/>
          <w:lang w:val="zh-CN" w:eastAsia="zh-CN"/>
        </w:rPr>
        <w:t xml:space="preserve">、评分方法和标准</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w:t>
      </w:r>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lang w:val="zh-CN" w:eastAsia="zh-CN"/>
        </w:rPr>
        <w:t xml:space="preserve">.1 采用综合评分法。即在最大限度地满足磋商文件实质性要求前提下，按照磋商文件中规定的各项因素进行综合评审后，以评审总得分最高的供应商作为成交候选供应商或者成交供应商的评分方法。</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w:t>
      </w:r>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lang w:val="zh-CN" w:eastAsia="zh-CN"/>
        </w:rPr>
        <w:t xml:space="preserve">.2 综合评分的主要因素是：评分标准详见第三章。</w:t>
      </w:r>
      <w:r/>
    </w:p>
    <w:p>
      <w:pPr>
        <w:ind w:firstLine="482"/>
        <w:spacing w:line="360" w:lineRule="auto"/>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val="zh-CN" w:eastAsia="zh-CN"/>
        </w:rPr>
        <w:t xml:space="preserve">1</w:t>
      </w:r>
      <w:r>
        <w:rPr>
          <w:rFonts w:hint="eastAsia" w:ascii="宋体" w:hAnsi="宋体" w:eastAsia="宋体" w:cs="宋体"/>
          <w:b/>
          <w:bCs/>
          <w:color w:val="auto"/>
          <w:sz w:val="24"/>
          <w:szCs w:val="24"/>
          <w:highlight w:val="none"/>
          <w:lang w:eastAsia="zh-CN"/>
        </w:rPr>
        <w:t xml:space="preserve">7</w:t>
      </w:r>
      <w:r>
        <w:rPr>
          <w:rFonts w:hint="eastAsia" w:ascii="宋体" w:hAnsi="宋体" w:eastAsia="宋体" w:cs="宋体"/>
          <w:b/>
          <w:bCs/>
          <w:color w:val="auto"/>
          <w:sz w:val="24"/>
          <w:szCs w:val="24"/>
          <w:highlight w:val="none"/>
          <w:lang w:val="zh-CN" w:eastAsia="zh-CN"/>
        </w:rPr>
        <w:t xml:space="preserve">、成交供应商候选人推荐原则</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zh-CN" w:eastAsia="zh-CN"/>
        </w:rPr>
        <w:t xml:space="preserve">1</w:t>
      </w:r>
      <w:r>
        <w:rPr>
          <w:rFonts w:hint="eastAsia" w:ascii="宋体" w:hAnsi="宋体" w:eastAsia="宋体" w:cs="宋体"/>
          <w:color w:val="auto"/>
          <w:sz w:val="24"/>
          <w:szCs w:val="24"/>
          <w:highlight w:val="none"/>
          <w:lang w:eastAsia="zh-CN"/>
        </w:rPr>
        <w:t xml:space="preserve">7</w:t>
      </w:r>
      <w:r>
        <w:rPr>
          <w:rFonts w:hint="eastAsia" w:ascii="宋体" w:hAnsi="宋体" w:eastAsia="宋体" w:cs="宋体"/>
          <w:color w:val="auto"/>
          <w:sz w:val="24"/>
          <w:szCs w:val="24"/>
          <w:highlight w:val="none"/>
          <w:lang w:val="zh-CN" w:eastAsia="zh-CN"/>
        </w:rPr>
        <w:t xml:space="preserve">.1 磋商小组将根据综合评分情况，对实质上响应竞争性磋商文件的供应商按综合评审得分由高到低的顺序进行排序。评审得分相同的，按照最后报价由低到高顺序排列，评审得分且最后报价相同的，按</w:t>
      </w:r>
      <w:r>
        <w:rPr>
          <w:rFonts w:hint="eastAsia" w:ascii="宋体" w:hAnsi="宋体" w:eastAsia="宋体" w:cs="宋体"/>
          <w:color w:val="auto"/>
          <w:sz w:val="24"/>
          <w:szCs w:val="24"/>
          <w:highlight w:val="none"/>
          <w:lang w:eastAsia="zh-CN"/>
        </w:rPr>
        <w:t xml:space="preserve">施工组织设计</w:t>
      </w:r>
      <w:r>
        <w:rPr>
          <w:rFonts w:hint="eastAsia" w:ascii="宋体" w:hAnsi="宋体" w:eastAsia="宋体" w:cs="宋体"/>
          <w:color w:val="auto"/>
          <w:sz w:val="24"/>
          <w:szCs w:val="24"/>
          <w:highlight w:val="none"/>
          <w:lang w:val="zh-CN" w:eastAsia="zh-CN"/>
        </w:rPr>
        <w:t xml:space="preserve">优劣顺序排列。</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w:t>
      </w:r>
      <w:r>
        <w:rPr>
          <w:rFonts w:hint="eastAsia" w:ascii="宋体" w:hAnsi="宋体" w:eastAsia="宋体" w:cs="宋体"/>
          <w:color w:val="auto"/>
          <w:sz w:val="24"/>
          <w:szCs w:val="24"/>
          <w:highlight w:val="none"/>
          <w:lang w:eastAsia="zh-CN"/>
        </w:rPr>
        <w:t xml:space="preserve">7</w:t>
      </w:r>
      <w:r>
        <w:rPr>
          <w:rFonts w:hint="eastAsia" w:ascii="宋体" w:hAnsi="宋体" w:eastAsia="宋体" w:cs="宋体"/>
          <w:color w:val="auto"/>
          <w:sz w:val="24"/>
          <w:szCs w:val="24"/>
          <w:highlight w:val="none"/>
          <w:lang w:val="zh-CN" w:eastAsia="zh-CN"/>
        </w:rPr>
        <w:t xml:space="preserve">.2 磋商小组根据上述原则，依次推荐排序前三名的供应商为成交候选人。</w:t>
      </w:r>
      <w:r/>
    </w:p>
    <w:p>
      <w:pPr>
        <w:ind w:firstLine="480"/>
        <w:spacing w:line="360" w:lineRule="auto"/>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zh-CN" w:eastAsia="zh-CN"/>
        </w:rPr>
        <w:t xml:space="preserve">1</w:t>
      </w:r>
      <w:r>
        <w:rPr>
          <w:rFonts w:hint="eastAsia" w:ascii="宋体" w:hAnsi="宋体" w:eastAsia="宋体" w:cs="宋体"/>
          <w:bCs/>
          <w:color w:val="auto"/>
          <w:sz w:val="24"/>
          <w:szCs w:val="24"/>
          <w:highlight w:val="none"/>
          <w:lang w:eastAsia="zh-CN"/>
        </w:rPr>
        <w:t xml:space="preserve">7</w:t>
      </w:r>
      <w:r>
        <w:rPr>
          <w:rFonts w:hint="eastAsia" w:ascii="宋体" w:hAnsi="宋体" w:eastAsia="宋体" w:cs="宋体"/>
          <w:bCs/>
          <w:color w:val="auto"/>
          <w:sz w:val="24"/>
          <w:szCs w:val="24"/>
          <w:highlight w:val="none"/>
          <w:lang w:val="zh-CN" w:eastAsia="zh-CN"/>
        </w:rPr>
        <w:t xml:space="preserve">.</w:t>
      </w:r>
      <w:r>
        <w:rPr>
          <w:rFonts w:hint="eastAsia" w:ascii="宋体" w:hAnsi="宋体" w:eastAsia="宋体" w:cs="宋体"/>
          <w:bCs/>
          <w:color w:val="auto"/>
          <w:sz w:val="24"/>
          <w:szCs w:val="24"/>
          <w:highlight w:val="none"/>
          <w:lang w:eastAsia="zh-CN"/>
        </w:rPr>
        <w:t xml:space="preserve">3</w:t>
      </w:r>
      <w:r>
        <w:rPr>
          <w:rFonts w:hint="eastAsia" w:ascii="宋体" w:hAnsi="宋体" w:eastAsia="宋体" w:cs="宋体"/>
          <w:bCs/>
          <w:color w:val="auto"/>
          <w:sz w:val="24"/>
          <w:szCs w:val="24"/>
          <w:highlight w:val="none"/>
          <w:lang w:val="zh-CN" w:eastAsia="zh-CN"/>
        </w:rPr>
        <w:t xml:space="preserve"> 磋商小组根据磋商过程和结果编写磋商（评审）报告。</w:t>
      </w:r>
      <w:r/>
    </w:p>
    <w:p>
      <w:pPr>
        <w:ind w:firstLine="482"/>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b/>
          <w:color w:val="auto"/>
          <w:sz w:val="24"/>
          <w:szCs w:val="24"/>
          <w:highlight w:val="none"/>
          <w:lang w:val="zh-CN" w:eastAsia="zh-CN"/>
        </w:rPr>
        <w:t xml:space="preserve">1</w:t>
      </w:r>
      <w:r>
        <w:rPr>
          <w:rFonts w:hint="eastAsia" w:ascii="宋体" w:hAnsi="宋体" w:eastAsia="宋体" w:cs="宋体"/>
          <w:b/>
          <w:color w:val="auto"/>
          <w:sz w:val="24"/>
          <w:szCs w:val="24"/>
          <w:highlight w:val="none"/>
          <w:lang w:eastAsia="zh-CN"/>
        </w:rPr>
        <w:t xml:space="preserve">8</w:t>
      </w:r>
      <w:r>
        <w:rPr>
          <w:rFonts w:hint="eastAsia" w:ascii="宋体" w:hAnsi="宋体" w:eastAsia="宋体" w:cs="宋体"/>
          <w:b/>
          <w:color w:val="auto"/>
          <w:sz w:val="24"/>
          <w:szCs w:val="24"/>
          <w:highlight w:val="none"/>
          <w:lang w:val="zh-CN" w:eastAsia="zh-CN"/>
        </w:rPr>
        <w:t xml:space="preserve">、定标原则</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w:t>
      </w:r>
      <w:r>
        <w:rPr>
          <w:rFonts w:hint="eastAsia" w:ascii="宋体" w:hAnsi="宋体" w:eastAsia="宋体" w:cs="宋体"/>
          <w:color w:val="auto"/>
          <w:sz w:val="24"/>
          <w:szCs w:val="24"/>
          <w:highlight w:val="none"/>
          <w:lang w:eastAsia="zh-CN"/>
        </w:rPr>
        <w:t xml:space="preserve">8</w:t>
      </w:r>
      <w:r>
        <w:rPr>
          <w:rFonts w:hint="eastAsia" w:ascii="宋体" w:hAnsi="宋体" w:eastAsia="宋体" w:cs="宋体"/>
          <w:color w:val="auto"/>
          <w:sz w:val="24"/>
          <w:szCs w:val="24"/>
          <w:highlight w:val="none"/>
          <w:lang w:val="zh-CN" w:eastAsia="zh-CN"/>
        </w:rPr>
        <w:t xml:space="preserve">.1 采购人将按磋商小组推荐的排序将成交合同授予综合评分最高的供应商。</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w:t>
      </w:r>
      <w:r>
        <w:rPr>
          <w:rFonts w:hint="eastAsia" w:ascii="宋体" w:hAnsi="宋体" w:eastAsia="宋体" w:cs="宋体"/>
          <w:color w:val="auto"/>
          <w:sz w:val="24"/>
          <w:szCs w:val="24"/>
          <w:highlight w:val="none"/>
          <w:lang w:eastAsia="zh-CN"/>
        </w:rPr>
        <w:t xml:space="preserve">8</w:t>
      </w:r>
      <w:r>
        <w:rPr>
          <w:rFonts w:hint="eastAsia" w:ascii="宋体" w:hAnsi="宋体" w:eastAsia="宋体" w:cs="宋体"/>
          <w:color w:val="auto"/>
          <w:sz w:val="24"/>
          <w:szCs w:val="24"/>
          <w:highlight w:val="none"/>
          <w:lang w:val="zh-CN" w:eastAsia="zh-CN"/>
        </w:rPr>
        <w:t xml:space="preserve">.2 成交供应商确定之日起2个工作日内，采购人或者采购代理机构将在磋商公告发布</w:t>
      </w:r>
      <w:r>
        <w:rPr>
          <w:rFonts w:hint="eastAsia" w:ascii="宋体" w:hAnsi="宋体" w:eastAsia="宋体" w:cs="宋体"/>
          <w:color w:val="auto"/>
          <w:sz w:val="24"/>
          <w:szCs w:val="24"/>
          <w:highlight w:val="none"/>
          <w:lang w:eastAsia="zh-CN"/>
        </w:rPr>
        <w:t xml:space="preserve">平台</w:t>
      </w:r>
      <w:r>
        <w:rPr>
          <w:rFonts w:hint="eastAsia" w:ascii="宋体" w:hAnsi="宋体" w:eastAsia="宋体" w:cs="宋体"/>
          <w:color w:val="auto"/>
          <w:sz w:val="24"/>
          <w:szCs w:val="24"/>
          <w:highlight w:val="none"/>
          <w:lang w:val="zh-CN" w:eastAsia="zh-CN"/>
        </w:rPr>
        <w:t xml:space="preserve">上</w:t>
      </w:r>
      <w:r>
        <w:rPr>
          <w:rFonts w:hint="eastAsia" w:ascii="宋体" w:hAnsi="宋体" w:eastAsia="宋体" w:cs="宋体"/>
          <w:color w:val="auto"/>
          <w:sz w:val="24"/>
          <w:szCs w:val="24"/>
          <w:highlight w:val="none"/>
          <w:lang w:eastAsia="zh-CN"/>
        </w:rPr>
        <w:t xml:space="preserve">发布</w:t>
      </w:r>
      <w:r>
        <w:rPr>
          <w:rFonts w:hint="eastAsia" w:ascii="宋体" w:hAnsi="宋体" w:eastAsia="宋体" w:cs="宋体"/>
          <w:color w:val="auto"/>
          <w:sz w:val="24"/>
          <w:szCs w:val="24"/>
          <w:highlight w:val="none"/>
          <w:lang w:val="zh-CN" w:eastAsia="zh-CN"/>
        </w:rPr>
        <w:t xml:space="preserve">成交结果</w:t>
      </w:r>
      <w:r>
        <w:rPr>
          <w:rFonts w:hint="eastAsia" w:ascii="宋体" w:hAnsi="宋体" w:eastAsia="宋体" w:cs="宋体"/>
          <w:color w:val="auto"/>
          <w:sz w:val="24"/>
          <w:szCs w:val="24"/>
          <w:highlight w:val="none"/>
          <w:lang w:eastAsia="zh-CN"/>
        </w:rPr>
        <w:t xml:space="preserve">公告</w:t>
      </w:r>
      <w:r>
        <w:rPr>
          <w:rFonts w:hint="eastAsia" w:ascii="宋体" w:hAnsi="宋体" w:eastAsia="宋体" w:cs="宋体"/>
          <w:color w:val="auto"/>
          <w:sz w:val="24"/>
          <w:szCs w:val="24"/>
          <w:highlight w:val="none"/>
          <w:lang w:val="zh-CN" w:eastAsia="zh-CN"/>
        </w:rPr>
        <w:t xml:space="preserve">，同时代理机构将向成交供应商发出《成交通知书》。成交供应商可在成交结果公告届满之日起三十日内，登录“苏采云”系统下载。</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因系统存储空间有限，成交结果公告届满之日起三十日后，“苏采云”系统不再保证提供下载《成交通知书》服务,因未及时下载而造成的不利后果由成交供应商自行承担。</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w:t>
      </w:r>
      <w:r>
        <w:rPr>
          <w:rFonts w:hint="eastAsia" w:ascii="宋体" w:hAnsi="宋体" w:eastAsia="宋体" w:cs="宋体"/>
          <w:color w:val="auto"/>
          <w:sz w:val="24"/>
          <w:szCs w:val="24"/>
          <w:highlight w:val="none"/>
          <w:lang w:eastAsia="zh-CN"/>
        </w:rPr>
        <w:t xml:space="preserve">8</w:t>
      </w:r>
      <w:r>
        <w:rPr>
          <w:rFonts w:hint="eastAsia" w:ascii="宋体" w:hAnsi="宋体" w:eastAsia="宋体" w:cs="宋体"/>
          <w:color w:val="auto"/>
          <w:sz w:val="24"/>
          <w:szCs w:val="24"/>
          <w:highlight w:val="none"/>
          <w:lang w:val="zh-CN" w:eastAsia="zh-CN"/>
        </w:rPr>
        <w:t xml:space="preserve">.3 成交通知书对采购人和成交供应商具有同等法律效力。</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w:t>
      </w:r>
      <w:r>
        <w:rPr>
          <w:rFonts w:hint="eastAsia" w:ascii="宋体" w:hAnsi="宋体" w:eastAsia="宋体" w:cs="宋体"/>
          <w:color w:val="auto"/>
          <w:sz w:val="24"/>
          <w:szCs w:val="24"/>
          <w:highlight w:val="none"/>
          <w:lang w:eastAsia="zh-CN"/>
        </w:rPr>
        <w:t xml:space="preserve">8</w:t>
      </w:r>
      <w:r>
        <w:rPr>
          <w:rFonts w:hint="eastAsia" w:ascii="宋体" w:hAnsi="宋体" w:eastAsia="宋体" w:cs="宋体"/>
          <w:color w:val="auto"/>
          <w:sz w:val="24"/>
          <w:szCs w:val="24"/>
          <w:highlight w:val="none"/>
          <w:lang w:val="zh-CN" w:eastAsia="zh-CN"/>
        </w:rPr>
        <w:t xml:space="preserve">.4 成交通知书发出后，采购人或成交供应商拒绝签订合同的，拒绝签订合同的一方向另一方支付双方商定的补偿费用，并承担相应的法律责任。</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w:t>
      </w:r>
      <w:r>
        <w:rPr>
          <w:rFonts w:hint="eastAsia" w:ascii="宋体" w:hAnsi="宋体" w:eastAsia="宋体" w:cs="宋体"/>
          <w:color w:val="auto"/>
          <w:sz w:val="24"/>
          <w:szCs w:val="24"/>
          <w:highlight w:val="none"/>
          <w:lang w:eastAsia="zh-CN"/>
        </w:rPr>
        <w:t xml:space="preserve">8</w:t>
      </w:r>
      <w:r>
        <w:rPr>
          <w:rFonts w:hint="eastAsia" w:ascii="宋体" w:hAnsi="宋体" w:eastAsia="宋体" w:cs="宋体"/>
          <w:color w:val="auto"/>
          <w:sz w:val="24"/>
          <w:szCs w:val="24"/>
          <w:highlight w:val="none"/>
          <w:lang w:val="zh-CN" w:eastAsia="zh-CN"/>
        </w:rPr>
        <w:t xml:space="preserve">.5 成交通知书发出后，成交供应商除发生法律规定的不能预见、不能避免并不能克服的客观情况外不得放弃或拒绝签订合同。放弃或拒绝签订合同，情节严重的提请财政部门将其列入不良行为名单，在一至三年内不得参加政府采购活动，并予以通报。</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w:t>
      </w:r>
      <w:r>
        <w:rPr>
          <w:rFonts w:hint="eastAsia" w:ascii="宋体" w:hAnsi="宋体" w:eastAsia="宋体" w:cs="宋体"/>
          <w:color w:val="auto"/>
          <w:sz w:val="24"/>
          <w:szCs w:val="24"/>
          <w:highlight w:val="none"/>
          <w:lang w:eastAsia="zh-CN"/>
        </w:rPr>
        <w:t xml:space="preserve">8</w:t>
      </w:r>
      <w:r>
        <w:rPr>
          <w:rFonts w:hint="eastAsia" w:ascii="宋体" w:hAnsi="宋体" w:eastAsia="宋体" w:cs="宋体"/>
          <w:color w:val="auto"/>
          <w:sz w:val="24"/>
          <w:szCs w:val="24"/>
          <w:highlight w:val="none"/>
          <w:lang w:val="zh-CN" w:eastAsia="zh-CN"/>
        </w:rPr>
        <w:t xml:space="preserve">.6 采购代理机构对未成交的供应商不作未成交原因的解释。</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w:t>
      </w:r>
      <w:r>
        <w:rPr>
          <w:rFonts w:hint="eastAsia" w:ascii="宋体" w:hAnsi="宋体" w:eastAsia="宋体" w:cs="宋体"/>
          <w:color w:val="auto"/>
          <w:sz w:val="24"/>
          <w:szCs w:val="24"/>
          <w:highlight w:val="none"/>
          <w:lang w:eastAsia="zh-CN"/>
        </w:rPr>
        <w:t xml:space="preserve">8</w:t>
      </w:r>
      <w:r>
        <w:rPr>
          <w:rFonts w:hint="eastAsia" w:ascii="宋体" w:hAnsi="宋体" w:eastAsia="宋体" w:cs="宋体"/>
          <w:color w:val="auto"/>
          <w:sz w:val="24"/>
          <w:szCs w:val="24"/>
          <w:highlight w:val="none"/>
          <w:lang w:val="zh-CN" w:eastAsia="zh-CN"/>
        </w:rPr>
        <w:t xml:space="preserve">.7 所有响应文件不论成交与否，采购代理机构均不退回。</w:t>
      </w:r>
      <w:r/>
    </w:p>
    <w:p>
      <w:pPr>
        <w:ind w:firstLine="482"/>
        <w:spacing w:line="360" w:lineRule="auto"/>
        <w:rPr>
          <w:rFonts w:hint="eastAsia" w:ascii="宋体" w:hAnsi="宋体" w:eastAsia="宋体" w:cs="宋体"/>
          <w:b/>
          <w:bCs/>
          <w:color w:val="auto"/>
          <w:sz w:val="24"/>
          <w:szCs w:val="24"/>
          <w:highlight w:val="none"/>
          <w:lang w:val="zh-CN" w:eastAsia="zh-CN"/>
        </w:rPr>
      </w:pPr>
      <w:r>
        <w:rPr>
          <w:rFonts w:hint="eastAsia" w:ascii="宋体" w:hAnsi="宋体" w:eastAsia="宋体" w:cs="宋体"/>
          <w:b/>
          <w:color w:val="auto"/>
          <w:sz w:val="24"/>
          <w:szCs w:val="24"/>
          <w:highlight w:val="none"/>
          <w:lang w:val="zh-CN" w:eastAsia="zh-CN"/>
        </w:rPr>
        <w:t xml:space="preserve">1</w:t>
      </w:r>
      <w:r>
        <w:rPr>
          <w:rFonts w:hint="eastAsia" w:ascii="宋体" w:hAnsi="宋体" w:eastAsia="宋体" w:cs="宋体"/>
          <w:b/>
          <w:color w:val="auto"/>
          <w:sz w:val="24"/>
          <w:szCs w:val="24"/>
          <w:highlight w:val="none"/>
          <w:lang w:eastAsia="zh-CN"/>
        </w:rPr>
        <w:t xml:space="preserve">9</w:t>
      </w:r>
      <w:r>
        <w:rPr>
          <w:rFonts w:hint="eastAsia" w:ascii="宋体" w:hAnsi="宋体" w:eastAsia="宋体" w:cs="宋体"/>
          <w:b/>
          <w:color w:val="auto"/>
          <w:sz w:val="24"/>
          <w:szCs w:val="24"/>
          <w:highlight w:val="none"/>
          <w:lang w:val="zh-CN" w:eastAsia="zh-CN"/>
        </w:rPr>
        <w:t xml:space="preserve">、</w:t>
      </w:r>
      <w:r>
        <w:rPr>
          <w:rFonts w:hint="eastAsia" w:ascii="宋体" w:hAnsi="宋体" w:eastAsia="宋体" w:cs="宋体"/>
          <w:b/>
          <w:bCs/>
          <w:color w:val="auto"/>
          <w:sz w:val="24"/>
          <w:szCs w:val="24"/>
          <w:highlight w:val="none"/>
          <w:lang w:val="zh-CN" w:eastAsia="zh-CN"/>
        </w:rPr>
        <w:t xml:space="preserve">签订合同</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19</w:t>
      </w: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eastAsia="zh-CN"/>
        </w:rPr>
        <w:t xml:space="preserve">1 成交供应商应当</w:t>
      </w:r>
      <w:r>
        <w:rPr>
          <w:rFonts w:hint="eastAsia" w:ascii="宋体" w:hAnsi="宋体" w:eastAsia="宋体" w:cs="宋体"/>
          <w:color w:val="auto"/>
          <w:sz w:val="24"/>
          <w:szCs w:val="24"/>
          <w:highlight w:val="none"/>
          <w:lang w:val="zh-CN" w:eastAsia="zh-CN"/>
        </w:rPr>
        <w:t xml:space="preserve">自成交通知书发出之日起三十日内，</w:t>
      </w:r>
      <w:r>
        <w:rPr>
          <w:rFonts w:hint="eastAsia" w:ascii="宋体" w:hAnsi="宋体" w:eastAsia="宋体" w:cs="宋体"/>
          <w:color w:val="auto"/>
          <w:sz w:val="24"/>
          <w:szCs w:val="24"/>
          <w:highlight w:val="none"/>
          <w:lang w:eastAsia="zh-CN"/>
        </w:rPr>
        <w:t xml:space="preserve">与采购人签订政府采购合同，所签订的合同不得对采购文件和响应文件作实质性修改。</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19</w:t>
      </w:r>
      <w:r>
        <w:rPr>
          <w:rFonts w:hint="eastAsia" w:ascii="宋体" w:hAnsi="宋体" w:eastAsia="宋体" w:cs="宋体"/>
          <w:color w:val="auto"/>
          <w:sz w:val="24"/>
          <w:szCs w:val="24"/>
          <w:highlight w:val="none"/>
          <w:lang w:val="zh-CN" w:eastAsia="zh-CN"/>
        </w:rPr>
        <w:t xml:space="preserve">.2 </w:t>
      </w:r>
      <w:r>
        <w:rPr>
          <w:rFonts w:hint="eastAsia" w:ascii="宋体" w:hAnsi="宋体" w:eastAsia="宋体" w:cs="宋体"/>
          <w:color w:val="auto"/>
          <w:sz w:val="24"/>
          <w:szCs w:val="24"/>
          <w:highlight w:val="none"/>
          <w:lang w:eastAsia="zh-CN"/>
        </w:rPr>
        <w:t xml:space="preserve">采购人不得向成交供应商提出任何不合理的要求作为签订合同的条件，不得与成交供应商私下订立背离合同实质性内容的协议。</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w:t>
      </w:r>
      <w:r>
        <w:rPr>
          <w:rFonts w:hint="eastAsia" w:ascii="宋体" w:hAnsi="宋体" w:eastAsia="宋体" w:cs="宋体"/>
          <w:color w:val="auto"/>
          <w:sz w:val="24"/>
          <w:szCs w:val="24"/>
          <w:highlight w:val="none"/>
          <w:lang w:eastAsia="zh-CN"/>
        </w:rPr>
        <w:t xml:space="preserve">9</w:t>
      </w:r>
      <w:r>
        <w:rPr>
          <w:rFonts w:hint="eastAsia" w:ascii="宋体" w:hAnsi="宋体" w:eastAsia="宋体" w:cs="宋体"/>
          <w:color w:val="auto"/>
          <w:sz w:val="24"/>
          <w:szCs w:val="24"/>
          <w:highlight w:val="none"/>
          <w:lang w:val="zh-CN" w:eastAsia="zh-CN"/>
        </w:rPr>
        <w:t xml:space="preserve">.3</w:t>
      </w:r>
      <w:r>
        <w:rPr>
          <w:rFonts w:hint="eastAsia" w:ascii="宋体" w:hAnsi="宋体" w:eastAsia="宋体" w:cs="宋体"/>
          <w:color w:val="auto"/>
          <w:sz w:val="24"/>
          <w:szCs w:val="24"/>
          <w:highlight w:val="none"/>
          <w:lang w:eastAsia="zh-CN"/>
        </w:rPr>
        <w:t xml:space="preserve"> 除不可抗力等因素外，</w:t>
      </w:r>
      <w:r>
        <w:rPr>
          <w:rFonts w:hint="eastAsia" w:ascii="宋体" w:hAnsi="宋体" w:eastAsia="宋体" w:cs="宋体"/>
          <w:color w:val="auto"/>
          <w:sz w:val="24"/>
          <w:szCs w:val="24"/>
          <w:highlight w:val="none"/>
          <w:lang w:val="zh-CN" w:eastAsia="zh-CN"/>
        </w:rPr>
        <w:t xml:space="preserve">成交通知书发出后，采购人改变成交结果，或者成交供应商拒绝签订政府采购合同的，应当承担相应的法律责任。</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w:t>
      </w:r>
      <w:r>
        <w:rPr>
          <w:rFonts w:hint="eastAsia" w:ascii="宋体" w:hAnsi="宋体" w:eastAsia="宋体" w:cs="宋体"/>
          <w:color w:val="auto"/>
          <w:sz w:val="24"/>
          <w:szCs w:val="24"/>
          <w:highlight w:val="none"/>
          <w:lang w:eastAsia="zh-CN"/>
        </w:rPr>
        <w:t xml:space="preserve">9</w:t>
      </w:r>
      <w:r>
        <w:rPr>
          <w:rFonts w:hint="eastAsia" w:ascii="宋体" w:hAnsi="宋体" w:eastAsia="宋体" w:cs="宋体"/>
          <w:color w:val="auto"/>
          <w:sz w:val="24"/>
          <w:szCs w:val="24"/>
          <w:highlight w:val="none"/>
          <w:lang w:val="zh-CN" w:eastAsia="zh-CN"/>
        </w:rPr>
        <w:t xml:space="preserve">.4 成交供应商除发生法律规定的不能预见、不能避免并不能克服的客观情况外不得放弃或拒绝签订合同。放弃或拒绝签订合同的，财政部门视情将其列入不良行为名单，在一至三年内不得参加政府采购活动。</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19</w:t>
      </w:r>
      <w:r>
        <w:rPr>
          <w:rFonts w:hint="eastAsia" w:ascii="宋体" w:hAnsi="宋体" w:eastAsia="宋体" w:cs="宋体"/>
          <w:color w:val="auto"/>
          <w:sz w:val="24"/>
          <w:szCs w:val="24"/>
          <w:highlight w:val="none"/>
          <w:lang w:val="zh-CN" w:eastAsia="zh-CN"/>
        </w:rPr>
        <w:t xml:space="preserve">.5成交供应商拒绝签订政府采购合同的，</w:t>
      </w:r>
      <w:r>
        <w:rPr>
          <w:rFonts w:hint="eastAsia" w:ascii="宋体" w:hAnsi="宋体" w:eastAsia="宋体" w:cs="宋体"/>
          <w:color w:val="auto"/>
          <w:sz w:val="24"/>
          <w:szCs w:val="24"/>
          <w:highlight w:val="none"/>
          <w:lang w:eastAsia="zh-CN"/>
        </w:rPr>
        <w:t xml:space="preserve">或因不可抗力或者自身原因不能履行政府采购合同的，</w:t>
      </w:r>
      <w:r>
        <w:rPr>
          <w:rFonts w:hint="eastAsia" w:ascii="宋体" w:hAnsi="宋体" w:eastAsia="宋体" w:cs="宋体"/>
          <w:color w:val="auto"/>
          <w:sz w:val="24"/>
          <w:szCs w:val="24"/>
          <w:highlight w:val="none"/>
          <w:lang w:val="zh-CN" w:eastAsia="zh-CN"/>
        </w:rPr>
        <w:t xml:space="preserve">采购人可以视情与排位在成交供应商之后第一位的成交候选供应商签订政府采购合同，也可以重新开展采购活动。</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19</w:t>
      </w:r>
      <w:r>
        <w:rPr>
          <w:rFonts w:hint="eastAsia" w:ascii="宋体" w:hAnsi="宋体" w:eastAsia="宋体" w:cs="宋体"/>
          <w:color w:val="auto"/>
          <w:sz w:val="24"/>
          <w:szCs w:val="24"/>
          <w:highlight w:val="none"/>
          <w:lang w:val="zh-CN" w:eastAsia="zh-CN"/>
        </w:rPr>
        <w:t xml:space="preserve">.6 政府采购合同履行中，采购人需追加与合同标的相同的服务的，在不改变合同其他条款的前提下，可以与供应商协商签订补充合同，但所有补充合同的采购金额不得超过原合同采购金额的百分之十。</w:t>
      </w:r>
      <w:r/>
    </w:p>
    <w:p>
      <w:pPr>
        <w:ind w:firstLine="482"/>
        <w:spacing w:line="360" w:lineRule="auto"/>
        <w:rPr>
          <w:rFonts w:hint="eastAsia" w:ascii="宋体" w:hAnsi="宋体" w:eastAsia="宋体" w:cs="宋体"/>
          <w:b/>
          <w:bCs/>
          <w:color w:val="auto"/>
          <w:sz w:val="24"/>
          <w:szCs w:val="24"/>
          <w:highlight w:val="none"/>
          <w:lang w:val="zh-CN" w:eastAsia="zh-CN"/>
        </w:rPr>
      </w:pPr>
      <w:r/>
      <w:bookmarkStart w:id="44" w:name="_Toc508699419"/>
      <w:r>
        <w:rPr>
          <w:rFonts w:hint="eastAsia" w:ascii="宋体" w:hAnsi="宋体" w:eastAsia="宋体" w:cs="宋体"/>
          <w:b/>
          <w:bCs/>
          <w:color w:val="auto"/>
          <w:sz w:val="24"/>
          <w:szCs w:val="24"/>
          <w:highlight w:val="none"/>
          <w:lang w:val="zh-CN" w:eastAsia="zh-CN"/>
        </w:rPr>
        <w:t xml:space="preserve">六、询问、质疑、投诉和诚实信用</w:t>
      </w:r>
      <w:bookmarkEnd w:id="44"/>
      <w:r/>
      <w:r/>
    </w:p>
    <w:p>
      <w:pPr>
        <w:ind w:firstLine="482"/>
        <w:spacing w:line="360" w:lineRule="auto"/>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eastAsia="zh-CN"/>
        </w:rPr>
        <w:t xml:space="preserve">20</w:t>
      </w:r>
      <w:r>
        <w:rPr>
          <w:rFonts w:hint="eastAsia" w:ascii="宋体" w:hAnsi="宋体" w:eastAsia="宋体" w:cs="宋体"/>
          <w:b/>
          <w:bCs/>
          <w:color w:val="auto"/>
          <w:sz w:val="24"/>
          <w:szCs w:val="24"/>
          <w:highlight w:val="none"/>
          <w:lang w:val="zh-CN" w:eastAsia="zh-CN"/>
        </w:rPr>
        <w:t xml:space="preserve">、询问</w:t>
      </w:r>
      <w:r/>
    </w:p>
    <w:p>
      <w:pPr>
        <w:ind w:firstLine="480"/>
        <w:spacing w:line="360" w:lineRule="auto"/>
        <w:rPr>
          <w:rFonts w:hint="eastAsia" w:ascii="宋体" w:hAnsi="宋体" w:eastAsia="宋体" w:cs="宋体"/>
          <w:b/>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20</w:t>
      </w:r>
      <w:r>
        <w:rPr>
          <w:rFonts w:hint="eastAsia" w:ascii="宋体" w:hAnsi="宋体" w:eastAsia="宋体" w:cs="宋体"/>
          <w:color w:val="auto"/>
          <w:sz w:val="24"/>
          <w:szCs w:val="24"/>
          <w:highlight w:val="none"/>
          <w:lang w:val="zh-CN" w:eastAsia="zh-CN"/>
        </w:rPr>
        <w:t xml:space="preserve">.1 供应商对采购活动事项有疑问的，可以向代理人提出询问，代理人将在两个工作日内作出答复，但答复的内容不涉及商业秘密。</w:t>
      </w:r>
      <w:r/>
    </w:p>
    <w:p>
      <w:pPr>
        <w:ind w:firstLine="482"/>
        <w:spacing w:line="360" w:lineRule="auto"/>
        <w:rPr>
          <w:rFonts w:hint="eastAsia" w:ascii="宋体" w:hAnsi="宋体" w:eastAsia="宋体" w:cs="宋体"/>
          <w:b/>
          <w:color w:val="auto"/>
          <w:sz w:val="24"/>
          <w:szCs w:val="24"/>
          <w:highlight w:val="none"/>
          <w:lang w:val="zh-CN" w:eastAsia="zh-CN"/>
        </w:rPr>
      </w:pPr>
      <w:r>
        <w:rPr>
          <w:rFonts w:hint="eastAsia" w:ascii="宋体" w:hAnsi="宋体" w:eastAsia="宋体" w:cs="宋体"/>
          <w:b/>
          <w:color w:val="auto"/>
          <w:sz w:val="24"/>
          <w:szCs w:val="24"/>
          <w:highlight w:val="none"/>
          <w:lang w:eastAsia="zh-CN"/>
        </w:rPr>
        <w:t xml:space="preserve">21</w:t>
      </w:r>
      <w:r>
        <w:rPr>
          <w:rFonts w:hint="eastAsia" w:ascii="宋体" w:hAnsi="宋体" w:eastAsia="宋体" w:cs="宋体"/>
          <w:b/>
          <w:color w:val="auto"/>
          <w:sz w:val="24"/>
          <w:szCs w:val="24"/>
          <w:highlight w:val="none"/>
          <w:lang w:val="zh-CN" w:eastAsia="zh-CN"/>
        </w:rPr>
        <w:t xml:space="preserve">、质疑</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21</w:t>
      </w:r>
      <w:r>
        <w:rPr>
          <w:rFonts w:hint="eastAsia" w:ascii="宋体" w:hAnsi="宋体" w:eastAsia="宋体" w:cs="宋体"/>
          <w:color w:val="auto"/>
          <w:sz w:val="24"/>
          <w:szCs w:val="24"/>
          <w:highlight w:val="none"/>
          <w:lang w:val="zh-CN" w:eastAsia="zh-CN"/>
        </w:rPr>
        <w:t xml:space="preserve">.1质疑供应商是指直接参加本次采购活动的供应商，未参加采购活动的供应商或在采购活动中自身权益未受到损害的供应商所提出的质疑不予受理。</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zh-CN" w:eastAsia="zh-CN"/>
        </w:rPr>
        <w:t xml:space="preserve">1.2 供应商认为采购文件、采购过程和成交结果使自己的合法权益受到损害的，可以在知道或者应当知道其权益受到损害之日起七个工作日内，将质疑文件</w:t>
      </w:r>
      <w:r>
        <w:rPr>
          <w:rFonts w:hint="eastAsia" w:ascii="宋体" w:hAnsi="宋体" w:eastAsia="宋体" w:cs="宋体"/>
          <w:b/>
          <w:color w:val="auto"/>
          <w:sz w:val="24"/>
          <w:szCs w:val="24"/>
          <w:highlight w:val="none"/>
          <w:lang w:val="zh-CN" w:eastAsia="zh-CN"/>
        </w:rPr>
        <w:t xml:space="preserve">原件送达</w:t>
      </w:r>
      <w:r>
        <w:rPr>
          <w:rFonts w:hint="eastAsia" w:ascii="宋体" w:hAnsi="宋体" w:eastAsia="宋体" w:cs="宋体"/>
          <w:color w:val="auto"/>
          <w:sz w:val="24"/>
          <w:szCs w:val="24"/>
          <w:highlight w:val="none"/>
          <w:lang w:val="zh-CN" w:eastAsia="zh-CN"/>
        </w:rPr>
        <w:t xml:space="preserve">大洲设计咨询集团有限公司。</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21</w:t>
      </w:r>
      <w:r>
        <w:rPr>
          <w:rFonts w:hint="eastAsia" w:ascii="宋体" w:hAnsi="宋体" w:eastAsia="宋体" w:cs="宋体"/>
          <w:color w:val="auto"/>
          <w:sz w:val="24"/>
          <w:szCs w:val="24"/>
          <w:highlight w:val="none"/>
          <w:lang w:val="zh-CN" w:eastAsia="zh-CN"/>
        </w:rPr>
        <w:t xml:space="preserve">.3上述应知其权益受到损害之日是指：</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（1）对磋商文件提出质疑的，为磋商文件公告期限届满之日起计算；</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（2）对采购过程提出质疑的，自采购程序环节结束之日起计算；</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（3）对成交结果提出质疑的，自成交结果公告期限届满之日起计算。  </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21</w:t>
      </w:r>
      <w:r>
        <w:rPr>
          <w:rFonts w:hint="eastAsia" w:ascii="宋体" w:hAnsi="宋体" w:eastAsia="宋体" w:cs="宋体"/>
          <w:color w:val="auto"/>
          <w:sz w:val="24"/>
          <w:szCs w:val="24"/>
          <w:highlight w:val="none"/>
          <w:lang w:val="zh-CN" w:eastAsia="zh-CN"/>
        </w:rPr>
        <w:t xml:space="preserve">.4 质疑文件应包括以下主要内容，并</w:t>
      </w:r>
      <w:r>
        <w:rPr>
          <w:rFonts w:hint="eastAsia" w:ascii="宋体" w:hAnsi="宋体" w:eastAsia="宋体" w:cs="宋体"/>
          <w:color w:val="auto"/>
          <w:sz w:val="24"/>
          <w:szCs w:val="24"/>
          <w:highlight w:val="none"/>
          <w:lang w:eastAsia="zh-CN"/>
        </w:rPr>
        <w:t xml:space="preserve">按照“谁主张、谁举证”的原则，附上相关证明材料。否则，代理人不予受理：</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（1）质疑项目名称、项目编号、采购公告发布时间、磋商时间；</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（2）提起质疑的日期、具体的质疑事项及事实根据（具体条款）；</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（3）认为自己合法权益受到损害或可能受到损害的相关证据材料；</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（4）质疑供应商名称、地址、邮编、联系人、联系电话</w:t>
      </w:r>
      <w:r>
        <w:rPr>
          <w:rFonts w:hint="eastAsia" w:ascii="宋体" w:hAnsi="宋体" w:eastAsia="宋体" w:cs="宋体"/>
          <w:color w:val="auto"/>
          <w:sz w:val="24"/>
          <w:szCs w:val="24"/>
          <w:highlight w:val="none"/>
          <w:lang w:eastAsia="zh-CN"/>
        </w:rPr>
        <w:t xml:space="preserve">（包括座机、手机、传真号码等）</w:t>
      </w:r>
      <w:r>
        <w:rPr>
          <w:rFonts w:hint="eastAsia" w:ascii="宋体" w:hAnsi="宋体" w:eastAsia="宋体" w:cs="宋体"/>
          <w:color w:val="auto"/>
          <w:sz w:val="24"/>
          <w:szCs w:val="24"/>
          <w:highlight w:val="none"/>
          <w:lang w:val="zh-CN" w:eastAsia="zh-CN"/>
        </w:rPr>
        <w:t xml:space="preserve">；</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（5）质疑函应当署名，质疑人为自然人的，应当由本人签字并附有效身份证明；质疑人为法人或其他组织的，应当由法定代表人签字并加盖单位公章；</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zh-CN" w:eastAsia="zh-CN"/>
        </w:rPr>
        <w:t xml:space="preserve">（6）供应商委托代理质疑的，应当提交授权委托书，并载明委托代理的具体权限和事项。</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21.5 采购人（代理人）在收到供应商的书面质疑后将及时组织调查核实，在</w:t>
      </w:r>
      <w:r>
        <w:rPr>
          <w:rFonts w:hint="eastAsia" w:ascii="宋体" w:hAnsi="宋体" w:eastAsia="宋体" w:cs="宋体"/>
          <w:b/>
          <w:bCs/>
          <w:color w:val="auto"/>
          <w:sz w:val="24"/>
          <w:szCs w:val="24"/>
          <w:highlight w:val="none"/>
          <w:lang w:val="zh-CN" w:eastAsia="zh-CN"/>
        </w:rPr>
        <w:t xml:space="preserve">七个工作日内</w:t>
      </w:r>
      <w:r>
        <w:rPr>
          <w:rFonts w:hint="eastAsia" w:ascii="宋体" w:hAnsi="宋体" w:eastAsia="宋体" w:cs="宋体"/>
          <w:color w:val="auto"/>
          <w:sz w:val="24"/>
          <w:szCs w:val="24"/>
          <w:highlight w:val="none"/>
          <w:lang w:val="zh-CN" w:eastAsia="zh-CN"/>
        </w:rPr>
        <w:t xml:space="preserve">作出答复，并以书面通知质疑供应商和其他有关供应商，答复的内容不涉及商业秘密。代理人</w:t>
      </w:r>
      <w:r>
        <w:rPr>
          <w:rFonts w:hint="eastAsia" w:ascii="宋体" w:hAnsi="宋体" w:eastAsia="宋体" w:cs="宋体"/>
          <w:color w:val="auto"/>
          <w:sz w:val="24"/>
          <w:szCs w:val="24"/>
          <w:highlight w:val="none"/>
          <w:lang w:eastAsia="zh-CN"/>
        </w:rPr>
        <w:t xml:space="preserve">遵循“谁过错谁负担”的原则，有过错的一方承担调查论证费用。</w:t>
      </w:r>
      <w:r/>
    </w:p>
    <w:p>
      <w:pPr>
        <w:ind w:firstLine="482"/>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b/>
          <w:bCs/>
          <w:color w:val="auto"/>
          <w:sz w:val="24"/>
          <w:szCs w:val="24"/>
          <w:highlight w:val="none"/>
          <w:lang w:eastAsia="zh-CN"/>
        </w:rPr>
        <w:t xml:space="preserve">22</w:t>
      </w:r>
      <w:r>
        <w:rPr>
          <w:rFonts w:hint="eastAsia" w:ascii="宋体" w:hAnsi="宋体" w:eastAsia="宋体" w:cs="宋体"/>
          <w:b/>
          <w:bCs/>
          <w:color w:val="auto"/>
          <w:sz w:val="24"/>
          <w:szCs w:val="24"/>
          <w:highlight w:val="none"/>
          <w:lang w:val="zh-CN" w:eastAsia="zh-CN"/>
        </w:rPr>
        <w:t xml:space="preserve">、投诉</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22</w:t>
      </w:r>
      <w:r>
        <w:rPr>
          <w:rFonts w:hint="eastAsia" w:ascii="宋体" w:hAnsi="宋体" w:eastAsia="宋体" w:cs="宋体"/>
          <w:color w:val="auto"/>
          <w:sz w:val="24"/>
          <w:szCs w:val="24"/>
          <w:highlight w:val="none"/>
          <w:lang w:val="zh-CN" w:eastAsia="zh-CN"/>
        </w:rPr>
        <w:t xml:space="preserve">.1 质疑供应商对代理人的答复不满意，或代理人未在规定的时间内作出答复的，可以在答复期满后</w:t>
      </w:r>
      <w:r>
        <w:rPr>
          <w:rFonts w:hint="eastAsia" w:ascii="宋体" w:hAnsi="宋体" w:eastAsia="宋体" w:cs="宋体"/>
          <w:b/>
          <w:bCs/>
          <w:color w:val="auto"/>
          <w:sz w:val="24"/>
          <w:szCs w:val="24"/>
          <w:highlight w:val="none"/>
          <w:lang w:val="zh-CN" w:eastAsia="zh-CN"/>
        </w:rPr>
        <w:t xml:space="preserve">十五个工作日内</w:t>
      </w:r>
      <w:r>
        <w:rPr>
          <w:rFonts w:hint="eastAsia" w:ascii="宋体" w:hAnsi="宋体" w:eastAsia="宋体" w:cs="宋体"/>
          <w:color w:val="auto"/>
          <w:sz w:val="24"/>
          <w:szCs w:val="24"/>
          <w:highlight w:val="none"/>
          <w:lang w:val="zh-CN" w:eastAsia="zh-CN"/>
        </w:rPr>
        <w:t xml:space="preserve">向采购项目同级财政部门投诉。</w:t>
      </w:r>
      <w:r/>
    </w:p>
    <w:p>
      <w:pPr>
        <w:ind w:firstLine="482"/>
        <w:spacing w:line="360" w:lineRule="auto"/>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eastAsia="zh-CN"/>
        </w:rPr>
        <w:t xml:space="preserve">23</w:t>
      </w:r>
      <w:r>
        <w:rPr>
          <w:rFonts w:hint="eastAsia" w:ascii="宋体" w:hAnsi="宋体" w:eastAsia="宋体" w:cs="宋体"/>
          <w:b/>
          <w:bCs/>
          <w:color w:val="auto"/>
          <w:sz w:val="24"/>
          <w:szCs w:val="24"/>
          <w:highlight w:val="none"/>
          <w:lang w:val="zh-CN" w:eastAsia="zh-CN"/>
        </w:rPr>
        <w:t xml:space="preserve">、诚实信用</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23</w:t>
      </w:r>
      <w:r>
        <w:rPr>
          <w:rFonts w:hint="eastAsia" w:ascii="宋体" w:hAnsi="宋体" w:eastAsia="宋体" w:cs="宋体"/>
          <w:color w:val="auto"/>
          <w:sz w:val="24"/>
          <w:szCs w:val="24"/>
          <w:highlight w:val="none"/>
          <w:lang w:val="zh-CN" w:eastAsia="zh-CN"/>
        </w:rPr>
        <w:t xml:space="preserve">.1 供应商之间不得相互串通投标报价，不得妨碍其他供应商的公平竞争，不得损害采购人和其他供应商的合法权益。</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23</w:t>
      </w:r>
      <w:r>
        <w:rPr>
          <w:rFonts w:hint="eastAsia" w:ascii="宋体" w:hAnsi="宋体" w:eastAsia="宋体" w:cs="宋体"/>
          <w:color w:val="auto"/>
          <w:sz w:val="24"/>
          <w:szCs w:val="24"/>
          <w:highlight w:val="none"/>
          <w:lang w:val="zh-CN" w:eastAsia="zh-CN"/>
        </w:rPr>
        <w:t xml:space="preserve">.2 供应商不得以向代理人工作人员、磋商小组成员行贿或者采取其他不正当手段谋取成交。经查实供应商有此行为的，</w:t>
      </w:r>
      <w:r>
        <w:rPr>
          <w:rFonts w:hint="eastAsia" w:ascii="宋体" w:hAnsi="宋体" w:eastAsia="宋体" w:cs="宋体"/>
          <w:color w:val="auto"/>
          <w:sz w:val="24"/>
          <w:szCs w:val="24"/>
          <w:highlight w:val="none"/>
          <w:lang w:eastAsia="zh-CN"/>
        </w:rPr>
        <w:t xml:space="preserve">政府采购管理部门将供应商列入不良行为记录名单，按照《政府采购法》有关规定处理。</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23</w:t>
      </w:r>
      <w:r>
        <w:rPr>
          <w:rFonts w:hint="eastAsia" w:ascii="宋体" w:hAnsi="宋体" w:eastAsia="宋体" w:cs="宋体"/>
          <w:color w:val="auto"/>
          <w:sz w:val="24"/>
          <w:szCs w:val="24"/>
          <w:highlight w:val="none"/>
          <w:lang w:val="zh-CN" w:eastAsia="zh-CN"/>
        </w:rPr>
        <w:t xml:space="preserve">.3 供应商提出书面质疑必须有理、有据，不得虚假质疑和恶意质疑，并对质疑内容的真实性承担责任。一经查实，代理人有权依据政府采购的有关规定，报请政府采购监管部门对该供应商进行相应的行政处罚并在网站上予以公示。如果供应商或者其他利害关系人通过捏造事实、伪造证明材料等方式提出质疑，干扰政府采购活动正常进行的，属于严重不良行为，代理人将提请财政部门将其列入不良行为记录名单，并依法予以处罚。</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23</w:t>
      </w:r>
      <w:r>
        <w:rPr>
          <w:rFonts w:hint="eastAsia" w:ascii="宋体" w:hAnsi="宋体" w:eastAsia="宋体" w:cs="宋体"/>
          <w:color w:val="auto"/>
          <w:sz w:val="24"/>
          <w:szCs w:val="24"/>
          <w:highlight w:val="none"/>
          <w:lang w:val="zh-CN" w:eastAsia="zh-CN"/>
        </w:rPr>
        <w:t xml:space="preserve">.4 供应商不得虚假承诺，否则，按照提供虚假材料谋取中标成交处理。</w:t>
      </w:r>
      <w:r/>
    </w:p>
    <w:p>
      <w:pPr>
        <w:ind w:firstLine="48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4"/>
          <w:szCs w:val="24"/>
          <w:highlight w:val="none"/>
          <w:lang w:eastAsia="zh-CN"/>
        </w:rPr>
        <w:t xml:space="preserve">23.</w:t>
      </w:r>
      <w:r>
        <w:rPr>
          <w:rFonts w:hint="eastAsia" w:ascii="宋体" w:hAnsi="宋体" w:eastAsia="宋体" w:cs="宋体"/>
          <w:color w:val="auto"/>
          <w:sz w:val="24"/>
          <w:szCs w:val="24"/>
          <w:highlight w:val="none"/>
          <w:lang w:val="zh-CN" w:eastAsia="zh-CN"/>
        </w:rPr>
        <w:t xml:space="preserve">5 供应商应自觉遵守磋商纪律，</w:t>
      </w:r>
      <w:r>
        <w:rPr>
          <w:rFonts w:hint="eastAsia" w:ascii="宋体" w:hAnsi="宋体" w:eastAsia="宋体" w:cs="宋体"/>
          <w:color w:val="auto"/>
          <w:sz w:val="24"/>
          <w:szCs w:val="24"/>
          <w:highlight w:val="none"/>
          <w:lang w:eastAsia="zh-CN"/>
        </w:rPr>
        <w:t xml:space="preserve">不得</w:t>
      </w:r>
      <w:r>
        <w:rPr>
          <w:rFonts w:hint="eastAsia" w:ascii="宋体" w:hAnsi="宋体" w:eastAsia="宋体" w:cs="宋体"/>
          <w:color w:val="auto"/>
          <w:sz w:val="24"/>
          <w:szCs w:val="24"/>
          <w:highlight w:val="none"/>
          <w:lang w:val="zh-CN" w:eastAsia="zh-CN"/>
        </w:rPr>
        <w:t xml:space="preserve">扰乱磋商现场秩序。</w:t>
      </w:r>
      <w:r/>
    </w:p>
    <w:p>
      <w:pPr>
        <w:ind w:firstLine="420"/>
        <w:jc w:val="both"/>
        <w:spacing w:line="360" w:lineRule="auto"/>
        <w:rPr>
          <w:rFonts w:hint="eastAsia" w:ascii="宋体" w:hAnsi="宋体" w:eastAsia="宋体" w:cs="宋体"/>
          <w:color w:val="auto"/>
          <w:sz w:val="21"/>
          <w:szCs w:val="21"/>
          <w:highlight w:val="none"/>
          <w:lang w:eastAsia="zh-CN"/>
        </w:rPr>
        <w:sectPr>
          <w:headerReference w:type="default" r:id="rId10"/>
          <w:footerReference w:type="default" r:id="rId12"/>
          <w:footnotePr/>
          <w:endnotePr/>
          <w:type w:val="nextPage"/>
          <w:pgSz w:w="11910" w:h="16840" w:orient="portrait"/>
          <w:pgMar w:top="1440" w:right="1080" w:bottom="1440" w:left="1080" w:header="880" w:footer="726" w:gutter="0"/>
          <w:pgNumType w:start="1"/>
          <w:cols w:num="1" w:sep="0" w:space="720" w:equalWidth="1"/>
          <w:docGrid w:linePitch="360"/>
        </w:sectPr>
      </w:pPr>
      <w:r>
        <w:rPr>
          <w:rFonts w:hint="eastAsia" w:ascii="宋体" w:hAnsi="宋体" w:eastAsia="宋体" w:cs="宋体"/>
          <w:color w:val="auto"/>
          <w:sz w:val="21"/>
          <w:szCs w:val="21"/>
          <w:highlight w:val="none"/>
          <w:lang w:eastAsia="zh-CN"/>
        </w:rPr>
      </w:r>
      <w:r/>
    </w:p>
    <w:p>
      <w:pPr>
        <w:pStyle w:val="766"/>
        <w:jc w:val="center"/>
        <w:spacing w:line="360" w:lineRule="auto"/>
        <w:tabs>
          <w:tab w:val="left" w:pos="4171" w:leader="none"/>
        </w:tabs>
        <w:rPr>
          <w:color w:val="auto"/>
          <w:sz w:val="36"/>
          <w:szCs w:val="36"/>
          <w:highlight w:val="none"/>
          <w:lang w:eastAsia="zh-CN"/>
        </w:rPr>
      </w:pPr>
      <w:r/>
      <w:bookmarkStart w:id="45" w:name="_bookmark7"/>
      <w:r/>
      <w:bookmarkEnd w:id="45"/>
      <w:r/>
      <w:bookmarkStart w:id="46" w:name="_Toc2666"/>
      <w:r>
        <w:rPr>
          <w:rFonts w:hint="eastAsia"/>
          <w:color w:val="auto"/>
          <w:sz w:val="36"/>
          <w:szCs w:val="36"/>
          <w:highlight w:val="none"/>
          <w:lang w:eastAsia="zh-CN"/>
        </w:rPr>
        <w:t xml:space="preserve">第三章  </w:t>
      </w:r>
      <w:r>
        <w:rPr>
          <w:color w:val="auto"/>
          <w:sz w:val="36"/>
          <w:szCs w:val="36"/>
          <w:highlight w:val="none"/>
          <w:lang w:eastAsia="zh-CN"/>
        </w:rPr>
        <w:t xml:space="preserve">成交标准</w:t>
      </w:r>
      <w:bookmarkEnd w:id="46"/>
      <w:r/>
      <w:r/>
    </w:p>
    <w:p>
      <w:pPr>
        <w:ind w:firstLine="630"/>
        <w:spacing w:line="360" w:lineRule="auto"/>
        <w:widowControl/>
        <w:rPr>
          <w:rFonts w:ascii="宋体" w:hAnsi="宋体" w:eastAsia="宋体" w:cs="宋体"/>
          <w:b/>
          <w:bCs/>
          <w:color w:val="auto"/>
          <w:sz w:val="21"/>
          <w:szCs w:val="21"/>
          <w:highlight w:val="none"/>
          <w:lang w:eastAsia="zh-CN"/>
        </w:rPr>
      </w:pPr>
      <w:r>
        <w:rPr>
          <w:rFonts w:hint="eastAsia" w:ascii="宋体" w:hAnsi="宋体" w:eastAsia="宋体" w:cs="宋体"/>
          <w:color w:val="auto"/>
          <w:sz w:val="21"/>
          <w:szCs w:val="21"/>
          <w:highlight w:val="none"/>
          <w:lang w:eastAsia="zh-CN"/>
        </w:rPr>
        <w:t xml:space="preserve">本项目采用综合评分法，评分统计方法采用百分制（满分100分），将全部磋商小组成员评分进行算术平均，小数点后保留2位。按评审后得分由高到低顺序排列，得分相同的，按报价由低到高顺序排列，得分且报价相同的，按施工组织设计优劣顺序排列，由磋商小组推荐成交供应商。</w:t>
      </w:r>
      <w:r/>
    </w:p>
    <w:tbl>
      <w:tblPr>
        <w:tblStyle w:val="776"/>
        <w:tblpPr w:horzAnchor="page" w:tblpX="1101" w:vertAnchor="text" w:tblpY="1" w:leftFromText="181" w:topFromText="0" w:rightFromText="181" w:bottomFromText="0"/>
        <w:tblW w:w="9888" w:type="dxa"/>
        <w:tblInd w:w="0" w:type="dxa"/>
        <w:tblLayout w:type="fixed"/>
        <w:tblCellMar>
          <w:left w:w="108" w:type="dxa"/>
          <w:top w:w="0" w:type="dxa"/>
          <w:right w:w="108" w:type="dxa"/>
          <w:bottom w:w="0" w:type="dxa"/>
        </w:tblCellMar>
        <w:tblLook w:val="04A0" w:firstRow="1" w:lastRow="0" w:firstColumn="1" w:lastColumn="0" w:noHBand="0" w:noVBand="1"/>
      </w:tblPr>
      <w:tblGrid>
        <w:gridCol w:w="519"/>
        <w:gridCol w:w="1027"/>
        <w:gridCol w:w="7727"/>
        <w:gridCol w:w="615"/>
      </w:tblGrid>
      <w:tr>
        <w:trPr>
          <w:trHeight w:val="535"/>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782"/>
              <w:ind w:left="0"/>
              <w:jc w:val="center"/>
              <w:spacing w:before="0" w:line="360" w:lineRule="auto"/>
              <w:rPr>
                <w:rFonts w:hint="eastAsia" w:cs="宋体"/>
                <w:b/>
                <w:sz w:val="21"/>
                <w:szCs w:val="21"/>
              </w:rPr>
            </w:pPr>
            <w:r>
              <w:rPr>
                <w:rFonts w:hint="eastAsia" w:cs="宋体"/>
                <w:b/>
                <w:sz w:val="21"/>
                <w:szCs w:val="21"/>
                <w:lang w:eastAsia="zh-CN"/>
              </w:rPr>
              <w:t xml:space="preserve">序号</w:t>
            </w:r>
            <w:r/>
          </w:p>
        </w:tc>
        <w:tc>
          <w:tcPr>
            <w:tcBorders>
              <w:top w:val="single" w:color="auto" w:sz="4" w:space="0"/>
              <w:left w:val="none" w:color="000000" w:sz="4" w:space="0"/>
              <w:bottom w:val="single" w:color="auto" w:sz="4" w:space="0"/>
              <w:right w:val="single" w:color="auto" w:sz="4" w:space="0"/>
            </w:tcBorders>
            <w:tcW w:w="1027" w:type="dxa"/>
            <w:vAlign w:val="center"/>
            <w:textDirection w:val="lrTb"/>
            <w:noWrap w:val="false"/>
          </w:tcPr>
          <w:p>
            <w:pPr>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评分因素</w:t>
            </w:r>
            <w:r/>
          </w:p>
        </w:tc>
        <w:tc>
          <w:tcPr>
            <w:tcBorders>
              <w:top w:val="single" w:color="auto" w:sz="4" w:space="0"/>
              <w:left w:val="none" w:color="000000" w:sz="4" w:space="0"/>
              <w:bottom w:val="single" w:color="auto" w:sz="4" w:space="0"/>
              <w:right w:val="single" w:color="auto" w:sz="4" w:space="0"/>
            </w:tcBorders>
            <w:tcW w:w="7727" w:type="dxa"/>
            <w:vAlign w:val="center"/>
            <w:textDirection w:val="lrTb"/>
            <w:noWrap w:val="false"/>
          </w:tcPr>
          <w:p>
            <w:pPr>
              <w:ind w:firstLine="482"/>
              <w:jc w:val="center"/>
              <w:spacing w:line="360" w:lineRule="auto"/>
              <w:rPr>
                <w:rFonts w:hint="eastAsia" w:ascii="宋体" w:hAnsi="宋体" w:eastAsia="宋体" w:cs="宋体"/>
                <w:b/>
                <w:sz w:val="21"/>
                <w:szCs w:val="21"/>
              </w:rPr>
            </w:pPr>
            <w:r>
              <w:rPr>
                <w:rFonts w:hint="eastAsia" w:ascii="宋体" w:hAnsi="宋体" w:eastAsia="宋体" w:cs="宋体"/>
                <w:b/>
                <w:sz w:val="21"/>
                <w:szCs w:val="21"/>
                <w:lang w:eastAsia="zh-CN"/>
              </w:rPr>
              <w:t xml:space="preserve">评分</w:t>
            </w:r>
            <w:r>
              <w:rPr>
                <w:rFonts w:hint="eastAsia" w:ascii="宋体" w:hAnsi="宋体" w:eastAsia="宋体" w:cs="宋体"/>
                <w:b/>
                <w:sz w:val="21"/>
                <w:szCs w:val="21"/>
              </w:rPr>
              <w:t xml:space="preserve">依据</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60" w:lineRule="auto"/>
              <w:rPr>
                <w:rFonts w:ascii="宋体" w:hAnsi="宋体" w:eastAsia="宋体" w:cs="宋体"/>
                <w:b/>
                <w:sz w:val="21"/>
                <w:szCs w:val="21"/>
                <w:lang w:eastAsia="zh-CN"/>
              </w:rPr>
            </w:pPr>
            <w:r>
              <w:rPr>
                <w:rFonts w:hint="eastAsia" w:ascii="宋体" w:hAnsi="宋体" w:eastAsia="宋体" w:cs="宋体"/>
                <w:b/>
                <w:sz w:val="21"/>
                <w:szCs w:val="21"/>
                <w:lang w:eastAsia="zh-CN"/>
              </w:rPr>
              <w:t xml:space="preserve">分值</w:t>
            </w:r>
            <w:r/>
          </w:p>
        </w:tc>
      </w:tr>
      <w:tr>
        <w:trPr>
          <w:trHeight w:val="1632"/>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jc w:val="center"/>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w:t>
            </w:r>
            <w:r/>
          </w:p>
        </w:tc>
        <w:tc>
          <w:tcPr>
            <w:tcBorders>
              <w:top w:val="single" w:color="auto" w:sz="4" w:space="0"/>
              <w:left w:val="none" w:color="000000" w:sz="4" w:space="0"/>
              <w:bottom w:val="single" w:color="auto" w:sz="4" w:space="0"/>
              <w:right w:val="single" w:color="auto" w:sz="4" w:space="0"/>
            </w:tcBorders>
            <w:tcW w:w="1027"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报价</w:t>
            </w:r>
            <w:r/>
          </w:p>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7727" w:type="dxa"/>
            <w:vAlign w:val="center"/>
            <w:textDirection w:val="lrTb"/>
            <w:noWrap w:val="false"/>
          </w:tcPr>
          <w:p>
            <w:pPr>
              <w:spacing w:line="360" w:lineRule="auto"/>
              <w:rPr>
                <w:rFonts w:ascii="宋体" w:hAnsi="宋体" w:eastAsia="宋体" w:cs="宋体"/>
                <w:sz w:val="21"/>
                <w:szCs w:val="21"/>
                <w:lang w:val="zh-CN" w:eastAsia="zh-CN"/>
              </w:rPr>
            </w:pPr>
            <w:r>
              <w:rPr>
                <w:rFonts w:hint="eastAsia" w:ascii="宋体" w:hAnsi="宋体" w:eastAsia="宋体" w:cs="宋体"/>
                <w:sz w:val="21"/>
                <w:szCs w:val="21"/>
                <w:lang w:eastAsia="zh-CN"/>
              </w:rPr>
              <w:t xml:space="preserve">1、</w:t>
            </w:r>
            <w:r>
              <w:rPr>
                <w:rFonts w:hint="eastAsia" w:ascii="宋体" w:hAnsi="宋体" w:eastAsia="宋体" w:cs="宋体"/>
                <w:sz w:val="21"/>
                <w:szCs w:val="21"/>
                <w:lang w:val="zh-CN" w:eastAsia="zh-CN"/>
              </w:rPr>
              <w:t xml:space="preserve">价格分统一采用低价优先法计算即满足竞争性磋商文件要求且评审报价最低的有效响应报价为评审基准价，其价格分为满分。磋商小组认为供应商最终报价低于成本价或组成明显不合理的,磋商小组可以要求该供应商在规定时间内作出书面说明并提供相应的证明材料。供应商不能合理说明或不能提供相应证明材料的,经磋商小组认定该响应报价低于成本价的，应当判定其为无效响应。</w:t>
            </w:r>
            <w:r/>
          </w:p>
          <w:p>
            <w:pPr>
              <w:spacing w:line="360" w:lineRule="auto"/>
              <w:rPr>
                <w:rFonts w:ascii="宋体" w:hAnsi="宋体" w:eastAsia="宋体" w:cs="宋体"/>
                <w:sz w:val="21"/>
                <w:szCs w:val="21"/>
                <w:lang w:val="zh-CN" w:eastAsia="zh-CN"/>
              </w:rPr>
            </w:pPr>
            <w:r>
              <w:rPr>
                <w:rFonts w:hint="eastAsia" w:ascii="宋体" w:hAnsi="宋体" w:eastAsia="宋体" w:cs="宋体"/>
                <w:sz w:val="21"/>
                <w:szCs w:val="21"/>
                <w:lang w:val="zh-CN" w:eastAsia="zh-CN"/>
              </w:rPr>
              <w:t xml:space="preserve">2、其他供应商的价格分统一按照以下公式计算（计算得分小数点后保留两位）：</w:t>
            </w:r>
            <w:r/>
          </w:p>
          <w:p>
            <w:pPr>
              <w:spacing w:line="360" w:lineRule="auto"/>
              <w:rPr>
                <w:rFonts w:ascii="宋体" w:hAnsi="宋体" w:eastAsia="宋体" w:cs="宋体"/>
                <w:sz w:val="21"/>
                <w:szCs w:val="21"/>
                <w:lang w:eastAsia="zh-CN"/>
              </w:rPr>
            </w:pPr>
            <w:r>
              <w:rPr>
                <w:rFonts w:hint="eastAsia" w:ascii="宋体" w:hAnsi="宋体" w:eastAsia="宋体" w:cs="宋体"/>
                <w:sz w:val="21"/>
                <w:szCs w:val="21"/>
                <w:lang w:val="zh-CN" w:eastAsia="zh-CN"/>
              </w:rPr>
              <w:t xml:space="preserve">磋商报价得分=（磋商基准价/最后</w:t>
            </w:r>
            <w:r>
              <w:rPr>
                <w:rFonts w:hint="eastAsia" w:ascii="宋体" w:hAnsi="宋体" w:eastAsia="宋体" w:cs="宋体"/>
                <w:sz w:val="21"/>
                <w:szCs w:val="21"/>
                <w:lang w:eastAsia="zh-CN"/>
              </w:rPr>
              <w:t xml:space="preserve">报价</w:t>
            </w:r>
            <w:r>
              <w:rPr>
                <w:rFonts w:hint="eastAsia" w:ascii="宋体" w:hAnsi="宋体" w:eastAsia="宋体" w:cs="宋体"/>
                <w:sz w:val="21"/>
                <w:szCs w:val="21"/>
                <w:lang w:val="zh-CN" w:eastAsia="zh-CN"/>
              </w:rPr>
              <w:t xml:space="preserve">）×</w:t>
            </w:r>
            <w:r>
              <w:rPr>
                <w:rFonts w:hint="eastAsia" w:ascii="宋体" w:hAnsi="宋体" w:eastAsia="宋体" w:cs="宋体"/>
                <w:sz w:val="21"/>
                <w:szCs w:val="21"/>
                <w:lang w:eastAsia="zh-CN"/>
              </w:rPr>
              <w:t xml:space="preserve">4</w:t>
            </w:r>
            <w:r>
              <w:rPr>
                <w:rFonts w:hint="eastAsia" w:ascii="宋体" w:hAnsi="宋体" w:eastAsia="宋体" w:cs="宋体"/>
                <w:sz w:val="21"/>
                <w:szCs w:val="21"/>
                <w:lang w:val="en-US" w:eastAsia="zh-CN"/>
              </w:rPr>
              <w:t xml:space="preserve">0</w:t>
            </w:r>
            <w:r/>
          </w:p>
          <w:p>
            <w:pPr>
              <w:spacing w:line="360" w:lineRule="auto"/>
              <w:rPr>
                <w:rFonts w:hint="eastAsia" w:ascii="宋体" w:hAnsi="宋体" w:eastAsia="宋体" w:cs="宋体"/>
                <w:sz w:val="21"/>
                <w:szCs w:val="21"/>
                <w:lang w:eastAsia="zh-CN"/>
              </w:rPr>
            </w:pPr>
            <w:r>
              <w:rPr>
                <w:rFonts w:hint="eastAsia" w:ascii="宋体" w:hAnsi="宋体" w:eastAsia="宋体" w:cs="宋体"/>
                <w:sz w:val="21"/>
                <w:szCs w:val="21"/>
                <w:lang w:val="zh-CN" w:eastAsia="zh-CN"/>
              </w:rPr>
              <w:t xml:space="preserve">3、最低报价不作为成交的保证。</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40</w:t>
            </w:r>
            <w:r/>
          </w:p>
        </w:tc>
      </w:tr>
      <w:tr>
        <w:trPr>
          <w:trHeight w:val="3783"/>
        </w:trPr>
        <w:tc>
          <w:tcPr>
            <w:tcBorders>
              <w:top w:val="single" w:color="auto" w:sz="4" w:space="0"/>
              <w:left w:val="single" w:color="auto" w:sz="4" w:space="0"/>
              <w:right w:val="single" w:color="auto" w:sz="4" w:space="0"/>
            </w:tcBorders>
            <w:tcW w:w="519" w:type="dxa"/>
            <w:vAlign w:val="center"/>
            <w:vMerge w:val="restart"/>
            <w:textDirection w:val="lrTb"/>
            <w:noWrap w:val="false"/>
          </w:tcPr>
          <w:p>
            <w:pPr>
              <w:jc w:val="center"/>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2</w:t>
            </w:r>
            <w:r/>
          </w:p>
        </w:tc>
        <w:tc>
          <w:tcPr>
            <w:tcBorders>
              <w:top w:val="single" w:color="auto" w:sz="4" w:space="0"/>
              <w:left w:val="none" w:color="000000" w:sz="4" w:space="0"/>
              <w:right w:val="single" w:color="auto" w:sz="4" w:space="0"/>
            </w:tcBorders>
            <w:tcW w:w="1027" w:type="dxa"/>
            <w:vAlign w:val="center"/>
            <w:vMerge w:val="restart"/>
            <w:textDirection w:val="lrTb"/>
            <w:noWrap w:val="false"/>
          </w:tcPr>
          <w:p>
            <w:pPr>
              <w:jc w:val="center"/>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施工组织设计</w:t>
            </w:r>
            <w:r/>
          </w:p>
          <w:p>
            <w:pPr>
              <w:jc w:val="center"/>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r>
            <w:r/>
          </w:p>
        </w:tc>
        <w:tc>
          <w:tcPr>
            <w:tcBorders>
              <w:top w:val="single" w:color="auto" w:sz="4" w:space="0"/>
              <w:left w:val="none" w:color="000000" w:sz="4" w:space="0"/>
              <w:bottom w:val="single" w:color="auto" w:sz="4" w:space="0"/>
              <w:right w:val="single" w:color="auto" w:sz="4" w:space="0"/>
            </w:tcBorders>
            <w:tcW w:w="7727" w:type="dxa"/>
            <w:vAlign w:val="center"/>
            <w:textDirection w:val="lrTb"/>
            <w:noWrap w:val="false"/>
          </w:tcPr>
          <w:p>
            <w:pPr>
              <w:spacing w:line="360" w:lineRule="auto"/>
              <w:widowControl/>
              <w:rPr>
                <w:rFonts w:hint="eastAsia" w:ascii="宋体" w:hAnsi="宋体" w:eastAsia="宋体" w:cs="宋体"/>
                <w:sz w:val="21"/>
                <w:szCs w:val="21"/>
                <w:lang w:val="zh-TW" w:eastAsia="zh-CN"/>
              </w:rPr>
            </w:pPr>
            <w:r>
              <w:rPr>
                <w:rFonts w:hint="eastAsia" w:ascii="宋体" w:hAnsi="宋体" w:eastAsia="宋体" w:cs="宋体"/>
                <w:sz w:val="21"/>
                <w:szCs w:val="21"/>
                <w:lang w:val="zh-TW" w:eastAsia="zh-CN"/>
              </w:rPr>
              <w:t xml:space="preserve">评委根据各供应商提供的项目总体实施方案的清晰性、全面性、前瞻性、合理性、科学性、可行性及针对性进行评分：</w:t>
            </w:r>
            <w:r/>
          </w:p>
          <w:p>
            <w:pPr>
              <w:spacing w:line="360" w:lineRule="auto"/>
              <w:widowControl/>
              <w:rPr>
                <w:rFonts w:hint="eastAsia" w:ascii="宋体" w:hAnsi="宋体" w:eastAsia="宋体" w:cs="宋体"/>
                <w:sz w:val="21"/>
                <w:szCs w:val="21"/>
                <w:lang w:val="zh-TW" w:eastAsia="zh-CN"/>
              </w:rPr>
            </w:pPr>
            <w:r>
              <w:rPr>
                <w:rFonts w:hint="eastAsia" w:ascii="宋体" w:hAnsi="宋体" w:eastAsia="宋体" w:cs="宋体"/>
                <w:sz w:val="21"/>
                <w:szCs w:val="21"/>
                <w:lang w:val="zh-TW" w:eastAsia="zh-CN"/>
              </w:rPr>
              <w:t xml:space="preserve">（1）总体实施方案表述清晰完整、严谨、科学合理，针对性强、可操作性强的得</w:t>
            </w:r>
            <w:r>
              <w:rPr>
                <w:rFonts w:hint="eastAsia" w:ascii="宋体" w:hAnsi="宋体" w:eastAsia="宋体" w:cs="宋体"/>
                <w:sz w:val="21"/>
                <w:szCs w:val="21"/>
                <w:lang w:eastAsia="zh-CN"/>
              </w:rPr>
              <w:t xml:space="preserve">4</w:t>
            </w:r>
            <w:r>
              <w:rPr>
                <w:rFonts w:hint="eastAsia" w:ascii="宋体" w:hAnsi="宋体" w:eastAsia="宋体" w:cs="宋体"/>
                <w:sz w:val="21"/>
                <w:szCs w:val="21"/>
                <w:lang w:val="zh-TW" w:eastAsia="zh-CN"/>
              </w:rPr>
              <w:t xml:space="preserve">分；</w:t>
            </w:r>
            <w:r/>
          </w:p>
          <w:p>
            <w:pPr>
              <w:spacing w:line="360" w:lineRule="auto"/>
              <w:widowControl/>
              <w:rPr>
                <w:rFonts w:hint="eastAsia" w:ascii="宋体" w:hAnsi="宋体" w:eastAsia="宋体" w:cs="宋体"/>
                <w:sz w:val="21"/>
                <w:szCs w:val="21"/>
                <w:lang w:val="zh-TW" w:eastAsia="zh-CN"/>
              </w:rPr>
            </w:pPr>
            <w:r>
              <w:rPr>
                <w:rFonts w:hint="eastAsia" w:ascii="宋体" w:hAnsi="宋体" w:eastAsia="宋体" w:cs="宋体"/>
                <w:sz w:val="21"/>
                <w:szCs w:val="21"/>
                <w:lang w:val="zh-TW" w:eastAsia="zh-CN"/>
              </w:rPr>
              <w:t xml:space="preserve">（2）总体实施方案表述清晰完整但不够严谨、合理，具有针对性和可操作性的得</w:t>
            </w:r>
            <w:r>
              <w:rPr>
                <w:rFonts w:hint="eastAsia" w:ascii="宋体" w:hAnsi="宋体" w:eastAsia="宋体" w:cs="宋体"/>
                <w:sz w:val="21"/>
                <w:szCs w:val="21"/>
                <w:lang w:eastAsia="zh-CN"/>
              </w:rPr>
              <w:t xml:space="preserve">3</w:t>
            </w:r>
            <w:r>
              <w:rPr>
                <w:rFonts w:hint="eastAsia" w:ascii="宋体" w:hAnsi="宋体" w:eastAsia="宋体" w:cs="宋体"/>
                <w:sz w:val="21"/>
                <w:szCs w:val="21"/>
                <w:lang w:val="zh-TW" w:eastAsia="zh-CN"/>
              </w:rPr>
              <w:t xml:space="preserve">分；</w:t>
            </w:r>
            <w:r/>
          </w:p>
          <w:p>
            <w:pPr>
              <w:spacing w:line="360" w:lineRule="auto"/>
              <w:widowControl/>
              <w:rPr>
                <w:rFonts w:hint="eastAsia" w:ascii="宋体" w:hAnsi="宋体" w:eastAsia="宋体" w:cs="宋体"/>
                <w:sz w:val="21"/>
                <w:szCs w:val="21"/>
                <w:lang w:val="zh-TW" w:eastAsia="zh-CN"/>
              </w:rPr>
            </w:pPr>
            <w:r>
              <w:rPr>
                <w:rFonts w:hint="eastAsia" w:ascii="宋体" w:hAnsi="宋体" w:eastAsia="宋体" w:cs="宋体"/>
                <w:sz w:val="21"/>
                <w:szCs w:val="21"/>
                <w:lang w:val="zh-TW" w:eastAsia="zh-CN"/>
              </w:rPr>
              <w:t xml:space="preserve">（3）总体实施方案表述清晰但不够完整、无针对性，可操作性一般的得</w:t>
            </w:r>
            <w:r>
              <w:rPr>
                <w:rFonts w:hint="eastAsia" w:ascii="宋体" w:hAnsi="宋体" w:eastAsia="宋体" w:cs="宋体"/>
                <w:sz w:val="21"/>
                <w:szCs w:val="21"/>
                <w:lang w:eastAsia="zh-CN"/>
              </w:rPr>
              <w:t xml:space="preserve">2</w:t>
            </w:r>
            <w:r>
              <w:rPr>
                <w:rFonts w:hint="eastAsia" w:ascii="宋体" w:hAnsi="宋体" w:eastAsia="宋体" w:cs="宋体"/>
                <w:sz w:val="21"/>
                <w:szCs w:val="21"/>
                <w:lang w:val="zh-TW" w:eastAsia="zh-CN"/>
              </w:rPr>
              <w:t xml:space="preserve">分；</w:t>
            </w:r>
            <w:r/>
          </w:p>
          <w:p>
            <w:pPr>
              <w:spacing w:line="360" w:lineRule="auto"/>
              <w:widowControl/>
              <w:rPr>
                <w:rFonts w:hint="eastAsia" w:ascii="宋体" w:hAnsi="宋体" w:eastAsia="宋体" w:cs="宋体"/>
                <w:sz w:val="21"/>
                <w:szCs w:val="21"/>
                <w:lang w:val="zh-TW" w:eastAsia="zh-CN"/>
              </w:rPr>
            </w:pPr>
            <w:r>
              <w:rPr>
                <w:rFonts w:hint="eastAsia" w:ascii="宋体" w:hAnsi="宋体" w:eastAsia="宋体" w:cs="宋体"/>
                <w:sz w:val="21"/>
                <w:szCs w:val="21"/>
                <w:lang w:val="zh-TW" w:eastAsia="zh-CN"/>
              </w:rPr>
              <w:t xml:space="preserve">（4）总体实施方案表述不清晰可操作性较差的得1分；</w:t>
            </w:r>
            <w:r/>
          </w:p>
          <w:p>
            <w:pPr>
              <w:spacing w:line="360" w:lineRule="auto"/>
              <w:widowControl/>
              <w:rPr>
                <w:rFonts w:hint="eastAsia" w:ascii="宋体" w:hAnsi="宋体" w:eastAsia="宋体" w:cs="宋体"/>
                <w:sz w:val="21"/>
                <w:szCs w:val="21"/>
                <w:lang w:val="zh-TW" w:eastAsia="zh-TW"/>
              </w:rPr>
            </w:pPr>
            <w:r>
              <w:rPr>
                <w:rFonts w:hint="eastAsia" w:ascii="宋体" w:hAnsi="宋体" w:eastAsia="宋体" w:cs="宋体"/>
                <w:sz w:val="21"/>
                <w:szCs w:val="21"/>
                <w:lang w:val="zh-TW" w:eastAsia="zh-TW"/>
              </w:rPr>
              <w:t xml:space="preserve">（5）未提供不得分。</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60" w:lineRule="auto"/>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4</w:t>
            </w:r>
            <w:r/>
          </w:p>
        </w:tc>
      </w:tr>
      <w:tr>
        <w:trPr>
          <w:trHeight w:val="90"/>
        </w:trPr>
        <w:tc>
          <w:tcPr>
            <w:tcBorders>
              <w:left w:val="single" w:color="auto" w:sz="4" w:space="0"/>
              <w:right w:val="single" w:color="auto" w:sz="4" w:space="0"/>
            </w:tcBorders>
            <w:tcW w:w="519" w:type="dxa"/>
            <w:vAlign w:val="center"/>
            <w:vMerge w:val="continue"/>
            <w:textDirection w:val="lrTb"/>
            <w:noWrap w:val="false"/>
          </w:tcPr>
          <w:p>
            <w:pPr>
              <w:jc w:val="center"/>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r>
            <w:r/>
          </w:p>
        </w:tc>
        <w:tc>
          <w:tcPr>
            <w:tcBorders>
              <w:left w:val="none" w:color="000000" w:sz="4" w:space="0"/>
              <w:right w:val="single" w:color="auto" w:sz="4" w:space="0"/>
            </w:tcBorders>
            <w:tcW w:w="1027" w:type="dxa"/>
            <w:vAlign w:val="center"/>
            <w:vMerge w:val="continue"/>
            <w:textDirection w:val="lrTb"/>
            <w:noWrap w:val="false"/>
          </w:tcPr>
          <w:p>
            <w:pPr>
              <w:jc w:val="center"/>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r>
            <w:r/>
          </w:p>
        </w:tc>
        <w:tc>
          <w:tcPr>
            <w:tcBorders>
              <w:top w:val="single" w:color="auto" w:sz="4" w:space="0"/>
              <w:left w:val="none" w:color="000000" w:sz="4" w:space="0"/>
              <w:bottom w:val="single" w:color="auto" w:sz="4" w:space="0"/>
              <w:right w:val="single" w:color="auto" w:sz="4" w:space="0"/>
            </w:tcBorders>
            <w:tcW w:w="7727" w:type="dxa"/>
            <w:vAlign w:val="top"/>
            <w:textDirection w:val="lrTb"/>
            <w:noWrap w:val="false"/>
          </w:tcPr>
          <w:p>
            <w:pPr>
              <w:spacing w:line="360" w:lineRule="auto"/>
              <w:widowControl/>
              <w:rPr>
                <w:rFonts w:hint="eastAsia" w:ascii="宋体" w:hAnsi="宋体" w:eastAsia="宋体" w:cs="宋体"/>
                <w:sz w:val="21"/>
                <w:szCs w:val="21"/>
                <w:lang w:val="zh-TW" w:eastAsia="zh-CN"/>
              </w:rPr>
            </w:pPr>
            <w:r>
              <w:rPr>
                <w:rFonts w:hint="eastAsia" w:ascii="宋体" w:hAnsi="宋体" w:eastAsia="宋体" w:cs="宋体"/>
                <w:sz w:val="21"/>
                <w:szCs w:val="21"/>
                <w:lang w:val="zh-TW" w:eastAsia="zh-CN"/>
              </w:rPr>
              <w:t xml:space="preserve">评委根据各供应商提供的项目进度计划和各阶段进度的保证措施的思路清晰、准确、完整，计划进行评分：</w:t>
            </w:r>
            <w:r/>
          </w:p>
          <w:p>
            <w:pPr>
              <w:spacing w:line="360" w:lineRule="auto"/>
              <w:widowControl/>
              <w:rPr>
                <w:rFonts w:hint="eastAsia" w:ascii="宋体" w:hAnsi="宋体" w:eastAsia="宋体" w:cs="宋体"/>
                <w:sz w:val="21"/>
                <w:szCs w:val="21"/>
                <w:lang w:val="zh-TW" w:eastAsia="zh-CN"/>
              </w:rPr>
            </w:pPr>
            <w:r>
              <w:rPr>
                <w:rFonts w:hint="eastAsia" w:ascii="宋体" w:hAnsi="宋体" w:eastAsia="宋体" w:cs="宋体"/>
                <w:sz w:val="21"/>
                <w:szCs w:val="21"/>
                <w:lang w:val="zh-TW" w:eastAsia="zh-CN"/>
              </w:rPr>
              <w:t xml:space="preserve">（1）进度计划安排清晰完整、严谨、科学合理，针对性强、可操作性强的得</w:t>
            </w:r>
            <w:r>
              <w:rPr>
                <w:rFonts w:hint="eastAsia" w:ascii="宋体" w:hAnsi="宋体" w:eastAsia="宋体" w:cs="宋体"/>
                <w:sz w:val="21"/>
                <w:szCs w:val="21"/>
                <w:lang w:eastAsia="zh-CN"/>
              </w:rPr>
              <w:t xml:space="preserve">4</w:t>
            </w:r>
            <w:r>
              <w:rPr>
                <w:rFonts w:hint="eastAsia" w:ascii="宋体" w:hAnsi="宋体" w:eastAsia="宋体" w:cs="宋体"/>
                <w:sz w:val="21"/>
                <w:szCs w:val="21"/>
                <w:lang w:val="zh-TW" w:eastAsia="zh-CN"/>
              </w:rPr>
              <w:t xml:space="preserve">分；</w:t>
            </w:r>
            <w:r/>
          </w:p>
          <w:p>
            <w:pPr>
              <w:spacing w:line="360" w:lineRule="auto"/>
              <w:widowControl/>
              <w:rPr>
                <w:rFonts w:hint="eastAsia" w:ascii="宋体" w:hAnsi="宋体" w:eastAsia="宋体" w:cs="宋体"/>
                <w:sz w:val="21"/>
                <w:szCs w:val="21"/>
                <w:lang w:val="zh-TW" w:eastAsia="zh-CN"/>
              </w:rPr>
            </w:pPr>
            <w:r>
              <w:rPr>
                <w:rFonts w:hint="eastAsia" w:ascii="宋体" w:hAnsi="宋体" w:eastAsia="宋体" w:cs="宋体"/>
                <w:sz w:val="21"/>
                <w:szCs w:val="21"/>
                <w:lang w:val="zh-TW" w:eastAsia="zh-CN"/>
              </w:rPr>
              <w:t xml:space="preserve">（2）进度计划安排清晰完整但不够严谨、合理，具有针对性和可操作性的得</w:t>
            </w:r>
            <w:r>
              <w:rPr>
                <w:rFonts w:hint="eastAsia" w:ascii="宋体" w:hAnsi="宋体" w:eastAsia="宋体" w:cs="宋体"/>
                <w:sz w:val="21"/>
                <w:szCs w:val="21"/>
                <w:lang w:eastAsia="zh-CN"/>
              </w:rPr>
              <w:t xml:space="preserve">3</w:t>
            </w:r>
            <w:r>
              <w:rPr>
                <w:rFonts w:hint="eastAsia" w:ascii="宋体" w:hAnsi="宋体" w:eastAsia="宋体" w:cs="宋体"/>
                <w:sz w:val="21"/>
                <w:szCs w:val="21"/>
                <w:lang w:val="zh-TW" w:eastAsia="zh-CN"/>
              </w:rPr>
              <w:t xml:space="preserve">分；</w:t>
            </w:r>
            <w:r/>
          </w:p>
          <w:p>
            <w:pPr>
              <w:spacing w:line="360" w:lineRule="auto"/>
              <w:widowControl/>
              <w:rPr>
                <w:rFonts w:hint="eastAsia" w:ascii="宋体" w:hAnsi="宋体" w:eastAsia="宋体" w:cs="宋体"/>
                <w:sz w:val="21"/>
                <w:szCs w:val="21"/>
                <w:lang w:val="zh-TW" w:eastAsia="zh-CN"/>
              </w:rPr>
            </w:pPr>
            <w:r>
              <w:rPr>
                <w:rFonts w:hint="eastAsia" w:ascii="宋体" w:hAnsi="宋体" w:eastAsia="宋体" w:cs="宋体"/>
                <w:sz w:val="21"/>
                <w:szCs w:val="21"/>
                <w:lang w:val="zh-TW" w:eastAsia="zh-CN"/>
              </w:rPr>
              <w:t xml:space="preserve">（3）进度计划安排清晰但不够完整、无针对性，可操作性一般的得</w:t>
            </w:r>
            <w:r>
              <w:rPr>
                <w:rFonts w:hint="eastAsia" w:ascii="宋体" w:hAnsi="宋体" w:eastAsia="宋体" w:cs="宋体"/>
                <w:sz w:val="21"/>
                <w:szCs w:val="21"/>
                <w:lang w:eastAsia="zh-CN"/>
              </w:rPr>
              <w:t xml:space="preserve">2</w:t>
            </w:r>
            <w:r>
              <w:rPr>
                <w:rFonts w:hint="eastAsia" w:ascii="宋体" w:hAnsi="宋体" w:eastAsia="宋体" w:cs="宋体"/>
                <w:sz w:val="21"/>
                <w:szCs w:val="21"/>
                <w:lang w:val="zh-TW" w:eastAsia="zh-CN"/>
              </w:rPr>
              <w:t xml:space="preserve">分；</w:t>
            </w:r>
            <w:r/>
          </w:p>
          <w:p>
            <w:pPr>
              <w:spacing w:line="360" w:lineRule="auto"/>
              <w:widowControl/>
              <w:rPr>
                <w:rFonts w:hint="eastAsia" w:ascii="宋体" w:hAnsi="宋体" w:eastAsia="宋体" w:cs="宋体"/>
                <w:sz w:val="21"/>
                <w:szCs w:val="21"/>
                <w:lang w:val="zh-TW" w:eastAsia="zh-CN"/>
              </w:rPr>
            </w:pPr>
            <w:r>
              <w:rPr>
                <w:rFonts w:hint="eastAsia" w:ascii="宋体" w:hAnsi="宋体" w:eastAsia="宋体" w:cs="宋体"/>
                <w:sz w:val="21"/>
                <w:szCs w:val="21"/>
                <w:lang w:val="zh-TW" w:eastAsia="zh-CN"/>
              </w:rPr>
              <w:t xml:space="preserve">（4）进度计划安排不清晰可操作性较差的得1分；</w:t>
            </w:r>
            <w:r/>
          </w:p>
          <w:p>
            <w:pPr>
              <w:spacing w:line="360" w:lineRule="auto"/>
              <w:widowControl/>
              <w:rPr>
                <w:rFonts w:hint="eastAsia" w:ascii="宋体" w:hAnsi="宋体" w:eastAsia="宋体" w:cs="宋体"/>
                <w:sz w:val="21"/>
                <w:szCs w:val="21"/>
                <w:lang w:eastAsia="zh-CN"/>
              </w:rPr>
            </w:pPr>
            <w:r>
              <w:rPr>
                <w:rFonts w:hint="eastAsia" w:ascii="宋体" w:hAnsi="宋体" w:eastAsia="宋体" w:cs="宋体"/>
                <w:sz w:val="21"/>
                <w:szCs w:val="21"/>
                <w:lang w:val="zh-TW" w:eastAsia="zh-TW"/>
              </w:rPr>
              <w:t xml:space="preserve">（5）未提供不得分。</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60" w:lineRule="auto"/>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4</w:t>
            </w:r>
            <w:r/>
          </w:p>
        </w:tc>
      </w:tr>
      <w:tr>
        <w:trPr>
          <w:trHeight w:val="3443"/>
        </w:trPr>
        <w:tc>
          <w:tcPr>
            <w:tcBorders>
              <w:left w:val="single" w:color="auto" w:sz="4" w:space="0"/>
              <w:right w:val="single" w:color="auto" w:sz="4" w:space="0"/>
            </w:tcBorders>
            <w:tcW w:w="519" w:type="dxa"/>
            <w:vAlign w:val="center"/>
            <w:vMerge w:val="continue"/>
            <w:textDirection w:val="lrTb"/>
            <w:noWrap w:val="false"/>
          </w:tcPr>
          <w:p>
            <w:pPr>
              <w:jc w:val="center"/>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r>
            <w:r/>
          </w:p>
        </w:tc>
        <w:tc>
          <w:tcPr>
            <w:tcBorders>
              <w:left w:val="none" w:color="000000" w:sz="4" w:space="0"/>
              <w:right w:val="single" w:color="auto" w:sz="4" w:space="0"/>
            </w:tcBorders>
            <w:tcW w:w="1027" w:type="dxa"/>
            <w:vAlign w:val="center"/>
            <w:vMerge w:val="continue"/>
            <w:textDirection w:val="lrTb"/>
            <w:noWrap w:val="false"/>
          </w:tcPr>
          <w:p>
            <w:pPr>
              <w:jc w:val="center"/>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r>
            <w:r/>
          </w:p>
        </w:tc>
        <w:tc>
          <w:tcPr>
            <w:tcBorders>
              <w:top w:val="single" w:color="auto" w:sz="4" w:space="0"/>
              <w:left w:val="none" w:color="000000" w:sz="4" w:space="0"/>
              <w:bottom w:val="single" w:color="auto" w:sz="4" w:space="0"/>
              <w:right w:val="single" w:color="auto" w:sz="4" w:space="0"/>
            </w:tcBorders>
            <w:tcW w:w="7727" w:type="dxa"/>
            <w:vAlign w:val="top"/>
            <w:textDirection w:val="lrTb"/>
            <w:noWrap w:val="false"/>
          </w:tcPr>
          <w:p>
            <w:pPr>
              <w:spacing w:line="360" w:lineRule="auto"/>
              <w:widowControl/>
              <w:rPr>
                <w:rFonts w:hint="eastAsia" w:ascii="宋体" w:hAnsi="宋体" w:eastAsia="宋体" w:cs="宋体"/>
                <w:sz w:val="21"/>
                <w:szCs w:val="21"/>
                <w:lang w:val="zh-TW" w:eastAsia="zh-CN"/>
              </w:rPr>
            </w:pPr>
            <w:r>
              <w:rPr>
                <w:rFonts w:hint="eastAsia" w:ascii="宋体" w:hAnsi="宋体" w:eastAsia="宋体" w:cs="宋体"/>
                <w:sz w:val="21"/>
                <w:szCs w:val="21"/>
                <w:lang w:val="zh-TW" w:eastAsia="zh-CN"/>
              </w:rPr>
              <w:t xml:space="preserve">评委根据供应商提供的针对本项目安全文明措施（含现场保护）的规范性、全面性、合理性、针对性、具体性、可靠性、及操作规程科学性进行评分：</w:t>
            </w:r>
            <w:r/>
          </w:p>
          <w:p>
            <w:pPr>
              <w:spacing w:line="360" w:lineRule="auto"/>
              <w:widowControl/>
              <w:rPr>
                <w:rFonts w:hint="eastAsia" w:ascii="宋体" w:hAnsi="宋体" w:eastAsia="宋体" w:cs="宋体"/>
                <w:sz w:val="21"/>
                <w:szCs w:val="21"/>
                <w:lang w:val="zh-TW" w:eastAsia="zh-CN"/>
              </w:rPr>
            </w:pPr>
            <w:r>
              <w:rPr>
                <w:rFonts w:hint="eastAsia" w:ascii="宋体" w:hAnsi="宋体" w:eastAsia="宋体" w:cs="宋体"/>
                <w:sz w:val="21"/>
                <w:szCs w:val="21"/>
                <w:lang w:val="zh-TW" w:eastAsia="zh-CN"/>
              </w:rPr>
              <w:t xml:space="preserve">（1）安全文明措施表述清晰完整、严谨、科学合理，针对性强、可操作性强的得</w:t>
            </w:r>
            <w:r>
              <w:rPr>
                <w:rFonts w:hint="eastAsia" w:ascii="宋体" w:hAnsi="宋体" w:eastAsia="宋体" w:cs="宋体"/>
                <w:sz w:val="21"/>
                <w:szCs w:val="21"/>
                <w:lang w:eastAsia="zh-CN"/>
              </w:rPr>
              <w:t xml:space="preserve">4</w:t>
            </w:r>
            <w:r>
              <w:rPr>
                <w:rFonts w:hint="eastAsia" w:ascii="宋体" w:hAnsi="宋体" w:eastAsia="宋体" w:cs="宋体"/>
                <w:sz w:val="21"/>
                <w:szCs w:val="21"/>
                <w:lang w:val="zh-TW" w:eastAsia="zh-CN"/>
              </w:rPr>
              <w:t xml:space="preserve">分；</w:t>
            </w:r>
            <w:r/>
          </w:p>
          <w:p>
            <w:pPr>
              <w:spacing w:line="360" w:lineRule="auto"/>
              <w:widowControl/>
              <w:rPr>
                <w:rFonts w:hint="eastAsia" w:ascii="宋体" w:hAnsi="宋体" w:eastAsia="宋体" w:cs="宋体"/>
                <w:sz w:val="21"/>
                <w:szCs w:val="21"/>
                <w:lang w:val="zh-TW" w:eastAsia="zh-CN"/>
              </w:rPr>
            </w:pPr>
            <w:r>
              <w:rPr>
                <w:rFonts w:hint="eastAsia" w:ascii="宋体" w:hAnsi="宋体" w:eastAsia="宋体" w:cs="宋体"/>
                <w:sz w:val="21"/>
                <w:szCs w:val="21"/>
                <w:lang w:val="zh-TW" w:eastAsia="zh-CN"/>
              </w:rPr>
              <w:t xml:space="preserve">（2）安全文明措施表述清晰完整但不够严谨、合理，具有针对性和可操作性的得</w:t>
            </w:r>
            <w:r>
              <w:rPr>
                <w:rFonts w:hint="eastAsia" w:ascii="宋体" w:hAnsi="宋体" w:eastAsia="宋体" w:cs="宋体"/>
                <w:sz w:val="21"/>
                <w:szCs w:val="21"/>
                <w:lang w:eastAsia="zh-CN"/>
              </w:rPr>
              <w:t xml:space="preserve">3</w:t>
            </w:r>
            <w:r>
              <w:rPr>
                <w:rFonts w:hint="eastAsia" w:ascii="宋体" w:hAnsi="宋体" w:eastAsia="宋体" w:cs="宋体"/>
                <w:sz w:val="21"/>
                <w:szCs w:val="21"/>
                <w:lang w:val="zh-TW" w:eastAsia="zh-CN"/>
              </w:rPr>
              <w:t xml:space="preserve">分；</w:t>
            </w:r>
            <w:r/>
          </w:p>
          <w:p>
            <w:pPr>
              <w:spacing w:line="360" w:lineRule="auto"/>
              <w:widowControl/>
              <w:rPr>
                <w:rFonts w:hint="eastAsia" w:ascii="宋体" w:hAnsi="宋体" w:eastAsia="宋体" w:cs="宋体"/>
                <w:sz w:val="21"/>
                <w:szCs w:val="21"/>
                <w:lang w:val="zh-TW" w:eastAsia="zh-CN"/>
              </w:rPr>
            </w:pPr>
            <w:r>
              <w:rPr>
                <w:rFonts w:hint="eastAsia" w:ascii="宋体" w:hAnsi="宋体" w:eastAsia="宋体" w:cs="宋体"/>
                <w:sz w:val="21"/>
                <w:szCs w:val="21"/>
                <w:lang w:val="zh-TW" w:eastAsia="zh-CN"/>
              </w:rPr>
              <w:t xml:space="preserve">（3）安全文明措施表述清晰但不够完整、无针对性，可操作性一般的得</w:t>
            </w:r>
            <w:r>
              <w:rPr>
                <w:rFonts w:hint="eastAsia" w:ascii="宋体" w:hAnsi="宋体" w:eastAsia="宋体" w:cs="宋体"/>
                <w:sz w:val="21"/>
                <w:szCs w:val="21"/>
                <w:lang w:eastAsia="zh-CN"/>
              </w:rPr>
              <w:t xml:space="preserve">2</w:t>
            </w:r>
            <w:r>
              <w:rPr>
                <w:rFonts w:hint="eastAsia" w:ascii="宋体" w:hAnsi="宋体" w:eastAsia="宋体" w:cs="宋体"/>
                <w:sz w:val="21"/>
                <w:szCs w:val="21"/>
                <w:lang w:val="zh-TW" w:eastAsia="zh-CN"/>
              </w:rPr>
              <w:t xml:space="preserve">分；</w:t>
            </w:r>
            <w:r/>
          </w:p>
          <w:p>
            <w:pPr>
              <w:spacing w:line="360" w:lineRule="auto"/>
              <w:widowControl/>
              <w:rPr>
                <w:rFonts w:hint="eastAsia" w:ascii="宋体" w:hAnsi="宋体" w:eastAsia="宋体" w:cs="宋体"/>
                <w:sz w:val="21"/>
                <w:szCs w:val="21"/>
                <w:lang w:val="zh-TW" w:eastAsia="zh-CN"/>
              </w:rPr>
            </w:pPr>
            <w:r>
              <w:rPr>
                <w:rFonts w:hint="eastAsia" w:ascii="宋体" w:hAnsi="宋体" w:eastAsia="宋体" w:cs="宋体"/>
                <w:sz w:val="21"/>
                <w:szCs w:val="21"/>
                <w:lang w:val="zh-TW" w:eastAsia="zh-CN"/>
              </w:rPr>
              <w:t xml:space="preserve">（4）安全文明措施表述不完整可操作性较差的得1分；</w:t>
            </w:r>
            <w:r/>
          </w:p>
          <w:p>
            <w:pPr>
              <w:spacing w:line="360" w:lineRule="auto"/>
              <w:widowControl/>
              <w:rPr>
                <w:rFonts w:hint="eastAsia" w:ascii="宋体" w:hAnsi="宋体" w:eastAsia="宋体" w:cs="宋体"/>
                <w:sz w:val="21"/>
                <w:szCs w:val="21"/>
                <w:lang w:val="zh-TW" w:eastAsia="zh-CN"/>
              </w:rPr>
            </w:pPr>
            <w:r>
              <w:rPr>
                <w:rFonts w:hint="eastAsia" w:ascii="宋体" w:hAnsi="宋体" w:eastAsia="宋体" w:cs="宋体"/>
                <w:sz w:val="21"/>
                <w:szCs w:val="21"/>
                <w:lang w:val="zh-TW" w:eastAsia="zh-TW"/>
              </w:rPr>
              <w:t xml:space="preserve">（5）未提供不得分。</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60" w:lineRule="auto"/>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4</w:t>
            </w:r>
            <w:r/>
          </w:p>
        </w:tc>
      </w:tr>
      <w:tr>
        <w:trPr>
          <w:trHeight w:val="4064"/>
        </w:trPr>
        <w:tc>
          <w:tcPr>
            <w:tcBorders>
              <w:left w:val="single" w:color="auto" w:sz="4" w:space="0"/>
              <w:right w:val="single" w:color="auto" w:sz="4" w:space="0"/>
            </w:tcBorders>
            <w:tcW w:w="519" w:type="dxa"/>
            <w:vAlign w:val="center"/>
            <w:vMerge w:val="continue"/>
            <w:textDirection w:val="lrTb"/>
            <w:noWrap w:val="false"/>
          </w:tcPr>
          <w:p>
            <w:pPr>
              <w:jc w:val="center"/>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r>
            <w:r/>
          </w:p>
        </w:tc>
        <w:tc>
          <w:tcPr>
            <w:tcBorders>
              <w:left w:val="none" w:color="000000" w:sz="4" w:space="0"/>
              <w:right w:val="single" w:color="auto" w:sz="4" w:space="0"/>
            </w:tcBorders>
            <w:tcW w:w="1027" w:type="dxa"/>
            <w:vAlign w:val="center"/>
            <w:vMerge w:val="continue"/>
            <w:textDirection w:val="lrTb"/>
            <w:noWrap w:val="false"/>
          </w:tcPr>
          <w:p>
            <w:pPr>
              <w:jc w:val="center"/>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r>
            <w:r/>
          </w:p>
        </w:tc>
        <w:tc>
          <w:tcPr>
            <w:tcBorders>
              <w:top w:val="single" w:color="auto" w:sz="4" w:space="0"/>
              <w:left w:val="none" w:color="000000" w:sz="4" w:space="0"/>
              <w:bottom w:val="single" w:color="auto" w:sz="4" w:space="0"/>
              <w:right w:val="single" w:color="auto" w:sz="4" w:space="0"/>
            </w:tcBorders>
            <w:tcW w:w="7727" w:type="dxa"/>
            <w:vAlign w:val="top"/>
            <w:textDirection w:val="lrTb"/>
            <w:noWrap w:val="false"/>
          </w:tcPr>
          <w:p>
            <w:pPr>
              <w:spacing w:line="360" w:lineRule="auto"/>
              <w:widowControl/>
              <w:rPr>
                <w:rFonts w:hint="eastAsia" w:ascii="宋体" w:hAnsi="宋体" w:eastAsia="宋体" w:cs="宋体"/>
                <w:sz w:val="21"/>
                <w:szCs w:val="21"/>
                <w:lang w:val="zh-TW" w:eastAsia="zh-CN"/>
              </w:rPr>
            </w:pPr>
            <w:r>
              <w:rPr>
                <w:rFonts w:hint="eastAsia" w:ascii="宋体" w:hAnsi="宋体" w:eastAsia="宋体" w:cs="宋体"/>
                <w:sz w:val="21"/>
                <w:szCs w:val="21"/>
                <w:lang w:val="zh-TW" w:eastAsia="zh-CN"/>
              </w:rPr>
              <w:t xml:space="preserve">评委根据供应商提供的针对本项目质量保证体系及措施符合规范要求，各项措施方法可靠、详尽，有质量保证承诺等进行评分： </w:t>
            </w:r>
            <w:r/>
          </w:p>
          <w:p>
            <w:pPr>
              <w:spacing w:line="360" w:lineRule="auto"/>
              <w:widowControl/>
              <w:rPr>
                <w:rFonts w:hint="eastAsia" w:ascii="宋体" w:hAnsi="宋体" w:eastAsia="宋体" w:cs="宋体"/>
                <w:sz w:val="21"/>
                <w:szCs w:val="21"/>
                <w:lang w:val="zh-TW" w:eastAsia="zh-CN"/>
              </w:rPr>
            </w:pPr>
            <w:r>
              <w:rPr>
                <w:rFonts w:hint="eastAsia" w:ascii="宋体" w:hAnsi="宋体" w:eastAsia="宋体" w:cs="宋体"/>
                <w:sz w:val="21"/>
                <w:szCs w:val="21"/>
                <w:lang w:val="zh-TW" w:eastAsia="zh-CN"/>
              </w:rPr>
              <w:t xml:space="preserve">（1）质量保证体系及措施表述清晰完整、严谨、科学合理，针对性强、可操作性强的得</w:t>
            </w:r>
            <w:r>
              <w:rPr>
                <w:rFonts w:hint="eastAsia" w:ascii="宋体" w:hAnsi="宋体" w:eastAsia="宋体" w:cs="宋体"/>
                <w:sz w:val="21"/>
                <w:szCs w:val="21"/>
                <w:lang w:eastAsia="zh-CN"/>
              </w:rPr>
              <w:t xml:space="preserve">4</w:t>
            </w:r>
            <w:r>
              <w:rPr>
                <w:rFonts w:hint="eastAsia" w:ascii="宋体" w:hAnsi="宋体" w:eastAsia="宋体" w:cs="宋体"/>
                <w:sz w:val="21"/>
                <w:szCs w:val="21"/>
                <w:lang w:val="zh-TW" w:eastAsia="zh-CN"/>
              </w:rPr>
              <w:t xml:space="preserve">分；</w:t>
            </w:r>
            <w:r/>
          </w:p>
          <w:p>
            <w:pPr>
              <w:spacing w:line="360" w:lineRule="auto"/>
              <w:widowControl/>
              <w:rPr>
                <w:rFonts w:hint="eastAsia" w:ascii="宋体" w:hAnsi="宋体" w:eastAsia="宋体" w:cs="宋体"/>
                <w:sz w:val="21"/>
                <w:szCs w:val="21"/>
                <w:lang w:val="zh-TW" w:eastAsia="zh-CN"/>
              </w:rPr>
            </w:pPr>
            <w:r>
              <w:rPr>
                <w:rFonts w:hint="eastAsia" w:ascii="宋体" w:hAnsi="宋体" w:eastAsia="宋体" w:cs="宋体"/>
                <w:sz w:val="21"/>
                <w:szCs w:val="21"/>
                <w:lang w:val="zh-TW" w:eastAsia="zh-CN"/>
              </w:rPr>
              <w:t xml:space="preserve">（2）质量保证体系及措施表述清晰完整但不够严谨、合理，具有针对性和可操作性的得</w:t>
            </w:r>
            <w:r>
              <w:rPr>
                <w:rFonts w:hint="eastAsia" w:ascii="宋体" w:hAnsi="宋体" w:eastAsia="宋体" w:cs="宋体"/>
                <w:sz w:val="21"/>
                <w:szCs w:val="21"/>
                <w:lang w:eastAsia="zh-CN"/>
              </w:rPr>
              <w:t xml:space="preserve">3</w:t>
            </w:r>
            <w:r>
              <w:rPr>
                <w:rFonts w:hint="eastAsia" w:ascii="宋体" w:hAnsi="宋体" w:eastAsia="宋体" w:cs="宋体"/>
                <w:sz w:val="21"/>
                <w:szCs w:val="21"/>
                <w:lang w:val="zh-TW" w:eastAsia="zh-CN"/>
              </w:rPr>
              <w:t xml:space="preserve">分；</w:t>
            </w:r>
            <w:r/>
          </w:p>
          <w:p>
            <w:pPr>
              <w:spacing w:line="360" w:lineRule="auto"/>
              <w:widowControl/>
              <w:rPr>
                <w:rFonts w:hint="eastAsia" w:ascii="宋体" w:hAnsi="宋体" w:eastAsia="宋体" w:cs="宋体"/>
                <w:sz w:val="21"/>
                <w:szCs w:val="21"/>
                <w:lang w:val="zh-TW" w:eastAsia="zh-CN"/>
              </w:rPr>
            </w:pPr>
            <w:r>
              <w:rPr>
                <w:rFonts w:hint="eastAsia" w:ascii="宋体" w:hAnsi="宋体" w:eastAsia="宋体" w:cs="宋体"/>
                <w:sz w:val="21"/>
                <w:szCs w:val="21"/>
                <w:lang w:val="zh-TW" w:eastAsia="zh-CN"/>
              </w:rPr>
              <w:t xml:space="preserve">（3）质量保证体系及措施表述清晰但不够完整、无针对性，可操作性一般的得</w:t>
            </w:r>
            <w:r>
              <w:rPr>
                <w:rFonts w:hint="eastAsia" w:ascii="宋体" w:hAnsi="宋体" w:eastAsia="宋体" w:cs="宋体"/>
                <w:sz w:val="21"/>
                <w:szCs w:val="21"/>
                <w:lang w:eastAsia="zh-CN"/>
              </w:rPr>
              <w:t xml:space="preserve">2</w:t>
            </w:r>
            <w:r>
              <w:rPr>
                <w:rFonts w:hint="eastAsia" w:ascii="宋体" w:hAnsi="宋体" w:eastAsia="宋体" w:cs="宋体"/>
                <w:sz w:val="21"/>
                <w:szCs w:val="21"/>
                <w:lang w:val="zh-TW" w:eastAsia="zh-CN"/>
              </w:rPr>
              <w:t xml:space="preserve">分；</w:t>
            </w:r>
            <w:r/>
          </w:p>
          <w:p>
            <w:pPr>
              <w:spacing w:line="360" w:lineRule="auto"/>
              <w:widowControl/>
              <w:rPr>
                <w:rFonts w:hint="eastAsia" w:ascii="宋体" w:hAnsi="宋体" w:eastAsia="宋体" w:cs="宋体"/>
                <w:sz w:val="21"/>
                <w:szCs w:val="21"/>
                <w:lang w:val="zh-TW" w:eastAsia="zh-CN"/>
              </w:rPr>
            </w:pPr>
            <w:r>
              <w:rPr>
                <w:rFonts w:hint="eastAsia" w:ascii="宋体" w:hAnsi="宋体" w:eastAsia="宋体" w:cs="宋体"/>
                <w:sz w:val="21"/>
                <w:szCs w:val="21"/>
                <w:lang w:val="zh-TW" w:eastAsia="zh-CN"/>
              </w:rPr>
              <w:t xml:space="preserve">（4）质量保证体系及措施表述不完整可操作性较差的得1分；</w:t>
            </w:r>
            <w:r/>
          </w:p>
          <w:p>
            <w:pPr>
              <w:spacing w:line="360" w:lineRule="auto"/>
              <w:widowControl/>
              <w:rPr>
                <w:rFonts w:hint="eastAsia" w:ascii="宋体" w:hAnsi="宋体" w:eastAsia="宋体" w:cs="宋体"/>
                <w:sz w:val="21"/>
                <w:szCs w:val="21"/>
                <w:lang w:val="zh-TW" w:eastAsia="zh-CN"/>
              </w:rPr>
            </w:pPr>
            <w:r>
              <w:rPr>
                <w:rFonts w:hint="eastAsia" w:ascii="宋体" w:hAnsi="宋体" w:eastAsia="宋体" w:cs="宋体"/>
                <w:sz w:val="21"/>
                <w:szCs w:val="21"/>
                <w:lang w:val="zh-TW" w:eastAsia="zh-TW"/>
              </w:rPr>
              <w:t xml:space="preserve">（5）未提供不得分。</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60" w:lineRule="auto"/>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4</w:t>
            </w:r>
            <w:r/>
          </w:p>
        </w:tc>
      </w:tr>
      <w:tr>
        <w:trPr>
          <w:trHeight w:val="2443"/>
        </w:trPr>
        <w:tc>
          <w:tcPr>
            <w:tcBorders>
              <w:left w:val="single" w:color="auto" w:sz="4" w:space="0"/>
              <w:bottom w:val="single" w:color="auto" w:sz="4" w:space="0"/>
              <w:right w:val="single" w:color="auto" w:sz="4" w:space="0"/>
            </w:tcBorders>
            <w:tcW w:w="519" w:type="dxa"/>
            <w:vAlign w:val="center"/>
            <w:vMerge w:val="continue"/>
            <w:textDirection w:val="lrTb"/>
            <w:noWrap w:val="false"/>
          </w:tcPr>
          <w:p>
            <w:pPr>
              <w:jc w:val="center"/>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r>
            <w:r/>
          </w:p>
        </w:tc>
        <w:tc>
          <w:tcPr>
            <w:tcBorders>
              <w:left w:val="none" w:color="000000" w:sz="4" w:space="0"/>
              <w:bottom w:val="single" w:color="auto" w:sz="4" w:space="0"/>
              <w:right w:val="single" w:color="auto" w:sz="4" w:space="0"/>
            </w:tcBorders>
            <w:tcW w:w="1027" w:type="dxa"/>
            <w:vAlign w:val="center"/>
            <w:vMerge w:val="continue"/>
            <w:textDirection w:val="lrTb"/>
            <w:noWrap w:val="false"/>
          </w:tcPr>
          <w:p>
            <w:pPr>
              <w:jc w:val="center"/>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r>
            <w:r/>
          </w:p>
        </w:tc>
        <w:tc>
          <w:tcPr>
            <w:tcBorders>
              <w:top w:val="single" w:color="auto" w:sz="4" w:space="0"/>
              <w:left w:val="none" w:color="000000" w:sz="4" w:space="0"/>
              <w:bottom w:val="single" w:color="auto" w:sz="4" w:space="0"/>
              <w:right w:val="single" w:color="auto" w:sz="4" w:space="0"/>
            </w:tcBorders>
            <w:tcW w:w="7727" w:type="dxa"/>
            <w:vAlign w:val="top"/>
            <w:textDirection w:val="lrTb"/>
            <w:noWrap w:val="false"/>
          </w:tcPr>
          <w:p>
            <w:pPr>
              <w:spacing w:line="360" w:lineRule="auto"/>
              <w:widowControl/>
              <w:rPr>
                <w:rFonts w:hint="eastAsia" w:ascii="宋体" w:hAnsi="宋体" w:eastAsia="宋体" w:cs="宋体"/>
                <w:sz w:val="21"/>
                <w:szCs w:val="21"/>
                <w:lang w:val="zh-TW" w:eastAsia="zh-CN"/>
              </w:rPr>
            </w:pPr>
            <w:r>
              <w:rPr>
                <w:rFonts w:hint="eastAsia" w:ascii="宋体" w:hAnsi="宋体" w:eastAsia="宋体" w:cs="宋体"/>
                <w:sz w:val="21"/>
                <w:szCs w:val="21"/>
                <w:lang w:val="zh-TW" w:eastAsia="zh-CN"/>
              </w:rPr>
              <w:t xml:space="preserve">评委根据供应商提供的针对本项目关键施工技术、工艺及工程项目实施的重点、难点和解决方案进行评分：</w:t>
            </w:r>
            <w:r/>
          </w:p>
          <w:p>
            <w:pPr>
              <w:spacing w:line="360" w:lineRule="auto"/>
              <w:widowControl/>
              <w:rPr>
                <w:rFonts w:hint="eastAsia" w:ascii="宋体" w:hAnsi="宋体" w:eastAsia="宋体" w:cs="宋体"/>
                <w:sz w:val="21"/>
                <w:szCs w:val="21"/>
                <w:lang w:val="zh-TW" w:eastAsia="zh-CN"/>
              </w:rPr>
            </w:pPr>
            <w:r>
              <w:rPr>
                <w:rFonts w:hint="eastAsia" w:ascii="宋体" w:hAnsi="宋体" w:eastAsia="宋体" w:cs="宋体"/>
                <w:sz w:val="21"/>
                <w:szCs w:val="21"/>
                <w:lang w:val="zh-TW" w:eastAsia="zh-CN"/>
              </w:rPr>
              <w:t xml:space="preserve">（1）关键方案表述清晰完整、严谨、科学合理，针对性强、可操作性强的得</w:t>
            </w:r>
            <w:r>
              <w:rPr>
                <w:rFonts w:hint="eastAsia" w:ascii="宋体" w:hAnsi="宋体" w:eastAsia="宋体" w:cs="宋体"/>
                <w:sz w:val="21"/>
                <w:szCs w:val="21"/>
                <w:lang w:eastAsia="zh-CN"/>
              </w:rPr>
              <w:t xml:space="preserve">4</w:t>
            </w:r>
            <w:r>
              <w:rPr>
                <w:rFonts w:hint="eastAsia" w:ascii="宋体" w:hAnsi="宋体" w:eastAsia="宋体" w:cs="宋体"/>
                <w:sz w:val="21"/>
                <w:szCs w:val="21"/>
                <w:lang w:val="zh-TW" w:eastAsia="zh-CN"/>
              </w:rPr>
              <w:t xml:space="preserve">分；</w:t>
            </w:r>
            <w:r/>
          </w:p>
          <w:p>
            <w:pPr>
              <w:spacing w:line="360" w:lineRule="auto"/>
              <w:widowControl/>
              <w:rPr>
                <w:rFonts w:hint="eastAsia" w:ascii="宋体" w:hAnsi="宋体" w:eastAsia="宋体" w:cs="宋体"/>
                <w:sz w:val="21"/>
                <w:szCs w:val="21"/>
                <w:lang w:val="zh-TW" w:eastAsia="zh-CN"/>
              </w:rPr>
            </w:pPr>
            <w:r>
              <w:rPr>
                <w:rFonts w:hint="eastAsia" w:ascii="宋体" w:hAnsi="宋体" w:eastAsia="宋体" w:cs="宋体"/>
                <w:sz w:val="21"/>
                <w:szCs w:val="21"/>
                <w:lang w:val="zh-TW" w:eastAsia="zh-CN"/>
              </w:rPr>
              <w:t xml:space="preserve">（2）关键方案表述清晰完整但不够严谨、合理，具有针对性和可操作性的得</w:t>
            </w:r>
            <w:r>
              <w:rPr>
                <w:rFonts w:hint="eastAsia" w:ascii="宋体" w:hAnsi="宋体" w:eastAsia="宋体" w:cs="宋体"/>
                <w:sz w:val="21"/>
                <w:szCs w:val="21"/>
                <w:lang w:eastAsia="zh-CN"/>
              </w:rPr>
              <w:t xml:space="preserve">3</w:t>
            </w:r>
            <w:r>
              <w:rPr>
                <w:rFonts w:hint="eastAsia" w:ascii="宋体" w:hAnsi="宋体" w:eastAsia="宋体" w:cs="宋体"/>
                <w:sz w:val="21"/>
                <w:szCs w:val="21"/>
                <w:lang w:val="zh-TW" w:eastAsia="zh-CN"/>
              </w:rPr>
              <w:t xml:space="preserve">分；</w:t>
            </w:r>
            <w:r/>
          </w:p>
          <w:p>
            <w:pPr>
              <w:spacing w:line="360" w:lineRule="auto"/>
              <w:widowControl/>
              <w:rPr>
                <w:rFonts w:hint="eastAsia" w:ascii="宋体" w:hAnsi="宋体" w:eastAsia="宋体" w:cs="宋体"/>
                <w:sz w:val="21"/>
                <w:szCs w:val="21"/>
                <w:lang w:val="zh-TW" w:eastAsia="zh-CN"/>
              </w:rPr>
            </w:pPr>
            <w:r>
              <w:rPr>
                <w:rFonts w:hint="eastAsia" w:ascii="宋体" w:hAnsi="宋体" w:eastAsia="宋体" w:cs="宋体"/>
                <w:sz w:val="21"/>
                <w:szCs w:val="21"/>
                <w:lang w:val="zh-TW" w:eastAsia="zh-CN"/>
              </w:rPr>
              <w:t xml:space="preserve">（3）关键方案表述清晰但不够完整、无针对性，可操作性一般的得</w:t>
            </w:r>
            <w:r>
              <w:rPr>
                <w:rFonts w:hint="eastAsia" w:ascii="宋体" w:hAnsi="宋体" w:eastAsia="宋体" w:cs="宋体"/>
                <w:sz w:val="21"/>
                <w:szCs w:val="21"/>
                <w:lang w:eastAsia="zh-CN"/>
              </w:rPr>
              <w:t xml:space="preserve">2</w:t>
            </w:r>
            <w:r>
              <w:rPr>
                <w:rFonts w:hint="eastAsia" w:ascii="宋体" w:hAnsi="宋体" w:eastAsia="宋体" w:cs="宋体"/>
                <w:sz w:val="21"/>
                <w:szCs w:val="21"/>
                <w:lang w:val="zh-TW" w:eastAsia="zh-CN"/>
              </w:rPr>
              <w:t xml:space="preserve">分；</w:t>
            </w:r>
            <w:r/>
          </w:p>
          <w:p>
            <w:pPr>
              <w:spacing w:line="360" w:lineRule="auto"/>
              <w:widowControl/>
              <w:rPr>
                <w:rFonts w:hint="eastAsia" w:ascii="宋体" w:hAnsi="宋体" w:eastAsia="宋体" w:cs="宋体"/>
                <w:sz w:val="21"/>
                <w:szCs w:val="21"/>
                <w:lang w:val="zh-TW" w:eastAsia="zh-CN"/>
              </w:rPr>
            </w:pPr>
            <w:r>
              <w:rPr>
                <w:rFonts w:hint="eastAsia" w:ascii="宋体" w:hAnsi="宋体" w:eastAsia="宋体" w:cs="宋体"/>
                <w:sz w:val="21"/>
                <w:szCs w:val="21"/>
                <w:lang w:val="zh-TW" w:eastAsia="zh-CN"/>
              </w:rPr>
              <w:t xml:space="preserve">（4）关键方案表述不清晰可操作性较差的得1分；</w:t>
            </w:r>
            <w:r/>
          </w:p>
          <w:p>
            <w:pPr>
              <w:spacing w:line="360" w:lineRule="auto"/>
              <w:widowControl/>
              <w:rPr>
                <w:rFonts w:hint="eastAsia" w:ascii="宋体" w:hAnsi="宋体" w:eastAsia="宋体" w:cs="宋体"/>
                <w:sz w:val="21"/>
                <w:szCs w:val="21"/>
                <w:lang w:eastAsia="zh-CN"/>
              </w:rPr>
            </w:pPr>
            <w:r>
              <w:rPr>
                <w:rFonts w:hint="eastAsia" w:ascii="宋体" w:hAnsi="宋体" w:eastAsia="宋体" w:cs="宋体"/>
                <w:sz w:val="21"/>
                <w:szCs w:val="21"/>
                <w:lang w:val="zh-TW" w:eastAsia="zh-TW"/>
              </w:rPr>
              <w:t xml:space="preserve">（5）未提供不得分。</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60" w:lineRule="auto"/>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4</w:t>
            </w:r>
            <w:r/>
          </w:p>
        </w:tc>
      </w:tr>
      <w:tr>
        <w:trPr>
          <w:trHeight w:val="2037"/>
        </w:trPr>
        <w:tc>
          <w:tcPr>
            <w:tcBorders>
              <w:top w:val="single" w:color="auto" w:sz="4" w:space="0"/>
              <w:left w:val="single" w:color="auto" w:sz="4" w:space="0"/>
              <w:right w:val="single" w:color="auto" w:sz="4" w:space="0"/>
            </w:tcBorders>
            <w:tcW w:w="519" w:type="dxa"/>
            <w:vAlign w:val="center"/>
            <w:vMerge w:val="restart"/>
            <w:textDirection w:val="lrTb"/>
            <w:noWrap w:val="false"/>
          </w:tcPr>
          <w:p>
            <w:pPr>
              <w:jc w:val="center"/>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3</w:t>
            </w:r>
            <w:r/>
          </w:p>
        </w:tc>
        <w:tc>
          <w:tcPr>
            <w:tcBorders>
              <w:top w:val="single" w:color="auto" w:sz="4" w:space="0"/>
              <w:left w:val="none" w:color="000000" w:sz="4" w:space="0"/>
              <w:right w:val="single" w:color="auto" w:sz="4" w:space="0"/>
            </w:tcBorders>
            <w:tcW w:w="1027" w:type="dxa"/>
            <w:vAlign w:val="center"/>
            <w:vMerge w:val="restart"/>
            <w:textDirection w:val="lrTb"/>
            <w:noWrap w:val="false"/>
          </w:tcPr>
          <w:p>
            <w:pPr>
              <w:jc w:val="center"/>
              <w:spacing w:line="360" w:lineRule="auto"/>
              <w:rPr>
                <w:rFonts w:hint="eastAsia" w:ascii="宋体" w:hAnsi="宋体" w:eastAsia="宋体" w:cs="宋体"/>
                <w:sz w:val="21"/>
                <w:szCs w:val="21"/>
                <w:lang w:eastAsia="zh-CN"/>
              </w:rPr>
            </w:pPr>
            <w:r>
              <w:rPr>
                <w:rFonts w:hint="eastAsia" w:ascii="宋体" w:hAnsi="宋体" w:eastAsia="宋体" w:cs="宋体"/>
                <w:sz w:val="21"/>
                <w:szCs w:val="21"/>
              </w:rPr>
              <w:t xml:space="preserve">业绩</w:t>
            </w:r>
            <w:r/>
          </w:p>
        </w:tc>
        <w:tc>
          <w:tcPr>
            <w:tcBorders>
              <w:top w:val="single" w:color="auto" w:sz="4" w:space="0"/>
              <w:left w:val="none" w:color="000000" w:sz="4" w:space="0"/>
              <w:bottom w:val="single" w:color="auto" w:sz="4" w:space="0"/>
              <w:right w:val="single" w:color="auto" w:sz="4" w:space="0"/>
            </w:tcBorders>
            <w:tcW w:w="7727" w:type="dxa"/>
            <w:vAlign w:val="center"/>
            <w:textDirection w:val="lrTb"/>
            <w:noWrap w:val="false"/>
          </w:tcPr>
          <w:p>
            <w:pPr>
              <w:spacing w:line="360" w:lineRule="auto"/>
              <w:widowControl/>
              <w:rPr>
                <w:rFonts w:hint="eastAsia" w:ascii="宋体" w:hAnsi="宋体" w:eastAsia="宋体" w:cs="宋体"/>
                <w:sz w:val="21"/>
                <w:szCs w:val="21"/>
                <w:lang w:val="zh-TW" w:eastAsia="zh-TW"/>
              </w:rPr>
            </w:pPr>
            <w:r>
              <w:rPr>
                <w:rFonts w:hint="eastAsia" w:ascii="宋体" w:hAnsi="宋体" w:eastAsia="宋体" w:cs="宋体"/>
                <w:sz w:val="21"/>
                <w:szCs w:val="21"/>
                <w:lang w:eastAsia="zh-CN"/>
              </w:rPr>
              <w:t xml:space="preserve">企业业绩:供应商自2023年6月1日（含）以来承担过类似业绩的，每提供一个得3分，最高得15分。（提供中标/成交通知书、合同、竣工验收证明材料</w:t>
            </w:r>
            <w:r>
              <w:rPr>
                <w:rFonts w:hint="eastAsia" w:ascii="宋体" w:hAnsi="宋体" w:eastAsia="宋体" w:cs="宋体"/>
                <w:sz w:val="21"/>
                <w:szCs w:val="21"/>
                <w:lang w:val="en-US" w:eastAsia="zh-CN"/>
              </w:rPr>
              <w:t xml:space="preserve">扫描</w:t>
            </w:r>
            <w:r>
              <w:rPr>
                <w:rFonts w:hint="eastAsia" w:ascii="宋体" w:hAnsi="宋体" w:eastAsia="宋体" w:cs="宋体"/>
                <w:sz w:val="21"/>
                <w:szCs w:val="21"/>
                <w:lang w:eastAsia="zh-CN"/>
              </w:rPr>
              <w:t xml:space="preserve">件加盖电子公章，三者缺一不可，时间以竣工验收时间为准。以上提供的证明材料必须能充分反映相关数据和内容，否则视为未提供。企业</w:t>
            </w:r>
            <w:r>
              <w:rPr>
                <w:rFonts w:hint="eastAsia" w:ascii="宋体" w:hAnsi="宋体" w:eastAsia="宋体" w:cs="宋体"/>
                <w:sz w:val="21"/>
                <w:szCs w:val="21"/>
              </w:rPr>
              <w:t xml:space="preserve">业绩与项目负责人业绩不可兼得）</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60" w:lineRule="auto"/>
              <w:widowControl/>
              <w:rPr>
                <w:rFonts w:ascii="宋体" w:hAnsi="宋体" w:eastAsia="宋体" w:cs="宋体"/>
                <w:sz w:val="21"/>
                <w:szCs w:val="21"/>
                <w:lang w:eastAsia="zh-CN"/>
              </w:rPr>
            </w:pPr>
            <w:r>
              <w:rPr>
                <w:rFonts w:hint="eastAsia" w:ascii="宋体" w:hAnsi="宋体" w:eastAsia="宋体" w:cs="宋体"/>
                <w:sz w:val="21"/>
                <w:szCs w:val="21"/>
                <w:lang w:eastAsia="zh-CN"/>
              </w:rPr>
              <w:t xml:space="preserve">15</w:t>
            </w:r>
            <w:r/>
          </w:p>
        </w:tc>
      </w:tr>
      <w:tr>
        <w:trPr>
          <w:trHeight w:val="2115"/>
        </w:trPr>
        <w:tc>
          <w:tcPr>
            <w:tcBorders>
              <w:left w:val="single" w:color="auto" w:sz="4" w:space="0"/>
              <w:bottom w:val="single" w:color="auto" w:sz="4" w:space="0"/>
              <w:right w:val="single" w:color="auto" w:sz="4" w:space="0"/>
            </w:tcBorders>
            <w:tcW w:w="519" w:type="dxa"/>
            <w:vAlign w:val="center"/>
            <w:vMerge w:val="continue"/>
            <w:textDirection w:val="lrTb"/>
            <w:noWrap w:val="false"/>
          </w:tcPr>
          <w:p>
            <w:pPr>
              <w:jc w:val="center"/>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r>
            <w:r/>
          </w:p>
        </w:tc>
        <w:tc>
          <w:tcPr>
            <w:tcBorders>
              <w:left w:val="none" w:color="000000" w:sz="4" w:space="0"/>
              <w:bottom w:val="single" w:color="auto" w:sz="4" w:space="0"/>
              <w:right w:val="single" w:color="auto" w:sz="4" w:space="0"/>
            </w:tcBorders>
            <w:tcW w:w="1027" w:type="dxa"/>
            <w:vAlign w:val="center"/>
            <w:vMerge w:val="continue"/>
            <w:textDirection w:val="lrTb"/>
            <w:noWrap w:val="false"/>
          </w:tcPr>
          <w:p>
            <w:pPr>
              <w:jc w:val="center"/>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r>
            <w:r/>
          </w:p>
        </w:tc>
        <w:tc>
          <w:tcPr>
            <w:tcBorders>
              <w:top w:val="single" w:color="auto" w:sz="4" w:space="0"/>
              <w:left w:val="none" w:color="000000" w:sz="4" w:space="0"/>
              <w:bottom w:val="single" w:color="auto" w:sz="4" w:space="0"/>
              <w:right w:val="single" w:color="auto" w:sz="4" w:space="0"/>
            </w:tcBorders>
            <w:tcW w:w="7727" w:type="dxa"/>
            <w:vAlign w:val="center"/>
            <w:textDirection w:val="lrTb"/>
            <w:noWrap w:val="false"/>
          </w:tcPr>
          <w:p>
            <w:pPr>
              <w:spacing w:line="360" w:lineRule="auto"/>
              <w:widowControl/>
              <w:rPr>
                <w:rFonts w:hint="eastAsia" w:ascii="宋体" w:hAnsi="宋体" w:eastAsia="宋体" w:cs="宋体"/>
                <w:sz w:val="21"/>
                <w:szCs w:val="21"/>
                <w:lang w:val="zh-TW" w:eastAsia="zh-CN"/>
              </w:rPr>
            </w:pPr>
            <w:r>
              <w:rPr>
                <w:rFonts w:hint="eastAsia" w:ascii="宋体" w:hAnsi="宋体" w:eastAsia="宋体" w:cs="宋体"/>
                <w:sz w:val="21"/>
                <w:szCs w:val="21"/>
                <w:lang w:eastAsia="zh-CN"/>
              </w:rPr>
              <w:t xml:space="preserve">项目负责人业绩:供应商拟派项目负责人自2023年6月1日（含）以来承担过类似业绩的，每提供一个得3分，最高得9分。（提供中标/成交通知书、合同、竣工验收证明材料</w:t>
            </w:r>
            <w:r>
              <w:rPr>
                <w:rFonts w:hint="eastAsia" w:ascii="宋体" w:hAnsi="宋体" w:eastAsia="宋体" w:cs="宋体"/>
                <w:sz w:val="21"/>
                <w:szCs w:val="21"/>
                <w:lang w:val="en-US" w:eastAsia="zh-CN"/>
              </w:rPr>
              <w:t xml:space="preserve">扫描</w:t>
            </w:r>
            <w:r>
              <w:rPr>
                <w:rFonts w:hint="eastAsia" w:ascii="宋体" w:hAnsi="宋体" w:eastAsia="宋体" w:cs="宋体"/>
                <w:sz w:val="21"/>
                <w:szCs w:val="21"/>
                <w:lang w:eastAsia="zh-CN"/>
              </w:rPr>
              <w:t xml:space="preserve">件加盖电子公章，三者缺一不可，时间以竣工验收时间为准。以上提供的证明材料必须能充分反映相关数据和内容，否则视为未提供。企业业绩与项目负责人业绩不可兼得，项目负责人业绩须是供应商承接的，提供的材料需体现项目负责人姓名）</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60" w:lineRule="auto"/>
              <w:widowControl/>
              <w:rPr>
                <w:rFonts w:ascii="宋体" w:hAnsi="宋体" w:eastAsia="宋体" w:cs="宋体"/>
                <w:sz w:val="21"/>
                <w:szCs w:val="21"/>
                <w:lang w:eastAsia="zh-CN"/>
              </w:rPr>
            </w:pPr>
            <w:r>
              <w:rPr>
                <w:rFonts w:hint="eastAsia" w:ascii="宋体" w:hAnsi="宋体" w:eastAsia="宋体" w:cs="宋体"/>
                <w:sz w:val="21"/>
                <w:szCs w:val="21"/>
                <w:lang w:eastAsia="zh-CN"/>
              </w:rPr>
              <w:t xml:space="preserve">9</w:t>
            </w:r>
            <w:r/>
          </w:p>
        </w:tc>
      </w:tr>
      <w:tr>
        <w:trPr>
          <w:trHeight w:val="689"/>
        </w:trPr>
        <w:tc>
          <w:tcPr>
            <w:tcBorders>
              <w:top w:val="single" w:color="auto" w:sz="4" w:space="0"/>
              <w:left w:val="single" w:color="auto" w:sz="4" w:space="0"/>
              <w:right w:val="single" w:color="auto" w:sz="4" w:space="0"/>
            </w:tcBorders>
            <w:tcW w:w="519" w:type="dxa"/>
            <w:vAlign w:val="center"/>
            <w:vMerge w:val="restart"/>
            <w:textDirection w:val="lrTb"/>
            <w:noWrap w:val="false"/>
          </w:tcPr>
          <w:p>
            <w:pPr>
              <w:jc w:val="center"/>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4</w:t>
            </w:r>
            <w:r/>
          </w:p>
        </w:tc>
        <w:tc>
          <w:tcPr>
            <w:tcBorders>
              <w:top w:val="single" w:color="auto" w:sz="4" w:space="0"/>
              <w:left w:val="none" w:color="000000" w:sz="4" w:space="0"/>
              <w:right w:val="single" w:color="auto" w:sz="4" w:space="0"/>
            </w:tcBorders>
            <w:tcW w:w="1027" w:type="dxa"/>
            <w:vAlign w:val="center"/>
            <w:vMerge w:val="restart"/>
            <w:textDirection w:val="lrTb"/>
            <w:noWrap w:val="false"/>
          </w:tcPr>
          <w:p>
            <w:pPr>
              <w:jc w:val="center"/>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项目管理机构人员配备</w:t>
            </w:r>
            <w:r/>
          </w:p>
        </w:tc>
        <w:tc>
          <w:tcPr>
            <w:tcBorders>
              <w:top w:val="single" w:color="auto" w:sz="4" w:space="0"/>
              <w:left w:val="none" w:color="000000" w:sz="4" w:space="0"/>
              <w:bottom w:val="single" w:color="auto" w:sz="4" w:space="0"/>
              <w:right w:val="single" w:color="auto" w:sz="4" w:space="0"/>
            </w:tcBorders>
            <w:tcW w:w="7727" w:type="dxa"/>
            <w:vAlign w:val="center"/>
            <w:textDirection w:val="lrTb"/>
            <w:noWrap w:val="false"/>
          </w:tcPr>
          <w:p>
            <w:pPr>
              <w:spacing w:line="360" w:lineRule="auto"/>
              <w:widowControl/>
              <w:rPr>
                <w:rFonts w:hint="eastAsia" w:ascii="宋体" w:hAnsi="宋体" w:eastAsia="宋体" w:cs="宋体"/>
                <w:sz w:val="21"/>
                <w:szCs w:val="21"/>
                <w:lang w:val="zh-TW" w:eastAsia="zh-CN"/>
              </w:rPr>
            </w:pPr>
            <w:r>
              <w:rPr>
                <w:rFonts w:hint="eastAsia" w:ascii="宋体" w:hAnsi="宋体" w:eastAsia="宋体" w:cs="宋体"/>
                <w:sz w:val="21"/>
                <w:szCs w:val="21"/>
                <w:lang w:eastAsia="zh-CN"/>
              </w:rPr>
              <w:t xml:space="preserve">拟派项目负责人具有建设工程类中级职称的，得</w:t>
            </w: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eastAsia="zh-CN"/>
              </w:rPr>
              <w:t xml:space="preserve">分，具有建设工程类高级及以上职称的，得</w:t>
            </w: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eastAsia="zh-CN"/>
              </w:rPr>
              <w:t xml:space="preserve">分。（提供有效的职称证书</w:t>
            </w:r>
            <w:r>
              <w:rPr>
                <w:rFonts w:hint="eastAsia" w:ascii="宋体" w:hAnsi="宋体" w:eastAsia="宋体" w:cs="宋体"/>
                <w:sz w:val="21"/>
                <w:szCs w:val="21"/>
                <w:lang w:val="en-US" w:eastAsia="zh-CN"/>
              </w:rPr>
              <w:t xml:space="preserve">扫描</w:t>
            </w:r>
            <w:r>
              <w:rPr>
                <w:rFonts w:hint="eastAsia" w:ascii="宋体" w:hAnsi="宋体" w:eastAsia="宋体" w:cs="宋体"/>
                <w:sz w:val="21"/>
                <w:szCs w:val="21"/>
                <w:lang w:eastAsia="zh-CN"/>
              </w:rPr>
              <w:t xml:space="preserve">件</w:t>
            </w:r>
            <w:r>
              <w:rPr>
                <w:rFonts w:hint="eastAsia" w:ascii="宋体" w:hAnsi="宋体" w:eastAsia="宋体" w:cs="宋体"/>
                <w:spacing w:val="-4"/>
                <w:sz w:val="21"/>
                <w:szCs w:val="21"/>
                <w:lang w:eastAsia="zh-CN"/>
              </w:rPr>
              <w:t xml:space="preserve">，加盖电子公章。</w:t>
            </w:r>
            <w:r>
              <w:rPr>
                <w:rFonts w:hint="eastAsia" w:ascii="宋体" w:hAnsi="宋体" w:eastAsia="宋体" w:cs="宋体"/>
                <w:sz w:val="21"/>
                <w:szCs w:val="21"/>
                <w:lang w:eastAsia="zh-CN"/>
              </w:rPr>
              <w:t xml:space="preserve">）</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60" w:lineRule="auto"/>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3</w:t>
            </w:r>
            <w:r/>
          </w:p>
        </w:tc>
      </w:tr>
      <w:tr>
        <w:trPr>
          <w:trHeight w:val="821"/>
        </w:trPr>
        <w:tc>
          <w:tcPr>
            <w:tcBorders>
              <w:left w:val="single" w:color="auto" w:sz="4" w:space="0"/>
              <w:right w:val="single" w:color="auto" w:sz="4" w:space="0"/>
            </w:tcBorders>
            <w:tcW w:w="519" w:type="dxa"/>
            <w:vAlign w:val="center"/>
            <w:vMerge w:val="continue"/>
            <w:textDirection w:val="lrTb"/>
            <w:noWrap w:val="false"/>
          </w:tcPr>
          <w:p>
            <w:pPr>
              <w:jc w:val="center"/>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r>
            <w:r/>
          </w:p>
        </w:tc>
        <w:tc>
          <w:tcPr>
            <w:tcBorders>
              <w:left w:val="none" w:color="000000" w:sz="4" w:space="0"/>
              <w:right w:val="single" w:color="auto" w:sz="4" w:space="0"/>
            </w:tcBorders>
            <w:tcW w:w="1027" w:type="dxa"/>
            <w:vAlign w:val="center"/>
            <w:vMerge w:val="continue"/>
            <w:textDirection w:val="lrTb"/>
            <w:noWrap w:val="false"/>
          </w:tcPr>
          <w:p>
            <w:pPr>
              <w:jc w:val="center"/>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r>
            <w:r/>
          </w:p>
        </w:tc>
        <w:tc>
          <w:tcPr>
            <w:tcBorders>
              <w:top w:val="single" w:color="auto" w:sz="4" w:space="0"/>
              <w:left w:val="none" w:color="000000" w:sz="4" w:space="0"/>
              <w:bottom w:val="single" w:color="auto" w:sz="4" w:space="0"/>
              <w:right w:val="single" w:color="auto" w:sz="4" w:space="0"/>
            </w:tcBorders>
            <w:tcW w:w="7727" w:type="dxa"/>
            <w:vAlign w:val="center"/>
            <w:textDirection w:val="lrTb"/>
            <w:noWrap w:val="false"/>
          </w:tcPr>
          <w:p>
            <w:pPr>
              <w:spacing w:line="360" w:lineRule="auto"/>
              <w:widowControl/>
              <w:rPr>
                <w:rFonts w:hint="default" w:ascii="宋体" w:hAnsi="宋体" w:eastAsia="宋体" w:cs="宋体"/>
                <w:sz w:val="21"/>
                <w:szCs w:val="21"/>
                <w:lang w:val="en-US" w:eastAsia="zh-CN"/>
              </w:rPr>
            </w:pPr>
            <w:r>
              <w:rPr>
                <w:rFonts w:hint="eastAsia" w:ascii="宋体" w:hAnsi="宋体" w:eastAsia="宋体" w:cs="宋体"/>
                <w:sz w:val="21"/>
                <w:szCs w:val="21"/>
                <w:lang w:eastAsia="zh-CN"/>
              </w:rPr>
              <w:t xml:space="preserve">拟派技术负责人：具有建设</w:t>
            </w:r>
            <w:bookmarkStart w:id="47" w:name="OLE_LINK28"/>
            <w:r/>
            <w:bookmarkStart w:id="48" w:name="OLE_LINK29"/>
            <w:r>
              <w:rPr>
                <w:rFonts w:hint="eastAsia" w:ascii="宋体" w:hAnsi="宋体" w:eastAsia="宋体" w:cs="宋体"/>
                <w:sz w:val="21"/>
                <w:szCs w:val="21"/>
                <w:lang w:eastAsia="zh-CN"/>
              </w:rPr>
              <w:t xml:space="preserve">工程</w:t>
            </w:r>
            <w:bookmarkEnd w:id="47"/>
            <w:r/>
            <w:bookmarkEnd w:id="48"/>
            <w:r>
              <w:rPr>
                <w:rFonts w:hint="eastAsia" w:ascii="宋体" w:hAnsi="宋体" w:eastAsia="宋体" w:cs="宋体"/>
                <w:sz w:val="21"/>
                <w:szCs w:val="21"/>
                <w:lang w:eastAsia="zh-CN"/>
              </w:rPr>
              <w:t xml:space="preserve">类中级职称的，得1分，具有建设工程类高级及以上职称的，得</w:t>
            </w: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eastAsia="zh-CN"/>
              </w:rPr>
              <w:t xml:space="preserve">分；同时具有二级注册建造师（建筑工程）证书</w:t>
            </w:r>
            <w:r>
              <w:rPr>
                <w:rFonts w:hint="eastAsia" w:ascii="宋体" w:hAnsi="宋体" w:eastAsia="宋体" w:cs="宋体"/>
                <w:sz w:val="21"/>
                <w:szCs w:val="21"/>
                <w:lang w:val="en-US" w:eastAsia="zh-CN"/>
              </w:rPr>
              <w:t xml:space="preserve">加</w:t>
            </w:r>
            <w:r>
              <w:rPr>
                <w:rFonts w:hint="eastAsia" w:ascii="宋体" w:hAnsi="宋体" w:eastAsia="宋体" w:cs="宋体"/>
                <w:sz w:val="21"/>
                <w:szCs w:val="21"/>
                <w:lang w:eastAsia="zh-CN"/>
              </w:rPr>
              <w:t xml:space="preserve">1分，具有一级注册建造师（建筑工程）证书</w:t>
            </w:r>
            <w:r>
              <w:rPr>
                <w:rFonts w:hint="eastAsia" w:ascii="宋体" w:hAnsi="宋体" w:eastAsia="宋体" w:cs="宋体"/>
                <w:sz w:val="21"/>
                <w:szCs w:val="21"/>
                <w:lang w:val="en-US" w:eastAsia="zh-CN"/>
              </w:rPr>
              <w:t xml:space="preserve">加</w:t>
            </w:r>
            <w:r>
              <w:rPr>
                <w:rFonts w:hint="eastAsia" w:ascii="宋体" w:hAnsi="宋体" w:eastAsia="宋体" w:cs="宋体"/>
                <w:sz w:val="21"/>
                <w:szCs w:val="21"/>
                <w:lang w:eastAsia="zh-CN"/>
              </w:rPr>
              <w:t xml:space="preserve">2分。</w:t>
            </w:r>
            <w:r>
              <w:rPr>
                <w:rFonts w:hint="eastAsia" w:ascii="宋体" w:hAnsi="宋体" w:eastAsia="宋体" w:cs="宋体"/>
                <w:sz w:val="21"/>
                <w:szCs w:val="21"/>
                <w:lang w:val="en-US" w:eastAsia="zh-CN"/>
              </w:rPr>
              <w:t xml:space="preserve">本项满分5分。</w:t>
            </w:r>
            <w:r/>
          </w:p>
          <w:p>
            <w:pPr>
              <w:numPr>
                <w:ilvl w:val="0"/>
                <w:numId w:val="0"/>
              </w:numPr>
              <w:spacing w:line="360" w:lineRule="auto"/>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上述</w:t>
            </w:r>
            <w:r>
              <w:rPr>
                <w:rFonts w:hint="eastAsia" w:ascii="宋体" w:hAnsi="宋体" w:eastAsia="宋体" w:cs="宋体"/>
                <w:spacing w:val="-4"/>
                <w:sz w:val="21"/>
                <w:szCs w:val="21"/>
                <w:lang w:val="en-US" w:eastAsia="zh-CN"/>
              </w:rPr>
              <w:t xml:space="preserve">人员一人一岗，不可兼职。</w:t>
            </w:r>
            <w:r>
              <w:rPr>
                <w:rFonts w:hint="eastAsia" w:ascii="宋体" w:hAnsi="宋体" w:eastAsia="宋体" w:cs="宋体"/>
                <w:sz w:val="21"/>
                <w:szCs w:val="21"/>
                <w:lang w:eastAsia="zh-CN"/>
              </w:rPr>
              <w:t xml:space="preserve">提供有效的职称证书</w:t>
            </w:r>
            <w:r>
              <w:rPr>
                <w:rFonts w:hint="eastAsia" w:ascii="宋体" w:hAnsi="宋体" w:eastAsia="宋体" w:cs="宋体"/>
                <w:sz w:val="21"/>
                <w:szCs w:val="21"/>
                <w:lang w:val="en-US" w:eastAsia="zh-CN"/>
              </w:rPr>
              <w:t xml:space="preserve">/</w:t>
            </w:r>
            <w:r>
              <w:rPr>
                <w:rFonts w:hint="eastAsia" w:ascii="宋体" w:hAnsi="宋体" w:eastAsia="宋体" w:cs="宋体"/>
                <w:sz w:val="21"/>
                <w:szCs w:val="21"/>
                <w:lang w:eastAsia="zh-CN"/>
              </w:rPr>
              <w:t xml:space="preserve">注册证书</w:t>
            </w:r>
            <w:r>
              <w:rPr>
                <w:rFonts w:hint="eastAsia" w:ascii="宋体" w:hAnsi="宋体" w:eastAsia="宋体" w:cs="宋体"/>
                <w:sz w:val="21"/>
                <w:szCs w:val="21"/>
                <w:lang w:val="en-US" w:eastAsia="zh-CN"/>
              </w:rPr>
              <w:t xml:space="preserve">扫描</w:t>
            </w:r>
            <w:r>
              <w:rPr>
                <w:rFonts w:hint="eastAsia" w:ascii="宋体" w:hAnsi="宋体" w:eastAsia="宋体" w:cs="宋体"/>
                <w:sz w:val="21"/>
                <w:szCs w:val="21"/>
                <w:lang w:eastAsia="zh-CN"/>
              </w:rPr>
              <w:t xml:space="preserve">件，及供应商为其缴纳的近半年（2025年12月起至今）任意一个月的社保证明材料，以上资料加盖电子公章。）</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60" w:lineRule="auto"/>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5</w:t>
            </w:r>
            <w:r/>
          </w:p>
        </w:tc>
      </w:tr>
      <w:tr>
        <w:trPr>
          <w:trHeight w:val="2127"/>
        </w:trPr>
        <w:tc>
          <w:tcPr>
            <w:tcBorders>
              <w:left w:val="single" w:color="auto" w:sz="4" w:space="0"/>
              <w:bottom w:val="single" w:color="auto" w:sz="4" w:space="0"/>
              <w:right w:val="single" w:color="auto" w:sz="4" w:space="0"/>
            </w:tcBorders>
            <w:tcW w:w="519" w:type="dxa"/>
            <w:vAlign w:val="center"/>
            <w:vMerge w:val="continue"/>
            <w:textDirection w:val="lrTb"/>
            <w:noWrap w:val="false"/>
          </w:tcPr>
          <w:p>
            <w:pPr>
              <w:jc w:val="center"/>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r>
            <w:r/>
          </w:p>
        </w:tc>
        <w:tc>
          <w:tcPr>
            <w:tcBorders>
              <w:left w:val="none" w:color="000000" w:sz="4" w:space="0"/>
              <w:bottom w:val="single" w:color="auto" w:sz="4" w:space="0"/>
              <w:right w:val="single" w:color="auto" w:sz="4" w:space="0"/>
            </w:tcBorders>
            <w:tcW w:w="1027" w:type="dxa"/>
            <w:vAlign w:val="center"/>
            <w:vMerge w:val="continue"/>
            <w:textDirection w:val="lrTb"/>
            <w:noWrap w:val="false"/>
          </w:tcPr>
          <w:p>
            <w:pPr>
              <w:jc w:val="center"/>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r>
            <w:r/>
          </w:p>
        </w:tc>
        <w:tc>
          <w:tcPr>
            <w:tcBorders>
              <w:top w:val="single" w:color="auto" w:sz="4" w:space="0"/>
              <w:left w:val="none" w:color="000000" w:sz="4" w:space="0"/>
              <w:bottom w:val="single" w:color="auto" w:sz="4" w:space="0"/>
              <w:right w:val="single" w:color="auto" w:sz="4" w:space="0"/>
            </w:tcBorders>
            <w:tcW w:w="7727" w:type="dxa"/>
            <w:vAlign w:val="center"/>
            <w:textDirection w:val="lrTb"/>
            <w:noWrap w:val="false"/>
          </w:tcPr>
          <w:p>
            <w:pPr>
              <w:spacing w:line="360" w:lineRule="auto"/>
              <w:widowControl/>
              <w:rPr>
                <w:rFonts w:ascii="宋体" w:hAnsi="宋体" w:eastAsia="宋体" w:cs="宋体"/>
                <w:sz w:val="21"/>
                <w:szCs w:val="21"/>
                <w:lang w:eastAsia="zh-CN"/>
              </w:rPr>
            </w:pPr>
            <w:r>
              <w:rPr>
                <w:rFonts w:hint="eastAsia" w:ascii="宋体" w:hAnsi="宋体" w:eastAsia="宋体" w:cs="宋体"/>
                <w:sz w:val="21"/>
                <w:szCs w:val="21"/>
                <w:lang w:eastAsia="zh-CN"/>
              </w:rPr>
              <w:t xml:space="preserve">拟配备的项目组成员</w:t>
            </w:r>
            <w:r>
              <w:rPr>
                <w:rFonts w:hint="eastAsia" w:ascii="宋体" w:hAnsi="宋体" w:eastAsia="宋体" w:cs="宋体"/>
                <w:sz w:val="21"/>
                <w:szCs w:val="21"/>
                <w:lang w:val="en-US" w:eastAsia="zh-CN"/>
              </w:rPr>
              <w:t xml:space="preserve">不少于4人</w:t>
            </w:r>
            <w:r>
              <w:rPr>
                <w:rFonts w:hint="eastAsia" w:ascii="宋体" w:hAnsi="宋体" w:eastAsia="宋体" w:cs="宋体"/>
                <w:sz w:val="21"/>
                <w:szCs w:val="21"/>
                <w:lang w:eastAsia="zh-CN"/>
              </w:rPr>
              <w:t xml:space="preserve">（项目负责人、技术负责人除外）</w:t>
            </w:r>
            <w:r/>
          </w:p>
          <w:p>
            <w:pPr>
              <w:spacing w:line="360" w:lineRule="auto"/>
              <w:widowControl/>
              <w:rPr>
                <w:rFonts w:hint="default" w:ascii="宋体" w:hAnsi="宋体" w:eastAsia="宋体" w:cs="宋体"/>
                <w:sz w:val="21"/>
                <w:szCs w:val="21"/>
                <w:lang w:val="en-US" w:eastAsia="zh-CN"/>
              </w:rPr>
            </w:pPr>
            <w:r>
              <w:rPr>
                <w:rFonts w:hint="eastAsia" w:ascii="宋体" w:hAnsi="宋体" w:eastAsia="宋体" w:cs="宋体"/>
                <w:sz w:val="21"/>
                <w:szCs w:val="21"/>
                <w:lang w:eastAsia="zh-CN"/>
              </w:rPr>
              <w:t xml:space="preserve">（1）</w:t>
            </w:r>
            <w:r>
              <w:rPr>
                <w:rFonts w:hint="eastAsia" w:ascii="宋体" w:hAnsi="宋体" w:eastAsia="宋体" w:cs="宋体"/>
                <w:sz w:val="21"/>
                <w:szCs w:val="21"/>
                <w:lang w:val="en-US" w:eastAsia="zh-CN"/>
              </w:rPr>
              <w:t xml:space="preserve">岗位成员（</w:t>
            </w:r>
            <w:r>
              <w:rPr>
                <w:rFonts w:hint="eastAsia" w:ascii="宋体" w:hAnsi="宋体" w:eastAsia="宋体" w:cs="宋体"/>
                <w:spacing w:val="-4"/>
                <w:sz w:val="21"/>
                <w:szCs w:val="21"/>
                <w:lang w:val="en-US" w:eastAsia="zh-CN"/>
              </w:rPr>
              <w:t xml:space="preserve">一人一岗，不可兼职</w:t>
            </w:r>
            <w:r>
              <w:rPr>
                <w:rFonts w:hint="eastAsia" w:ascii="宋体" w:hAnsi="宋体" w:eastAsia="宋体" w:cs="宋体"/>
                <w:sz w:val="21"/>
                <w:szCs w:val="21"/>
                <w:lang w:val="en-US" w:eastAsia="zh-CN"/>
              </w:rPr>
              <w:t xml:space="preserve">）</w:t>
            </w:r>
            <w:r/>
          </w:p>
          <w:p>
            <w:pPr>
              <w:spacing w:line="360" w:lineRule="auto"/>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fldChar w:fldCharType="begin"/>
            </w:r>
            <w:r>
              <w:rPr>
                <w:rFonts w:hint="eastAsia" w:ascii="宋体" w:hAnsi="宋体" w:eastAsia="宋体" w:cs="宋体"/>
                <w:sz w:val="21"/>
                <w:szCs w:val="21"/>
                <w:lang w:val="en-US" w:eastAsia="zh-CN"/>
              </w:rPr>
              <w:instrText xml:space="preserve"> EQ \o\ac(</w:instrText>
            </w:r>
            <w:r>
              <w:rPr>
                <w:rFonts w:hint="eastAsia" w:ascii="宋体" w:hAnsi="宋体" w:eastAsia="宋体" w:cs="宋体"/>
                <w:sz w:val="21"/>
                <w:szCs w:val="21"/>
                <w:lang w:val="en-US" w:eastAsia="zh-CN" w:bidi="ar-SA"/>
              </w:rPr>
              <w:instrText xml:space="preserve">○</w:instrText>
            </w:r>
            <w:r>
              <w:rPr>
                <w:rFonts w:hint="eastAsia" w:ascii="宋体" w:hAnsi="宋体" w:eastAsia="宋体" w:cs="宋体"/>
                <w:sz w:val="21"/>
                <w:szCs w:val="21"/>
                <w:lang w:val="en-US" w:eastAsia="zh-CN"/>
              </w:rPr>
              <w:instrText xml:space="preserve">,</w:instrText>
            </w:r>
            <w:r>
              <w:rPr>
                <w:rFonts w:hint="eastAsia" w:ascii="宋体" w:hAnsi="宋体" w:eastAsia="宋体" w:cs="宋体"/>
                <w:position w:val="2"/>
                <w:sz w:val="14"/>
                <w:szCs w:val="21"/>
                <w:lang w:val="en-US" w:eastAsia="zh-CN" w:bidi="ar-SA"/>
              </w:rPr>
              <w:instrText xml:space="preserve">1</w:instrText>
            </w:r>
            <w:r>
              <w:rPr>
                <w:rFonts w:hint="eastAsia" w:ascii="宋体" w:hAnsi="宋体" w:eastAsia="宋体" w:cs="宋体"/>
                <w:sz w:val="21"/>
                <w:szCs w:val="21"/>
                <w:lang w:val="en-US" w:eastAsia="zh-CN"/>
              </w:rPr>
              <w:instrText xml:space="preserve">)</w:instrText>
            </w:r>
            <w:r>
              <w:rPr>
                <w:rFonts w:hint="eastAsia" w:ascii="宋体" w:hAnsi="宋体" w:eastAsia="宋体" w:cs="宋体"/>
                <w:sz w:val="21"/>
                <w:szCs w:val="21"/>
                <w:lang w:val="en-US" w:eastAsia="zh-CN"/>
              </w:rPr>
              <w:fldChar w:fldCharType="end"/>
            </w:r>
            <w:r>
              <w:rPr>
                <w:rFonts w:hint="eastAsia" w:ascii="宋体" w:hAnsi="宋体" w:eastAsia="宋体" w:cs="宋体"/>
                <w:sz w:val="21"/>
                <w:szCs w:val="21"/>
                <w:lang w:eastAsia="zh-CN"/>
              </w:rPr>
              <w:t xml:space="preserve">具有二级注册造价工程师证书的得1分，具有一级注册造价工程师证书的得2分，本项最高得2分（提供有效的注册证书</w:t>
            </w:r>
            <w:r>
              <w:rPr>
                <w:rFonts w:hint="eastAsia" w:ascii="宋体" w:hAnsi="宋体" w:eastAsia="宋体" w:cs="宋体"/>
                <w:sz w:val="21"/>
                <w:szCs w:val="21"/>
                <w:lang w:val="en-US" w:eastAsia="zh-CN"/>
              </w:rPr>
              <w:t xml:space="preserve">扫描</w:t>
            </w:r>
            <w:r>
              <w:rPr>
                <w:rFonts w:hint="eastAsia" w:ascii="宋体" w:hAnsi="宋体" w:eastAsia="宋体" w:cs="宋体"/>
                <w:sz w:val="21"/>
                <w:szCs w:val="21"/>
                <w:lang w:eastAsia="zh-CN"/>
              </w:rPr>
              <w:t xml:space="preserve">件</w:t>
            </w:r>
            <w:r>
              <w:rPr>
                <w:rFonts w:hint="eastAsia" w:ascii="宋体" w:hAnsi="宋体" w:eastAsia="宋体" w:cs="宋体"/>
                <w:spacing w:val="-4"/>
                <w:sz w:val="21"/>
                <w:szCs w:val="21"/>
                <w:lang w:eastAsia="zh-CN"/>
              </w:rPr>
              <w:t xml:space="preserve">，加盖电子公章</w:t>
            </w:r>
            <w:r>
              <w:rPr>
                <w:rFonts w:hint="eastAsia" w:ascii="宋体" w:hAnsi="宋体" w:eastAsia="宋体" w:cs="宋体"/>
                <w:sz w:val="21"/>
                <w:szCs w:val="21"/>
                <w:lang w:eastAsia="zh-CN"/>
              </w:rPr>
              <w:t xml:space="preserve">）。</w:t>
            </w:r>
            <w:r/>
          </w:p>
          <w:p>
            <w:pPr>
              <w:spacing w:line="360" w:lineRule="auto"/>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fldChar w:fldCharType="begin"/>
            </w:r>
            <w:r>
              <w:rPr>
                <w:rFonts w:hint="eastAsia" w:ascii="宋体" w:hAnsi="宋体" w:eastAsia="宋体" w:cs="宋体"/>
                <w:sz w:val="21"/>
                <w:szCs w:val="21"/>
                <w:lang w:val="en-US" w:eastAsia="zh-CN"/>
              </w:rPr>
              <w:instrText xml:space="preserve"> EQ \o\ac(</w:instrText>
            </w:r>
            <w:r>
              <w:rPr>
                <w:rFonts w:hint="eastAsia" w:ascii="宋体" w:hAnsi="宋体" w:eastAsia="宋体" w:cs="宋体"/>
                <w:sz w:val="21"/>
                <w:szCs w:val="21"/>
                <w:lang w:val="en-US" w:eastAsia="zh-CN" w:bidi="ar-SA"/>
              </w:rPr>
              <w:instrText xml:space="preserve">○</w:instrText>
            </w:r>
            <w:r>
              <w:rPr>
                <w:rFonts w:hint="eastAsia" w:ascii="宋体" w:hAnsi="宋体" w:eastAsia="宋体" w:cs="宋体"/>
                <w:sz w:val="21"/>
                <w:szCs w:val="21"/>
                <w:lang w:val="en-US" w:eastAsia="zh-CN"/>
              </w:rPr>
              <w:instrText xml:space="preserve">,</w:instrText>
            </w:r>
            <w:r>
              <w:rPr>
                <w:rFonts w:hint="eastAsia" w:ascii="宋体" w:hAnsi="宋体" w:eastAsia="宋体" w:cs="宋体"/>
                <w:position w:val="2"/>
                <w:sz w:val="14"/>
                <w:szCs w:val="21"/>
                <w:lang w:val="en-US" w:eastAsia="zh-CN" w:bidi="ar-SA"/>
              </w:rPr>
              <w:instrText xml:space="preserve">2</w:instrText>
            </w:r>
            <w:r>
              <w:rPr>
                <w:rFonts w:hint="eastAsia" w:ascii="宋体" w:hAnsi="宋体" w:eastAsia="宋体" w:cs="宋体"/>
                <w:sz w:val="21"/>
                <w:szCs w:val="21"/>
                <w:lang w:val="en-US" w:eastAsia="zh-CN"/>
              </w:rPr>
              <w:instrText xml:space="preserve">)</w:instrText>
            </w:r>
            <w:r>
              <w:rPr>
                <w:rFonts w:hint="eastAsia" w:ascii="宋体" w:hAnsi="宋体" w:eastAsia="宋体" w:cs="宋体"/>
                <w:sz w:val="21"/>
                <w:szCs w:val="21"/>
                <w:lang w:val="en-US" w:eastAsia="zh-CN"/>
              </w:rPr>
              <w:fldChar w:fldCharType="end"/>
            </w:r>
            <w:r>
              <w:rPr>
                <w:rFonts w:hint="eastAsia" w:ascii="宋体" w:hAnsi="宋体" w:eastAsia="宋体" w:cs="宋体"/>
                <w:sz w:val="21"/>
                <w:szCs w:val="21"/>
                <w:lang w:eastAsia="zh-CN"/>
              </w:rPr>
              <w:t xml:space="preserve">具有施工员、质量员（质检员）、安全员，每提供一个得1分，满分</w:t>
            </w: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eastAsia="zh-CN"/>
              </w:rPr>
              <w:t xml:space="preserve">分。（提供</w:t>
            </w:r>
            <w:r>
              <w:rPr>
                <w:rFonts w:hint="eastAsia" w:ascii="宋体" w:hAnsi="宋体" w:eastAsia="宋体" w:cs="宋体"/>
                <w:sz w:val="21"/>
                <w:szCs w:val="21"/>
                <w:lang w:val="en-US" w:eastAsia="zh-CN"/>
              </w:rPr>
              <w:t xml:space="preserve">人员</w:t>
            </w:r>
            <w:r>
              <w:rPr>
                <w:rFonts w:hint="eastAsia" w:ascii="宋体" w:hAnsi="宋体" w:eastAsia="宋体" w:cs="宋体"/>
                <w:sz w:val="21"/>
                <w:szCs w:val="21"/>
                <w:lang w:eastAsia="zh-CN"/>
              </w:rPr>
              <w:t xml:space="preserve">对应的岗位证书</w:t>
            </w:r>
            <w:r>
              <w:rPr>
                <w:rFonts w:hint="eastAsia" w:ascii="宋体" w:hAnsi="宋体" w:eastAsia="宋体" w:cs="宋体"/>
                <w:sz w:val="21"/>
                <w:szCs w:val="21"/>
                <w:lang w:val="en-US" w:eastAsia="zh-CN"/>
              </w:rPr>
              <w:t xml:space="preserve">扫描</w:t>
            </w:r>
            <w:r>
              <w:rPr>
                <w:rFonts w:hint="eastAsia" w:ascii="宋体" w:hAnsi="宋体" w:eastAsia="宋体" w:cs="宋体"/>
                <w:sz w:val="21"/>
                <w:szCs w:val="21"/>
                <w:lang w:eastAsia="zh-CN"/>
              </w:rPr>
              <w:t xml:space="preserve">件</w:t>
            </w:r>
            <w:r>
              <w:rPr>
                <w:rFonts w:hint="eastAsia" w:ascii="宋体" w:hAnsi="宋体" w:eastAsia="宋体" w:cs="宋体"/>
                <w:spacing w:val="-4"/>
                <w:sz w:val="21"/>
                <w:szCs w:val="21"/>
                <w:lang w:eastAsia="zh-CN"/>
              </w:rPr>
              <w:t xml:space="preserve">，加盖电子公章。</w:t>
            </w:r>
            <w:r>
              <w:rPr>
                <w:rFonts w:hint="eastAsia" w:ascii="宋体" w:hAnsi="宋体" w:eastAsia="宋体" w:cs="宋体"/>
                <w:sz w:val="21"/>
                <w:szCs w:val="21"/>
                <w:lang w:eastAsia="zh-CN"/>
              </w:rPr>
              <w:t xml:space="preserve">）</w:t>
            </w:r>
            <w:r/>
          </w:p>
          <w:p>
            <w:pPr>
              <w:spacing w:line="360" w:lineRule="auto"/>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eastAsia="zh-CN"/>
              </w:rPr>
              <w:t xml:space="preserve">）具有建设工程类中级职称的</w:t>
            </w:r>
            <w:r>
              <w:rPr>
                <w:rFonts w:hint="eastAsia" w:ascii="宋体" w:hAnsi="宋体" w:eastAsia="宋体" w:cs="宋体"/>
                <w:sz w:val="21"/>
                <w:szCs w:val="21"/>
                <w:lang w:val="en-US" w:eastAsia="zh-CN"/>
              </w:rPr>
              <w:t xml:space="preserve">加</w:t>
            </w:r>
            <w:r>
              <w:rPr>
                <w:rFonts w:hint="eastAsia" w:ascii="宋体" w:hAnsi="宋体" w:eastAsia="宋体" w:cs="宋体"/>
                <w:sz w:val="21"/>
                <w:szCs w:val="21"/>
                <w:lang w:eastAsia="zh-CN"/>
              </w:rPr>
              <w:t xml:space="preserve">1分,具有建设工程类高级及以上职称的</w:t>
            </w:r>
            <w:r>
              <w:rPr>
                <w:rFonts w:hint="eastAsia" w:ascii="宋体" w:hAnsi="宋体" w:eastAsia="宋体" w:cs="宋体"/>
                <w:sz w:val="21"/>
                <w:szCs w:val="21"/>
                <w:lang w:val="en-US" w:eastAsia="zh-CN"/>
              </w:rPr>
              <w:t xml:space="preserve">加3</w:t>
            </w:r>
            <w:r>
              <w:rPr>
                <w:rFonts w:hint="eastAsia" w:ascii="宋体" w:hAnsi="宋体" w:eastAsia="宋体" w:cs="宋体"/>
                <w:sz w:val="21"/>
                <w:szCs w:val="21"/>
                <w:lang w:eastAsia="zh-CN"/>
              </w:rPr>
              <w:t xml:space="preserve">分，本项最高得</w:t>
            </w: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eastAsia="zh-CN"/>
              </w:rPr>
              <w:t xml:space="preserve">分（限评1人，按最高职称计取得分。提供有效的职称证书</w:t>
            </w:r>
            <w:r>
              <w:rPr>
                <w:rFonts w:hint="eastAsia" w:ascii="宋体" w:hAnsi="宋体" w:eastAsia="宋体" w:cs="宋体"/>
                <w:sz w:val="21"/>
                <w:szCs w:val="21"/>
                <w:lang w:val="en-US" w:eastAsia="zh-CN"/>
              </w:rPr>
              <w:t xml:space="preserve">扫描</w:t>
            </w:r>
            <w:r>
              <w:rPr>
                <w:rFonts w:hint="eastAsia" w:ascii="宋体" w:hAnsi="宋体" w:eastAsia="宋体" w:cs="宋体"/>
                <w:sz w:val="21"/>
                <w:szCs w:val="21"/>
                <w:lang w:eastAsia="zh-CN"/>
              </w:rPr>
              <w:t xml:space="preserve">件</w:t>
            </w:r>
            <w:r>
              <w:rPr>
                <w:rFonts w:hint="eastAsia" w:ascii="宋体" w:hAnsi="宋体" w:eastAsia="宋体" w:cs="宋体"/>
                <w:spacing w:val="-4"/>
                <w:sz w:val="21"/>
                <w:szCs w:val="21"/>
                <w:lang w:eastAsia="zh-CN"/>
              </w:rPr>
              <w:t xml:space="preserve">，加盖电子公章</w:t>
            </w:r>
            <w:r>
              <w:rPr>
                <w:rFonts w:hint="eastAsia" w:ascii="宋体" w:hAnsi="宋体" w:eastAsia="宋体" w:cs="宋体"/>
                <w:sz w:val="21"/>
                <w:szCs w:val="21"/>
                <w:lang w:eastAsia="zh-CN"/>
              </w:rPr>
              <w:t xml:space="preserve">）。</w:t>
            </w:r>
            <w:r/>
          </w:p>
          <w:p>
            <w:pPr>
              <w:spacing w:line="360" w:lineRule="auto"/>
              <w:widowControl/>
              <w:rPr>
                <w:rFonts w:hint="eastAsia" w:ascii="宋体" w:hAnsi="宋体" w:eastAsia="宋体" w:cs="宋体"/>
                <w:sz w:val="21"/>
                <w:szCs w:val="21"/>
                <w:lang w:eastAsia="zh-CN"/>
              </w:rPr>
            </w:pPr>
            <w:r>
              <w:rPr>
                <w:rFonts w:hint="eastAsia" w:ascii="宋体" w:hAnsi="宋体" w:eastAsia="宋体" w:cs="宋体"/>
                <w:b/>
                <w:bCs/>
                <w:sz w:val="21"/>
                <w:szCs w:val="21"/>
                <w:lang w:val="en-US" w:eastAsia="zh-CN"/>
              </w:rPr>
              <w:t xml:space="preserve">注：</w:t>
            </w:r>
            <w:r>
              <w:rPr>
                <w:rFonts w:hint="eastAsia" w:ascii="宋体" w:hAnsi="宋体" w:eastAsia="宋体" w:cs="宋体"/>
                <w:sz w:val="21"/>
                <w:szCs w:val="21"/>
                <w:lang w:val="en-US" w:eastAsia="zh-CN"/>
              </w:rPr>
              <w:t xml:space="preserve">提供</w:t>
            </w:r>
            <w:r>
              <w:rPr>
                <w:rFonts w:hint="eastAsia" w:ascii="宋体" w:hAnsi="宋体" w:eastAsia="宋体" w:cs="宋体"/>
                <w:sz w:val="21"/>
                <w:szCs w:val="21"/>
                <w:lang w:eastAsia="zh-CN"/>
              </w:rPr>
              <w:t xml:space="preserve">供应商为</w:t>
            </w:r>
            <w:r>
              <w:rPr>
                <w:rFonts w:hint="eastAsia" w:ascii="宋体" w:hAnsi="宋体" w:eastAsia="宋体" w:cs="宋体"/>
                <w:sz w:val="21"/>
                <w:szCs w:val="21"/>
                <w:lang w:val="en-US" w:eastAsia="zh-CN"/>
              </w:rPr>
              <w:t xml:space="preserve">上述人员</w:t>
            </w:r>
            <w:r>
              <w:rPr>
                <w:rFonts w:hint="eastAsia" w:ascii="宋体" w:hAnsi="宋体" w:eastAsia="宋体" w:cs="宋体"/>
                <w:sz w:val="21"/>
                <w:szCs w:val="21"/>
                <w:lang w:eastAsia="zh-CN"/>
              </w:rPr>
              <w:t xml:space="preserve">缴纳的近半年（2025年12月起至今）任意一个月的社保证明材料扫描件，加盖电子公章。）</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60" w:lineRule="auto"/>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8</w:t>
            </w:r>
            <w:r/>
          </w:p>
        </w:tc>
      </w:tr>
    </w:tbl>
    <w:p>
      <w:pPr>
        <w:ind w:firstLine="632"/>
        <w:spacing w:line="360" w:lineRule="auto"/>
        <w:widowControl/>
        <w:rPr>
          <w:rFonts w:ascii="宋体" w:hAnsi="宋体" w:eastAsia="宋体" w:cs="宋体"/>
          <w:b/>
          <w:bCs/>
          <w:color w:val="auto"/>
          <w:sz w:val="21"/>
          <w:szCs w:val="21"/>
          <w:highlight w:val="none"/>
          <w:lang w:eastAsia="zh-CN"/>
        </w:rPr>
      </w:pPr>
      <w:r>
        <w:rPr>
          <w:rFonts w:ascii="宋体" w:hAnsi="宋体" w:eastAsia="宋体" w:cs="宋体"/>
          <w:b/>
          <w:bCs/>
          <w:color w:val="auto"/>
          <w:sz w:val="21"/>
          <w:szCs w:val="21"/>
          <w:highlight w:val="none"/>
          <w:lang w:eastAsia="zh-CN"/>
        </w:rPr>
      </w:r>
      <w:r/>
    </w:p>
    <w:p>
      <w:pPr>
        <w:pStyle w:val="834"/>
        <w:ind w:firstLine="422"/>
        <w:rPr>
          <w:rFonts w:cs="宋体"/>
          <w:b/>
          <w:bCs/>
          <w:color w:val="auto"/>
          <w:sz w:val="21"/>
          <w:szCs w:val="21"/>
          <w:highlight w:val="none"/>
          <w:lang w:eastAsia="zh-CN"/>
        </w:rPr>
      </w:pPr>
      <w:r>
        <w:rPr>
          <w:rFonts w:hint="eastAsia" w:cs="宋体"/>
          <w:b/>
          <w:bCs/>
          <w:color w:val="auto"/>
          <w:sz w:val="21"/>
          <w:szCs w:val="21"/>
          <w:highlight w:val="none"/>
          <w:lang w:eastAsia="zh-CN"/>
        </w:rPr>
        <w:t xml:space="preserve">说明：</w:t>
      </w:r>
      <w:r/>
    </w:p>
    <w:p>
      <w:pPr>
        <w:pStyle w:val="834"/>
        <w:ind w:firstLine="420"/>
        <w:rPr>
          <w:rFonts w:hint="eastAsia" w:cs="宋体"/>
          <w:bCs/>
          <w:color w:val="auto"/>
          <w:sz w:val="21"/>
          <w:szCs w:val="21"/>
          <w:highlight w:val="none"/>
          <w:lang w:eastAsia="zh-CN"/>
        </w:rPr>
      </w:pPr>
      <w:r>
        <w:rPr>
          <w:rFonts w:hint="eastAsia" w:cs="宋体"/>
          <w:bCs/>
          <w:color w:val="auto"/>
          <w:sz w:val="21"/>
          <w:szCs w:val="21"/>
          <w:highlight w:val="none"/>
          <w:lang w:eastAsia="zh-CN"/>
        </w:rPr>
        <w:t xml:space="preserve">1.小微企业的价格扣除</w:t>
      </w:r>
      <w:r/>
    </w:p>
    <w:p>
      <w:pPr>
        <w:pStyle w:val="834"/>
        <w:ind w:firstLine="420"/>
        <w:rPr>
          <w:rFonts w:hint="eastAsia" w:cs="宋体"/>
          <w:bCs/>
          <w:color w:val="auto"/>
          <w:sz w:val="21"/>
          <w:szCs w:val="21"/>
          <w:highlight w:val="none"/>
          <w:lang w:eastAsia="zh-CN"/>
        </w:rPr>
      </w:pPr>
      <w:r>
        <w:rPr>
          <w:rFonts w:hint="eastAsia" w:cs="宋体"/>
          <w:bCs/>
          <w:color w:val="auto"/>
          <w:sz w:val="21"/>
          <w:szCs w:val="21"/>
          <w:highlight w:val="none"/>
          <w:lang w:eastAsia="zh-CN"/>
        </w:rPr>
        <w:t xml:space="preserve">1.1 对小微企业承接的工程给予报价5%价格扣除，用扣除后的价格参与评审。</w:t>
      </w:r>
      <w:r/>
    </w:p>
    <w:p>
      <w:pPr>
        <w:pStyle w:val="834"/>
        <w:ind w:firstLine="420"/>
        <w:rPr>
          <w:rFonts w:hint="eastAsia" w:cs="宋体"/>
          <w:bCs/>
          <w:color w:val="auto"/>
          <w:sz w:val="21"/>
          <w:szCs w:val="21"/>
          <w:highlight w:val="none"/>
          <w:lang w:eastAsia="zh-CN"/>
        </w:rPr>
      </w:pPr>
      <w:r>
        <w:rPr>
          <w:rFonts w:hint="eastAsia" w:cs="宋体"/>
          <w:bCs/>
          <w:color w:val="auto"/>
          <w:sz w:val="21"/>
          <w:szCs w:val="21"/>
          <w:highlight w:val="none"/>
          <w:lang w:eastAsia="zh-CN"/>
        </w:rPr>
        <w:t xml:space="preserve">1.2 大中型企业和其他自然人、法人或者其他组织与小型、微型企业组成联合体共同参加磋商，如果联合协议中约定，小型、微型企业的协议合同金额占到联合体协议合同总金额30%以上的，给予联合体4%的价格扣除。联合体各方均为小型、微型企业的，联合体视同为小型、微型企业享受5%价格扣除，用扣除后的价格参与评审。小企业（含小型、微型企业）应当同时符合以下条件：</w:t>
      </w:r>
      <w:r/>
    </w:p>
    <w:p>
      <w:pPr>
        <w:pStyle w:val="834"/>
        <w:ind w:firstLine="420"/>
        <w:rPr>
          <w:rFonts w:hint="eastAsia" w:cs="宋体"/>
          <w:bCs/>
          <w:color w:val="auto"/>
          <w:sz w:val="21"/>
          <w:szCs w:val="21"/>
          <w:highlight w:val="none"/>
          <w:lang w:eastAsia="zh-CN"/>
        </w:rPr>
      </w:pPr>
      <w:r>
        <w:rPr>
          <w:rFonts w:hint="eastAsia" w:cs="宋体"/>
          <w:bCs/>
          <w:color w:val="auto"/>
          <w:sz w:val="21"/>
          <w:szCs w:val="21"/>
          <w:highlight w:val="none"/>
          <w:lang w:eastAsia="zh-CN"/>
        </w:rPr>
        <w:t xml:space="preserve">1.3小企业（含小型、微型企业）应当同时符合以下条件：</w:t>
      </w:r>
      <w:r/>
    </w:p>
    <w:p>
      <w:pPr>
        <w:pStyle w:val="834"/>
        <w:ind w:firstLine="420"/>
        <w:rPr>
          <w:rFonts w:hint="eastAsia" w:cs="宋体"/>
          <w:bCs/>
          <w:color w:val="auto"/>
          <w:sz w:val="21"/>
          <w:szCs w:val="21"/>
          <w:highlight w:val="none"/>
          <w:lang w:eastAsia="zh-CN"/>
        </w:rPr>
      </w:pPr>
      <w:r>
        <w:rPr>
          <w:rFonts w:hint="eastAsia" w:cs="宋体"/>
          <w:bCs/>
          <w:color w:val="auto"/>
          <w:sz w:val="21"/>
          <w:szCs w:val="21"/>
          <w:highlight w:val="none"/>
          <w:lang w:eastAsia="zh-CN"/>
        </w:rPr>
        <w:t xml:space="preserve">（1）供应商为小企业，且符合中小企业划分标准；</w:t>
      </w:r>
      <w:r/>
    </w:p>
    <w:p>
      <w:pPr>
        <w:pStyle w:val="834"/>
        <w:ind w:firstLine="420"/>
        <w:rPr>
          <w:rFonts w:hint="eastAsia" w:cs="宋体"/>
          <w:bCs/>
          <w:color w:val="auto"/>
          <w:sz w:val="21"/>
          <w:szCs w:val="21"/>
          <w:highlight w:val="none"/>
          <w:lang w:eastAsia="zh-CN"/>
        </w:rPr>
      </w:pPr>
      <w:r>
        <w:rPr>
          <w:rFonts w:hint="eastAsia" w:cs="宋体"/>
          <w:bCs/>
          <w:color w:val="auto"/>
          <w:sz w:val="21"/>
          <w:szCs w:val="21"/>
          <w:highlight w:val="none"/>
          <w:lang w:eastAsia="zh-CN"/>
        </w:rPr>
        <w:t xml:space="preserve">（2）提供本企业制造的货物、承担的工程或者服务，或者提供其他小企业制造的货物。如果提供的货物为大中型企业注册商标的货物，视同大中型企业。</w:t>
      </w:r>
      <w:r/>
    </w:p>
    <w:p>
      <w:pPr>
        <w:pStyle w:val="834"/>
        <w:ind w:firstLine="420"/>
        <w:rPr>
          <w:rFonts w:hint="eastAsia" w:cs="宋体"/>
          <w:bCs/>
          <w:color w:val="auto"/>
          <w:sz w:val="21"/>
          <w:szCs w:val="21"/>
          <w:highlight w:val="none"/>
          <w:lang w:eastAsia="zh-CN"/>
        </w:rPr>
      </w:pPr>
      <w:r>
        <w:rPr>
          <w:rFonts w:hint="eastAsia" w:cs="宋体"/>
          <w:bCs/>
          <w:color w:val="auto"/>
          <w:sz w:val="21"/>
          <w:szCs w:val="21"/>
          <w:highlight w:val="none"/>
          <w:lang w:eastAsia="zh-CN"/>
        </w:rPr>
        <w:t xml:space="preserve">2.监狱和戒毒企业的价格扣除</w:t>
      </w:r>
      <w:r/>
    </w:p>
    <w:p>
      <w:pPr>
        <w:pStyle w:val="834"/>
        <w:ind w:firstLine="420"/>
        <w:rPr>
          <w:rFonts w:hint="eastAsia" w:cs="宋体"/>
          <w:bCs/>
          <w:color w:val="auto"/>
          <w:sz w:val="21"/>
          <w:szCs w:val="21"/>
          <w:highlight w:val="none"/>
          <w:lang w:eastAsia="zh-CN"/>
        </w:rPr>
      </w:pPr>
      <w:r>
        <w:rPr>
          <w:rFonts w:hint="eastAsia" w:cs="宋体"/>
          <w:bCs/>
          <w:color w:val="auto"/>
          <w:sz w:val="21"/>
          <w:szCs w:val="21"/>
          <w:highlight w:val="none"/>
          <w:lang w:eastAsia="zh-CN"/>
        </w:rPr>
        <w:t xml:space="preserve">2.1 本项目对监狱和戒毒企业（简称监狱企业），给予5%的价格扣除，用扣除后的价格参与评审。</w:t>
      </w:r>
      <w:r/>
    </w:p>
    <w:p>
      <w:pPr>
        <w:pStyle w:val="834"/>
        <w:ind w:firstLine="420"/>
        <w:rPr>
          <w:rFonts w:hint="eastAsia" w:cs="宋体"/>
          <w:bCs/>
          <w:color w:val="auto"/>
          <w:sz w:val="21"/>
          <w:szCs w:val="21"/>
          <w:highlight w:val="none"/>
          <w:lang w:eastAsia="zh-CN"/>
        </w:rPr>
      </w:pPr>
      <w:r>
        <w:rPr>
          <w:rFonts w:hint="eastAsia" w:cs="宋体"/>
          <w:bCs/>
          <w:color w:val="auto"/>
          <w:sz w:val="21"/>
          <w:szCs w:val="21"/>
          <w:highlight w:val="none"/>
          <w:lang w:eastAsia="zh-CN"/>
        </w:rPr>
        <w:t xml:space="preserve">2.2 监狱企业需提供由省级以上监狱管理局、戒毒管理局（含新疆生产建设兵团）出具的属于监狱企业的证明文件。</w:t>
      </w:r>
      <w:r/>
    </w:p>
    <w:p>
      <w:pPr>
        <w:pStyle w:val="834"/>
        <w:ind w:firstLine="420"/>
        <w:rPr>
          <w:rFonts w:hint="eastAsia" w:cs="宋体"/>
          <w:bCs/>
          <w:color w:val="auto"/>
          <w:sz w:val="21"/>
          <w:szCs w:val="21"/>
          <w:highlight w:val="none"/>
          <w:lang w:eastAsia="zh-CN"/>
        </w:rPr>
      </w:pPr>
      <w:r>
        <w:rPr>
          <w:rFonts w:hint="eastAsia" w:cs="宋体"/>
          <w:bCs/>
          <w:color w:val="auto"/>
          <w:sz w:val="21"/>
          <w:szCs w:val="21"/>
          <w:highlight w:val="none"/>
          <w:lang w:eastAsia="zh-CN"/>
        </w:rPr>
        <w:t xml:space="preserve">2.3 监狱企业标准请参照《关于政府采购支持监狱企业发展有关问题的通知》（财库[2014]68号）。</w:t>
      </w:r>
      <w:r/>
    </w:p>
    <w:p>
      <w:pPr>
        <w:pStyle w:val="834"/>
        <w:ind w:firstLine="420"/>
        <w:rPr>
          <w:rFonts w:hint="eastAsia" w:cs="宋体"/>
          <w:bCs/>
          <w:color w:val="auto"/>
          <w:sz w:val="21"/>
          <w:szCs w:val="21"/>
          <w:highlight w:val="none"/>
          <w:lang w:eastAsia="zh-CN"/>
        </w:rPr>
      </w:pPr>
      <w:r>
        <w:rPr>
          <w:rFonts w:hint="eastAsia" w:cs="宋体"/>
          <w:bCs/>
          <w:color w:val="auto"/>
          <w:sz w:val="21"/>
          <w:szCs w:val="21"/>
          <w:highlight w:val="none"/>
          <w:lang w:eastAsia="zh-CN"/>
        </w:rPr>
        <w:t xml:space="preserve">3.残疾人福利性单位的价格扣除</w:t>
      </w:r>
      <w:r/>
    </w:p>
    <w:p>
      <w:pPr>
        <w:pStyle w:val="834"/>
        <w:ind w:firstLine="420"/>
        <w:rPr>
          <w:rFonts w:hint="eastAsia" w:cs="宋体"/>
          <w:bCs/>
          <w:color w:val="auto"/>
          <w:sz w:val="21"/>
          <w:szCs w:val="21"/>
          <w:highlight w:val="none"/>
          <w:lang w:eastAsia="zh-CN"/>
        </w:rPr>
      </w:pPr>
      <w:r>
        <w:rPr>
          <w:rFonts w:hint="eastAsia" w:cs="宋体"/>
          <w:bCs/>
          <w:color w:val="auto"/>
          <w:sz w:val="21"/>
          <w:szCs w:val="21"/>
          <w:highlight w:val="none"/>
          <w:lang w:eastAsia="zh-CN"/>
        </w:rPr>
        <w:t xml:space="preserve">3.1 本项目对残疾人福利性单位，给予5%的价格扣除，用扣除后的价格参与评审。</w:t>
      </w:r>
      <w:r/>
    </w:p>
    <w:p>
      <w:pPr>
        <w:pStyle w:val="834"/>
        <w:ind w:firstLine="420"/>
        <w:rPr>
          <w:rFonts w:hint="eastAsia" w:cs="宋体"/>
          <w:bCs/>
          <w:color w:val="auto"/>
          <w:sz w:val="21"/>
          <w:szCs w:val="21"/>
          <w:highlight w:val="none"/>
          <w:lang w:eastAsia="zh-CN"/>
        </w:rPr>
      </w:pPr>
      <w:r>
        <w:rPr>
          <w:rFonts w:hint="eastAsia" w:cs="宋体"/>
          <w:bCs/>
          <w:color w:val="auto"/>
          <w:sz w:val="21"/>
          <w:szCs w:val="21"/>
          <w:highlight w:val="none"/>
          <w:lang w:eastAsia="zh-CN"/>
        </w:rPr>
        <w:t xml:space="preserve">3.2 残疾人福利单位需按照采购文件的要求提供《残疾人福利性单位声明函》。</w:t>
      </w:r>
      <w:r/>
    </w:p>
    <w:p>
      <w:pPr>
        <w:pStyle w:val="834"/>
        <w:ind w:firstLine="420"/>
        <w:rPr>
          <w:rFonts w:hint="eastAsia" w:cs="宋体"/>
          <w:bCs/>
          <w:color w:val="auto"/>
          <w:sz w:val="21"/>
          <w:szCs w:val="21"/>
          <w:highlight w:val="none"/>
          <w:lang w:eastAsia="zh-CN"/>
        </w:rPr>
      </w:pPr>
      <w:r>
        <w:rPr>
          <w:rFonts w:hint="eastAsia" w:cs="宋体"/>
          <w:bCs/>
          <w:color w:val="auto"/>
          <w:sz w:val="21"/>
          <w:szCs w:val="21"/>
          <w:highlight w:val="none"/>
          <w:lang w:eastAsia="zh-CN"/>
        </w:rPr>
        <w:t xml:space="preserve">3.3 残疾人福利单位标准请参照《关于促进残疾人就业政府采购政策的通知》（财库〔2017〕141号）。</w:t>
      </w:r>
      <w:r/>
    </w:p>
    <w:p>
      <w:pPr>
        <w:pStyle w:val="834"/>
        <w:ind w:firstLine="420"/>
        <w:rPr>
          <w:rFonts w:hint="eastAsia" w:cs="宋体"/>
          <w:bCs/>
          <w:color w:val="auto"/>
          <w:sz w:val="21"/>
          <w:szCs w:val="21"/>
          <w:highlight w:val="none"/>
          <w:lang w:eastAsia="zh-CN"/>
        </w:rPr>
      </w:pPr>
      <w:r>
        <w:rPr>
          <w:rFonts w:hint="eastAsia" w:cs="宋体"/>
          <w:bCs/>
          <w:color w:val="auto"/>
          <w:sz w:val="21"/>
          <w:szCs w:val="21"/>
          <w:highlight w:val="none"/>
          <w:lang w:eastAsia="zh-CN"/>
        </w:rPr>
        <w:t xml:space="preserve">4.监狱企业、残疾人福利单位属于小型、微型企业的，不重复享受政策。</w:t>
      </w:r>
      <w:r/>
    </w:p>
    <w:p>
      <w:pPr>
        <w:pStyle w:val="834"/>
        <w:ind w:firstLine="420"/>
        <w:rPr>
          <w:rFonts w:hint="eastAsia" w:cs="宋体"/>
          <w:bCs/>
          <w:color w:val="auto"/>
          <w:sz w:val="21"/>
          <w:szCs w:val="21"/>
          <w:highlight w:val="none"/>
          <w:lang w:eastAsia="zh-CN"/>
        </w:rPr>
      </w:pPr>
      <w:r>
        <w:rPr>
          <w:rFonts w:hint="eastAsia" w:cs="宋体"/>
          <w:bCs/>
          <w:color w:val="auto"/>
          <w:sz w:val="21"/>
          <w:szCs w:val="21"/>
          <w:highlight w:val="none"/>
          <w:lang w:eastAsia="zh-CN"/>
        </w:rPr>
        <w:t xml:space="preserve">5.评审小组不保证有效报价最低的供应商成交。</w:t>
      </w:r>
      <w:r/>
    </w:p>
    <w:p>
      <w:pPr>
        <w:pStyle w:val="834"/>
        <w:ind w:firstLine="420"/>
        <w:rPr>
          <w:rFonts w:hint="eastAsia" w:cs="宋体"/>
          <w:bCs/>
          <w:color w:val="auto"/>
          <w:sz w:val="21"/>
          <w:szCs w:val="21"/>
          <w:highlight w:val="none"/>
          <w:lang w:eastAsia="zh-CN"/>
        </w:rPr>
      </w:pPr>
      <w:r>
        <w:rPr>
          <w:rFonts w:hint="eastAsia" w:cs="宋体"/>
          <w:bCs/>
          <w:color w:val="auto"/>
          <w:sz w:val="21"/>
          <w:szCs w:val="21"/>
          <w:highlight w:val="none"/>
          <w:lang w:eastAsia="zh-CN"/>
        </w:rPr>
        <w:t xml:space="preserve">6.采购标的对应的中小企业划分标准所属行业：</w:t>
      </w:r>
      <w:r>
        <w:rPr>
          <w:rFonts w:hint="eastAsia" w:cs="宋体"/>
          <w:bCs/>
          <w:color w:val="auto"/>
          <w:sz w:val="21"/>
          <w:szCs w:val="21"/>
          <w:highlight w:val="none"/>
          <w:u w:val="single"/>
          <w:lang w:eastAsia="zh-CN"/>
        </w:rPr>
        <w:t xml:space="preserve">建筑业。</w:t>
      </w:r>
      <w:bookmarkStart w:id="49" w:name="第四章  采购项目需求"/>
      <w:r/>
      <w:bookmarkEnd w:id="49"/>
      <w:r/>
      <w:r/>
    </w:p>
    <w:p>
      <w:pPr>
        <w:pStyle w:val="834"/>
        <w:ind w:firstLine="420"/>
        <w:rPr>
          <w:rFonts w:hint="eastAsia" w:cs="宋体"/>
          <w:bCs/>
          <w:color w:val="auto"/>
          <w:sz w:val="21"/>
          <w:szCs w:val="21"/>
          <w:highlight w:val="none"/>
          <w:lang w:eastAsia="zh-CN"/>
        </w:rPr>
      </w:pPr>
      <w:r>
        <w:rPr>
          <w:rFonts w:hint="eastAsia" w:cs="宋体"/>
          <w:bCs/>
          <w:color w:val="auto"/>
          <w:sz w:val="21"/>
          <w:szCs w:val="21"/>
          <w:highlight w:val="none"/>
          <w:lang w:eastAsia="zh-CN"/>
        </w:rPr>
        <w:t xml:space="preserve">7.所有认证、证明和业绩除上表要求外均需提供有效的证明材料复印件加盖电子公章，原件备查。</w:t>
      </w:r>
      <w:r/>
    </w:p>
    <w:p>
      <w:pPr>
        <w:pStyle w:val="834"/>
        <w:ind w:firstLine="420"/>
        <w:rPr>
          <w:rFonts w:hint="eastAsia" w:cs="宋体"/>
          <w:bCs/>
          <w:color w:val="auto"/>
          <w:sz w:val="21"/>
          <w:szCs w:val="21"/>
          <w:highlight w:val="none"/>
          <w:lang w:eastAsia="zh-CN"/>
        </w:rPr>
      </w:pPr>
      <w:r>
        <w:rPr>
          <w:rFonts w:hint="eastAsia" w:cs="宋体"/>
          <w:color w:val="auto"/>
          <w:sz w:val="21"/>
          <w:szCs w:val="21"/>
          <w:highlight w:val="none"/>
          <w:lang w:eastAsia="zh-CN"/>
        </w:rPr>
        <w:t xml:space="preserve">8.</w:t>
      </w:r>
      <w:r>
        <w:rPr>
          <w:rFonts w:hint="eastAsia" w:cs="宋体"/>
          <w:bCs/>
          <w:color w:val="auto"/>
          <w:sz w:val="21"/>
          <w:szCs w:val="21"/>
          <w:highlight w:val="none"/>
          <w:lang w:eastAsia="zh-CN"/>
        </w:rPr>
        <w:t xml:space="preserve">根据住房和城乡建设部办公厅关于全面实行一级建造师电子注册证</w:t>
      </w:r>
      <w:r>
        <w:rPr>
          <w:rFonts w:hint="eastAsia" w:cs="宋体"/>
          <w:bCs/>
          <w:color w:val="auto"/>
          <w:sz w:val="21"/>
          <w:szCs w:val="21"/>
          <w:highlight w:val="none"/>
          <w:lang w:eastAsia="zh-CN"/>
        </w:rPr>
        <w:t xml:space="preserve">书的通知(建办市〔2021〕40号)要求，自2021年10月15日起，在全国范围内实行一级建造师电子证书，电子证书式样按照《全国一体化在线政务服务平台电子证照一级建造师注册证书》标准执行。自2022年1月1日起，一级建造师统一使用电子证书，纸质注册证书作废。各投标人若使用一级建造师证书电子注册证书编入响应文件的，电子注册证书应当符合相关文件规定，签名图像应当与持证人个人手写签名笔迹一致，证书应当在使用有效期限内。若提供的电子件无法识别有效信息的，视为无效。投标人将自行承担资格审查不通过或不予计分等相应后果。</w:t>
      </w:r>
      <w:r/>
    </w:p>
    <w:p>
      <w:pPr>
        <w:pStyle w:val="834"/>
        <w:ind w:firstLine="420"/>
        <w:rPr>
          <w:rFonts w:hint="eastAsia" w:cs="宋体"/>
          <w:bCs/>
          <w:color w:val="auto"/>
          <w:sz w:val="21"/>
          <w:szCs w:val="21"/>
          <w:highlight w:val="none"/>
          <w:lang w:eastAsia="zh-CN"/>
        </w:rPr>
      </w:pPr>
      <w:r>
        <w:rPr>
          <w:rFonts w:hint="eastAsia" w:cs="宋体"/>
          <w:bCs/>
          <w:color w:val="auto"/>
          <w:sz w:val="21"/>
          <w:szCs w:val="21"/>
          <w:highlight w:val="none"/>
          <w:lang w:eastAsia="zh-CN"/>
        </w:rPr>
        <w:t xml:space="preserve">9.根据江苏省住房和城乡建设厅颁发的“省住房和城乡建设厅关于我省二级建造师、二级造价工程师、二级注册建筑师、二级注册结构工程师注册证书电子证照换发的公告”请各投标人自行提供有效且满足招标文件要求的证书，若未提供有效的电子证书，视为无效。投标人将自行承担资格审查不通过或不予计分等相应后果。</w:t>
      </w:r>
      <w:r/>
    </w:p>
    <w:p>
      <w:pPr>
        <w:pStyle w:val="834"/>
        <w:ind w:firstLine="420"/>
        <w:rPr>
          <w:rFonts w:hint="eastAsia" w:eastAsia="宋体" w:cs="宋体"/>
          <w:bCs/>
          <w:color w:val="auto"/>
          <w:sz w:val="21"/>
          <w:szCs w:val="21"/>
          <w:highlight w:val="none"/>
          <w:lang w:eastAsia="zh-CN"/>
        </w:rPr>
      </w:pPr>
      <w:r>
        <w:rPr>
          <w:rFonts w:hint="eastAsia" w:eastAsia="宋体" w:cs="宋体"/>
          <w:bCs/>
          <w:color w:val="auto"/>
          <w:sz w:val="21"/>
          <w:szCs w:val="21"/>
          <w:highlight w:val="none"/>
          <w:lang w:eastAsia="zh-CN"/>
        </w:rPr>
      </w:r>
      <w:r/>
    </w:p>
    <w:p>
      <w:pPr>
        <w:pStyle w:val="766"/>
        <w:jc w:val="center"/>
        <w:spacing w:line="360" w:lineRule="auto"/>
        <w:tabs>
          <w:tab w:val="left" w:pos="4171" w:leader="none"/>
        </w:tabs>
        <w:rPr>
          <w:color w:val="auto"/>
          <w:sz w:val="32"/>
          <w:szCs w:val="32"/>
          <w:highlight w:val="none"/>
          <w:lang w:eastAsia="zh-CN"/>
        </w:rPr>
      </w:pPr>
      <w:r/>
      <w:bookmarkStart w:id="50" w:name="_bookmark8"/>
      <w:r/>
      <w:bookmarkEnd w:id="50"/>
      <w:r/>
      <w:bookmarkStart w:id="51" w:name="_Toc30487"/>
      <w:r>
        <w:rPr>
          <w:rFonts w:hint="eastAsia"/>
          <w:color w:val="auto"/>
          <w:sz w:val="36"/>
          <w:szCs w:val="36"/>
          <w:highlight w:val="none"/>
          <w:lang w:eastAsia="zh-CN"/>
        </w:rPr>
        <w:t xml:space="preserve">第四章  采购项目需求</w:t>
      </w:r>
      <w:bookmarkEnd w:id="51"/>
      <w:r/>
      <w:r/>
    </w:p>
    <w:p>
      <w:pPr>
        <w:spacing w:line="360" w:lineRule="auto"/>
        <w:widowControl/>
        <w:rPr>
          <w:rFonts w:hint="eastAsia" w:ascii="宋体" w:hAnsi="宋体" w:eastAsia="宋体"/>
          <w:color w:val="auto"/>
          <w:sz w:val="24"/>
          <w:szCs w:val="24"/>
          <w:highlight w:val="none"/>
          <w:lang w:eastAsia="zh-CN"/>
        </w:rPr>
      </w:pPr>
      <w:r>
        <w:rPr>
          <w:rFonts w:hint="eastAsia" w:ascii="宋体" w:hAnsi="宋体" w:eastAsia="宋体"/>
          <w:b/>
          <w:color w:val="auto"/>
          <w:sz w:val="21"/>
          <w:szCs w:val="21"/>
          <w:highlight w:val="none"/>
          <w:lang w:eastAsia="zh-CN"/>
        </w:rPr>
        <w:t xml:space="preserve"> </w:t>
      </w:r>
      <w:r>
        <w:rPr>
          <w:rFonts w:hint="eastAsia" w:ascii="宋体" w:hAnsi="宋体" w:eastAsia="宋体"/>
          <w:b/>
          <w:bCs/>
          <w:color w:val="auto"/>
          <w:sz w:val="24"/>
          <w:szCs w:val="24"/>
          <w:highlight w:val="none"/>
          <w:lang w:eastAsia="zh-CN"/>
        </w:rPr>
        <w:t xml:space="preserve">一、项目名称:</w:t>
      </w:r>
      <w:r>
        <w:rPr>
          <w:rFonts w:hint="eastAsia" w:ascii="宋体" w:hAnsi="宋体" w:eastAsia="宋体"/>
          <w:color w:val="auto"/>
          <w:sz w:val="24"/>
          <w:szCs w:val="24"/>
          <w:highlight w:val="none"/>
          <w:lang w:eastAsia="zh-CN"/>
        </w:rPr>
        <w:t xml:space="preserve">科普教育中心提升项目</w:t>
      </w:r>
      <w:r/>
    </w:p>
    <w:p>
      <w:pPr>
        <w:spacing w:line="360" w:lineRule="auto"/>
        <w:rPr>
          <w:rFonts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 二、项目概况</w:t>
      </w:r>
      <w:r/>
    </w:p>
    <w:p>
      <w:pPr>
        <w:ind w:firstLine="241"/>
        <w:spacing w:line="360" w:lineRule="auto"/>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（一）项目概况：</w:t>
      </w:r>
      <w:r>
        <w:rPr>
          <w:rFonts w:hint="eastAsia" w:eastAsia="宋体" w:cs="宋体"/>
          <w:bCs/>
          <w:color w:val="auto"/>
          <w:sz w:val="24"/>
          <w:szCs w:val="24"/>
          <w:highlight w:val="none"/>
          <w:lang w:eastAsia="zh-CN"/>
        </w:rPr>
        <w:t xml:space="preserve">本次采购为江苏省中国科学院植物研究所科普教育中心提升项目，包含包括但不限于结构加固、屋面防水层、外观翻新等，具体详见图纸及工程量清单</w:t>
      </w:r>
      <w:r>
        <w:rPr>
          <w:rFonts w:hint="eastAsia" w:ascii="宋体" w:hAnsi="宋体" w:eastAsia="宋体"/>
          <w:color w:val="auto"/>
          <w:sz w:val="24"/>
          <w:szCs w:val="24"/>
          <w:highlight w:val="none"/>
          <w:lang w:eastAsia="zh-CN"/>
        </w:rPr>
        <w:t xml:space="preserve">。</w:t>
      </w:r>
      <w:r/>
    </w:p>
    <w:p>
      <w:pPr>
        <w:ind w:firstLine="241"/>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（二）施工地点：</w:t>
      </w:r>
      <w:r>
        <w:rPr>
          <w:rFonts w:hint="eastAsia" w:ascii="宋体" w:hAnsi="宋体" w:eastAsia="宋体" w:cs="宋体"/>
          <w:color w:val="auto"/>
          <w:sz w:val="24"/>
          <w:szCs w:val="24"/>
          <w:highlight w:val="none"/>
          <w:lang w:eastAsia="zh-CN"/>
        </w:rPr>
        <w:t xml:space="preserve">南京市</w:t>
      </w:r>
      <w:r/>
    </w:p>
    <w:p>
      <w:pPr>
        <w:ind w:firstLine="241"/>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三、总体要求</w:t>
      </w:r>
      <w:r/>
    </w:p>
    <w:p>
      <w:pPr>
        <w:ind w:firstLine="241"/>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★（一）工程质量要求：</w:t>
      </w:r>
      <w:r>
        <w:rPr>
          <w:rFonts w:hint="eastAsia" w:ascii="宋体" w:hAnsi="宋体" w:eastAsia="宋体" w:cs="宋体"/>
          <w:bCs/>
          <w:color w:val="auto"/>
          <w:sz w:val="24"/>
          <w:szCs w:val="24"/>
          <w:highlight w:val="none"/>
          <w:lang w:eastAsia="zh-CN"/>
        </w:rPr>
        <w:t xml:space="preserve">按照国家颁发的现行相关专业质量验收规范验收，要求达到合格标准。</w:t>
      </w:r>
      <w:r/>
    </w:p>
    <w:p>
      <w:pPr>
        <w:ind w:firstLine="241"/>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★（二）工期要求：</w:t>
      </w:r>
      <w:r>
        <w:rPr>
          <w:rFonts w:hint="eastAsia" w:ascii="宋体" w:hAnsi="宋体" w:eastAsia="宋体" w:cs="宋体"/>
          <w:bCs/>
          <w:color w:val="auto"/>
          <w:sz w:val="24"/>
          <w:szCs w:val="24"/>
          <w:highlight w:val="none"/>
          <w:lang w:val="en-US" w:eastAsia="zh-CN"/>
        </w:rPr>
        <w:t xml:space="preserve">180</w:t>
      </w:r>
      <w:r>
        <w:rPr>
          <w:rFonts w:hint="eastAsia" w:ascii="宋体" w:hAnsi="宋体" w:eastAsia="宋体" w:cs="宋体"/>
          <w:bCs/>
          <w:color w:val="auto"/>
          <w:sz w:val="24"/>
          <w:szCs w:val="24"/>
          <w:highlight w:val="none"/>
          <w:lang w:eastAsia="zh-CN"/>
        </w:rPr>
        <w:t xml:space="preserve">日历日（具体开工时间以甲方通知为准）</w:t>
      </w:r>
      <w:r>
        <w:rPr>
          <w:rFonts w:hint="eastAsia" w:ascii="宋体" w:hAnsi="宋体" w:eastAsia="宋体" w:cs="宋体"/>
          <w:color w:val="auto"/>
          <w:sz w:val="24"/>
          <w:szCs w:val="24"/>
          <w:highlight w:val="none"/>
          <w:lang w:eastAsia="zh-CN"/>
        </w:rPr>
        <w:t xml:space="preserve">。</w:t>
      </w:r>
      <w:r/>
    </w:p>
    <w:p>
      <w:pPr>
        <w:ind w:firstLine="241"/>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四、项目实施要求</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一）成交供应商应严格执行相关施工规范、安全操作规范、安全防火规定、环境保护规定，施工中所发生的一切安全责任事故均由供应商承担，采购人概不承担任何责任。成交供应商保证在施工过程中不侵犯任何第三方的合法权益并确保采购人免于遭受因此产生的诉讼或追索。因成交供应商原因，造成的安全事故或造成任何第三方人身伤害或财产损失的，由成交供应商承担全部责任，如给采购人造成损失（包括但不限于财产损失）的，采购人有权要求成交供应商承担相应赔偿责任。</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（二）成交供应商应做到文明施工，不得扰民，做好施工现场及场地整洁，做好已有设施的保护措施，如有损坏采购人有权要求赔偿，施工垃圾及时清运，清运手续、费用由成交供应商自行解决。</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（三）成交供应商在施工过程中需对项目施工地点中的原有设施设备进行保护措施，若因成交供应商原因导致原有设施设备破坏的，成交供应商应进行维修将现场恢复原样并自行承担因此发生的费用。</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四）建筑材料绿色环保：提倡环保低碳，提供的建筑材料要符合现行环保、节能标准，严格执行国家强制性标准。成交供应商提供的材料需满足国家及行业环保和质量标准。应按照设计和有关标准及采购文件要求采购，并向采购人提供质量保证书、出厂合格证及现场抽样检测报告等证明材料，对材料质量负责。如不符合质量及相关规定要求或规格有差异的，应禁止使用。若已使用,供应商必须拆除、更换，并对工程造成的损失负责。供应商采购的材料设备在使用前，供应商应按采购人的要求进行检验或试验，不合格的不得使用。 </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（五）本工程所有使用的材料须经甲方认可，采购人有权对认为需要的材料进行认证或价格签证，直至由采购人指定或提供，否则，结算时采购人有权单方定价。</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（六）供应商需保证所有设备、材料及配件是合格品，且完全与响应文件所述的产地、品牌、质量、性能等相符，相关施工工艺需满足国家及行业的相关质量标准。</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七）施工用水、电由乙方自行解决或与供电、供水部门联系解决。本工程甲方不提供电源、水源，甲方要求供应商在响应时须将为完成本项目所必须的施工用水、电线路架设，施工接电、接水所需费用计入投标（响应）报价，竣工结算时不因此另列项目计算任何费用（工程施工用水其水质须满足相关规范要求）。</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（八）施工期间要保持施工区域内环境整洁，施工产生的垃圾要求随产随清，装袋至采购人指定地点临时堆放，并自行负责搬运至城管部门指定的垃圾堆场。</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（九）施工期间严格执行相关安全施工规范。</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auto"/>
          <w:sz w:val="24"/>
          <w:szCs w:val="24"/>
          <w:highlight w:val="none"/>
          <w:lang w:eastAsia="zh-CN"/>
        </w:rPr>
        <w:t xml:space="preserve">（十）</w:t>
      </w:r>
      <w:r>
        <w:rPr>
          <w:rFonts w:hint="eastAsia" w:ascii="宋体" w:hAnsi="宋体" w:eastAsia="宋体" w:cs="宋体"/>
          <w:bCs/>
          <w:color w:val="auto"/>
          <w:sz w:val="24"/>
          <w:szCs w:val="24"/>
          <w:highlight w:val="none"/>
          <w:lang w:val="en-US" w:eastAsia="zh-CN"/>
        </w:rPr>
        <w:t xml:space="preserve">本项</w:t>
      </w:r>
      <w:r>
        <w:rPr>
          <w:rFonts w:hint="eastAsia" w:ascii="宋体" w:hAnsi="宋体" w:eastAsia="宋体" w:cs="宋体"/>
          <w:bCs/>
          <w:color w:val="000000" w:themeColor="text1"/>
          <w:sz w:val="24"/>
          <w:szCs w:val="24"/>
          <w:highlight w:val="none"/>
          <w:lang w:val="en-US" w:eastAsia="zh-CN"/>
        </w:rPr>
        <w:t xml:space="preserve">目</w:t>
      </w:r>
      <w:r>
        <w:rPr>
          <w:rFonts w:hint="eastAsia" w:ascii="宋体" w:hAnsi="宋体" w:eastAsia="宋体" w:cs="宋体"/>
          <w:bCs/>
          <w:color w:val="000000" w:themeColor="text1"/>
          <w:sz w:val="24"/>
          <w:szCs w:val="24"/>
          <w:highlight w:val="none"/>
          <w:lang w:eastAsia="zh-CN"/>
        </w:rPr>
        <w:t xml:space="preserve">工程主体结构和关键性工作不允许分包，工程非主体结构、非关键性工作分包须经发包人同意</w:t>
      </w:r>
      <w:r>
        <w:rPr>
          <w:rFonts w:hint="eastAsia" w:ascii="宋体" w:hAnsi="宋体" w:eastAsia="宋体" w:cs="宋体"/>
          <w:bCs/>
          <w:color w:val="000000" w:themeColor="text1"/>
          <w:sz w:val="24"/>
          <w:szCs w:val="24"/>
          <w:highlight w:val="none"/>
          <w:lang w:eastAsia="zh-CN"/>
        </w:rPr>
        <w:t xml:space="preserve">。</w:t>
      </w:r>
      <w:r>
        <w:rPr>
          <w:color w:val="000000" w:themeColor="text1"/>
        </w:rP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（十一）供应商应无条件地接受采购人对工程质量的监督和管理。</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十二）采购人有权要求供应商撤换工作不负责任、管理不力、贻误工期和造成严重安全事故和质量事故、违法乱纪的专业技术、管理人员、项目经理，直至采购人满意为止。如项目经理及相应资质的专业技术人员未按要求到位，视作违约，采购人有权单方面终止合同。</w:t>
      </w:r>
      <w:r/>
    </w:p>
    <w:p>
      <w:pPr>
        <w:ind w:firstLine="241"/>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五、其他要求</w:t>
      </w:r>
      <w:r/>
    </w:p>
    <w:p>
      <w:pPr>
        <w:ind w:firstLine="24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（一）供应商须无条件接受质量监督管理部门和监理单位的质量检查和管理，共同把好质量关。</w:t>
      </w:r>
      <w:r/>
    </w:p>
    <w:p>
      <w:pPr>
        <w:ind w:firstLine="24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（二）隐蔽工程经采购人验收合格后方可进入下道工序施工。程序不符合要求的，视为不合格，由此所产生的返工费用由供应商承担。</w:t>
      </w:r>
      <w:r/>
    </w:p>
    <w:p>
      <w:pPr>
        <w:ind w:firstLine="241"/>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六、付款方式</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1、合同生效后7个工作日内付至签约合同价（扣除暂列金）的30%作为预付款；</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2、工程进度完成50%后，逐月支付进度款，经审计、监理、发包人审核后，每月支付至已完工程量的80%（预付款转为工程进度款，扣除暂列金）</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3、工程完工，经审计、监理、发包人审核后支付至</w:t>
      </w:r>
      <w:r>
        <w:rPr>
          <w:rFonts w:hint="eastAsia" w:ascii="宋体" w:hAnsi="宋体" w:eastAsia="宋体" w:cs="宋体"/>
          <w:bCs/>
          <w:color w:val="auto"/>
          <w:sz w:val="24"/>
          <w:szCs w:val="24"/>
          <w:highlight w:val="none"/>
          <w:lang w:val="en-US" w:eastAsia="zh-CN"/>
        </w:rPr>
        <w:t xml:space="preserve">已完成产值</w:t>
      </w:r>
      <w:r>
        <w:rPr>
          <w:rFonts w:hint="eastAsia" w:ascii="宋体" w:hAnsi="宋体" w:eastAsia="宋体" w:cs="宋体"/>
          <w:bCs/>
          <w:color w:val="auto"/>
          <w:sz w:val="24"/>
          <w:szCs w:val="24"/>
          <w:highlight w:val="none"/>
          <w:lang w:eastAsia="zh-CN"/>
        </w:rPr>
        <w:t xml:space="preserve">的80%；</w:t>
      </w:r>
      <w:r/>
    </w:p>
    <w:p>
      <w:pPr>
        <w:ind w:firstLine="480"/>
        <w:spacing w:line="360" w:lineRule="auto"/>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4、承包人按照要求提交全部竣工验收资料和竣工结算资料，由发包人组织竣工验收和组织审计部门进行竣工结算审计。工程竣工验收合格并经结算审计后，支付至审定结算价的 100%（同时扣除全部甲供材料款和应扣的水电费等相关费用以及违约金、赔偿金）。尾款结算前承包人须向</w:t>
      </w:r>
      <w:r>
        <w:rPr>
          <w:rFonts w:hint="eastAsia" w:ascii="宋体" w:hAnsi="宋体" w:eastAsia="宋体" w:cs="宋体"/>
          <w:bCs/>
          <w:color w:val="auto"/>
          <w:sz w:val="24"/>
          <w:szCs w:val="24"/>
          <w:highlight w:val="none"/>
          <w:lang w:val="en-US" w:eastAsia="zh-CN"/>
        </w:rPr>
        <w:t xml:space="preserve">发</w:t>
      </w:r>
      <w:r>
        <w:rPr>
          <w:rFonts w:hint="eastAsia" w:ascii="宋体" w:hAnsi="宋体" w:eastAsia="宋体" w:cs="宋体"/>
          <w:bCs/>
          <w:color w:val="auto"/>
          <w:sz w:val="24"/>
          <w:szCs w:val="24"/>
          <w:highlight w:val="none"/>
          <w:lang w:eastAsia="zh-CN"/>
        </w:rPr>
        <w:t xml:space="preserve">包人缴纳审定结算价的3%作为质保金。</w:t>
      </w:r>
      <w:r/>
    </w:p>
    <w:p>
      <w:pPr>
        <w:ind w:firstLine="241"/>
        <w:spacing w:line="360" w:lineRule="auto"/>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eastAsia="zh-CN"/>
        </w:rPr>
        <w:t xml:space="preserve">七、图纸、工程量清单：</w:t>
      </w:r>
      <w:r>
        <w:rPr>
          <w:rFonts w:hint="eastAsia" w:ascii="宋体" w:hAnsi="宋体" w:eastAsia="宋体" w:cs="宋体"/>
          <w:b/>
          <w:color w:val="auto"/>
          <w:sz w:val="24"/>
          <w:szCs w:val="24"/>
          <w:highlight w:val="none"/>
          <w:lang w:val="en-US" w:eastAsia="zh-CN"/>
        </w:rPr>
        <w:t xml:space="preserve">详见附件</w:t>
      </w:r>
      <w:r/>
    </w:p>
    <w:p>
      <w:pPr>
        <w:ind w:firstLine="241"/>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八、备注：本章加“★”项要求均为实质性要求，不可负偏离，否则作为无效响应文件。</w:t>
      </w:r>
      <w:r/>
    </w:p>
    <w:p>
      <w:pPr>
        <w:ind w:firstLine="220"/>
        <w:jc w:val="center"/>
        <w:spacing w:line="360" w:lineRule="auto"/>
        <w:rPr>
          <w:color w:val="auto"/>
          <w:highlight w:val="none"/>
          <w:lang w:eastAsia="zh-CN"/>
        </w:rPr>
      </w:pPr>
      <w:r>
        <w:rPr>
          <w:color w:val="auto"/>
          <w:highlight w:val="none"/>
          <w:lang w:eastAsia="zh-CN"/>
        </w:rPr>
        <w:br w:type="page" w:clear="all"/>
      </w:r>
      <w:bookmarkStart w:id="52" w:name="_Toc26053"/>
      <w:r>
        <w:rPr>
          <w:rFonts w:hint="eastAsia"/>
          <w:color w:val="auto"/>
          <w:sz w:val="36"/>
          <w:szCs w:val="36"/>
          <w:highlight w:val="none"/>
          <w:lang w:eastAsia="zh-CN"/>
        </w:rPr>
        <w:t xml:space="preserve">第五章 合同主要条款</w:t>
      </w:r>
      <w:bookmarkEnd w:id="52"/>
      <w:r/>
      <w:r/>
    </w:p>
    <w:p>
      <w:pPr>
        <w:ind w:firstLine="420"/>
        <w:rPr>
          <w:rFonts w:ascii="宋体" w:hAnsi="宋体" w:eastAsia="宋体" w:cs="宋体"/>
          <w:bCs/>
          <w:color w:val="auto"/>
          <w:sz w:val="21"/>
          <w:szCs w:val="21"/>
          <w:highlight w:val="none"/>
          <w:lang w:eastAsia="zh-CN"/>
        </w:rPr>
      </w:pPr>
      <w:r>
        <w:rPr>
          <w:rFonts w:ascii="宋体" w:hAnsi="宋体" w:eastAsia="宋体" w:cs="宋体"/>
          <w:bCs/>
          <w:color w:val="auto"/>
          <w:sz w:val="21"/>
          <w:szCs w:val="21"/>
          <w:highlight w:val="none"/>
          <w:lang w:eastAsia="zh-CN"/>
        </w:rPr>
      </w:r>
      <w:r/>
    </w:p>
    <w:p>
      <w:pPr>
        <w:jc w:val="center"/>
        <w:rPr>
          <w:rFonts w:hint="eastAsia" w:ascii="宋体" w:hAnsi="宋体"/>
          <w:b/>
          <w:color w:val="auto"/>
          <w:sz w:val="52"/>
          <w:szCs w:val="24"/>
          <w:highlight w:val="none"/>
          <w:lang w:eastAsia="zh-CN"/>
        </w:rPr>
      </w:pPr>
      <w:r>
        <w:rPr>
          <w:rFonts w:hint="eastAsia" w:ascii="宋体" w:hAnsi="宋体" w:eastAsia="宋体" w:cs="宋体"/>
          <w:bCs/>
          <w:color w:val="auto"/>
          <w:sz w:val="21"/>
          <w:szCs w:val="21"/>
          <w:highlight w:val="none"/>
          <w:lang w:eastAsia="zh-CN"/>
        </w:rPr>
        <w:t xml:space="preserve"> </w:t>
      </w:r>
      <w:r/>
    </w:p>
    <w:p>
      <w:pPr>
        <w:ind w:right="-396"/>
        <w:jc w:val="both"/>
        <w:spacing w:line="360" w:lineRule="auto"/>
        <w:rPr>
          <w:rFonts w:hint="eastAsia" w:ascii="宋体" w:hAnsi="宋体" w:eastAsia="宋体" w:cs="宋体"/>
          <w:color w:val="auto"/>
          <w:highlight w:val="none"/>
          <w:lang w:eastAsia="zh-CN"/>
        </w:rPr>
      </w:pPr>
      <w:r>
        <w:rPr>
          <w:rFonts w:hint="eastAsia" w:ascii="宋体" w:hAnsi="宋体" w:eastAsia="宋体" w:cs="宋体"/>
          <w:bCs/>
          <w:color w:val="auto"/>
          <w:sz w:val="32"/>
          <w:szCs w:val="32"/>
          <w:highlight w:val="none"/>
          <w:lang w:eastAsia="zh-CN"/>
        </w:rPr>
        <w:t xml:space="preserve">（GF—2017—0201）</w:t>
      </w:r>
      <w:r/>
    </w:p>
    <w:p>
      <w:pPr>
        <w:ind w:right="-13"/>
        <w:jc w:val="both"/>
        <w:spacing w:line="731" w:lineRule="exact"/>
        <w:rPr>
          <w:rFonts w:hint="eastAsia" w:ascii="宋体" w:hAnsi="宋体" w:eastAsia="宋体" w:cs="宋体"/>
          <w:color w:val="auto"/>
          <w:sz w:val="64"/>
          <w:highlight w:val="none"/>
          <w:lang w:eastAsia="zh-CN"/>
        </w:rPr>
      </w:pPr>
      <w:r>
        <w:rPr>
          <w:rFonts w:hint="eastAsia" w:ascii="宋体" w:hAnsi="宋体" w:eastAsia="宋体" w:cs="宋体"/>
          <w:color w:val="auto"/>
          <w:sz w:val="64"/>
          <w:highlight w:val="none"/>
          <w:lang w:eastAsia="zh-CN"/>
        </w:rPr>
      </w:r>
      <w:r/>
    </w:p>
    <w:p>
      <w:pPr>
        <w:ind w:right="-396"/>
        <w:jc w:val="both"/>
        <w:spacing w:line="360" w:lineRule="auto"/>
        <w:rPr>
          <w:rFonts w:hint="eastAsia" w:ascii="宋体" w:hAnsi="宋体" w:eastAsia="宋体" w:cs="宋体"/>
          <w:b/>
          <w:color w:val="auto"/>
          <w:sz w:val="72"/>
          <w:szCs w:val="52"/>
          <w:highlight w:val="none"/>
          <w:lang w:eastAsia="zh-CN"/>
        </w:rPr>
      </w:pPr>
      <w:r>
        <w:rPr>
          <w:rFonts w:hint="eastAsia" w:ascii="宋体" w:hAnsi="宋体" w:eastAsia="宋体" w:cs="宋体"/>
          <w:b/>
          <w:color w:val="auto"/>
          <w:sz w:val="72"/>
          <w:szCs w:val="52"/>
          <w:highlight w:val="none"/>
          <w:lang w:eastAsia="zh-CN"/>
        </w:rPr>
      </w:r>
      <w:r/>
    </w:p>
    <w:p>
      <w:pPr>
        <w:ind w:right="-396"/>
        <w:jc w:val="center"/>
        <w:spacing w:line="360" w:lineRule="auto"/>
        <w:rPr>
          <w:rFonts w:hint="eastAsia" w:ascii="宋体" w:hAnsi="宋体" w:eastAsia="宋体" w:cs="宋体"/>
          <w:b/>
          <w:color w:val="auto"/>
          <w:sz w:val="72"/>
          <w:szCs w:val="52"/>
          <w:highlight w:val="none"/>
          <w:lang w:eastAsia="zh-CN"/>
        </w:rPr>
      </w:pPr>
      <w:r>
        <w:rPr>
          <w:rFonts w:hint="eastAsia" w:ascii="宋体" w:hAnsi="宋体" w:eastAsia="宋体" w:cs="宋体"/>
          <w:b/>
          <w:color w:val="auto"/>
          <w:sz w:val="72"/>
          <w:szCs w:val="52"/>
          <w:highlight w:val="none"/>
          <w:lang w:eastAsia="zh-CN"/>
        </w:rPr>
        <w:t xml:space="preserve">建设工程施工合同</w:t>
      </w:r>
      <w:r/>
    </w:p>
    <w:p>
      <w:pPr>
        <w:pStyle w:val="832"/>
        <w:rPr>
          <w:rFonts w:hint="eastAsia" w:hAnsi="宋体"/>
          <w:color w:val="auto"/>
          <w:highlight w:val="none"/>
        </w:rPr>
      </w:pPr>
      <w:r>
        <w:rPr>
          <w:rFonts w:hint="eastAsia" w:hAnsi="宋体"/>
          <w:color w:val="auto"/>
          <w:highlight w:val="none"/>
        </w:rPr>
      </w:r>
      <w:r/>
    </w:p>
    <w:p>
      <w:pPr>
        <w:jc w:val="both"/>
        <w:rPr>
          <w:rFonts w:hint="eastAsia" w:ascii="宋体" w:hAnsi="宋体" w:eastAsia="宋体" w:cs="宋体"/>
          <w:b/>
          <w:color w:val="auto"/>
          <w:sz w:val="52"/>
          <w:szCs w:val="52"/>
          <w:highlight w:val="none"/>
          <w:lang w:eastAsia="zh-CN"/>
        </w:rPr>
      </w:pPr>
      <w:r>
        <w:rPr>
          <w:rFonts w:hint="eastAsia" w:ascii="宋体" w:hAnsi="宋体" w:eastAsia="宋体" w:cs="宋体"/>
          <w:b/>
          <w:color w:val="auto"/>
          <w:sz w:val="52"/>
          <w:szCs w:val="52"/>
          <w:highlight w:val="none"/>
          <w:lang w:eastAsia="zh-CN"/>
        </w:rPr>
      </w:r>
      <w:r/>
    </w:p>
    <w:p>
      <w:pPr>
        <w:jc w:val="both"/>
        <w:rPr>
          <w:rFonts w:hint="eastAsia" w:ascii="宋体" w:hAnsi="宋体" w:eastAsia="宋体" w:cs="宋体"/>
          <w:b/>
          <w:color w:val="auto"/>
          <w:sz w:val="72"/>
          <w:szCs w:val="72"/>
          <w:highlight w:val="none"/>
          <w:lang w:eastAsia="zh-CN"/>
        </w:rPr>
      </w:pPr>
      <w:r>
        <w:rPr>
          <w:rFonts w:hint="eastAsia" w:ascii="宋体" w:hAnsi="宋体" w:eastAsia="宋体" w:cs="宋体"/>
          <w:b/>
          <w:color w:val="auto"/>
          <w:sz w:val="72"/>
          <w:szCs w:val="72"/>
          <w:highlight w:val="none"/>
          <w:lang w:eastAsia="zh-CN"/>
        </w:rPr>
      </w:r>
      <w:r/>
    </w:p>
    <w:p>
      <w:pPr>
        <w:jc w:val="both"/>
        <w:rPr>
          <w:rFonts w:hint="eastAsia" w:ascii="宋体" w:hAnsi="宋体" w:eastAsia="宋体" w:cs="宋体"/>
          <w:b/>
          <w:color w:val="auto"/>
          <w:sz w:val="52"/>
          <w:szCs w:val="52"/>
          <w:highlight w:val="none"/>
          <w:lang w:eastAsia="zh-CN"/>
        </w:rPr>
      </w:pPr>
      <w:r>
        <w:rPr>
          <w:rFonts w:hint="eastAsia" w:ascii="宋体" w:hAnsi="宋体" w:eastAsia="宋体" w:cs="宋体"/>
          <w:b/>
          <w:color w:val="auto"/>
          <w:sz w:val="52"/>
          <w:szCs w:val="52"/>
          <w:highlight w:val="none"/>
          <w:lang w:eastAsia="zh-CN"/>
        </w:rPr>
      </w:r>
      <w:r/>
    </w:p>
    <w:p>
      <w:pPr>
        <w:jc w:val="both"/>
        <w:rPr>
          <w:rFonts w:hint="eastAsia" w:ascii="宋体" w:hAnsi="宋体" w:eastAsia="宋体" w:cs="宋体"/>
          <w:b/>
          <w:color w:val="auto"/>
          <w:sz w:val="28"/>
          <w:szCs w:val="28"/>
          <w:highlight w:val="none"/>
          <w:lang w:eastAsia="zh-CN"/>
        </w:rPr>
      </w:pPr>
      <w:r>
        <w:rPr>
          <w:rFonts w:hint="eastAsia" w:ascii="宋体" w:hAnsi="宋体" w:eastAsia="宋体" w:cs="宋体"/>
          <w:b/>
          <w:color w:val="auto"/>
          <w:sz w:val="28"/>
          <w:szCs w:val="28"/>
          <w:highlight w:val="none"/>
          <w:lang w:eastAsia="zh-CN"/>
        </w:rPr>
      </w:r>
      <w:r/>
    </w:p>
    <w:p>
      <w:pPr>
        <w:ind w:left="1597" w:hanging="321"/>
        <w:jc w:val="both"/>
        <w:rPr>
          <w:rFonts w:hint="eastAsia" w:ascii="宋体" w:hAnsi="宋体" w:eastAsia="宋体" w:cs="宋体"/>
          <w:b/>
          <w:color w:val="auto"/>
          <w:sz w:val="30"/>
          <w:szCs w:val="30"/>
          <w:highlight w:val="none"/>
          <w:u w:val="single"/>
          <w:lang w:eastAsia="zh-CN"/>
        </w:rPr>
      </w:pPr>
      <w:r>
        <w:rPr>
          <w:rFonts w:hint="eastAsia" w:ascii="宋体" w:hAnsi="宋体" w:eastAsia="宋体" w:cs="宋体"/>
          <w:b/>
          <w:color w:val="auto"/>
          <w:sz w:val="32"/>
          <w:szCs w:val="32"/>
          <w:highlight w:val="none"/>
          <w:lang w:eastAsia="zh-CN"/>
        </w:rPr>
        <w:t xml:space="preserve">工程名称：</w:t>
      </w:r>
      <w:r>
        <w:rPr>
          <w:rFonts w:hint="eastAsia" w:ascii="宋体" w:hAnsi="宋体" w:eastAsia="宋体" w:cs="宋体"/>
          <w:b/>
          <w:color w:val="auto"/>
          <w:sz w:val="32"/>
          <w:szCs w:val="32"/>
          <w:highlight w:val="none"/>
          <w:u w:val="single"/>
          <w:lang w:eastAsia="zh-CN"/>
        </w:rPr>
        <w:t xml:space="preserve"> 科普教育中心提升项目 </w:t>
      </w:r>
      <w:r/>
    </w:p>
    <w:p>
      <w:pPr>
        <w:jc w:val="both"/>
        <w:rPr>
          <w:rFonts w:hint="eastAsia" w:ascii="宋体" w:hAnsi="宋体" w:eastAsia="宋体" w:cs="宋体"/>
          <w:b/>
          <w:color w:val="auto"/>
          <w:sz w:val="28"/>
          <w:szCs w:val="28"/>
          <w:highlight w:val="none"/>
          <w:u w:val="single"/>
          <w:lang w:eastAsia="zh-CN"/>
        </w:rPr>
      </w:pPr>
      <w:r>
        <w:rPr>
          <w:rFonts w:hint="eastAsia" w:ascii="宋体" w:hAnsi="宋体" w:eastAsia="宋体" w:cs="宋体"/>
          <w:b/>
          <w:color w:val="auto"/>
          <w:sz w:val="28"/>
          <w:szCs w:val="28"/>
          <w:highlight w:val="none"/>
          <w:u w:val="single"/>
          <w:lang w:eastAsia="zh-CN"/>
        </w:rPr>
      </w:r>
      <w:r/>
    </w:p>
    <w:p>
      <w:pPr>
        <w:pStyle w:val="912"/>
        <w:ind w:firstLine="562"/>
        <w:rPr>
          <w:rFonts w:hint="eastAsia" w:ascii="宋体" w:hAnsi="宋体" w:cs="宋体"/>
          <w:b/>
          <w:color w:val="auto"/>
          <w:sz w:val="28"/>
          <w:szCs w:val="28"/>
          <w:highlight w:val="none"/>
          <w:u w:val="single"/>
          <w:lang w:eastAsia="zh-CN"/>
        </w:rPr>
      </w:pPr>
      <w:r>
        <w:rPr>
          <w:rFonts w:hint="eastAsia" w:ascii="宋体" w:hAnsi="宋体" w:cs="宋体"/>
          <w:b/>
          <w:color w:val="auto"/>
          <w:sz w:val="28"/>
          <w:szCs w:val="28"/>
          <w:highlight w:val="none"/>
          <w:u w:val="single"/>
          <w:lang w:eastAsia="zh-CN"/>
        </w:rPr>
      </w:r>
      <w:r/>
    </w:p>
    <w:p>
      <w:pPr>
        <w:pStyle w:val="912"/>
        <w:ind w:firstLine="562"/>
        <w:rPr>
          <w:rFonts w:hint="eastAsia" w:ascii="宋体" w:hAnsi="宋体" w:cs="宋体"/>
          <w:b/>
          <w:color w:val="auto"/>
          <w:sz w:val="28"/>
          <w:szCs w:val="28"/>
          <w:highlight w:val="none"/>
          <w:u w:val="single"/>
          <w:lang w:eastAsia="zh-CN"/>
        </w:rPr>
      </w:pPr>
      <w:r>
        <w:rPr>
          <w:rFonts w:hint="eastAsia" w:ascii="宋体" w:hAnsi="宋体" w:cs="宋体"/>
          <w:b/>
          <w:color w:val="auto"/>
          <w:sz w:val="28"/>
          <w:szCs w:val="28"/>
          <w:highlight w:val="none"/>
          <w:u w:val="single"/>
          <w:lang w:eastAsia="zh-CN"/>
        </w:rPr>
      </w:r>
      <w:r/>
    </w:p>
    <w:p>
      <w:pPr>
        <w:ind w:firstLine="964"/>
        <w:jc w:val="both"/>
        <w:spacing w:line="360" w:lineRule="auto"/>
        <w:rPr>
          <w:rFonts w:hint="eastAsia" w:ascii="宋体" w:hAnsi="宋体" w:eastAsia="宋体" w:cs="宋体"/>
          <w:b/>
          <w:color w:val="auto"/>
          <w:sz w:val="32"/>
          <w:szCs w:val="32"/>
          <w:highlight w:val="none"/>
          <w:u w:val="single"/>
          <w:lang w:eastAsia="zh-CN"/>
        </w:rPr>
      </w:pPr>
      <w:r>
        <w:rPr>
          <w:rFonts w:hint="eastAsia" w:ascii="宋体" w:hAnsi="宋体" w:eastAsia="宋体" w:cs="宋体"/>
          <w:b/>
          <w:color w:val="auto"/>
          <w:sz w:val="32"/>
          <w:szCs w:val="32"/>
          <w:highlight w:val="none"/>
          <w:lang w:eastAsia="zh-CN"/>
        </w:rPr>
        <w:t xml:space="preserve">发 包 人：</w:t>
      </w:r>
      <w:r>
        <w:rPr>
          <w:rFonts w:hint="eastAsia" w:ascii="宋体" w:hAnsi="宋体" w:eastAsia="宋体" w:cs="宋体"/>
          <w:b/>
          <w:color w:val="auto"/>
          <w:sz w:val="32"/>
          <w:szCs w:val="32"/>
          <w:highlight w:val="none"/>
          <w:u w:val="single"/>
          <w:lang w:eastAsia="zh-CN"/>
        </w:rPr>
        <w:t xml:space="preserve">江苏省中国科学院植物研究所   </w:t>
      </w:r>
      <w:r/>
    </w:p>
    <w:p>
      <w:pPr>
        <w:ind w:firstLine="964"/>
        <w:jc w:val="both"/>
        <w:spacing w:line="360" w:lineRule="auto"/>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eastAsia="zh-CN"/>
        </w:rPr>
        <w:t xml:space="preserve">承 包 人：</w:t>
      </w:r>
      <w:r>
        <w:rPr>
          <w:rFonts w:hint="eastAsia" w:ascii="宋体" w:hAnsi="宋体" w:eastAsia="宋体" w:cs="宋体"/>
          <w:b/>
          <w:color w:val="auto"/>
          <w:sz w:val="32"/>
          <w:szCs w:val="32"/>
          <w:highlight w:val="none"/>
          <w:u w:val="single"/>
          <w:lang w:eastAsia="zh-CN"/>
        </w:rPr>
        <w:t xml:space="preserve">                             </w:t>
      </w:r>
      <w:r>
        <w:rPr>
          <w:rFonts w:hint="eastAsia" w:ascii="宋体" w:hAnsi="宋体" w:eastAsia="宋体" w:cs="宋体"/>
          <w:b/>
          <w:color w:val="auto"/>
          <w:sz w:val="32"/>
          <w:szCs w:val="32"/>
          <w:highlight w:val="none"/>
          <w:lang w:eastAsia="zh-CN"/>
        </w:rPr>
        <w:t xml:space="preserve">    </w:t>
      </w:r>
      <w:r/>
    </w:p>
    <w:p>
      <w:pPr>
        <w:ind w:firstLine="3052"/>
        <w:jc w:val="both"/>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eastAsia="zh-CN"/>
        </w:rPr>
        <w:t xml:space="preserve">年      月     日</w:t>
      </w:r>
      <w:r/>
    </w:p>
    <w:p>
      <w:pPr>
        <w:jc w:val="center"/>
        <w:spacing w:line="600" w:lineRule="exact"/>
        <w:rPr>
          <w:rFonts w:hint="eastAsia" w:ascii="宋体" w:hAnsi="宋体" w:eastAsia="宋体" w:cs="宋体"/>
          <w:color w:val="auto"/>
          <w:highlight w:val="none"/>
          <w:lang w:eastAsia="zh-CN"/>
        </w:rPr>
        <w:sectPr>
          <w:footerReference w:type="default" r:id="rId13"/>
          <w:footerReference w:type="first" r:id="rId14"/>
          <w:footnotePr/>
          <w:endnotePr/>
          <w:type w:val="nextPage"/>
          <w:pgSz w:w="11906" w:h="16838" w:orient="portrait"/>
          <w:pgMar w:top="1440" w:right="1080" w:bottom="1440" w:left="1080" w:header="851" w:footer="992" w:gutter="0"/>
          <w:cols w:num="1" w:sep="0" w:space="720" w:equalWidth="1"/>
          <w:docGrid w:linePitch="360"/>
          <w:titlePg/>
        </w:sectPr>
      </w:pPr>
      <w:r/>
      <w:bookmarkStart w:id="53" w:name="_Toc296503025"/>
      <w:r/>
      <w:bookmarkStart w:id="54" w:name="_Toc351203480"/>
      <w:r/>
      <w:bookmarkStart w:id="55" w:name="_Toc296890982"/>
      <w:r/>
      <w:r/>
    </w:p>
    <w:p>
      <w:pPr>
        <w:jc w:val="center"/>
        <w:spacing w:line="60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第一部分 合同协议书</w:t>
      </w:r>
      <w:bookmarkEnd w:id="53"/>
      <w:r/>
      <w:bookmarkEnd w:id="54"/>
      <w:r/>
      <w:bookmarkEnd w:id="55"/>
      <w:r/>
      <w:r/>
    </w:p>
    <w:p>
      <w:pPr>
        <w:jc w:val="both"/>
        <w:spacing w:line="600" w:lineRule="exact"/>
        <w:rPr>
          <w:rFonts w:hint="eastAsia" w:ascii="宋体" w:hAnsi="宋体" w:eastAsia="宋体" w:cs="宋体"/>
          <w:b/>
          <w:color w:val="auto"/>
          <w:highlight w:val="none"/>
          <w:u w:val="single"/>
          <w:lang w:eastAsia="zh-CN"/>
        </w:rPr>
      </w:pPr>
      <w:r>
        <w:rPr>
          <w:rFonts w:hint="eastAsia" w:ascii="宋体" w:hAnsi="宋体" w:eastAsia="宋体" w:cs="宋体"/>
          <w:b/>
          <w:color w:val="auto"/>
          <w:highlight w:val="none"/>
          <w:lang w:eastAsia="zh-CN"/>
        </w:rPr>
        <w:t xml:space="preserve">发包人（全称）：</w:t>
      </w:r>
      <w:r>
        <w:rPr>
          <w:rFonts w:hint="eastAsia" w:ascii="宋体" w:hAnsi="宋体" w:eastAsia="宋体" w:cs="宋体"/>
          <w:b/>
          <w:color w:val="auto"/>
          <w:highlight w:val="none"/>
          <w:u w:val="single"/>
          <w:lang w:eastAsia="zh-CN"/>
        </w:rPr>
        <w:t xml:space="preserve"> </w:t>
      </w:r>
      <w:r>
        <w:rPr>
          <w:rFonts w:hint="eastAsia" w:ascii="宋体" w:hAnsi="宋体" w:eastAsia="宋体" w:cs="宋体"/>
          <w:b/>
          <w:color w:val="auto"/>
          <w:sz w:val="24"/>
          <w:szCs w:val="24"/>
          <w:highlight w:val="none"/>
          <w:u w:val="single"/>
          <w:lang w:eastAsia="zh-CN"/>
        </w:rPr>
        <w:t xml:space="preserve">江苏省中国科学院植物研究所</w:t>
      </w:r>
      <w:r>
        <w:rPr>
          <w:rFonts w:hint="eastAsia" w:ascii="宋体" w:hAnsi="宋体" w:eastAsia="宋体" w:cs="宋体"/>
          <w:b/>
          <w:color w:val="auto"/>
          <w:highlight w:val="none"/>
          <w:u w:val="single"/>
          <w:lang w:eastAsia="zh-CN"/>
        </w:rPr>
        <w:t xml:space="preserve">                  </w:t>
      </w:r>
      <w:r/>
    </w:p>
    <w:p>
      <w:pPr>
        <w:jc w:val="both"/>
        <w:spacing w:line="600" w:lineRule="exact"/>
        <w:rPr>
          <w:rFonts w:hint="eastAsia" w:ascii="宋体" w:hAnsi="宋体" w:eastAsia="宋体" w:cs="宋体"/>
          <w:bCs/>
          <w:color w:val="auto"/>
          <w:highlight w:val="none"/>
          <w:u w:val="single"/>
          <w:lang w:eastAsia="zh-CN"/>
        </w:rPr>
      </w:pPr>
      <w:r>
        <w:rPr>
          <w:rFonts w:hint="eastAsia" w:ascii="宋体" w:hAnsi="宋体" w:eastAsia="宋体" w:cs="宋体"/>
          <w:b/>
          <w:color w:val="auto"/>
          <w:highlight w:val="none"/>
          <w:lang w:eastAsia="zh-CN"/>
        </w:rPr>
        <w:t xml:space="preserve">承包人（全称）：</w:t>
      </w:r>
      <w:r>
        <w:rPr>
          <w:rFonts w:hint="eastAsia" w:ascii="宋体" w:hAnsi="宋体" w:eastAsia="宋体" w:cs="宋体"/>
          <w:b/>
          <w:color w:val="auto"/>
          <w:highlight w:val="none"/>
          <w:u w:val="single"/>
          <w:lang w:eastAsia="zh-CN"/>
        </w:rPr>
        <w:t xml:space="preserve">                                               </w:t>
      </w:r>
      <w:r/>
    </w:p>
    <w:p>
      <w:pPr>
        <w:ind w:firstLine="480"/>
        <w:jc w:val="both"/>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ind w:firstLine="42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根据《中华人民共和国民法典》、《中华人民共和国建筑法》及有关法律规定，遵循平等、自愿、公平和诚实信用的原则，双方就</w:t>
      </w:r>
      <w:r>
        <w:rPr>
          <w:rFonts w:hint="eastAsia" w:ascii="宋体" w:hAnsi="宋体" w:eastAsia="宋体" w:cs="宋体"/>
          <w:color w:val="auto"/>
          <w:sz w:val="21"/>
          <w:szCs w:val="21"/>
          <w:highlight w:val="none"/>
          <w:u w:val="single"/>
          <w:lang w:eastAsia="zh-CN"/>
        </w:rPr>
        <w:t xml:space="preserve"> 科普教育中心提升项目 </w:t>
      </w:r>
      <w:r>
        <w:rPr>
          <w:rFonts w:hint="eastAsia" w:ascii="宋体" w:hAnsi="宋体" w:eastAsia="宋体" w:cs="宋体"/>
          <w:color w:val="auto"/>
          <w:sz w:val="21"/>
          <w:szCs w:val="21"/>
          <w:highlight w:val="none"/>
          <w:lang w:eastAsia="zh-CN"/>
        </w:rPr>
        <w:t xml:space="preserve">及有关事项协商一致，共同达成如下协议：</w:t>
      </w:r>
      <w:r/>
    </w:p>
    <w:p>
      <w:pPr>
        <w:jc w:val="both"/>
        <w:spacing w:line="360" w:lineRule="auto"/>
        <w:rPr>
          <w:rFonts w:hint="eastAsia" w:cs="宋体"/>
          <w:color w:val="auto"/>
          <w:sz w:val="21"/>
          <w:szCs w:val="21"/>
          <w:highlight w:val="none"/>
          <w:lang w:eastAsia="zh-CN"/>
        </w:rPr>
      </w:pPr>
      <w:r/>
      <w:bookmarkStart w:id="56" w:name="_Toc351203481"/>
      <w:r>
        <w:rPr>
          <w:rFonts w:hint="eastAsia" w:cs="宋体"/>
          <w:color w:val="auto"/>
          <w:sz w:val="21"/>
          <w:szCs w:val="21"/>
          <w:highlight w:val="none"/>
          <w:lang w:eastAsia="zh-CN"/>
        </w:rPr>
        <w:t xml:space="preserve">一、工程概况</w:t>
      </w:r>
      <w:bookmarkEnd w:id="56"/>
      <w:r/>
      <w:r/>
    </w:p>
    <w:p>
      <w:pPr>
        <w:ind w:firstLine="411"/>
        <w:jc w:val="both"/>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1.工程名称：</w:t>
      </w:r>
      <w:r>
        <w:rPr>
          <w:rFonts w:hint="eastAsia" w:ascii="宋体" w:hAnsi="宋体" w:eastAsia="宋体" w:cs="宋体"/>
          <w:b/>
          <w:color w:val="auto"/>
          <w:highlight w:val="none"/>
          <w:u w:val="single"/>
          <w:lang w:eastAsia="zh-CN"/>
        </w:rPr>
        <w:t xml:space="preserve"> 科普教育中心提升项目   </w:t>
      </w:r>
      <w:r>
        <w:rPr>
          <w:rFonts w:hint="eastAsia" w:ascii="宋体" w:hAnsi="宋体" w:eastAsia="宋体" w:cs="宋体"/>
          <w:color w:val="auto"/>
          <w:sz w:val="21"/>
          <w:szCs w:val="21"/>
          <w:highlight w:val="none"/>
          <w:lang w:eastAsia="zh-CN"/>
        </w:rPr>
        <w:t xml:space="preserve">。</w:t>
      </w:r>
      <w:r/>
    </w:p>
    <w:p>
      <w:pPr>
        <w:ind w:firstLine="411"/>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2.工程地点：</w:t>
      </w:r>
      <w:r>
        <w:rPr>
          <w:rFonts w:hint="eastAsia" w:ascii="宋体" w:hAnsi="宋体" w:eastAsia="宋体" w:cs="宋体"/>
          <w:b/>
          <w:color w:val="auto"/>
          <w:highlight w:val="none"/>
          <w:u w:val="single"/>
          <w:lang w:eastAsia="zh-CN"/>
        </w:rPr>
        <w:t xml:space="preserve"> 南京市 </w:t>
      </w:r>
      <w:r>
        <w:rPr>
          <w:rFonts w:hint="eastAsia" w:ascii="宋体" w:hAnsi="宋体" w:eastAsia="宋体" w:cs="宋体"/>
          <w:b/>
          <w:color w:val="auto"/>
          <w:highlight w:val="none"/>
          <w:u w:val="single"/>
          <w:lang w:val="en-US" w:eastAsia="zh-CN"/>
        </w:rPr>
        <w:t xml:space="preserve"> </w:t>
      </w:r>
      <w:r>
        <w:rPr>
          <w:rFonts w:hint="eastAsia" w:ascii="宋体" w:hAnsi="宋体" w:eastAsia="宋体" w:cs="宋体"/>
          <w:b/>
          <w:color w:val="auto"/>
          <w:highlight w:val="none"/>
          <w:u w:val="single"/>
          <w:lang w:eastAsia="zh-CN"/>
        </w:rPr>
        <w:t xml:space="preserve">区</w:t>
      </w:r>
      <w:r>
        <w:rPr>
          <w:rFonts w:hint="eastAsia" w:ascii="宋体" w:hAnsi="宋体" w:eastAsia="宋体" w:cs="宋体"/>
          <w:bCs/>
          <w:color w:val="auto"/>
          <w:sz w:val="21"/>
          <w:szCs w:val="21"/>
          <w:highlight w:val="none"/>
          <w:u w:val="single"/>
          <w:lang w:eastAsia="zh-CN"/>
        </w:rPr>
        <w:t xml:space="preserve">。</w:t>
      </w:r>
      <w:r/>
    </w:p>
    <w:p>
      <w:pPr>
        <w:ind w:firstLine="411"/>
        <w:jc w:val="both"/>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3.工程立项批准文号：</w:t>
      </w:r>
      <w:r>
        <w:rPr>
          <w:rFonts w:hint="eastAsia" w:ascii="宋体" w:hAnsi="宋体" w:eastAsia="宋体" w:cs="宋体"/>
          <w:b/>
          <w:color w:val="auto"/>
          <w:highlight w:val="none"/>
          <w:u w:val="single"/>
          <w:lang w:eastAsia="zh-CN"/>
        </w:rPr>
        <w:t xml:space="preserve">            /           </w:t>
      </w:r>
      <w:r>
        <w:rPr>
          <w:rFonts w:hint="eastAsia" w:ascii="宋体" w:hAnsi="宋体" w:eastAsia="宋体" w:cs="宋体"/>
          <w:bCs/>
          <w:color w:val="auto"/>
          <w:sz w:val="21"/>
          <w:szCs w:val="21"/>
          <w:highlight w:val="none"/>
          <w:lang w:eastAsia="zh-CN"/>
        </w:rPr>
        <w:t xml:space="preserve"> 。</w:t>
      </w:r>
      <w:r/>
    </w:p>
    <w:p>
      <w:pPr>
        <w:ind w:firstLine="42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4.资金来源：</w:t>
      </w:r>
      <w:r>
        <w:rPr>
          <w:rFonts w:hint="eastAsia" w:ascii="宋体" w:hAnsi="宋体" w:eastAsia="宋体" w:cs="宋体"/>
          <w:b/>
          <w:color w:val="auto"/>
          <w:highlight w:val="none"/>
          <w:u w:val="single"/>
          <w:lang w:eastAsia="zh-CN"/>
        </w:rPr>
        <w:t xml:space="preserve">       </w:t>
      </w:r>
      <w:r>
        <w:rPr>
          <w:rFonts w:hint="eastAsia" w:ascii="宋体" w:hAnsi="宋体" w:eastAsia="宋体" w:cs="宋体"/>
          <w:bCs/>
          <w:color w:val="auto"/>
          <w:sz w:val="21"/>
          <w:szCs w:val="21"/>
          <w:highlight w:val="none"/>
          <w:lang w:eastAsia="zh-CN"/>
        </w:rPr>
        <w:t xml:space="preserve">。</w:t>
      </w:r>
      <w:r/>
    </w:p>
    <w:p>
      <w:pPr>
        <w:ind w:firstLine="411"/>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bCs/>
          <w:color w:val="auto"/>
          <w:sz w:val="21"/>
          <w:szCs w:val="21"/>
          <w:highlight w:val="none"/>
          <w:lang w:eastAsia="zh-CN"/>
        </w:rPr>
        <w:t xml:space="preserve">5.工程内容：</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b/>
          <w:color w:val="auto"/>
          <w:highlight w:val="none"/>
          <w:u w:val="single"/>
          <w:lang w:eastAsia="zh-CN"/>
        </w:rPr>
        <w:t xml:space="preserve">                                               </w:t>
      </w:r>
      <w:r>
        <w:rPr>
          <w:rFonts w:hint="eastAsia" w:ascii="宋体" w:hAnsi="宋体" w:eastAsia="宋体" w:cs="宋体"/>
          <w:bCs/>
          <w:color w:val="auto"/>
          <w:highlight w:val="none"/>
          <w:lang w:eastAsia="zh-CN"/>
        </w:rPr>
        <w:t xml:space="preserve">。</w:t>
      </w:r>
      <w:r/>
    </w:p>
    <w:p>
      <w:pPr>
        <w:ind w:firstLine="411"/>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6.工程承包范围：</w:t>
      </w:r>
      <w:r>
        <w:rPr>
          <w:rFonts w:hint="eastAsia" w:ascii="宋体" w:hAnsi="宋体" w:eastAsia="宋体" w:cs="宋体"/>
          <w:b/>
          <w:color w:val="auto"/>
          <w:highlight w:val="none"/>
          <w:u w:val="single"/>
          <w:lang w:eastAsia="zh-CN"/>
        </w:rPr>
        <w:t xml:space="preserve">                                             </w:t>
      </w:r>
      <w:r>
        <w:rPr>
          <w:rFonts w:hint="eastAsia" w:ascii="宋体" w:hAnsi="宋体" w:eastAsia="宋体" w:cs="宋体"/>
          <w:color w:val="auto"/>
          <w:sz w:val="21"/>
          <w:szCs w:val="21"/>
          <w:highlight w:val="none"/>
          <w:lang w:eastAsia="zh-CN"/>
        </w:rPr>
        <w:t xml:space="preserve">。</w:t>
      </w:r>
      <w:r/>
    </w:p>
    <w:p>
      <w:pPr>
        <w:jc w:val="both"/>
        <w:spacing w:line="360" w:lineRule="auto"/>
        <w:rPr>
          <w:rFonts w:hint="eastAsia" w:cs="宋体"/>
          <w:color w:val="auto"/>
          <w:sz w:val="21"/>
          <w:szCs w:val="21"/>
          <w:highlight w:val="none"/>
          <w:lang w:eastAsia="zh-CN"/>
        </w:rPr>
      </w:pPr>
      <w:r/>
      <w:bookmarkStart w:id="57" w:name="_Toc351203482"/>
      <w:r>
        <w:rPr>
          <w:rFonts w:hint="eastAsia" w:cs="宋体"/>
          <w:color w:val="auto"/>
          <w:sz w:val="21"/>
          <w:szCs w:val="21"/>
          <w:highlight w:val="none"/>
          <w:lang w:eastAsia="zh-CN"/>
        </w:rPr>
        <w:t xml:space="preserve">二、合同工期</w:t>
      </w:r>
      <w:bookmarkEnd w:id="57"/>
      <w:r/>
      <w:r/>
    </w:p>
    <w:p>
      <w:pPr>
        <w:ind w:firstLine="459"/>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lang w:eastAsia="zh-CN"/>
        </w:rPr>
        <w:t xml:space="preserve">计划开工日期：      年     月      日。</w:t>
      </w:r>
      <w:r/>
    </w:p>
    <w:p>
      <w:pPr>
        <w:ind w:firstLine="459"/>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计划竣工日期：      年     月      日。</w:t>
      </w:r>
      <w:r/>
    </w:p>
    <w:p>
      <w:pPr>
        <w:ind w:firstLine="459"/>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工期总日历天数: </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天。以开工报告批准日为实际开工日，工期总日历天数与根据前述计划开竣工日期计算的工期天数不一致的，以工期总日历天数为准。</w:t>
      </w:r>
      <w:r/>
    </w:p>
    <w:p>
      <w:pPr>
        <w:jc w:val="both"/>
        <w:spacing w:line="360" w:lineRule="auto"/>
        <w:rPr>
          <w:rFonts w:hint="eastAsia" w:cs="宋体"/>
          <w:color w:val="auto"/>
          <w:sz w:val="21"/>
          <w:szCs w:val="21"/>
          <w:highlight w:val="none"/>
          <w:lang w:eastAsia="zh-CN"/>
        </w:rPr>
      </w:pPr>
      <w:r/>
      <w:bookmarkStart w:id="58" w:name="_Toc351203483"/>
      <w:r>
        <w:rPr>
          <w:rFonts w:hint="eastAsia" w:cs="宋体"/>
          <w:color w:val="auto"/>
          <w:sz w:val="21"/>
          <w:szCs w:val="21"/>
          <w:highlight w:val="none"/>
          <w:lang w:eastAsia="zh-CN"/>
        </w:rPr>
        <w:t xml:space="preserve">三、质量标准</w:t>
      </w:r>
      <w:bookmarkEnd w:id="58"/>
      <w:r/>
      <w:r/>
    </w:p>
    <w:p>
      <w:pPr>
        <w:ind w:firstLine="459"/>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工程质量符合</w:t>
      </w:r>
      <w:r>
        <w:rPr>
          <w:rFonts w:hint="eastAsia" w:ascii="宋体" w:hAnsi="宋体" w:eastAsia="宋体" w:cs="宋体"/>
          <w:color w:val="auto"/>
          <w:sz w:val="21"/>
          <w:szCs w:val="21"/>
          <w:highlight w:val="none"/>
          <w:u w:val="single"/>
          <w:lang w:eastAsia="zh-CN"/>
        </w:rPr>
        <w:t xml:space="preserve">国家质量验收标准</w:t>
      </w:r>
      <w:r>
        <w:rPr>
          <w:rFonts w:hint="eastAsia" w:ascii="宋体" w:hAnsi="宋体" w:eastAsia="宋体" w:cs="宋体"/>
          <w:color w:val="auto"/>
          <w:sz w:val="21"/>
          <w:szCs w:val="21"/>
          <w:highlight w:val="none"/>
          <w:lang w:eastAsia="zh-CN"/>
        </w:rPr>
        <w:t xml:space="preserve">。</w:t>
      </w:r>
      <w:r/>
    </w:p>
    <w:p>
      <w:pPr>
        <w:jc w:val="both"/>
        <w:spacing w:line="360" w:lineRule="auto"/>
        <w:rPr>
          <w:rFonts w:hint="eastAsia" w:cs="宋体"/>
          <w:color w:val="auto"/>
          <w:sz w:val="21"/>
          <w:szCs w:val="21"/>
          <w:highlight w:val="none"/>
          <w:lang w:eastAsia="zh-CN"/>
        </w:rPr>
      </w:pPr>
      <w:r/>
      <w:bookmarkStart w:id="59" w:name="_Toc351203484"/>
      <w:r>
        <w:rPr>
          <w:rFonts w:hint="eastAsia" w:cs="宋体"/>
          <w:color w:val="auto"/>
          <w:sz w:val="21"/>
          <w:szCs w:val="21"/>
          <w:highlight w:val="none"/>
          <w:lang w:eastAsia="zh-CN"/>
        </w:rPr>
        <w:t xml:space="preserve">四、签约合同价与合同价格形式</w:t>
      </w:r>
      <w:bookmarkEnd w:id="59"/>
      <w:r>
        <w:rPr>
          <w:rFonts w:hint="eastAsia" w:cs="宋体"/>
          <w:color w:val="auto"/>
          <w:sz w:val="21"/>
          <w:szCs w:val="21"/>
          <w:highlight w:val="none"/>
          <w:lang w:eastAsia="zh-CN"/>
        </w:rPr>
        <w:tab/>
      </w:r>
      <w:r/>
    </w:p>
    <w:p>
      <w:pPr>
        <w:ind w:firstLine="42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1.签约合同价为：</w:t>
      </w:r>
      <w:r/>
    </w:p>
    <w:p>
      <w:pPr>
        <w:ind w:firstLine="525"/>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人民币（大写：</w:t>
      </w:r>
      <w:r>
        <w:rPr>
          <w:rFonts w:hint="eastAsia" w:ascii="宋体" w:hAnsi="宋体" w:eastAsia="宋体" w:cs="宋体"/>
          <w:b/>
          <w:color w:val="auto"/>
          <w:highlight w:val="none"/>
          <w:u w:val="single"/>
          <w:lang w:eastAsia="zh-CN"/>
        </w:rPr>
        <w:t xml:space="preserve">                      </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w:t>
      </w:r>
      <w:r/>
    </w:p>
    <w:p>
      <w:pPr>
        <w:ind w:firstLine="126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(小写：¥</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b/>
          <w:color w:val="auto"/>
          <w:highlight w:val="none"/>
          <w:u w:val="single"/>
          <w:lang w:eastAsia="zh-CN"/>
        </w:rPr>
        <w:t xml:space="preserve">              </w:t>
      </w:r>
      <w:r>
        <w:rPr>
          <w:rFonts w:hint="eastAsia" w:ascii="宋体" w:hAnsi="宋体" w:eastAsia="宋体" w:cs="宋体"/>
          <w:color w:val="auto"/>
          <w:sz w:val="21"/>
          <w:szCs w:val="21"/>
          <w:highlight w:val="none"/>
          <w:lang w:eastAsia="zh-CN"/>
        </w:rPr>
        <w:t xml:space="preserve">元)；</w:t>
      </w:r>
      <w:r/>
    </w:p>
    <w:p>
      <w:pPr>
        <w:ind w:firstLine="42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其中：</w:t>
      </w:r>
      <w:r/>
    </w:p>
    <w:p>
      <w:pPr>
        <w:ind w:firstLine="42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（1）安全文明施工费：</w:t>
      </w:r>
      <w:r/>
    </w:p>
    <w:p>
      <w:pPr>
        <w:ind w:firstLine="945"/>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人民币（大写：</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w:t>
      </w:r>
      <w:r/>
    </w:p>
    <w:p>
      <w:pPr>
        <w:ind w:firstLine="1785"/>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 (小写：¥</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pacing w:val="-2"/>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元)；</w:t>
      </w:r>
      <w:r/>
    </w:p>
    <w:p>
      <w:pPr>
        <w:ind w:firstLine="42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（2）材料和工程设备暂估价金额：</w:t>
      </w:r>
      <w:r/>
    </w:p>
    <w:p>
      <w:pPr>
        <w:ind w:firstLine="945"/>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人民币（大写</w:t>
      </w:r>
      <w:r>
        <w:rPr>
          <w:rFonts w:hint="eastAsia" w:ascii="宋体" w:hAnsi="宋体" w:eastAsia="宋体" w:cs="宋体"/>
          <w:color w:val="auto"/>
          <w:sz w:val="21"/>
          <w:szCs w:val="21"/>
          <w:highlight w:val="none"/>
          <w:u w:val="single"/>
          <w:lang w:eastAsia="zh-CN"/>
        </w:rPr>
        <w:t xml:space="preserve">   /   </w:t>
      </w:r>
      <w:r>
        <w:rPr>
          <w:rFonts w:hint="eastAsia" w:ascii="宋体" w:hAnsi="宋体" w:eastAsia="宋体" w:cs="宋体"/>
          <w:color w:val="auto"/>
          <w:sz w:val="21"/>
          <w:szCs w:val="21"/>
          <w:highlight w:val="none"/>
          <w:lang w:eastAsia="zh-CN"/>
        </w:rPr>
        <w:t xml:space="preserve">） (小写：¥</w:t>
      </w:r>
      <w:r>
        <w:rPr>
          <w:rFonts w:hint="eastAsia" w:ascii="宋体" w:hAnsi="宋体" w:eastAsia="宋体" w:cs="宋体"/>
          <w:color w:val="auto"/>
          <w:sz w:val="21"/>
          <w:szCs w:val="21"/>
          <w:highlight w:val="none"/>
          <w:u w:val="single"/>
          <w:lang w:eastAsia="zh-CN"/>
        </w:rPr>
        <w:t xml:space="preserve"> / </w:t>
      </w:r>
      <w:r>
        <w:rPr>
          <w:rFonts w:hint="eastAsia" w:ascii="宋体" w:hAnsi="宋体" w:eastAsia="宋体" w:cs="宋体"/>
          <w:color w:val="auto"/>
          <w:sz w:val="21"/>
          <w:szCs w:val="21"/>
          <w:highlight w:val="none"/>
          <w:lang w:eastAsia="zh-CN"/>
        </w:rPr>
        <w:t xml:space="preserve">元)；</w:t>
      </w:r>
      <w:r/>
    </w:p>
    <w:p>
      <w:pPr>
        <w:ind w:firstLine="42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（3）专业工程暂估价金额：</w:t>
      </w:r>
      <w:r/>
    </w:p>
    <w:p>
      <w:pPr>
        <w:ind w:firstLine="945"/>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人民币（大写：</w:t>
      </w:r>
      <w:r>
        <w:rPr>
          <w:rFonts w:hint="eastAsia" w:ascii="宋体" w:hAnsi="宋体" w:eastAsia="宋体" w:cs="宋体"/>
          <w:color w:val="auto"/>
          <w:sz w:val="21"/>
          <w:szCs w:val="21"/>
          <w:highlight w:val="none"/>
          <w:u w:val="single"/>
          <w:lang w:eastAsia="zh-CN"/>
        </w:rPr>
        <w:t xml:space="preserve">  / </w:t>
      </w:r>
      <w:r>
        <w:rPr>
          <w:rFonts w:hint="eastAsia" w:ascii="宋体" w:hAnsi="宋体" w:eastAsia="宋体" w:cs="宋体"/>
          <w:color w:val="auto"/>
          <w:sz w:val="21"/>
          <w:szCs w:val="21"/>
          <w:highlight w:val="none"/>
          <w:lang w:eastAsia="zh-CN"/>
        </w:rPr>
        <w:t xml:space="preserve">） (小写：¥</w:t>
      </w:r>
      <w:r>
        <w:rPr>
          <w:rFonts w:hint="eastAsia" w:ascii="宋体" w:hAnsi="宋体" w:eastAsia="宋体" w:cs="宋体"/>
          <w:color w:val="auto"/>
          <w:sz w:val="21"/>
          <w:szCs w:val="21"/>
          <w:highlight w:val="none"/>
          <w:u w:val="single"/>
          <w:lang w:eastAsia="zh-CN"/>
        </w:rPr>
        <w:t xml:space="preserve">  / 元</w:t>
      </w:r>
      <w:r>
        <w:rPr>
          <w:rFonts w:hint="eastAsia" w:ascii="宋体" w:hAnsi="宋体" w:eastAsia="宋体" w:cs="宋体"/>
          <w:color w:val="auto"/>
          <w:sz w:val="21"/>
          <w:szCs w:val="21"/>
          <w:highlight w:val="none"/>
          <w:lang w:eastAsia="zh-CN"/>
        </w:rPr>
        <w:t xml:space="preserve">)；</w:t>
      </w:r>
      <w:r/>
    </w:p>
    <w:p>
      <w:pPr>
        <w:numPr>
          <w:ilvl w:val="0"/>
          <w:numId w:val="2"/>
        </w:numPr>
        <w:ind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暂列金额：</w:t>
      </w:r>
      <w:r/>
    </w:p>
    <w:p>
      <w:pPr>
        <w:ind w:firstLine="84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人民币  （大写：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rPr>
        <w:t xml:space="preserve">）</w:t>
      </w:r>
      <w:r/>
    </w:p>
    <w:p>
      <w:pPr>
        <w:ind w:firstLine="168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(小写：¥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rPr>
        <w:t xml:space="preserve">元)。</w:t>
      </w:r>
      <w:r/>
    </w:p>
    <w:p>
      <w:pPr>
        <w:ind w:firstLine="420"/>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lang w:eastAsia="zh-CN"/>
        </w:rPr>
        <w:t xml:space="preserve">2.合同价格形式：</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b/>
          <w:color w:val="auto"/>
          <w:highlight w:val="none"/>
          <w:u w:val="single"/>
          <w:lang w:eastAsia="zh-CN"/>
        </w:rPr>
        <w:t xml:space="preserve"> 固定单价。    </w:t>
      </w:r>
      <w:r>
        <w:rPr>
          <w:rFonts w:hint="eastAsia" w:ascii="宋体" w:hAnsi="宋体" w:eastAsia="宋体" w:cs="宋体"/>
          <w:color w:val="auto"/>
          <w:sz w:val="21"/>
          <w:szCs w:val="21"/>
          <w:highlight w:val="none"/>
          <w:u w:val="single"/>
          <w:lang w:eastAsia="zh-CN"/>
        </w:rPr>
        <w:t xml:space="preserve"> </w:t>
      </w:r>
      <w:r/>
    </w:p>
    <w:p>
      <w:pPr>
        <w:jc w:val="both"/>
        <w:spacing w:line="360" w:lineRule="auto"/>
        <w:rPr>
          <w:rFonts w:hint="eastAsia" w:cs="宋体"/>
          <w:color w:val="auto"/>
          <w:sz w:val="21"/>
          <w:szCs w:val="21"/>
          <w:highlight w:val="none"/>
          <w:lang w:eastAsia="zh-CN"/>
        </w:rPr>
      </w:pPr>
      <w:r/>
      <w:bookmarkStart w:id="60" w:name="_Toc351203485"/>
      <w:r>
        <w:rPr>
          <w:rFonts w:hint="eastAsia" w:cs="宋体"/>
          <w:color w:val="auto"/>
          <w:sz w:val="21"/>
          <w:szCs w:val="21"/>
          <w:highlight w:val="none"/>
          <w:lang w:eastAsia="zh-CN"/>
        </w:rPr>
        <w:t xml:space="preserve">五、</w:t>
      </w:r>
      <w:bookmarkEnd w:id="60"/>
      <w:r>
        <w:rPr>
          <w:rFonts w:hint="eastAsia" w:cs="宋体"/>
          <w:color w:val="auto"/>
          <w:sz w:val="21"/>
          <w:szCs w:val="21"/>
          <w:highlight w:val="none"/>
          <w:lang w:eastAsia="zh-CN"/>
        </w:rPr>
        <w:t xml:space="preserve">项目经理</w:t>
      </w:r>
      <w:r/>
    </w:p>
    <w:p>
      <w:pPr>
        <w:ind w:firstLine="42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承包人项目经理：</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b/>
          <w:color w:val="auto"/>
          <w:highlight w:val="none"/>
          <w:u w:val="single"/>
          <w:lang w:eastAsia="zh-CN"/>
        </w:rPr>
        <w:t xml:space="preserve">          </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证号</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b/>
          <w:color w:val="auto"/>
          <w:highlight w:val="none"/>
          <w:u w:val="single"/>
          <w:lang w:eastAsia="zh-CN"/>
        </w:rPr>
        <w:t xml:space="preserve">            </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w:t>
      </w:r>
      <w:r/>
    </w:p>
    <w:p>
      <w:pPr>
        <w:jc w:val="both"/>
        <w:spacing w:line="360" w:lineRule="auto"/>
        <w:rPr>
          <w:rFonts w:hint="eastAsia" w:cs="宋体"/>
          <w:color w:val="auto"/>
          <w:sz w:val="21"/>
          <w:szCs w:val="21"/>
          <w:highlight w:val="none"/>
          <w:lang w:eastAsia="zh-CN"/>
        </w:rPr>
      </w:pPr>
      <w:r/>
      <w:bookmarkStart w:id="61" w:name="_Toc351203486"/>
      <w:r>
        <w:rPr>
          <w:rFonts w:hint="eastAsia" w:cs="宋体"/>
          <w:color w:val="auto"/>
          <w:sz w:val="21"/>
          <w:szCs w:val="21"/>
          <w:highlight w:val="none"/>
          <w:lang w:eastAsia="zh-CN"/>
        </w:rPr>
        <w:t xml:space="preserve">六、合同文件构成</w:t>
      </w:r>
      <w:bookmarkEnd w:id="61"/>
      <w:r/>
      <w:r/>
    </w:p>
    <w:p>
      <w:pPr>
        <w:ind w:firstLine="420"/>
        <w:jc w:val="both"/>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本协议书与下列文件一起构成合同文件：</w:t>
      </w:r>
      <w:r/>
    </w:p>
    <w:p>
      <w:pPr>
        <w:ind w:firstLine="42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（1）中标通知书（如果有）；</w:t>
      </w:r>
      <w:r/>
    </w:p>
    <w:p>
      <w:pPr>
        <w:ind w:firstLine="42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（2）投标函及其附录（如果有）； </w:t>
      </w:r>
      <w:r/>
    </w:p>
    <w:p>
      <w:pPr>
        <w:ind w:firstLine="42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（3）专用合同条款及其附件；</w:t>
      </w:r>
      <w:r/>
    </w:p>
    <w:p>
      <w:pPr>
        <w:ind w:firstLine="42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（4）通用合同条款；</w:t>
      </w:r>
      <w:r/>
    </w:p>
    <w:p>
      <w:pPr>
        <w:ind w:firstLine="42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（5）技术标准和要求；</w:t>
      </w:r>
      <w:r/>
    </w:p>
    <w:p>
      <w:pPr>
        <w:ind w:firstLine="42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（6）图纸；</w:t>
      </w:r>
      <w:r/>
    </w:p>
    <w:p>
      <w:pPr>
        <w:ind w:firstLine="42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（7）已标价工程量清单或预算书；</w:t>
      </w:r>
      <w:r/>
    </w:p>
    <w:p>
      <w:pPr>
        <w:ind w:firstLine="42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（8）其他合同文件。</w:t>
      </w:r>
      <w:r/>
    </w:p>
    <w:p>
      <w:pPr>
        <w:ind w:firstLine="42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在合同订立及履行过程中形成的与合同有关的文件均构成合同文件组成部分。</w:t>
      </w:r>
      <w:r/>
    </w:p>
    <w:p>
      <w:pPr>
        <w:ind w:firstLine="42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上述各项合同文件包括合同当事人就该项合同文件所作出的补充和修改，属于同一类内容的文件，应以最新签署的为准。专用合同条款及其附件须经合同当事人签字或盖章。</w:t>
      </w:r>
      <w:r/>
    </w:p>
    <w:p>
      <w:pPr>
        <w:jc w:val="both"/>
        <w:spacing w:line="360" w:lineRule="auto"/>
        <w:rPr>
          <w:rFonts w:hint="eastAsia" w:cs="宋体"/>
          <w:color w:val="auto"/>
          <w:sz w:val="21"/>
          <w:szCs w:val="21"/>
          <w:highlight w:val="none"/>
          <w:lang w:eastAsia="zh-CN"/>
        </w:rPr>
      </w:pPr>
      <w:r/>
      <w:bookmarkStart w:id="62" w:name="_Toc351203487"/>
      <w:r>
        <w:rPr>
          <w:rFonts w:hint="eastAsia" w:cs="宋体"/>
          <w:color w:val="auto"/>
          <w:sz w:val="21"/>
          <w:szCs w:val="21"/>
          <w:highlight w:val="none"/>
          <w:lang w:eastAsia="zh-CN"/>
        </w:rPr>
        <w:t xml:space="preserve">七、承诺</w:t>
      </w:r>
      <w:bookmarkEnd w:id="62"/>
      <w:r/>
      <w:r/>
    </w:p>
    <w:p>
      <w:pPr>
        <w:ind w:firstLine="420"/>
        <w:jc w:val="both"/>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1.发包人承诺按照法律规定履行项目审批手续、筹集工程建设资金并按照合同约定的期限和方式支付合同价款。</w:t>
      </w:r>
      <w:r/>
    </w:p>
    <w:p>
      <w:pPr>
        <w:ind w:firstLine="420"/>
        <w:jc w:val="both"/>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2.承包人承诺按照法律规定及合同约定组织完成工程施工，确保工程质量和安全，不进行转包及违法分包，并在缺陷责任期及保修期内承担相应的工程维修责任。</w:t>
      </w:r>
      <w:r/>
    </w:p>
    <w:p>
      <w:pPr>
        <w:ind w:firstLine="420"/>
        <w:jc w:val="both"/>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3.发包人和承包人通过招投标形式签订合同的，双方理解并承诺不再就同一工程另行签订与合同实质性内容相背离的协议。</w:t>
      </w:r>
      <w:r/>
    </w:p>
    <w:p>
      <w:pPr>
        <w:jc w:val="both"/>
        <w:spacing w:line="360" w:lineRule="auto"/>
        <w:rPr>
          <w:rFonts w:hint="eastAsia" w:cs="宋体"/>
          <w:color w:val="auto"/>
          <w:sz w:val="21"/>
          <w:szCs w:val="21"/>
          <w:highlight w:val="none"/>
          <w:lang w:eastAsia="zh-CN"/>
        </w:rPr>
      </w:pPr>
      <w:r/>
      <w:bookmarkStart w:id="63" w:name="_Toc351203488"/>
      <w:r>
        <w:rPr>
          <w:rFonts w:hint="eastAsia" w:cs="宋体"/>
          <w:color w:val="auto"/>
          <w:sz w:val="21"/>
          <w:szCs w:val="21"/>
          <w:highlight w:val="none"/>
          <w:lang w:eastAsia="zh-CN"/>
        </w:rPr>
        <w:t xml:space="preserve">八、词语含义</w:t>
      </w:r>
      <w:bookmarkEnd w:id="63"/>
      <w:r/>
      <w:r/>
    </w:p>
    <w:p>
      <w:pPr>
        <w:ind w:firstLine="420"/>
        <w:jc w:val="both"/>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本协议书中词语含义与第二部分通用合同条款中赋予的含义相同。</w:t>
      </w:r>
      <w:r/>
    </w:p>
    <w:p>
      <w:pPr>
        <w:jc w:val="both"/>
        <w:spacing w:line="360" w:lineRule="auto"/>
        <w:rPr>
          <w:rFonts w:hint="eastAsia" w:cs="宋体"/>
          <w:color w:val="auto"/>
          <w:sz w:val="21"/>
          <w:szCs w:val="21"/>
          <w:highlight w:val="none"/>
          <w:lang w:eastAsia="zh-CN"/>
        </w:rPr>
      </w:pPr>
      <w:r/>
      <w:bookmarkStart w:id="64" w:name="_Toc351203489"/>
      <w:r>
        <w:rPr>
          <w:rFonts w:hint="eastAsia" w:cs="宋体"/>
          <w:color w:val="auto"/>
          <w:sz w:val="21"/>
          <w:szCs w:val="21"/>
          <w:highlight w:val="none"/>
          <w:lang w:eastAsia="zh-CN"/>
        </w:rPr>
        <w:t xml:space="preserve">九、签订时间</w:t>
      </w:r>
      <w:bookmarkEnd w:id="64"/>
      <w:r/>
      <w:r/>
    </w:p>
    <w:p>
      <w:pPr>
        <w:ind w:firstLine="420"/>
        <w:jc w:val="both"/>
        <w:spacing w:line="360" w:lineRule="auto"/>
        <w:rPr>
          <w:rFonts w:hint="eastAsia" w:ascii="宋体" w:hAnsi="宋体" w:eastAsia="宋体" w:cs="宋体"/>
          <w:bCs/>
          <w:color w:val="auto"/>
          <w:sz w:val="21"/>
          <w:szCs w:val="21"/>
          <w:highlight w:val="none"/>
          <w:u w:val="single"/>
          <w:lang w:eastAsia="zh-CN"/>
        </w:rPr>
      </w:pPr>
      <w:r>
        <w:rPr>
          <w:rFonts w:hint="eastAsia" w:ascii="宋体" w:hAnsi="宋体" w:eastAsia="宋体" w:cs="宋体"/>
          <w:bCs/>
          <w:color w:val="auto"/>
          <w:sz w:val="21"/>
          <w:szCs w:val="21"/>
          <w:highlight w:val="none"/>
          <w:lang w:eastAsia="zh-CN"/>
        </w:rPr>
        <w:t xml:space="preserve">本合同于</w:t>
      </w:r>
      <w:r>
        <w:rPr>
          <w:rFonts w:hint="eastAsia" w:ascii="宋体" w:hAnsi="宋体" w:eastAsia="宋体" w:cs="宋体"/>
          <w:bCs/>
          <w:color w:val="auto"/>
          <w:sz w:val="21"/>
          <w:szCs w:val="21"/>
          <w:highlight w:val="none"/>
          <w:u w:val="single"/>
          <w:lang w:eastAsia="zh-CN"/>
        </w:rPr>
        <w:t xml:space="preserve">       </w:t>
      </w:r>
      <w:r>
        <w:rPr>
          <w:rFonts w:hint="eastAsia" w:ascii="宋体" w:hAnsi="宋体" w:eastAsia="宋体" w:cs="宋体"/>
          <w:bCs/>
          <w:color w:val="auto"/>
          <w:sz w:val="21"/>
          <w:szCs w:val="21"/>
          <w:highlight w:val="none"/>
          <w:lang w:eastAsia="zh-CN"/>
        </w:rPr>
        <w:t xml:space="preserve">年 </w:t>
      </w:r>
      <w:r>
        <w:rPr>
          <w:rFonts w:hint="eastAsia" w:ascii="宋体" w:hAnsi="宋体" w:eastAsia="宋体" w:cs="宋体"/>
          <w:bCs/>
          <w:color w:val="auto"/>
          <w:sz w:val="21"/>
          <w:szCs w:val="21"/>
          <w:highlight w:val="none"/>
          <w:u w:val="single"/>
          <w:lang w:eastAsia="zh-CN"/>
        </w:rPr>
        <w:t xml:space="preserve">   </w:t>
      </w:r>
      <w:r>
        <w:rPr>
          <w:rFonts w:hint="eastAsia" w:ascii="宋体" w:hAnsi="宋体" w:eastAsia="宋体" w:cs="宋体"/>
          <w:bCs/>
          <w:color w:val="auto"/>
          <w:sz w:val="21"/>
          <w:szCs w:val="21"/>
          <w:highlight w:val="none"/>
          <w:lang w:eastAsia="zh-CN"/>
        </w:rPr>
        <w:t xml:space="preserve">月</w:t>
      </w:r>
      <w:r>
        <w:rPr>
          <w:rFonts w:hint="eastAsia" w:ascii="宋体" w:hAnsi="宋体" w:eastAsia="宋体" w:cs="宋体"/>
          <w:bCs/>
          <w:color w:val="auto"/>
          <w:sz w:val="21"/>
          <w:szCs w:val="21"/>
          <w:highlight w:val="none"/>
          <w:u w:val="single"/>
          <w:lang w:eastAsia="zh-CN"/>
        </w:rPr>
        <w:t xml:space="preserve">    </w:t>
      </w:r>
      <w:r>
        <w:rPr>
          <w:rFonts w:hint="eastAsia" w:ascii="宋体" w:hAnsi="宋体" w:eastAsia="宋体" w:cs="宋体"/>
          <w:bCs/>
          <w:color w:val="auto"/>
          <w:sz w:val="21"/>
          <w:szCs w:val="21"/>
          <w:highlight w:val="none"/>
          <w:lang w:eastAsia="zh-CN"/>
        </w:rPr>
        <w:t xml:space="preserve">日签订。</w:t>
      </w:r>
      <w:r/>
    </w:p>
    <w:p>
      <w:pPr>
        <w:jc w:val="both"/>
        <w:spacing w:line="360" w:lineRule="auto"/>
        <w:rPr>
          <w:rFonts w:hint="eastAsia" w:cs="宋体"/>
          <w:color w:val="auto"/>
          <w:sz w:val="21"/>
          <w:szCs w:val="21"/>
          <w:highlight w:val="none"/>
          <w:lang w:eastAsia="zh-CN"/>
        </w:rPr>
      </w:pPr>
      <w:r/>
      <w:bookmarkStart w:id="65" w:name="_Toc351203490"/>
      <w:r>
        <w:rPr>
          <w:rFonts w:hint="eastAsia" w:cs="宋体"/>
          <w:color w:val="auto"/>
          <w:sz w:val="21"/>
          <w:szCs w:val="21"/>
          <w:highlight w:val="none"/>
          <w:lang w:eastAsia="zh-CN"/>
        </w:rPr>
        <w:t xml:space="preserve">十、签订地点</w:t>
      </w:r>
      <w:bookmarkEnd w:id="65"/>
      <w:r/>
      <w:r/>
    </w:p>
    <w:p>
      <w:pPr>
        <w:ind w:firstLine="420"/>
        <w:jc w:val="both"/>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本合同在</w:t>
      </w:r>
      <w:r>
        <w:rPr>
          <w:rFonts w:hint="eastAsia" w:ascii="宋体" w:hAnsi="宋体" w:eastAsia="宋体" w:cs="宋体"/>
          <w:bCs/>
          <w:color w:val="auto"/>
          <w:sz w:val="21"/>
          <w:szCs w:val="21"/>
          <w:highlight w:val="none"/>
          <w:u w:val="single"/>
          <w:lang w:val="zh-CN" w:eastAsia="zh-CN"/>
        </w:rPr>
        <w:t xml:space="preserve">南京市玄武区</w:t>
      </w:r>
      <w:r>
        <w:rPr>
          <w:rFonts w:hint="eastAsia" w:ascii="宋体" w:hAnsi="宋体" w:eastAsia="宋体" w:cs="宋体"/>
          <w:bCs/>
          <w:color w:val="auto"/>
          <w:sz w:val="21"/>
          <w:szCs w:val="21"/>
          <w:highlight w:val="none"/>
          <w:lang w:eastAsia="zh-CN"/>
        </w:rPr>
        <w:t xml:space="preserve">签订。</w:t>
      </w:r>
      <w:r/>
    </w:p>
    <w:p>
      <w:pPr>
        <w:jc w:val="both"/>
        <w:spacing w:line="360" w:lineRule="auto"/>
        <w:rPr>
          <w:rFonts w:hint="eastAsia" w:cs="宋体"/>
          <w:color w:val="auto"/>
          <w:sz w:val="21"/>
          <w:szCs w:val="21"/>
          <w:highlight w:val="none"/>
          <w:lang w:eastAsia="zh-CN"/>
        </w:rPr>
      </w:pPr>
      <w:r/>
      <w:bookmarkStart w:id="66" w:name="_Toc351203491"/>
      <w:r>
        <w:rPr>
          <w:rFonts w:hint="eastAsia" w:cs="宋体"/>
          <w:color w:val="auto"/>
          <w:sz w:val="21"/>
          <w:szCs w:val="21"/>
          <w:highlight w:val="none"/>
          <w:lang w:eastAsia="zh-CN"/>
        </w:rPr>
        <w:t xml:space="preserve">十一、补充协议</w:t>
      </w:r>
      <w:bookmarkEnd w:id="66"/>
      <w:r/>
      <w:r/>
    </w:p>
    <w:p>
      <w:pPr>
        <w:ind w:firstLine="420"/>
        <w:jc w:val="both"/>
        <w:spacing w:line="360" w:lineRule="auto"/>
        <w:rPr>
          <w:rFonts w:hint="eastAsia" w:ascii="宋体" w:hAnsi="宋体" w:eastAsia="宋体" w:cs="宋体"/>
          <w:b/>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合同未尽事宜，合同当事人另行签订补充协议，补充协议是合同的组成部分。</w:t>
      </w:r>
      <w:r/>
    </w:p>
    <w:p>
      <w:pPr>
        <w:jc w:val="both"/>
        <w:spacing w:line="360" w:lineRule="auto"/>
        <w:rPr>
          <w:rFonts w:hint="eastAsia" w:cs="宋体"/>
          <w:color w:val="auto"/>
          <w:sz w:val="21"/>
          <w:szCs w:val="21"/>
          <w:highlight w:val="none"/>
          <w:lang w:eastAsia="zh-CN"/>
        </w:rPr>
      </w:pPr>
      <w:r/>
      <w:bookmarkStart w:id="67" w:name="_Toc351203492"/>
      <w:r>
        <w:rPr>
          <w:rFonts w:hint="eastAsia" w:cs="宋体"/>
          <w:color w:val="auto"/>
          <w:sz w:val="21"/>
          <w:szCs w:val="21"/>
          <w:highlight w:val="none"/>
          <w:lang w:eastAsia="zh-CN"/>
        </w:rPr>
        <w:t xml:space="preserve">十二、合同生效</w:t>
      </w:r>
      <w:bookmarkEnd w:id="67"/>
      <w:r/>
      <w:r/>
    </w:p>
    <w:p>
      <w:pPr>
        <w:ind w:firstLine="420"/>
        <w:jc w:val="both"/>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本合同自</w:t>
      </w:r>
      <w:r>
        <w:rPr>
          <w:rFonts w:hint="eastAsia" w:ascii="宋体" w:hAnsi="宋体" w:eastAsia="宋体" w:cs="宋体"/>
          <w:bCs/>
          <w:color w:val="auto"/>
          <w:sz w:val="21"/>
          <w:szCs w:val="21"/>
          <w:highlight w:val="none"/>
          <w:u w:val="single"/>
          <w:lang w:eastAsia="zh-CN"/>
        </w:rPr>
        <w:t xml:space="preserve">双方法定代表人或委托代理人签名并加盖单位公章之日起</w:t>
      </w:r>
      <w:r>
        <w:rPr>
          <w:rFonts w:hint="eastAsia" w:ascii="宋体" w:hAnsi="宋体" w:eastAsia="宋体" w:cs="宋体"/>
          <w:bCs/>
          <w:color w:val="auto"/>
          <w:sz w:val="21"/>
          <w:szCs w:val="21"/>
          <w:highlight w:val="none"/>
          <w:lang w:eastAsia="zh-CN"/>
        </w:rPr>
        <w:t xml:space="preserve">生效。</w:t>
      </w:r>
      <w:r/>
    </w:p>
    <w:p>
      <w:pPr>
        <w:jc w:val="both"/>
        <w:spacing w:line="360" w:lineRule="auto"/>
        <w:rPr>
          <w:rFonts w:hint="eastAsia" w:cs="宋体"/>
          <w:color w:val="auto"/>
          <w:sz w:val="21"/>
          <w:szCs w:val="21"/>
          <w:highlight w:val="none"/>
          <w:lang w:eastAsia="zh-CN"/>
        </w:rPr>
      </w:pPr>
      <w:r/>
      <w:bookmarkStart w:id="68" w:name="_Toc351203493"/>
      <w:r>
        <w:rPr>
          <w:rFonts w:hint="eastAsia" w:cs="宋体"/>
          <w:color w:val="auto"/>
          <w:sz w:val="21"/>
          <w:szCs w:val="21"/>
          <w:highlight w:val="none"/>
          <w:lang w:eastAsia="zh-CN"/>
        </w:rPr>
        <w:t xml:space="preserve">十三、合同份数</w:t>
      </w:r>
      <w:bookmarkEnd w:id="68"/>
      <w:r/>
      <w:r/>
    </w:p>
    <w:p>
      <w:pPr>
        <w:ind w:firstLine="420"/>
        <w:jc w:val="both"/>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本合同一式</w:t>
      </w:r>
      <w:r>
        <w:rPr>
          <w:rFonts w:hint="eastAsia" w:ascii="宋体" w:hAnsi="宋体" w:eastAsia="宋体" w:cs="宋体"/>
          <w:bCs/>
          <w:color w:val="auto"/>
          <w:sz w:val="21"/>
          <w:szCs w:val="21"/>
          <w:highlight w:val="none"/>
          <w:u w:val="single"/>
          <w:lang w:eastAsia="zh-CN"/>
        </w:rPr>
        <w:t xml:space="preserve">陆</w:t>
      </w:r>
      <w:r>
        <w:rPr>
          <w:rFonts w:hint="eastAsia" w:ascii="宋体" w:hAnsi="宋体" w:eastAsia="宋体" w:cs="宋体"/>
          <w:bCs/>
          <w:color w:val="auto"/>
          <w:sz w:val="21"/>
          <w:szCs w:val="21"/>
          <w:highlight w:val="none"/>
          <w:lang w:eastAsia="zh-CN"/>
        </w:rPr>
        <w:t xml:space="preserve">份，均具有同等法律效力，发包人执</w:t>
      </w:r>
      <w:r>
        <w:rPr>
          <w:rFonts w:hint="eastAsia" w:ascii="宋体" w:hAnsi="宋体" w:eastAsia="宋体" w:cs="宋体"/>
          <w:bCs/>
          <w:color w:val="auto"/>
          <w:sz w:val="21"/>
          <w:szCs w:val="21"/>
          <w:highlight w:val="none"/>
          <w:u w:val="single"/>
          <w:lang w:eastAsia="zh-CN"/>
        </w:rPr>
        <w:t xml:space="preserve">肆</w:t>
      </w:r>
      <w:r>
        <w:rPr>
          <w:rFonts w:hint="eastAsia" w:ascii="宋体" w:hAnsi="宋体" w:eastAsia="宋体" w:cs="宋体"/>
          <w:bCs/>
          <w:color w:val="auto"/>
          <w:sz w:val="21"/>
          <w:szCs w:val="21"/>
          <w:highlight w:val="none"/>
          <w:lang w:eastAsia="zh-CN"/>
        </w:rPr>
        <w:t xml:space="preserve">份，承包人执</w:t>
      </w:r>
      <w:r>
        <w:rPr>
          <w:rFonts w:hint="eastAsia" w:ascii="宋体" w:hAnsi="宋体" w:eastAsia="宋体" w:cs="宋体"/>
          <w:bCs/>
          <w:color w:val="auto"/>
          <w:sz w:val="21"/>
          <w:szCs w:val="21"/>
          <w:highlight w:val="none"/>
          <w:u w:val="single"/>
          <w:lang w:eastAsia="zh-CN"/>
        </w:rPr>
        <w:t xml:space="preserve">贰</w:t>
      </w:r>
      <w:r>
        <w:rPr>
          <w:rFonts w:hint="eastAsia" w:ascii="宋体" w:hAnsi="宋体" w:eastAsia="宋体" w:cs="宋体"/>
          <w:bCs/>
          <w:color w:val="auto"/>
          <w:sz w:val="21"/>
          <w:szCs w:val="21"/>
          <w:highlight w:val="none"/>
          <w:lang w:eastAsia="zh-CN"/>
        </w:rPr>
        <w:t xml:space="preserve">份。</w:t>
      </w:r>
      <w:r/>
    </w:p>
    <w:p>
      <w:pPr>
        <w:jc w:val="both"/>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r>
      <w:r/>
    </w:p>
    <w:p>
      <w:pPr>
        <w:jc w:val="both"/>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r>
      <w:r/>
    </w:p>
    <w:p>
      <w:pPr>
        <w:pStyle w:val="912"/>
        <w:ind w:firstLine="400"/>
        <w:rPr>
          <w:rFonts w:hint="eastAsia" w:ascii="宋体" w:hAnsi="宋体" w:cs="宋体"/>
          <w:color w:val="auto"/>
          <w:highlight w:val="none"/>
          <w:lang w:eastAsia="zh-CN"/>
        </w:rPr>
      </w:pPr>
      <w:r>
        <w:rPr>
          <w:rFonts w:hint="eastAsia" w:ascii="宋体" w:hAnsi="宋体" w:cs="宋体"/>
          <w:color w:val="auto"/>
          <w:highlight w:val="none"/>
          <w:lang w:eastAsia="zh-CN"/>
        </w:rPr>
      </w:r>
      <w:r/>
    </w:p>
    <w:p>
      <w:pPr>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发包人：  (公章)                          承包人：  (公章)</w:t>
      </w:r>
      <w:r/>
    </w:p>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法定代表人或其委托代理人：               法定代表人或其委托代理人：</w:t>
      </w:r>
      <w:r/>
    </w:p>
    <w:p>
      <w:pPr>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（签名）                                 （签名）</w:t>
      </w:r>
      <w:r/>
    </w:p>
    <w:p>
      <w:pPr>
        <w:jc w:val="both"/>
        <w:spacing w:line="360" w:lineRule="auto"/>
        <w:tabs>
          <w:tab w:val="left" w:pos="4410"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组织机构代码：                           组织机构代码：  </w:t>
      </w:r>
      <w:r/>
    </w:p>
    <w:p>
      <w:pPr>
        <w:ind w:left="5250" w:hanging="525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地  址：                                 地  址： </w:t>
      </w:r>
      <w:r/>
    </w:p>
    <w:p>
      <w:pPr>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邮政编码：                               邮政编码： </w:t>
      </w:r>
      <w:r/>
    </w:p>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                       </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rPr>
        <w:t xml:space="preserve">法定代表人： </w:t>
      </w:r>
      <w:r/>
    </w:p>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委托代理人：                             委托代理人：</w:t>
      </w:r>
      <w:r/>
    </w:p>
    <w:p>
      <w:pPr>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电  话：                                 电  话： </w:t>
      </w:r>
      <w:r/>
    </w:p>
    <w:p>
      <w:pPr>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传  真：                                 传  真： </w:t>
      </w:r>
      <w:r/>
    </w:p>
    <w:p>
      <w:pPr>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电子信箱：                               电子信箱： </w:t>
      </w:r>
      <w:r/>
    </w:p>
    <w:p>
      <w:pPr>
        <w:ind w:left="5460" w:hanging="546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开户银行：                              开户银行： </w:t>
      </w:r>
      <w:r/>
    </w:p>
    <w:p>
      <w:pPr>
        <w:ind w:left="5460" w:hanging="5460"/>
        <w:jc w:val="both"/>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1"/>
          <w:highlight w:val="none"/>
          <w:lang w:eastAsia="zh-CN"/>
        </w:rPr>
        <w:t xml:space="preserve">账  号：                                 账 号：</w:t>
      </w:r>
      <w:bookmarkStart w:id="69" w:name="_Toc351203494"/>
      <w:r/>
      <w:bookmarkStart w:id="70" w:name="_Toc36797913"/>
      <w:r/>
      <w:bookmarkStart w:id="71" w:name="_Toc351203652"/>
      <w:r/>
      <w:r/>
    </w:p>
    <w:p>
      <w:pPr>
        <w:ind w:left="7830" w:hanging="4640"/>
        <w:jc w:val="both"/>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32"/>
          <w:szCs w:val="32"/>
          <w:highlight w:val="none"/>
          <w:lang w:eastAsia="zh-CN"/>
        </w:rPr>
        <w:br w:type="page" w:clear="all"/>
      </w:r>
      <w:r>
        <w:rPr>
          <w:rFonts w:hint="eastAsia" w:ascii="宋体" w:hAnsi="宋体" w:eastAsia="宋体" w:cs="宋体"/>
          <w:color w:val="auto"/>
          <w:sz w:val="32"/>
          <w:szCs w:val="32"/>
          <w:highlight w:val="none"/>
          <w:lang w:eastAsia="zh-CN"/>
        </w:rPr>
        <w:t xml:space="preserve">第二部分 通用合同条款</w:t>
      </w:r>
      <w:bookmarkEnd w:id="69"/>
      <w:r/>
      <w:bookmarkEnd w:id="70"/>
      <w:r/>
      <w:bookmarkStart w:id="72" w:name="_Toc351203495"/>
      <w:r/>
      <w:bookmarkStart w:id="73" w:name="_Toc337558727"/>
      <w:r/>
      <w:r/>
    </w:p>
    <w:p>
      <w:pP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w:t>
      </w:r>
      <w:bookmarkStart w:id="74" w:name="_Toc303538972"/>
      <w:r/>
      <w:bookmarkEnd w:id="74"/>
      <w:r/>
      <w:bookmarkStart w:id="75" w:name="_Toc303538976"/>
      <w:r/>
      <w:bookmarkEnd w:id="75"/>
      <w:r/>
      <w:bookmarkStart w:id="76" w:name="_Toc303538975"/>
      <w:r/>
      <w:bookmarkEnd w:id="76"/>
      <w:r/>
      <w:bookmarkStart w:id="77" w:name="_Toc303538973"/>
      <w:r/>
      <w:bookmarkEnd w:id="77"/>
      <w:r/>
      <w:bookmarkStart w:id="78" w:name="_Toc303538974"/>
      <w:r/>
      <w:bookmarkEnd w:id="78"/>
      <w:r/>
      <w:bookmarkStart w:id="79" w:name="_Toc296503027"/>
      <w:r/>
      <w:bookmarkStart w:id="80" w:name="_Toc296346528"/>
      <w:r>
        <w:rPr>
          <w:rFonts w:hint="eastAsia" w:ascii="宋体" w:hAnsi="宋体" w:eastAsia="宋体" w:cs="宋体"/>
          <w:color w:val="auto"/>
          <w:sz w:val="21"/>
          <w:szCs w:val="21"/>
          <w:highlight w:val="none"/>
          <w:lang w:eastAsia="zh-CN"/>
        </w:rPr>
        <w:t xml:space="preserve"> 一般约定</w:t>
      </w:r>
      <w:bookmarkEnd w:id="72"/>
      <w:r/>
      <w:bookmarkEnd w:id="73"/>
      <w:r/>
      <w:bookmarkEnd w:id="79"/>
      <w:r/>
      <w:bookmarkEnd w:id="80"/>
      <w:r/>
      <w:r/>
    </w:p>
    <w:p>
      <w:pPr>
        <w:rPr>
          <w:rFonts w:hint="eastAsia" w:cs="宋体"/>
          <w:color w:val="auto"/>
          <w:sz w:val="21"/>
          <w:szCs w:val="21"/>
          <w:highlight w:val="none"/>
          <w:lang w:eastAsia="zh-CN"/>
        </w:rPr>
      </w:pPr>
      <w:r/>
      <w:bookmarkStart w:id="81" w:name="_Toc337558728"/>
      <w:r/>
      <w:bookmarkStart w:id="82" w:name="_Toc296346529"/>
      <w:r/>
      <w:bookmarkStart w:id="83" w:name="_Toc296503028"/>
      <w:r/>
      <w:bookmarkStart w:id="84" w:name="_Toc351203496"/>
      <w:r>
        <w:rPr>
          <w:rFonts w:hint="eastAsia" w:cs="宋体"/>
          <w:color w:val="auto"/>
          <w:sz w:val="21"/>
          <w:szCs w:val="21"/>
          <w:highlight w:val="none"/>
          <w:lang w:eastAsia="zh-CN"/>
        </w:rPr>
        <w:t xml:space="preserve">1.1词语定义</w:t>
      </w:r>
      <w:bookmarkEnd w:id="81"/>
      <w:r/>
      <w:bookmarkEnd w:id="82"/>
      <w:r/>
      <w:bookmarkEnd w:id="83"/>
      <w:r>
        <w:rPr>
          <w:rFonts w:hint="eastAsia" w:cs="宋体"/>
          <w:color w:val="auto"/>
          <w:sz w:val="21"/>
          <w:szCs w:val="21"/>
          <w:highlight w:val="none"/>
          <w:lang w:eastAsia="zh-CN"/>
        </w:rPr>
        <w:t xml:space="preserve">与解释</w:t>
      </w:r>
      <w:bookmarkEnd w:id="84"/>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合同协议书、通用合同条款、专用合同条款中的下列词语具有本款所赋予的含义：</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1.1.1 合同</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1.1.1.1 合同：是指根据法律规定和合同当事人约定具有约束力的文件，构成合同的文件包括合同协议书、中标通知书（如果有）、投标函及其附录（如果有）、专用合同条款及其附件、通用合同条款、技术标准和要求、图纸、已标价工程量清单或预算书以及其他合同文件。</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1.1.1.2 合同协议书：是指构成合同的由发包人和承包人共同签署的称为“合同协议书”的书面文件。</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1.1.1.3 中标通知书：是指构成合同的由发包人通知承包人中标的书面文件。</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1.1.1.4 投标函：是指构成合同的由承包人填写并签署的用于投标的称为“投标函”的文件。</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1.1.1.5 投标函附录：是指构成合同的附在投标函后的称为“投标函附录”的文件。</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1.1.1.6 技术标准和要求：是指构成合同的施工应当遵守的或指导施工的国家、行业或地方的技术标准和要求，以及合同约定的技术标准和要求。</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1.1.1.7 图纸：是指构成合同的图纸，包括由发包人按照合同约定提供或经发包人批准的设计文件、施工图、鸟瞰图及模型等，以及在合同履行过程中形成的图纸文件。图纸应当按照法律规定审查合格。</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1.1.1.8 已标价工程量清单：是指构成合同的由承包人按照规定的格式和要求填写并标明价格的工程量清单，包括说明和表格。</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1.1.1.9 预算书：是指构成合同的由承包人按照发包人规定的格式和要求编制的工程预算文件。</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1.1.1.10 其他合同文件：是指经合同当事人约定的与工程施工有关的具有合同约束力的文件或书面协议。合同当事人可以在专用合同条款中进行约定。</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    1.1.2 合同当事人及其他相关方</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1.1.2.1 合同当事人：是指发包人和（或）承包人。</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1.1.2.2 发包人：是指与承包人签订合同协议书的当事人及取得该当事人资格的合法继承人。</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1.1.2.3 承包人：是指与发包人签订合同协议书的，具有相应工程施工承包资质的当事人及取得该当事人资格的合法继承人。</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1.1.2.4 监理人：是指在专用合同条款中指明的，受发包人委托按照法律规定进行工程监督管理的法人或其他组织。</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1.1.2.5 设计人：是指在专用合同条款中指明的，受发包人委托负责工程设计并具备相应工程设计资质的法人或其他组织。</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1.1.2.6 分包人：</w:t>
      </w:r>
      <w:bookmarkStart w:id="85" w:name="#go5"/>
      <w:r/>
      <w:bookmarkEnd w:id="85"/>
      <w:r>
        <w:rPr>
          <w:rFonts w:hint="eastAsia" w:ascii="宋体" w:hAnsi="宋体" w:eastAsia="宋体" w:cs="宋体"/>
          <w:color w:val="auto"/>
          <w:sz w:val="21"/>
          <w:szCs w:val="21"/>
          <w:highlight w:val="none"/>
          <w:lang w:eastAsia="zh-CN"/>
        </w:rPr>
        <w:t xml:space="preserve">是指按照法律规定和合同约定，分包部分工程或工作，并与承包人签订分包合同的具有相应资质的法人。</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1.1.2.7 发包人代表：是指由发包人任命并派驻施工现场在发包人授权范围内行使发包人权利的人。</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1.1.2.8 项目经理：是指由承包人任命并派驻施工现场，在承包人授权范围内负责合同履行，且按照法律规定具有相应资格的项目负责人。</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1.1.2.9 总监理工程师：是指由监理人任命并派驻施工现场进行工程监理的总负责人。</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1.1.3 工程和设备</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1.1.3.1 工程：是指与合同协议书中工程承包范围对应的永久工程和（或）临时工程。</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1.1.3.2 永久工程：是指按合同约定建造并移交给发包人的工程，包括工程设备。</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1.1.3.3 临时工程：是指为完成合同约定的永久工程所修建的各类临时性工程，不包括施工设备。</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1.1.3.4 单位工程：是指在合同协议书中指明的，具备独立施工条件并能形成独立使用功能的永久工程。</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1.1.3.5 工程设备：是指构成永久工程的机电设备、金属结构设备、仪器及其他类似的设备和装置。</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1.1.3.6 施工设备：是指为完成合同约定的各项工作所需的设备、器具和其他物品，但不包括工程设备、临时工程和材料。</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1.1.3.7 施工现场：是指用于工程施工的场所，以及在专用合同条款中指明作为施工场所组成部分的其他场所，包括永久占地和临时占地。</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1.1.3.8临时设施：是指为完成合同约定的各项工作所服务的临时性生产和生活设施。</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1.1.3.9 永久占地：是指专用合同条款中指明为实施工程需永久占用的土地。</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1.1.3.10 临时占地：是指专用合同条款中指明为实施工程需要临时占用的土地。</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1.1.4 日期和期限</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1.1.4.1 开工日期：包括计划开工日期和实际开工日期。计划开工日期是指合同协议书约定的开工日期；实际开工日期是指监理人按照第7.3.2项〔开工通知〕约定发出的符合法律规定的开工通知中载明的开工日期。</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1.1.4.2 竣工日期：包括计划竣工日期和实际竣工日期。计划竣工日期是指合同协议书约定的竣工日期；实际竣工日期按照第13.2.3项〔竣工日期〕的约定确定。 </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1.1.4.3 工期：是指在合同协议书约定的承包人完成工程所需的期限，包括按照合同约定所作的期限变更。</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1.1.4.4 缺陷责任期：是指承包人按照合同约定承担缺陷修复义务，且发包人预留质量保证金（已缴纳履约保证金的除外）的期限，自工程实际竣工日期起计算。</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1.1.4.5 保修期：是指承包人按照合同约定对工程承担保修责任的期限，从工程竣工验收合格之日起计算。</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1.1.4.6 基准日期：招标发包的工程以投标截止日前28天的日期为基准日期，直接发包的工程以合同签订日前28天的日期为基准日期。</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1.1.4.7 天：除特别指明外，均指日历天。合同中按天计算时间的，开始当天不计入，从次日开始计算，期限最后一天的截止时间为当天24:00时。</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1.1.5 合同价格和费用</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1.1.5.1 签约合同价：是指发包人和承包人在合同协议书中确定的总金额，包括安全文明施工费、暂估价及暂列金额等。</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1.1.5.2 合同价格：是指发包人用于支付承包人按照合同约定完成承包范围内全部工作的金额，包括合同履行过程中按合同约定发生的价格变化。</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1.1.5.3 费用：是指为履行合同所发生的或将要发生的所有必需的开支，包括管理费和应分摊的其他费用，但不包括利润。</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1.1.5.4 暂估价：是指发包人在工程量清单或预算书中提供的用于支付必然发生但暂时不能确定价格的材料、工程设备的单价、专业工程以及服务工作的金额。</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1.1.5.5 暂列金额：是指发包人在工程量清单或预算书中暂定并包括在合同价格中的一笔款项，用于工程合同签订时尚未确定或者不可预见的所需材料、工程设备、服务的采购，施工中可能发生的工程变更、合同约定调整因素出现时的合同价格调整以及发生的索赔、现场签证确认等的费用。</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1.1.5.6 计日工：是指合同履行过程中，承包人完成发包人提出的零星工作或需要采用计日工计价的变更工作时，按合同中约定的单价计价的一种方式。</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1.1.5.7 质量保证金</w:t>
      </w:r>
      <w:bookmarkStart w:id="86" w:name="#go2"/>
      <w:r/>
      <w:bookmarkEnd w:id="86"/>
      <w:r>
        <w:rPr>
          <w:rFonts w:hint="eastAsia" w:ascii="宋体" w:hAnsi="宋体" w:eastAsia="宋体" w:cs="宋体"/>
          <w:color w:val="auto"/>
          <w:sz w:val="21"/>
          <w:szCs w:val="21"/>
          <w:highlight w:val="none"/>
          <w:lang w:eastAsia="zh-CN"/>
        </w:rPr>
        <w:t xml:space="preserve">：是指按照第15.3款〔质量保证金〕约定承包人用于保证其在缺陷责任期内履行缺陷修补义务的担保。</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1.1.5.8 总价项目：是指在现行国家、行业以及地方的计量规则中无工程量计算规则，在已标价工程量清单或预算书中以总价或以费率形式计算的项目。</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1.1.6 其他</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1.1.6.1 书面形式：是指合同文件、信函、电报、传真等可以有形地表现所载内容的形式。</w:t>
      </w:r>
      <w:r/>
    </w:p>
    <w:p>
      <w:pPr>
        <w:rPr>
          <w:rFonts w:hint="eastAsia" w:cs="宋体"/>
          <w:color w:val="auto"/>
          <w:sz w:val="21"/>
          <w:szCs w:val="21"/>
          <w:highlight w:val="none"/>
          <w:lang w:eastAsia="zh-CN"/>
        </w:rPr>
      </w:pPr>
      <w:r/>
      <w:bookmarkStart w:id="87" w:name="_Toc337558729"/>
      <w:r/>
      <w:bookmarkStart w:id="88" w:name="_Toc351203497"/>
      <w:r/>
      <w:bookmarkStart w:id="89" w:name="_Toc296503029"/>
      <w:r/>
      <w:bookmarkStart w:id="90" w:name="_Toc296346530"/>
      <w:r>
        <w:rPr>
          <w:rFonts w:hint="eastAsia" w:cs="宋体"/>
          <w:color w:val="auto"/>
          <w:sz w:val="21"/>
          <w:szCs w:val="21"/>
          <w:highlight w:val="none"/>
          <w:lang w:eastAsia="zh-CN"/>
        </w:rPr>
        <w:t xml:space="preserve">1.2语言文字</w:t>
      </w:r>
      <w:bookmarkEnd w:id="87"/>
      <w:r/>
      <w:bookmarkEnd w:id="88"/>
      <w:r/>
      <w:bookmarkEnd w:id="89"/>
      <w:r/>
      <w:bookmarkEnd w:id="90"/>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合同以中国的汉语简体文字编写、解释和说明。合同当事人在专用合同条款中约定使用两种以上语言时，汉语为优先解释和说明合同的语言。</w:t>
      </w:r>
      <w:r/>
    </w:p>
    <w:p>
      <w:pPr>
        <w:rPr>
          <w:rFonts w:hint="eastAsia" w:cs="宋体"/>
          <w:color w:val="auto"/>
          <w:sz w:val="21"/>
          <w:szCs w:val="21"/>
          <w:highlight w:val="none"/>
          <w:lang w:eastAsia="zh-CN"/>
        </w:rPr>
      </w:pPr>
      <w:r/>
      <w:bookmarkStart w:id="91" w:name="_Toc296346531"/>
      <w:r/>
      <w:bookmarkStart w:id="92" w:name="_Toc351203498"/>
      <w:r/>
      <w:bookmarkStart w:id="93" w:name="_Toc337558730"/>
      <w:r/>
      <w:bookmarkStart w:id="94" w:name="_Toc296503030"/>
      <w:r>
        <w:rPr>
          <w:rFonts w:hint="eastAsia" w:cs="宋体"/>
          <w:color w:val="auto"/>
          <w:sz w:val="21"/>
          <w:szCs w:val="21"/>
          <w:highlight w:val="none"/>
          <w:lang w:eastAsia="zh-CN"/>
        </w:rPr>
        <w:t xml:space="preserve">1.3法律</w:t>
      </w:r>
      <w:bookmarkEnd w:id="91"/>
      <w:r/>
      <w:bookmarkEnd w:id="92"/>
      <w:r/>
      <w:bookmarkEnd w:id="93"/>
      <w:r/>
      <w:bookmarkEnd w:id="94"/>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合同所称法律是指中华人民共和国法律、行政法规、部门规章，以及工程所在地的地方性法规、自治条例、单行条例和地方政府规章等。</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合同当事人可以在专用合同条款中约定合同适用的其他规范性文件。</w:t>
      </w:r>
      <w:r/>
    </w:p>
    <w:p>
      <w:pPr>
        <w:rPr>
          <w:rFonts w:hint="eastAsia" w:cs="宋体"/>
          <w:color w:val="auto"/>
          <w:sz w:val="21"/>
          <w:szCs w:val="21"/>
          <w:highlight w:val="none"/>
          <w:lang w:eastAsia="zh-CN"/>
        </w:rPr>
      </w:pPr>
      <w:r/>
      <w:bookmarkStart w:id="95" w:name="_Toc351203499"/>
      <w:r>
        <w:rPr>
          <w:rFonts w:hint="eastAsia" w:cs="宋体"/>
          <w:color w:val="auto"/>
          <w:sz w:val="21"/>
          <w:szCs w:val="21"/>
          <w:highlight w:val="none"/>
          <w:lang w:eastAsia="zh-CN"/>
        </w:rPr>
        <w:t xml:space="preserve">1.4 标准和规范</w:t>
      </w:r>
      <w:bookmarkEnd w:id="95"/>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1.4.1 适用于工程的国家标准、行业标准、工程所在地的地方性标准，以及相应的规范、规程等，合同当事人有特别要求的，应在专用合同条款中约定。</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1.4.2 发包人要求使用国外标准、规范的，发包人负责提供原文版本和中文译本，并在专用合同条款中约定提供标准规范的名称、份数和时间。</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1.4.3 发包人对工程的技术标准、功能要求高于或严于现行国家、行业或地方标准的，应当在专用合同条款中予以明确。除专用合同条款另有约定外，应视为承包人在签订合同前已充分预见前述技术标准和功能要求的复杂程度，签约合同价中已包含由此产生的费用。</w:t>
      </w:r>
      <w:r/>
    </w:p>
    <w:p>
      <w:pPr>
        <w:rPr>
          <w:rFonts w:hint="eastAsia" w:cs="宋体"/>
          <w:color w:val="auto"/>
          <w:sz w:val="21"/>
          <w:szCs w:val="21"/>
          <w:highlight w:val="none"/>
          <w:lang w:eastAsia="zh-CN"/>
        </w:rPr>
      </w:pPr>
      <w:r/>
      <w:bookmarkStart w:id="96" w:name="_Toc351203500"/>
      <w:r>
        <w:rPr>
          <w:rFonts w:hint="eastAsia" w:cs="宋体"/>
          <w:color w:val="auto"/>
          <w:sz w:val="21"/>
          <w:szCs w:val="21"/>
          <w:highlight w:val="none"/>
          <w:lang w:eastAsia="zh-CN"/>
        </w:rPr>
        <w:t xml:space="preserve">1</w:t>
      </w:r>
      <w:bookmarkStart w:id="97" w:name="_Toc296346532"/>
      <w:r/>
      <w:bookmarkStart w:id="98" w:name="_Toc296503031"/>
      <w:r/>
      <w:bookmarkStart w:id="99" w:name="_Toc337558731"/>
      <w:r>
        <w:rPr>
          <w:rFonts w:hint="eastAsia" w:cs="宋体"/>
          <w:color w:val="auto"/>
          <w:sz w:val="21"/>
          <w:szCs w:val="21"/>
          <w:highlight w:val="none"/>
          <w:lang w:eastAsia="zh-CN"/>
        </w:rPr>
        <w:t xml:space="preserve">.5 合同文件的优先顺序</w:t>
      </w:r>
      <w:bookmarkEnd w:id="96"/>
      <w:r/>
      <w:bookmarkEnd w:id="97"/>
      <w:bookmarkEnd w:id="98"/>
      <w:bookmarkEnd w:id="99"/>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组成合同的各项文件应互相解释，互为说明。除专用合同条款另有约定外，解释合同文件的优先顺序如下：</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（1）合同协议书；</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（2）中标通知书（如果有）；</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（3）投标函及其附录（如果有）；</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（4）专用合同条款及其附件；</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（5）通用合同条款；</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（6）技术标准和要求；</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（7）图纸；</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（8）已标价工程量清单或预算书；</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（9）其他合同文件。</w:t>
      </w:r>
      <w:r/>
    </w:p>
    <w:p>
      <w:pPr>
        <w:ind w:firstLine="447"/>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上述各项合同文件包括合同当事人就该项合同文件所作出的补充和修改，属于同一类内容的文件，应以最新签署的为准。</w:t>
      </w:r>
      <w:r/>
    </w:p>
    <w:p>
      <w:pPr>
        <w:ind w:firstLine="447"/>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在合同订立及履行过程中形成的与合同有关的文件均构成合同文件组成部分，并根据其性质确定优先解释顺序。</w:t>
      </w:r>
      <w:r/>
    </w:p>
    <w:p>
      <w:pPr>
        <w:rPr>
          <w:rFonts w:hint="eastAsia" w:cs="宋体"/>
          <w:color w:val="auto"/>
          <w:sz w:val="21"/>
          <w:szCs w:val="21"/>
          <w:highlight w:val="none"/>
          <w:lang w:eastAsia="zh-CN"/>
        </w:rPr>
      </w:pPr>
      <w:r/>
      <w:bookmarkStart w:id="100" w:name="_Toc351203501"/>
      <w:r>
        <w:rPr>
          <w:rFonts w:hint="eastAsia" w:cs="宋体"/>
          <w:color w:val="auto"/>
          <w:sz w:val="21"/>
          <w:szCs w:val="21"/>
          <w:highlight w:val="none"/>
          <w:lang w:eastAsia="zh-CN"/>
        </w:rPr>
        <w:t xml:space="preserve">1</w:t>
      </w:r>
      <w:bookmarkStart w:id="101" w:name="_Toc337558732"/>
      <w:r/>
      <w:bookmarkStart w:id="102" w:name="_Toc296346533"/>
      <w:r/>
      <w:bookmarkStart w:id="103" w:name="_Toc296503032"/>
      <w:r>
        <w:rPr>
          <w:rFonts w:hint="eastAsia" w:cs="宋体"/>
          <w:color w:val="auto"/>
          <w:sz w:val="21"/>
          <w:szCs w:val="21"/>
          <w:highlight w:val="none"/>
          <w:lang w:eastAsia="zh-CN"/>
        </w:rPr>
        <w:t xml:space="preserve">.6图纸和承包人文件</w:t>
      </w:r>
      <w:bookmarkEnd w:id="100"/>
      <w:r/>
      <w:bookmarkEnd w:id="101"/>
      <w:bookmarkEnd w:id="102"/>
      <w:bookmarkEnd w:id="103"/>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1.6.1 图纸的提供和交底</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发包人应按照专用合同条款约定的期限、数量和内容向承包人免费提供图纸，并组织承包人、监理人和设计人进行图纸会审和设计交底。发包人至迟不得晚于第7.3.2项〔开工通知〕载明的开工日期前14天向承包人提供图纸。</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因发包人未按合同约定提供图纸导致承包人费用增加和（或）工期延误的，按照第7.5.1项〔因发包人原因导致工期延误〕约定办理。</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1.6.2 图纸的错误</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承包人在收到发包人提供的图纸后，发现图纸存在差错、遗漏或缺陷的，应及时通知监理人。监理人接到该通知后，应附具相关意见并立即报送发包人，发包人应在收到监理人报送的通知后的合理时间内作出决定。合理时间是指发包人在收到监理人的报送通知后，尽其努力且不懈怠地完成图纸修改补充所需的时间。</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1.6.3 图纸的修改和补充</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图纸需要修改和补充的，应经图纸原设计人及审批部门同意，并由监理人在工程或工程相应部位施工前将修改后的图纸或补充图纸提交给承包人，承包人应按修改或补充后的图纸施工。</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1.6.4 承包人文件</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承包人应按照专用合同条款的约定提供应当由其编制的与工程施工有关的文件，并按照专用合同条款约定的期限、数量和形式提交监理人，并由监理人报送发包人。</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除专用合同条款另有约定外，监理人应在收到承包人文件后7天内审查完毕，监理人对承包人文件有异议的，承包人应予以修改，并重新报送监理人。监理人的审查并不减轻或免除承包人根据合同约定应当承担的责任。</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1.6.5 图纸和承包人文件的保管</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除专用合同条款另有约定外，承包人应在施工现场另外保存一套完整的图纸和承包人文件，供发包人、监理人及有关人员进行工程检查时使用。</w:t>
      </w:r>
      <w:r/>
    </w:p>
    <w:p>
      <w:pPr>
        <w:rPr>
          <w:rFonts w:hint="eastAsia" w:cs="宋体"/>
          <w:color w:val="auto"/>
          <w:sz w:val="21"/>
          <w:szCs w:val="21"/>
          <w:highlight w:val="none"/>
          <w:lang w:eastAsia="zh-CN"/>
        </w:rPr>
      </w:pPr>
      <w:r/>
      <w:bookmarkStart w:id="104" w:name="_Toc351203502"/>
      <w:r>
        <w:rPr>
          <w:rFonts w:hint="eastAsia" w:cs="宋体"/>
          <w:color w:val="auto"/>
          <w:sz w:val="21"/>
          <w:szCs w:val="21"/>
          <w:highlight w:val="none"/>
          <w:lang w:eastAsia="zh-CN"/>
        </w:rPr>
        <w:t xml:space="preserve">1</w:t>
      </w:r>
      <w:bookmarkStart w:id="105" w:name="_Toc337558733"/>
      <w:r/>
      <w:bookmarkStart w:id="106" w:name="_Toc296503033"/>
      <w:r/>
      <w:bookmarkStart w:id="107" w:name="_Toc296346534"/>
      <w:r>
        <w:rPr>
          <w:rFonts w:hint="eastAsia" w:cs="宋体"/>
          <w:color w:val="auto"/>
          <w:sz w:val="21"/>
          <w:szCs w:val="21"/>
          <w:highlight w:val="none"/>
          <w:lang w:eastAsia="zh-CN"/>
        </w:rPr>
        <w:t xml:space="preserve">.7联络</w:t>
      </w:r>
      <w:bookmarkEnd w:id="104"/>
      <w:r/>
      <w:bookmarkEnd w:id="105"/>
      <w:bookmarkEnd w:id="106"/>
      <w:bookmarkEnd w:id="107"/>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1.7.1 与合同有关的通知、批准、证明、证书、指示、指令、要求、请求、同意、意见、确定和决定等，均应采用书面形式，并应在合同约定的期限内送达接收人和送达地点。</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1.7.2 发包人和承包人应在专用合同条款中约定各自的送达接收人和送达地点。任何一方合同当事人指定的接收人或送达地点发生变动的，应提前3天以书面形式通知对方。</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1.7.3 发包人和承包人应当及时签收另一方送达至送达地点和指定接收人的来往信函。拒不签收的，由此增加的费用和（或）延误的工期由拒绝接收一方承担。</w:t>
      </w:r>
      <w:r/>
    </w:p>
    <w:p>
      <w:pPr>
        <w:rPr>
          <w:rFonts w:hint="eastAsia" w:cs="宋体"/>
          <w:color w:val="auto"/>
          <w:sz w:val="21"/>
          <w:szCs w:val="21"/>
          <w:highlight w:val="none"/>
          <w:lang w:eastAsia="zh-CN"/>
        </w:rPr>
      </w:pPr>
      <w:r/>
      <w:bookmarkStart w:id="108" w:name="_Toc351203503"/>
      <w:r>
        <w:rPr>
          <w:rFonts w:hint="eastAsia" w:cs="宋体"/>
          <w:color w:val="auto"/>
          <w:sz w:val="21"/>
          <w:szCs w:val="21"/>
          <w:highlight w:val="none"/>
          <w:lang w:eastAsia="zh-CN"/>
        </w:rPr>
        <w:t xml:space="preserve">1</w:t>
      </w:r>
      <w:bookmarkStart w:id="109" w:name="_Toc296503035"/>
      <w:r/>
      <w:bookmarkStart w:id="110" w:name="_Toc337558734"/>
      <w:r/>
      <w:bookmarkStart w:id="111" w:name="_Toc296346536"/>
      <w:r>
        <w:rPr>
          <w:rFonts w:hint="eastAsia" w:cs="宋体"/>
          <w:color w:val="auto"/>
          <w:sz w:val="21"/>
          <w:szCs w:val="21"/>
          <w:highlight w:val="none"/>
          <w:lang w:eastAsia="zh-CN"/>
        </w:rPr>
        <w:t xml:space="preserve">.8严禁贿赂</w:t>
      </w:r>
      <w:bookmarkEnd w:id="108"/>
      <w:r/>
      <w:bookmarkEnd w:id="109"/>
      <w:bookmarkEnd w:id="110"/>
      <w:bookmarkEnd w:id="111"/>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合同当事人不得以贿赂或变相贿赂的方式，谋取非法利益或损害对方权益。因一方合同当事人的贿赂造成对方损失的，应赔偿损失，并承担相应的法律责任。</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承包人不得与监理人或发包人聘请的第三方串通损害发包人利益。未经发包人书面同意，承包人不得为监理人提供合同约定以外的通讯设备、交通工具及其他任何形式的利益，不得向监理人支付报酬。</w:t>
      </w:r>
      <w:r/>
    </w:p>
    <w:p>
      <w:pPr>
        <w:rPr>
          <w:rFonts w:hint="eastAsia" w:cs="宋体"/>
          <w:color w:val="auto"/>
          <w:sz w:val="21"/>
          <w:szCs w:val="21"/>
          <w:highlight w:val="none"/>
          <w:lang w:eastAsia="zh-CN"/>
        </w:rPr>
      </w:pPr>
      <w:r/>
      <w:bookmarkStart w:id="112" w:name="_Toc351203504"/>
      <w:r>
        <w:rPr>
          <w:rFonts w:hint="eastAsia" w:cs="宋体"/>
          <w:color w:val="auto"/>
          <w:sz w:val="21"/>
          <w:szCs w:val="21"/>
          <w:highlight w:val="none"/>
          <w:lang w:eastAsia="zh-CN"/>
        </w:rPr>
        <w:t xml:space="preserve">1</w:t>
      </w:r>
      <w:bookmarkStart w:id="113" w:name="_Toc337558735"/>
      <w:r/>
      <w:bookmarkStart w:id="114" w:name="_Toc296503036"/>
      <w:r/>
      <w:bookmarkStart w:id="115" w:name="_Toc296346537"/>
      <w:r>
        <w:rPr>
          <w:rFonts w:hint="eastAsia" w:cs="宋体"/>
          <w:color w:val="auto"/>
          <w:sz w:val="21"/>
          <w:szCs w:val="21"/>
          <w:highlight w:val="none"/>
          <w:lang w:eastAsia="zh-CN"/>
        </w:rPr>
        <w:t xml:space="preserve">.9化石、文物</w:t>
      </w:r>
      <w:bookmarkEnd w:id="112"/>
      <w:r/>
      <w:bookmarkEnd w:id="113"/>
      <w:bookmarkEnd w:id="114"/>
      <w:bookmarkEnd w:id="115"/>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监理人。</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发包人、监理人和承包人应按有关政府行政管理部门要求采取妥善的保护措施，由此增加的费用和（或）延误的工期由发包人承担。</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承包人发现文物后不及时报告或隐瞒不报，致使文物丢失或损坏的，应赔偿损失，并承担相应的法律责任。</w:t>
      </w:r>
      <w:r/>
    </w:p>
    <w:p>
      <w:pPr>
        <w:rPr>
          <w:rFonts w:hint="eastAsia" w:cs="宋体"/>
          <w:color w:val="auto"/>
          <w:sz w:val="21"/>
          <w:szCs w:val="21"/>
          <w:highlight w:val="none"/>
          <w:lang w:eastAsia="zh-CN"/>
        </w:rPr>
      </w:pPr>
      <w:r/>
      <w:bookmarkStart w:id="116" w:name="_Toc351203505"/>
      <w:r>
        <w:rPr>
          <w:rFonts w:hint="eastAsia" w:cs="宋体"/>
          <w:color w:val="auto"/>
          <w:sz w:val="21"/>
          <w:szCs w:val="21"/>
          <w:highlight w:val="none"/>
          <w:lang w:eastAsia="zh-CN"/>
        </w:rPr>
        <w:t xml:space="preserve">1</w:t>
      </w:r>
      <w:bookmarkStart w:id="117" w:name="_Toc337558736"/>
      <w:r>
        <w:rPr>
          <w:rFonts w:hint="eastAsia" w:cs="宋体"/>
          <w:color w:val="auto"/>
          <w:sz w:val="21"/>
          <w:szCs w:val="21"/>
          <w:highlight w:val="none"/>
          <w:lang w:eastAsia="zh-CN"/>
        </w:rPr>
        <w:t xml:space="preserve">.10交通运输</w:t>
      </w:r>
      <w:bookmarkEnd w:id="116"/>
      <w:r/>
      <w:bookmarkEnd w:id="117"/>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1.10.1出入现场的权利</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除专用合同条款另有约定外，发包人应根据施工需要，负责取得出入施工现场所需的批准手续和全部权利，以及取得因施工所需修建道路、桥梁以及其他基础设施的权利，并承担相关手续费用和建设费用。承包人应协助发包人办理修建场内外道路、桥梁以及其他基础设施的手续。</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承包人应在订立合同前查勘施工现场，并根据工程规模及技术参数合理预见工程施工所需的进出施工现场的方式、手段、路径等。因承包人未合理预见所增加的费用和（或）延误的工期由承包人承担。</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1.10.2场外交通</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发包人应提供场外交通设施的技术参数和具体条件，承包人应遵守有关交通法规，严格按照道路和桥梁的限制荷载行驶，执行有关道路限速、限行、禁止超载的规定，并配合交通管理部门的监督和检查。场外交通设施无法满足工程施工需要的，由发包人负责完善并承担相关费用。</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1.10.3场内交通</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发包人应提供场内交通设施的技术参数和具体条件，并应按照专用合同条款的约定向承包人免费提供满足工程施工所需的场内道路和交通设施。因承包人原因造成上述道路或交通设施损坏的，承包人负责修复并承担由此增加的费用。</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除发包人按照合同约定提供的场内道路和交通设施外，承包人负责修建、维修、养护和管理施工所需的其他场内临时道路和交通设施。发包人和监理人可以为实现合同目的使用承包人修建的场内临时道路和交通设施。</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场外交通和场内交通的边界由合同当事人在专用合同条款中约定。</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1.10.4超大件和超重件的运输</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1.10.5道路和桥梁的损坏责任</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因承包人运输造成施工场地内外公共道路和桥梁损坏的，由承包人承担修复损坏的全部费用和可能引起的赔偿。</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1.10.6水路和航空运输</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本款前述各项的内容适用于水路运输和航空运输，其中“道路”一词的涵义包括河道、航线、船闸、机场、码头、堤防以及水路或航空运输中其他相似结构物；“车辆”一词的涵义包括船舶和飞机等。</w:t>
      </w:r>
      <w:r/>
    </w:p>
    <w:p>
      <w:pPr>
        <w:rPr>
          <w:rFonts w:hint="eastAsia" w:cs="宋体"/>
          <w:color w:val="auto"/>
          <w:sz w:val="21"/>
          <w:szCs w:val="21"/>
          <w:highlight w:val="none"/>
          <w:lang w:eastAsia="zh-CN"/>
        </w:rPr>
      </w:pPr>
      <w:r/>
      <w:bookmarkStart w:id="118" w:name="_Toc351203506"/>
      <w:r>
        <w:rPr>
          <w:rFonts w:hint="eastAsia" w:cs="宋体"/>
          <w:color w:val="auto"/>
          <w:sz w:val="21"/>
          <w:szCs w:val="21"/>
          <w:highlight w:val="none"/>
          <w:lang w:eastAsia="zh-CN"/>
        </w:rPr>
        <w:t xml:space="preserve">1</w:t>
      </w:r>
      <w:bookmarkStart w:id="119" w:name="_Toc337558737"/>
      <w:r/>
      <w:bookmarkStart w:id="120" w:name="_Toc296346538"/>
      <w:r/>
      <w:bookmarkStart w:id="121" w:name="_Toc296503037"/>
      <w:r>
        <w:rPr>
          <w:rFonts w:hint="eastAsia" w:cs="宋体"/>
          <w:color w:val="auto"/>
          <w:sz w:val="21"/>
          <w:szCs w:val="21"/>
          <w:highlight w:val="none"/>
          <w:lang w:eastAsia="zh-CN"/>
        </w:rPr>
        <w:t xml:space="preserve">.11知识产权</w:t>
      </w:r>
      <w:bookmarkEnd w:id="118"/>
      <w:r/>
      <w:bookmarkEnd w:id="119"/>
      <w:r/>
      <w:bookmarkEnd w:id="120"/>
      <w:bookmarkEnd w:id="121"/>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1.11.1 除专用合同条款另有约定外，发包人提供给承包人的图纸、发包人为实施工程自行编制或委托编制的技术规范以及反映发包人要求的或其他类似性质的文件的著作权属于发包人，承包人可以为实现合同目的而复制、使用此类文件，但不能用于与合同无关的其他事项。未经发包人书面同意，承包人不得为了合同以外的目的而复制、使用上述文件或将之提供给任何第三方。</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1.11.2 除专用合同条款另有约定外，承包人为实施工程所编制的文件，除署名权以外的著作权属于发包人，承包人可因实施工程的运行、调试、维修、改造等目的而复制、使用此类文件，但不能用于与合同无关的其他事项。未经发包人书面同意，承包人不得为了合同以外的目的而复制、使用上述文件或将之提供给任何第三方。</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1.11.3 合同当事人保证在履行合同过程中不侵犯对方及第三方的知识产权。承包人在使用材料、施工设备、工程设备或采用施工工艺时，因侵犯他人的专利权或其他知识产权所引起的责任，由承包人承担；因发包人提供的材料、施工设备、工程设备或施工工艺导致侵权的，由发包人承担责任。</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1.11.4 除专用合同条款另有约定外，承包人在合同签订前和签订时已确定采用的专利、专有技术、技术秘密的使用费已包含在签约合同价中。</w:t>
      </w:r>
      <w:r/>
    </w:p>
    <w:p>
      <w:pPr>
        <w:rPr>
          <w:rFonts w:hint="eastAsia" w:cs="宋体"/>
          <w:color w:val="auto"/>
          <w:sz w:val="21"/>
          <w:szCs w:val="21"/>
          <w:highlight w:val="none"/>
          <w:lang w:eastAsia="zh-CN"/>
        </w:rPr>
      </w:pPr>
      <w:r/>
      <w:bookmarkStart w:id="122" w:name="_Toc351203507"/>
      <w:r>
        <w:rPr>
          <w:rFonts w:hint="eastAsia" w:cs="宋体"/>
          <w:color w:val="auto"/>
          <w:sz w:val="21"/>
          <w:szCs w:val="21"/>
          <w:highlight w:val="none"/>
          <w:lang w:eastAsia="zh-CN"/>
        </w:rPr>
        <w:t xml:space="preserve">1</w:t>
      </w:r>
      <w:bookmarkStart w:id="123" w:name="_Toc337558738"/>
      <w:r>
        <w:rPr>
          <w:rFonts w:hint="eastAsia" w:cs="宋体"/>
          <w:color w:val="auto"/>
          <w:sz w:val="21"/>
          <w:szCs w:val="21"/>
          <w:highlight w:val="none"/>
          <w:lang w:eastAsia="zh-CN"/>
        </w:rPr>
        <w:t xml:space="preserve">.12保密</w:t>
      </w:r>
      <w:bookmarkEnd w:id="122"/>
      <w:r/>
      <w:bookmarkEnd w:id="123"/>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除法律规定或合同另有约定外，未经发包人同意，承包人不得将发包人提供的图纸、文件以及声明需要保密的资料信息等商业秘密泄露给第三方。</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除法律规定或合同另有约定外，未经承包人同意，发包人不得将承包人提供的技术秘密及声明需要保密的资料信息等商业秘密泄露给第三方。</w:t>
      </w:r>
      <w:r/>
    </w:p>
    <w:p>
      <w:pPr>
        <w:rPr>
          <w:rFonts w:hint="eastAsia" w:cs="宋体"/>
          <w:color w:val="auto"/>
          <w:sz w:val="21"/>
          <w:szCs w:val="21"/>
          <w:highlight w:val="none"/>
          <w:lang w:eastAsia="zh-CN"/>
        </w:rPr>
      </w:pPr>
      <w:r/>
      <w:bookmarkStart w:id="124" w:name="_Toc351203508"/>
      <w:r>
        <w:rPr>
          <w:rFonts w:hint="eastAsia" w:cs="宋体"/>
          <w:color w:val="auto"/>
          <w:sz w:val="21"/>
          <w:szCs w:val="21"/>
          <w:highlight w:val="none"/>
          <w:lang w:eastAsia="zh-CN"/>
        </w:rPr>
        <w:t xml:space="preserve">1.13工程量清单错误的修正</w:t>
      </w:r>
      <w:bookmarkEnd w:id="124"/>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除专用合同条款另有约定外，发包人提供的工程量清单，应被认为是准确的和完整的。出现下列情形之一时，发包人应予以修正，并相应调整合同价格：</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（1）工程量清单存在缺项、漏项的；</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（2）工程量清单偏差超出专用合同条款约定的工程量偏差范围的；</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（3）未按照国家现行计量规范强制性规定计量的。</w:t>
      </w:r>
      <w:r/>
    </w:p>
    <w:p>
      <w:pPr>
        <w:rPr>
          <w:rFonts w:hint="eastAsia" w:ascii="宋体" w:hAnsi="宋体" w:eastAsia="宋体" w:cs="宋体"/>
          <w:color w:val="auto"/>
          <w:sz w:val="21"/>
          <w:szCs w:val="21"/>
          <w:highlight w:val="none"/>
          <w:lang w:eastAsia="zh-CN"/>
        </w:rPr>
      </w:pPr>
      <w:r/>
      <w:bookmarkStart w:id="125" w:name="_Toc351203509"/>
      <w:r>
        <w:rPr>
          <w:rFonts w:hint="eastAsia" w:ascii="宋体" w:hAnsi="宋体" w:eastAsia="宋体" w:cs="宋体"/>
          <w:color w:val="auto"/>
          <w:sz w:val="21"/>
          <w:szCs w:val="21"/>
          <w:highlight w:val="none"/>
          <w:lang w:eastAsia="zh-CN"/>
        </w:rPr>
        <w:t xml:space="preserve">2</w:t>
      </w:r>
      <w:bookmarkStart w:id="126" w:name="_Toc337558739"/>
      <w:r/>
      <w:bookmarkStart w:id="127" w:name="_Toc296346539"/>
      <w:r/>
      <w:bookmarkStart w:id="128" w:name="_Toc296503038"/>
      <w:r>
        <w:rPr>
          <w:rFonts w:hint="eastAsia" w:ascii="宋体" w:hAnsi="宋体" w:eastAsia="宋体" w:cs="宋体"/>
          <w:color w:val="auto"/>
          <w:sz w:val="21"/>
          <w:szCs w:val="21"/>
          <w:highlight w:val="none"/>
          <w:lang w:eastAsia="zh-CN"/>
        </w:rPr>
        <w:t xml:space="preserve">. 发包人</w:t>
      </w:r>
      <w:bookmarkEnd w:id="125"/>
      <w:r/>
      <w:bookmarkEnd w:id="126"/>
      <w:bookmarkEnd w:id="127"/>
      <w:bookmarkEnd w:id="128"/>
      <w:r/>
    </w:p>
    <w:p>
      <w:pPr>
        <w:rPr>
          <w:rFonts w:hint="eastAsia" w:cs="宋体"/>
          <w:color w:val="auto"/>
          <w:sz w:val="21"/>
          <w:szCs w:val="21"/>
          <w:highlight w:val="none"/>
          <w:lang w:eastAsia="zh-CN"/>
        </w:rPr>
      </w:pPr>
      <w:r/>
      <w:bookmarkStart w:id="129" w:name="_Toc351203510"/>
      <w:r>
        <w:rPr>
          <w:rFonts w:hint="eastAsia" w:cs="宋体"/>
          <w:color w:val="auto"/>
          <w:sz w:val="21"/>
          <w:szCs w:val="21"/>
          <w:highlight w:val="none"/>
          <w:lang w:eastAsia="zh-CN"/>
        </w:rPr>
        <w:t xml:space="preserve">2</w:t>
      </w:r>
      <w:bookmarkStart w:id="130" w:name="_Toc296503039"/>
      <w:r/>
      <w:bookmarkStart w:id="131" w:name="_Toc296346540"/>
      <w:r/>
      <w:bookmarkStart w:id="132" w:name="_Toc337558740"/>
      <w:r>
        <w:rPr>
          <w:rFonts w:hint="eastAsia" w:cs="宋体"/>
          <w:color w:val="auto"/>
          <w:sz w:val="21"/>
          <w:szCs w:val="21"/>
          <w:highlight w:val="none"/>
          <w:lang w:eastAsia="zh-CN"/>
        </w:rPr>
        <w:t xml:space="preserve">.1 许可或批准</w:t>
      </w:r>
      <w:bookmarkEnd w:id="129"/>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发包人应遵守法律，并办理法律规定由其办理的许可、批准或备案，包括但不限于建设用地规划许可证、建设工程规划许可证、建设工程施工许可证、施工所需临时用水、临时用电、中断道路交通、临时占用土地等许可和批准。发包人应协助承包人办理法律规定的有关施工证件和批件。</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因发包人原因未能及时办理完毕前述许可、批准或备案，由发包人承担由此增加的费用和（或）延误的工期，并支付承包人合理的利润。</w:t>
      </w:r>
      <w:r/>
    </w:p>
    <w:p>
      <w:pPr>
        <w:rPr>
          <w:rFonts w:hint="eastAsia" w:cs="宋体"/>
          <w:color w:val="auto"/>
          <w:sz w:val="21"/>
          <w:szCs w:val="21"/>
          <w:highlight w:val="none"/>
          <w:lang w:eastAsia="zh-CN"/>
        </w:rPr>
      </w:pPr>
      <w:r/>
      <w:bookmarkStart w:id="133" w:name="_Toc351203511"/>
      <w:r>
        <w:rPr>
          <w:rFonts w:hint="eastAsia" w:cs="宋体"/>
          <w:color w:val="auto"/>
          <w:sz w:val="21"/>
          <w:szCs w:val="21"/>
          <w:highlight w:val="none"/>
          <w:lang w:eastAsia="zh-CN"/>
        </w:rPr>
        <w:t xml:space="preserve">2.2 发包人代表</w:t>
      </w:r>
      <w:bookmarkEnd w:id="133"/>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发包人应在专用合同条款中明确其派驻施工现场的发包人代表的姓名、职务、联系方式及授权范围等事项。发包人代表在发包人的授权范围内，负责处理合同履行过程中与发包人有关的具体事宜。发包人代表在授权范围内的行为由发包人承担法律责任。发包人更换发包人代表的，应提前7天书面通知承包人。</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发包人代表不能按照合同约定履行其职责及义务，并导致合同无法继续正常履行的，承包人可以要求发包人撤换发包人代表。</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不属于法定必须监理的工程，监理人的职权可以由发包人代表或发包人指定的其他人员行使。</w:t>
      </w:r>
      <w:r/>
    </w:p>
    <w:p>
      <w:pPr>
        <w:rPr>
          <w:rFonts w:hint="eastAsia" w:cs="宋体"/>
          <w:color w:val="auto"/>
          <w:sz w:val="21"/>
          <w:szCs w:val="21"/>
          <w:highlight w:val="none"/>
          <w:lang w:eastAsia="zh-CN"/>
        </w:rPr>
      </w:pPr>
      <w:r/>
      <w:bookmarkStart w:id="134" w:name="_Toc351203512"/>
      <w:r>
        <w:rPr>
          <w:rFonts w:hint="eastAsia" w:cs="宋体"/>
          <w:color w:val="auto"/>
          <w:sz w:val="21"/>
          <w:szCs w:val="21"/>
          <w:highlight w:val="none"/>
          <w:lang w:eastAsia="zh-CN"/>
        </w:rPr>
        <w:t xml:space="preserve">2.3 发包人人员</w:t>
      </w:r>
      <w:bookmarkEnd w:id="134"/>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发包人应要求在施工现场的发包人人员遵守法律及有关安全、质量、环境保护、文明施工等规定，并保障承包人免于承受因发包人人员未遵守上述要求给承包人造成的损失和责任。</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发包人人员包括发包人代表及其他由发包人派驻施工现场的人员。</w:t>
      </w:r>
      <w:bookmarkEnd w:id="130"/>
      <w:r/>
      <w:bookmarkEnd w:id="131"/>
      <w:r/>
      <w:bookmarkEnd w:id="132"/>
      <w:r/>
      <w:r/>
    </w:p>
    <w:p>
      <w:pPr>
        <w:rPr>
          <w:rFonts w:hint="eastAsia" w:cs="宋体"/>
          <w:color w:val="auto"/>
          <w:sz w:val="21"/>
          <w:szCs w:val="21"/>
          <w:highlight w:val="none"/>
          <w:lang w:eastAsia="zh-CN"/>
        </w:rPr>
      </w:pPr>
      <w:r/>
      <w:bookmarkStart w:id="135" w:name="_Toc351203513"/>
      <w:r>
        <w:rPr>
          <w:rFonts w:hint="eastAsia" w:cs="宋体"/>
          <w:color w:val="auto"/>
          <w:sz w:val="21"/>
          <w:szCs w:val="21"/>
          <w:highlight w:val="none"/>
          <w:lang w:eastAsia="zh-CN"/>
        </w:rPr>
        <w:t xml:space="preserve">2</w:t>
      </w:r>
      <w:bookmarkStart w:id="136" w:name="_Toc296503040"/>
      <w:r/>
      <w:bookmarkStart w:id="137" w:name="_Toc296346541"/>
      <w:r/>
      <w:bookmarkStart w:id="138" w:name="_Toc337558741"/>
      <w:r>
        <w:rPr>
          <w:rFonts w:hint="eastAsia" w:cs="宋体"/>
          <w:color w:val="auto"/>
          <w:sz w:val="21"/>
          <w:szCs w:val="21"/>
          <w:highlight w:val="none"/>
          <w:lang w:eastAsia="zh-CN"/>
        </w:rPr>
        <w:t xml:space="preserve">.4 施工现场、施工条件和基础资料的提供</w:t>
      </w:r>
      <w:bookmarkEnd w:id="135"/>
      <w:r/>
      <w:bookmarkEnd w:id="136"/>
      <w:r/>
      <w:bookmarkEnd w:id="137"/>
      <w:r/>
      <w:bookmarkEnd w:id="138"/>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2.4.1 提供施工现场</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除专用合同条款另有约定外，发包人应最迟于开工日期7天前向承包人移交施工现场。</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2.4.2 提供施工条件</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除专用合同条款另有约定外，发包人应负责提供施工所需要的条件，包括：</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（1）将施工用水、电力、通讯线路等施工所必需的条件接至施工现场内；</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（2）保证向承包人提供正常施工所需要的进入施工现场的交通条件；</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（3）协调处理施工现场周围地下管线和邻近建筑物、构筑物、古树名木的保护工作，并承担相关费用；</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（4）按照专用合同条款约定应提供的其他设施和条件。</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2.4.3 提供基础资料</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发包人应当在移交施工现场前向承包人提供施工现场及工程施工所必需的毗邻区域内供水、排水、供电、供气、供热、通信、广播电视等地下管线资料，气象和水文观测资料，地质勘察资料，相邻建筑物、构筑物和地下工程等有关基础资料，并对所提供资料的真实性、准确性和完整性负责。</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按照法律规定确需在开工后方能提供的基础资料，发包人应尽其努力及时地在相应工程施工前的合理期限内提供，合理期限应以不影响承包人的正常施工为限。</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2.4.4 逾期提供的责任</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因发包人原因未能按合同约定及时向承包人提供施工现场、施工条件、基础资料的，由发包人承担由此增加的费用和（或）延误的工期。</w:t>
      </w:r>
      <w:r/>
    </w:p>
    <w:p>
      <w:pPr>
        <w:rPr>
          <w:rFonts w:hint="eastAsia" w:cs="宋体"/>
          <w:color w:val="auto"/>
          <w:sz w:val="21"/>
          <w:szCs w:val="21"/>
          <w:highlight w:val="none"/>
          <w:lang w:eastAsia="zh-CN"/>
        </w:rPr>
      </w:pPr>
      <w:r/>
      <w:bookmarkStart w:id="139" w:name="_Toc351203514"/>
      <w:r>
        <w:rPr>
          <w:rFonts w:hint="eastAsia" w:cs="宋体"/>
          <w:color w:val="auto"/>
          <w:sz w:val="21"/>
          <w:szCs w:val="21"/>
          <w:highlight w:val="none"/>
          <w:lang w:eastAsia="zh-CN"/>
        </w:rPr>
        <w:t xml:space="preserve">2</w:t>
      </w:r>
      <w:bookmarkStart w:id="140" w:name="_Toc337558745"/>
      <w:r/>
      <w:bookmarkStart w:id="141" w:name="_Toc296346543"/>
      <w:r/>
      <w:bookmarkStart w:id="142" w:name="_Toc296503042"/>
      <w:r>
        <w:rPr>
          <w:rFonts w:hint="eastAsia" w:cs="宋体"/>
          <w:color w:val="auto"/>
          <w:sz w:val="21"/>
          <w:szCs w:val="21"/>
          <w:highlight w:val="none"/>
          <w:lang w:eastAsia="zh-CN"/>
        </w:rPr>
        <w:t xml:space="preserve">.5 资</w:t>
      </w:r>
      <w:bookmarkEnd w:id="140"/>
      <w:r/>
      <w:bookmarkEnd w:id="141"/>
      <w:r/>
      <w:bookmarkEnd w:id="142"/>
      <w:r>
        <w:rPr>
          <w:rFonts w:hint="eastAsia" w:cs="宋体"/>
          <w:color w:val="auto"/>
          <w:sz w:val="21"/>
          <w:szCs w:val="21"/>
          <w:highlight w:val="none"/>
          <w:lang w:eastAsia="zh-CN"/>
        </w:rPr>
        <w:t xml:space="preserve">金来源证明及支付担保</w:t>
      </w:r>
      <w:bookmarkEnd w:id="139"/>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除专用合同条款另有约定外，发包人应在收到承包人要求提供资金来源证明的书面通知后28天内，向承包人提供能够按照合同约定支付合同价款的相应资金来源证明。</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除专用合同条款另有约定外，发包人要求承包人提供履约担保的，发包人应当向承包人提供支付担保。支付担保可以采用银行保函或担保公司担保等形式，具体由合同当事人在专用合同条款中约定。</w:t>
      </w:r>
      <w:r/>
    </w:p>
    <w:p>
      <w:pPr>
        <w:rPr>
          <w:rFonts w:hint="eastAsia" w:cs="宋体"/>
          <w:color w:val="auto"/>
          <w:sz w:val="21"/>
          <w:szCs w:val="21"/>
          <w:highlight w:val="none"/>
          <w:lang w:eastAsia="zh-CN"/>
        </w:rPr>
      </w:pPr>
      <w:r/>
      <w:bookmarkStart w:id="143" w:name="_Toc351203515"/>
      <w:r>
        <w:rPr>
          <w:rFonts w:hint="eastAsia" w:cs="宋体"/>
          <w:color w:val="auto"/>
          <w:sz w:val="21"/>
          <w:szCs w:val="21"/>
          <w:highlight w:val="none"/>
          <w:lang w:eastAsia="zh-CN"/>
        </w:rPr>
        <w:t xml:space="preserve">2.6 支付合同价款</w:t>
      </w:r>
      <w:bookmarkEnd w:id="143"/>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发包人应按合同约定向承包人及时支付合同价款。</w:t>
      </w:r>
      <w:r/>
    </w:p>
    <w:p>
      <w:pPr>
        <w:rPr>
          <w:rFonts w:hint="eastAsia" w:cs="宋体"/>
          <w:color w:val="auto"/>
          <w:sz w:val="21"/>
          <w:szCs w:val="21"/>
          <w:highlight w:val="none"/>
          <w:lang w:eastAsia="zh-CN"/>
        </w:rPr>
      </w:pPr>
      <w:r/>
      <w:bookmarkStart w:id="144" w:name="_Toc351203516"/>
      <w:r>
        <w:rPr>
          <w:rFonts w:hint="eastAsia" w:cs="宋体"/>
          <w:color w:val="auto"/>
          <w:sz w:val="21"/>
          <w:szCs w:val="21"/>
          <w:highlight w:val="none"/>
          <w:lang w:eastAsia="zh-CN"/>
        </w:rPr>
        <w:t xml:space="preserve">2.7 组织竣工验收</w:t>
      </w:r>
      <w:bookmarkEnd w:id="144"/>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发包人应按合同约定及时组织竣工验收。</w:t>
      </w:r>
      <w:r/>
    </w:p>
    <w:p>
      <w:pPr>
        <w:rPr>
          <w:rFonts w:hint="eastAsia" w:cs="宋体"/>
          <w:color w:val="auto"/>
          <w:sz w:val="21"/>
          <w:szCs w:val="21"/>
          <w:highlight w:val="none"/>
          <w:lang w:eastAsia="zh-CN"/>
        </w:rPr>
      </w:pPr>
      <w:r/>
      <w:bookmarkStart w:id="145" w:name="_Toc351203517"/>
      <w:r>
        <w:rPr>
          <w:rFonts w:hint="eastAsia" w:cs="宋体"/>
          <w:color w:val="auto"/>
          <w:sz w:val="21"/>
          <w:szCs w:val="21"/>
          <w:highlight w:val="none"/>
          <w:lang w:eastAsia="zh-CN"/>
        </w:rPr>
        <w:t xml:space="preserve">2.8 现场统一管理协议</w:t>
      </w:r>
      <w:bookmarkEnd w:id="145"/>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发包人应与承包人、由发包人直接发包的专业工程的承包人签订施工现场统一管理协议，明确各方的权利义务。施工现场统一管理协议作为专用合同条款的附件。</w:t>
      </w:r>
      <w:r/>
    </w:p>
    <w:p>
      <w:pPr>
        <w:rPr>
          <w:rFonts w:hint="eastAsia" w:ascii="宋体" w:hAnsi="宋体" w:eastAsia="宋体" w:cs="宋体"/>
          <w:color w:val="auto"/>
          <w:sz w:val="21"/>
          <w:szCs w:val="21"/>
          <w:highlight w:val="none"/>
          <w:lang w:eastAsia="zh-CN"/>
        </w:rPr>
      </w:pPr>
      <w:r/>
      <w:bookmarkStart w:id="146" w:name="_Toc351203518"/>
      <w:r>
        <w:rPr>
          <w:rFonts w:hint="eastAsia" w:ascii="宋体" w:hAnsi="宋体" w:eastAsia="宋体" w:cs="宋体"/>
          <w:color w:val="auto"/>
          <w:sz w:val="21"/>
          <w:szCs w:val="21"/>
          <w:highlight w:val="none"/>
          <w:lang w:eastAsia="zh-CN"/>
        </w:rPr>
        <w:t xml:space="preserve">3</w:t>
      </w:r>
      <w:bookmarkStart w:id="147" w:name="_Toc296503045"/>
      <w:r/>
      <w:bookmarkStart w:id="148" w:name="_Toc296346546"/>
      <w:r/>
      <w:bookmarkStart w:id="149" w:name="_Toc337558746"/>
      <w:r>
        <w:rPr>
          <w:rFonts w:hint="eastAsia" w:ascii="宋体" w:hAnsi="宋体" w:eastAsia="宋体" w:cs="宋体"/>
          <w:color w:val="auto"/>
          <w:sz w:val="21"/>
          <w:szCs w:val="21"/>
          <w:highlight w:val="none"/>
          <w:lang w:eastAsia="zh-CN"/>
        </w:rPr>
        <w:t xml:space="preserve">. 承包人</w:t>
      </w:r>
      <w:bookmarkEnd w:id="146"/>
      <w:r/>
      <w:bookmarkEnd w:id="147"/>
      <w:bookmarkEnd w:id="148"/>
      <w:bookmarkEnd w:id="149"/>
      <w:r/>
    </w:p>
    <w:p>
      <w:pPr>
        <w:rPr>
          <w:rFonts w:hint="eastAsia" w:cs="宋体"/>
          <w:color w:val="auto"/>
          <w:sz w:val="21"/>
          <w:szCs w:val="21"/>
          <w:highlight w:val="none"/>
          <w:lang w:eastAsia="zh-CN"/>
        </w:rPr>
      </w:pPr>
      <w:r/>
      <w:bookmarkStart w:id="150" w:name="_Toc351203519"/>
      <w:r>
        <w:rPr>
          <w:rFonts w:hint="eastAsia" w:cs="宋体"/>
          <w:color w:val="auto"/>
          <w:sz w:val="21"/>
          <w:szCs w:val="21"/>
          <w:highlight w:val="none"/>
          <w:lang w:eastAsia="zh-CN"/>
        </w:rPr>
        <w:t xml:space="preserve">3</w:t>
      </w:r>
      <w:bookmarkStart w:id="151" w:name="_Toc296503046"/>
      <w:r/>
      <w:bookmarkStart w:id="152" w:name="_Toc337558747"/>
      <w:r/>
      <w:bookmarkStart w:id="153" w:name="_Toc296346547"/>
      <w:r>
        <w:rPr>
          <w:rFonts w:hint="eastAsia" w:cs="宋体"/>
          <w:color w:val="auto"/>
          <w:sz w:val="21"/>
          <w:szCs w:val="21"/>
          <w:highlight w:val="none"/>
          <w:lang w:eastAsia="zh-CN"/>
        </w:rPr>
        <w:t xml:space="preserve">.1 承包人的一般义务</w:t>
      </w:r>
      <w:bookmarkEnd w:id="150"/>
      <w:r/>
      <w:bookmarkEnd w:id="151"/>
      <w:bookmarkEnd w:id="152"/>
      <w:bookmarkEnd w:id="153"/>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承包人在履行合同过程中应遵守法律和工程建设标准规范，并履行以下义务：</w:t>
      </w:r>
      <w:r/>
    </w:p>
    <w:p>
      <w:pPr>
        <w:numPr>
          <w:ilvl w:val="0"/>
          <w:numId w:val="3"/>
        </w:num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办理法律规定应由承包人办理的许可和批准，并将办理结果书面报送发包人留存；</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（2）按法律规定和合同约定完成工程，并在保修期内承担保修义务；</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（3）按法律规定和合同约定采取施工安全和环境保护措施，办理工伤保险，确保工程及人员、材料、设备和设施的安全；</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（4）按合同约定的工作内容和施工进度要求，编制施工组织设计和施工措施计划，并对所有施工作业和施工方法的完备性和安全可靠性负责；</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5）在进行合同约定的各项工作时，不得侵害发包人与他人使用公用道路、水源、市政管网等公共设施的权利，避免对邻近的公共设施产生干扰。承包人占用或使用他人的施工场地，影响他人作业或生活的，应承担相应责任；</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（6）按照第6.3款〔环境保护〕约定负责施工场地及其周边环境与生态的保护工作；</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（7）按第6.1款〔安全文明施工〕约定采取施工安全措施，确保工程及其人员、材料、设备和设施的安全，防止因工程施工造成的人身伤害和财产损失；</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（8）将发包人按合同约定支付的各项价款专用于合同工程，且应及时支付其雇用人员工资，并及时向分包人支付合同价款；</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（9）按照法律规定和合同约定编制竣工资料，完成竣工资料立卷及归档，并按专用合同条款约定的竣工资料的套数、内容、时间等要求移交发包人；</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（10）应履行的其他义务。</w:t>
      </w:r>
      <w:r/>
    </w:p>
    <w:p>
      <w:pPr>
        <w:rPr>
          <w:rFonts w:hint="eastAsia" w:cs="宋体"/>
          <w:color w:val="auto"/>
          <w:sz w:val="21"/>
          <w:szCs w:val="21"/>
          <w:highlight w:val="none"/>
          <w:lang w:eastAsia="zh-CN"/>
        </w:rPr>
      </w:pPr>
      <w:r/>
      <w:bookmarkStart w:id="154" w:name="_Toc351203520"/>
      <w:r>
        <w:rPr>
          <w:rFonts w:hint="eastAsia" w:cs="宋体"/>
          <w:color w:val="auto"/>
          <w:sz w:val="21"/>
          <w:szCs w:val="21"/>
          <w:highlight w:val="none"/>
          <w:lang w:eastAsia="zh-CN"/>
        </w:rPr>
        <w:t xml:space="preserve">3</w:t>
      </w:r>
      <w:bookmarkStart w:id="155" w:name="_Toc296346548"/>
      <w:r/>
      <w:bookmarkStart w:id="156" w:name="_Toc337558748"/>
      <w:r/>
      <w:bookmarkStart w:id="157" w:name="_Toc296503047"/>
      <w:r>
        <w:rPr>
          <w:rFonts w:hint="eastAsia" w:cs="宋体"/>
          <w:color w:val="auto"/>
          <w:sz w:val="21"/>
          <w:szCs w:val="21"/>
          <w:highlight w:val="none"/>
          <w:lang w:eastAsia="zh-CN"/>
        </w:rPr>
        <w:t xml:space="preserve">.2 </w:t>
      </w:r>
      <w:bookmarkEnd w:id="154"/>
      <w:r>
        <w:rPr>
          <w:rFonts w:hint="eastAsia" w:cs="宋体"/>
          <w:color w:val="auto"/>
          <w:sz w:val="21"/>
          <w:szCs w:val="21"/>
          <w:highlight w:val="none"/>
          <w:lang w:eastAsia="zh-CN"/>
        </w:rPr>
        <w:t xml:space="preserve">项目经理</w:t>
      </w:r>
      <w:bookmarkEnd w:id="155"/>
      <w:bookmarkEnd w:id="156"/>
      <w:bookmarkEnd w:id="157"/>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3.2.1 项目经理应为合同当事人所确认的人选，并在专用合同条款中明确项目经理的姓名、职称、注册执业证书编号、联系方式及授权范围等事项，项目经理经承包人授权后代表承包人负责履行合同。项目经理应是承包人正式聘用的员工，承包人应向发包人提交项目经理与承包人之间的劳动合同，以及承包人为项目经理缴纳社会保险的有效证明。承包人不提交上述文件的，项目经理无权履行职责，发包人有权要求更换项目经理，由此增加的费用和（或）延误的工期由承包人承担。</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项目经理应常驻施工现场，且每月在施工现场时间不得少于专用合同条款约定的天数。项目经理不得同时担任其他项目的项目经理。项目经理确需离开施工现场时，应事先通知监理人，并取得发包人的书面同意。项目经理的通知中应当载明临时代行其职责的人员的注册执业资格、管理经验等资料，该人员应具备履行相应职责的能力。</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承包人违反上述约定的，应按照专用合同条款的约定，承担违约责任。</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3.2.2 项目经理按合同约定组织工程实施。在紧急情况下为确保施工安全和人员安全，在无法与发包人代表和总监理工程师及时取得联系时，项目经理有权采取必要的措施保证与工程有关的人身、财产和工程的安全，但应在48小时内向发包人代表和总监理工程师提交书面报告。</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3.2.3 承包人需要更换项目经理的，应提前14天书面通知发包人和监理人，并征得发包人书面同意。通知中应当载明继任项目经理的注册执业资格、管理经验等资料，继任项目经理继续履行第3.2.1项约定的职责。未经发包人书面同意，承包人不得擅自更换项目经理。承包人擅自更换项目经理的，应按照专用合同条款的约定承担违约责任。</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3.2.4 发包人有权书面通知承包人更换其认为不称职的项目经理，通知中应当载明要求更换的理由。承包人应在接到更换通知后14天内向发包人提出书面的改进报告。发包人收到改进报告后仍要求更换的，承包人应在接到第二次更换通知的28天内进行更换，并将新任命的项目经理的注册执业资格、管理经验等资料书面通知发包人。继任项目经理继续履行第3.2.1项约定的职责。承包人无正当理由拒绝更换项目经理的，应按照专用合同条款的约定承担违约责任。</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3.2.5 项目经理因特殊情况授权其下属人员履行其某项工作职责的，该下属人员应具备履行相应职责的能力，并应提前7天将上述人员的姓名和授权范围书面通知监理人，并征得发包人书面同意。</w:t>
      </w:r>
      <w:r/>
    </w:p>
    <w:p>
      <w:pPr>
        <w:rPr>
          <w:rFonts w:hint="eastAsia" w:cs="宋体"/>
          <w:color w:val="auto"/>
          <w:sz w:val="21"/>
          <w:szCs w:val="21"/>
          <w:highlight w:val="none"/>
          <w:lang w:eastAsia="zh-CN"/>
        </w:rPr>
      </w:pPr>
      <w:r/>
      <w:bookmarkStart w:id="158" w:name="_Toc351203521"/>
      <w:r>
        <w:rPr>
          <w:rFonts w:hint="eastAsia" w:cs="宋体"/>
          <w:color w:val="auto"/>
          <w:sz w:val="21"/>
          <w:szCs w:val="21"/>
          <w:highlight w:val="none"/>
          <w:lang w:eastAsia="zh-CN"/>
        </w:rPr>
        <w:t xml:space="preserve">3</w:t>
      </w:r>
      <w:bookmarkStart w:id="159" w:name="_Toc296503048"/>
      <w:r/>
      <w:bookmarkStart w:id="160" w:name="_Toc296346549"/>
      <w:r/>
      <w:bookmarkStart w:id="161" w:name="_Toc337558749"/>
      <w:r>
        <w:rPr>
          <w:rFonts w:hint="eastAsia" w:cs="宋体"/>
          <w:color w:val="auto"/>
          <w:sz w:val="21"/>
          <w:szCs w:val="21"/>
          <w:highlight w:val="none"/>
          <w:lang w:eastAsia="zh-CN"/>
        </w:rPr>
        <w:t xml:space="preserve">.3 </w:t>
      </w:r>
      <w:bookmarkEnd w:id="159"/>
      <w:r/>
      <w:bookmarkEnd w:id="160"/>
      <w:r>
        <w:rPr>
          <w:rFonts w:hint="eastAsia" w:cs="宋体"/>
          <w:color w:val="auto"/>
          <w:sz w:val="21"/>
          <w:szCs w:val="21"/>
          <w:highlight w:val="none"/>
          <w:lang w:eastAsia="zh-CN"/>
        </w:rPr>
        <w:t xml:space="preserve">承包人人员</w:t>
      </w:r>
      <w:bookmarkEnd w:id="158"/>
      <w:r/>
      <w:bookmarkEnd w:id="161"/>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3.3.1 除专用合同条款另有约定外，承包人应在接到开工通知后7天内，向监理人提交承包人项目管理机构及施工现场人员安排的报告，其内容应包括合同管理、施工、技术、材料、质量、安全、财务等主要施工管理人员名单及其岗位、注册执业资格等，以及各工种技术工人的安排情况，并同时提交主要施工管理人员与承包人之间的劳动关系证明和缴纳社会保险的有效证明。</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3.3.2 承包人派驻到施工现场的主要施工管理人员应相对稳定。施工过程中如有变动，承包人应及时向监理人提交施工现场人员变动情况的报告。承包人更换主要施工管理人员时，应提前7天书面通知监理人，并征得发包人书面同意。通知中应当载明继任人员的注册执业资格、管理经验等资料。</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特殊工种作业人员均应持有相应的资格证明，监理人可以随时检查。</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3.3.3 发包人对于承包人主要施工管理人员的资格或能力有异议的，承包人应提供资料证明被质疑人员有能力完成其岗位工作或不存在发包人所质疑的情形。发包人要求撤换不能按照合同约定履行职责及义务的主要施工管理人员的，承包人应当撤换。承包人无正当理由拒绝撤换的，应按照专用合同条款的约定承担违约责任。</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3.3.4 除专用合同条款另有约定外，承包人的主要施工管理人员离开施工现场每月累计不超过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3.3.5 承包人擅自更换主要施工管理人员，或前述人员未经监理人或发包人同意擅自离开施工现场的，应按照专用合同条款约定承担违约责任。</w:t>
      </w:r>
      <w:r/>
    </w:p>
    <w:p>
      <w:pPr>
        <w:rPr>
          <w:rFonts w:hint="eastAsia" w:cs="宋体"/>
          <w:color w:val="auto"/>
          <w:sz w:val="21"/>
          <w:szCs w:val="21"/>
          <w:highlight w:val="none"/>
          <w:lang w:eastAsia="zh-CN"/>
        </w:rPr>
      </w:pPr>
      <w:r/>
      <w:bookmarkStart w:id="162" w:name="_Toc351203522"/>
      <w:r>
        <w:rPr>
          <w:rFonts w:hint="eastAsia" w:cs="宋体"/>
          <w:color w:val="auto"/>
          <w:sz w:val="21"/>
          <w:szCs w:val="21"/>
          <w:highlight w:val="none"/>
          <w:lang w:eastAsia="zh-CN"/>
        </w:rPr>
        <w:t xml:space="preserve">3</w:t>
      </w:r>
      <w:bookmarkStart w:id="163" w:name="_Toc337558750"/>
      <w:r/>
      <w:bookmarkStart w:id="164" w:name="_Toc296503050"/>
      <w:r/>
      <w:bookmarkStart w:id="165" w:name="_Toc296346551"/>
      <w:r>
        <w:rPr>
          <w:rFonts w:hint="eastAsia" w:cs="宋体"/>
          <w:color w:val="auto"/>
          <w:sz w:val="21"/>
          <w:szCs w:val="21"/>
          <w:highlight w:val="none"/>
          <w:lang w:eastAsia="zh-CN"/>
        </w:rPr>
        <w:t xml:space="preserve">.4 承包人现场查勘</w:t>
      </w:r>
      <w:bookmarkEnd w:id="162"/>
      <w:r/>
      <w:bookmarkEnd w:id="163"/>
      <w:bookmarkEnd w:id="164"/>
      <w:bookmarkEnd w:id="165"/>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承包人应对基于发包人按照第2.4.3项〔提供基础资料〕提交的基础资料所做出的解释和推断负责，但因基础资料存在错误、遗漏导致承包人解释或推断失实的，由发包人承担责任。</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承包人应对施工现场和施工条件进行查勘，并充分了解工程所在地的气象条件、交通条件、风俗习惯以及其他与完成合同工作有关的其他资料。因承包人未能充分查勘、了解前述情况或未能充分估计前述情况所可能产生后果的，承包人承担由此增加的费用和（或）延误的工期。</w:t>
      </w:r>
      <w:r/>
    </w:p>
    <w:p>
      <w:pPr>
        <w:rPr>
          <w:rFonts w:hint="eastAsia" w:cs="宋体"/>
          <w:color w:val="auto"/>
          <w:sz w:val="21"/>
          <w:szCs w:val="21"/>
          <w:highlight w:val="none"/>
          <w:lang w:eastAsia="zh-CN"/>
        </w:rPr>
      </w:pPr>
      <w:r/>
      <w:bookmarkStart w:id="166" w:name="_Toc351203523"/>
      <w:r>
        <w:rPr>
          <w:rFonts w:hint="eastAsia" w:cs="宋体"/>
          <w:color w:val="auto"/>
          <w:sz w:val="21"/>
          <w:szCs w:val="21"/>
          <w:highlight w:val="none"/>
          <w:lang w:eastAsia="zh-CN"/>
        </w:rPr>
        <w:t xml:space="preserve">3</w:t>
      </w:r>
      <w:bookmarkStart w:id="167" w:name="_Toc337558751"/>
      <w:r/>
      <w:bookmarkStart w:id="168" w:name="_Toc296503051"/>
      <w:r/>
      <w:bookmarkStart w:id="169" w:name="_Toc296346552"/>
      <w:r>
        <w:rPr>
          <w:rFonts w:hint="eastAsia" w:cs="宋体"/>
          <w:color w:val="auto"/>
          <w:sz w:val="21"/>
          <w:szCs w:val="21"/>
          <w:highlight w:val="none"/>
          <w:lang w:eastAsia="zh-CN"/>
        </w:rPr>
        <w:t xml:space="preserve">.5 分包</w:t>
      </w:r>
      <w:bookmarkEnd w:id="166"/>
      <w:r/>
      <w:bookmarkEnd w:id="167"/>
      <w:bookmarkEnd w:id="168"/>
      <w:bookmarkEnd w:id="169"/>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3.5.1 分包的一般约定</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承包人不得将其承包的全部工程转包给第三人，或将其承包的全部工程肢解后以分包的名义转包给第三人。承包人不得将工程主体结构、关键性工作及专用合同条款中禁止分包的专业工程分包给第三人，主体结构、关键性工作的范围由合同当事人按照法律规定在专用合同条款中予以明确。</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承包人不得以劳务分包的名义转包或违法分包工程。</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3.5.2 分包的确定</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承包人应按专用合同条款的约定进行分包，确定分包人。已标价工程量清单或预算书中给定暂估价的专业工程，按照第10.7款〔暂估价〕确定分包人。按照合同约定进行分包的，承包人应确保分包人具有相应的资质和能力。工程分包不减轻或免除承包人的责任和义务，承包人和分包人就分包工程向发包人承担连带责任。除合同另有约定外，承包人应在分包合同签订后7天内向发包人和监理人提交分包合同副本。</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3.5.3 分包管理</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承包人应向监理人提交分包人的主要施工管理人员表，并对分包人的施工人员进行实名制管理，包括但不限于进出场管理、登记造册以及各种证照的办理。</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3.5.4 分包合同价款</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（1）除本项第（2）目约定的情况或专用合同条款另有约定外，分包合同价款由承包人与分包人结算，未经承包人同意，发包人不得向分包人支付分包工程价款；</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（2）生效法律文书要求发包人向分包人支付分包合同价款的，发包人有权从应付承包人工程款中扣除该部分款项。</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3.5.5 分包合同权益的转让</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分包人在分包合同项下的义务持续到缺陷责任期届满以后的，发包人有权在缺陷责任期届满前，要求承包人将其在分包合同项下的权益转让给发包人，承包人应当转让。除转让合同另有约定外，转让合同生效后，由分包人向发包人履行义务。</w:t>
      </w:r>
      <w:bookmarkStart w:id="170" w:name="_Toc351203524"/>
      <w:r/>
      <w:r/>
    </w:p>
    <w:p>
      <w:pPr>
        <w:rPr>
          <w:rFonts w:hint="eastAsia" w:cs="宋体"/>
          <w:color w:val="auto"/>
          <w:sz w:val="21"/>
          <w:szCs w:val="21"/>
          <w:highlight w:val="none"/>
          <w:lang w:eastAsia="zh-CN"/>
        </w:rPr>
      </w:pPr>
      <w:r>
        <w:rPr>
          <w:rFonts w:hint="eastAsia" w:cs="宋体"/>
          <w:color w:val="auto"/>
          <w:sz w:val="21"/>
          <w:szCs w:val="21"/>
          <w:highlight w:val="none"/>
          <w:lang w:eastAsia="zh-CN"/>
        </w:rPr>
        <w:t xml:space="preserve">3.6 工程照管与成品、半成品保护</w:t>
      </w:r>
      <w:bookmarkEnd w:id="170"/>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（1）除专用合同条款另有约定外，自发包人向承包人移交施工现场之日起，承包人应负责照管工程及工程相关的材料、工程设备，直到颁发工程接收证书之日止。</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（2）在承包人负责照管期间，因承包人原因造成工程、材料、工程设备损坏的，由承包人负责修复或更换，并承担由此增加的费用和（或）延误的工期。</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（3）对合同内分期完成的成品和半成品，在工程接收证书颁发前，由承包人承担保护责任。因承包人原因造成成品或半成品损坏的，由承包人负责修复或更换，并承担由此增加的费用和（或）延误的工期。</w:t>
      </w:r>
      <w:r/>
    </w:p>
    <w:p>
      <w:pPr>
        <w:rPr>
          <w:rFonts w:hint="eastAsia" w:cs="宋体"/>
          <w:color w:val="auto"/>
          <w:sz w:val="21"/>
          <w:szCs w:val="21"/>
          <w:highlight w:val="none"/>
          <w:lang w:eastAsia="zh-CN"/>
        </w:rPr>
      </w:pPr>
      <w:r/>
      <w:bookmarkStart w:id="171" w:name="_Toc351203525"/>
      <w:r>
        <w:rPr>
          <w:rFonts w:hint="eastAsia" w:cs="宋体"/>
          <w:color w:val="auto"/>
          <w:sz w:val="21"/>
          <w:szCs w:val="21"/>
          <w:highlight w:val="none"/>
          <w:lang w:eastAsia="zh-CN"/>
        </w:rPr>
        <w:t xml:space="preserve">3</w:t>
      </w:r>
      <w:bookmarkStart w:id="172" w:name="_Toc296346553"/>
      <w:r/>
      <w:bookmarkStart w:id="173" w:name="_Toc337558752"/>
      <w:r/>
      <w:bookmarkStart w:id="174" w:name="_Toc296503052"/>
      <w:r>
        <w:rPr>
          <w:rFonts w:hint="eastAsia" w:cs="宋体"/>
          <w:color w:val="auto"/>
          <w:sz w:val="21"/>
          <w:szCs w:val="21"/>
          <w:highlight w:val="none"/>
          <w:lang w:eastAsia="zh-CN"/>
        </w:rPr>
        <w:t xml:space="preserve">.7 履约担保</w:t>
      </w:r>
      <w:bookmarkEnd w:id="171"/>
      <w:r/>
      <w:bookmarkEnd w:id="172"/>
      <w:bookmarkEnd w:id="173"/>
      <w:bookmarkEnd w:id="174"/>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发包人需要承包人提供履约担保的，由合同当事人在专用合同条款中约定履约担保的方式、金额及期限等。履约担保可以采用银行保函或担保公司担保等形式，具体由合同当事人在专用合同条款中约定。</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因承包人原因导致工期延长的，继续提供履约担保所增加的费用由承包人承担；非因承包人原因导致工期延长的，继续提供履约担保所增加的费用由发包人承担。</w:t>
      </w:r>
      <w:r/>
    </w:p>
    <w:p>
      <w:pPr>
        <w:rPr>
          <w:rFonts w:hint="eastAsia" w:cs="宋体"/>
          <w:color w:val="auto"/>
          <w:sz w:val="21"/>
          <w:szCs w:val="21"/>
          <w:highlight w:val="none"/>
          <w:lang w:eastAsia="zh-CN"/>
        </w:rPr>
      </w:pPr>
      <w:r/>
      <w:bookmarkStart w:id="175" w:name="_Toc351203526"/>
      <w:r>
        <w:rPr>
          <w:rFonts w:hint="eastAsia" w:cs="宋体"/>
          <w:color w:val="auto"/>
          <w:sz w:val="21"/>
          <w:szCs w:val="21"/>
          <w:highlight w:val="none"/>
          <w:lang w:eastAsia="zh-CN"/>
        </w:rPr>
        <w:t xml:space="preserve">3.8 联合体</w:t>
      </w:r>
      <w:bookmarkEnd w:id="175"/>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3.8.1 联合体各方应共同与发包人签订合同协议书。联合体各方应为履行合同向发包人承担连带责任。</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3.8.2 联合体协议经发包人确认后作为合同附件。在履行合同过程中，未经发包人同意，不得修改联合体协议。</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3.8.3 联合体牵头人负责与发包人和监理人联系，并接受指示，负责组织联合体各成员全面履行合同。</w:t>
      </w:r>
      <w:r/>
    </w:p>
    <w:p>
      <w:pPr>
        <w:rPr>
          <w:rFonts w:hint="eastAsia" w:ascii="宋体" w:hAnsi="宋体" w:eastAsia="宋体" w:cs="宋体"/>
          <w:color w:val="auto"/>
          <w:sz w:val="21"/>
          <w:szCs w:val="21"/>
          <w:highlight w:val="none"/>
          <w:lang w:eastAsia="zh-CN"/>
        </w:rPr>
      </w:pPr>
      <w:r/>
      <w:bookmarkStart w:id="176" w:name="_Toc351203527"/>
      <w:r>
        <w:rPr>
          <w:rFonts w:hint="eastAsia" w:ascii="宋体" w:hAnsi="宋体" w:eastAsia="宋体" w:cs="宋体"/>
          <w:color w:val="auto"/>
          <w:sz w:val="21"/>
          <w:szCs w:val="21"/>
          <w:highlight w:val="none"/>
          <w:lang w:eastAsia="zh-CN"/>
        </w:rPr>
        <w:t xml:space="preserve">4</w:t>
      </w:r>
      <w:bookmarkStart w:id="177" w:name="_Toc296503053"/>
      <w:r/>
      <w:bookmarkStart w:id="178" w:name="_Toc296346554"/>
      <w:r/>
      <w:bookmarkStart w:id="179" w:name="_Toc337558753"/>
      <w:r>
        <w:rPr>
          <w:rFonts w:hint="eastAsia" w:ascii="宋体" w:hAnsi="宋体" w:eastAsia="宋体" w:cs="宋体"/>
          <w:color w:val="auto"/>
          <w:sz w:val="21"/>
          <w:szCs w:val="21"/>
          <w:highlight w:val="none"/>
          <w:lang w:eastAsia="zh-CN"/>
        </w:rPr>
        <w:t xml:space="preserve">. 监</w:t>
      </w:r>
      <w:bookmarkEnd w:id="177"/>
      <w:r/>
      <w:bookmarkEnd w:id="178"/>
      <w:r>
        <w:rPr>
          <w:rFonts w:hint="eastAsia" w:ascii="宋体" w:hAnsi="宋体" w:eastAsia="宋体" w:cs="宋体"/>
          <w:color w:val="auto"/>
          <w:sz w:val="21"/>
          <w:szCs w:val="21"/>
          <w:highlight w:val="none"/>
          <w:lang w:eastAsia="zh-CN"/>
        </w:rPr>
        <w:t xml:space="preserve">理人</w:t>
      </w:r>
      <w:bookmarkEnd w:id="176"/>
      <w:r/>
      <w:bookmarkEnd w:id="179"/>
      <w:r/>
    </w:p>
    <w:p>
      <w:pPr>
        <w:rPr>
          <w:rFonts w:hint="eastAsia" w:cs="宋体"/>
          <w:color w:val="auto"/>
          <w:sz w:val="21"/>
          <w:szCs w:val="21"/>
          <w:highlight w:val="none"/>
          <w:lang w:eastAsia="zh-CN"/>
        </w:rPr>
      </w:pPr>
      <w:r/>
      <w:bookmarkStart w:id="180" w:name="_Toc351203528"/>
      <w:r>
        <w:rPr>
          <w:rFonts w:hint="eastAsia" w:cs="宋体"/>
          <w:color w:val="auto"/>
          <w:sz w:val="21"/>
          <w:szCs w:val="21"/>
          <w:highlight w:val="none"/>
          <w:lang w:eastAsia="zh-CN"/>
        </w:rPr>
        <w:t xml:space="preserve">4</w:t>
      </w:r>
      <w:bookmarkStart w:id="181" w:name="_Toc296503054"/>
      <w:r/>
      <w:bookmarkStart w:id="182" w:name="_Toc337558754"/>
      <w:r/>
      <w:bookmarkStart w:id="183" w:name="_Toc296346555"/>
      <w:r>
        <w:rPr>
          <w:rFonts w:hint="eastAsia" w:cs="宋体"/>
          <w:color w:val="auto"/>
          <w:sz w:val="21"/>
          <w:szCs w:val="21"/>
          <w:highlight w:val="none"/>
          <w:lang w:eastAsia="zh-CN"/>
        </w:rPr>
        <w:t xml:space="preserve">.1监理人的一般规定</w:t>
      </w:r>
      <w:bookmarkEnd w:id="180"/>
      <w:r/>
      <w:bookmarkEnd w:id="181"/>
      <w:bookmarkEnd w:id="182"/>
      <w:bookmarkEnd w:id="183"/>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工程实行监理的，发包人和承包人应在专用合同条款中明确监理人的监理内容及监理权限等事项。监理人应当根据发包人授权及法律规定，代表发包人对工程施工相关事项进行检查、查验、审核、验收，并签发相关指示，但监理人无权修改合同，且无权减轻或免除合同约定的承包人的任何责任与义务。</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除专用合同条款另有约定外，监理人在施工现场的办公场所、生活场所由承包人提供，所发生的费用由发包人承担。</w:t>
      </w:r>
      <w:r/>
    </w:p>
    <w:p>
      <w:pPr>
        <w:rPr>
          <w:rFonts w:hint="eastAsia" w:cs="宋体"/>
          <w:color w:val="auto"/>
          <w:sz w:val="21"/>
          <w:szCs w:val="21"/>
          <w:highlight w:val="none"/>
          <w:lang w:eastAsia="zh-CN"/>
        </w:rPr>
      </w:pPr>
      <w:r/>
      <w:bookmarkStart w:id="184" w:name="_Toc351203529"/>
      <w:r>
        <w:rPr>
          <w:rFonts w:hint="eastAsia" w:cs="宋体"/>
          <w:color w:val="auto"/>
          <w:sz w:val="21"/>
          <w:szCs w:val="21"/>
          <w:highlight w:val="none"/>
          <w:lang w:eastAsia="zh-CN"/>
        </w:rPr>
        <w:t xml:space="preserve">4</w:t>
      </w:r>
      <w:bookmarkStart w:id="185" w:name="_Toc337558755"/>
      <w:r>
        <w:rPr>
          <w:rFonts w:hint="eastAsia" w:cs="宋体"/>
          <w:color w:val="auto"/>
          <w:sz w:val="21"/>
          <w:szCs w:val="21"/>
          <w:highlight w:val="none"/>
          <w:lang w:eastAsia="zh-CN"/>
        </w:rPr>
        <w:t xml:space="preserve">.2监理人员</w:t>
      </w:r>
      <w:bookmarkEnd w:id="184"/>
      <w:r/>
      <w:bookmarkEnd w:id="185"/>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发包人授予监理人对工程实施监理的权利由监理人派驻施工现场的监理人员行使，监理人员包括总监理工程师及监理工程师。监理人应将授权的总监理工程师和监理工程师的姓名及授权范围以书面形式提前通知承包人。更换总监理工程师的，监理人应提前7天书面通知承包人；更换其他监理人员，监理人应提前48小时书面通知承包人。</w:t>
      </w:r>
      <w:r/>
    </w:p>
    <w:p>
      <w:pPr>
        <w:rPr>
          <w:rFonts w:hint="eastAsia" w:cs="宋体"/>
          <w:color w:val="auto"/>
          <w:sz w:val="21"/>
          <w:szCs w:val="21"/>
          <w:highlight w:val="none"/>
          <w:lang w:eastAsia="zh-CN"/>
        </w:rPr>
      </w:pPr>
      <w:r/>
      <w:bookmarkStart w:id="186" w:name="_Toc351203530"/>
      <w:r>
        <w:rPr>
          <w:rFonts w:hint="eastAsia" w:cs="宋体"/>
          <w:color w:val="auto"/>
          <w:sz w:val="21"/>
          <w:szCs w:val="21"/>
          <w:highlight w:val="none"/>
          <w:lang w:eastAsia="zh-CN"/>
        </w:rPr>
        <w:t xml:space="preserve">4</w:t>
      </w:r>
      <w:bookmarkStart w:id="187" w:name="_Toc296346556"/>
      <w:r/>
      <w:bookmarkStart w:id="188" w:name="_Toc296503055"/>
      <w:r/>
      <w:bookmarkStart w:id="189" w:name="_Toc337558756"/>
      <w:r>
        <w:rPr>
          <w:rFonts w:hint="eastAsia" w:cs="宋体"/>
          <w:color w:val="auto"/>
          <w:sz w:val="21"/>
          <w:szCs w:val="21"/>
          <w:highlight w:val="none"/>
          <w:lang w:eastAsia="zh-CN"/>
        </w:rPr>
        <w:t xml:space="preserve">.3</w:t>
      </w:r>
      <w:bookmarkEnd w:id="187"/>
      <w:r/>
      <w:bookmarkEnd w:id="188"/>
      <w:r>
        <w:rPr>
          <w:rFonts w:hint="eastAsia" w:cs="宋体"/>
          <w:color w:val="auto"/>
          <w:sz w:val="21"/>
          <w:szCs w:val="21"/>
          <w:highlight w:val="none"/>
          <w:lang w:eastAsia="zh-CN"/>
        </w:rPr>
        <w:t xml:space="preserve">监理人的指</w:t>
      </w:r>
      <w:bookmarkEnd w:id="189"/>
      <w:r>
        <w:rPr>
          <w:rFonts w:hint="eastAsia" w:cs="宋体"/>
          <w:color w:val="auto"/>
          <w:sz w:val="21"/>
          <w:szCs w:val="21"/>
          <w:highlight w:val="none"/>
          <w:lang w:eastAsia="zh-CN"/>
        </w:rPr>
        <w:t xml:space="preserve">示</w:t>
      </w:r>
      <w:bookmarkEnd w:id="186"/>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监理人应按照发包人的授权发出监理指示。监理人的指示应采用书面形式，并经其授权的监理人员签字。紧急情况下，为了保证施工人员的安全或避免工程受损，监理人员可以口头形式发出指示，该指示与书面形式的指示具有同等法律效力，但必须在发出口头指示后24小时内补发书面监理指示，补发的书面监理指示应与口头指示一致。</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监理人发出的指示应送达承包人项目经理或经项目经理授权接收的人员。因监理人未能按合同约定发出指示、指示延误或发出了错误指示而导致承包人费用增加和（或）工期延误的，由发包人承担相应责任。除专用合同条款另有约定外，总监理工程师不应将第4.4款〔商定或确定〕约定应由总监理工程师作出确定的权力授权或委托给其他监理人员。</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承包人对监理人发出的指示有疑问的，应向监理人提出书面异议，监理人应在48小时内对该指示予以确认、更改或撤销，监理人逾期未回复的，承包人有权拒绝执行上述指示。</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监理人对承包人的任何工作、工程或其采用的材料和工程设备未在约定的或合理期限内提出意见的，视为批准，但不免除或减轻承包人对该工作、工程、材料、工程设备等应承担的责任和义务。</w:t>
      </w:r>
      <w:r/>
    </w:p>
    <w:p>
      <w:pPr>
        <w:rPr>
          <w:rFonts w:hint="eastAsia" w:ascii="宋体" w:hAnsi="宋体" w:eastAsia="宋体" w:cs="宋体"/>
          <w:color w:val="auto"/>
          <w:sz w:val="21"/>
          <w:szCs w:val="21"/>
          <w:highlight w:val="none"/>
          <w:lang w:eastAsia="zh-CN"/>
        </w:rPr>
      </w:pPr>
      <w:r/>
      <w:bookmarkStart w:id="190" w:name="_Toc351203531"/>
      <w:r>
        <w:rPr>
          <w:rFonts w:hint="eastAsia" w:ascii="宋体" w:hAnsi="宋体" w:eastAsia="宋体" w:cs="宋体"/>
          <w:color w:val="auto"/>
          <w:sz w:val="21"/>
          <w:szCs w:val="21"/>
          <w:highlight w:val="none"/>
          <w:lang w:eastAsia="zh-CN"/>
        </w:rPr>
        <w:t xml:space="preserve">4</w:t>
      </w:r>
      <w:bookmarkStart w:id="191" w:name="_Toc296346558"/>
      <w:r/>
      <w:bookmarkStart w:id="192" w:name="_Toc296503057"/>
      <w:r/>
      <w:bookmarkStart w:id="193" w:name="_Toc337558757"/>
      <w:r>
        <w:rPr>
          <w:rFonts w:hint="eastAsia" w:ascii="宋体" w:hAnsi="宋体" w:eastAsia="宋体" w:cs="宋体"/>
          <w:color w:val="auto"/>
          <w:sz w:val="21"/>
          <w:szCs w:val="21"/>
          <w:highlight w:val="none"/>
          <w:lang w:eastAsia="zh-CN"/>
        </w:rPr>
        <w:t xml:space="preserve">.4 商定或确定</w:t>
      </w:r>
      <w:bookmarkEnd w:id="190"/>
      <w:r/>
      <w:bookmarkEnd w:id="191"/>
      <w:bookmarkEnd w:id="192"/>
      <w:bookmarkEnd w:id="193"/>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合同当事人进行商定或确定时，总监理工程师应当会同合同当事人尽量通过协商达成一致，不能达成一致的，由总监理工程师按照合同约定审慎做出公正的确定。</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总监理工程师应将确定以书面形式通知发包人和承包人，并附详细依据。合同当事人对总监理工程师的确定没有异议的，按照总监理工程师的确定执行。任何一方合同当事人有异议，按照第20条〔争议解决〕约定处理。争议解决前，合同当事人暂按总监理工程师的确定执行；争议解决后，争议解决的结果与总监理工程师的确定不一致的，按照争议解决的结果执行，由此造成的损失由责任人承担。</w:t>
      </w:r>
      <w:r/>
    </w:p>
    <w:p>
      <w:pPr>
        <w:rPr>
          <w:rFonts w:hint="eastAsia" w:ascii="宋体" w:hAnsi="宋体" w:eastAsia="宋体" w:cs="宋体"/>
          <w:color w:val="auto"/>
          <w:sz w:val="21"/>
          <w:szCs w:val="21"/>
          <w:highlight w:val="none"/>
          <w:lang w:eastAsia="zh-CN"/>
        </w:rPr>
      </w:pPr>
      <w:r/>
      <w:bookmarkStart w:id="194" w:name="_Toc351203532"/>
      <w:r>
        <w:rPr>
          <w:rFonts w:hint="eastAsia" w:ascii="宋体" w:hAnsi="宋体" w:eastAsia="宋体" w:cs="宋体"/>
          <w:color w:val="auto"/>
          <w:sz w:val="21"/>
          <w:szCs w:val="21"/>
          <w:highlight w:val="none"/>
          <w:lang w:eastAsia="zh-CN"/>
        </w:rPr>
        <w:t xml:space="preserve">5</w:t>
      </w:r>
      <w:bookmarkStart w:id="195" w:name="_Toc337558758"/>
      <w:r>
        <w:rPr>
          <w:rFonts w:hint="eastAsia" w:ascii="宋体" w:hAnsi="宋体" w:eastAsia="宋体" w:cs="宋体"/>
          <w:color w:val="auto"/>
          <w:sz w:val="21"/>
          <w:szCs w:val="21"/>
          <w:highlight w:val="none"/>
          <w:lang w:eastAsia="zh-CN"/>
        </w:rPr>
        <w:t xml:space="preserve">. 工程质量</w:t>
      </w:r>
      <w:bookmarkEnd w:id="194"/>
      <w:r/>
      <w:bookmarkEnd w:id="195"/>
      <w:r/>
    </w:p>
    <w:p>
      <w:pPr>
        <w:rPr>
          <w:rFonts w:hint="eastAsia" w:cs="宋体"/>
          <w:color w:val="auto"/>
          <w:sz w:val="21"/>
          <w:szCs w:val="21"/>
          <w:highlight w:val="none"/>
          <w:lang w:eastAsia="zh-CN"/>
        </w:rPr>
      </w:pPr>
      <w:r/>
      <w:bookmarkStart w:id="196" w:name="_Toc351203533"/>
      <w:r>
        <w:rPr>
          <w:rFonts w:hint="eastAsia" w:cs="宋体"/>
          <w:color w:val="auto"/>
          <w:sz w:val="21"/>
          <w:szCs w:val="21"/>
          <w:highlight w:val="none"/>
          <w:lang w:eastAsia="zh-CN"/>
        </w:rPr>
        <w:t xml:space="preserve">5</w:t>
      </w:r>
      <w:bookmarkStart w:id="197" w:name="_Toc337558759"/>
      <w:r>
        <w:rPr>
          <w:rFonts w:hint="eastAsia" w:cs="宋体"/>
          <w:color w:val="auto"/>
          <w:sz w:val="21"/>
          <w:szCs w:val="21"/>
          <w:highlight w:val="none"/>
          <w:lang w:eastAsia="zh-CN"/>
        </w:rPr>
        <w:t xml:space="preserve">.1质量要求</w:t>
      </w:r>
      <w:bookmarkEnd w:id="196"/>
      <w:r/>
      <w:bookmarkEnd w:id="197"/>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5.1.1 工程质量标准必须符合现行国家有关工程施工质量验收规范和标准的要求。有关工程质量的特殊标准或要求由合同当事人在专用合同条款中约定。</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5.1.2 因发包人原因造成工程质量未达到合同约定标准的，由发包人承担由此增加的费用和（或）延误的工期，并支付承包人合理的利润。</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5.1.3 因承包人原因造成工程质量未达到合同约定标准的，发包人有权要求承包人返工直至工程质量达到合同约定的标准为止，并由承包人承担由此增加的费用和（或）延误的工期。</w:t>
      </w:r>
      <w:r/>
    </w:p>
    <w:p>
      <w:pPr>
        <w:rPr>
          <w:rFonts w:hint="eastAsia" w:cs="宋体"/>
          <w:color w:val="auto"/>
          <w:sz w:val="21"/>
          <w:szCs w:val="21"/>
          <w:highlight w:val="none"/>
          <w:lang w:eastAsia="zh-CN"/>
        </w:rPr>
      </w:pPr>
      <w:r/>
      <w:bookmarkStart w:id="198" w:name="_Toc351203534"/>
      <w:r>
        <w:rPr>
          <w:rFonts w:hint="eastAsia" w:cs="宋体"/>
          <w:color w:val="auto"/>
          <w:sz w:val="21"/>
          <w:szCs w:val="21"/>
          <w:highlight w:val="none"/>
          <w:lang w:eastAsia="zh-CN"/>
        </w:rPr>
        <w:t xml:space="preserve">5</w:t>
      </w:r>
      <w:bookmarkStart w:id="199" w:name="_Toc337558760"/>
      <w:r>
        <w:rPr>
          <w:rFonts w:hint="eastAsia" w:cs="宋体"/>
          <w:color w:val="auto"/>
          <w:sz w:val="21"/>
          <w:szCs w:val="21"/>
          <w:highlight w:val="none"/>
          <w:lang w:eastAsia="zh-CN"/>
        </w:rPr>
        <w:t xml:space="preserve">.2质量保证措施</w:t>
      </w:r>
      <w:bookmarkEnd w:id="198"/>
      <w:r/>
      <w:bookmarkEnd w:id="199"/>
      <w:r/>
    </w:p>
    <w:p>
      <w:pPr>
        <w:ind w:firstLine="480"/>
        <w:jc w:val="both"/>
        <w:spacing w:line="360" w:lineRule="auto"/>
        <w:rPr>
          <w:rFonts w:hint="eastAsia" w:ascii="宋体" w:hAnsi="宋体" w:eastAsia="宋体" w:cs="宋体"/>
          <w:color w:val="auto"/>
          <w:sz w:val="21"/>
          <w:szCs w:val="21"/>
          <w:highlight w:val="none"/>
          <w:lang w:eastAsia="zh-CN"/>
        </w:rPr>
      </w:pPr>
      <w:r/>
      <w:bookmarkStart w:id="200" w:name="_Toc36797914"/>
      <w:r>
        <w:rPr>
          <w:rFonts w:hint="eastAsia" w:ascii="宋体" w:hAnsi="宋体" w:eastAsia="宋体" w:cs="宋体"/>
          <w:color w:val="auto"/>
          <w:sz w:val="21"/>
          <w:szCs w:val="21"/>
          <w:highlight w:val="none"/>
          <w:lang w:eastAsia="zh-CN"/>
        </w:rPr>
        <w:t xml:space="preserve">5.2.1 发包人的质量管理</w:t>
      </w:r>
      <w:bookmarkEnd w:id="200"/>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发包人应按照法律规定及合同约定完成与工程质量有关的各项工作。</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5.2.2 承包人的质量管理</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承包人按照第7.1款〔施工组织设计〕约定向发包人和监理人提交工程质量保证体系及措施文件，建立完善的质量检查制度，并提交相应的工程质量文件。对于发包人和监理人违反法律规定和合同约定的错误指示，承包人有权拒绝实施。</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承包人应对施工人员进行质量教育和技术培训，定期考核施工人员的劳动技能，严格执行施工规范和操作规程。</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承包人应按照法律规定和发包人的要求，对材料、工程设备以及工程的所有部位及其施工工艺进行全过程的质量检查和检验，并作详细记录，编制工程质量报表，报送监理人审查。此外，承包人还应按照法律规定和发包人的要求，进行施工现场取样试验、工程复核测量和设备性能检测，提供试验样品、提交试验报告和测量成果以及其他工作。</w:t>
      </w:r>
      <w:r/>
    </w:p>
    <w:p>
      <w:pPr>
        <w:ind w:firstLine="480"/>
        <w:jc w:val="both"/>
        <w:spacing w:line="360" w:lineRule="auto"/>
        <w:rPr>
          <w:rFonts w:hint="eastAsia" w:ascii="宋体" w:hAnsi="宋体" w:eastAsia="宋体" w:cs="宋体"/>
          <w:color w:val="auto"/>
          <w:sz w:val="21"/>
          <w:szCs w:val="21"/>
          <w:highlight w:val="none"/>
          <w:lang w:eastAsia="zh-CN"/>
        </w:rPr>
      </w:pPr>
      <w:r/>
      <w:bookmarkStart w:id="201" w:name="_Toc36797915"/>
      <w:r>
        <w:rPr>
          <w:rFonts w:hint="eastAsia" w:ascii="宋体" w:hAnsi="宋体" w:eastAsia="宋体" w:cs="宋体"/>
          <w:color w:val="auto"/>
          <w:sz w:val="21"/>
          <w:szCs w:val="21"/>
          <w:highlight w:val="none"/>
          <w:lang w:eastAsia="zh-CN"/>
        </w:rPr>
        <w:t xml:space="preserve">5.2.3 监理人的质量检查和检验</w:t>
      </w:r>
      <w:bookmarkEnd w:id="201"/>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监理人按照法律规定和发包人授权对工程的所有部位及其施工工艺、材料和工程设备进行检查和检验。承包人应为监理人的检查和检验提供方便，包括监理人到施工现场，或制造、加工地点，或合同约定的其他地方进行察看和查阅施工原始记录。监理人为此进行的检查和检验，不免除或减轻承包人按照合同约定应当承担的责任。</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r/>
    </w:p>
    <w:p>
      <w:pPr>
        <w:ind w:left="878" w:hanging="877"/>
        <w:spacing w:before="156" w:after="156" w:line="360" w:lineRule="auto"/>
        <w:rPr>
          <w:rFonts w:hint="eastAsia" w:ascii="宋体" w:hAnsi="宋体" w:cs="宋体"/>
          <w:color w:val="auto"/>
          <w:sz w:val="21"/>
          <w:szCs w:val="21"/>
          <w:highlight w:val="none"/>
          <w:lang w:eastAsia="zh-CN"/>
        </w:rPr>
      </w:pPr>
      <w:r/>
      <w:bookmarkStart w:id="202" w:name="_Toc351203535"/>
      <w:r>
        <w:rPr>
          <w:rFonts w:hint="eastAsia" w:ascii="宋体" w:hAnsi="宋体" w:cs="宋体"/>
          <w:color w:val="auto"/>
          <w:sz w:val="21"/>
          <w:szCs w:val="21"/>
          <w:highlight w:val="none"/>
          <w:lang w:eastAsia="zh-CN"/>
        </w:rPr>
        <w:t xml:space="preserve">5</w:t>
      </w:r>
      <w:bookmarkStart w:id="203" w:name="_Toc337558761"/>
      <w:r>
        <w:rPr>
          <w:rFonts w:hint="eastAsia" w:ascii="宋体" w:hAnsi="宋体" w:cs="宋体"/>
          <w:color w:val="auto"/>
          <w:sz w:val="21"/>
          <w:szCs w:val="21"/>
          <w:highlight w:val="none"/>
          <w:lang w:eastAsia="zh-CN"/>
        </w:rPr>
        <w:t xml:space="preserve">.3 隐蔽工程检查</w:t>
      </w:r>
      <w:bookmarkEnd w:id="202"/>
      <w:r/>
      <w:bookmarkEnd w:id="203"/>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5.3.1承包人自检</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承包人应当对工程隐蔽部位进行自检，并经自检确认是否具备覆盖条件。</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5.3.2检查程序</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除专用合同条款另有约定外，工程隐蔽部位经承包人自检确认具备覆盖条件的，承包人应在共同检查前48小时书面通知监理人检查，通知中应载明隐蔽检查的内容、时间和地点，并应附有自检记录和必要的检查资料。</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由此增加的费用和（或）延误的工期由承包人承担。</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除专用合同条款另有约定外，监理人不能按时进行检查的，应在检查前24小时向承包人提交书面延期要求，但延期不能超过48小时，由此导致工期延误的，工期应予以顺延。监理人未按时进行检查，也未提出延期要求的，视为隐蔽工程检查合格，承包人可自行完成覆盖工作，并作相应记录报送监理人，监理人应签字确认。监理人事后对检查记录有疑问的，可按第5.3.3项〔重新检查〕的约定重新检查。</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5.3.3 重新检查</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5.3.4 承包人私自覆盖</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承包人未通知监理人到场检查，私自将工程隐蔽部位覆盖的，监理人有权指示承包人钻孔探测或揭开检查，无论工程隐蔽部位质量是否合格，由此增加的费用和（或）延误的工期均由承包人承担。</w:t>
      </w:r>
      <w:r/>
    </w:p>
    <w:p>
      <w:pPr>
        <w:ind w:left="878" w:hanging="877"/>
        <w:spacing w:before="156" w:after="156" w:line="360" w:lineRule="auto"/>
        <w:rPr>
          <w:rFonts w:hint="eastAsia" w:ascii="宋体" w:hAnsi="宋体" w:cs="宋体"/>
          <w:color w:val="auto"/>
          <w:sz w:val="21"/>
          <w:szCs w:val="21"/>
          <w:highlight w:val="none"/>
          <w:lang w:eastAsia="zh-CN"/>
        </w:rPr>
      </w:pPr>
      <w:r/>
      <w:bookmarkStart w:id="204" w:name="_Toc351203536"/>
      <w:r>
        <w:rPr>
          <w:rFonts w:hint="eastAsia" w:ascii="宋体" w:hAnsi="宋体" w:cs="宋体"/>
          <w:color w:val="auto"/>
          <w:sz w:val="21"/>
          <w:szCs w:val="21"/>
          <w:highlight w:val="none"/>
          <w:lang w:eastAsia="zh-CN"/>
        </w:rPr>
        <w:t xml:space="preserve">5</w:t>
      </w:r>
      <w:bookmarkStart w:id="205" w:name="_Toc337558762"/>
      <w:r>
        <w:rPr>
          <w:rFonts w:hint="eastAsia" w:ascii="宋体" w:hAnsi="宋体" w:cs="宋体"/>
          <w:color w:val="auto"/>
          <w:sz w:val="21"/>
          <w:szCs w:val="21"/>
          <w:highlight w:val="none"/>
          <w:lang w:eastAsia="zh-CN"/>
        </w:rPr>
        <w:t xml:space="preserve">.4不合格工程的处理</w:t>
      </w:r>
      <w:bookmarkEnd w:id="204"/>
      <w:r/>
      <w:bookmarkEnd w:id="205"/>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5.4.1 因承包人原因造成工程不合格的，发包人有权随时要求承包人采取补救措施，直至达到合同要求的质量标准，由此增加的费用和（或）延误的工期由承包人承担。无法补救的，按照第13.2.4项〔拒绝接收全部或部分工程〕约定执行。 </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5.4.2 因发包人原因造成工程不合格的，由此增加的费用和（或）延误的工期由发包人承担，并支付承包人合理的利润。</w:t>
      </w:r>
      <w:r/>
    </w:p>
    <w:p>
      <w:pPr>
        <w:ind w:left="878" w:hanging="877"/>
        <w:spacing w:before="156" w:after="156" w:line="360" w:lineRule="auto"/>
        <w:rPr>
          <w:rFonts w:hint="eastAsia" w:ascii="宋体" w:hAnsi="宋体" w:cs="宋体"/>
          <w:color w:val="auto"/>
          <w:sz w:val="21"/>
          <w:szCs w:val="21"/>
          <w:highlight w:val="none"/>
          <w:lang w:eastAsia="zh-CN"/>
        </w:rPr>
      </w:pPr>
      <w:r/>
      <w:bookmarkStart w:id="206" w:name="_Toc351203537"/>
      <w:r>
        <w:rPr>
          <w:rFonts w:hint="eastAsia" w:ascii="宋体" w:hAnsi="宋体" w:cs="宋体"/>
          <w:color w:val="auto"/>
          <w:sz w:val="21"/>
          <w:szCs w:val="21"/>
          <w:highlight w:val="none"/>
          <w:lang w:eastAsia="zh-CN"/>
        </w:rPr>
        <w:t xml:space="preserve">5.5 质量争议检测</w:t>
      </w:r>
      <w:bookmarkEnd w:id="206"/>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合同当事人对工程质量有争议的，由双方协商确定的工程质量检测机构鉴定，由此产生的费用及因此造成的损失，由责任方承担。</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合同当事人均有责任的，由双方根据其责任分别承担。合同当事人无法达成一致的，按照第4.4款〔商定或确定〕执行。</w:t>
      </w:r>
      <w:r/>
    </w:p>
    <w:p>
      <w:pPr>
        <w:ind w:firstLine="482"/>
        <w:jc w:val="both"/>
        <w:spacing w:line="360" w:lineRule="auto"/>
        <w:rPr>
          <w:rFonts w:hint="eastAsia" w:cs="宋体"/>
          <w:color w:val="auto"/>
          <w:sz w:val="21"/>
          <w:szCs w:val="21"/>
          <w:highlight w:val="none"/>
          <w:lang w:eastAsia="zh-CN"/>
        </w:rPr>
      </w:pPr>
      <w:r/>
      <w:bookmarkStart w:id="207" w:name="_Toc351203538"/>
      <w:r>
        <w:rPr>
          <w:rFonts w:hint="eastAsia" w:cs="宋体"/>
          <w:color w:val="auto"/>
          <w:sz w:val="21"/>
          <w:szCs w:val="21"/>
          <w:highlight w:val="none"/>
          <w:lang w:eastAsia="zh-CN"/>
        </w:rPr>
        <w:t xml:space="preserve">6</w:t>
      </w:r>
      <w:bookmarkStart w:id="208" w:name="_Toc337558763"/>
      <w:r>
        <w:rPr>
          <w:rFonts w:hint="eastAsia" w:cs="宋体"/>
          <w:color w:val="auto"/>
          <w:sz w:val="21"/>
          <w:szCs w:val="21"/>
          <w:highlight w:val="none"/>
          <w:lang w:eastAsia="zh-CN"/>
        </w:rPr>
        <w:t xml:space="preserve">. 安全文明施工与环境保护</w:t>
      </w:r>
      <w:bookmarkEnd w:id="207"/>
      <w:r/>
      <w:bookmarkEnd w:id="208"/>
      <w:r/>
    </w:p>
    <w:p>
      <w:pPr>
        <w:ind w:left="878" w:hanging="877"/>
        <w:spacing w:before="156" w:after="156" w:line="360" w:lineRule="auto"/>
        <w:rPr>
          <w:rFonts w:hint="eastAsia" w:ascii="宋体" w:hAnsi="宋体" w:cs="宋体"/>
          <w:color w:val="auto"/>
          <w:sz w:val="21"/>
          <w:szCs w:val="21"/>
          <w:highlight w:val="none"/>
          <w:lang w:eastAsia="zh-CN"/>
        </w:rPr>
      </w:pPr>
      <w:r/>
      <w:bookmarkStart w:id="209" w:name="_Toc351203539"/>
      <w:r>
        <w:rPr>
          <w:rFonts w:hint="eastAsia" w:ascii="宋体" w:hAnsi="宋体" w:cs="宋体"/>
          <w:color w:val="auto"/>
          <w:sz w:val="21"/>
          <w:szCs w:val="21"/>
          <w:highlight w:val="none"/>
          <w:lang w:eastAsia="zh-CN"/>
        </w:rPr>
        <w:t xml:space="preserve">6</w:t>
      </w:r>
      <w:bookmarkStart w:id="210" w:name="_Toc337558764"/>
      <w:r>
        <w:rPr>
          <w:rFonts w:hint="eastAsia" w:ascii="宋体" w:hAnsi="宋体" w:cs="宋体"/>
          <w:color w:val="auto"/>
          <w:sz w:val="21"/>
          <w:szCs w:val="21"/>
          <w:highlight w:val="none"/>
          <w:lang w:eastAsia="zh-CN"/>
        </w:rPr>
        <w:t xml:space="preserve">.1安全文明施工</w:t>
      </w:r>
      <w:bookmarkEnd w:id="209"/>
      <w:r/>
      <w:bookmarkEnd w:id="210"/>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6.1.1安全生产要求</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合同履行期间，合同当事人均应当遵守国家和工程所在地有关安全生产的要求，合同当事人有特别要求的，应在专用合同条款中明确施工项目安全生产标准化达标目标及相应事项。承包人有权拒绝发包人及监理人强令承包人违章作业、冒险施工的任何指示。</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在施工过程中，如遇到突发的地质变动、事先未知的地下施工障碍等影响施工安全的紧急情况，承包人应及时报告监理人和发包人，发包人应当及时下令停工并报政府有关行政管理部门采取应急措施。</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因安全生产需要暂停施工的，按照第7.8款〔暂停施工〕的约定执行。</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6.1.2 安全生产保证措施</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承包人应当按照有关规定编制安全技术措施或者专项施工方案，建立安全生产责任制度、治安保卫制度及安全生产教育培训制度，并按安全生产法律规定及合同约定履行安全职责，如实编制工程安全生产的有关记录，接受发包人、监理人及政府安全监督部门的检查与监督。</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6.1.3特别安全生产事项</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承包人应按照法律规定进行施工，开工前做好安全技术交底工作，施工过程中做好各项安全防护措施。承包人为实施合同而雇用的特殊工种的人员应受过专门的培训并已取得政府有关管理机构颁发的上岗证书。</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承包人在动力设备、输电线路、地下管道、密封防震车间、易燃易爆地段以及临街交通要道附近施工时，施工开始前应向发包人和监理人提出安全防护措施，经发包人认可后实施。 </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实施爆破作业，在放射、毒害性环境中施工（含储存、运输、使用）及使用毒害性、腐蚀性物品施工时，承包人应在施工前7天以书面通知发包人和监理人，并报送相应的安全防护措施，经发包人认可后实施。</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需单独编制危险性较大分部分项专项工程施工方案的，及要求进行专家论证的超过一定规模的危险性较大的分部分项工程，承包人应及时编制和组织论证。</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6.1.4 治安保卫</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除专用合同条款另有约定外，发包人应与当地公安部门协商，在现场建立治安管理机构或联防组织，统一管理施工场地的治安保卫事项，履行合同工程的治安保卫职责。</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发包人和承包人除应协助现场治安管理机构或联防组织维护施工场地的社会治安外，还应做好包括生活区在内的各自管辖区的治安保卫工作。</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除专用合同条款另有约定外，发包人和承包人应在工程开工后7天内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避免人员伤亡和财产损失。</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6.1.5 文明施工</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承包人在工程施工期间，应当采取措施保持施工现场平整，物料堆放整齐。工程所在地有关政府行政管理部门有特殊要求的，按照其要求执行。合同当事人对文明施工有其他要求的，可以在专用合同条款中明确。</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6.1.6 安全文明施工费</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安全文明施工费由发包人承担，发包人不得以任何形式扣减该部分费用。因基准日期后合同所适用的法律或政府有关规定发生变化，增加的安全文明施工费由发包人承担。</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承包人经发包人同意采取合同约定以外的安全措施所产生的费用，由发包人承担。未经发包人同意的，如果该措施避免了发包人的损失，则发包人在避免损失的额度内承担该措施费。如果该措施避免了承包人的损失，由承包人承担该措施费。</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除专用合同条款另有约定外，发包人应在开工后28天内预付安全文明施工费总额的50%，其余部分与进度款同期支付。发包人逾期支付安全文明施工费超过7天的，承包人有权向发包人发出要求预付的催告通知，发包人收到通知后7天内仍未支付的，承包人有权暂停施工，并按第16.1.1项〔发包人违约的情形〕执行。</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承包人对安全文明施工费应专款专用，承包人应在财务账目中单独列项备查，不得挪作他用，否则发包人有权责令其限期改正；逾期未改正的，可以责令其暂停施工，由此增加的费用和（或）延误的工期由承包人承担。</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6.1.7 紧急情况处理</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在工程实施期间或缺陷责任期内发生危及工程安全的事件，监理人通知承包人进行抢救，承包人声明无能力或不愿立即执行的，发包人有权雇佣其他人员进行抢救。此类抢救按合同约定属于承包人义务的，由此增加的费用和（或）延误的工期由承包人承担。</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6.1.8 事故处理</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6.1.9 安全生产责任</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6.1.9.1 发包人的安全责任</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发包人应负责赔偿以下各种情况造成的损失：</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（1）工程或工程的任何部分对土地的占用所造成的第三者财产损失；</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（2）由于发包人原因在施工场地及其毗邻地带造成的第三者人身伤亡和财产损失；</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（3）由于发包人原因对承包人、监理人造成的人员人身伤亡和财产损失；</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（4）由于发包人原因造成的发包人自身人员的人身伤害以及财产损失。</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6.1.9.2 承包人的安全责任</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由于承包人原因在施工场地内及其毗邻地带造成的发包人、监理人以及第三者人员伤亡和财产损失，由承包人负责赔偿。</w:t>
      </w:r>
      <w:r/>
    </w:p>
    <w:p>
      <w:pPr>
        <w:ind w:left="878" w:hanging="877"/>
        <w:spacing w:before="156" w:after="156" w:line="360" w:lineRule="auto"/>
        <w:rPr>
          <w:rFonts w:hint="eastAsia" w:ascii="宋体" w:hAnsi="宋体" w:cs="宋体"/>
          <w:color w:val="auto"/>
          <w:sz w:val="21"/>
          <w:szCs w:val="21"/>
          <w:highlight w:val="none"/>
          <w:lang w:eastAsia="zh-CN"/>
        </w:rPr>
      </w:pPr>
      <w:r/>
      <w:bookmarkStart w:id="211" w:name="_Toc351203540"/>
      <w:r>
        <w:rPr>
          <w:rFonts w:hint="eastAsia" w:ascii="宋体" w:hAnsi="宋体" w:cs="宋体"/>
          <w:color w:val="auto"/>
          <w:sz w:val="21"/>
          <w:szCs w:val="21"/>
          <w:highlight w:val="none"/>
          <w:lang w:eastAsia="zh-CN"/>
        </w:rPr>
        <w:t xml:space="preserve">6</w:t>
      </w:r>
      <w:bookmarkStart w:id="212" w:name="_Toc337558765"/>
      <w:r>
        <w:rPr>
          <w:rFonts w:hint="eastAsia" w:ascii="宋体" w:hAnsi="宋体" w:cs="宋体"/>
          <w:color w:val="auto"/>
          <w:sz w:val="21"/>
          <w:szCs w:val="21"/>
          <w:highlight w:val="none"/>
          <w:lang w:eastAsia="zh-CN"/>
        </w:rPr>
        <w:t xml:space="preserve">.2 职业健康</w:t>
      </w:r>
      <w:bookmarkEnd w:id="211"/>
      <w:r/>
      <w:bookmarkEnd w:id="212"/>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6.2.1 劳动保护</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承包人应按照法律规定安排现场施工人员的劳动和休息时间，保障劳动者的休息时间，并支付合理的报酬和费用。承包人应依法为其履行合同所雇用的人员办理必要的证件、许可、保险和注册等，承包人应督促其分包人为分包人所雇用的人员办理必要的证件、许可、保险和注册等。</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承包人应按照法律规定保障现场施工人员的劳动安全，并提供劳动保护,并应按国家有关劳动保护的规定，采取有效的防止粉尘、降低噪声、控制有害气体和保障高温、高寒、高空作业安全等劳动保护措施。承包人雇佣人员在施工中受到伤害的，承包人应立即采取有效措施进行抢救和治疗。</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承包人应按法律规定安排工作时间，保证其雇佣人员享有休息和休假的权利。因工程施工的特殊需要占用休假日或延长工作时间的，应不超过法律规定的限度，并按法律规定给予补休或付酬。</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6.2.2 生活条件</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承包人应为其履行合同所雇用的人员提供必要的膳宿条件和生活环境；承包人应采取有效措施预防传染病，保证施工人员的健康，并定期对施工现场、施工人员生活基地和工程进行防疫和卫生的专业检查和处理, 在远离城镇的施工场地，还应配备必要的伤病防治和急救的医务人员与医疗设施。</w:t>
      </w:r>
      <w:r/>
    </w:p>
    <w:p>
      <w:pPr>
        <w:ind w:left="706" w:hanging="705"/>
        <w:spacing w:before="156" w:after="156" w:line="360" w:lineRule="auto"/>
        <w:rPr>
          <w:rFonts w:hint="eastAsia" w:ascii="宋体" w:hAnsi="宋体" w:cs="宋体"/>
          <w:color w:val="auto"/>
          <w:sz w:val="21"/>
          <w:szCs w:val="21"/>
          <w:highlight w:val="none"/>
          <w:lang w:eastAsia="zh-CN"/>
        </w:rPr>
      </w:pPr>
      <w:r/>
      <w:bookmarkStart w:id="213" w:name="_Toc351203541"/>
      <w:r>
        <w:rPr>
          <w:rFonts w:hint="eastAsia" w:ascii="宋体" w:hAnsi="宋体" w:cs="宋体"/>
          <w:color w:val="auto"/>
          <w:sz w:val="21"/>
          <w:szCs w:val="21"/>
          <w:highlight w:val="none"/>
          <w:lang w:eastAsia="zh-CN"/>
        </w:rPr>
        <w:t xml:space="preserve">6</w:t>
      </w:r>
      <w:bookmarkStart w:id="214" w:name="_Toc337558766"/>
      <w:r>
        <w:rPr>
          <w:rFonts w:hint="eastAsia" w:ascii="宋体" w:hAnsi="宋体" w:cs="宋体"/>
          <w:color w:val="auto"/>
          <w:sz w:val="21"/>
          <w:szCs w:val="21"/>
          <w:highlight w:val="none"/>
          <w:lang w:eastAsia="zh-CN"/>
        </w:rPr>
        <w:t xml:space="preserve">.3 环境保护</w:t>
      </w:r>
      <w:bookmarkEnd w:id="213"/>
      <w:r/>
      <w:bookmarkEnd w:id="214"/>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承包人应在施工组织设计中列明环境保护的具体措施。在合同履行期间，承包人应采取合理措施保护施工现场环境。对施工作业过程中可能引起的大气、水、噪音以及固体废物污染采取具体可行的防范措施。</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承包人应当承担因其原因引起的环境污染侵权损害赔偿责任，因上述环境污染引起纠纷而导致暂停施工的，由此增加的费用和（或）延误的工期由承包人承担。</w:t>
      </w:r>
      <w:r/>
    </w:p>
    <w:p>
      <w:pPr>
        <w:ind w:firstLine="482"/>
        <w:jc w:val="both"/>
        <w:spacing w:line="360" w:lineRule="auto"/>
        <w:rPr>
          <w:rFonts w:hint="eastAsia" w:cs="宋体"/>
          <w:color w:val="auto"/>
          <w:sz w:val="21"/>
          <w:szCs w:val="21"/>
          <w:highlight w:val="none"/>
          <w:lang w:eastAsia="zh-CN"/>
        </w:rPr>
      </w:pPr>
      <w:r/>
      <w:bookmarkStart w:id="215" w:name="_Toc351203542"/>
      <w:r>
        <w:rPr>
          <w:rFonts w:hint="eastAsia" w:cs="宋体"/>
          <w:color w:val="auto"/>
          <w:sz w:val="21"/>
          <w:szCs w:val="21"/>
          <w:highlight w:val="none"/>
          <w:lang w:eastAsia="zh-CN"/>
        </w:rPr>
        <w:t xml:space="preserve">7</w:t>
      </w:r>
      <w:bookmarkStart w:id="216" w:name="_Toc337558767"/>
      <w:r>
        <w:rPr>
          <w:rFonts w:hint="eastAsia" w:cs="宋体"/>
          <w:color w:val="auto"/>
          <w:sz w:val="21"/>
          <w:szCs w:val="21"/>
          <w:highlight w:val="none"/>
          <w:lang w:eastAsia="zh-CN"/>
        </w:rPr>
        <w:t xml:space="preserve">. 工期和进度</w:t>
      </w:r>
      <w:bookmarkEnd w:id="215"/>
      <w:r/>
      <w:bookmarkEnd w:id="216"/>
      <w:r/>
    </w:p>
    <w:p>
      <w:pPr>
        <w:ind w:left="706" w:hanging="705"/>
        <w:spacing w:before="156" w:after="156" w:line="360" w:lineRule="auto"/>
        <w:rPr>
          <w:rFonts w:hint="eastAsia" w:ascii="宋体" w:hAnsi="宋体" w:cs="宋体"/>
          <w:color w:val="auto"/>
          <w:sz w:val="21"/>
          <w:szCs w:val="21"/>
          <w:highlight w:val="none"/>
          <w:lang w:eastAsia="zh-CN"/>
        </w:rPr>
      </w:pPr>
      <w:r/>
      <w:bookmarkStart w:id="217" w:name="_Toc351203543"/>
      <w:r>
        <w:rPr>
          <w:rFonts w:hint="eastAsia" w:ascii="宋体" w:hAnsi="宋体" w:cs="宋体"/>
          <w:color w:val="auto"/>
          <w:sz w:val="21"/>
          <w:szCs w:val="21"/>
          <w:highlight w:val="none"/>
          <w:lang w:eastAsia="zh-CN"/>
        </w:rPr>
        <w:t xml:space="preserve">7</w:t>
      </w:r>
      <w:bookmarkStart w:id="218" w:name="_Toc337558768"/>
      <w:r/>
      <w:bookmarkStart w:id="219" w:name="_Toc296346567"/>
      <w:r/>
      <w:bookmarkStart w:id="220" w:name="_Toc296503066"/>
      <w:r>
        <w:rPr>
          <w:rFonts w:hint="eastAsia" w:ascii="宋体" w:hAnsi="宋体" w:cs="宋体"/>
          <w:color w:val="auto"/>
          <w:sz w:val="21"/>
          <w:szCs w:val="21"/>
          <w:highlight w:val="none"/>
          <w:lang w:eastAsia="zh-CN"/>
        </w:rPr>
        <w:t xml:space="preserve">.1施工组织设计</w:t>
      </w:r>
      <w:bookmarkEnd w:id="217"/>
      <w:r/>
      <w:bookmarkEnd w:id="218"/>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7.1.1 施工组织设计的内容</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施工组织设计应包含以下内容：</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（1）施工方案； </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（2）施工现场平面布置图；</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（3）施工进度计划和保证措施； </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（4）劳动力及材料供应计划；</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（5）施工机械设备的选用；</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（6）质量保证体系及措施；</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（7）安全生产、文明施工措施；</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（8）环境保护、成本控制措施；</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（9）合同当事人约定的其他内容。</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7.1.2 施工组织设计的提交和修改</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除专用合同条款另有约定外，承包人应在合同签订后14天内，但至迟不得晚于第7.3.2项〔开工通知〕载明的开工日期前7天，向监理人提交详细的施工组织设计，并由监理人报送发包人。除专用合同条款另有约定外，发包人和监理人应在监理人收到施工组织设计后7天内确认或提出修改意见。对发包人和监理人提出的合理意见和要求，承包人应自费修改完善。根据工程实际情况需要修改施工组织设计的，承包人应向发包人和监理人提交修改后的施工组织设计。</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施工进度计划的编制和修改按照第7.2款〔施工进度计划〕执行。</w:t>
      </w:r>
      <w:r/>
    </w:p>
    <w:p>
      <w:pPr>
        <w:ind w:left="706" w:hanging="705"/>
        <w:spacing w:before="156" w:after="156" w:line="360" w:lineRule="auto"/>
        <w:rPr>
          <w:rFonts w:hint="eastAsia" w:ascii="宋体" w:hAnsi="宋体" w:cs="宋体"/>
          <w:color w:val="auto"/>
          <w:sz w:val="21"/>
          <w:szCs w:val="21"/>
          <w:highlight w:val="none"/>
          <w:lang w:eastAsia="zh-CN"/>
        </w:rPr>
      </w:pPr>
      <w:r/>
      <w:bookmarkStart w:id="221" w:name="_Toc351203544"/>
      <w:r>
        <w:rPr>
          <w:rFonts w:hint="eastAsia" w:ascii="宋体" w:hAnsi="宋体" w:cs="宋体"/>
          <w:color w:val="auto"/>
          <w:sz w:val="21"/>
          <w:szCs w:val="21"/>
          <w:highlight w:val="none"/>
          <w:lang w:eastAsia="zh-CN"/>
        </w:rPr>
        <w:t xml:space="preserve">7</w:t>
      </w:r>
      <w:bookmarkStart w:id="222" w:name="_Toc337558769"/>
      <w:r>
        <w:rPr>
          <w:rFonts w:hint="eastAsia" w:ascii="宋体" w:hAnsi="宋体" w:cs="宋体"/>
          <w:color w:val="auto"/>
          <w:sz w:val="21"/>
          <w:szCs w:val="21"/>
          <w:highlight w:val="none"/>
          <w:lang w:eastAsia="zh-CN"/>
        </w:rPr>
        <w:t xml:space="preserve">.2 施工进度计划</w:t>
      </w:r>
      <w:bookmarkEnd w:id="221"/>
      <w:r/>
      <w:bookmarkEnd w:id="222"/>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7.2.1 施工进度计划的编制</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承包人应按照第7.1款〔施工组织设计〕约定提交详细的施工进度计划，施工进度计划的编制应当符合国家法律规定和一般工程实践惯例，施工进度计划经发包人批准后实施。施工进度计划是控制工程进度的依据，发包人和监理人有权按照施工进度计划检查工程进度情况。</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7.2.2 施工进度计划的修订</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施工进度计划不符合合同要求或与工程的实际进度不一致的，承包人应向监理人提交修订的施工进度计划，并附具有关措施和相关资料，由监理人报送发包人。除专用合同条款另有约定外，发包人和监理人应在收到修订的施工进度计划后7天内完成审核和批准或提出修改意见。发包人和监理人对承包人提交的施工进度计划的确认，不能减轻或免除承包人根据法律规定和合同约定应承担的任何责任或义务。</w:t>
      </w:r>
      <w:r/>
    </w:p>
    <w:p>
      <w:pPr>
        <w:ind w:left="706" w:hanging="705"/>
        <w:spacing w:before="156" w:after="156" w:line="360" w:lineRule="auto"/>
        <w:rPr>
          <w:rFonts w:hint="eastAsia" w:ascii="宋体" w:hAnsi="宋体" w:cs="宋体"/>
          <w:color w:val="auto"/>
          <w:sz w:val="21"/>
          <w:szCs w:val="21"/>
          <w:highlight w:val="none"/>
          <w:lang w:eastAsia="zh-CN"/>
        </w:rPr>
      </w:pPr>
      <w:r/>
      <w:bookmarkStart w:id="223" w:name="_Toc351203545"/>
      <w:r>
        <w:rPr>
          <w:rFonts w:hint="eastAsia" w:ascii="宋体" w:hAnsi="宋体" w:cs="宋体"/>
          <w:color w:val="auto"/>
          <w:sz w:val="21"/>
          <w:szCs w:val="21"/>
          <w:highlight w:val="none"/>
          <w:lang w:eastAsia="zh-CN"/>
        </w:rPr>
        <w:t xml:space="preserve">7</w:t>
      </w:r>
      <w:bookmarkStart w:id="224" w:name="_Toc337558770"/>
      <w:r>
        <w:rPr>
          <w:rFonts w:hint="eastAsia" w:ascii="宋体" w:hAnsi="宋体" w:cs="宋体"/>
          <w:color w:val="auto"/>
          <w:sz w:val="21"/>
          <w:szCs w:val="21"/>
          <w:highlight w:val="none"/>
          <w:lang w:eastAsia="zh-CN"/>
        </w:rPr>
        <w:t xml:space="preserve">.3 开工</w:t>
      </w:r>
      <w:bookmarkEnd w:id="223"/>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7.3.1 开工准备</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除专用合同条款另有约定外，承包人应按照第7.1款〔施工组织设计〕约定的期限，向监理人提交工程开工报审表，经监理人报发包人批准后执行。开工报审表应详细说明按施工进度计划正常施工所需的施工道路、临时设施、材料、工程设备、施工设备、施工人员等落实情况以及工程的进度安排。</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除专用合同条款另有约定外，合同当事人应按约定完成开工准备工作。</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7.3.2 开工通知</w:t>
      </w:r>
      <w:bookmarkEnd w:id="224"/>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发包人应按照法律规定获得工程施工所需的许可。经发包人同意后，监理人发出的开工通知应符合法律规定。监理人应在计划开工日期7天前向承包人发出开工通知，工期自开工通知中载明的开工日期起算。</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除专用合同条款另有约定外，因发包人原因造成监理人未能在计划开工日期之日起90天内发出开工通知的，承包人有权提出价格调整要求，或者解除合同。发包人应当承担由此增加的费用和（或）延误的工期，并向承包人支付合理利润。</w:t>
      </w:r>
      <w:r/>
    </w:p>
    <w:p>
      <w:pPr>
        <w:ind w:left="706" w:hanging="705"/>
        <w:spacing w:before="156" w:after="156" w:line="360" w:lineRule="auto"/>
        <w:rPr>
          <w:rFonts w:hint="eastAsia" w:ascii="宋体" w:hAnsi="宋体" w:cs="宋体"/>
          <w:color w:val="auto"/>
          <w:sz w:val="21"/>
          <w:szCs w:val="21"/>
          <w:highlight w:val="none"/>
          <w:lang w:eastAsia="zh-CN"/>
        </w:rPr>
      </w:pPr>
      <w:r/>
      <w:bookmarkStart w:id="225" w:name="_Toc351203546"/>
      <w:r>
        <w:rPr>
          <w:rFonts w:hint="eastAsia" w:ascii="宋体" w:hAnsi="宋体" w:cs="宋体"/>
          <w:color w:val="auto"/>
          <w:sz w:val="21"/>
          <w:szCs w:val="21"/>
          <w:highlight w:val="none"/>
          <w:lang w:eastAsia="zh-CN"/>
        </w:rPr>
        <w:t xml:space="preserve">7.4测量放线</w:t>
      </w:r>
      <w:bookmarkEnd w:id="225"/>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7.4.1 除专用合同条款另有约定外，发包人应在至迟不得晚于第7.3.2项〔开工通知〕载明的开工日期前7天通过监理人向承包人提供测量基准点、基准线和水准点及其书面资料。发包人应对其提供的测量基准点、基准线和水准点及其书面资料的真实性、准确性和完整性负责。</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承包人发现发包人提供的测量基准点、基准线和水准点及其书面资料存在错误或疏漏的，应及时通知监理人。监理人应及时报告发包人，并会同发包人和承包人予以核实。发包人应就如何处理和是否继续施工作出决定，并通知监理人和承包人。</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7.4.2 承包人负责施工过程中的全部施工测量放线工作，并配置具有相应资质的人员、合格的仪器、设备和其他物品。承包人应矫正工程的位置、标高、尺寸或准线中出现的任何差错，并对工程各部分的定位负责。</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施工过程中对施工现场内水准点等测量标志物的保护工作由承包人负责。</w:t>
      </w:r>
      <w:bookmarkStart w:id="226" w:name="_Toc351203547"/>
      <w:r/>
      <w:r/>
    </w:p>
    <w:p>
      <w:pPr>
        <w:ind w:left="706" w:hanging="705"/>
        <w:spacing w:before="156" w:after="156" w:line="360" w:lineRule="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7</w:t>
      </w:r>
      <w:bookmarkEnd w:id="219"/>
      <w:r/>
      <w:bookmarkEnd w:id="220"/>
      <w:r/>
      <w:bookmarkStart w:id="227" w:name="_Toc296503073"/>
      <w:r/>
      <w:bookmarkStart w:id="228" w:name="_Toc337558772"/>
      <w:r/>
      <w:bookmarkStart w:id="229" w:name="_Toc296346574"/>
      <w:r>
        <w:rPr>
          <w:rFonts w:hint="eastAsia" w:ascii="宋体" w:hAnsi="宋体" w:cs="宋体"/>
          <w:color w:val="auto"/>
          <w:sz w:val="21"/>
          <w:szCs w:val="21"/>
          <w:highlight w:val="none"/>
          <w:lang w:eastAsia="zh-CN"/>
        </w:rPr>
        <w:t xml:space="preserve">.5工期延误</w:t>
      </w:r>
      <w:bookmarkEnd w:id="226"/>
      <w:r/>
      <w:bookmarkEnd w:id="227"/>
      <w:bookmarkEnd w:id="228"/>
      <w:bookmarkEnd w:id="229"/>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7.5.1 因发包人原因导致工期延误</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在合同履行过程中，因下列情况导致工期延误和（或）费用增加的，由发包人承担由此延误的工期和（或）增加的费用，且发包人应支付承包人合理的利润： </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（1）发包人未能按合同约定提供图纸或所提供图纸不符合合同约定的；</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（2）发包人未能按合同约定提供施工现场、施工条件、基础资料、许可、批准等开工条件的；</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（3）发包人提供的测量基准点、基准线和水准点及其书面资料存在错误或疏漏的；</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（4）发包人未能在计划开工日期之日起7天内同意下达开工通知的；</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（5）发包人未能按合同约定日期支付工程预付款、进度款或竣工结算款的；</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（6）监理人未按合同约定发出指示、批准等文件的；</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（7）专用合同条款中约定的其他情形。</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因发包人原因未按计划开工日期开工的，发包人应按实际开工日期顺延竣工日期，确保实际工期不低于合同约定的工期总日历天数。因发包人原因导致工期延误需要修订施工进度计划的，按照第7.2.2项〔施工进度计划的修订〕执行。</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7.5.2 因承包人原因导致工期延误</w:t>
      </w:r>
      <w:r/>
    </w:p>
    <w:p>
      <w:pPr>
        <w:ind w:firstLine="480"/>
        <w:jc w:val="both"/>
        <w:spacing w:line="360" w:lineRule="auto"/>
        <w:rPr>
          <w:rFonts w:hint="eastAsia" w:ascii="宋体" w:hAnsi="宋体" w:eastAsia="宋体" w:cs="宋体"/>
          <w:color w:val="auto"/>
          <w:sz w:val="21"/>
          <w:szCs w:val="21"/>
          <w:highlight w:val="none"/>
          <w:lang w:eastAsia="zh-CN"/>
        </w:rPr>
      </w:pPr>
      <w:r/>
      <w:bookmarkStart w:id="230" w:name="_Toc296503076"/>
      <w:r/>
      <w:bookmarkStart w:id="231" w:name="_Toc296346577"/>
      <w:r>
        <w:rPr>
          <w:rFonts w:hint="eastAsia" w:ascii="宋体" w:hAnsi="宋体" w:eastAsia="宋体" w:cs="宋体"/>
          <w:color w:val="auto"/>
          <w:sz w:val="21"/>
          <w:szCs w:val="21"/>
          <w:highlight w:val="none"/>
          <w:lang w:eastAsia="zh-CN"/>
        </w:rPr>
        <w:t xml:space="preserve">因</w:t>
      </w:r>
      <w:bookmarkEnd w:id="230"/>
      <w:r/>
      <w:bookmarkEnd w:id="231"/>
      <w:r>
        <w:rPr>
          <w:rFonts w:hint="eastAsia" w:ascii="宋体" w:hAnsi="宋体" w:eastAsia="宋体" w:cs="宋体"/>
          <w:color w:val="auto"/>
          <w:sz w:val="21"/>
          <w:szCs w:val="21"/>
          <w:highlight w:val="none"/>
          <w:lang w:eastAsia="zh-CN"/>
        </w:rPr>
        <w:t xml:space="preserve">承包人原因造成工期延误的，可以在专用合同条款中约定逾期竣工违约金的计算方法和逾期竣工违约金的上限。承包人支付逾期竣工违约金后，不免除承包人继续完成工程及修补缺陷的义务。</w:t>
      </w:r>
      <w:r/>
    </w:p>
    <w:p>
      <w:pPr>
        <w:ind w:left="878" w:hanging="877"/>
        <w:spacing w:before="156" w:after="156" w:line="360" w:lineRule="auto"/>
        <w:rPr>
          <w:rFonts w:hint="eastAsia" w:ascii="宋体" w:hAnsi="宋体" w:cs="宋体"/>
          <w:color w:val="auto"/>
          <w:sz w:val="21"/>
          <w:szCs w:val="21"/>
          <w:highlight w:val="none"/>
          <w:lang w:eastAsia="zh-CN"/>
        </w:rPr>
      </w:pPr>
      <w:r/>
      <w:bookmarkStart w:id="232" w:name="_Toc351203548"/>
      <w:r>
        <w:rPr>
          <w:rFonts w:hint="eastAsia" w:ascii="宋体" w:hAnsi="宋体" w:cs="宋体"/>
          <w:color w:val="auto"/>
          <w:sz w:val="21"/>
          <w:szCs w:val="21"/>
          <w:highlight w:val="none"/>
          <w:lang w:eastAsia="zh-CN"/>
        </w:rPr>
        <w:t xml:space="preserve">7</w:t>
      </w:r>
      <w:bookmarkStart w:id="233" w:name="_Toc296503074"/>
      <w:r/>
      <w:bookmarkStart w:id="234" w:name="_Toc337558773"/>
      <w:r/>
      <w:bookmarkStart w:id="235" w:name="_Toc296346575"/>
      <w:r/>
      <w:bookmarkStart w:id="236" w:name="_Toc296503077"/>
      <w:r/>
      <w:bookmarkStart w:id="237" w:name="_Toc296346578"/>
      <w:r>
        <w:rPr>
          <w:rFonts w:hint="eastAsia" w:ascii="宋体" w:hAnsi="宋体" w:cs="宋体"/>
          <w:color w:val="auto"/>
          <w:sz w:val="21"/>
          <w:szCs w:val="21"/>
          <w:highlight w:val="none"/>
          <w:lang w:eastAsia="zh-CN"/>
        </w:rPr>
        <w:t xml:space="preserve">.6 不利物质条件</w:t>
      </w:r>
      <w:bookmarkEnd w:id="232"/>
      <w:r/>
      <w:bookmarkEnd w:id="233"/>
      <w:bookmarkEnd w:id="234"/>
      <w:bookmarkEnd w:id="235"/>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不利物质条件是指有经验的承包人在施工现场遇到的不可预见的自然物质条件、非自然的物质障碍和污染物，包括地表以下物质条件和水文条件以及专用合同条款约定的其他情形，但不包括气候条件。</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承包人遇到不利物质条件时，应采取克服不利物质条件的合理措施继续施工，并及时通知发包人和监理人。通知应载明不利物质条件的内容以及承包人认为不可预见的理由。监理人经发包人同意后应当及时发出指示，指示构成变更的，按第10条〔变更〕约定执行。承包人因采取合理措施而增加的费用和（或）延误的工期由发包人承担。</w:t>
      </w:r>
      <w:r/>
    </w:p>
    <w:p>
      <w:pPr>
        <w:ind w:left="878" w:hanging="877"/>
        <w:spacing w:before="156" w:after="156" w:line="360" w:lineRule="auto"/>
        <w:rPr>
          <w:rFonts w:hint="eastAsia" w:ascii="宋体" w:hAnsi="宋体" w:cs="宋体"/>
          <w:color w:val="auto"/>
          <w:sz w:val="21"/>
          <w:szCs w:val="21"/>
          <w:highlight w:val="none"/>
          <w:lang w:eastAsia="zh-CN"/>
        </w:rPr>
      </w:pPr>
      <w:r/>
      <w:bookmarkStart w:id="238" w:name="_Toc351203549"/>
      <w:r>
        <w:rPr>
          <w:rFonts w:hint="eastAsia" w:ascii="宋体" w:hAnsi="宋体" w:cs="宋体"/>
          <w:color w:val="auto"/>
          <w:sz w:val="21"/>
          <w:szCs w:val="21"/>
          <w:highlight w:val="none"/>
          <w:lang w:eastAsia="zh-CN"/>
        </w:rPr>
        <w:t xml:space="preserve">7</w:t>
      </w:r>
      <w:bookmarkStart w:id="239" w:name="_Toc296346576"/>
      <w:r/>
      <w:bookmarkStart w:id="240" w:name="_Toc296503075"/>
      <w:r/>
      <w:bookmarkStart w:id="241" w:name="_Toc337558774"/>
      <w:r>
        <w:rPr>
          <w:rFonts w:hint="eastAsia" w:ascii="宋体" w:hAnsi="宋体" w:cs="宋体"/>
          <w:color w:val="auto"/>
          <w:sz w:val="21"/>
          <w:szCs w:val="21"/>
          <w:highlight w:val="none"/>
          <w:lang w:eastAsia="zh-CN"/>
        </w:rPr>
        <w:t xml:space="preserve">.7异常恶劣的气候条件</w:t>
      </w:r>
      <w:bookmarkEnd w:id="238"/>
      <w:r/>
      <w:bookmarkEnd w:id="239"/>
      <w:bookmarkEnd w:id="240"/>
      <w:bookmarkEnd w:id="241"/>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异常恶劣的气候条件是指在施工过程中遇到的，有经验的承包人在签订合同时不可预见的，对合同履行造成实质性影响的，但尚未构成不可抗力事件的恶劣气候条件。合同当事人可以在专用合同条款中约定异常恶劣的气候条件的具体情形。</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承包人应采取克服异常恶劣的气候条件的合理措施继续施工，并及时通知发包人和监理人。监理人经发包人同意后应当及时发出指示，指示构成变更的，按第10条〔变更〕约定办理。承包人因采取合理措施而增加的费用和（或）延误的工期由发包人承担。</w:t>
      </w:r>
      <w:bookmarkStart w:id="242" w:name="_Toc351203550"/>
      <w:r/>
      <w:r/>
    </w:p>
    <w:p>
      <w:pPr>
        <w:ind w:firstLine="482"/>
        <w:jc w:val="both"/>
        <w:spacing w:line="360" w:lineRule="auto"/>
        <w:rPr>
          <w:rFonts w:hint="eastAsia" w:ascii="宋体" w:hAnsi="宋体" w:eastAsia="宋体" w:cs="宋体"/>
          <w:b/>
          <w:color w:val="auto"/>
          <w:sz w:val="21"/>
          <w:szCs w:val="21"/>
          <w:highlight w:val="none"/>
          <w:lang w:eastAsia="zh-CN"/>
        </w:rPr>
      </w:pPr>
      <w:r/>
      <w:bookmarkStart w:id="243" w:name="_Toc36797916"/>
      <w:r>
        <w:rPr>
          <w:rFonts w:hint="eastAsia" w:ascii="宋体" w:hAnsi="宋体" w:eastAsia="宋体" w:cs="宋体"/>
          <w:b/>
          <w:color w:val="auto"/>
          <w:sz w:val="21"/>
          <w:szCs w:val="21"/>
          <w:highlight w:val="none"/>
          <w:lang w:eastAsia="zh-CN"/>
        </w:rPr>
        <w:t xml:space="preserve">7</w:t>
      </w:r>
      <w:bookmarkStart w:id="244" w:name="_Toc337558775"/>
      <w:r>
        <w:rPr>
          <w:rFonts w:hint="eastAsia" w:ascii="宋体" w:hAnsi="宋体" w:eastAsia="宋体" w:cs="宋体"/>
          <w:b/>
          <w:color w:val="auto"/>
          <w:sz w:val="21"/>
          <w:szCs w:val="21"/>
          <w:highlight w:val="none"/>
          <w:lang w:eastAsia="zh-CN"/>
        </w:rPr>
        <w:t xml:space="preserve">.8暂停施工</w:t>
      </w:r>
      <w:bookmarkEnd w:id="242"/>
      <w:r/>
      <w:bookmarkEnd w:id="243"/>
      <w:r/>
      <w:bookmarkEnd w:id="236"/>
      <w:bookmarkEnd w:id="237"/>
      <w:bookmarkEnd w:id="244"/>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7.8.1发包人原因引起的暂停施工</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因发包人原因引起暂停施工的，监理人经发包人同意后，应及时下达暂停施工指示。情况紧急且监理人未及时下达暂停施工指示的，按照第7.8.4项〔紧急情况下的暂停施工〕执行。</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因发包人原因引起的暂停施工，发包人应承担由此增加的费用和（或）延误的工期，并支付承包人合理的利润。</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7.8.2 承包人原因引起的暂停施工</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因承包人原因引起的暂停施工，承包人应承担由此增加的费用和（或）延误的工期，且承包人在收到监理人复工指示后84天内仍未复工的，视为第16.2.1项〔承包人违约的情形〕第（7）目约定的承包人无法继续履行合同的情形。</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7.8.3 指示暂停施工</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监理人认为有必要时，并经发包人批准后，可向承包人作出暂停施工的指示，承包人应按监理人指示暂停施工。</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7.8.4 紧急情况下的暂停施工</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因紧急情况需暂停施工，且监理人未及时下达暂停施工指示的，承包人可先暂停施工，并及时通知监理人。监理人应在接到通知后24小时内发出指示，逾期未发出指示，视为同意承包人暂停施工。监理人不同意承包人暂停施工的，应说明理由，承包人对监理人的答复有异议，按照第20条〔争议解决〕约定处理。</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7.8.5 暂停施工后的复工</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暂停施工后，发包人和承包人应采取有效措施积极消除暂停施工的影响。在工程复工前，监理人会同发包人和承包人确定因暂停施工造成的损失，并确定工程复工条件。当工程具备复工条件时，监理人应经发包人批准后向承包人发出复工通知，承包人应按照复工通知要求复工。</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承包人无故拖延和拒绝复工的，承包人承担由此增加的费用和（或）延误的工期；因发包人原因无法按时复工的，按照第7.5.1项〔因发包人原因导致工期延误〕约定办理。</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7.8.6 暂停施工持续56天以上</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监理人发出暂停施工指示后56天内未向承包人发出复工通知，除该项停工属于第7.8.2项〔承包人原因引起的暂停施工〕及第17条〔不可抗力〕约定的情形外，承包人可向发包人提交书面通知，要求发包人在收到书面通知后28天内准许已暂停施工的部分或全部工程继续施工。发包人逾期不予批准的，则承包人可以通知发包人，将工程受影响的部分视为按第10.1款〔变更的范围〕第（2）项的可取消工作。</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暂停施工持续84天以上不复工的，且不属于第7.8.2项〔承包人原因引起的暂停施工〕及第17条〔不可抗力〕约定的情形，并影响到整个工程以及合同目的实现的，承包人有权提出价格调整要求，或者解除合同。解除合同的，按照第16.1.3项〔因发包人违约解除合同〕执行。</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7.8.7 暂停施工期间的工程照管</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暂停施工期间，承包人应负责妥善照管工程并提供安全保障，由此增加的费用由责任方承担。</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7.8.8 暂停施工的措施</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暂停施工期间，发包人和承包人均应采取必要的措施确保工程质量及安全，防止因暂停施工扩大损失。</w:t>
      </w:r>
      <w:r/>
    </w:p>
    <w:p>
      <w:pPr>
        <w:ind w:left="878" w:hanging="877"/>
        <w:spacing w:before="156" w:after="156" w:line="360" w:lineRule="auto"/>
        <w:rPr>
          <w:rFonts w:hint="eastAsia" w:ascii="宋体" w:hAnsi="宋体" w:cs="宋体"/>
          <w:color w:val="auto"/>
          <w:sz w:val="21"/>
          <w:szCs w:val="21"/>
          <w:highlight w:val="none"/>
          <w:lang w:eastAsia="zh-CN"/>
        </w:rPr>
      </w:pPr>
      <w:r/>
      <w:bookmarkStart w:id="245" w:name="_Toc351203551"/>
      <w:r>
        <w:rPr>
          <w:rFonts w:hint="eastAsia" w:ascii="宋体" w:hAnsi="宋体" w:cs="宋体"/>
          <w:color w:val="auto"/>
          <w:sz w:val="21"/>
          <w:szCs w:val="21"/>
          <w:highlight w:val="none"/>
          <w:lang w:eastAsia="zh-CN"/>
        </w:rPr>
        <w:t xml:space="preserve">7.9提前竣工</w:t>
      </w:r>
      <w:bookmarkEnd w:id="245"/>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7.9.1 发包人要求承包人提前竣工的，发包人应通过监理人向承包人下达提前竣工指示，承包人应向发包人和监理人提交提前竣工建议书，提前竣工建议书应包括实施的方案、缩短的时间、增加的合同价格等内容。发包人接受该提前竣工建议书的，监理人应与发包人和承包人协商采取加快工程进度的措施，并修订施工进度计划，由此增加的费用由发包人承担。承包人认为提前竣工指示无法执行的，应向监理人和发包人提出书面异议，发包人和监理人应在收到异议后7天内予以答复。任何情况下，发包人不得压缩合理工期。</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7.9.2 发包人要求承包人提前竣工，或承包人提出提前竣工的建议能够给发包人带来效益的，合同当事人可以在专用合同条款中约定提前竣工的奖励。</w:t>
      </w:r>
      <w:r/>
    </w:p>
    <w:p>
      <w:pPr>
        <w:ind w:firstLine="482"/>
        <w:jc w:val="both"/>
        <w:spacing w:line="360" w:lineRule="auto"/>
        <w:rPr>
          <w:rFonts w:hint="eastAsia" w:cs="宋体"/>
          <w:color w:val="auto"/>
          <w:sz w:val="21"/>
          <w:szCs w:val="21"/>
          <w:highlight w:val="none"/>
          <w:lang w:eastAsia="zh-CN"/>
        </w:rPr>
      </w:pPr>
      <w:r/>
      <w:bookmarkStart w:id="246" w:name="_Toc351203552"/>
      <w:r>
        <w:rPr>
          <w:rFonts w:hint="eastAsia" w:cs="宋体"/>
          <w:color w:val="auto"/>
          <w:sz w:val="21"/>
          <w:szCs w:val="21"/>
          <w:highlight w:val="none"/>
          <w:lang w:eastAsia="zh-CN"/>
        </w:rPr>
        <w:t xml:space="preserve">8</w:t>
      </w:r>
      <w:bookmarkStart w:id="247" w:name="_Toc337558776"/>
      <w:r/>
      <w:bookmarkStart w:id="248" w:name="_Toc296503058"/>
      <w:r/>
      <w:bookmarkStart w:id="249" w:name="_Toc296346559"/>
      <w:r>
        <w:rPr>
          <w:rFonts w:hint="eastAsia" w:cs="宋体"/>
          <w:color w:val="auto"/>
          <w:sz w:val="21"/>
          <w:szCs w:val="21"/>
          <w:highlight w:val="none"/>
          <w:lang w:eastAsia="zh-CN"/>
        </w:rPr>
        <w:t xml:space="preserve">. 材料与设备</w:t>
      </w:r>
      <w:bookmarkEnd w:id="246"/>
      <w:r/>
      <w:bookmarkEnd w:id="247"/>
      <w:bookmarkEnd w:id="248"/>
      <w:bookmarkEnd w:id="249"/>
      <w:r/>
    </w:p>
    <w:p>
      <w:pPr>
        <w:ind w:left="878" w:hanging="877"/>
        <w:spacing w:before="156" w:after="156" w:line="360" w:lineRule="auto"/>
        <w:rPr>
          <w:rFonts w:hint="eastAsia" w:ascii="宋体" w:hAnsi="宋体" w:cs="宋体"/>
          <w:color w:val="auto"/>
          <w:sz w:val="21"/>
          <w:szCs w:val="21"/>
          <w:highlight w:val="none"/>
          <w:lang w:eastAsia="zh-CN"/>
        </w:rPr>
      </w:pPr>
      <w:r/>
      <w:bookmarkStart w:id="250" w:name="_Toc351203553"/>
      <w:r>
        <w:rPr>
          <w:rFonts w:hint="eastAsia" w:ascii="宋体" w:hAnsi="宋体" w:cs="宋体"/>
          <w:color w:val="auto"/>
          <w:sz w:val="21"/>
          <w:szCs w:val="21"/>
          <w:highlight w:val="none"/>
          <w:lang w:eastAsia="zh-CN"/>
        </w:rPr>
        <w:t xml:space="preserve">8</w:t>
      </w:r>
      <w:bookmarkStart w:id="251" w:name="_Toc337558777"/>
      <w:r/>
      <w:bookmarkStart w:id="252" w:name="_Toc296346560"/>
      <w:r/>
      <w:bookmarkStart w:id="253" w:name="_Toc296503059"/>
      <w:r/>
      <w:bookmarkStart w:id="254" w:name="_Toc468936960"/>
      <w:r>
        <w:rPr>
          <w:rFonts w:hint="eastAsia" w:ascii="宋体" w:hAnsi="宋体" w:cs="宋体"/>
          <w:color w:val="auto"/>
          <w:sz w:val="21"/>
          <w:szCs w:val="21"/>
          <w:highlight w:val="none"/>
          <w:lang w:eastAsia="zh-CN"/>
        </w:rPr>
        <w:t xml:space="preserve">.1发包人供应材料与工程设备</w:t>
      </w:r>
      <w:bookmarkEnd w:id="250"/>
      <w:r/>
      <w:bookmarkEnd w:id="251"/>
      <w:bookmarkEnd w:id="252"/>
      <w:bookmarkEnd w:id="253"/>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发包人自行供应材料、工程设备的，应在签订合同时在专用合同条款的附件《发包人供应材料设备一览表》中明确材料、工程设备的品种、规格、型号、数量、单价、质量等级和送达地点。</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承包人应提前30天通过监理人以书面形式通知发包人供应材料与工程设备进场。承包人按照第7.2.2项〔施工进度计划的修订〕约定修订施工进度计划时，需同时提交经修订后的发包人供应材料与工程设备的进场计划。</w:t>
      </w:r>
      <w:r/>
    </w:p>
    <w:p>
      <w:pPr>
        <w:ind w:left="878" w:hanging="877"/>
        <w:spacing w:before="156" w:after="156" w:line="360" w:lineRule="auto"/>
        <w:rPr>
          <w:rFonts w:hint="eastAsia" w:ascii="宋体" w:hAnsi="宋体" w:cs="宋体"/>
          <w:color w:val="auto"/>
          <w:sz w:val="21"/>
          <w:szCs w:val="21"/>
          <w:highlight w:val="none"/>
          <w:lang w:eastAsia="zh-CN"/>
        </w:rPr>
      </w:pPr>
      <w:r/>
      <w:bookmarkStart w:id="255" w:name="_Toc351203554"/>
      <w:r>
        <w:rPr>
          <w:rFonts w:hint="eastAsia" w:ascii="宋体" w:hAnsi="宋体" w:cs="宋体"/>
          <w:color w:val="auto"/>
          <w:sz w:val="21"/>
          <w:szCs w:val="21"/>
          <w:highlight w:val="none"/>
          <w:lang w:eastAsia="zh-CN"/>
        </w:rPr>
        <w:t xml:space="preserve">8</w:t>
      </w:r>
      <w:bookmarkStart w:id="256" w:name="_Toc296346561"/>
      <w:r/>
      <w:bookmarkStart w:id="257" w:name="_Toc337558778"/>
      <w:r/>
      <w:bookmarkStart w:id="258" w:name="_Toc296503060"/>
      <w:r>
        <w:rPr>
          <w:rFonts w:hint="eastAsia" w:ascii="宋体" w:hAnsi="宋体" w:cs="宋体"/>
          <w:color w:val="auto"/>
          <w:sz w:val="21"/>
          <w:szCs w:val="21"/>
          <w:highlight w:val="none"/>
          <w:lang w:eastAsia="zh-CN"/>
        </w:rPr>
        <w:t xml:space="preserve">.2承包人采购材料与工程设备</w:t>
      </w:r>
      <w:bookmarkEnd w:id="255"/>
      <w:r/>
      <w:bookmarkEnd w:id="256"/>
      <w:bookmarkEnd w:id="257"/>
      <w:bookmarkEnd w:id="258"/>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相应责任。</w:t>
      </w:r>
      <w:r/>
    </w:p>
    <w:p>
      <w:pPr>
        <w:ind w:left="878" w:hanging="877"/>
        <w:spacing w:before="156" w:after="156" w:line="360" w:lineRule="auto"/>
        <w:rPr>
          <w:rFonts w:hint="eastAsia" w:ascii="宋体" w:hAnsi="宋体" w:cs="宋体"/>
          <w:color w:val="auto"/>
          <w:sz w:val="21"/>
          <w:szCs w:val="21"/>
          <w:highlight w:val="none"/>
          <w:lang w:eastAsia="zh-CN"/>
        </w:rPr>
      </w:pPr>
      <w:r/>
      <w:bookmarkStart w:id="259" w:name="_Toc351203555"/>
      <w:r>
        <w:rPr>
          <w:rFonts w:hint="eastAsia" w:ascii="宋体" w:hAnsi="宋体" w:cs="宋体"/>
          <w:color w:val="auto"/>
          <w:sz w:val="21"/>
          <w:szCs w:val="21"/>
          <w:highlight w:val="none"/>
          <w:lang w:eastAsia="zh-CN"/>
        </w:rPr>
        <w:t xml:space="preserve">8</w:t>
      </w:r>
      <w:bookmarkStart w:id="260" w:name="_Toc296503061"/>
      <w:r/>
      <w:bookmarkStart w:id="261" w:name="_Toc296346562"/>
      <w:r/>
      <w:bookmarkStart w:id="262" w:name="_Toc337558779"/>
      <w:r>
        <w:rPr>
          <w:rFonts w:hint="eastAsia" w:ascii="宋体" w:hAnsi="宋体" w:cs="宋体"/>
          <w:color w:val="auto"/>
          <w:sz w:val="21"/>
          <w:szCs w:val="21"/>
          <w:highlight w:val="none"/>
          <w:lang w:eastAsia="zh-CN"/>
        </w:rPr>
        <w:t xml:space="preserve">.3材料与工程设备的接收与拒收</w:t>
      </w:r>
      <w:bookmarkEnd w:id="259"/>
      <w:r/>
      <w:bookmarkEnd w:id="260"/>
      <w:bookmarkEnd w:id="261"/>
      <w:bookmarkEnd w:id="262"/>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8.3.1 发包人应按《发包人供应材料设备一览表》约定的内容提供材料和工程设备，并向承包人提供产品合格证明及出厂证明，对其质量负责。发包人应提前24小时以书面形式通知承包人、监理人材料和工程设备到货时间，承包人负责材料和工程设备的清点、检验和接收。</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发包人提供的材料和工程设备的规格、数量或质量不符合合同约定的，或因发包人原因导致交货日期延误或交货地点变更等情况的，按照第16.1款〔发包人违约〕约定办理。</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8.3.2 承包人采购的材料和工程设备，应保证产品质量合格，承包人应在材料和工程设备到货前24小时通知监理人检验。承</w:t>
      </w:r>
      <w:bookmarkStart w:id="263" w:name="_Toc250655469"/>
      <w:r>
        <w:rPr>
          <w:rFonts w:hint="eastAsia" w:ascii="宋体" w:hAnsi="宋体" w:eastAsia="宋体" w:cs="宋体"/>
          <w:color w:val="auto"/>
          <w:sz w:val="21"/>
          <w:szCs w:val="21"/>
          <w:highlight w:val="none"/>
          <w:lang w:eastAsia="zh-CN"/>
        </w:rPr>
        <w:t xml:space="preserve">包人进行永久设备、材料的制造和生产的，应符合相关质量标准，并向监理人提交材料的样本以及有关资料，并应在使用该材料或工程设备之前获得监理人同意。</w:t>
      </w:r>
      <w:bookmarkEnd w:id="263"/>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 承包人采购的材料和工程设备不符合设计或有关标准要求时，承包人应在监理人要求的合理期限内将不符合设计或有关标准要求的材料、工程设备运出施工现场，并重新采购符合要求的材料、工程设备，由此增加的费用和（或）延误的工期，由承包人承担。</w:t>
      </w:r>
      <w:r/>
    </w:p>
    <w:p>
      <w:pPr>
        <w:ind w:left="878" w:hanging="877"/>
        <w:spacing w:before="156" w:after="156" w:line="360" w:lineRule="auto"/>
        <w:rPr>
          <w:rFonts w:hint="eastAsia" w:ascii="宋体" w:hAnsi="宋体" w:cs="宋体"/>
          <w:color w:val="auto"/>
          <w:sz w:val="21"/>
          <w:szCs w:val="21"/>
          <w:highlight w:val="none"/>
          <w:lang w:eastAsia="zh-CN"/>
        </w:rPr>
      </w:pPr>
      <w:r/>
      <w:bookmarkStart w:id="264" w:name="_Toc351203556"/>
      <w:r>
        <w:rPr>
          <w:rFonts w:hint="eastAsia" w:ascii="宋体" w:hAnsi="宋体" w:cs="宋体"/>
          <w:color w:val="auto"/>
          <w:sz w:val="21"/>
          <w:szCs w:val="21"/>
          <w:highlight w:val="none"/>
          <w:lang w:eastAsia="zh-CN"/>
        </w:rPr>
        <w:t xml:space="preserve">8</w:t>
      </w:r>
      <w:bookmarkStart w:id="265" w:name="_Toc337558780"/>
      <w:r/>
      <w:bookmarkStart w:id="266" w:name="_Toc296346563"/>
      <w:r/>
      <w:bookmarkStart w:id="267" w:name="_Toc296503062"/>
      <w:r>
        <w:rPr>
          <w:rFonts w:hint="eastAsia" w:ascii="宋体" w:hAnsi="宋体" w:cs="宋体"/>
          <w:color w:val="auto"/>
          <w:sz w:val="21"/>
          <w:szCs w:val="21"/>
          <w:highlight w:val="none"/>
          <w:lang w:eastAsia="zh-CN"/>
        </w:rPr>
        <w:t xml:space="preserve">.4材料与工程设备的保管与使用</w:t>
      </w:r>
      <w:bookmarkEnd w:id="264"/>
      <w:r/>
      <w:bookmarkEnd w:id="265"/>
      <w:bookmarkEnd w:id="266"/>
      <w:bookmarkEnd w:id="267"/>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8.4.1 发包人供应材料与工程设备的保管与使用</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发包人供应的材料和工程设备，承包人清点后由承包人妥善保管，保管费用由发包人承担，但已标价工程量清单或预算书已经列支或专用合同条款另有约定除外。因承包人原因发生丢失毁损的，由承包人负责赔偿；监理人未通知承包人清点的，承包人不负责材料和工程设备的保管，由此导致丢失毁损的由发包人负责。</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发包人供应的材料和工程设备使用前，由承包人负责检验，检验费用由发包人承担，不合格的不得使用。</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8.4.2 承包人采购材料与工程设备的保管与使用</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承包人采购的材料和工程设备由承包人妥善保管，保管费用由承包人承担。法律规定材料和工程设备使用前必须进行检验或试验的，承包人应按监理人的要求进行检验或试验，检验或试验费用由承包人承担，不合格的不得使用。</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发包人或监理人发现承包人使用不符合设计或有关标准要求的材料和工程设备时，有权要求承包人进行修复、拆除或重新采购，由此增加的费用和（或）延误的工期，由承包人承担。</w:t>
      </w:r>
      <w:r/>
    </w:p>
    <w:p>
      <w:pPr>
        <w:ind w:left="878" w:hanging="877"/>
        <w:spacing w:before="156" w:after="156" w:line="360" w:lineRule="auto"/>
        <w:rPr>
          <w:rFonts w:hint="eastAsia" w:ascii="宋体" w:hAnsi="宋体" w:cs="宋体"/>
          <w:color w:val="auto"/>
          <w:sz w:val="21"/>
          <w:szCs w:val="21"/>
          <w:highlight w:val="none"/>
          <w:lang w:eastAsia="zh-CN"/>
        </w:rPr>
      </w:pPr>
      <w:r/>
      <w:bookmarkStart w:id="268" w:name="_Toc351203557"/>
      <w:r>
        <w:rPr>
          <w:rFonts w:hint="eastAsia" w:ascii="宋体" w:hAnsi="宋体" w:cs="宋体"/>
          <w:color w:val="auto"/>
          <w:sz w:val="21"/>
          <w:szCs w:val="21"/>
          <w:highlight w:val="none"/>
          <w:lang w:eastAsia="zh-CN"/>
        </w:rPr>
        <w:t xml:space="preserve">8.5禁止使用不合格的材料和工程设备</w:t>
      </w:r>
      <w:bookmarkEnd w:id="268"/>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8.5.1 监理人有权拒绝承包人提供的不合格材料或工程设备，并要求承包人立即进行更换。监理人应在更换后再次进行检查和检验，由此增加的费用和（或）延误的工期由承包人承担。</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8.5.2 监理人发现承包人使用了不合格的材料和工程设备，承包人应按照监理人的指示立即改正，并禁止在工程中继续使用不合格的材料和工程设备。</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8.5.3 发包人提供的材料或工程设备不符合合同要求的，承包人有权拒绝，并可要求发包人更换，由此增加的费用和（或）延误的工期由发包人承担，并支付承包人合理的利润。</w:t>
      </w:r>
      <w:r/>
    </w:p>
    <w:p>
      <w:pPr>
        <w:ind w:left="878" w:hanging="877"/>
        <w:spacing w:before="156" w:after="156" w:line="360" w:lineRule="auto"/>
        <w:rPr>
          <w:rFonts w:hint="eastAsia" w:ascii="宋体" w:hAnsi="宋体" w:cs="宋体"/>
          <w:color w:val="auto"/>
          <w:sz w:val="21"/>
          <w:szCs w:val="21"/>
          <w:highlight w:val="none"/>
          <w:lang w:eastAsia="zh-CN"/>
        </w:rPr>
      </w:pPr>
      <w:r/>
      <w:bookmarkStart w:id="269" w:name="_Toc351203558"/>
      <w:r>
        <w:rPr>
          <w:rFonts w:hint="eastAsia" w:ascii="宋体" w:hAnsi="宋体" w:cs="宋体"/>
          <w:color w:val="auto"/>
          <w:sz w:val="21"/>
          <w:szCs w:val="21"/>
          <w:highlight w:val="none"/>
          <w:lang w:eastAsia="zh-CN"/>
        </w:rPr>
        <w:t xml:space="preserve">8.6 样品</w:t>
      </w:r>
      <w:bookmarkEnd w:id="269"/>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8.6.1样品的报送与封存</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需要承包人报送样品的材料或工程设备，样品的种类、名称、规格、数量等要求均应在专用合同条款中约定。样品的报送程序如下：</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承包人应在计划采购前28天向监理人报送样品。承包人报送的样品均应来自供应材料的实际生产地，且提供的样品的规格、数量足以表明材料或工程设备的质量、型号、颜色、表面处理、质地、误差和其他要求的特征。</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承包人每次报送样品时应随附申报单，申报单应载明报送样品的相关数据和资料，并标明每件样品对应的图纸号，预留监理人批复意见栏。监理人应在收到承包人报送的样品后7天向承包人回复经发包人签认的样品审批意见。</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（3）经发包人和监理人审批确认的样品应按约定的方法封样，封存的样品作为检验工程相关部分的标准之一。承包人在施工过程中不得使用与样品不符的材料或工程设备。</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发包人和监理人对样品的审批确认仅为确认相关材料或工程设备的特征或用途，不得被理解为对合同的修改或改变，也并不减轻或免除承包人任何的责任和义务。如果封存的样品修改或改变了合同约定，合同当事人应当以书面协议予以确认。</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8.6.2 样品的保管</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经批准的样品应由监理人负责封存于现场，承包人应在现场为保存样品提供适当和固定的场所并保持适当和良好的存储环境条件。</w:t>
      </w:r>
      <w:r/>
    </w:p>
    <w:p>
      <w:pPr>
        <w:ind w:left="878" w:hanging="877"/>
        <w:spacing w:before="156" w:after="156" w:line="360" w:lineRule="auto"/>
        <w:rPr>
          <w:rFonts w:hint="eastAsia" w:ascii="宋体" w:hAnsi="宋体" w:cs="宋体"/>
          <w:color w:val="auto"/>
          <w:sz w:val="21"/>
          <w:szCs w:val="21"/>
          <w:highlight w:val="none"/>
          <w:lang w:eastAsia="zh-CN"/>
        </w:rPr>
      </w:pPr>
      <w:r/>
      <w:bookmarkStart w:id="270" w:name="_Toc351203559"/>
      <w:r>
        <w:rPr>
          <w:rFonts w:hint="eastAsia" w:ascii="宋体" w:hAnsi="宋体" w:cs="宋体"/>
          <w:color w:val="auto"/>
          <w:sz w:val="21"/>
          <w:szCs w:val="21"/>
          <w:highlight w:val="none"/>
          <w:lang w:eastAsia="zh-CN"/>
        </w:rPr>
        <w:t xml:space="preserve">8.7材料与工程设备的替代</w:t>
      </w:r>
      <w:bookmarkEnd w:id="270"/>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8.7.1 出现下列情况需要使用替代材料和工程设备的，承包人应按照第8.7.2项约定的程序执行：</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（1）基准日期后生效的法律规定禁止使用的；</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（2）发包人要求使用替代品的；</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（3）因其他原因必须使用替代品的。</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8.7.2 承包人应在使用替代材料和工程设备28天前书面通知监理人，并附下列文件：</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（1）被替代的材料和工程设备的名称、数量、规格、型号、品牌、性能、价格及其他相关资料；</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（2）替代品的名称、数量、规格、型号、品牌、性能、价格及其他相关资料；</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（3）替代品与被替代产品之间的差异以及使用替代品可能对工程产生的影响；</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（4）替代品与被替代产品的价格差异；</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（5）使用替代品的理由和原因说明；</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（6）监理人要求的其他文件。</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监理人应在收到通知后14天内向承包人发出经发包人签认的书面指示；监理人逾期发出书面指示的，视为发包人和监理人同意使用替代品。</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8.7.3 发包人认可使用替代材料和工程设备的，替代材料和工程设备的价格，按照已标价工程量清单或预算书相同项目的价格认定；无相同项目的，参考相似项目价格认定；既无相同项目也无相似项目的，按照合理的成本与利润构成的原则，由合同当事人按照第4.4款〔商定或确定〕确定价格。</w:t>
      </w:r>
      <w:r/>
    </w:p>
    <w:p>
      <w:pPr>
        <w:ind w:left="878" w:hanging="877"/>
        <w:spacing w:before="156" w:after="156" w:line="360" w:lineRule="auto"/>
        <w:rPr>
          <w:rFonts w:hint="eastAsia" w:ascii="宋体" w:hAnsi="宋体" w:cs="宋体"/>
          <w:color w:val="auto"/>
          <w:sz w:val="21"/>
          <w:szCs w:val="21"/>
          <w:highlight w:val="none"/>
          <w:lang w:eastAsia="zh-CN"/>
        </w:rPr>
      </w:pPr>
      <w:r/>
      <w:bookmarkStart w:id="271" w:name="_Toc351203560"/>
      <w:r>
        <w:rPr>
          <w:rFonts w:hint="eastAsia" w:ascii="宋体" w:hAnsi="宋体" w:cs="宋体"/>
          <w:color w:val="auto"/>
          <w:sz w:val="21"/>
          <w:szCs w:val="21"/>
          <w:highlight w:val="none"/>
          <w:lang w:eastAsia="zh-CN"/>
        </w:rPr>
        <w:t xml:space="preserve">8.8施工设备和临时设施</w:t>
      </w:r>
      <w:bookmarkEnd w:id="271"/>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8.8.1 承包人提供的施工设备和临时设施</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承包人应按合同进度计划的要求，及时配置施工设备和修建临时设施。进入施工场地的承包人设备需经监理人核查后才能投入使用。承包人更换合同约定的承包人设备的，应报监理人批准。</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除专用合同条款另有约定外，承包人应自行承担修建临时设施的费用，需要临时占地的，应由发包人办理申请手续并承担相应费用。</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8.8.2发包人提供的施工设备和临时设施</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发包人提供的施工设备或临时设施在专用合同条款中约定。</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8.8.3要求承包人增加或更换施工设备</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承包人使用的施工设备不能满足合同进度计划和（或）质量要求时，监理人有权要求承包人增加或更换施工设备，承包人应及时增加或更换，由此增加的费用和（或）延误的工期由承包人承担。</w:t>
      </w:r>
      <w:r/>
    </w:p>
    <w:p>
      <w:pPr>
        <w:ind w:left="878" w:hanging="877"/>
        <w:spacing w:before="156" w:after="156" w:line="360" w:lineRule="auto"/>
        <w:rPr>
          <w:rFonts w:hint="eastAsia" w:ascii="宋体" w:hAnsi="宋体" w:cs="宋体"/>
          <w:color w:val="auto"/>
          <w:sz w:val="21"/>
          <w:szCs w:val="21"/>
          <w:highlight w:val="none"/>
          <w:lang w:eastAsia="zh-CN"/>
        </w:rPr>
      </w:pPr>
      <w:r/>
      <w:bookmarkStart w:id="272" w:name="_Toc351203561"/>
      <w:r>
        <w:rPr>
          <w:rFonts w:hint="eastAsia" w:ascii="宋体" w:hAnsi="宋体" w:cs="宋体"/>
          <w:color w:val="auto"/>
          <w:sz w:val="21"/>
          <w:szCs w:val="21"/>
          <w:highlight w:val="none"/>
          <w:lang w:eastAsia="zh-CN"/>
        </w:rPr>
        <w:t xml:space="preserve">8</w:t>
      </w:r>
      <w:bookmarkStart w:id="273" w:name="_Toc296503063"/>
      <w:r/>
      <w:bookmarkStart w:id="274" w:name="_Toc337558781"/>
      <w:r/>
      <w:bookmarkStart w:id="275" w:name="_Toc296346564"/>
      <w:r>
        <w:rPr>
          <w:rFonts w:hint="eastAsia" w:ascii="宋体" w:hAnsi="宋体" w:cs="宋体"/>
          <w:color w:val="auto"/>
          <w:sz w:val="21"/>
          <w:szCs w:val="21"/>
          <w:highlight w:val="none"/>
          <w:lang w:eastAsia="zh-CN"/>
        </w:rPr>
        <w:t xml:space="preserve">.9材料与设备专用</w:t>
      </w:r>
      <w:bookmarkEnd w:id="272"/>
      <w:r>
        <w:rPr>
          <w:rFonts w:hint="eastAsia" w:ascii="宋体" w:hAnsi="宋体" w:cs="宋体"/>
          <w:color w:val="auto"/>
          <w:sz w:val="21"/>
          <w:szCs w:val="21"/>
          <w:highlight w:val="none"/>
          <w:lang w:eastAsia="zh-CN"/>
        </w:rPr>
        <w:t xml:space="preserve">要求</w:t>
      </w:r>
      <w:bookmarkEnd w:id="273"/>
      <w:bookmarkEnd w:id="274"/>
      <w:bookmarkEnd w:id="275"/>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承包人运入施工现场的材料、工程设备、施工设备以及在施工场地建设的临时设施，包括备品备件、安装工具与资料，必须专用于工程。未经发包人批准，承包人不得运出施工现场或挪作他用；</w:t>
      </w:r>
      <w:bookmarkEnd w:id="254"/>
      <w:r>
        <w:rPr>
          <w:rFonts w:hint="eastAsia" w:ascii="宋体" w:hAnsi="宋体" w:eastAsia="宋体" w:cs="宋体"/>
          <w:color w:val="auto"/>
          <w:sz w:val="21"/>
          <w:szCs w:val="21"/>
          <w:highlight w:val="none"/>
          <w:lang w:eastAsia="zh-CN"/>
        </w:rPr>
        <w:t xml:space="preserve">经发包人批准，承包人可以根据施工进度计划撤走闲置的施工设备和其他物品。</w:t>
      </w:r>
      <w:r/>
    </w:p>
    <w:p>
      <w:pPr>
        <w:ind w:firstLine="482"/>
        <w:jc w:val="both"/>
        <w:spacing w:line="360" w:lineRule="auto"/>
        <w:rPr>
          <w:rFonts w:hint="eastAsia" w:cs="宋体"/>
          <w:color w:val="auto"/>
          <w:sz w:val="21"/>
          <w:szCs w:val="21"/>
          <w:highlight w:val="none"/>
          <w:lang w:eastAsia="zh-CN"/>
        </w:rPr>
      </w:pPr>
      <w:r/>
      <w:bookmarkStart w:id="276" w:name="_Toc351203562"/>
      <w:r>
        <w:rPr>
          <w:rFonts w:hint="eastAsia" w:cs="宋体"/>
          <w:color w:val="auto"/>
          <w:sz w:val="21"/>
          <w:szCs w:val="21"/>
          <w:highlight w:val="none"/>
          <w:lang w:eastAsia="zh-CN"/>
        </w:rPr>
        <w:t xml:space="preserve">9</w:t>
      </w:r>
      <w:bookmarkStart w:id="277" w:name="_Toc337558782"/>
      <w:r/>
      <w:bookmarkStart w:id="278" w:name="_Toc296346584"/>
      <w:r/>
      <w:bookmarkStart w:id="279" w:name="_Toc296503083"/>
      <w:r>
        <w:rPr>
          <w:rFonts w:hint="eastAsia" w:cs="宋体"/>
          <w:color w:val="auto"/>
          <w:sz w:val="21"/>
          <w:szCs w:val="21"/>
          <w:highlight w:val="none"/>
          <w:lang w:eastAsia="zh-CN"/>
        </w:rPr>
        <w:t xml:space="preserve">. 试验与检验</w:t>
      </w:r>
      <w:bookmarkEnd w:id="276"/>
      <w:r/>
      <w:bookmarkEnd w:id="277"/>
      <w:r/>
    </w:p>
    <w:p>
      <w:pPr>
        <w:ind w:left="878" w:hanging="877"/>
        <w:spacing w:before="156" w:after="156" w:line="360" w:lineRule="auto"/>
        <w:rPr>
          <w:rFonts w:hint="eastAsia" w:ascii="宋体" w:hAnsi="宋体" w:cs="宋体"/>
          <w:color w:val="auto"/>
          <w:sz w:val="21"/>
          <w:szCs w:val="21"/>
          <w:highlight w:val="none"/>
          <w:lang w:eastAsia="zh-CN"/>
        </w:rPr>
      </w:pPr>
      <w:r/>
      <w:bookmarkStart w:id="280" w:name="_Toc351203563"/>
      <w:r>
        <w:rPr>
          <w:rFonts w:hint="eastAsia" w:ascii="宋体" w:hAnsi="宋体" w:cs="宋体"/>
          <w:color w:val="auto"/>
          <w:sz w:val="21"/>
          <w:szCs w:val="21"/>
          <w:highlight w:val="none"/>
          <w:lang w:eastAsia="zh-CN"/>
        </w:rPr>
        <w:t xml:space="preserve">9</w:t>
      </w:r>
      <w:bookmarkStart w:id="281" w:name="_Toc337558783"/>
      <w:r>
        <w:rPr>
          <w:rFonts w:hint="eastAsia" w:ascii="宋体" w:hAnsi="宋体" w:cs="宋体"/>
          <w:color w:val="auto"/>
          <w:sz w:val="21"/>
          <w:szCs w:val="21"/>
          <w:highlight w:val="none"/>
          <w:lang w:eastAsia="zh-CN"/>
        </w:rPr>
        <w:t xml:space="preserve">.1试验设备与试验人员</w:t>
      </w:r>
      <w:bookmarkEnd w:id="280"/>
      <w:r/>
      <w:bookmarkEnd w:id="281"/>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9.1.1 承包人根据合同约定或监理人指示进行的现场材料试验，应由承包人提供试验场所、试验人员、试验设备以及其他必要的试验条件。监理人在必要时可以使用承包人提供的试验场所、试验设备以及其他试验条件，进行以工程质量检查为目的的材料复核试验，承包人应予以协助。</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9.1.2 承包人应按专用合同条款的约定提供试验设备、取样装置、试验场所和试验条件，并向监理人提交相应进场计划表。</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承包人配置的试验设备要符合相应试验规程的要求并经过具有资质的检测单位检测，且在正式使用该试验设备前，需要经过监理人与承包人共同校定。</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9.1.3 承包人应向监理人提交试验人员的名单及其岗位、资格等证明资料，试验人员必须能够熟练进行相应的检测试验，承包人对试验人员的试验程序和试验结果的正确性负责。</w:t>
      </w:r>
      <w:r/>
    </w:p>
    <w:p>
      <w:pPr>
        <w:ind w:left="878" w:hanging="877"/>
        <w:spacing w:before="156" w:after="156" w:line="360" w:lineRule="auto"/>
        <w:rPr>
          <w:rFonts w:hint="eastAsia" w:ascii="宋体" w:hAnsi="宋体" w:cs="宋体"/>
          <w:color w:val="auto"/>
          <w:sz w:val="21"/>
          <w:szCs w:val="21"/>
          <w:highlight w:val="none"/>
          <w:lang w:eastAsia="zh-CN"/>
        </w:rPr>
      </w:pPr>
      <w:r/>
      <w:bookmarkStart w:id="282" w:name="_Toc351203564"/>
      <w:r>
        <w:rPr>
          <w:rFonts w:hint="eastAsia" w:ascii="宋体" w:hAnsi="宋体" w:cs="宋体"/>
          <w:color w:val="auto"/>
          <w:sz w:val="21"/>
          <w:szCs w:val="21"/>
          <w:highlight w:val="none"/>
          <w:lang w:eastAsia="zh-CN"/>
        </w:rPr>
        <w:t xml:space="preserve">9</w:t>
      </w:r>
      <w:bookmarkStart w:id="283" w:name="_Toc337558784"/>
      <w:r>
        <w:rPr>
          <w:rFonts w:hint="eastAsia" w:ascii="宋体" w:hAnsi="宋体" w:cs="宋体"/>
          <w:color w:val="auto"/>
          <w:sz w:val="21"/>
          <w:szCs w:val="21"/>
          <w:highlight w:val="none"/>
          <w:lang w:eastAsia="zh-CN"/>
        </w:rPr>
        <w:t xml:space="preserve">.2取样</w:t>
      </w:r>
      <w:bookmarkEnd w:id="282"/>
      <w:r/>
      <w:bookmarkEnd w:id="283"/>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试验属于自检性质的，承包人可以单独取样。试验属于监理人抽检性质的，可由监理人取样，也可由承包人的试验人员在监理人的监督下取样。</w:t>
      </w:r>
      <w:r/>
    </w:p>
    <w:p>
      <w:pPr>
        <w:ind w:left="878" w:hanging="877"/>
        <w:spacing w:before="156" w:after="156" w:line="360" w:lineRule="auto"/>
        <w:rPr>
          <w:rFonts w:hint="eastAsia" w:ascii="宋体" w:hAnsi="宋体" w:cs="宋体"/>
          <w:color w:val="auto"/>
          <w:sz w:val="21"/>
          <w:szCs w:val="21"/>
          <w:highlight w:val="none"/>
          <w:lang w:eastAsia="zh-CN"/>
        </w:rPr>
      </w:pPr>
      <w:r/>
      <w:bookmarkStart w:id="284" w:name="_Toc351203565"/>
      <w:r>
        <w:rPr>
          <w:rFonts w:hint="eastAsia" w:ascii="宋体" w:hAnsi="宋体" w:cs="宋体"/>
          <w:color w:val="auto"/>
          <w:sz w:val="21"/>
          <w:szCs w:val="21"/>
          <w:highlight w:val="none"/>
          <w:lang w:eastAsia="zh-CN"/>
        </w:rPr>
        <w:t xml:space="preserve">9</w:t>
      </w:r>
      <w:bookmarkStart w:id="285" w:name="_Toc337558785"/>
      <w:r>
        <w:rPr>
          <w:rFonts w:hint="eastAsia" w:ascii="宋体" w:hAnsi="宋体" w:cs="宋体"/>
          <w:color w:val="auto"/>
          <w:sz w:val="21"/>
          <w:szCs w:val="21"/>
          <w:highlight w:val="none"/>
          <w:lang w:eastAsia="zh-CN"/>
        </w:rPr>
        <w:t xml:space="preserve">.3材料、工程设备和工程的试验和检验</w:t>
      </w:r>
      <w:bookmarkEnd w:id="284"/>
      <w:r/>
      <w:bookmarkEnd w:id="285"/>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9.3.1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9.3.2试验属于自检性质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应承认该试验结果。</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9.3.3监理人对承包人的试验和检验结果有异议的，或为查清承包人试验和检验成果的可靠性要求承包人重新试验和检验的，可由监理人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r/>
    </w:p>
    <w:p>
      <w:pPr>
        <w:ind w:left="878" w:hanging="877"/>
        <w:spacing w:before="156" w:after="156" w:line="360" w:lineRule="auto"/>
        <w:rPr>
          <w:rFonts w:hint="eastAsia" w:ascii="宋体" w:hAnsi="宋体" w:cs="宋体"/>
          <w:color w:val="auto"/>
          <w:sz w:val="21"/>
          <w:szCs w:val="21"/>
          <w:highlight w:val="none"/>
          <w:lang w:eastAsia="zh-CN"/>
        </w:rPr>
      </w:pPr>
      <w:r/>
      <w:bookmarkStart w:id="286" w:name="_Toc351203566"/>
      <w:r>
        <w:rPr>
          <w:rFonts w:hint="eastAsia" w:ascii="宋体" w:hAnsi="宋体" w:cs="宋体"/>
          <w:color w:val="auto"/>
          <w:sz w:val="21"/>
          <w:szCs w:val="21"/>
          <w:highlight w:val="none"/>
          <w:lang w:eastAsia="zh-CN"/>
        </w:rPr>
        <w:t xml:space="preserve">9</w:t>
      </w:r>
      <w:bookmarkStart w:id="287" w:name="_Toc337558786"/>
      <w:r>
        <w:rPr>
          <w:rFonts w:hint="eastAsia" w:ascii="宋体" w:hAnsi="宋体" w:cs="宋体"/>
          <w:color w:val="auto"/>
          <w:sz w:val="21"/>
          <w:szCs w:val="21"/>
          <w:highlight w:val="none"/>
          <w:lang w:eastAsia="zh-CN"/>
        </w:rPr>
        <w:t xml:space="preserve">.4现场工艺试验</w:t>
      </w:r>
      <w:bookmarkEnd w:id="286"/>
      <w:r/>
      <w:bookmarkEnd w:id="287"/>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承包人应按合同约定或监理人指示进行现场工艺试验。对大型的现场工艺试验，监理人认为必要时，承包人应根据监理人提出的工艺试验要求，编制工艺试验措施计划，报送监理人审查。</w:t>
      </w:r>
      <w:r/>
    </w:p>
    <w:p>
      <w:pPr>
        <w:ind w:firstLine="482"/>
        <w:jc w:val="both"/>
        <w:spacing w:line="360" w:lineRule="auto"/>
        <w:rPr>
          <w:rFonts w:hint="eastAsia" w:cs="宋体"/>
          <w:color w:val="auto"/>
          <w:sz w:val="21"/>
          <w:szCs w:val="21"/>
          <w:highlight w:val="none"/>
          <w:lang w:eastAsia="zh-CN"/>
        </w:rPr>
      </w:pPr>
      <w:r/>
      <w:bookmarkStart w:id="288" w:name="_Toc351203567"/>
      <w:r>
        <w:rPr>
          <w:rFonts w:hint="eastAsia" w:cs="宋体"/>
          <w:color w:val="auto"/>
          <w:sz w:val="21"/>
          <w:szCs w:val="21"/>
          <w:highlight w:val="none"/>
          <w:lang w:eastAsia="zh-CN"/>
        </w:rPr>
        <w:t xml:space="preserve">1</w:t>
      </w:r>
      <w:bookmarkStart w:id="289" w:name="_Toc337558787"/>
      <w:r>
        <w:rPr>
          <w:rFonts w:hint="eastAsia" w:cs="宋体"/>
          <w:color w:val="auto"/>
          <w:sz w:val="21"/>
          <w:szCs w:val="21"/>
          <w:highlight w:val="none"/>
          <w:lang w:eastAsia="zh-CN"/>
        </w:rPr>
        <w:t xml:space="preserve">0. 变更</w:t>
      </w:r>
      <w:bookmarkEnd w:id="278"/>
      <w:r/>
      <w:bookmarkEnd w:id="279"/>
      <w:r/>
      <w:bookmarkEnd w:id="288"/>
      <w:r/>
      <w:bookmarkEnd w:id="289"/>
      <w:r/>
    </w:p>
    <w:p>
      <w:pPr>
        <w:ind w:left="878" w:hanging="877"/>
        <w:spacing w:before="156" w:after="156" w:line="360" w:lineRule="auto"/>
        <w:rPr>
          <w:rFonts w:hint="eastAsia" w:ascii="宋体" w:hAnsi="宋体" w:cs="宋体"/>
          <w:color w:val="auto"/>
          <w:sz w:val="21"/>
          <w:szCs w:val="21"/>
          <w:highlight w:val="none"/>
          <w:lang w:eastAsia="zh-CN"/>
        </w:rPr>
      </w:pPr>
      <w:r/>
      <w:bookmarkStart w:id="290" w:name="_Toc351203568"/>
      <w:r>
        <w:rPr>
          <w:rFonts w:hint="eastAsia" w:ascii="宋体" w:hAnsi="宋体" w:cs="宋体"/>
          <w:color w:val="auto"/>
          <w:sz w:val="21"/>
          <w:szCs w:val="21"/>
          <w:highlight w:val="none"/>
          <w:lang w:eastAsia="zh-CN"/>
        </w:rPr>
        <w:t xml:space="preserve">1</w:t>
      </w:r>
      <w:bookmarkStart w:id="291" w:name="_Toc337558788"/>
      <w:r/>
      <w:bookmarkStart w:id="292" w:name="_Toc296346585"/>
      <w:r/>
      <w:bookmarkStart w:id="293" w:name="_Toc296503084"/>
      <w:r>
        <w:rPr>
          <w:rFonts w:hint="eastAsia" w:ascii="宋体" w:hAnsi="宋体" w:cs="宋体"/>
          <w:color w:val="auto"/>
          <w:sz w:val="21"/>
          <w:szCs w:val="21"/>
          <w:highlight w:val="none"/>
          <w:lang w:eastAsia="zh-CN"/>
        </w:rPr>
        <w:t xml:space="preserve">0.1变更的范围</w:t>
      </w:r>
      <w:bookmarkEnd w:id="290"/>
      <w:r/>
      <w:bookmarkEnd w:id="291"/>
      <w:bookmarkEnd w:id="292"/>
      <w:bookmarkEnd w:id="293"/>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除专用合同条款另有约定外，合同履行过程中发生以下情形的，应按照本条约定进行变更：</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（1）增加或减少合同中任何工作，或追加额外的工作；</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（2）取消合同中任何工作，但转由他人实施的工作除外；</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（3）改变合同中任何工作的质量标准或其他特性；</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（4）改变工程的基线、标高、位置和尺寸；</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（5）改变工程的时间安排或实施顺序。</w:t>
      </w:r>
      <w:r/>
    </w:p>
    <w:p>
      <w:pPr>
        <w:ind w:left="878" w:hanging="877"/>
        <w:spacing w:before="156" w:after="156" w:line="360" w:lineRule="auto"/>
        <w:rPr>
          <w:rFonts w:hint="eastAsia" w:ascii="宋体" w:hAnsi="宋体" w:cs="宋体"/>
          <w:color w:val="auto"/>
          <w:sz w:val="21"/>
          <w:szCs w:val="21"/>
          <w:highlight w:val="none"/>
          <w:lang w:eastAsia="zh-CN"/>
        </w:rPr>
      </w:pPr>
      <w:r/>
      <w:bookmarkStart w:id="294" w:name="_Toc351203569"/>
      <w:r>
        <w:rPr>
          <w:rFonts w:hint="eastAsia" w:ascii="宋体" w:hAnsi="宋体" w:cs="宋体"/>
          <w:color w:val="auto"/>
          <w:sz w:val="21"/>
          <w:szCs w:val="21"/>
          <w:highlight w:val="none"/>
          <w:lang w:eastAsia="zh-CN"/>
        </w:rPr>
        <w:t xml:space="preserve">1</w:t>
      </w:r>
      <w:bookmarkStart w:id="295" w:name="_Toc296503085"/>
      <w:r/>
      <w:bookmarkStart w:id="296" w:name="_Toc296346586"/>
      <w:r/>
      <w:bookmarkStart w:id="297" w:name="_Toc337558789"/>
      <w:r>
        <w:rPr>
          <w:rFonts w:hint="eastAsia" w:ascii="宋体" w:hAnsi="宋体" w:cs="宋体"/>
          <w:color w:val="auto"/>
          <w:sz w:val="21"/>
          <w:szCs w:val="21"/>
          <w:highlight w:val="none"/>
          <w:lang w:eastAsia="zh-CN"/>
        </w:rPr>
        <w:t xml:space="preserve">0.2变更权</w:t>
      </w:r>
      <w:bookmarkEnd w:id="294"/>
      <w:r/>
      <w:bookmarkEnd w:id="295"/>
      <w:bookmarkEnd w:id="296"/>
      <w:bookmarkEnd w:id="297"/>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发包人和监理人均可以提出变更。变更指示均通过监理人发出，监理人发出变更指示前应征得发包人同意。承包人收到经发包人签认的变更指示后，方可实施变更。未经许可，承包人不得擅自对工程的任何部分进行变更。</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涉及设计变更的，应由设计人提供变更后的图纸和说明。如变更超过原设计标准或批准的建设规模时，发包人应及时办理规划、设计变更等审批手续。</w:t>
      </w:r>
      <w:r/>
    </w:p>
    <w:p>
      <w:pPr>
        <w:ind w:left="878" w:hanging="877"/>
        <w:spacing w:before="156" w:after="156" w:line="360" w:lineRule="auto"/>
        <w:rPr>
          <w:rFonts w:hint="eastAsia" w:ascii="宋体" w:hAnsi="宋体" w:cs="宋体"/>
          <w:color w:val="auto"/>
          <w:sz w:val="21"/>
          <w:szCs w:val="21"/>
          <w:highlight w:val="none"/>
          <w:lang w:eastAsia="zh-CN"/>
        </w:rPr>
      </w:pPr>
      <w:r/>
      <w:bookmarkStart w:id="298" w:name="_Toc351203570"/>
      <w:r>
        <w:rPr>
          <w:rFonts w:hint="eastAsia" w:ascii="宋体" w:hAnsi="宋体" w:cs="宋体"/>
          <w:color w:val="auto"/>
          <w:sz w:val="21"/>
          <w:szCs w:val="21"/>
          <w:highlight w:val="none"/>
          <w:lang w:eastAsia="zh-CN"/>
        </w:rPr>
        <w:t xml:space="preserve">1</w:t>
      </w:r>
      <w:bookmarkStart w:id="299" w:name="_Toc337558790"/>
      <w:r/>
      <w:bookmarkStart w:id="300" w:name="_Toc296346587"/>
      <w:r/>
      <w:bookmarkStart w:id="301" w:name="_Toc296503086"/>
      <w:r>
        <w:rPr>
          <w:rFonts w:hint="eastAsia" w:ascii="宋体" w:hAnsi="宋体" w:cs="宋体"/>
          <w:color w:val="auto"/>
          <w:sz w:val="21"/>
          <w:szCs w:val="21"/>
          <w:highlight w:val="none"/>
          <w:lang w:eastAsia="zh-CN"/>
        </w:rPr>
        <w:t xml:space="preserve">0.3变更程序</w:t>
      </w:r>
      <w:bookmarkEnd w:id="298"/>
      <w:r/>
      <w:bookmarkEnd w:id="299"/>
      <w:bookmarkEnd w:id="300"/>
      <w:bookmarkEnd w:id="301"/>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10.3.1 发包人提出变更</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发包人提出变更的，应通过监理人向承包人发出变更指示，变更指示应说明计划变更的工程范围和变更的内容。</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10.3.2 监理人提出变更建议</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监理人提出变更建议的，需要向发包人以书面形式提出变更计划，说明计划变更工程范围和变更的内容、理由，以及实施该变更对合同价格和工期的影响。发包人同意变更的，由监理人向承包人发出变更指示。发包人不同意变更的，监理人无权擅自发出变更指示。</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10.3.3 变更执行</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承包人收到监理人下达的变更指示后，认为不能执行，应立即提出不能执行该变更指示的理由。承包人认为可以执行变更的，应当书面说明实施该变更指示对合同价格和工期的影响，且合同当事人应当按照第10.4款〔变更估价〕约定确定变更估价。</w:t>
      </w:r>
      <w:r/>
    </w:p>
    <w:p>
      <w:pPr>
        <w:ind w:left="878" w:hanging="877"/>
        <w:spacing w:before="156" w:after="156" w:line="360" w:lineRule="auto"/>
        <w:rPr>
          <w:rFonts w:hint="eastAsia" w:ascii="宋体" w:hAnsi="宋体" w:cs="宋体"/>
          <w:color w:val="auto"/>
          <w:sz w:val="21"/>
          <w:szCs w:val="21"/>
          <w:highlight w:val="none"/>
          <w:lang w:eastAsia="zh-CN"/>
        </w:rPr>
      </w:pPr>
      <w:r/>
      <w:bookmarkStart w:id="302" w:name="_Toc351203571"/>
      <w:r>
        <w:rPr>
          <w:rFonts w:hint="eastAsia" w:ascii="宋体" w:hAnsi="宋体" w:cs="宋体"/>
          <w:color w:val="auto"/>
          <w:sz w:val="21"/>
          <w:szCs w:val="21"/>
          <w:highlight w:val="none"/>
          <w:lang w:eastAsia="zh-CN"/>
        </w:rPr>
        <w:t xml:space="preserve">1</w:t>
      </w:r>
      <w:bookmarkStart w:id="303" w:name="_Toc296346588"/>
      <w:r/>
      <w:bookmarkStart w:id="304" w:name="_Toc337558791"/>
      <w:r/>
      <w:bookmarkStart w:id="305" w:name="_Toc296503087"/>
      <w:r>
        <w:rPr>
          <w:rFonts w:hint="eastAsia" w:ascii="宋体" w:hAnsi="宋体" w:cs="宋体"/>
          <w:color w:val="auto"/>
          <w:sz w:val="21"/>
          <w:szCs w:val="21"/>
          <w:highlight w:val="none"/>
          <w:lang w:eastAsia="zh-CN"/>
        </w:rPr>
        <w:t xml:space="preserve">0.4变更估价</w:t>
      </w:r>
      <w:bookmarkEnd w:id="302"/>
      <w:r/>
      <w:bookmarkEnd w:id="303"/>
      <w:bookmarkEnd w:id="304"/>
      <w:bookmarkEnd w:id="305"/>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10.4.1 变更估价原则</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除专用合同条款另有约定外，变更估价按照本款约定处理：</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（1）已标价工程量清单或预算书有相同项目的，按照相同项目单价认定；</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（2）已标价工程量清单或预算书中无相同项目，但有类似项目的，参照类似项目的单价认定；</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变更导致实际完成的变更工程量与已标价工程量清单或预算书中列明的该项目工程量的变化幅度超过15%的，或已标价工程量清单或预算书中无相同项目及类似项目单价的，按照合理的成本与利润构成的原则，由合同当事人按照第4.4款〔商定或确定〕确定变更工作的单价。</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10.4.2 变更估价程序</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承包人应在收到变更指示后14天内，向监理人提交变更估价申请。监理人应在收到承包人提交的变更估价申请后7天内审查完毕并报送发包人，监理人对变更估价申请有异议，通知承包人修改后重新提交。发包人应在承包人提交变更估价申请后14天内审批完毕。发包人逾期未完成审批或未提出异议的，视为认可承包人提交的变更估价申请。</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因变更引起的价格调整应计入最近一期的进度款中支付。</w:t>
      </w:r>
      <w:r/>
    </w:p>
    <w:p>
      <w:pPr>
        <w:ind w:left="878" w:hanging="877"/>
        <w:spacing w:before="156" w:after="156" w:line="360" w:lineRule="auto"/>
        <w:rPr>
          <w:rFonts w:hint="eastAsia" w:ascii="宋体" w:hAnsi="宋体" w:cs="宋体"/>
          <w:color w:val="auto"/>
          <w:sz w:val="21"/>
          <w:szCs w:val="21"/>
          <w:highlight w:val="none"/>
          <w:lang w:eastAsia="zh-CN"/>
        </w:rPr>
      </w:pPr>
      <w:r/>
      <w:bookmarkStart w:id="306" w:name="_Toc351203572"/>
      <w:r>
        <w:rPr>
          <w:rFonts w:hint="eastAsia" w:ascii="宋体" w:hAnsi="宋体" w:cs="宋体"/>
          <w:color w:val="auto"/>
          <w:sz w:val="21"/>
          <w:szCs w:val="21"/>
          <w:highlight w:val="none"/>
          <w:lang w:eastAsia="zh-CN"/>
        </w:rPr>
        <w:t xml:space="preserve">1</w:t>
      </w:r>
      <w:bookmarkStart w:id="307" w:name="_Toc296346595"/>
      <w:r/>
      <w:bookmarkStart w:id="308" w:name="_Toc296503094"/>
      <w:r/>
      <w:bookmarkStart w:id="309" w:name="_Toc337558792"/>
      <w:r>
        <w:rPr>
          <w:rFonts w:hint="eastAsia" w:ascii="宋体" w:hAnsi="宋体" w:cs="宋体"/>
          <w:color w:val="auto"/>
          <w:sz w:val="21"/>
          <w:szCs w:val="21"/>
          <w:highlight w:val="none"/>
          <w:lang w:eastAsia="zh-CN"/>
        </w:rPr>
        <w:t xml:space="preserve">0.5承包人的合理化建议</w:t>
      </w:r>
      <w:bookmarkEnd w:id="306"/>
      <w:r/>
      <w:bookmarkEnd w:id="307"/>
      <w:bookmarkEnd w:id="308"/>
      <w:bookmarkEnd w:id="309"/>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承包人提出合理化建议的，应向监理人提交合理化建议说明，说明建议的内容和理由，以及实施该建议对合同价格和工期的影响。</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除专用合同条款另有约定外，监理人应在收到承包人提交的合理化建议后7天内审查完毕并报送发包人，发现其中存在技术上的缺陷，应通知承包人修改。发包人应在收到监理人报送的合理化建议后7天内审批完毕。合理化建议经发包人批准的，监理人应及时发出变更指示，由此引起的合同价格调整按照第10.4款〔变更估价〕约定执行。发包人不同意变更的，监理人应书面通知承包人。</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合理化建议降低了合同价格或者提高了工程经济效益的，发包人可对承包人给予奖励，奖励的方法和金额在专用合同条款中约定。</w:t>
      </w:r>
      <w:r/>
    </w:p>
    <w:p>
      <w:pPr>
        <w:ind w:left="878" w:hanging="877"/>
        <w:spacing w:before="156" w:after="156" w:line="360" w:lineRule="auto"/>
        <w:rPr>
          <w:rFonts w:hint="eastAsia" w:ascii="宋体" w:hAnsi="宋体" w:cs="宋体"/>
          <w:color w:val="auto"/>
          <w:sz w:val="21"/>
          <w:szCs w:val="21"/>
          <w:highlight w:val="none"/>
          <w:lang w:eastAsia="zh-CN"/>
        </w:rPr>
      </w:pPr>
      <w:r/>
      <w:bookmarkStart w:id="310" w:name="_Toc351203573"/>
      <w:r>
        <w:rPr>
          <w:rFonts w:hint="eastAsia" w:ascii="宋体" w:hAnsi="宋体" w:cs="宋体"/>
          <w:color w:val="auto"/>
          <w:sz w:val="21"/>
          <w:szCs w:val="21"/>
          <w:highlight w:val="none"/>
          <w:lang w:eastAsia="zh-CN"/>
        </w:rPr>
        <w:t xml:space="preserve">1</w:t>
      </w:r>
      <w:bookmarkStart w:id="311" w:name="_Toc337558793"/>
      <w:r>
        <w:rPr>
          <w:rFonts w:hint="eastAsia" w:ascii="宋体" w:hAnsi="宋体" w:cs="宋体"/>
          <w:color w:val="auto"/>
          <w:sz w:val="21"/>
          <w:szCs w:val="21"/>
          <w:highlight w:val="none"/>
          <w:lang w:eastAsia="zh-CN"/>
        </w:rPr>
        <w:t xml:space="preserve">0.6变更引起的工期调整</w:t>
      </w:r>
      <w:bookmarkEnd w:id="310"/>
      <w:r/>
      <w:bookmarkEnd w:id="311"/>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因变更引起工期变化的，合同当事人均可要求调整合同工期，由合同当事人按照第4.4款〔商定或确定〕并参考工程所在地的工期定额标准确定增减工期天数。</w:t>
      </w:r>
      <w:r/>
    </w:p>
    <w:p>
      <w:pPr>
        <w:ind w:left="878" w:hanging="877"/>
        <w:spacing w:before="156" w:after="156" w:line="360" w:lineRule="auto"/>
        <w:rPr>
          <w:rFonts w:hint="eastAsia" w:ascii="宋体" w:hAnsi="宋体" w:cs="宋体"/>
          <w:color w:val="auto"/>
          <w:sz w:val="21"/>
          <w:szCs w:val="21"/>
          <w:highlight w:val="none"/>
          <w:lang w:eastAsia="zh-CN"/>
        </w:rPr>
      </w:pPr>
      <w:r/>
      <w:bookmarkStart w:id="312" w:name="_Toc351203574"/>
      <w:r>
        <w:rPr>
          <w:rFonts w:hint="eastAsia" w:ascii="宋体" w:hAnsi="宋体" w:cs="宋体"/>
          <w:color w:val="auto"/>
          <w:sz w:val="21"/>
          <w:szCs w:val="21"/>
          <w:highlight w:val="none"/>
          <w:lang w:eastAsia="zh-CN"/>
        </w:rPr>
        <w:t xml:space="preserve">10.7暂估价</w:t>
      </w:r>
      <w:bookmarkEnd w:id="312"/>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暂估价专业分包工程、服务、材料和工程设备的明细由合同当事人在专用合同条款中约定。</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10.7.1 依法必须招标的暂估价项目</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对于依法必须招标的暂估价项目，采取以下第1种方式确定。合同当事人也可以在专用合同条款中选择其他招标方式。</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第1种方式：对于依法必须招标的暂估价项目，由承包人招标，对该暂估价项目的确认和批准按照以下约定执行：</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承包人应当根据施工进度计划，提前14天将招标文件通过监理人报送发包人审批，发包人应当在收到承包人报送的相关文件后7天内完成审批或提出修改意见；发包人有权确定招标控制价并按照法律规定参加评标；</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承包人与供应商、分包人在签订暂估价合同前，应当提前7天将确定的中标候选供应商或中标候选分包人的资料报送发包人，发包人应在收到资料后3天内与承包人共同确定中标人；承包人应当在签订合同后7天内，将暂估价合同副本报送发包人留存。</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10.7.2不属于依法必须招标的暂估价项目</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除专用合同条款另有约定外，对于不属于依法必须招标的暂估价项目，采取以下第1种方式确定：</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第1种方式：对于不属于依法必须招标的暂估价项目，按本项约定确认和批准：</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（2）发包人认为承包人确定的供应商、分包人无法满足工程质量或合同要求的，发包人可以要求承包人重新确定暂估价项目的供应商、分包人；</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（3）承包人应当在签订暂估价合同后7天内，将暂估价合同副本报送发包人留存。</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第2种方式：承包人按照第10.7.1项〔依法必须招标的暂估价项目〕约定的第1种方式确定暂估价项目。</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第3种方式：承包人直接实施的暂估价项目</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承包人具备实施暂估价项目的资格和条件的，经发包人和承包人协商一致后，可由承包人自行实施暂估价项目，合同当事人可以在专用合同条款约定具体事项。</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10.7.3 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r/>
    </w:p>
    <w:p>
      <w:pPr>
        <w:ind w:left="878" w:hanging="877"/>
        <w:spacing w:before="156" w:after="156" w:line="360" w:lineRule="auto"/>
        <w:rPr>
          <w:rFonts w:hint="eastAsia" w:ascii="宋体" w:hAnsi="宋体" w:cs="宋体"/>
          <w:color w:val="auto"/>
          <w:sz w:val="21"/>
          <w:szCs w:val="21"/>
          <w:highlight w:val="none"/>
          <w:lang w:eastAsia="zh-CN"/>
        </w:rPr>
      </w:pPr>
      <w:r/>
      <w:bookmarkStart w:id="313" w:name="_Toc351203575"/>
      <w:r>
        <w:rPr>
          <w:rFonts w:hint="eastAsia" w:ascii="宋体" w:hAnsi="宋体" w:cs="宋体"/>
          <w:color w:val="auto"/>
          <w:sz w:val="21"/>
          <w:szCs w:val="21"/>
          <w:highlight w:val="none"/>
          <w:lang w:eastAsia="zh-CN"/>
        </w:rPr>
        <w:t xml:space="preserve">1</w:t>
      </w:r>
      <w:bookmarkStart w:id="314" w:name="_Toc337558794"/>
      <w:r/>
      <w:bookmarkStart w:id="315" w:name="_Toc322522561"/>
      <w:r/>
      <w:bookmarkStart w:id="316" w:name="_Toc296503090"/>
      <w:r/>
      <w:bookmarkStart w:id="317" w:name="_Toc296346591"/>
      <w:r>
        <w:rPr>
          <w:rFonts w:hint="eastAsia" w:ascii="宋体" w:hAnsi="宋体" w:cs="宋体"/>
          <w:color w:val="auto"/>
          <w:sz w:val="21"/>
          <w:szCs w:val="21"/>
          <w:highlight w:val="none"/>
          <w:lang w:eastAsia="zh-CN"/>
        </w:rPr>
        <w:t xml:space="preserve">0.8暂列金额</w:t>
      </w:r>
      <w:bookmarkEnd w:id="313"/>
      <w:r/>
      <w:bookmarkEnd w:id="314"/>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暂列金额应按照发包人的要求使用，发包人的要求应通过监理人发出。合同当事人可以在专用合同条款中协商确定有关事项。</w:t>
      </w:r>
      <w:bookmarkEnd w:id="315"/>
      <w:bookmarkEnd w:id="316"/>
      <w:bookmarkEnd w:id="317"/>
      <w:r/>
    </w:p>
    <w:p>
      <w:pPr>
        <w:ind w:left="878" w:hanging="877"/>
        <w:spacing w:before="156" w:after="156" w:line="360" w:lineRule="auto"/>
        <w:rPr>
          <w:rFonts w:hint="eastAsia" w:ascii="宋体" w:hAnsi="宋体" w:cs="宋体"/>
          <w:color w:val="auto"/>
          <w:sz w:val="21"/>
          <w:szCs w:val="21"/>
          <w:highlight w:val="none"/>
          <w:lang w:eastAsia="zh-CN"/>
        </w:rPr>
      </w:pPr>
      <w:r/>
      <w:bookmarkStart w:id="318" w:name="_Toc351203576"/>
      <w:r>
        <w:rPr>
          <w:rFonts w:hint="eastAsia" w:ascii="宋体" w:hAnsi="宋体" w:cs="宋体"/>
          <w:color w:val="auto"/>
          <w:sz w:val="21"/>
          <w:szCs w:val="21"/>
          <w:highlight w:val="none"/>
          <w:lang w:eastAsia="zh-CN"/>
        </w:rPr>
        <w:t xml:space="preserve">1</w:t>
      </w:r>
      <w:bookmarkStart w:id="319" w:name="_Toc296503091"/>
      <w:r/>
      <w:bookmarkStart w:id="320" w:name="_Toc296346592"/>
      <w:r/>
      <w:bookmarkStart w:id="321" w:name="_Toc337558796"/>
      <w:r>
        <w:rPr>
          <w:rFonts w:hint="eastAsia" w:ascii="宋体" w:hAnsi="宋体" w:cs="宋体"/>
          <w:color w:val="auto"/>
          <w:sz w:val="21"/>
          <w:szCs w:val="21"/>
          <w:highlight w:val="none"/>
          <w:lang w:eastAsia="zh-CN"/>
        </w:rPr>
        <w:t xml:space="preserve">0.9计日工</w:t>
      </w:r>
      <w:bookmarkEnd w:id="318"/>
      <w:r/>
      <w:bookmarkEnd w:id="319"/>
      <w:r/>
      <w:bookmarkEnd w:id="320"/>
      <w:r/>
      <w:bookmarkEnd w:id="321"/>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需要采用计日工方式的，经发包人同意后，由监理人通知承包人以计日工计价方式实施相应的工作，其价款按列入已标价工程量清单或预算书中的计日工计价项目及其单价进行计算；已标价工程量清单或预算书中无相应的计日工单价的，按照合理的成本与利润构成的原则，由合同当事人按照第4.4款〔商定或确定〕确定计日工的单价。</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采用计日工计价的任何一项工作，承包人应在该项工作实施过程中，每天提交以下报表和有关凭证报送监理人审查：</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（1）工作名称、内容和数量；</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（2）投入该工作的所有人员的姓名、专业、工种、级别和耗用工时；</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（3）投入该工作的材料类别和数量；</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（4）投入该工作的施工设备型号、台数和耗用台时；</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（5）其他有关资料和凭证。</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 计日工由承包人汇总后，列入最近一期进度付款申请单，由监理人审查并经发包人批准后列入进度付款。</w:t>
      </w:r>
      <w:r/>
    </w:p>
    <w:p>
      <w:pPr>
        <w:ind w:firstLine="482"/>
        <w:jc w:val="both"/>
        <w:spacing w:line="360" w:lineRule="auto"/>
        <w:rPr>
          <w:rFonts w:hint="eastAsia" w:cs="宋体"/>
          <w:color w:val="auto"/>
          <w:sz w:val="21"/>
          <w:szCs w:val="21"/>
          <w:highlight w:val="none"/>
          <w:lang w:eastAsia="zh-CN"/>
        </w:rPr>
      </w:pPr>
      <w:r/>
      <w:bookmarkStart w:id="322" w:name="_Toc351203577"/>
      <w:r>
        <w:rPr>
          <w:rFonts w:hint="eastAsia" w:cs="宋体"/>
          <w:color w:val="auto"/>
          <w:sz w:val="21"/>
          <w:szCs w:val="21"/>
          <w:highlight w:val="none"/>
          <w:lang w:eastAsia="zh-CN"/>
        </w:rPr>
        <w:t xml:space="preserve">11. 价格调整</w:t>
      </w:r>
      <w:bookmarkEnd w:id="322"/>
      <w:r/>
      <w:r/>
    </w:p>
    <w:p>
      <w:pPr>
        <w:ind w:left="878" w:hanging="877"/>
        <w:spacing w:before="156" w:after="156" w:line="360" w:lineRule="auto"/>
        <w:rPr>
          <w:rFonts w:hint="eastAsia" w:ascii="宋体" w:hAnsi="宋体" w:cs="宋体"/>
          <w:color w:val="auto"/>
          <w:sz w:val="21"/>
          <w:szCs w:val="21"/>
          <w:highlight w:val="none"/>
          <w:lang w:eastAsia="zh-CN"/>
        </w:rPr>
      </w:pPr>
      <w:r/>
      <w:bookmarkStart w:id="323" w:name="_Toc351203578"/>
      <w:r/>
      <w:bookmarkStart w:id="324" w:name="_Toc337558797"/>
      <w:r/>
      <w:bookmarkStart w:id="325" w:name="_Toc296346593"/>
      <w:r/>
      <w:bookmarkStart w:id="326" w:name="_Toc296503092"/>
      <w:r>
        <w:rPr>
          <w:rFonts w:hint="eastAsia" w:ascii="宋体" w:hAnsi="宋体" w:cs="宋体"/>
          <w:color w:val="auto"/>
          <w:sz w:val="21"/>
          <w:szCs w:val="21"/>
          <w:highlight w:val="none"/>
          <w:lang w:eastAsia="zh-CN"/>
        </w:rPr>
        <w:t xml:space="preserve">11.1市场价格波动引起的调整</w:t>
      </w:r>
      <w:bookmarkEnd w:id="323"/>
      <w:r/>
      <w:bookmarkEnd w:id="324"/>
      <w:bookmarkEnd w:id="325"/>
      <w:bookmarkEnd w:id="326"/>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除专用合同条款另有约定外，市场价格波动超过合同当事人约定的范围，合同价格应当调整。合同当事人可以在专用合同条款中约定选择以下一种方式对合同价格进行调整：</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第1种方式：采用价格指数进行价格调整。</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（1）价格调整公式</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因人工、材料和设备等价格波动影响合同价格时，根据专用合同条款中约定的数据，按以下公式计算差额并调整合同价格：</w:t>
      </w:r>
      <w:r/>
    </w:p>
    <w:p>
      <w:pPr>
        <w:ind w:firstLine="482"/>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79.3pt;height:45.8pt;mso-wrap-distance-left:0.0pt;mso-wrap-distance-top:0.0pt;mso-wrap-distance-right:0.0pt;mso-wrap-distance-bottom:0.0pt;" filled="f" stroked="f">
            <v:path textboxrect="0,0,0,0"/>
            <v:imagedata r:id="rId19" o:title=""/>
          </v:shape>
          <o:OLEObject DrawAspect="Content" r:id="rId20" ObjectID="_1525042" ProgID="Equation.3" ShapeID="_x0000_i2" Type="Embed"/>
        </w:objec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公式中：</w:t>
      </w:r>
      <w:r>
        <w:rPr>
          <w:rFonts w:hint="eastAsia" w:ascii="宋体" w:hAnsi="宋体" w:eastAsia="宋体" w:cs="宋体"/>
          <w:color w:val="auto"/>
          <w:sz w:val="21"/>
          <w:szCs w:val="21"/>
          <w:highlight w:val="none"/>
        </w:rPr>
        <w:t xml:space="preserve">Δ</w:t>
      </w:r>
      <w:r>
        <w:rPr>
          <w:rFonts w:hint="eastAsia" w:ascii="宋体" w:hAnsi="宋体" w:eastAsia="宋体" w:cs="宋体"/>
          <w:color w:val="auto"/>
          <w:sz w:val="21"/>
          <w:szCs w:val="21"/>
          <w:highlight w:val="none"/>
          <w:lang w:eastAsia="zh-CN"/>
        </w:rPr>
        <w:t xml:space="preserve">P——需调整的价格差额；</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7.6pt;height:17.6pt;mso-wrap-distance-left:0.0pt;mso-wrap-distance-top:0.0pt;mso-wrap-distance-right:0.0pt;mso-wrap-distance-bottom:0.0pt;" filled="f" stroked="f">
            <v:path textboxrect="0,0,0,0"/>
            <v:imagedata r:id="rId21" o:title=""/>
          </v:shape>
          <o:OLEObject DrawAspect="Content" r:id="rId22" ObjectID="_1525043" ProgID="Equation.3" ShapeID="_x0000_i3" Type="Embed"/>
        </w:object>
      </w:r>
      <w:r>
        <w:rPr>
          <w:rFonts w:hint="eastAsia" w:ascii="宋体" w:hAnsi="宋体" w:eastAsia="宋体" w:cs="宋体"/>
          <w:color w:val="auto"/>
          <w:sz w:val="21"/>
          <w:szCs w:val="21"/>
          <w:highlight w:val="none"/>
          <w:lang w:eastAsia="zh-CN"/>
        </w:rPr>
        <w:t xml:space="preserve">——约定的付款证书中承包人应得到的已完成工程量的金额。此项金额应不包括价格调整、不计质量保证金的扣留和支付、预付款的支付和扣回。约定的变更及其他金额已按现行价格计价的，也不计在内；</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A——定值权重（即不调部分的权重）；</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00.4pt;height:20.1pt;mso-wrap-distance-left:0.0pt;mso-wrap-distance-top:0.0pt;mso-wrap-distance-right:0.0pt;mso-wrap-distance-bottom:0.0pt;" filled="f" stroked="f">
            <v:path textboxrect="0,0,0,0"/>
            <v:imagedata r:id="rId23" o:title=""/>
          </v:shape>
          <o:OLEObject DrawAspect="Content" r:id="rId24" ObjectID="_1525044" ProgID="Equation.3" ShapeID="_x0000_i4" Type="Embed"/>
        </w:object>
      </w:r>
      <w:r>
        <w:rPr>
          <w:rFonts w:hint="eastAsia" w:ascii="宋体" w:hAnsi="宋体" w:eastAsia="宋体" w:cs="宋体"/>
          <w:color w:val="auto"/>
          <w:sz w:val="21"/>
          <w:szCs w:val="21"/>
          <w:highlight w:val="none"/>
          <w:lang w:eastAsia="zh-CN"/>
        </w:rPr>
        <w:t xml:space="preserve">——各可调因子的变值权重（即可调部分的权重），为各可调因子在签约合同价中所占的比例；</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02.1pt;height:20.1pt;mso-wrap-distance-left:0.0pt;mso-wrap-distance-top:0.0pt;mso-wrap-distance-right:0.0pt;mso-wrap-distance-bottom:0.0pt;" filled="f" stroked="f">
            <v:path textboxrect="0,0,0,0"/>
            <v:imagedata r:id="rId25" o:title=""/>
          </v:shape>
          <o:OLEObject DrawAspect="Content" r:id="rId26" ObjectID="_1525045" ProgID="Equation.3" ShapeID="_x0000_i5" Type="Embed"/>
        </w:object>
      </w:r>
      <w:r>
        <w:rPr>
          <w:rFonts w:hint="eastAsia" w:ascii="宋体" w:hAnsi="宋体" w:eastAsia="宋体" w:cs="宋体"/>
          <w:color w:val="auto"/>
          <w:sz w:val="21"/>
          <w:szCs w:val="21"/>
          <w:highlight w:val="none"/>
          <w:lang w:eastAsia="zh-CN"/>
        </w:rPr>
        <w:t xml:space="preserve">——各可调因子的现行价格指数，指约定的付款证书相关周期最后一天的前42天的各可调因子的价格指数；</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08.8pt;height:20.1pt;mso-wrap-distance-left:0.0pt;mso-wrap-distance-top:0.0pt;mso-wrap-distance-right:0.0pt;mso-wrap-distance-bottom:0.0pt;" filled="f" stroked="f">
            <v:path textboxrect="0,0,0,0"/>
            <v:imagedata r:id="rId27" o:title=""/>
          </v:shape>
          <o:OLEObject DrawAspect="Content" r:id="rId28" ObjectID="_1525046" ProgID="Equation.3" ShapeID="_x0000_i6" Type="Embed"/>
        </w:object>
      </w:r>
      <w:r>
        <w:rPr>
          <w:rFonts w:hint="eastAsia" w:ascii="宋体" w:hAnsi="宋体" w:eastAsia="宋体" w:cs="宋体"/>
          <w:color w:val="auto"/>
          <w:sz w:val="21"/>
          <w:szCs w:val="21"/>
          <w:highlight w:val="none"/>
          <w:lang w:eastAsia="zh-CN"/>
        </w:rPr>
        <w:t xml:space="preserve">——各可调因子的基本价格指数，指基准日期的各可调因子的价格指数。</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以上价格调整公式中的各可调因子、定值和变值权重，以及基本价格指数及其来源在投标函附录价格指数和权重表中约定，非招标订立的合同，由合同当事人在专用合同条款中约定。价格指数应首先采用工程造价管理机构发布的价格指数，无前述价格指数时，可采用工程造价管理机构发布的价格代替。</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（2）暂时确定调整差额</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在计算调整差额时无现行价格指数的，合同当事人同意暂用前次价格指数计算。实际价格指数有调整的，合同当事人进行相应调整。</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（3）权重的调整</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因变更导致合同约定的权重不合理时，按照第4.4款〔商定或确定〕执行。</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（4）因承包人原因工期延误后的价格调整</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因承包人原因未按期竣工的，对合同约定的竣工日期后继续施工的工程，在使用价格调整公式时，应采用计划竣工日期与实际竣工日期的两个价格指数中较低的一个作为现行价格指数。</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第2种方式：采用造价信息进行价格调整。</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合同履行期间，因人工、材料、工程设备和机械台班价格波动影响合同价格时，人工、机械使用费按照国家或省、自治区、直辖市建设行政管理部门、行业建设管理部门或其授权的工程造价管理机构发布的人工、机械使用费系数进行调整；需要进行价格调整的材料，其单价和采购数量应由发包人审批，发包人确认需调整的材料单价及数量，作为调整合同价格的依据。</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（2）材料、工程设备价格变化的价款调整按照发包人提供的基准价格，按以下风险范围规定执行:</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①承包人在已标价工程量清单或预算书中载明材料单价低于基准价格的：除专用合同条款另有约定外，合同履行期间材料单价涨幅以基准价格为基础超过5%时，或材料单价跌幅以在已标价工程量清单或预算书中载明材料单价为基础超过5%时，其超过部分据实调整。</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②承包人在已标价工程量清单或预算书中载明材料单价高于基准价格的：除专用合同条款另有约定外，合同履行期间材料单价跌幅以基准价格为基础超过5%时，材料单价涨幅以在已标价工程量清单或预算书中载明材料单价为基础超过5%时，其超过部分据实调整。</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③承包人在已标价工程量清单或预算书中载明材料单价等于基准价格的：除专用合同条款另有约定外，合同履行期间材料单价涨跌幅以基准价格为基础超过±5%时，其超过部分据实调整。</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④承包人应在采购材料前将采购数量和新的材料单价报发包人核对，发包人确认用于工程时，发包人应确认采购材料的数量和单价。发包人在收到承包人报送的确认资料后5天内不予答复的视为认可，作为调整合同价格的依据。未经发包人事先核对，承包人自行采购材料的，发包人有权不予调整合同价格。发包人同意的，可以调整合同价格。</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前述基准价格是指由发包人在招标文件或专用合同条款中给定的材料、工程设备的价格，该价格原则上应当按照省级或行业建设主管部门或其授权的工程造价管理机构发布的信息价编制。</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（3）施工机械台班单价或施工机械使用费发生变化超过省级或行业建设主管部门或其授权的工程造价管理机构规定的范围时，按规定调整合同价格。</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第3种方式：专用合同条款约定的其他方式。</w:t>
      </w:r>
      <w:r/>
    </w:p>
    <w:p>
      <w:pPr>
        <w:ind w:left="878" w:hanging="877"/>
        <w:spacing w:before="156" w:after="156" w:line="360" w:lineRule="auto"/>
        <w:rPr>
          <w:rFonts w:hint="eastAsia" w:ascii="宋体" w:hAnsi="宋体" w:cs="宋体"/>
          <w:color w:val="auto"/>
          <w:sz w:val="21"/>
          <w:szCs w:val="21"/>
          <w:highlight w:val="none"/>
          <w:lang w:eastAsia="zh-CN"/>
        </w:rPr>
      </w:pPr>
      <w:r/>
      <w:bookmarkStart w:id="327" w:name="_Toc351203579"/>
      <w:r/>
      <w:bookmarkStart w:id="328" w:name="_Toc296503093"/>
      <w:r/>
      <w:bookmarkStart w:id="329" w:name="_Toc337558798"/>
      <w:r/>
      <w:bookmarkStart w:id="330" w:name="_Toc296346594"/>
      <w:r>
        <w:rPr>
          <w:rFonts w:hint="eastAsia" w:ascii="宋体" w:hAnsi="宋体" w:cs="宋体"/>
          <w:color w:val="auto"/>
          <w:sz w:val="21"/>
          <w:szCs w:val="21"/>
          <w:highlight w:val="none"/>
          <w:lang w:eastAsia="zh-CN"/>
        </w:rPr>
        <w:t xml:space="preserve">11.2法律变化引起的调整</w:t>
      </w:r>
      <w:bookmarkEnd w:id="327"/>
      <w:r/>
      <w:bookmarkEnd w:id="328"/>
      <w:bookmarkEnd w:id="329"/>
      <w:bookmarkEnd w:id="330"/>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基准日期后，法律变化导致承包人在合同履行过程中所需要的费用发生除第11.1款〔市场价格波动引起的调整〕约定以外的增加时，由发包人承担由此增加的费用；减少时，应从合同价格中予以扣减。基准日期后，因法律变化造成工期延误时，工期应予以顺延。</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因法律变化引起的合同价格和工期调整，合同当事人无法达成一致的，由总监理工程师按第4.4款〔商定或确定〕的约定处理。</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因承包人原因造成工期延误，在工期延误期间出现法律变化的，由此增加的费用和（或）延误的工期由承包人承担。</w:t>
      </w:r>
      <w:r/>
    </w:p>
    <w:p>
      <w:pPr>
        <w:ind w:firstLine="482"/>
        <w:jc w:val="both"/>
        <w:spacing w:line="360" w:lineRule="auto"/>
        <w:rPr>
          <w:rFonts w:hint="eastAsia" w:cs="宋体"/>
          <w:color w:val="auto"/>
          <w:sz w:val="21"/>
          <w:szCs w:val="21"/>
          <w:highlight w:val="none"/>
          <w:lang w:eastAsia="zh-CN"/>
        </w:rPr>
      </w:pPr>
      <w:r/>
      <w:bookmarkStart w:id="331" w:name="_Toc351203580"/>
      <w:r/>
      <w:bookmarkStart w:id="332" w:name="_Toc337558799"/>
      <w:r/>
      <w:bookmarkStart w:id="333" w:name="_Toc296346597"/>
      <w:r/>
      <w:bookmarkStart w:id="334" w:name="_Toc296503096"/>
      <w:r>
        <w:rPr>
          <w:rFonts w:hint="eastAsia" w:cs="宋体"/>
          <w:color w:val="auto"/>
          <w:sz w:val="21"/>
          <w:szCs w:val="21"/>
          <w:highlight w:val="none"/>
          <w:lang w:eastAsia="zh-CN"/>
        </w:rPr>
        <w:t xml:space="preserve">12. 合同价格、计量与支付</w:t>
      </w:r>
      <w:bookmarkEnd w:id="331"/>
      <w:r/>
      <w:bookmarkEnd w:id="332"/>
      <w:r/>
    </w:p>
    <w:p>
      <w:pPr>
        <w:ind w:left="878" w:hanging="877"/>
        <w:spacing w:before="156" w:after="156" w:line="360" w:lineRule="auto"/>
        <w:rPr>
          <w:rFonts w:hint="eastAsia" w:ascii="宋体" w:hAnsi="宋体" w:cs="宋体"/>
          <w:color w:val="auto"/>
          <w:sz w:val="21"/>
          <w:szCs w:val="21"/>
          <w:highlight w:val="none"/>
          <w:lang w:eastAsia="zh-CN"/>
        </w:rPr>
      </w:pPr>
      <w:r/>
      <w:bookmarkStart w:id="335" w:name="_Toc351203581"/>
      <w:r/>
      <w:bookmarkStart w:id="336" w:name="_Toc337558800"/>
      <w:r>
        <w:rPr>
          <w:rFonts w:hint="eastAsia" w:ascii="宋体" w:hAnsi="宋体" w:cs="宋体"/>
          <w:color w:val="auto"/>
          <w:sz w:val="21"/>
          <w:szCs w:val="21"/>
          <w:highlight w:val="none"/>
          <w:lang w:eastAsia="zh-CN"/>
        </w:rPr>
        <w:t xml:space="preserve">12.1 合同价</w:t>
      </w:r>
      <w:bookmarkEnd w:id="333"/>
      <w:r/>
      <w:bookmarkEnd w:id="334"/>
      <w:r>
        <w:rPr>
          <w:rFonts w:hint="eastAsia" w:ascii="宋体" w:hAnsi="宋体" w:cs="宋体"/>
          <w:color w:val="auto"/>
          <w:sz w:val="21"/>
          <w:szCs w:val="21"/>
          <w:highlight w:val="none"/>
          <w:lang w:eastAsia="zh-CN"/>
        </w:rPr>
        <w:t xml:space="preserve">格形式</w:t>
      </w:r>
      <w:bookmarkEnd w:id="335"/>
      <w:r/>
      <w:bookmarkEnd w:id="336"/>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发包人和承包人应在合同协议书中选择下列一种合同价格形式： </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1.单价合同</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单价合同是指合同当事人约定以工程量清单及其综合单价进行合同价格计算、调整和确认的建设工程施工合同，在约定的范围内合同单价不作调整。合同当事人应在专用合同条款中约定综合单价包含的风险范围和风险费用的计算方法，并约定风险范围以外的合同价格的调整方法，其中因市场价格波动引起的调整按第11.1款〔市场价格波动引起的调整〕约定执行。</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2.总价合同</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总价合同是指合同当事人约定以施工图、已标价工程量清单或预算书及有关条件进行合同价格计算、调整和确认的建设工程施工合同，在约定的范围内合同总价不作调整。合同当事人应在专用合同条款中约定总价包含的风险范围和风险费用的计算方法，并约定风险范围以外的合同价格的调整方法，其中因市场价格波动引起的调整按第11.1款〔市场价格波动引起的调整〕、因法律变化引起的调整按第11.2款〔法律变化引起的调整〕约定执行。</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3.其它价格形式</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合同当事人可在专用合同条款中约定其他合同价格形式。</w:t>
      </w:r>
      <w:r/>
    </w:p>
    <w:p>
      <w:pPr>
        <w:ind w:left="878" w:hanging="877"/>
        <w:spacing w:before="156" w:after="156" w:line="360" w:lineRule="auto"/>
        <w:rPr>
          <w:rFonts w:hint="eastAsia" w:ascii="宋体" w:hAnsi="宋体" w:cs="宋体"/>
          <w:color w:val="auto"/>
          <w:sz w:val="21"/>
          <w:szCs w:val="21"/>
          <w:highlight w:val="none"/>
          <w:lang w:eastAsia="zh-CN"/>
        </w:rPr>
      </w:pPr>
      <w:r/>
      <w:bookmarkStart w:id="337" w:name="_Toc296503097"/>
      <w:r/>
      <w:bookmarkStart w:id="338" w:name="_Toc296346598"/>
      <w:r/>
      <w:bookmarkStart w:id="339" w:name="_Toc351203582"/>
      <w:r/>
      <w:bookmarkStart w:id="340" w:name="_Toc337558801"/>
      <w:r>
        <w:rPr>
          <w:rFonts w:hint="eastAsia" w:ascii="宋体" w:hAnsi="宋体" w:cs="宋体"/>
          <w:color w:val="auto"/>
          <w:sz w:val="21"/>
          <w:szCs w:val="21"/>
          <w:highlight w:val="none"/>
          <w:lang w:eastAsia="zh-CN"/>
        </w:rPr>
        <w:t xml:space="preserve">12.2预</w:t>
      </w:r>
      <w:bookmarkEnd w:id="337"/>
      <w:r/>
      <w:bookmarkEnd w:id="338"/>
      <w:r/>
      <w:bookmarkStart w:id="341" w:name="_Toc296503100"/>
      <w:r/>
      <w:bookmarkStart w:id="342" w:name="_Toc296346601"/>
      <w:r>
        <w:rPr>
          <w:rFonts w:hint="eastAsia" w:ascii="宋体" w:hAnsi="宋体" w:cs="宋体"/>
          <w:color w:val="auto"/>
          <w:sz w:val="21"/>
          <w:szCs w:val="21"/>
          <w:highlight w:val="none"/>
          <w:lang w:eastAsia="zh-CN"/>
        </w:rPr>
        <w:t xml:space="preserve">付款</w:t>
      </w:r>
      <w:bookmarkEnd w:id="339"/>
      <w:r/>
      <w:bookmarkEnd w:id="340"/>
      <w:bookmarkEnd w:id="341"/>
      <w:bookmarkEnd w:id="342"/>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12.2.1预付款的支付</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预付款的支付按照专用合同条款约定执行，但至迟应在开工通知载明的开工日期7天前支付。预付款应当用于材料、工程设备、施工设备的采购及修建临时工程、组织施工队伍进场等。</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除专用合同条款另有约定外，预付款在进度付款中同比例扣回。在颁发工程接收证书前，提前解除合同的，尚未扣完的预付款应与合同价款一并结算。</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发包人逾期支付预付款超过7天的，承包人有权向发包人发出要求预付的催告通知，发包人收到通知后7天内仍未支付的，承包人有权暂停施工，并按第16.1.1项〔发包人违约的情形〕执行。</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12.2.2 预付款担保</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发包人要求承包人提供预付款担保的，承包人应在发包人支付预付款7天前提供预付款担保，专用合同条款另有约定除外。预付款担保可采用银行保函、担保公司担保等形式，具体由合同当事人在专用合同条款中约定。在预付款完全扣回之前，承包人应保证预付款担保持续有效。</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发包人在工程款中逐期扣回预付款后，预付款担保额度应相应减少，但剩余的预付款担保金额不得低于未被扣回的预付款金额。</w:t>
      </w:r>
      <w:r/>
    </w:p>
    <w:p>
      <w:pPr>
        <w:ind w:left="878" w:hanging="877"/>
        <w:spacing w:before="156" w:after="156" w:line="360" w:lineRule="auto"/>
        <w:rPr>
          <w:rFonts w:hint="eastAsia" w:ascii="宋体" w:hAnsi="宋体" w:cs="宋体"/>
          <w:color w:val="auto"/>
          <w:sz w:val="21"/>
          <w:szCs w:val="21"/>
          <w:highlight w:val="none"/>
          <w:lang w:eastAsia="zh-CN"/>
        </w:rPr>
      </w:pPr>
      <w:r/>
      <w:bookmarkStart w:id="343" w:name="_Toc351203583"/>
      <w:r/>
      <w:bookmarkStart w:id="344" w:name="_Toc337558802"/>
      <w:r>
        <w:rPr>
          <w:rFonts w:hint="eastAsia" w:ascii="宋体" w:hAnsi="宋体" w:cs="宋体"/>
          <w:color w:val="auto"/>
          <w:sz w:val="21"/>
          <w:szCs w:val="21"/>
          <w:highlight w:val="none"/>
          <w:lang w:eastAsia="zh-CN"/>
        </w:rPr>
        <w:t xml:space="preserve">12.3计量</w:t>
      </w:r>
      <w:bookmarkEnd w:id="343"/>
      <w:r/>
      <w:bookmarkEnd w:id="344"/>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12.3.1 计量原则</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工程量计量按照合同约定的工程量计算规则、图纸及变更指示等进行计量。工程量计算规则应以相关的国家标准、行业标准等为依据，由合同当事人在专用合同条款中约定。</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12.3.2 计量周期</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除专用合同条款另有约定外，工程量的计量按月进行。</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12.3.3 单价合同的计量</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除专用合同条款另有约定外，单价合同的计量按照本项约定执行：</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（1）承包人应于每月25日向监理人报送上月20日至当月19日已完成的工程量报告，并附具进度付款申请单、已完成工程量报表和有关资料。</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（3）监理人未在收到承包人提交的工程量报表后的7天内完成审核的，承包人报送的工程量报告中的工程量视为承包人实际完成的工程量，据此计算工程价款。</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12.3.4 总价合同的计量</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除专用合同条款另有约定外，按月计量支付的总价合同，按照本项约定执行：</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（1）承包人应于每月25日向监理人报送上月20日至当月19日已完成的工程量报告，并附具进度付款申请单、已完成工程量报表和有关资料。</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（3）监理人未在收到承包人提交的工程量报表后的7天内完成复核的，承包人提交的工程量报告中的工程量视为承包人实际完成的工程量。</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12.3.5 总价合同采用支付分解表计量支付的，可以按照第12.3.4项〔总价合同的计量〕约定进行计量，但合同价款按照支付分解表进行支付。</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12.3.6 其他价格形式合同的计量</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合同当事人可在专用合同条款中约定其他价格形式合同的计量方式和程序。</w:t>
      </w:r>
      <w:r/>
    </w:p>
    <w:p>
      <w:pPr>
        <w:ind w:left="878" w:hanging="877"/>
        <w:spacing w:before="156" w:after="156" w:line="360" w:lineRule="auto"/>
        <w:rPr>
          <w:rFonts w:hint="eastAsia" w:ascii="宋体" w:hAnsi="宋体" w:cs="宋体"/>
          <w:color w:val="auto"/>
          <w:sz w:val="21"/>
          <w:szCs w:val="21"/>
          <w:highlight w:val="none"/>
          <w:lang w:eastAsia="zh-CN"/>
        </w:rPr>
      </w:pPr>
      <w:r/>
      <w:bookmarkStart w:id="345" w:name="_Toc296346602"/>
      <w:r/>
      <w:bookmarkStart w:id="346" w:name="_Toc296503101"/>
      <w:r/>
      <w:bookmarkStart w:id="347" w:name="_Toc351203584"/>
      <w:r/>
      <w:bookmarkStart w:id="348" w:name="_Toc337558803"/>
      <w:r>
        <w:rPr>
          <w:rFonts w:hint="eastAsia" w:ascii="宋体" w:hAnsi="宋体" w:cs="宋体"/>
          <w:color w:val="auto"/>
          <w:sz w:val="21"/>
          <w:szCs w:val="21"/>
          <w:highlight w:val="none"/>
          <w:lang w:eastAsia="zh-CN"/>
        </w:rPr>
        <w:t xml:space="preserve">12.4工程进度款支</w:t>
      </w:r>
      <w:bookmarkEnd w:id="345"/>
      <w:r/>
      <w:bookmarkEnd w:id="346"/>
      <w:r>
        <w:rPr>
          <w:rFonts w:hint="eastAsia" w:ascii="宋体" w:hAnsi="宋体" w:cs="宋体"/>
          <w:color w:val="auto"/>
          <w:sz w:val="21"/>
          <w:szCs w:val="21"/>
          <w:highlight w:val="none"/>
          <w:lang w:eastAsia="zh-CN"/>
        </w:rPr>
        <w:t xml:space="preserve">付</w:t>
      </w:r>
      <w:bookmarkEnd w:id="347"/>
      <w:r/>
      <w:bookmarkEnd w:id="348"/>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12.4.1 付款周期</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除专用合同条款另有约定外，付款周期应按照第12.3.2项〔计量周期〕的约定与计量周期保持一致。</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12.4.2 进度付款申请单的编制</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除专用合同条款另有约定外，进度付款申请单应包括下列内容：</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（1）截至本次付款周期已完成工作对应的金额；</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（2）根据第10条〔变更〕应增加和扣减的变更金额；</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（3）根据第12.2款〔预付款〕约定应支付的预付款和扣减的返还预付款；</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（4）根据第15.3款〔质量保证金〕约定应扣减的质量保证金；</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（5）根据第19条〔索赔〕应增加和扣减的索赔金额；</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（6）对已签发的进度款支付证书中出现错误的修正，应在本次进度付款中支付或扣除的金额；</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（7）根据合同约定应增加和扣减的其他金额。</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12.4.3 进度付款申请单的提交</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（1）单价合同进度付款申请单的提交</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单价合同的进度付款申请单，按照第12.3.3项〔单价合同的计量〕约定的时间按月向监理人提交，并附上已完成工程量报表和有关资料。单价合同中的总价项目按月进行支付分解，并汇总列入当期进度付款申请单。</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（2）总价合同进度付款申请单的提交</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总价合同按月计量支付的，承包人按照第12.3.4项〔总价合同的计量〕约定的时间按月向监理人提交进度付款申请单，并附上已完成工程量报表和有关资料。</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总价合同按支付分解表支付的，承包人应按照第12.4.6项〔支付分解表〕及第12.4.2项〔进度付款申请单的编制〕的约定向监理人提交进度付款申请单。</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（3）其他价格形式合同的进度付款申请单的提交</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合同当事人可在专用合同条款中约定其他价格形式合同的进度付款申请单的编制和提交程序。</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12.4.4 进度款审核和支付</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除专用合同条款另有约定外，监理人应在收到承包人进度付款申请单以及相关资料后7天内完成审查并报送发包人，发包人应在收到后7天内完成审批并签发进度款支付证书。发包人逾期未完成审批且未提出异议的，视为已签发进度款支付证书。</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发包人和监理人对承包人的进度付款申请单有异议的，有权要求承包人修正和提供补充资料，承包人应提交修正后的进度付款申请单。监理人应在收到承包人修正后的进度付款申请单及相关资料后7天内完成审查并报送发包人，发包人应在收到监理人报送的进度付款申请单及相关资料后7天内，向承包人签发无异议部分的临时进度款支付证书。存在争议的部分，按照第20条〔争议解决〕的约定处理。</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（2）除专用合同条款另有约定外，发包人应在进度款支付证书或临时进度款支付证书签发后14天内完成支付，发包人逾期支付进度款的，应按照中国人民银行发布的同期同类贷款基准利率支付违约金。</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（3）发包人签发进度款支付证书或临时进度款支付证书，不表明发包人已同意、批准或接受了承包人完成的相应部分的工作。</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12.4.5 进度付款的修正</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在对已签发的进度款支付证书进行阶段汇总和复核中发现错误、遗漏或重复的，发包人和承包人均有权提出修正申请。经发包人和承包人同意的修正，应在下期进度付款中支付或扣除。</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12.4.6 支付分解表</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1.支付分解表的编制要求</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（1）支付分解表中所列的每期付款金额，应为第12.4.2项〔进度付款申请单的编制〕第（1）项目的估算金额；</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（2）实际进度与施工进度计划不一致的，合同当事人可按照第4.4款〔商定或确定〕修改支付分解表；</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（3）不采用支付分解表的，承包人应向发包人和监理人提交按季度编制的支付估算分解表，用于支付参考。</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2.总价合同支付分解表的编制与审批</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除专用合同条款另有约定外，承包人应根据第7.2款〔施工进度计划〕约定的施工进度计划、签约合同价和工程量等因素对总价合同按月进行分解，编制支付分解表。承包人应当在收到监理人和发包人批准的施工进度计划后7天内，将支付分解表及编制支付分解表的支持性资料报送监理人。</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（2）监理人应在收到支付分解表后7天内完成审核并报送发包人。发包人应在收到经监理人审核的支付分解表后7天内完成审批，经发包人批准的支付分解表为有约束力的支付分解表。</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（3）发包人逾期未完成支付分解表审批的，也未及时要求承包人进行修正和提供补充资料的，则承包人提交的支付分解表视为已经获得发包人批准。</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3.单价合同的总价项目支付分解表的编制与审批</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除专用合同条款另有约定外，单价合同的总价项目，由承包人根据施工进度计划和总价项目的总价构成、费用性质、计划发生时间和相应工程量等因素按月进行分解，形成支付分解表，其编制与审批参照总价合同支付分解表的编制与审批执行。</w:t>
      </w:r>
      <w:r/>
    </w:p>
    <w:p>
      <w:pPr>
        <w:ind w:left="878" w:hanging="877"/>
        <w:spacing w:before="156" w:after="156" w:line="360" w:lineRule="auto"/>
        <w:rPr>
          <w:rFonts w:hint="eastAsia" w:ascii="宋体" w:hAnsi="宋体" w:cs="宋体"/>
          <w:color w:val="auto"/>
          <w:sz w:val="21"/>
          <w:szCs w:val="21"/>
          <w:highlight w:val="none"/>
          <w:lang w:eastAsia="zh-CN"/>
        </w:rPr>
      </w:pPr>
      <w:r/>
      <w:bookmarkStart w:id="349" w:name="_Toc351203585"/>
      <w:r>
        <w:rPr>
          <w:rFonts w:hint="eastAsia" w:ascii="宋体" w:hAnsi="宋体" w:cs="宋体"/>
          <w:color w:val="auto"/>
          <w:sz w:val="21"/>
          <w:szCs w:val="21"/>
          <w:highlight w:val="none"/>
          <w:lang w:eastAsia="zh-CN"/>
        </w:rPr>
        <w:t xml:space="preserve">12.5支付账户</w:t>
      </w:r>
      <w:bookmarkEnd w:id="349"/>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发包人应将合同价款支付至合同协议书中约定的承包人账户。</w:t>
      </w:r>
      <w:r/>
    </w:p>
    <w:p>
      <w:pPr>
        <w:ind w:firstLine="482"/>
        <w:jc w:val="both"/>
        <w:spacing w:line="360" w:lineRule="auto"/>
        <w:rPr>
          <w:rFonts w:hint="eastAsia" w:cs="宋体"/>
          <w:color w:val="auto"/>
          <w:sz w:val="21"/>
          <w:szCs w:val="21"/>
          <w:highlight w:val="none"/>
          <w:lang w:eastAsia="zh-CN"/>
        </w:rPr>
      </w:pPr>
      <w:r/>
      <w:bookmarkStart w:id="350" w:name="_Toc351203586"/>
      <w:r/>
      <w:bookmarkStart w:id="351" w:name="_Toc296503106"/>
      <w:r/>
      <w:bookmarkStart w:id="352" w:name="_Toc296346607"/>
      <w:r/>
      <w:bookmarkStart w:id="353" w:name="_Toc337558804"/>
      <w:r/>
      <w:bookmarkStart w:id="354" w:name="_Toc322522574"/>
      <w:r>
        <w:rPr>
          <w:rFonts w:hint="eastAsia" w:cs="宋体"/>
          <w:color w:val="auto"/>
          <w:sz w:val="21"/>
          <w:szCs w:val="21"/>
          <w:highlight w:val="none"/>
          <w:lang w:eastAsia="zh-CN"/>
        </w:rPr>
        <w:t xml:space="preserve">13. 验收和工程试车</w:t>
      </w:r>
      <w:bookmarkEnd w:id="350"/>
      <w:r/>
      <w:bookmarkEnd w:id="351"/>
      <w:bookmarkEnd w:id="352"/>
      <w:bookmarkEnd w:id="353"/>
      <w:bookmarkEnd w:id="354"/>
      <w:r/>
    </w:p>
    <w:p>
      <w:pPr>
        <w:ind w:left="878" w:hanging="877"/>
        <w:spacing w:before="156" w:after="156" w:line="360" w:lineRule="auto"/>
        <w:rPr>
          <w:rFonts w:hint="eastAsia" w:ascii="宋体" w:hAnsi="宋体" w:cs="宋体"/>
          <w:color w:val="auto"/>
          <w:sz w:val="21"/>
          <w:szCs w:val="21"/>
          <w:highlight w:val="none"/>
          <w:lang w:eastAsia="zh-CN"/>
        </w:rPr>
      </w:pPr>
      <w:r/>
      <w:bookmarkStart w:id="355" w:name="_Toc351203587"/>
      <w:r/>
      <w:bookmarkStart w:id="356" w:name="_Toc337558805"/>
      <w:r/>
      <w:bookmarkStart w:id="357" w:name="_Toc296346611"/>
      <w:r/>
      <w:bookmarkStart w:id="358" w:name="_Toc296503110"/>
      <w:r>
        <w:rPr>
          <w:rFonts w:hint="eastAsia" w:ascii="宋体" w:hAnsi="宋体" w:cs="宋体"/>
          <w:color w:val="auto"/>
          <w:sz w:val="21"/>
          <w:szCs w:val="21"/>
          <w:highlight w:val="none"/>
          <w:lang w:eastAsia="zh-CN"/>
        </w:rPr>
        <w:t xml:space="preserve">13.1分部分项工程验收</w:t>
      </w:r>
      <w:bookmarkEnd w:id="355"/>
      <w:r/>
      <w:bookmarkEnd w:id="356"/>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13.1.1 分部分项工程质量应符合国家有关工程施工验收规范、标准及合同约定，承包人应按照施工组织设计的要求完成分部分项工程施工。</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13.1.2 除专用合同条款另有约定外，分部分项工程经承包人自检合格并具备验收条件的，承包人应提前48小时通知监理人进行验收。监理人不能按时进行验收的，应在验收前24小时向承包人提交书面延期要求，但延期不能超过48小时。监理人未按时进行验收，也未提出延期要求的，承包人有权自行验收，监理人应认可验收结果。分部分项工程未经验收的，不得进入下一道工序施工。</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分部分项工程的验收资料应当作为竣工资料的组成部分。</w:t>
      </w:r>
      <w:r/>
    </w:p>
    <w:p>
      <w:pPr>
        <w:ind w:left="878" w:hanging="877"/>
        <w:spacing w:before="156" w:after="156" w:line="360" w:lineRule="auto"/>
        <w:rPr>
          <w:rFonts w:hint="eastAsia" w:ascii="宋体" w:hAnsi="宋体" w:cs="宋体"/>
          <w:color w:val="auto"/>
          <w:sz w:val="21"/>
          <w:szCs w:val="21"/>
          <w:highlight w:val="none"/>
          <w:lang w:eastAsia="zh-CN"/>
        </w:rPr>
      </w:pPr>
      <w:r/>
      <w:bookmarkStart w:id="359" w:name="_Toc351203588"/>
      <w:r/>
      <w:bookmarkStart w:id="360" w:name="_Toc337558806"/>
      <w:r>
        <w:rPr>
          <w:rFonts w:hint="eastAsia" w:ascii="宋体" w:hAnsi="宋体" w:cs="宋体"/>
          <w:color w:val="auto"/>
          <w:sz w:val="21"/>
          <w:szCs w:val="21"/>
          <w:highlight w:val="none"/>
          <w:lang w:eastAsia="zh-CN"/>
        </w:rPr>
        <w:t xml:space="preserve">13.2竣工验收</w:t>
      </w:r>
      <w:bookmarkEnd w:id="359"/>
      <w:r/>
      <w:bookmarkEnd w:id="357"/>
      <w:bookmarkEnd w:id="358"/>
      <w:bookmarkEnd w:id="360"/>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13.2.1竣工验收条件</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工程具备以下条件的，承包人可以申请竣工验收：</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（1）除发包人同意的甩项工作和缺陷修补工作外，合同范围内的全部工程以及有关工作，包括合同要求的试验、试运行以及检验均已完成，并符合合同要求；</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（2）已按合同约定编制了甩项工作和缺陷修补工作清单以及相应的施工计划；</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（3）已按合同约定的内容和份数备齐竣工资料。</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13.2.2竣工验收程序</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除专用合同条款另有约定外，承包人申请竣工验收的，应当按照以下程序进行：</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（2）监理人审查后认为已具备竣工验收条件的，应将竣工验收申请报告提交发包人，发包人应在收到经监理人审核的竣工验收申请报告后28天内审批完毕并组织监理人、承包人、设计人等相关单位完成竣工验收。</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（3）竣工验收合格的，发包人应在验收合格后14天内向承包人签发工程接收证书。发包人无正当理由逾期不颁发工程接收证书的，自验收合格后第15天起视为已颁发工程接收证书。</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（5）工程未经验收或验收不合格，发包人擅自使用的，应在转移占有工程后7天内向承包人颁发工程接收证书；发包人无正当理由逾期不颁发工程接收证书的，自转移占有后第15天起视为已颁发工程接收证书。</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除专用合同条款另有约定外，发包人不按照本项约定组织竣工验收、颁发工程接收证书的，每逾期一天，应以签约合同价为基数，按照中国人民银行发布的同期同类贷款基准利率支付违约金。</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13.2.3竣工日期</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工程经竣工验收合格的，以承包人提交竣工验收申请报告之日为实际竣工日期，并在工程接收证书中载明；因发包人原因，未在监理人收到承包人提交的竣工验收申请报告42天内完成竣工验收，或完成竣工验收不予签发工程接收证书的，以提交竣工验</w:t>
      </w:r>
      <w:bookmarkStart w:id="361" w:name="#go14"/>
      <w:r/>
      <w:bookmarkEnd w:id="361"/>
      <w:r>
        <w:rPr>
          <w:rFonts w:hint="eastAsia" w:ascii="宋体" w:hAnsi="宋体" w:eastAsia="宋体" w:cs="宋体"/>
          <w:color w:val="auto"/>
          <w:sz w:val="21"/>
          <w:szCs w:val="21"/>
          <w:highlight w:val="none"/>
          <w:lang w:eastAsia="zh-CN"/>
        </w:rPr>
        <w:t xml:space="preserve">收申请报告的日期为实际竣工日期；工程未经竣工验收，发包人擅自使用的，以转移占有工程之日为实际竣工日期。</w:t>
      </w:r>
      <w:r/>
    </w:p>
    <w:p>
      <w:pPr>
        <w:ind w:firstLine="480"/>
        <w:jc w:val="both"/>
        <w:spacing w:line="360" w:lineRule="auto"/>
        <w:rPr>
          <w:rFonts w:hint="eastAsia" w:ascii="宋体" w:hAnsi="宋体" w:eastAsia="宋体" w:cs="宋体"/>
          <w:color w:val="auto"/>
          <w:sz w:val="21"/>
          <w:szCs w:val="21"/>
          <w:highlight w:val="none"/>
          <w:lang w:eastAsia="zh-CN"/>
        </w:rPr>
      </w:pPr>
      <w:r/>
      <w:bookmarkStart w:id="362" w:name="_Toc36797917"/>
      <w:r>
        <w:rPr>
          <w:rFonts w:hint="eastAsia" w:ascii="宋体" w:hAnsi="宋体" w:eastAsia="宋体" w:cs="宋体"/>
          <w:color w:val="auto"/>
          <w:sz w:val="21"/>
          <w:szCs w:val="21"/>
          <w:highlight w:val="none"/>
          <w:lang w:eastAsia="zh-CN"/>
        </w:rPr>
        <w:t xml:space="preserve">13.2.4 拒绝接收全部或部分工程</w:t>
      </w:r>
      <w:bookmarkEnd w:id="362"/>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对于竣工验收不合格的工程，承包人完成整改后，应当重新进行竣工验收，经重新组织验收仍不合格的且无法采取措施补救的，则发包人可以拒绝接收不合格工程，因不合格工程导致其他工程不能正常使用的，承包人应采取措施确保相关工程的正常使用，由此增加的费用和（或）延误的工期由承包人承担。</w:t>
      </w:r>
      <w:r/>
    </w:p>
    <w:p>
      <w:pPr>
        <w:ind w:firstLine="48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13.2.5 移交、接收全部与部分工程</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除专用合同条款另有约定外，合同当事人应当在颁发工程接收证书后7天内完成工程的移交。</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发包人无正当理由不接收工程的，发包人自应当接收工程之日起，承担工程照管、成品保护、保管等与工程有关的各项费用，合同当事人可以在专用合同条款中另行约定发包人逾期接收工程的违约责任。</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承包人无正当理由不移交工程的，承包人应承担工程照管、成品保护、保管等与工程有关的各项费用，合同当事人可以在专用合同条款中另行约定承包人无正当理由不移交工程的违约责任。</w:t>
      </w:r>
      <w:r/>
    </w:p>
    <w:p>
      <w:pPr>
        <w:ind w:left="878" w:hanging="877"/>
        <w:spacing w:before="156" w:after="156" w:line="360" w:lineRule="auto"/>
        <w:rPr>
          <w:rFonts w:hint="eastAsia" w:ascii="宋体" w:hAnsi="宋体" w:cs="宋体"/>
          <w:color w:val="auto"/>
          <w:sz w:val="21"/>
          <w:szCs w:val="21"/>
          <w:highlight w:val="none"/>
          <w:lang w:eastAsia="zh-CN"/>
        </w:rPr>
      </w:pPr>
      <w:r/>
      <w:bookmarkStart w:id="363" w:name="_Toc351203589"/>
      <w:r/>
      <w:bookmarkStart w:id="364" w:name="_Toc337558807"/>
      <w:r/>
      <w:bookmarkStart w:id="365" w:name="_Toc296503111"/>
      <w:r/>
      <w:bookmarkStart w:id="366" w:name="_Toc296346612"/>
      <w:r>
        <w:rPr>
          <w:rFonts w:hint="eastAsia" w:ascii="宋体" w:hAnsi="宋体" w:cs="宋体"/>
          <w:color w:val="auto"/>
          <w:sz w:val="21"/>
          <w:szCs w:val="21"/>
          <w:highlight w:val="none"/>
          <w:lang w:eastAsia="zh-CN"/>
        </w:rPr>
        <w:t xml:space="preserve">13.3工程试车</w:t>
      </w:r>
      <w:bookmarkEnd w:id="363"/>
      <w:r/>
      <w:bookmarkEnd w:id="364"/>
      <w:bookmarkEnd w:id="365"/>
      <w:bookmarkEnd w:id="366"/>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13.3.1试车程序</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工程需要试车的，除专用合同条款另有约定外，试车内容应与承包人承包范围相一致，试车费用由承包人承担。工程试车应按如下程序进行：</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具备单机无负荷试车条件，承包人组织试车，并在试车前48小时书面通知监理人，通知中应载明试车内容、时间、地点。承包人准备试车记录，发包人根据承包人要求为试车提供必要条件。试车合格的，监理人在试车记录上签字。监理人在试车合格后不在试车记录上签字，自试车结束满24小时后视为监理人已经认可试车记录，承包人可继续施工或办理竣工验收手续。</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监理人不能按时参加试车，应在试车前24小时以书面形式向承包人提出延期要求，但延期不能超过48小时，由此导致工期延误的，工期应予以顺延。监理人未能在前述期限内提出延期要求，又不参加试车的，视为认可试车记录。</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具备无负荷联动试车条件，发包人组织试车，并在试车前48小时以书面形式通知承包人。通知中应载明试车内容、时间、地点和对承包人的要求，承包人按要求做好准备工作。试车合格，合同当事人在试车记录上签字。承包人无正当理由不参加试车的，视为认可试车记录。</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13.3.2 试车中的责任</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因设计原因导致试车达不到验收要求，发包人应要求设计人修改设计，承包人按修改后的设计重新安装。发包人承担修改设计、拆除及重新安装的全部费用，工期相应顺延。因承包人原因导致试车达不到验收要求，承包人按监理人要求重新安装和试车，并承担重新安装和试车的费用，工期不予顺延。</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因工程设备制造原因导致试车达不到验收要求的，由采购该工程设备的合同当事人负责重新购置或修理，承包人负责拆除和重新安装，由此增加的修理、重新购置、拆除及重新安装的费用及延误的工期由采购该工程设备的合同当事人承担。</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13.3.3 投料试车</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如需进行投料试车的，发包人应在工程竣工验收后组织投料试车。发包人要求在工程竣工验收前进行或需要承包人配合时，应征得承包人同意，并在专用合同条款中约定有关事项。</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投料试车合格的，费用由发包人承担；因承包人原因造成投料试车不合格的，承包人应按照发包人要求进行整改，由此产生的整改费用由承包人承担；非因承包人原因导致投料试车不合格的，如发包人要求承包人进行整改的，由此产生的费用由发包人承担。</w:t>
      </w:r>
      <w:r/>
    </w:p>
    <w:p>
      <w:pPr>
        <w:spacing w:before="156" w:after="156" w:line="360" w:lineRule="auto"/>
        <w:rPr>
          <w:rFonts w:hint="eastAsia" w:ascii="宋体" w:hAnsi="宋体" w:cs="宋体"/>
          <w:color w:val="auto"/>
          <w:sz w:val="21"/>
          <w:szCs w:val="21"/>
          <w:highlight w:val="none"/>
          <w:lang w:eastAsia="zh-CN"/>
        </w:rPr>
      </w:pPr>
      <w:r/>
      <w:bookmarkStart w:id="367" w:name="_Toc351203590"/>
      <w:r/>
      <w:bookmarkStart w:id="368" w:name="_Toc337558808"/>
      <w:r>
        <w:rPr>
          <w:rFonts w:hint="eastAsia" w:ascii="宋体" w:hAnsi="宋体" w:cs="宋体"/>
          <w:color w:val="auto"/>
          <w:sz w:val="21"/>
          <w:szCs w:val="21"/>
          <w:highlight w:val="none"/>
          <w:lang w:eastAsia="zh-CN"/>
        </w:rPr>
        <w:t xml:space="preserve">13.4提前交付单位工程的验收</w:t>
      </w:r>
      <w:bookmarkEnd w:id="367"/>
      <w:r/>
      <w:bookmarkEnd w:id="368"/>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13.4.1 发包人需要在工程竣工前使用单位工程的，或承包人提出提前交付已经竣工的单位工程且经发包人同意的，可进行单位工程验收，验收的程序按照第13.2款〔竣工验收〕的约定进行。</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验收合格后，由监理人向承包人出具经发包人签认的单位工程接收证书。已签发单位工程接收证书的单位工程由发包人负责照管。单位工程的验收成果和结论作为整体工程竣工验收申请报告的附件。</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13.4.2 发包人要求在工程竣工前交付单位工程，由此导致承包人费用增加和（或）工期延误的，由发包人承担由此增加的费用和（或）延误的工期，并支付承包人合理的利润。</w:t>
      </w:r>
      <w:r/>
    </w:p>
    <w:p>
      <w:pPr>
        <w:ind w:left="878" w:hanging="877"/>
        <w:spacing w:before="156" w:after="156" w:line="360" w:lineRule="auto"/>
        <w:rPr>
          <w:rFonts w:hint="eastAsia" w:ascii="宋体" w:hAnsi="宋体" w:cs="宋体"/>
          <w:color w:val="auto"/>
          <w:sz w:val="21"/>
          <w:szCs w:val="21"/>
          <w:highlight w:val="none"/>
          <w:lang w:eastAsia="zh-CN"/>
        </w:rPr>
      </w:pPr>
      <w:r/>
      <w:bookmarkStart w:id="369" w:name="_Toc351203591"/>
      <w:r>
        <w:rPr>
          <w:rFonts w:hint="eastAsia" w:ascii="宋体" w:hAnsi="宋体" w:cs="宋体"/>
          <w:color w:val="auto"/>
          <w:sz w:val="21"/>
          <w:szCs w:val="21"/>
          <w:highlight w:val="none"/>
          <w:lang w:eastAsia="zh-CN"/>
        </w:rPr>
        <w:t xml:space="preserve">13.5 施工期运行</w:t>
      </w:r>
      <w:bookmarkEnd w:id="369"/>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13.5.1 施工期运行是指合同工程尚未全部竣工，其中某项或某几项单位工程或工程设备安装已竣工，根据专用合同条款约定，需要投入施工期运行的，经发包人按第13.4款〔提前交付单位工程的验收〕的约定验收合格，证明能确保安全后，才能在施工期投入运行。</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13.5.2 在施工期运行中发现工程或工程设备损坏或存在缺陷的，由承包人按第15.2款〔缺陷责任期〕约定进行修复。</w:t>
      </w:r>
      <w:r/>
    </w:p>
    <w:p>
      <w:pPr>
        <w:ind w:left="878" w:hanging="877"/>
        <w:spacing w:before="156" w:after="156" w:line="360" w:lineRule="auto"/>
        <w:rPr>
          <w:rFonts w:hint="eastAsia" w:ascii="宋体" w:hAnsi="宋体" w:cs="宋体"/>
          <w:color w:val="auto"/>
          <w:sz w:val="21"/>
          <w:szCs w:val="21"/>
          <w:highlight w:val="none"/>
          <w:lang w:eastAsia="zh-CN"/>
        </w:rPr>
      </w:pPr>
      <w:r/>
      <w:bookmarkStart w:id="370" w:name="_Toc296346613"/>
      <w:r/>
      <w:bookmarkStart w:id="371" w:name="_Toc296503112"/>
      <w:r/>
      <w:bookmarkStart w:id="372" w:name="_Toc351203592"/>
      <w:r/>
      <w:bookmarkStart w:id="373" w:name="_Toc337558809"/>
      <w:r>
        <w:rPr>
          <w:rFonts w:hint="eastAsia" w:ascii="宋体" w:hAnsi="宋体" w:cs="宋体"/>
          <w:color w:val="auto"/>
          <w:sz w:val="21"/>
          <w:szCs w:val="21"/>
          <w:highlight w:val="none"/>
          <w:lang w:eastAsia="zh-CN"/>
        </w:rPr>
        <w:t xml:space="preserve">13.6 竣工退</w:t>
      </w:r>
      <w:bookmarkEnd w:id="370"/>
      <w:r/>
      <w:bookmarkEnd w:id="371"/>
      <w:r>
        <w:rPr>
          <w:rFonts w:hint="eastAsia" w:ascii="宋体" w:hAnsi="宋体" w:cs="宋体"/>
          <w:color w:val="auto"/>
          <w:sz w:val="21"/>
          <w:szCs w:val="21"/>
          <w:highlight w:val="none"/>
          <w:lang w:eastAsia="zh-CN"/>
        </w:rPr>
        <w:t xml:space="preserve">场</w:t>
      </w:r>
      <w:bookmarkEnd w:id="372"/>
      <w:r/>
      <w:bookmarkEnd w:id="373"/>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13.6.1 竣工退场</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颁发工程接收证书后，承包人应按以下要求对施工现场进行清理：</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（1）施工现场内残留的垃圾已全部清除出场；</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（2）临时工程已拆除，场地已进行清理、平整或复原；</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（3）按合同约定应撤离的人员、承包人施工设备和剩余的材料，包括废弃的施工设备和材料，已按计划撤离施工现场；</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（4）施工现场周边及其附近道路、河道的施工堆积物，已全部清理；</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（5）施工现场其他场地清理工作已全部完成。</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施工现场的竣工退场费用由承包人承担。承包人应在专用合同条款约定的期限内完成竣工退场，逾期未完成的，发包人有权出售或另行处理承包人遗留的物品，由此支出的费用由承包人承担，发包人出售承包人遗留物品所得款项在扣除必要费用后应返还承包人。</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13.6.2 地表还原</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承包人应按发包人要求恢复临时占地及清理场地，承包人未按发包人的要求恢复临时占地，或者场地清理未达到合同约定要求的，发包人有权委托其他人恢复或清理，所发生的费用由承包人承担。</w:t>
      </w:r>
      <w:r/>
    </w:p>
    <w:p>
      <w:pPr>
        <w:ind w:firstLine="482"/>
        <w:jc w:val="both"/>
        <w:spacing w:line="360" w:lineRule="auto"/>
        <w:rPr>
          <w:rFonts w:hint="eastAsia" w:cs="宋体"/>
          <w:color w:val="auto"/>
          <w:sz w:val="21"/>
          <w:szCs w:val="21"/>
          <w:highlight w:val="none"/>
          <w:lang w:eastAsia="zh-CN"/>
        </w:rPr>
      </w:pPr>
      <w:r/>
      <w:bookmarkStart w:id="374" w:name="_Toc351203593"/>
      <w:r/>
      <w:bookmarkStart w:id="375" w:name="_Toc337558810"/>
      <w:r/>
      <w:bookmarkStart w:id="376" w:name="_Toc296346614"/>
      <w:r/>
      <w:bookmarkStart w:id="377" w:name="_Toc296503113"/>
      <w:r>
        <w:rPr>
          <w:rFonts w:hint="eastAsia" w:cs="宋体"/>
          <w:color w:val="auto"/>
          <w:sz w:val="21"/>
          <w:szCs w:val="21"/>
          <w:highlight w:val="none"/>
          <w:lang w:eastAsia="zh-CN"/>
        </w:rPr>
        <w:t xml:space="preserve">14. 竣工结算</w:t>
      </w:r>
      <w:bookmarkEnd w:id="374"/>
      <w:r/>
      <w:bookmarkEnd w:id="375"/>
      <w:r/>
    </w:p>
    <w:p>
      <w:pPr>
        <w:ind w:left="878" w:hanging="877"/>
        <w:spacing w:before="156" w:after="156" w:line="360" w:lineRule="auto"/>
        <w:rPr>
          <w:rFonts w:hint="eastAsia" w:ascii="宋体" w:hAnsi="宋体" w:cs="宋体"/>
          <w:color w:val="auto"/>
          <w:sz w:val="21"/>
          <w:szCs w:val="21"/>
          <w:highlight w:val="none"/>
          <w:lang w:eastAsia="zh-CN"/>
        </w:rPr>
      </w:pPr>
      <w:r/>
      <w:bookmarkStart w:id="378" w:name="_Toc351203594"/>
      <w:r/>
      <w:bookmarkStart w:id="379" w:name="_Toc337558811"/>
      <w:r>
        <w:rPr>
          <w:rFonts w:hint="eastAsia" w:ascii="宋体" w:hAnsi="宋体" w:cs="宋体"/>
          <w:color w:val="auto"/>
          <w:sz w:val="21"/>
          <w:szCs w:val="21"/>
          <w:highlight w:val="none"/>
          <w:lang w:eastAsia="zh-CN"/>
        </w:rPr>
        <w:t xml:space="preserve">14.1 竣工结算申请</w:t>
      </w:r>
      <w:bookmarkEnd w:id="378"/>
      <w:r/>
      <w:bookmarkEnd w:id="379"/>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除专用合同条款另有约定外，承包人应在工程竣工验收合格后28天内向发包人和监理人提交竣工结算申请单，并提交完整的结算资料，有关竣工结算申请单的资料清单和份数等要求由合同当事人在专用合同条款中约定。</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除专用合同条款另有约定外，竣工结算申请单应包括以下内容：</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（1）竣工结算合同价格；</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（2）发包人已支付承包人的款项；</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（3）应扣留的质量保证金。已缴纳履约保证金的或提供其他工程质量担保方式的除外； </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（4）发包人应支付承包人的合同价款。</w:t>
      </w:r>
      <w:r/>
    </w:p>
    <w:p>
      <w:pPr>
        <w:ind w:left="878" w:hanging="877"/>
        <w:spacing w:before="156" w:after="156" w:line="360" w:lineRule="auto"/>
        <w:rPr>
          <w:rFonts w:hint="eastAsia" w:ascii="宋体" w:hAnsi="宋体" w:cs="宋体"/>
          <w:color w:val="auto"/>
          <w:sz w:val="21"/>
          <w:szCs w:val="21"/>
          <w:highlight w:val="none"/>
          <w:lang w:eastAsia="zh-CN"/>
        </w:rPr>
      </w:pPr>
      <w:r/>
      <w:bookmarkStart w:id="380" w:name="_Toc351203595"/>
      <w:r/>
      <w:bookmarkStart w:id="381" w:name="_Toc337558812"/>
      <w:r>
        <w:rPr>
          <w:rFonts w:hint="eastAsia" w:ascii="宋体" w:hAnsi="宋体" w:cs="宋体"/>
          <w:color w:val="auto"/>
          <w:sz w:val="21"/>
          <w:szCs w:val="21"/>
          <w:highlight w:val="none"/>
          <w:lang w:eastAsia="zh-CN"/>
        </w:rPr>
        <w:t xml:space="preserve">14.2 竣工结算审核</w:t>
      </w:r>
      <w:bookmarkEnd w:id="380"/>
      <w:r/>
      <w:bookmarkEnd w:id="381"/>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除专用合同条款另有约定外，监理人应在收到竣工结算申请单后14天内完成核查并报送发包人。发包人应在收到监理人提交的经审核的竣工结算申请单后14天内完成审批，并由监理人向承包人签发经发包人签认的竣工付款证书。监理人或发包人对竣工结算申请单有异议的，有权要求承包人进行修正和提供补充资料，承包人应提交修正后的竣工结算申请单。</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发包人在收到承包人提交竣工结算申请书后28天内未完成审批且未提出异议的，视为发包人认可承包人提交的竣工结算申请单，并自发包人收到承包人提交的竣工结算申请单后第29天起视为已签发竣工付款证书。</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（2）除专用合同条款另有约定外，发包人应在签发竣工付款证书后的14 天内，完成对承包人的竣工付款。发包人逾期支付的，按照中国人民银行发布的同期同类贷款基准利率支付违约金；逾期支付超过56天的，按照中国人民银行发布的同期同类贷款基准利率的两倍支付违约金。</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承包人对发包人签认的竣工付款证书有异议的，对于有异议部分应在收到发包人签认的竣工付款证书后7天内提出异议，并由合同当事人按照专用合同条款约定的方式和程序进行复核，或按照第20条〔争议解决〕约定处理。对于无异议部分，发包人应签发临时竣工付款证书，并按本款第（2）项完成付款。承包人逾期未提出异议的，视为认可发包人的审批结果。</w:t>
      </w:r>
      <w:r/>
    </w:p>
    <w:p>
      <w:pPr>
        <w:ind w:left="878" w:hanging="877"/>
        <w:spacing w:before="156" w:after="156" w:line="360" w:lineRule="auto"/>
        <w:rPr>
          <w:rFonts w:hint="eastAsia" w:ascii="宋体" w:hAnsi="宋体" w:cs="宋体"/>
          <w:color w:val="auto"/>
          <w:sz w:val="21"/>
          <w:szCs w:val="21"/>
          <w:highlight w:val="none"/>
          <w:lang w:eastAsia="zh-CN"/>
        </w:rPr>
      </w:pPr>
      <w:r/>
      <w:bookmarkStart w:id="382" w:name="_Toc351203596"/>
      <w:r/>
      <w:bookmarkStart w:id="383" w:name="_Toc337558813"/>
      <w:r>
        <w:rPr>
          <w:rFonts w:hint="eastAsia" w:ascii="宋体" w:hAnsi="宋体" w:cs="宋体"/>
          <w:color w:val="auto"/>
          <w:sz w:val="21"/>
          <w:szCs w:val="21"/>
          <w:highlight w:val="none"/>
          <w:lang w:eastAsia="zh-CN"/>
        </w:rPr>
        <w:t xml:space="preserve">14.3 甩项竣工协议</w:t>
      </w:r>
      <w:bookmarkEnd w:id="382"/>
      <w:r/>
      <w:bookmarkEnd w:id="383"/>
      <w:r/>
    </w:p>
    <w:p>
      <w:pPr>
        <w:ind w:firstLine="411"/>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发包人要求甩项竣工的，合同当事人应签订甩项竣工协议。在甩项竣工协议中应明确，合同当事人按照第14.1款〔竣工结算申请〕及14.2款〔竣工结算审核〕的约定，对已完合格工程进行结算，并支付相应合同价款。</w:t>
      </w:r>
      <w:r/>
    </w:p>
    <w:p>
      <w:pPr>
        <w:ind w:left="878" w:hanging="877"/>
        <w:spacing w:before="156" w:after="156" w:line="360" w:lineRule="auto"/>
        <w:rPr>
          <w:rFonts w:hint="eastAsia" w:ascii="宋体" w:hAnsi="宋体" w:cs="宋体"/>
          <w:color w:val="auto"/>
          <w:sz w:val="21"/>
          <w:szCs w:val="21"/>
          <w:highlight w:val="none"/>
          <w:lang w:eastAsia="zh-CN"/>
        </w:rPr>
      </w:pPr>
      <w:r/>
      <w:bookmarkStart w:id="384" w:name="_Toc351203597"/>
      <w:r/>
      <w:bookmarkStart w:id="385" w:name="_Toc337558814"/>
      <w:r>
        <w:rPr>
          <w:rFonts w:hint="eastAsia" w:ascii="宋体" w:hAnsi="宋体" w:cs="宋体"/>
          <w:color w:val="auto"/>
          <w:sz w:val="21"/>
          <w:szCs w:val="21"/>
          <w:highlight w:val="none"/>
          <w:lang w:eastAsia="zh-CN"/>
        </w:rPr>
        <w:t xml:space="preserve">14.4 最终结清</w:t>
      </w:r>
      <w:bookmarkEnd w:id="384"/>
      <w:r/>
      <w:bookmarkEnd w:id="385"/>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14.4.1 最终结清申请单</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（1）除专用合同条款另有约定外，承包人应在缺陷责任期终止证书颁发后7天内，按专用合同条款约定的份数向发包人提交最终结清申请单，并提供相关证明材料。</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除专用合同条款另有约定外，最终结清申请单应列明质量保证金、应扣除的质量保证金、缺陷责任期内发生的增减费用。</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（2）发包人对最终结清申请单内容有异议的，有权要求承包人进行修正和提供补充资料，承包人应向发包人提交修正后的最终结清申请单。</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14.4.2 最终结清证书和支付</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除专用合同条款另有约定外，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书。</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除专用合同条款另有约定外，发包人应在颁发最终结清证书后7天内完成支付。发包人逾期支付的，按照中国人民银行发布的同期同类贷款基准利率支付违约金；逾期支付超过56天的，按照中国人民银行发布的同期同类贷款基准利率的两倍支付违约金。</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（3）承包人对发包人颁发的最终结清证书有异议的，按第20条〔争议解决〕的约定办理。</w:t>
      </w:r>
      <w:r/>
    </w:p>
    <w:p>
      <w:pPr>
        <w:ind w:firstLine="482"/>
        <w:jc w:val="both"/>
        <w:spacing w:line="360" w:lineRule="auto"/>
        <w:rPr>
          <w:rFonts w:hint="eastAsia" w:cs="宋体"/>
          <w:color w:val="auto"/>
          <w:sz w:val="21"/>
          <w:szCs w:val="21"/>
          <w:highlight w:val="none"/>
          <w:lang w:eastAsia="zh-CN"/>
        </w:rPr>
      </w:pPr>
      <w:r/>
      <w:bookmarkStart w:id="386" w:name="_Toc351203598"/>
      <w:r/>
      <w:bookmarkStart w:id="387" w:name="_Toc337558815"/>
      <w:r>
        <w:rPr>
          <w:rFonts w:hint="eastAsia" w:cs="宋体"/>
          <w:color w:val="auto"/>
          <w:sz w:val="21"/>
          <w:szCs w:val="21"/>
          <w:highlight w:val="none"/>
          <w:lang w:eastAsia="zh-CN"/>
        </w:rPr>
        <w:t xml:space="preserve">15. 缺陷责任与保修</w:t>
      </w:r>
      <w:bookmarkEnd w:id="386"/>
      <w:r/>
      <w:bookmarkEnd w:id="376"/>
      <w:bookmarkEnd w:id="377"/>
      <w:bookmarkEnd w:id="387"/>
      <w:r/>
    </w:p>
    <w:p>
      <w:pPr>
        <w:ind w:left="878" w:hanging="877"/>
        <w:spacing w:before="156" w:after="156" w:line="360" w:lineRule="auto"/>
        <w:rPr>
          <w:rFonts w:hint="eastAsia" w:ascii="宋体" w:hAnsi="宋体" w:cs="宋体"/>
          <w:color w:val="auto"/>
          <w:sz w:val="21"/>
          <w:szCs w:val="21"/>
          <w:highlight w:val="none"/>
          <w:lang w:eastAsia="zh-CN"/>
        </w:rPr>
      </w:pPr>
      <w:r/>
      <w:bookmarkStart w:id="388" w:name="_Toc351203599"/>
      <w:r/>
      <w:bookmarkStart w:id="389" w:name="_Toc337558816"/>
      <w:r/>
      <w:bookmarkStart w:id="390" w:name="_Toc296503114"/>
      <w:r/>
      <w:bookmarkStart w:id="391" w:name="_Toc296346615"/>
      <w:r>
        <w:rPr>
          <w:rFonts w:hint="eastAsia" w:ascii="宋体" w:hAnsi="宋体" w:cs="宋体"/>
          <w:color w:val="auto"/>
          <w:sz w:val="21"/>
          <w:szCs w:val="21"/>
          <w:highlight w:val="none"/>
          <w:lang w:eastAsia="zh-CN"/>
        </w:rPr>
        <w:t xml:space="preserve">15.1 工程保修的原则</w:t>
      </w:r>
      <w:bookmarkEnd w:id="388"/>
      <w:r/>
      <w:bookmarkEnd w:id="389"/>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在工程移交发包人后，因承包人原因产生的质量缺陷，承包人应承担质量缺陷责任和保修义务。缺陷责任期届满，承包人仍应按合同约定的工程各部位保修年限承担保修义务。</w:t>
      </w:r>
      <w:r/>
    </w:p>
    <w:p>
      <w:pPr>
        <w:ind w:left="878" w:hanging="877"/>
        <w:spacing w:before="156" w:after="156" w:line="360" w:lineRule="auto"/>
        <w:rPr>
          <w:rFonts w:hint="eastAsia" w:ascii="宋体" w:hAnsi="宋体" w:cs="宋体"/>
          <w:color w:val="auto"/>
          <w:sz w:val="21"/>
          <w:szCs w:val="21"/>
          <w:highlight w:val="none"/>
          <w:lang w:eastAsia="zh-CN"/>
        </w:rPr>
      </w:pPr>
      <w:r/>
      <w:bookmarkStart w:id="392" w:name="_Toc351203600"/>
      <w:r/>
      <w:bookmarkStart w:id="393" w:name="_Toc337558817"/>
      <w:r>
        <w:rPr>
          <w:rFonts w:hint="eastAsia" w:ascii="宋体" w:hAnsi="宋体" w:cs="宋体"/>
          <w:color w:val="auto"/>
          <w:sz w:val="21"/>
          <w:szCs w:val="21"/>
          <w:highlight w:val="none"/>
          <w:lang w:eastAsia="zh-CN"/>
        </w:rPr>
        <w:t xml:space="preserve">15.2 缺陷责任期</w:t>
      </w:r>
      <w:bookmarkEnd w:id="390"/>
      <w:r/>
      <w:bookmarkEnd w:id="391"/>
      <w:r/>
      <w:bookmarkEnd w:id="392"/>
      <w:r/>
      <w:bookmarkEnd w:id="393"/>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15.2.1 缺陷责任期从工程通过竣工验收之日起计算，合同当事人应在专用合同条款约定缺陷责任期的具体期限，但该期限最长不超过24个月。</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单位工程先于全部工程进行验收，经验收合格并交付使用的，该单位工程缺陷责任期自单位工程验收合格之日起算。因承包人原因导致工程无法按合同约定期限进行竣工验收的，缺陷责任期从实际通过竣工验收之日起计算。因发包人原因导致工程无法按合同约定期限进行竣工验收的，在承包人提交竣工验收报告90天后，工程自动进入缺陷责任期；发包人未经竣工验收擅自使用工程的，缺陷责任期自工程转移占有之日起开始计算。</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15.2.2缺陷责任期内，由承包人原因造成的缺陷，承包人应负责维修，并承担鉴定及维修费用。如承包人不维修也不承担费用，发包人可按合同约定从保证金或银行保函中扣除，费用超出保证金额的，发包人可按合同约定向承包人进行索赔。承包人维修并承担相应费用后，不免除对工程的损失赔偿责任。发包人有权要求承</w:t>
      </w:r>
      <w:r>
        <w:rPr>
          <w:rFonts w:hint="eastAsia" w:ascii="宋体" w:hAnsi="宋体" w:eastAsia="宋体" w:cs="宋体"/>
          <w:bCs/>
          <w:color w:val="auto"/>
          <w:sz w:val="21"/>
          <w:szCs w:val="21"/>
          <w:highlight w:val="none"/>
          <w:lang w:eastAsia="zh-CN"/>
        </w:rPr>
        <w:t xml:space="preserve">包人延长缺陷责任期，</w:t>
      </w:r>
      <w:r>
        <w:rPr>
          <w:rFonts w:hint="eastAsia" w:ascii="宋体" w:hAnsi="宋体" w:eastAsia="宋体" w:cs="宋体"/>
          <w:color w:val="auto"/>
          <w:sz w:val="21"/>
          <w:szCs w:val="21"/>
          <w:highlight w:val="none"/>
          <w:lang w:eastAsia="zh-CN"/>
        </w:rPr>
        <w:t xml:space="preserve">并应在原缺陷责任期届满前发出延长通知。</w:t>
      </w:r>
      <w:r>
        <w:rPr>
          <w:rFonts w:hint="eastAsia" w:ascii="宋体" w:hAnsi="宋体" w:eastAsia="宋体" w:cs="宋体"/>
          <w:bCs/>
          <w:color w:val="auto"/>
          <w:sz w:val="21"/>
          <w:szCs w:val="21"/>
          <w:highlight w:val="none"/>
          <w:lang w:eastAsia="zh-CN"/>
        </w:rPr>
        <w:t xml:space="preserve">但缺陷责任期（含延长部分）最长</w:t>
      </w:r>
      <w:r>
        <w:rPr>
          <w:rFonts w:hint="eastAsia" w:ascii="宋体" w:hAnsi="宋体" w:eastAsia="宋体" w:cs="宋体"/>
          <w:color w:val="auto"/>
          <w:sz w:val="21"/>
          <w:szCs w:val="21"/>
          <w:highlight w:val="none"/>
          <w:lang w:eastAsia="zh-CN"/>
        </w:rPr>
        <w:t xml:space="preserve">不能超过24个月。</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由他人原因造成的缺陷，发包人负责组织维修，承包人不承担费用，且发包人不得从保证金中扣除费用。</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15.2.3 任何一项缺陷或损坏修复后，经检查证明其影响了工程或工程设备的使用性能，承包人应重新进行合同约定的试验和试运行，试验和试运行的全部费用应由责任方承担。</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15.2.4除专用合同条款另有约定外，承包人应于缺陷责任期届满后7天内向发包人发出缺陷责任期届满通知，发包人应在收到缺陷责任期满通知后14天内核实承包人是否履行缺陷修复义务，承包人未能履行缺陷修复义务的，发包人有权扣除相应金额的维修费用。发包人应在收到缺陷责任期届满通知后14天内，向承包人颁发缺陷责任期终止证书。</w:t>
      </w:r>
      <w:r/>
    </w:p>
    <w:p>
      <w:pPr>
        <w:ind w:left="878" w:hanging="877"/>
        <w:spacing w:before="156" w:after="156" w:line="360" w:lineRule="auto"/>
        <w:rPr>
          <w:rFonts w:hint="eastAsia" w:ascii="宋体" w:hAnsi="宋体" w:cs="宋体"/>
          <w:color w:val="auto"/>
          <w:sz w:val="21"/>
          <w:szCs w:val="21"/>
          <w:highlight w:val="none"/>
          <w:lang w:eastAsia="zh-CN"/>
        </w:rPr>
      </w:pPr>
      <w:r/>
      <w:bookmarkStart w:id="394" w:name="_Toc351203601"/>
      <w:r/>
      <w:bookmarkStart w:id="395" w:name="_Toc337558818"/>
      <w:r/>
      <w:bookmarkStart w:id="396" w:name="_Toc296346616"/>
      <w:r/>
      <w:bookmarkStart w:id="397" w:name="_Toc296503115"/>
      <w:r>
        <w:rPr>
          <w:rFonts w:hint="eastAsia" w:ascii="宋体" w:hAnsi="宋体" w:cs="宋体"/>
          <w:color w:val="auto"/>
          <w:sz w:val="21"/>
          <w:szCs w:val="21"/>
          <w:highlight w:val="none"/>
          <w:lang w:eastAsia="zh-CN"/>
        </w:rPr>
        <w:t xml:space="preserve">15.3 质量保证金</w:t>
      </w:r>
      <w:bookmarkEnd w:id="394"/>
      <w:r/>
      <w:bookmarkEnd w:id="395"/>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经合同当事人协商一致扣留质量保证金的，应在专用合同条款中予以明确。</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在工程项目竣工前，承包人已经提供履约担保的，发包人不得同时预留工程质量保证金。</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15.3.1 承包人提供质量保证金的方式</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承包人提供质量保证金有以下三种方式：</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（1）质量保证金保函； </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（2）相应比例的工程款；</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（3）双方约定的其他方式。</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除专用合同条款另有约定外，质量保证金原则上采用上述第（1）种方式。</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15.3.2 质量保证金的扣留</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质量保证金的扣留有以下三种方式：</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（1）在支付工程进度款时逐次扣留，在此情形下，质量保证金的计算基数不包括预付款的支付、扣回以及价格调整的金额；</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（2）工</w:t>
      </w:r>
      <w:bookmarkStart w:id="398" w:name="#go6"/>
      <w:r/>
      <w:bookmarkEnd w:id="398"/>
      <w:r>
        <w:rPr>
          <w:rFonts w:hint="eastAsia" w:ascii="宋体" w:hAnsi="宋体" w:eastAsia="宋体" w:cs="宋体"/>
          <w:color w:val="auto"/>
          <w:sz w:val="21"/>
          <w:szCs w:val="21"/>
          <w:highlight w:val="none"/>
          <w:lang w:eastAsia="zh-CN"/>
        </w:rPr>
        <w:t xml:space="preserve">程竣工结算时一次性扣留质量保证金；</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（3）双方约定的其他扣留方式。</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除专用合同条款另有约定外，质量保证金的扣留原则上采用上述第（1）种方式。</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发</w:t>
      </w:r>
      <w:bookmarkStart w:id="399" w:name="#go4"/>
      <w:r/>
      <w:bookmarkEnd w:id="399"/>
      <w:r>
        <w:rPr>
          <w:rFonts w:hint="eastAsia" w:ascii="宋体" w:hAnsi="宋体" w:eastAsia="宋体" w:cs="宋体"/>
          <w:color w:val="auto"/>
          <w:sz w:val="21"/>
          <w:szCs w:val="21"/>
          <w:highlight w:val="none"/>
          <w:lang w:eastAsia="zh-CN"/>
        </w:rPr>
        <w:t xml:space="preserve">包人累计扣留的质量保证金不得超过工程价款结算总额的3%。如承包人在发包人签发竣工付款证书后28天内提交质量保证金保函，发包人应同时退还扣留的作为质量保证金的工程价款；保函金额不得超过工程价款结算总额的3%。</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发包人在退还质量保证金的同时按照中国人民银行发布的同期同类贷款基准利率支付利息。</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15.3.3 质量保证金的退还</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缺陷责任期内，承包人认真履行合同约定的责任，到期后，承包人可向发包人申请返还保证金。</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发包人在接到承包人返还保证金申请后，应于14天内会同承包人按照合同约定的内容进行核实。如无异议，发包人应当按照约定将保证金返还给承包人。对返还期限没有约定或者约定不明确的，发包人应当在核实后14天内将保证金返还承包人，逾期未返还的，依法承担违约责任。发包人在接到承包人返还保证金申请后14天内不予答复，经催告后14天内仍不予答复，视同认可承包人的返还保证金申请。</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发包人和承包人对保证金预留、返还以及工程维修质量、费用有争议的，按本合同第20条约定的争议和纠纷解决程序处理。</w:t>
      </w:r>
      <w:r/>
    </w:p>
    <w:p>
      <w:pPr>
        <w:ind w:left="878" w:hanging="877"/>
        <w:spacing w:before="156" w:after="156" w:line="360" w:lineRule="auto"/>
        <w:rPr>
          <w:rFonts w:hint="eastAsia" w:ascii="宋体" w:hAnsi="宋体" w:cs="宋体"/>
          <w:color w:val="auto"/>
          <w:sz w:val="21"/>
          <w:szCs w:val="21"/>
          <w:highlight w:val="none"/>
          <w:lang w:eastAsia="zh-CN"/>
        </w:rPr>
      </w:pPr>
      <w:r/>
      <w:bookmarkStart w:id="400" w:name="_Toc351203602"/>
      <w:r/>
      <w:bookmarkStart w:id="401" w:name="_Toc337558819"/>
      <w:r>
        <w:rPr>
          <w:rFonts w:hint="eastAsia" w:ascii="宋体" w:hAnsi="宋体" w:cs="宋体"/>
          <w:color w:val="auto"/>
          <w:sz w:val="21"/>
          <w:szCs w:val="21"/>
          <w:highlight w:val="none"/>
          <w:lang w:eastAsia="zh-CN"/>
        </w:rPr>
        <w:t xml:space="preserve">15.4 保修</w:t>
      </w:r>
      <w:bookmarkEnd w:id="400"/>
      <w:r/>
      <w:bookmarkEnd w:id="396"/>
      <w:bookmarkEnd w:id="397"/>
      <w:bookmarkEnd w:id="401"/>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15.4.1保修责任</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工程保修期从工程竣工验收合格之日起算，具体分部分项工程的保修期由合同当事人在专用合同条款中约定，但不得低于法定最低保修年限。在工程保修期内，承包人应当根据有关法律规定以及合同约定承担保修责任。</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发包人未经竣工验收擅自使用工程的，保修期自转移占有之日起算。</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15.4.2 修复费用</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保修期内，修复的费用按照以下约定处理：</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（1）保修期内，因承包人原因造成工程的缺陷、损坏，承包人应负责修复，并承担修复的费用以及因工程的缺陷、损坏造成的人身伤害和财产损失；</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（2）保修期内，因发包人使用不当造成工程的缺陷、损坏，可以委托承包人修复，但发包人应承担修复的费用，并支付承包人合理利润；</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（3）因其他原因造成工程的缺陷、损坏，可以委托承包人修复，发包人应承担修复的费用，并支付承包人合理的利润，因工程的缺陷、损坏造成的人身伤害和财产损失由责任方承担。</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15.4.3 修复通知</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在保修期内，发包人在使用过程中，发现已接收的工程存在缺陷或损坏的，应书面通知承包人予以修复，但情况紧急必须立即修复缺陷或损坏的，发包人可以口头通知承包人并在口头通知后48小时内书面确认，承包人应在专用合同条款约定的合理期限内到达工程现场并修复缺陷或损坏。</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15.4.4 未能修复</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15.4.5 承包人出入权</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在保修期内，为了修复缺陷或损坏，承包人有权出入工程现场，除情况紧急必须立即修复缺陷或损坏外，承包人应提前24小时通知发包人进场修复的时间。承包人进入工程现场前应获得发包人同意，且不应影响发包人正常的生产经营，并应遵守发包人有关保安和保密等规定。</w:t>
      </w:r>
      <w:r/>
    </w:p>
    <w:p>
      <w:pPr>
        <w:ind w:firstLine="482"/>
        <w:jc w:val="both"/>
        <w:spacing w:line="360" w:lineRule="auto"/>
        <w:rPr>
          <w:rFonts w:hint="eastAsia" w:cs="宋体"/>
          <w:color w:val="auto"/>
          <w:sz w:val="21"/>
          <w:szCs w:val="21"/>
          <w:highlight w:val="none"/>
          <w:lang w:eastAsia="zh-CN"/>
        </w:rPr>
      </w:pPr>
      <w:r/>
      <w:bookmarkStart w:id="402" w:name="_Toc351203603"/>
      <w:r/>
      <w:bookmarkStart w:id="403" w:name="_Toc337558820"/>
      <w:r>
        <w:rPr>
          <w:rFonts w:hint="eastAsia" w:cs="宋体"/>
          <w:color w:val="auto"/>
          <w:sz w:val="21"/>
          <w:szCs w:val="21"/>
          <w:highlight w:val="none"/>
          <w:lang w:eastAsia="zh-CN"/>
        </w:rPr>
        <w:t xml:space="preserve">16. 违约</w:t>
      </w:r>
      <w:bookmarkEnd w:id="402"/>
      <w:r/>
      <w:bookmarkEnd w:id="403"/>
      <w:r/>
    </w:p>
    <w:p>
      <w:pPr>
        <w:ind w:left="878" w:hanging="877"/>
        <w:spacing w:before="156" w:after="156" w:line="360" w:lineRule="auto"/>
        <w:rPr>
          <w:rFonts w:hint="eastAsia" w:ascii="宋体" w:hAnsi="宋体" w:cs="宋体"/>
          <w:color w:val="auto"/>
          <w:sz w:val="21"/>
          <w:szCs w:val="21"/>
          <w:highlight w:val="none"/>
          <w:lang w:eastAsia="zh-CN"/>
        </w:rPr>
      </w:pPr>
      <w:r/>
      <w:bookmarkStart w:id="404" w:name="_Toc296346630"/>
      <w:r/>
      <w:bookmarkStart w:id="405" w:name="_Toc296503129"/>
      <w:r/>
      <w:bookmarkStart w:id="406" w:name="_Toc351203604"/>
      <w:r/>
      <w:bookmarkStart w:id="407" w:name="_Toc337558821"/>
      <w:r>
        <w:rPr>
          <w:rFonts w:hint="eastAsia" w:ascii="宋体" w:hAnsi="宋体" w:cs="宋体"/>
          <w:color w:val="auto"/>
          <w:sz w:val="21"/>
          <w:szCs w:val="21"/>
          <w:highlight w:val="none"/>
          <w:lang w:eastAsia="zh-CN"/>
        </w:rPr>
        <w:t xml:space="preserve">16.1 发</w:t>
      </w:r>
      <w:bookmarkEnd w:id="404"/>
      <w:r/>
      <w:bookmarkEnd w:id="405"/>
      <w:r>
        <w:rPr>
          <w:rFonts w:hint="eastAsia" w:ascii="宋体" w:hAnsi="宋体" w:cs="宋体"/>
          <w:color w:val="auto"/>
          <w:sz w:val="21"/>
          <w:szCs w:val="21"/>
          <w:highlight w:val="none"/>
          <w:lang w:eastAsia="zh-CN"/>
        </w:rPr>
        <w:t xml:space="preserve">包人违约</w:t>
      </w:r>
      <w:bookmarkEnd w:id="406"/>
      <w:r/>
      <w:bookmarkEnd w:id="407"/>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16.1.1 发包人违约的情形</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在合同履行过程中发生的下列情形，属于发包人违约：</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（1）因发包人原因未能在计划开工日期前7天内下达开工通知的；</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（2）因发包人原因未能按合同约定支付合同价款的；</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（3）发包人违反第10.1款〔变更的范围〕第（2）项约定，自行实施被取消的工作或转由他人实施的；</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（4）发包人提供的材料、工程设备的规格、数量或质量不符合合同约定，或因发包人原因导致交货日期延误或交货地点变更等情况的；</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（5）因发包人违反合同约定造成暂停施工的；</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（6）发包人无正当理由没有在约定期限内发出复工指示，导致承包人无法复工的；</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（7）发包人明确表示或者以其行为表明不履行合同主要义务的；</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（8）发包人未能按照合同约定履行其他义务的。</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发包人发生除本项第（7）目以外的违约情况时，承包人可向发包人发出通知，要求发包人采取有效措施纠正违约行为。发包人收到承包人通知后28天内仍不纠正违约行为的，承包人有权暂停相应部位工程施工，并通知监理人。</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16.1.2 发包人违约的责任</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发包人应承担因其违约给承包人增加的费用和（或）延误的工期，并支付承包人合理的利润。此外，合同当事人可在专用合同条款中另行约定发包人违约责任的承担方式和计算方法。</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16.1.3 因发包人违约解除合同</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除专用合同条款另有约定外，承包人按第16.1.1项〔发包人违约的情形〕约定暂停施工满28天后，发包人仍不纠正其违约行为并致使合同目的不能实现的，或出现第16.1.1项〔发包人违约的情形〕第（7）目约定的违约情况，承包人有权解除合同，发包人应承担由此增加的费用，并支付承包人合理的利润。</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16.1.4 因发包人违约解除合同后的付款</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承包人按照本款约定解除合同的，发包人应在解除合同后28天内支付下列款项，并解除履约担保：</w:t>
      </w:r>
      <w:r/>
    </w:p>
    <w:p>
      <w:pPr>
        <w:ind w:firstLine="48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（1）合同解除前所完成工作的价款；</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（2）承包人为工程施工订购并已付款的材料、工程设备和其他物品的价款；</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（3）承包人撤离施工现场以及遣散承包人人员的款项；</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（4）按照合同约定在合同解除前应支付的违约金；</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（5）按照合同约定应当支付给承包人的其他款项；</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（6）按照合同约定应退还的质量保证金；</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（7）因解除合同给承包人造成的损失。</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合同当事人未能就解除合同后的结清达成一致的，按照第20条〔争议解决〕的约定处理。</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承包人应妥善做好已完工程和与工程有关的已购材料、工程设备的保护和移交工作，并将施工设备和人员撤出施工现场，发包人应为承包人撤出提供必要条件。</w:t>
      </w:r>
      <w:r/>
    </w:p>
    <w:p>
      <w:pPr>
        <w:ind w:left="878" w:hanging="877"/>
        <w:spacing w:before="156" w:after="156" w:line="360" w:lineRule="auto"/>
        <w:rPr>
          <w:rFonts w:hint="eastAsia" w:ascii="宋体" w:hAnsi="宋体" w:cs="宋体"/>
          <w:color w:val="auto"/>
          <w:sz w:val="21"/>
          <w:szCs w:val="21"/>
          <w:highlight w:val="none"/>
          <w:lang w:eastAsia="zh-CN"/>
        </w:rPr>
      </w:pPr>
      <w:r/>
      <w:bookmarkStart w:id="408" w:name="_Toc351203605"/>
      <w:r/>
      <w:bookmarkStart w:id="409" w:name="_Toc296503131"/>
      <w:r/>
      <w:bookmarkStart w:id="410" w:name="_Toc337558822"/>
      <w:r/>
      <w:bookmarkStart w:id="411" w:name="_Toc296346632"/>
      <w:r>
        <w:rPr>
          <w:rFonts w:hint="eastAsia" w:ascii="宋体" w:hAnsi="宋体" w:cs="宋体"/>
          <w:color w:val="auto"/>
          <w:sz w:val="21"/>
          <w:szCs w:val="21"/>
          <w:highlight w:val="none"/>
          <w:lang w:eastAsia="zh-CN"/>
        </w:rPr>
        <w:t xml:space="preserve">16.2 承包人违约</w:t>
      </w:r>
      <w:bookmarkEnd w:id="408"/>
      <w:r/>
      <w:bookmarkEnd w:id="409"/>
      <w:bookmarkEnd w:id="410"/>
      <w:bookmarkEnd w:id="411"/>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16.2.1 承包人违约的情形</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在合同履行过程中发生的下列情形，属于承包人违约：</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（1）承包人违反合同约定进行转包或违法分包的；</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（2）承包人违反合同约定采购和使用不合格的材料和工程设备的；</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（3）因承包人原因导致工程质量不符合合同要求的； </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（4）承包人违反第8.9款〔材料与设备专用要求〕的约定，未经批准，私自将已按照合同约定进入施工现场的材料或设备撤离施工现场的；</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（5）承包人未能按施工进度计划及时完成合同约定的工作，造成工期延误的；</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（6）承包人在缺陷责任期及保修期内，未能在合理期限对工程缺陷进行修复，或拒绝按发包人要求进行修复的；</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（7）承包人明确表示或者以其行为表明不履行合同主要义务的；</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（8）承包人未能按照合同约定履行其他义务的。</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承包人发生除本项第（7）目约定以外的其他违约情况时，监理人可向承包人发出整改通知，要求其在指定的期限内改正。</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16.2.2 承包人违约的责任</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承包人应承担因其违约行为而增加的费用和（或）延误的工期。此外，合同当事人可在专用合同条款中另行约定承包人违约责任的承担方式和计算方法。</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16.2.3 因承包人违约解除合同</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除专用合同条款另有约定外，出现第16.2.1项〔承包人违约的情形〕第（7）目约定的违约情况时，或监理人发出整改通知后，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合同当事人应在专用合同条款约定相应费用的承担方式。发包人继续使用的行为不免除或减轻承包人应承担的违约责任。</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16.2.4因承包人违约解除合同后的处理</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因承包人原因导致合同解除的，则合同当事人应在合同解除后28天内完成估价、付款和清算，并按以下约定执行：</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（1）合同解除后，按第4.4款〔商定或确定〕商定或确定承包人实际完成工作对应的合同价款，以及承包人已提供的材料、工程设备、施工设备和临时工程等的价值；</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（2）合同解除后，承包人应支付的违约金；</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（3）合同解除后，因解除合同给发包人造成的损失；</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（4）合同解除后，承包人应按照发包人要求和监理人的指示完成现场的清理和撤离；</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（5）发包人和承包人应在合同解除后进行清算，出具最终结清付款证书，结清全部款项。</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因承包人违约解除合同的，发包人有权暂停对承包人的付款，查清各项付款和已扣款项。发包人和承包人未能就合同解除后的清算和款项支付达成一致的，按照第20条〔争议解决〕的约定处理。</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16.2.5采购合同权益转让</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因承包人违约解除合同的，发包人有权要求承包人将其为实施合同而签订的材料和设备的采购合同的权益转让给发包人，承包人应在收到解除合同通知后14天内，协助发包人与采购合同的供应商达成相关的转让协议。</w:t>
      </w:r>
      <w:r/>
    </w:p>
    <w:p>
      <w:pPr>
        <w:ind w:left="878" w:hanging="877"/>
        <w:spacing w:before="156" w:after="156" w:line="360" w:lineRule="auto"/>
        <w:rPr>
          <w:rFonts w:hint="eastAsia" w:ascii="宋体" w:hAnsi="宋体" w:cs="宋体"/>
          <w:color w:val="auto"/>
          <w:sz w:val="21"/>
          <w:szCs w:val="21"/>
          <w:highlight w:val="none"/>
          <w:lang w:eastAsia="zh-CN"/>
        </w:rPr>
      </w:pPr>
      <w:r/>
      <w:bookmarkStart w:id="412" w:name="_Toc351203606"/>
      <w:r>
        <w:rPr>
          <w:rFonts w:hint="eastAsia" w:ascii="宋体" w:hAnsi="宋体" w:cs="宋体"/>
          <w:color w:val="auto"/>
          <w:sz w:val="21"/>
          <w:szCs w:val="21"/>
          <w:highlight w:val="none"/>
          <w:lang w:eastAsia="zh-CN"/>
        </w:rPr>
        <w:t xml:space="preserve">16.3 第三人造成的违约</w:t>
      </w:r>
      <w:bookmarkEnd w:id="412"/>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在履行合同过程中，一方当事人因第三人的原因造成违约的，应当向对方当事人承担违约责任。一方当事人和第三人之间的纠纷，依照法律规定或者按照约定解决。</w:t>
      </w:r>
      <w:r/>
    </w:p>
    <w:p>
      <w:pPr>
        <w:ind w:firstLine="482"/>
        <w:jc w:val="both"/>
        <w:spacing w:line="360" w:lineRule="auto"/>
        <w:rPr>
          <w:rFonts w:hint="eastAsia" w:cs="宋体"/>
          <w:color w:val="auto"/>
          <w:sz w:val="21"/>
          <w:szCs w:val="21"/>
          <w:highlight w:val="none"/>
          <w:lang w:eastAsia="zh-CN"/>
        </w:rPr>
      </w:pPr>
      <w:r/>
      <w:bookmarkStart w:id="413" w:name="_Toc337558823"/>
      <w:r/>
      <w:bookmarkStart w:id="414" w:name="_Toc296503116"/>
      <w:r/>
      <w:bookmarkStart w:id="415" w:name="_Toc351203607"/>
      <w:r/>
      <w:bookmarkStart w:id="416" w:name="_Toc296346617"/>
      <w:r>
        <w:rPr>
          <w:rFonts w:hint="eastAsia" w:cs="宋体"/>
          <w:color w:val="auto"/>
          <w:sz w:val="21"/>
          <w:szCs w:val="21"/>
          <w:highlight w:val="none"/>
          <w:lang w:eastAsia="zh-CN"/>
        </w:rPr>
        <w:t xml:space="preserve">17. 不可抗力</w:t>
      </w:r>
      <w:bookmarkEnd w:id="413"/>
      <w:r/>
      <w:bookmarkEnd w:id="414"/>
      <w:r/>
      <w:bookmarkEnd w:id="415"/>
      <w:r/>
      <w:bookmarkEnd w:id="416"/>
      <w:r/>
      <w:r/>
    </w:p>
    <w:p>
      <w:pPr>
        <w:ind w:left="878" w:hanging="877"/>
        <w:spacing w:before="156" w:after="156" w:line="360" w:lineRule="auto"/>
        <w:rPr>
          <w:rFonts w:hint="eastAsia" w:ascii="宋体" w:hAnsi="宋体" w:cs="宋体"/>
          <w:color w:val="auto"/>
          <w:sz w:val="21"/>
          <w:szCs w:val="21"/>
          <w:highlight w:val="none"/>
          <w:lang w:eastAsia="zh-CN"/>
        </w:rPr>
      </w:pPr>
      <w:r/>
      <w:bookmarkStart w:id="417" w:name="_Toc351203608"/>
      <w:r/>
      <w:bookmarkStart w:id="418" w:name="_Toc337558824"/>
      <w:r/>
      <w:bookmarkStart w:id="419" w:name="_Toc296503117"/>
      <w:r/>
      <w:bookmarkStart w:id="420" w:name="_Toc296346618"/>
      <w:r>
        <w:rPr>
          <w:rFonts w:hint="eastAsia" w:ascii="宋体" w:hAnsi="宋体" w:cs="宋体"/>
          <w:color w:val="auto"/>
          <w:sz w:val="21"/>
          <w:szCs w:val="21"/>
          <w:highlight w:val="none"/>
          <w:lang w:eastAsia="zh-CN"/>
        </w:rPr>
        <w:t xml:space="preserve">17.1 不可抗力的确认</w:t>
      </w:r>
      <w:bookmarkEnd w:id="417"/>
      <w:r/>
      <w:bookmarkEnd w:id="418"/>
      <w:bookmarkEnd w:id="419"/>
      <w:bookmarkEnd w:id="420"/>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不可抗力是指合同当事人在签订合同时不可预见，在合同履行过程中不可避免且不能克服的自然灾害和社会性突发事件，如地震、海啸、瘟疫、骚乱、戒严、暴动、战争和专用合同条款中约定的其他情形。</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不可抗力发生后，发包人和承包人应收集证明不可抗力发生及不可抗力造成损失的证据，并及时认真统计所造成的损失。合同当事人对是否属于不可抗力或其损失的意见不一致的，由监理人按第4.4款〔商定或确定〕的约定处理。发生争议时，按第20条〔争议解决〕的约定处理。</w:t>
      </w:r>
      <w:r/>
    </w:p>
    <w:p>
      <w:pPr>
        <w:ind w:left="878" w:hanging="877"/>
        <w:spacing w:before="156" w:after="156" w:line="360" w:lineRule="auto"/>
        <w:rPr>
          <w:rFonts w:hint="eastAsia" w:ascii="宋体" w:hAnsi="宋体" w:cs="宋体"/>
          <w:color w:val="auto"/>
          <w:sz w:val="21"/>
          <w:szCs w:val="21"/>
          <w:highlight w:val="none"/>
          <w:lang w:eastAsia="zh-CN"/>
        </w:rPr>
      </w:pPr>
      <w:r/>
      <w:bookmarkStart w:id="421" w:name="_Toc351203609"/>
      <w:r/>
      <w:bookmarkStart w:id="422" w:name="_Toc296503118"/>
      <w:r/>
      <w:bookmarkStart w:id="423" w:name="_Toc337558825"/>
      <w:r/>
      <w:bookmarkStart w:id="424" w:name="_Toc296346619"/>
      <w:r>
        <w:rPr>
          <w:rFonts w:hint="eastAsia" w:ascii="宋体" w:hAnsi="宋体" w:cs="宋体"/>
          <w:color w:val="auto"/>
          <w:sz w:val="21"/>
          <w:szCs w:val="21"/>
          <w:highlight w:val="none"/>
          <w:lang w:eastAsia="zh-CN"/>
        </w:rPr>
        <w:t xml:space="preserve">17.2 不可抗力的通知</w:t>
      </w:r>
      <w:bookmarkEnd w:id="421"/>
      <w:r/>
      <w:bookmarkEnd w:id="422"/>
      <w:bookmarkEnd w:id="423"/>
      <w:bookmarkEnd w:id="424"/>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合同一方当事人遇到不可抗力事件，使其履行合同义务受到阻碍时，应立即通知合同另一方当事人和监理人，书面说明不可抗力和受阻碍的详细情况，并提供必要的证明。</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不可抗力持续发生的，合同一方当事人应及时向合同另一方当事人和监理人提交中间报告，说明不可抗力和履行合同受阻的情况，并于不可抗力事件结束后28天内提交最终报告及有关资料。</w:t>
      </w:r>
      <w:r/>
    </w:p>
    <w:p>
      <w:pPr>
        <w:ind w:left="878" w:hanging="877"/>
        <w:spacing w:before="156" w:after="156" w:line="360" w:lineRule="auto"/>
        <w:rPr>
          <w:rFonts w:hint="eastAsia" w:ascii="宋体" w:hAnsi="宋体" w:cs="宋体"/>
          <w:color w:val="auto"/>
          <w:sz w:val="21"/>
          <w:szCs w:val="21"/>
          <w:highlight w:val="none"/>
          <w:lang w:eastAsia="zh-CN"/>
        </w:rPr>
      </w:pPr>
      <w:r/>
      <w:bookmarkStart w:id="425" w:name="_Toc351203610"/>
      <w:r/>
      <w:bookmarkStart w:id="426" w:name="_Toc296503119"/>
      <w:r/>
      <w:bookmarkStart w:id="427" w:name="_Toc296346620"/>
      <w:r/>
      <w:bookmarkStart w:id="428" w:name="_Toc337558826"/>
      <w:r>
        <w:rPr>
          <w:rFonts w:hint="eastAsia" w:ascii="宋体" w:hAnsi="宋体" w:cs="宋体"/>
          <w:color w:val="auto"/>
          <w:sz w:val="21"/>
          <w:szCs w:val="21"/>
          <w:highlight w:val="none"/>
          <w:lang w:eastAsia="zh-CN"/>
        </w:rPr>
        <w:t xml:space="preserve">17.3 不可抗力后果的承担</w:t>
      </w:r>
      <w:bookmarkEnd w:id="425"/>
      <w:r/>
      <w:bookmarkEnd w:id="426"/>
      <w:bookmarkEnd w:id="427"/>
      <w:bookmarkEnd w:id="428"/>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17.3.1 不可抗力引起的后果及造成的损失由合同当事人按照法律规定及合同约定各自承担。不可抗力发生前已完成的工程应当按照合同约定进行计量支付。</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17.3.2 不可抗力导致的人员伤亡、财产损失、费用增加和（或）工期延误等后果，由合同当事人按以下原则承担：</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（1）永久工程、已运至施工现场的材料和工程设备的损坏，以及因工程损坏造成的第三人人员伤亡和财产损失由发包人承担；</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（2）承包人施工设备的损坏由承包人承担；</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（3）发包人和承包人承担各自人员伤亡和财产的损失；</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（4）因不可抗力影响承包人履行合同约定的义务，已经引起或将引起工期延误的，应当顺延工期，由此导致承包人停工的费用损失由发包人和承包人合理分担，停工期间必须支付的工人工资由发包人承担；</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（5）因不可抗力引起或将引起工期延误，发包人要求赶工的，由此增加的赶工费用由发包人承担；</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（6）承包人在停工期间按照发包人要求照管、清理和修复工程的费用由发包人承担。</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不可抗力发生后，合同当事人均应采取措施尽量避免和减少损失的扩大，任何一方当事人没有采取有效措施导致损失扩大的，应对扩大的损失承担责任。</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因合同一方迟延履行合同义务，在迟延履行期间遭遇不可抗力的，不免除其违约责任。</w:t>
      </w:r>
      <w:r/>
    </w:p>
    <w:p>
      <w:pPr>
        <w:ind w:left="878" w:hanging="877"/>
        <w:spacing w:before="156" w:after="156" w:line="360" w:lineRule="auto"/>
        <w:rPr>
          <w:rFonts w:hint="eastAsia" w:ascii="宋体" w:hAnsi="宋体" w:cs="宋体"/>
          <w:color w:val="auto"/>
          <w:sz w:val="21"/>
          <w:szCs w:val="21"/>
          <w:highlight w:val="none"/>
          <w:lang w:eastAsia="zh-CN"/>
        </w:rPr>
      </w:pPr>
      <w:r/>
      <w:bookmarkStart w:id="429" w:name="_Toc351203611"/>
      <w:r/>
      <w:bookmarkStart w:id="430" w:name="_Toc337558827"/>
      <w:r>
        <w:rPr>
          <w:rFonts w:hint="eastAsia" w:ascii="宋体" w:hAnsi="宋体" w:cs="宋体"/>
          <w:color w:val="auto"/>
          <w:sz w:val="21"/>
          <w:szCs w:val="21"/>
          <w:highlight w:val="none"/>
          <w:lang w:eastAsia="zh-CN"/>
        </w:rPr>
        <w:t xml:space="preserve">17.4 因不可抗力解除合同</w:t>
      </w:r>
      <w:bookmarkEnd w:id="429"/>
      <w:r/>
      <w:bookmarkEnd w:id="430"/>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因不可抗力导致合同无法履行连续超过84天或累计超过140天的，发包人和承包人均有权解除合同。合同解除后，由双方当事人按照第4.4款〔商定或确定〕商定或确定发包人应支付的款项，该款项包括：</w:t>
      </w:r>
      <w:r/>
    </w:p>
    <w:p>
      <w:pPr>
        <w:ind w:firstLine="48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（1）合同解除前承包人已完成工作的价款；</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（2）承包人为工程订购的并已交付给承包人，或承包人有责任接受交付的材料、工程设备和其他物品的价款；</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（3）发包人要求承包人退货或解除订货合同而产生的费用，或因不能退货或解除合同而产生的损失；</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（4）承包人撤离施工现场以及遣散承包人人员的费用；</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（5）按照合同约定在合同解除前应支付给承包人的其他款项；</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（6）扣减承包人按照合同约定应向发包人支付的款项；</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（7）双方商定或确定的其他款项。</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除专用合同条款另有约定外，合同解除后，发包人应在商定或确定上述款项后28天内完成上述款项的支付。</w:t>
      </w:r>
      <w:r/>
    </w:p>
    <w:p>
      <w:pPr>
        <w:ind w:firstLine="482"/>
        <w:jc w:val="both"/>
        <w:spacing w:line="360" w:lineRule="auto"/>
        <w:rPr>
          <w:rFonts w:hint="eastAsia" w:cs="宋体"/>
          <w:color w:val="auto"/>
          <w:sz w:val="21"/>
          <w:szCs w:val="21"/>
          <w:highlight w:val="none"/>
          <w:lang w:eastAsia="zh-CN"/>
        </w:rPr>
      </w:pPr>
      <w:r/>
      <w:bookmarkStart w:id="431" w:name="_Toc351203612"/>
      <w:r/>
      <w:bookmarkStart w:id="432" w:name="_Toc296346621"/>
      <w:r/>
      <w:bookmarkStart w:id="433" w:name="_Toc337558828"/>
      <w:r/>
      <w:bookmarkStart w:id="434" w:name="_Toc296503120"/>
      <w:r>
        <w:rPr>
          <w:rFonts w:hint="eastAsia" w:cs="宋体"/>
          <w:color w:val="auto"/>
          <w:sz w:val="21"/>
          <w:szCs w:val="21"/>
          <w:highlight w:val="none"/>
          <w:lang w:eastAsia="zh-CN"/>
        </w:rPr>
        <w:t xml:space="preserve">18. 保险</w:t>
      </w:r>
      <w:bookmarkEnd w:id="431"/>
      <w:r/>
      <w:bookmarkEnd w:id="432"/>
      <w:bookmarkEnd w:id="433"/>
      <w:bookmarkEnd w:id="434"/>
      <w:r/>
    </w:p>
    <w:p>
      <w:pPr>
        <w:ind w:left="878" w:hanging="877"/>
        <w:spacing w:before="156" w:after="156" w:line="360" w:lineRule="auto"/>
        <w:rPr>
          <w:rFonts w:hint="eastAsia" w:ascii="宋体" w:hAnsi="宋体" w:cs="宋体"/>
          <w:color w:val="auto"/>
          <w:sz w:val="21"/>
          <w:szCs w:val="21"/>
          <w:highlight w:val="none"/>
          <w:lang w:eastAsia="zh-CN"/>
        </w:rPr>
      </w:pPr>
      <w:r/>
      <w:bookmarkStart w:id="435" w:name="_Toc351203613"/>
      <w:r/>
      <w:bookmarkStart w:id="436" w:name="_Toc337558829"/>
      <w:r/>
      <w:bookmarkStart w:id="437" w:name="_Toc296503121"/>
      <w:r/>
      <w:bookmarkStart w:id="438" w:name="_Toc296346622"/>
      <w:r>
        <w:rPr>
          <w:rFonts w:hint="eastAsia" w:ascii="宋体" w:hAnsi="宋体" w:cs="宋体"/>
          <w:color w:val="auto"/>
          <w:sz w:val="21"/>
          <w:szCs w:val="21"/>
          <w:highlight w:val="none"/>
          <w:lang w:eastAsia="zh-CN"/>
        </w:rPr>
        <w:t xml:space="preserve">18.1 工程保险</w:t>
      </w:r>
      <w:bookmarkEnd w:id="435"/>
      <w:r/>
      <w:bookmarkEnd w:id="436"/>
      <w:bookmarkEnd w:id="437"/>
      <w:bookmarkEnd w:id="438"/>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除专用合同条款另有约定外，发包人应投保建筑工程一切险或安装工程一切险；发包人委托承包人投保的，因投保产生的保险费和其他相关费用由发包人承担。</w:t>
      </w:r>
      <w:r/>
    </w:p>
    <w:p>
      <w:pPr>
        <w:ind w:left="878" w:hanging="877"/>
        <w:spacing w:before="156" w:after="156" w:line="360" w:lineRule="auto"/>
        <w:rPr>
          <w:rFonts w:hint="eastAsia" w:ascii="宋体" w:hAnsi="宋体" w:cs="宋体"/>
          <w:color w:val="auto"/>
          <w:sz w:val="21"/>
          <w:szCs w:val="21"/>
          <w:highlight w:val="none"/>
          <w:lang w:eastAsia="zh-CN"/>
        </w:rPr>
      </w:pPr>
      <w:r/>
      <w:bookmarkStart w:id="439" w:name="_Toc351203614"/>
      <w:r/>
      <w:bookmarkStart w:id="440" w:name="_Toc296346623"/>
      <w:r/>
      <w:bookmarkStart w:id="441" w:name="_Toc337558830"/>
      <w:r/>
      <w:bookmarkStart w:id="442" w:name="_Toc296503122"/>
      <w:r>
        <w:rPr>
          <w:rFonts w:hint="eastAsia" w:ascii="宋体" w:hAnsi="宋体" w:cs="宋体"/>
          <w:color w:val="auto"/>
          <w:sz w:val="21"/>
          <w:szCs w:val="21"/>
          <w:highlight w:val="none"/>
          <w:lang w:eastAsia="zh-CN"/>
        </w:rPr>
        <w:t xml:space="preserve">18.2 工伤保险</w:t>
      </w:r>
      <w:bookmarkEnd w:id="439"/>
      <w:r/>
      <w:bookmarkEnd w:id="440"/>
      <w:bookmarkEnd w:id="441"/>
      <w:bookmarkEnd w:id="442"/>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18.2.1 发包人应依照法律规定参加工伤保险，并为在施工现场的全部员工办理工伤保险，缴纳工伤保险费，并要求监理人及由发包人为履行合同聘请的第三方依法参加工伤保险。</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18.2.2 承包人应依照法律规定参加工伤保险，并为其履行合同的全部员工办理工伤保险，缴纳工伤保险费，并要求分包人及由承包人为履行合同聘请的第三方依法参加工伤保险。</w:t>
      </w:r>
      <w:r/>
    </w:p>
    <w:p>
      <w:pPr>
        <w:ind w:left="878" w:hanging="877"/>
        <w:spacing w:before="156" w:after="156" w:line="360" w:lineRule="auto"/>
        <w:rPr>
          <w:rFonts w:hint="eastAsia" w:ascii="宋体" w:hAnsi="宋体" w:cs="宋体"/>
          <w:color w:val="auto"/>
          <w:sz w:val="21"/>
          <w:szCs w:val="21"/>
          <w:highlight w:val="none"/>
          <w:lang w:eastAsia="zh-CN"/>
        </w:rPr>
      </w:pPr>
      <w:r/>
      <w:bookmarkStart w:id="443" w:name="_Toc351203615"/>
      <w:r/>
      <w:bookmarkStart w:id="444" w:name="_Toc296346626"/>
      <w:r/>
      <w:bookmarkStart w:id="445" w:name="_Toc337558831"/>
      <w:r/>
      <w:bookmarkStart w:id="446" w:name="_Toc296503125"/>
      <w:r>
        <w:rPr>
          <w:rFonts w:hint="eastAsia" w:ascii="宋体" w:hAnsi="宋体" w:cs="宋体"/>
          <w:color w:val="auto"/>
          <w:sz w:val="21"/>
          <w:szCs w:val="21"/>
          <w:highlight w:val="none"/>
          <w:lang w:eastAsia="zh-CN"/>
        </w:rPr>
        <w:t xml:space="preserve">18.3其他保险</w:t>
      </w:r>
      <w:bookmarkEnd w:id="443"/>
      <w:r/>
      <w:bookmarkEnd w:id="444"/>
      <w:bookmarkEnd w:id="445"/>
      <w:bookmarkEnd w:id="446"/>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发包人和承包人可以为其施工现场的全部人员办理意外伤害保险并支付保险费，包括其员工及为履行合同聘请的第三方的人员，具体事项由合同当事人在专用合同条款约定。</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除专用合同条款另有约定外，承包人应为其施工设备等办理财产保险。</w:t>
      </w:r>
      <w:r/>
    </w:p>
    <w:p>
      <w:pPr>
        <w:ind w:left="878" w:hanging="877"/>
        <w:spacing w:before="156" w:after="156" w:line="360" w:lineRule="auto"/>
        <w:rPr>
          <w:rFonts w:hint="eastAsia" w:ascii="宋体" w:hAnsi="宋体" w:cs="宋体"/>
          <w:color w:val="auto"/>
          <w:sz w:val="21"/>
          <w:szCs w:val="21"/>
          <w:highlight w:val="none"/>
          <w:lang w:eastAsia="zh-CN"/>
        </w:rPr>
      </w:pPr>
      <w:r/>
      <w:bookmarkStart w:id="447" w:name="_Toc351203616"/>
      <w:r>
        <w:rPr>
          <w:rFonts w:hint="eastAsia" w:ascii="宋体" w:hAnsi="宋体" w:cs="宋体"/>
          <w:color w:val="auto"/>
          <w:sz w:val="21"/>
          <w:szCs w:val="21"/>
          <w:highlight w:val="none"/>
          <w:lang w:eastAsia="zh-CN"/>
        </w:rPr>
        <w:t xml:space="preserve">18.4持续保险</w:t>
      </w:r>
      <w:bookmarkEnd w:id="447"/>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合同当事人应与保险人保持联系，使保险人能够随时了解工程实施中的变动，并确保按保险合同条款要求持续保险。</w:t>
      </w:r>
      <w:r/>
    </w:p>
    <w:p>
      <w:pPr>
        <w:ind w:left="878" w:hanging="877"/>
        <w:spacing w:before="156" w:after="156" w:line="360" w:lineRule="auto"/>
        <w:rPr>
          <w:rFonts w:hint="eastAsia" w:ascii="宋体" w:hAnsi="宋体" w:cs="宋体"/>
          <w:color w:val="auto"/>
          <w:sz w:val="21"/>
          <w:szCs w:val="21"/>
          <w:highlight w:val="none"/>
          <w:lang w:eastAsia="zh-CN"/>
        </w:rPr>
      </w:pPr>
      <w:r/>
      <w:bookmarkStart w:id="448" w:name="_Toc351203617"/>
      <w:r/>
      <w:bookmarkStart w:id="449" w:name="_Toc296346627"/>
      <w:r/>
      <w:bookmarkStart w:id="450" w:name="_Toc296503126"/>
      <w:r/>
      <w:bookmarkStart w:id="451" w:name="_Toc337558832"/>
      <w:r>
        <w:rPr>
          <w:rFonts w:hint="eastAsia" w:ascii="宋体" w:hAnsi="宋体" w:cs="宋体"/>
          <w:color w:val="auto"/>
          <w:sz w:val="21"/>
          <w:szCs w:val="21"/>
          <w:highlight w:val="none"/>
          <w:lang w:eastAsia="zh-CN"/>
        </w:rPr>
        <w:t xml:space="preserve">18.5 保险凭证</w:t>
      </w:r>
      <w:bookmarkEnd w:id="448"/>
      <w:r/>
      <w:bookmarkEnd w:id="449"/>
      <w:bookmarkEnd w:id="450"/>
      <w:bookmarkEnd w:id="451"/>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合同当事人应及时向另一方当事人提交其已投保的各项保险的凭证和保险单复印件。</w:t>
      </w:r>
      <w:r/>
    </w:p>
    <w:p>
      <w:pPr>
        <w:ind w:left="878" w:hanging="877"/>
        <w:spacing w:before="156" w:after="156" w:line="360" w:lineRule="auto"/>
        <w:rPr>
          <w:rFonts w:hint="eastAsia" w:ascii="宋体" w:hAnsi="宋体" w:cs="宋体"/>
          <w:color w:val="auto"/>
          <w:sz w:val="21"/>
          <w:szCs w:val="21"/>
          <w:highlight w:val="none"/>
          <w:lang w:eastAsia="zh-CN"/>
        </w:rPr>
      </w:pPr>
      <w:r/>
      <w:bookmarkStart w:id="452" w:name="_Toc351203618"/>
      <w:r/>
      <w:bookmarkStart w:id="453" w:name="_Toc337558833"/>
      <w:r/>
      <w:bookmarkStart w:id="454" w:name="_Toc296346628"/>
      <w:r/>
      <w:bookmarkStart w:id="455" w:name="_Toc296503127"/>
      <w:r>
        <w:rPr>
          <w:rFonts w:hint="eastAsia" w:ascii="宋体" w:hAnsi="宋体" w:cs="宋体"/>
          <w:color w:val="auto"/>
          <w:sz w:val="21"/>
          <w:szCs w:val="21"/>
          <w:highlight w:val="none"/>
          <w:lang w:eastAsia="zh-CN"/>
        </w:rPr>
        <w:t xml:space="preserve">18.6 未按约定投保的补救</w:t>
      </w:r>
      <w:bookmarkEnd w:id="452"/>
      <w:r/>
      <w:bookmarkEnd w:id="453"/>
      <w:bookmarkEnd w:id="454"/>
      <w:bookmarkEnd w:id="455"/>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18.6.1发包人未按合同约定办理保险，或未能使保险持续有效的，则承包人可代为办理，所需费用由发包人承担。发包人未按合同约定办理保险，导致未能得到足额赔偿的，由发包人负责补足。</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18.6.2承包人未按合同约定办理保险，或未能使保险持续有效的，则发包人可代为办理，所需费用由承包人承担。承包人未按合同约定办理保险，导致未能得到足额赔偿的，由承包人负责补足。</w:t>
      </w:r>
      <w:r/>
    </w:p>
    <w:p>
      <w:pPr>
        <w:ind w:left="878" w:hanging="877"/>
        <w:spacing w:before="156" w:after="156" w:line="360" w:lineRule="auto"/>
        <w:rPr>
          <w:rFonts w:hint="eastAsia" w:ascii="宋体" w:hAnsi="宋体" w:cs="宋体"/>
          <w:color w:val="auto"/>
          <w:sz w:val="21"/>
          <w:szCs w:val="21"/>
          <w:highlight w:val="none"/>
          <w:lang w:eastAsia="zh-CN"/>
        </w:rPr>
      </w:pPr>
      <w:r/>
      <w:bookmarkStart w:id="456" w:name="_Toc351203619"/>
      <w:r/>
      <w:bookmarkStart w:id="457" w:name="_Toc337558834"/>
      <w:r>
        <w:rPr>
          <w:rFonts w:hint="eastAsia" w:ascii="宋体" w:hAnsi="宋体" w:cs="宋体"/>
          <w:color w:val="auto"/>
          <w:sz w:val="21"/>
          <w:szCs w:val="21"/>
          <w:highlight w:val="none"/>
          <w:lang w:eastAsia="zh-CN"/>
        </w:rPr>
        <w:t xml:space="preserve">18.7 通知义务</w:t>
      </w:r>
      <w:bookmarkEnd w:id="456"/>
      <w:r/>
      <w:bookmarkEnd w:id="457"/>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除专用合同条款另有约定外，发包人变更除工伤保险之外的保险合同时，应事先征得承包人同意，并通知监理人；承包人变更除工伤保险之外的保险合同时，应事先征得发包人同意，并通知监理人。</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保险事故发生时，投保人应按照保险合同规定的条件和期限及时向保险人报告。发包人和承包人应当在知道保险事故发生后及时通知对方。</w:t>
      </w:r>
      <w:r/>
    </w:p>
    <w:p>
      <w:pPr>
        <w:ind w:firstLine="482"/>
        <w:jc w:val="both"/>
        <w:spacing w:line="360" w:lineRule="auto"/>
        <w:rPr>
          <w:rFonts w:hint="eastAsia" w:cs="宋体"/>
          <w:color w:val="auto"/>
          <w:sz w:val="21"/>
          <w:szCs w:val="21"/>
          <w:highlight w:val="none"/>
          <w:lang w:eastAsia="zh-CN"/>
        </w:rPr>
      </w:pPr>
      <w:r/>
      <w:bookmarkStart w:id="458" w:name="_Toc351203620"/>
      <w:r/>
      <w:bookmarkStart w:id="459" w:name="_Toc337558835"/>
      <w:r/>
      <w:bookmarkStart w:id="460" w:name="_Toc296346641"/>
      <w:r/>
      <w:bookmarkStart w:id="461" w:name="_Toc296503140"/>
      <w:r>
        <w:rPr>
          <w:rFonts w:hint="eastAsia" w:cs="宋体"/>
          <w:color w:val="auto"/>
          <w:sz w:val="21"/>
          <w:szCs w:val="21"/>
          <w:highlight w:val="none"/>
          <w:lang w:eastAsia="zh-CN"/>
        </w:rPr>
        <w:t xml:space="preserve">19. 索赔</w:t>
      </w:r>
      <w:bookmarkEnd w:id="458"/>
      <w:r/>
      <w:bookmarkEnd w:id="459"/>
      <w:bookmarkEnd w:id="460"/>
      <w:bookmarkEnd w:id="461"/>
      <w:r/>
    </w:p>
    <w:p>
      <w:pPr>
        <w:ind w:left="878" w:hanging="877"/>
        <w:spacing w:before="156" w:after="156" w:line="360" w:lineRule="auto"/>
        <w:rPr>
          <w:rFonts w:hint="eastAsia" w:ascii="宋体" w:hAnsi="宋体" w:cs="宋体"/>
          <w:color w:val="auto"/>
          <w:sz w:val="21"/>
          <w:szCs w:val="21"/>
          <w:highlight w:val="none"/>
          <w:lang w:eastAsia="zh-CN"/>
        </w:rPr>
      </w:pPr>
      <w:r/>
      <w:bookmarkStart w:id="462" w:name="_Toc351203621"/>
      <w:r/>
      <w:bookmarkStart w:id="463" w:name="_Toc337558836"/>
      <w:r/>
      <w:bookmarkStart w:id="464" w:name="_Toc296503141"/>
      <w:r/>
      <w:bookmarkStart w:id="465" w:name="_Toc296346642"/>
      <w:r>
        <w:rPr>
          <w:rFonts w:hint="eastAsia" w:ascii="宋体" w:hAnsi="宋体" w:cs="宋体"/>
          <w:color w:val="auto"/>
          <w:sz w:val="21"/>
          <w:szCs w:val="21"/>
          <w:highlight w:val="none"/>
          <w:lang w:eastAsia="zh-CN"/>
        </w:rPr>
        <w:t xml:space="preserve">19.1承包人的索赔</w:t>
      </w:r>
      <w:bookmarkEnd w:id="462"/>
      <w:r/>
      <w:bookmarkEnd w:id="463"/>
      <w:bookmarkEnd w:id="464"/>
      <w:bookmarkEnd w:id="465"/>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根据合同约定，承包人认为有权得到追加付款和（或）延长工期的，应按以下程序向发包人提出索赔：</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（1）承包人应在知道或应当知道索赔事件发生后28天内，向监理人递交索赔意向通知书，并说明发生索赔事件的事由；承包人未在前述28天内发出索赔意向通知书的，丧失要求追加付款和（或）延长工期的权利；</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（2）承包人应在发出索赔意向通知书后28天内，向监理人正式递交索赔报告；索赔报告应详细说明索赔理由以及要求追加的付款金额和（或）延长的工期，并附必要的记录和证明材料；</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（3）索赔事件具有持续影响的，承包人应按合理时间间隔继续递交延续索赔通知，说明持续影响的实际情况和记录，列出累计的追加付款金额和（或）工期延长天数；</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（4）在索赔事件影响结束后28天内，承包人应向监理人递交最终索赔报告，说明最终要求索赔的追加付款金额和（或）延长的工期，并附必要的记录和证明材料。</w:t>
      </w:r>
      <w:r/>
    </w:p>
    <w:p>
      <w:pPr>
        <w:ind w:left="878" w:hanging="877"/>
        <w:spacing w:before="156" w:after="156" w:line="360" w:lineRule="auto"/>
        <w:rPr>
          <w:rFonts w:hint="eastAsia" w:ascii="宋体" w:hAnsi="宋体" w:cs="宋体"/>
          <w:color w:val="auto"/>
          <w:sz w:val="21"/>
          <w:szCs w:val="21"/>
          <w:highlight w:val="none"/>
          <w:lang w:eastAsia="zh-CN"/>
        </w:rPr>
      </w:pPr>
      <w:r/>
      <w:bookmarkStart w:id="466" w:name="_Toc351203622"/>
      <w:r/>
      <w:bookmarkStart w:id="467" w:name="_Toc296346643"/>
      <w:r/>
      <w:bookmarkStart w:id="468" w:name="_Toc296503142"/>
      <w:r/>
      <w:bookmarkStart w:id="469" w:name="_Toc337558837"/>
      <w:r>
        <w:rPr>
          <w:rFonts w:hint="eastAsia" w:ascii="宋体" w:hAnsi="宋体" w:cs="宋体"/>
          <w:color w:val="auto"/>
          <w:sz w:val="21"/>
          <w:szCs w:val="21"/>
          <w:highlight w:val="none"/>
          <w:lang w:eastAsia="zh-CN"/>
        </w:rPr>
        <w:t xml:space="preserve">19.2 对承包人索赔的处理</w:t>
      </w:r>
      <w:bookmarkEnd w:id="466"/>
      <w:r/>
      <w:bookmarkEnd w:id="467"/>
      <w:bookmarkEnd w:id="468"/>
      <w:bookmarkEnd w:id="469"/>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对承包人索赔的处理如下：</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（1）监理人应在收到索赔报告后14天内完成审查并报送发包人。监理人对索赔报告存在异议的，有权要求承包人提交全部原始记录副本；</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（2）发包人应在监理人收到索赔报告或有关索赔的进一步证明材料后的28天内，由监理人向承包人出具经发包人签认的索赔处理结果。发包人逾期答复的，则视为认可承包人的索赔要求；</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（3）承包人接受索赔处理结果的，索赔款项在当期进度款中进行支付；承包人不接受索赔处理结果的，按照第20条〔争议解决〕约定处理。</w:t>
      </w:r>
      <w:r/>
    </w:p>
    <w:p>
      <w:pPr>
        <w:ind w:left="878" w:hanging="877"/>
        <w:spacing w:before="156" w:after="156" w:line="360" w:lineRule="auto"/>
        <w:rPr>
          <w:rFonts w:hint="eastAsia" w:ascii="宋体" w:hAnsi="宋体" w:cs="宋体"/>
          <w:color w:val="auto"/>
          <w:sz w:val="21"/>
          <w:szCs w:val="21"/>
          <w:highlight w:val="none"/>
          <w:lang w:eastAsia="zh-CN"/>
        </w:rPr>
      </w:pPr>
      <w:r/>
      <w:bookmarkStart w:id="470" w:name="_Toc351203623"/>
      <w:r/>
      <w:bookmarkStart w:id="471" w:name="_Toc337558838"/>
      <w:r/>
      <w:bookmarkStart w:id="472" w:name="_Toc296346644"/>
      <w:r/>
      <w:bookmarkStart w:id="473" w:name="_Toc296503143"/>
      <w:r>
        <w:rPr>
          <w:rFonts w:hint="eastAsia" w:ascii="宋体" w:hAnsi="宋体" w:cs="宋体"/>
          <w:color w:val="auto"/>
          <w:sz w:val="21"/>
          <w:szCs w:val="21"/>
          <w:highlight w:val="none"/>
          <w:lang w:eastAsia="zh-CN"/>
        </w:rPr>
        <w:t xml:space="preserve">19.3发包人的索赔</w:t>
      </w:r>
      <w:bookmarkEnd w:id="470"/>
      <w:r/>
      <w:bookmarkEnd w:id="471"/>
      <w:bookmarkEnd w:id="472"/>
      <w:bookmarkEnd w:id="473"/>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根据合同约定，发包人认为有权得到赔付金额和（或）延长缺陷责任期的，监理人应向承包人发出通知并附有详细的证明。</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发包人应在知道或应当知道索赔事件发生后28天内通过监理人向承包人提出索赔意向通知书，发包人未在前述28天内发出索赔意向通知书的，丧失要求赔付金额和（或）延长缺陷责任期的权利。发包人应在发出索赔意向通知书后28天内，通过监理人向承包人正式递交索赔报告。</w:t>
      </w:r>
      <w:r/>
    </w:p>
    <w:p>
      <w:pPr>
        <w:ind w:left="878" w:hanging="877"/>
        <w:spacing w:before="156" w:after="156" w:line="360" w:lineRule="auto"/>
        <w:rPr>
          <w:rFonts w:hint="eastAsia" w:ascii="宋体" w:hAnsi="宋体" w:cs="宋体"/>
          <w:color w:val="auto"/>
          <w:sz w:val="21"/>
          <w:szCs w:val="21"/>
          <w:highlight w:val="none"/>
          <w:lang w:eastAsia="zh-CN"/>
        </w:rPr>
      </w:pPr>
      <w:r/>
      <w:bookmarkStart w:id="474" w:name="_Toc351203624"/>
      <w:r/>
      <w:bookmarkStart w:id="475" w:name="_Toc296346645"/>
      <w:r/>
      <w:bookmarkStart w:id="476" w:name="_Toc337558839"/>
      <w:r/>
      <w:bookmarkStart w:id="477" w:name="_Toc296503144"/>
      <w:r>
        <w:rPr>
          <w:rFonts w:hint="eastAsia" w:ascii="宋体" w:hAnsi="宋体" w:cs="宋体"/>
          <w:color w:val="auto"/>
          <w:sz w:val="21"/>
          <w:szCs w:val="21"/>
          <w:highlight w:val="none"/>
          <w:lang w:eastAsia="zh-CN"/>
        </w:rPr>
        <w:t xml:space="preserve">19.4 对发包人索赔的处理</w:t>
      </w:r>
      <w:bookmarkEnd w:id="474"/>
      <w:r/>
      <w:bookmarkEnd w:id="475"/>
      <w:bookmarkEnd w:id="476"/>
      <w:bookmarkEnd w:id="477"/>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对发包人索赔的处理如下：</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（1）承包人收到发包人提交的索赔报告后，应及时审查索赔报告的内容、查验发包人证明材料；</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（2）承包人应在收到索赔报告或有关索赔的进一步证明材料后28天内，将索赔处理结果答复发包人。如果承包人未在上述期限内作出答复的，则视为对发包人索赔要求的认可；</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（3）承包人接受索赔处理结果的，发包人可从应支付给承包人的合同价款中扣除赔付的金额或延长缺陷责任期；发包人不接受索赔处理结果的，按第20条〔争议解决〕约定处理。</w:t>
      </w:r>
      <w:r/>
    </w:p>
    <w:p>
      <w:pPr>
        <w:ind w:left="878" w:hanging="877"/>
        <w:spacing w:before="156" w:after="156" w:line="360" w:lineRule="auto"/>
        <w:rPr>
          <w:rFonts w:hint="eastAsia" w:ascii="宋体" w:hAnsi="宋体" w:cs="宋体"/>
          <w:color w:val="auto"/>
          <w:sz w:val="21"/>
          <w:szCs w:val="21"/>
          <w:highlight w:val="none"/>
          <w:lang w:eastAsia="zh-CN"/>
        </w:rPr>
      </w:pPr>
      <w:r/>
      <w:bookmarkStart w:id="478" w:name="_Toc351203625"/>
      <w:r>
        <w:rPr>
          <w:rFonts w:hint="eastAsia" w:ascii="宋体" w:hAnsi="宋体" w:cs="宋体"/>
          <w:color w:val="auto"/>
          <w:sz w:val="21"/>
          <w:szCs w:val="21"/>
          <w:highlight w:val="none"/>
          <w:lang w:eastAsia="zh-CN"/>
        </w:rPr>
        <w:t xml:space="preserve">19.5 提出索赔的期限</w:t>
      </w:r>
      <w:bookmarkEnd w:id="478"/>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（1）承包人按第14.2款〔竣工结算审核〕约定接收竣工付款证书后，应被视为已无权再提出在工程接收证书颁发前所发生的任何索赔。</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（2）承包人按第14.4款〔最终结清〕提交的最终结清申请单中，只限于提出工程接收证书颁发后发生的索赔。提出索赔的期限自接受最终结清证书时终止。</w:t>
      </w:r>
      <w:r/>
    </w:p>
    <w:p>
      <w:pPr>
        <w:ind w:firstLine="482"/>
        <w:jc w:val="both"/>
        <w:spacing w:line="360" w:lineRule="auto"/>
        <w:rPr>
          <w:rFonts w:hint="eastAsia" w:cs="宋体"/>
          <w:color w:val="auto"/>
          <w:sz w:val="21"/>
          <w:szCs w:val="21"/>
          <w:highlight w:val="none"/>
          <w:lang w:eastAsia="zh-CN"/>
        </w:rPr>
      </w:pPr>
      <w:r/>
      <w:bookmarkStart w:id="479" w:name="_Toc351203626"/>
      <w:r>
        <w:rPr>
          <w:rFonts w:hint="eastAsia" w:cs="宋体"/>
          <w:color w:val="auto"/>
          <w:sz w:val="21"/>
          <w:szCs w:val="21"/>
          <w:highlight w:val="none"/>
          <w:lang w:eastAsia="zh-CN"/>
        </w:rPr>
        <w:t xml:space="preserve">20</w:t>
      </w:r>
      <w:bookmarkStart w:id="480" w:name="_Toc296346647"/>
      <w:r/>
      <w:bookmarkStart w:id="481" w:name="_Toc337558840"/>
      <w:r/>
      <w:bookmarkStart w:id="482" w:name="_Toc296503146"/>
      <w:r>
        <w:rPr>
          <w:rFonts w:hint="eastAsia" w:cs="宋体"/>
          <w:color w:val="auto"/>
          <w:sz w:val="21"/>
          <w:szCs w:val="21"/>
          <w:highlight w:val="none"/>
          <w:lang w:eastAsia="zh-CN"/>
        </w:rPr>
        <w:t xml:space="preserve">. 争议解决</w:t>
      </w:r>
      <w:bookmarkEnd w:id="479"/>
      <w:r/>
      <w:bookmarkEnd w:id="480"/>
      <w:bookmarkEnd w:id="481"/>
      <w:bookmarkEnd w:id="482"/>
      <w:r/>
    </w:p>
    <w:p>
      <w:pPr>
        <w:ind w:left="878" w:hanging="877"/>
        <w:spacing w:before="156" w:after="156" w:line="360" w:lineRule="auto"/>
        <w:rPr>
          <w:rFonts w:hint="eastAsia" w:ascii="宋体" w:hAnsi="宋体" w:cs="宋体"/>
          <w:color w:val="auto"/>
          <w:sz w:val="21"/>
          <w:szCs w:val="21"/>
          <w:highlight w:val="none"/>
          <w:lang w:eastAsia="zh-CN"/>
        </w:rPr>
      </w:pPr>
      <w:r/>
      <w:bookmarkStart w:id="483" w:name="_Toc351203627"/>
      <w:r/>
      <w:bookmarkStart w:id="484" w:name="_Toc296346648"/>
      <w:r/>
      <w:bookmarkStart w:id="485" w:name="_Toc296503147"/>
      <w:r/>
      <w:bookmarkStart w:id="486" w:name="_Toc337558841"/>
      <w:r>
        <w:rPr>
          <w:rFonts w:hint="eastAsia" w:ascii="宋体" w:hAnsi="宋体" w:cs="宋体"/>
          <w:color w:val="auto"/>
          <w:sz w:val="21"/>
          <w:szCs w:val="21"/>
          <w:highlight w:val="none"/>
          <w:lang w:eastAsia="zh-CN"/>
        </w:rPr>
        <w:t xml:space="preserve">20.1和解</w:t>
      </w:r>
      <w:bookmarkEnd w:id="483"/>
      <w:r/>
      <w:bookmarkEnd w:id="484"/>
      <w:bookmarkEnd w:id="485"/>
      <w:bookmarkEnd w:id="486"/>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合同当事人可以就争议自行和解，自行和解达成协议的经双方签字并盖章后作为合同补充文件，双方均应遵照执行。</w:t>
      </w:r>
      <w:r/>
    </w:p>
    <w:p>
      <w:pPr>
        <w:ind w:left="878" w:hanging="877"/>
        <w:spacing w:before="156" w:after="156" w:line="360" w:lineRule="auto"/>
        <w:rPr>
          <w:rFonts w:hint="eastAsia" w:ascii="宋体" w:hAnsi="宋体" w:cs="宋体"/>
          <w:color w:val="auto"/>
          <w:sz w:val="21"/>
          <w:szCs w:val="21"/>
          <w:highlight w:val="none"/>
          <w:lang w:eastAsia="zh-CN"/>
        </w:rPr>
      </w:pPr>
      <w:r/>
      <w:bookmarkStart w:id="487" w:name="_Toc351203628"/>
      <w:r>
        <w:rPr>
          <w:rFonts w:hint="eastAsia" w:ascii="宋体" w:hAnsi="宋体" w:cs="宋体"/>
          <w:color w:val="auto"/>
          <w:sz w:val="21"/>
          <w:szCs w:val="21"/>
          <w:highlight w:val="none"/>
          <w:lang w:eastAsia="zh-CN"/>
        </w:rPr>
        <w:t xml:space="preserve">20</w:t>
      </w:r>
      <w:bookmarkStart w:id="488" w:name="_Toc296503148"/>
      <w:r/>
      <w:bookmarkStart w:id="489" w:name="_Toc296346649"/>
      <w:r/>
      <w:bookmarkStart w:id="490" w:name="_Toc337558842"/>
      <w:r>
        <w:rPr>
          <w:rFonts w:hint="eastAsia" w:ascii="宋体" w:hAnsi="宋体" w:cs="宋体"/>
          <w:color w:val="auto"/>
          <w:sz w:val="21"/>
          <w:szCs w:val="21"/>
          <w:highlight w:val="none"/>
          <w:lang w:eastAsia="zh-CN"/>
        </w:rPr>
        <w:t xml:space="preserve">.2调解</w:t>
      </w:r>
      <w:bookmarkEnd w:id="487"/>
      <w:r/>
      <w:bookmarkEnd w:id="488"/>
      <w:bookmarkEnd w:id="489"/>
      <w:bookmarkEnd w:id="490"/>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合同当事人可以就争议请求建设行政主管部门、行业协会或其他第三方进行调解，调解达成协议的，经双方签字并盖章后作为合同补充文件，双方均应遵照执行。</w:t>
      </w:r>
      <w:r/>
    </w:p>
    <w:p>
      <w:pPr>
        <w:ind w:left="878" w:hanging="877"/>
        <w:spacing w:before="156" w:after="156" w:line="360" w:lineRule="auto"/>
        <w:rPr>
          <w:rFonts w:hint="eastAsia" w:ascii="宋体" w:hAnsi="宋体" w:cs="宋体"/>
          <w:color w:val="auto"/>
          <w:sz w:val="21"/>
          <w:szCs w:val="21"/>
          <w:highlight w:val="none"/>
          <w:lang w:eastAsia="zh-CN"/>
        </w:rPr>
      </w:pPr>
      <w:r/>
      <w:bookmarkStart w:id="491" w:name="_Toc351203629"/>
      <w:r/>
      <w:bookmarkStart w:id="492" w:name="_Toc296346650"/>
      <w:r/>
      <w:bookmarkStart w:id="493" w:name="_Toc337558843"/>
      <w:r/>
      <w:bookmarkStart w:id="494" w:name="_Toc296503149"/>
      <w:r>
        <w:rPr>
          <w:rFonts w:hint="eastAsia" w:ascii="宋体" w:hAnsi="宋体" w:cs="宋体"/>
          <w:color w:val="auto"/>
          <w:sz w:val="21"/>
          <w:szCs w:val="21"/>
          <w:highlight w:val="none"/>
          <w:lang w:eastAsia="zh-CN"/>
        </w:rPr>
        <w:t xml:space="preserve">20.3争议评审</w:t>
      </w:r>
      <w:bookmarkEnd w:id="491"/>
      <w:r/>
      <w:bookmarkEnd w:id="492"/>
      <w:bookmarkEnd w:id="493"/>
      <w:bookmarkEnd w:id="494"/>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合同当事人在专用合同条款中约定采取争议评审方式解决争议以及评审规则，并按下列约定执行： </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20.3.1 争议评审小组的确定</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合同当事人可以共同选择一名或三名争议评审员，组成争议评审小组。除专用合同条款另有约定外，合同当事人应当自合同签订后28天内，或者争议发生后14天内，选定争议评审员。</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选择一名争议评审员的，由合同当事人共同确定；选择三名争议评审员的，各自选定一名，第三名成员为首席争议评审员，由合同当事人共同确定或由合同当事人委托已选定的争议评审员共同确定，或由专用合同条款约定的评审机构指定第三名首席争议评审员。 </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除专用合同条款另有约定外，评审员报酬由发包人和承包人各承担一半。</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20.3.2 争议评审小组的决定</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14天内作出书面决定，并说明理由。合同当事人可以在专用合同条款中对本项事项另行约定。</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20.3.3 争议评审小组决定的效力</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争议评审小组作出的书面决定经合同当事人签字确认后，对双方具有约束力，双方应遵照执行。</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任何一方当事人不接受争议评审小组决定或不履行争议评审小组决定的，双方可选择采用其他争议解决方式。</w:t>
      </w:r>
      <w:r/>
    </w:p>
    <w:p>
      <w:pPr>
        <w:ind w:left="878" w:hanging="877"/>
        <w:spacing w:before="156" w:after="156" w:line="360" w:lineRule="auto"/>
        <w:rPr>
          <w:rFonts w:hint="eastAsia" w:ascii="宋体" w:hAnsi="宋体" w:cs="宋体"/>
          <w:color w:val="auto"/>
          <w:sz w:val="21"/>
          <w:szCs w:val="21"/>
          <w:highlight w:val="none"/>
          <w:lang w:eastAsia="zh-CN"/>
        </w:rPr>
      </w:pPr>
      <w:r/>
      <w:bookmarkStart w:id="495" w:name="_Toc351203630"/>
      <w:r/>
      <w:bookmarkStart w:id="496" w:name="_Toc296346651"/>
      <w:r/>
      <w:bookmarkStart w:id="497" w:name="_Toc296503150"/>
      <w:r/>
      <w:bookmarkStart w:id="498" w:name="_Toc337558844"/>
      <w:r>
        <w:rPr>
          <w:rFonts w:hint="eastAsia" w:ascii="宋体" w:hAnsi="宋体" w:cs="宋体"/>
          <w:color w:val="auto"/>
          <w:sz w:val="21"/>
          <w:szCs w:val="21"/>
          <w:highlight w:val="none"/>
          <w:lang w:eastAsia="zh-CN"/>
        </w:rPr>
        <w:t xml:space="preserve">20.4仲裁或诉讼</w:t>
      </w:r>
      <w:bookmarkEnd w:id="495"/>
      <w:r/>
      <w:bookmarkEnd w:id="496"/>
      <w:bookmarkEnd w:id="497"/>
      <w:bookmarkEnd w:id="498"/>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因合同及合同有关事项产生的争议，合同当事人可以在专用合同条款中约定以下一种方式解决争议：</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（1）向约定的仲裁委员会申请仲裁；</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（2）向有管辖权的人民法院起诉。</w:t>
      </w:r>
      <w:r/>
    </w:p>
    <w:p>
      <w:pPr>
        <w:ind w:left="878" w:hanging="877"/>
        <w:spacing w:before="156" w:after="156" w:line="360" w:lineRule="auto"/>
        <w:rPr>
          <w:rFonts w:hint="eastAsia" w:ascii="宋体" w:hAnsi="宋体" w:cs="宋体"/>
          <w:color w:val="auto"/>
          <w:sz w:val="21"/>
          <w:szCs w:val="21"/>
          <w:highlight w:val="none"/>
          <w:lang w:eastAsia="zh-CN"/>
        </w:rPr>
      </w:pPr>
      <w:r/>
      <w:bookmarkStart w:id="499" w:name="_Toc351203631"/>
      <w:r/>
      <w:bookmarkStart w:id="500" w:name="_Toc296503152"/>
      <w:r/>
      <w:bookmarkStart w:id="501" w:name="_Toc296346653"/>
      <w:r/>
      <w:bookmarkStart w:id="502" w:name="_Toc337558845"/>
      <w:r>
        <w:rPr>
          <w:rFonts w:hint="eastAsia" w:ascii="宋体" w:hAnsi="宋体" w:cs="宋体"/>
          <w:color w:val="auto"/>
          <w:sz w:val="21"/>
          <w:szCs w:val="21"/>
          <w:highlight w:val="none"/>
          <w:lang w:eastAsia="zh-CN"/>
        </w:rPr>
        <w:t xml:space="preserve">20.5争议解决条款效力</w:t>
      </w:r>
      <w:bookmarkEnd w:id="499"/>
      <w:r/>
      <w:bookmarkEnd w:id="500"/>
      <w:bookmarkEnd w:id="501"/>
      <w:bookmarkEnd w:id="502"/>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合同有关争议解决的条款独立存在，合同的变更、解除、终止、无效或者被撤销均不影响其效力。 </w:t>
      </w:r>
      <w:r/>
    </w:p>
    <w:p>
      <w:pPr>
        <w:jc w:val="center"/>
        <w:spacing w:line="600" w:lineRule="exact"/>
        <w:rPr>
          <w:rFonts w:hint="eastAsia" w:ascii="宋体" w:hAnsi="宋体" w:eastAsia="宋体" w:cs="宋体"/>
          <w:color w:val="auto"/>
          <w:highlight w:val="none"/>
          <w:lang w:eastAsia="zh-CN"/>
        </w:rPr>
      </w:pPr>
      <w:r/>
      <w:bookmarkStart w:id="503" w:name="_Toc351203632"/>
      <w:r>
        <w:rPr>
          <w:rFonts w:hint="eastAsia" w:ascii="宋体" w:hAnsi="宋体" w:eastAsia="宋体" w:cs="宋体"/>
          <w:color w:val="auto"/>
          <w:sz w:val="36"/>
          <w:szCs w:val="36"/>
          <w:highlight w:val="none"/>
          <w:lang w:eastAsia="zh-CN"/>
        </w:rPr>
        <w:br w:type="page" w:clear="all"/>
      </w:r>
      <w:bookmarkStart w:id="504" w:name="_Toc36797918"/>
      <w:r>
        <w:rPr>
          <w:rFonts w:hint="eastAsia" w:ascii="宋体" w:hAnsi="宋体" w:eastAsia="宋体" w:cs="宋体"/>
          <w:color w:val="auto"/>
          <w:highlight w:val="none"/>
          <w:lang w:eastAsia="zh-CN"/>
        </w:rPr>
        <w:t xml:space="preserve">第三部分 专用合同条款</w:t>
      </w:r>
      <w:bookmarkEnd w:id="503"/>
      <w:r/>
      <w:bookmarkEnd w:id="504"/>
      <w:r/>
      <w:r/>
    </w:p>
    <w:p>
      <w:pPr>
        <w:ind w:firstLine="440"/>
        <w:jc w:val="both"/>
        <w:spacing w:line="288"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ind w:firstLine="42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本部分专用合同条款内容根据条款编号对应第二部分通用合同条款的相应条款，如专用合同条款与对应的通用合同条款的约定不一致，则以专用合同条款为准；如专用合同条款未做约定，则适用通用合同条款对应条款的约定。</w:t>
      </w:r>
      <w:r/>
    </w:p>
    <w:p>
      <w:pPr>
        <w:ind w:firstLine="482"/>
        <w:jc w:val="both"/>
        <w:spacing w:line="360" w:lineRule="auto"/>
        <w:rPr>
          <w:rFonts w:hint="eastAsia" w:cs="宋体"/>
          <w:color w:val="auto"/>
          <w:sz w:val="21"/>
          <w:szCs w:val="21"/>
          <w:highlight w:val="none"/>
          <w:lang w:eastAsia="zh-CN"/>
        </w:rPr>
      </w:pPr>
      <w:r>
        <w:rPr>
          <w:rFonts w:hint="eastAsia" w:cs="宋体"/>
          <w:color w:val="auto"/>
          <w:sz w:val="21"/>
          <w:szCs w:val="21"/>
          <w:highlight w:val="none"/>
          <w:lang w:eastAsia="zh-CN"/>
        </w:rPr>
        <w:t xml:space="preserve">1</w:t>
      </w:r>
      <w:bookmarkStart w:id="505" w:name="_Toc296944495"/>
      <w:r/>
      <w:bookmarkStart w:id="506" w:name="_Toc292559866"/>
      <w:r/>
      <w:bookmarkStart w:id="507" w:name="_Toc296891196"/>
      <w:r/>
      <w:bookmarkStart w:id="508" w:name="_Toc297120456"/>
      <w:r/>
      <w:bookmarkStart w:id="509" w:name="_Toc296347155"/>
      <w:r/>
      <w:bookmarkStart w:id="510" w:name="_Toc296890984"/>
      <w:r/>
      <w:bookmarkStart w:id="511" w:name="_Toc296346657"/>
      <w:r/>
      <w:bookmarkStart w:id="512" w:name="_Toc292559361"/>
      <w:r/>
      <w:bookmarkStart w:id="513" w:name="_Toc297048342"/>
      <w:r/>
      <w:bookmarkStart w:id="514" w:name="_Toc296503156"/>
      <w:r>
        <w:rPr>
          <w:rFonts w:hint="eastAsia" w:cs="宋体"/>
          <w:color w:val="auto"/>
          <w:sz w:val="21"/>
          <w:szCs w:val="21"/>
          <w:highlight w:val="none"/>
          <w:lang w:eastAsia="zh-CN"/>
        </w:rPr>
        <w:t xml:space="preserve">. 一般约定</w:t>
      </w:r>
      <w:bookmarkEnd w:id="505"/>
      <w:bookmarkEnd w:id="506"/>
      <w:bookmarkEnd w:id="507"/>
      <w:bookmarkEnd w:id="508"/>
      <w:bookmarkEnd w:id="509"/>
      <w:bookmarkEnd w:id="510"/>
      <w:bookmarkEnd w:id="511"/>
      <w:bookmarkEnd w:id="512"/>
      <w:bookmarkEnd w:id="513"/>
      <w:bookmarkEnd w:id="514"/>
      <w:r/>
    </w:p>
    <w:p>
      <w:pPr>
        <w:ind w:firstLine="482"/>
        <w:jc w:val="both"/>
        <w:spacing w:after="120" w:line="360" w:lineRule="auto"/>
        <w:rPr>
          <w:rFonts w:hint="eastAsia" w:ascii="宋体" w:hAnsi="宋体" w:eastAsia="宋体" w:cs="宋体"/>
          <w:b/>
          <w:color w:val="auto"/>
          <w:sz w:val="21"/>
          <w:szCs w:val="21"/>
          <w:highlight w:val="none"/>
          <w:lang w:eastAsia="zh-CN"/>
        </w:rPr>
      </w:pPr>
      <w:r/>
      <w:bookmarkStart w:id="515" w:name="_Toc36797919"/>
      <w:r>
        <w:rPr>
          <w:rFonts w:hint="eastAsia" w:ascii="宋体" w:hAnsi="宋体" w:eastAsia="宋体" w:cs="宋体"/>
          <w:b/>
          <w:color w:val="auto"/>
          <w:sz w:val="21"/>
          <w:szCs w:val="21"/>
          <w:highlight w:val="none"/>
          <w:lang w:eastAsia="zh-CN"/>
        </w:rPr>
        <w:t xml:space="preserve">1.1 词语定义</w:t>
      </w:r>
      <w:bookmarkEnd w:id="515"/>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1.1.1合同</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1.1.1.10其他合同文件包括：</w:t>
      </w:r>
      <w:r>
        <w:rPr>
          <w:rFonts w:hint="eastAsia" w:ascii="宋体" w:hAnsi="宋体" w:eastAsia="宋体" w:cs="宋体"/>
          <w:color w:val="auto"/>
          <w:sz w:val="21"/>
          <w:szCs w:val="21"/>
          <w:highlight w:val="none"/>
          <w:u w:val="single"/>
          <w:lang w:eastAsia="zh-CN"/>
        </w:rPr>
        <w:t xml:space="preserve">（1）明确双方权利义务的纪要或承诺或协议等；（2）其他经双方同意视为本合同组成部分的有关文件</w:t>
      </w:r>
      <w:r>
        <w:rPr>
          <w:rFonts w:hint="eastAsia" w:ascii="宋体" w:hAnsi="宋体" w:eastAsia="宋体" w:cs="宋体"/>
          <w:color w:val="auto"/>
          <w:sz w:val="21"/>
          <w:szCs w:val="21"/>
          <w:highlight w:val="none"/>
          <w:lang w:eastAsia="zh-CN"/>
        </w:rPr>
        <w:t xml:space="preserve">。</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1.1.3 工程和设备</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1.1.3.7 作为施工现场组成部分的其他场所包括：</w:t>
      </w:r>
      <w:r>
        <w:rPr>
          <w:rFonts w:hint="eastAsia" w:ascii="宋体" w:hAnsi="宋体" w:eastAsia="宋体" w:cs="宋体"/>
          <w:bCs/>
          <w:color w:val="auto"/>
          <w:sz w:val="21"/>
          <w:szCs w:val="21"/>
          <w:highlight w:val="none"/>
          <w:lang w:eastAsia="zh-CN"/>
        </w:rPr>
        <w:t xml:space="preserve"> </w:t>
      </w:r>
      <w:r>
        <w:rPr>
          <w:rFonts w:hint="eastAsia" w:ascii="宋体" w:hAnsi="宋体" w:eastAsia="宋体" w:cs="宋体"/>
          <w:bCs/>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1.1.3.9 永久占地包括：</w:t>
      </w:r>
      <w:r>
        <w:rPr>
          <w:rFonts w:hint="eastAsia" w:ascii="宋体" w:hAnsi="宋体" w:eastAsia="宋体" w:cs="宋体"/>
          <w:color w:val="auto"/>
          <w:sz w:val="21"/>
          <w:szCs w:val="21"/>
          <w:highlight w:val="none"/>
          <w:u w:val="single"/>
          <w:lang w:eastAsia="zh-CN"/>
        </w:rPr>
        <w:t xml:space="preserve">施工区域</w:t>
      </w:r>
      <w:r>
        <w:rPr>
          <w:rFonts w:hint="eastAsia" w:ascii="宋体" w:hAnsi="宋体" w:eastAsia="宋体" w:cs="宋体"/>
          <w:color w:val="auto"/>
          <w:sz w:val="21"/>
          <w:szCs w:val="21"/>
          <w:highlight w:val="none"/>
          <w:lang w:eastAsia="zh-CN"/>
        </w:rPr>
        <w:t xml:space="preserve">。</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1.1.3.10 临时占地包括：</w:t>
      </w:r>
      <w:r>
        <w:rPr>
          <w:rFonts w:hint="eastAsia" w:ascii="宋体" w:hAnsi="宋体" w:eastAsia="宋体" w:cs="宋体"/>
          <w:color w:val="auto"/>
          <w:sz w:val="21"/>
          <w:szCs w:val="21"/>
          <w:highlight w:val="none"/>
          <w:u w:val="single"/>
          <w:lang w:eastAsia="zh-CN"/>
        </w:rPr>
        <w:t xml:space="preserve">无</w:t>
      </w:r>
      <w:r>
        <w:rPr>
          <w:rFonts w:hint="eastAsia" w:ascii="宋体" w:hAnsi="宋体" w:eastAsia="宋体" w:cs="宋体"/>
          <w:color w:val="auto"/>
          <w:sz w:val="21"/>
          <w:szCs w:val="21"/>
          <w:highlight w:val="none"/>
          <w:lang w:eastAsia="zh-CN"/>
        </w:rPr>
        <w:t xml:space="preserve">。</w:t>
      </w:r>
      <w:r/>
    </w:p>
    <w:p>
      <w:pPr>
        <w:ind w:firstLine="482"/>
        <w:jc w:val="both"/>
        <w:spacing w:after="120" w:line="360" w:lineRule="auto"/>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1.3法律 </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适用于合同的其他规范性文件：</w:t>
      </w:r>
      <w:r>
        <w:rPr>
          <w:rFonts w:hint="eastAsia" w:ascii="宋体" w:hAnsi="宋体" w:eastAsia="宋体" w:cs="宋体"/>
          <w:color w:val="auto"/>
          <w:sz w:val="21"/>
          <w:szCs w:val="21"/>
          <w:highlight w:val="none"/>
          <w:u w:val="single"/>
          <w:lang w:eastAsia="zh-CN"/>
        </w:rPr>
        <w:t xml:space="preserve">①《中华人民共和国民法典》；②《中华人民共和国建筑法》；③《中华人民共和国招标投标法》；④《建筑工程质量管理条例》；⑤《中华人民共和国安全生产法》； ⑥国家关于建设工程款结算的有关规定；⑦南京市相关的法规和政策文件等</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u w:val="single"/>
          <w:lang w:eastAsia="zh-CN"/>
        </w:rPr>
        <w:t xml:space="preserve">工程所在地国家、省、市级的规范性文件，包括但不限于《江苏省安全生产条例》《南京市安全生产条例》、建质[2011]111号关于印发《建筑施工企业负责人及项目负责人施工现场带班暂行办法》的通知、苏建管质（2009）22号关于印发《江苏省建筑工程省级</w:t>
      </w:r>
      <w:r>
        <w:rPr>
          <w:rFonts w:hint="eastAsia" w:ascii="宋体" w:hAnsi="宋体" w:eastAsia="宋体" w:cs="宋体"/>
          <w:color w:val="auto"/>
          <w:sz w:val="21"/>
          <w:szCs w:val="21"/>
          <w:highlight w:val="none"/>
          <w:u w:val="single"/>
          <w:lang w:eastAsia="zh-CN"/>
        </w:rPr>
        <w:t xml:space="preserve">文明工地现场考核评分表》的通知、苏建质〔2013〕85号省住房城乡建设厅关于印发《2013年全省工程质量安全监管工作要点》的通知、宁建规字【2011】4号 关于印发《南京市建筑业施工作业人员实名制管理办法》的通知、关于印发《2013年南京市建设工程安全专项整治工作方案》的通知、宁建规字[2012]3号文《关于加强建筑结构工程施工质量管理的若干规定》、宁建质字[2013]160号市住建委关于印发《南京市建设工程施工现场扬尘管控专项整治验收细则》的通知、市政府关于印发加强扬尘污染防控十条措施等，并以最新文件为准</w:t>
      </w:r>
      <w:r>
        <w:rPr>
          <w:rFonts w:hint="eastAsia" w:ascii="宋体" w:hAnsi="宋体" w:eastAsia="宋体" w:cs="宋体"/>
          <w:color w:val="auto"/>
          <w:sz w:val="21"/>
          <w:szCs w:val="21"/>
          <w:highlight w:val="none"/>
          <w:lang w:eastAsia="zh-CN"/>
        </w:rPr>
        <w:t xml:space="preserve">。</w:t>
      </w:r>
      <w:r/>
    </w:p>
    <w:p>
      <w:pPr>
        <w:ind w:firstLine="482"/>
        <w:jc w:val="both"/>
        <w:spacing w:after="120" w:line="360" w:lineRule="auto"/>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1.4 标准和规范</w:t>
      </w:r>
      <w:r/>
    </w:p>
    <w:p>
      <w:pPr>
        <w:ind w:firstLine="480"/>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lang w:eastAsia="zh-CN"/>
        </w:rPr>
        <w:t xml:space="preserve">1.4.1适用于工程的标准规范包括：</w:t>
      </w:r>
      <w:r>
        <w:rPr>
          <w:rFonts w:hint="eastAsia" w:ascii="宋体" w:hAnsi="宋体" w:eastAsia="宋体" w:cs="宋体"/>
          <w:color w:val="auto"/>
          <w:sz w:val="21"/>
          <w:szCs w:val="21"/>
          <w:highlight w:val="none"/>
          <w:u w:val="single"/>
          <w:lang w:eastAsia="zh-CN"/>
        </w:rPr>
        <w:t xml:space="preserve">国家部委颁发的有关施工验收标准、规范，以及江苏省、南京市建设以及环保等相关主管部门颁布的文件。</w:t>
      </w:r>
      <w:r/>
    </w:p>
    <w:p>
      <w:pPr>
        <w:ind w:firstLine="420"/>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（1）如果图纸或本合同约定的工程建设标准中的质量要求、工艺标准低于国家、地区标准的，则按国家、地区标准执行；</w:t>
      </w:r>
      <w:r/>
    </w:p>
    <w:p>
      <w:pPr>
        <w:ind w:firstLine="42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u w:val="single"/>
          <w:lang w:eastAsia="zh-CN"/>
        </w:rPr>
        <w:t xml:space="preserve">（2）如果图纸或本合同约定的工程建设标准中的质量要求、工艺标准高于国家、地区标准的，则按图纸或本合同约定的质量要求、工艺标准执行；</w:t>
      </w:r>
      <w:r/>
    </w:p>
    <w:p>
      <w:pPr>
        <w:ind w:firstLine="42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u w:val="single"/>
          <w:lang w:eastAsia="zh-CN"/>
        </w:rPr>
        <w:t xml:space="preserve">（3）如果图纸中的质量要求、工艺标准与本合同约定的标准、规范出现矛盾或歧义的，在满足国家、地区标准的基础上按本合同约定的标准、规范执行</w:t>
      </w:r>
      <w:r>
        <w:rPr>
          <w:rFonts w:hint="eastAsia" w:ascii="宋体" w:hAnsi="宋体" w:eastAsia="宋体" w:cs="宋体"/>
          <w:color w:val="auto"/>
          <w:sz w:val="21"/>
          <w:szCs w:val="21"/>
          <w:highlight w:val="none"/>
          <w:lang w:eastAsia="zh-CN"/>
        </w:rPr>
        <w:t xml:space="preserve">。</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1.4.2 发包人提供国外标准、规范的名称：</w:t>
      </w:r>
      <w:r>
        <w:rPr>
          <w:rFonts w:hint="eastAsia" w:ascii="宋体" w:hAnsi="宋体" w:eastAsia="宋体" w:cs="宋体"/>
          <w:color w:val="auto"/>
          <w:sz w:val="21"/>
          <w:szCs w:val="21"/>
          <w:highlight w:val="none"/>
          <w:u w:val="single"/>
          <w:lang w:eastAsia="zh-CN"/>
        </w:rPr>
        <w:t xml:space="preserve">无</w:t>
      </w:r>
      <w:r>
        <w:rPr>
          <w:rFonts w:hint="eastAsia" w:ascii="宋体" w:hAnsi="宋体" w:eastAsia="宋体" w:cs="宋体"/>
          <w:color w:val="auto"/>
          <w:sz w:val="21"/>
          <w:szCs w:val="21"/>
          <w:highlight w:val="none"/>
          <w:lang w:eastAsia="zh-CN"/>
        </w:rPr>
        <w:t xml:space="preserve">；</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发包人提供国外标准、规范的份数：</w:t>
      </w:r>
      <w:r>
        <w:rPr>
          <w:rFonts w:hint="eastAsia" w:ascii="宋体" w:hAnsi="宋体" w:eastAsia="宋体" w:cs="宋体"/>
          <w:color w:val="auto"/>
          <w:sz w:val="21"/>
          <w:szCs w:val="21"/>
          <w:highlight w:val="none"/>
          <w:u w:val="single"/>
          <w:lang w:eastAsia="zh-CN"/>
        </w:rPr>
        <w:t xml:space="preserve">无</w:t>
      </w:r>
      <w:r>
        <w:rPr>
          <w:rFonts w:hint="eastAsia" w:ascii="宋体" w:hAnsi="宋体" w:eastAsia="宋体" w:cs="宋体"/>
          <w:color w:val="auto"/>
          <w:sz w:val="21"/>
          <w:szCs w:val="21"/>
          <w:highlight w:val="none"/>
          <w:lang w:eastAsia="zh-CN"/>
        </w:rPr>
        <w:t xml:space="preserve">；</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发包人提供国外标准、规范的名称：</w:t>
      </w:r>
      <w:r>
        <w:rPr>
          <w:rFonts w:hint="eastAsia" w:ascii="宋体" w:hAnsi="宋体" w:eastAsia="宋体" w:cs="宋体"/>
          <w:color w:val="auto"/>
          <w:sz w:val="21"/>
          <w:szCs w:val="21"/>
          <w:highlight w:val="none"/>
          <w:u w:val="single"/>
          <w:lang w:eastAsia="zh-CN"/>
        </w:rPr>
        <w:t xml:space="preserve">无</w:t>
      </w:r>
      <w:r>
        <w:rPr>
          <w:rFonts w:hint="eastAsia" w:ascii="宋体" w:hAnsi="宋体" w:eastAsia="宋体" w:cs="宋体"/>
          <w:color w:val="auto"/>
          <w:sz w:val="21"/>
          <w:szCs w:val="21"/>
          <w:highlight w:val="none"/>
          <w:lang w:eastAsia="zh-CN"/>
        </w:rPr>
        <w:t xml:space="preserve">。</w:t>
      </w:r>
      <w:r/>
    </w:p>
    <w:p>
      <w:pPr>
        <w:ind w:firstLine="42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1.4.3发包人对工程的技术标准和功能要求的特殊要求：</w:t>
      </w:r>
      <w:r>
        <w:rPr>
          <w:rFonts w:hint="eastAsia" w:ascii="宋体" w:hAnsi="宋体" w:eastAsia="宋体" w:cs="宋体"/>
          <w:color w:val="auto"/>
          <w:sz w:val="21"/>
          <w:szCs w:val="21"/>
          <w:highlight w:val="none"/>
          <w:u w:val="single"/>
          <w:lang w:eastAsia="zh-CN"/>
        </w:rPr>
        <w:t xml:space="preserve">无</w:t>
      </w:r>
      <w:r>
        <w:rPr>
          <w:rFonts w:hint="eastAsia" w:ascii="宋体" w:hAnsi="宋体" w:eastAsia="宋体" w:cs="宋体"/>
          <w:color w:val="auto"/>
          <w:sz w:val="21"/>
          <w:szCs w:val="21"/>
          <w:highlight w:val="none"/>
          <w:lang w:eastAsia="zh-CN"/>
        </w:rPr>
        <w:t xml:space="preserve">。</w:t>
      </w:r>
      <w:r/>
    </w:p>
    <w:p>
      <w:pPr>
        <w:ind w:firstLine="482"/>
        <w:jc w:val="both"/>
        <w:spacing w:after="120" w:line="360" w:lineRule="auto"/>
        <w:rPr>
          <w:rFonts w:hint="eastAsia" w:ascii="宋体" w:hAnsi="宋体" w:eastAsia="宋体" w:cs="宋体"/>
          <w:b/>
          <w:color w:val="auto"/>
          <w:sz w:val="21"/>
          <w:szCs w:val="21"/>
          <w:highlight w:val="none"/>
          <w:lang w:eastAsia="zh-CN"/>
        </w:rPr>
      </w:pPr>
      <w:r/>
      <w:bookmarkStart w:id="516" w:name="_Toc36797920"/>
      <w:r>
        <w:rPr>
          <w:rFonts w:hint="eastAsia" w:ascii="宋体" w:hAnsi="宋体" w:eastAsia="宋体" w:cs="宋体"/>
          <w:b/>
          <w:color w:val="auto"/>
          <w:sz w:val="21"/>
          <w:szCs w:val="21"/>
          <w:highlight w:val="none"/>
          <w:lang w:eastAsia="zh-CN"/>
        </w:rPr>
        <w:t xml:space="preserve">1.5 合同文件的优先顺序</w:t>
      </w:r>
      <w:bookmarkEnd w:id="516"/>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合同文件组成及优先顺序为：</w:t>
      </w:r>
      <w:r>
        <w:rPr>
          <w:rFonts w:hint="eastAsia" w:ascii="宋体" w:hAnsi="宋体" w:eastAsia="宋体" w:cs="宋体"/>
          <w:color w:val="auto"/>
          <w:sz w:val="21"/>
          <w:szCs w:val="21"/>
          <w:highlight w:val="none"/>
          <w:u w:val="single"/>
          <w:lang w:eastAsia="zh-CN"/>
        </w:rPr>
        <w:t xml:space="preserve">（1）合同协议书、补充协议书；（2）中标通知书；（3）专用合同条款及其附件；（4）通用合同条款；（5）投标函及其附录；（6）招标文件；（7）图纸；（8）已标价工程量清单或预算书；（9）技术标准和要求；（10）其他合同文件</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u w:val="single"/>
          <w:lang w:eastAsia="zh-CN"/>
        </w:rPr>
        <w:t xml:space="preserve">双方在履行合同过程中形成的通知、会议纪要、备忘录、补充文件、指令、传真、电子邮件、变更和洽商等书面形式的文件构成本合同的组成部分。上述各项合同文件包括合同当事人就该项合同文件所作出的补充和修改，属于同一类内容的文件，应以最新签署的为准。当合同文件的条款内容含糊不清或不相一致，并且不能依据合同约定的解释顺序阐述清楚时，在不影响工程正常进行的情况下，由当事人协商解决。</w:t>
      </w:r>
      <w:r/>
    </w:p>
    <w:p>
      <w:pPr>
        <w:ind w:firstLine="482"/>
        <w:jc w:val="both"/>
        <w:spacing w:after="120" w:line="360" w:lineRule="auto"/>
        <w:rPr>
          <w:rFonts w:hint="eastAsia" w:ascii="宋体" w:hAnsi="宋体" w:eastAsia="宋体" w:cs="宋体"/>
          <w:b/>
          <w:color w:val="auto"/>
          <w:sz w:val="21"/>
          <w:szCs w:val="21"/>
          <w:highlight w:val="none"/>
          <w:lang w:eastAsia="zh-CN"/>
        </w:rPr>
      </w:pPr>
      <w:r/>
      <w:bookmarkStart w:id="517" w:name="_Toc36797921"/>
      <w:r>
        <w:rPr>
          <w:rFonts w:hint="eastAsia" w:ascii="宋体" w:hAnsi="宋体" w:eastAsia="宋体" w:cs="宋体"/>
          <w:b/>
          <w:color w:val="auto"/>
          <w:sz w:val="21"/>
          <w:szCs w:val="21"/>
          <w:highlight w:val="none"/>
          <w:lang w:eastAsia="zh-CN"/>
        </w:rPr>
        <w:t xml:space="preserve">1.6 图纸和承包人文件</w:t>
      </w:r>
      <w:bookmarkEnd w:id="517"/>
      <w:r>
        <w:rPr>
          <w:rFonts w:hint="eastAsia" w:ascii="宋体" w:hAnsi="宋体" w:eastAsia="宋体" w:cs="宋体"/>
          <w:b/>
          <w:color w:val="auto"/>
          <w:sz w:val="21"/>
          <w:szCs w:val="21"/>
          <w:highlight w:val="none"/>
          <w:lang w:eastAsia="zh-CN"/>
        </w:rPr>
        <w:tab/>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1.6.1 图纸的提供</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发包人向承包人提供图纸的期限：</w:t>
      </w:r>
      <w:r>
        <w:rPr>
          <w:rFonts w:hint="eastAsia" w:ascii="宋体" w:hAnsi="宋体" w:eastAsia="宋体" w:cs="宋体"/>
          <w:color w:val="auto"/>
          <w:sz w:val="21"/>
          <w:szCs w:val="21"/>
          <w:highlight w:val="none"/>
          <w:u w:val="single"/>
          <w:lang w:eastAsia="zh-CN"/>
        </w:rPr>
        <w:t xml:space="preserve">合同签订后一周内</w:t>
      </w:r>
      <w:r>
        <w:rPr>
          <w:rFonts w:hint="eastAsia" w:ascii="宋体" w:hAnsi="宋体" w:eastAsia="宋体" w:cs="宋体"/>
          <w:color w:val="auto"/>
          <w:sz w:val="21"/>
          <w:szCs w:val="21"/>
          <w:highlight w:val="none"/>
          <w:lang w:eastAsia="zh-CN"/>
        </w:rPr>
        <w:t xml:space="preserve">；</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发包人向承包人提供图纸的数量：</w:t>
      </w:r>
      <w:r>
        <w:rPr>
          <w:rFonts w:hint="eastAsia" w:ascii="宋体" w:hAnsi="宋体" w:eastAsia="宋体" w:cs="宋体"/>
          <w:color w:val="auto"/>
          <w:sz w:val="21"/>
          <w:szCs w:val="21"/>
          <w:highlight w:val="none"/>
          <w:u w:val="single"/>
          <w:lang w:eastAsia="zh-CN"/>
        </w:rPr>
        <w:t xml:space="preserve">纸质文件四份</w:t>
      </w:r>
      <w:r>
        <w:rPr>
          <w:rFonts w:hint="eastAsia" w:ascii="宋体" w:hAnsi="宋体" w:eastAsia="宋体" w:cs="宋体"/>
          <w:color w:val="auto"/>
          <w:sz w:val="21"/>
          <w:szCs w:val="21"/>
          <w:highlight w:val="none"/>
          <w:lang w:eastAsia="zh-CN"/>
        </w:rPr>
        <w:t xml:space="preserve">；</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发包人向承包人提供图纸的内容：</w:t>
      </w:r>
      <w:r>
        <w:rPr>
          <w:rFonts w:hint="eastAsia" w:ascii="宋体" w:hAnsi="宋体" w:eastAsia="宋体" w:cs="宋体"/>
          <w:color w:val="auto"/>
          <w:sz w:val="21"/>
          <w:szCs w:val="21"/>
          <w:highlight w:val="none"/>
          <w:u w:val="single"/>
          <w:lang w:eastAsia="zh-CN"/>
        </w:rPr>
        <w:t xml:space="preserve">与工程有关的全部图纸（含蓝图及电子版图纸）</w:t>
      </w:r>
      <w:r>
        <w:rPr>
          <w:rFonts w:hint="eastAsia" w:ascii="宋体" w:hAnsi="宋体" w:eastAsia="宋体" w:cs="宋体"/>
          <w:color w:val="auto"/>
          <w:sz w:val="21"/>
          <w:szCs w:val="21"/>
          <w:highlight w:val="none"/>
          <w:lang w:eastAsia="zh-CN"/>
        </w:rPr>
        <w:t xml:space="preserve">。</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发包人对图纸的保密要求：（增加内容）</w:t>
      </w:r>
      <w:r/>
    </w:p>
    <w:p>
      <w:pPr>
        <w:ind w:firstLine="480"/>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承包人未经发包人书面同意，不得向第三人转让、泄漏本工程图纸及复印件（具体方式包括但不限于：出卖、出借、复制等），也不得用于本工程承包工作以外的任何用途。因承包人对资料保管不当、遗失、转借他人、复制等原因造成泄密后果，发包人对此保留终身追究的权利。</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1.6.4 承包人文件</w:t>
      </w:r>
      <w:r/>
    </w:p>
    <w:p>
      <w:pPr>
        <w:ind w:firstLine="42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需要由承包人提供的文件，包括：</w:t>
      </w:r>
      <w:r>
        <w:rPr>
          <w:rFonts w:hint="eastAsia" w:ascii="宋体" w:hAnsi="宋体" w:eastAsia="宋体" w:cs="宋体"/>
          <w:color w:val="auto"/>
          <w:sz w:val="21"/>
          <w:szCs w:val="21"/>
          <w:highlight w:val="none"/>
          <w:u w:val="single"/>
          <w:lang w:eastAsia="zh-CN"/>
        </w:rPr>
        <w:t xml:space="preserve">（1）用于办理备案的承办人及项目部相关人员资质证书、设</w:t>
      </w:r>
      <w:r>
        <w:rPr>
          <w:rFonts w:hint="eastAsia" w:ascii="宋体" w:hAnsi="宋体" w:eastAsia="宋体" w:cs="宋体"/>
          <w:color w:val="auto"/>
          <w:sz w:val="21"/>
          <w:szCs w:val="21"/>
          <w:highlight w:val="none"/>
          <w:u w:val="single"/>
          <w:lang w:eastAsia="zh-CN"/>
        </w:rPr>
        <w:t xml:space="preserve">备的合格证等；（2）与施工管理有关的报表、计划、施工方案等，承包人在开工前向发包人报送施工组织设计及文明施工标准化现场方案、总进度计划与材料计划，经发包人书面审核确认后方可实施；向发包人提交工程进度计划及相应计划进度、统计表和工程事故报告；每月25日报送当月完成工程量报表(含已经发包人、跟踪审计确认的工程变更及签证预算汇总表)、发包人供应材料清单计划、承包人采购材料清单进度计划，以及下月进度计划；工程量清单中甲控乙购材料品牌按发包人专用表格报发包人书面审核确认后方可购买；（3）按发包人要求必须提供的其他文件</w:t>
      </w:r>
      <w:r>
        <w:rPr>
          <w:rFonts w:hint="eastAsia" w:ascii="宋体" w:hAnsi="宋体" w:eastAsia="宋体" w:cs="宋体"/>
          <w:color w:val="auto"/>
          <w:sz w:val="21"/>
          <w:szCs w:val="21"/>
          <w:highlight w:val="none"/>
          <w:lang w:eastAsia="zh-CN"/>
        </w:rPr>
        <w:t xml:space="preserve">；</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承包人提供的文件的期限为：</w:t>
      </w:r>
      <w:r>
        <w:rPr>
          <w:rFonts w:hint="eastAsia" w:ascii="宋体" w:hAnsi="宋体" w:eastAsia="宋体" w:cs="宋体"/>
          <w:color w:val="auto"/>
          <w:sz w:val="21"/>
          <w:szCs w:val="21"/>
          <w:highlight w:val="none"/>
          <w:u w:val="single"/>
          <w:lang w:eastAsia="zh-CN"/>
        </w:rPr>
        <w:t xml:space="preserve">发包人通知后3天内提供</w:t>
      </w:r>
      <w:r>
        <w:rPr>
          <w:rFonts w:hint="eastAsia" w:ascii="宋体" w:hAnsi="宋体" w:eastAsia="宋体" w:cs="宋体"/>
          <w:color w:val="auto"/>
          <w:sz w:val="21"/>
          <w:szCs w:val="21"/>
          <w:highlight w:val="none"/>
          <w:lang w:eastAsia="zh-CN"/>
        </w:rPr>
        <w:t xml:space="preserve">；</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承包人提供的文件的数量为：</w:t>
      </w:r>
      <w:r>
        <w:rPr>
          <w:rFonts w:hint="eastAsia" w:ascii="宋体" w:hAnsi="宋体" w:eastAsia="宋体" w:cs="宋体"/>
          <w:color w:val="auto"/>
          <w:sz w:val="21"/>
          <w:szCs w:val="21"/>
          <w:highlight w:val="none"/>
          <w:u w:val="single"/>
          <w:lang w:eastAsia="zh-CN"/>
        </w:rPr>
        <w:t xml:space="preserve">纸质版文件四份，电子版文档一份</w:t>
      </w:r>
      <w:r>
        <w:rPr>
          <w:rFonts w:hint="eastAsia" w:ascii="宋体" w:hAnsi="宋体" w:eastAsia="宋体" w:cs="宋体"/>
          <w:color w:val="auto"/>
          <w:sz w:val="21"/>
          <w:szCs w:val="21"/>
          <w:highlight w:val="none"/>
          <w:lang w:eastAsia="zh-CN"/>
        </w:rPr>
        <w:t xml:space="preserve">；</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承包人提供的文件的形式为：</w:t>
      </w:r>
      <w:r>
        <w:rPr>
          <w:rFonts w:hint="eastAsia" w:ascii="宋体" w:hAnsi="宋体" w:eastAsia="宋体" w:cs="宋体"/>
          <w:color w:val="auto"/>
          <w:sz w:val="21"/>
          <w:szCs w:val="21"/>
          <w:highlight w:val="none"/>
          <w:u w:val="single"/>
          <w:lang w:eastAsia="zh-CN"/>
        </w:rPr>
        <w:t xml:space="preserve">纸质版和电子版文件</w:t>
      </w:r>
      <w:r>
        <w:rPr>
          <w:rFonts w:hint="eastAsia" w:ascii="宋体" w:hAnsi="宋体" w:eastAsia="宋体" w:cs="宋体"/>
          <w:color w:val="auto"/>
          <w:sz w:val="21"/>
          <w:szCs w:val="21"/>
          <w:highlight w:val="none"/>
          <w:lang w:eastAsia="zh-CN"/>
        </w:rPr>
        <w:t xml:space="preserve">；</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发包人审批承包人文件的期限：</w:t>
      </w:r>
      <w:r>
        <w:rPr>
          <w:rFonts w:hint="eastAsia" w:ascii="宋体" w:hAnsi="宋体" w:eastAsia="宋体" w:cs="宋体"/>
          <w:color w:val="auto"/>
          <w:sz w:val="21"/>
          <w:szCs w:val="21"/>
          <w:highlight w:val="none"/>
          <w:u w:val="single"/>
          <w:lang w:eastAsia="zh-CN"/>
        </w:rPr>
        <w:t xml:space="preserve"> 7天内 </w:t>
      </w:r>
      <w:r>
        <w:rPr>
          <w:rFonts w:hint="eastAsia" w:ascii="宋体" w:hAnsi="宋体" w:eastAsia="宋体" w:cs="宋体"/>
          <w:color w:val="auto"/>
          <w:sz w:val="21"/>
          <w:szCs w:val="21"/>
          <w:highlight w:val="none"/>
          <w:lang w:eastAsia="zh-CN"/>
        </w:rPr>
        <w:t xml:space="preserve">。</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1.6.5 现场图纸准备</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关于现场图纸准备的约定：</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lang w:eastAsia="zh-CN"/>
        </w:rPr>
        <w:t xml:space="preserve">应在施工现场准备一套完整的施工图纸，供会议、检查之用，专人保管。同时承包人作为一个有资质、有实力、有经验的承包商，在图纸会审和设计交底前，承包人应对图纸及相关材料进行认真审阅，对现场进行详细踏勘，对图纸中的问题及施工中有可能存在的问题应详细提出，由设计、监理及发包人给予答复若图纸会审和设计交底时未提出，施工时才发现问题，造成工程返工，其返工费用由承包人自行承担。由承包人深化设计的图纸，必须按施工图要求和规范出蓝图，且须设计单位签署复核认可意见，后经发包人技术部门审批后方可作为施工蓝图，发包人酌情考虑此项费用</w:t>
      </w:r>
      <w:r>
        <w:rPr>
          <w:rFonts w:hint="eastAsia" w:ascii="宋体" w:hAnsi="宋体" w:eastAsia="宋体" w:cs="宋体"/>
          <w:color w:val="auto"/>
          <w:sz w:val="21"/>
          <w:szCs w:val="21"/>
          <w:highlight w:val="none"/>
          <w:lang w:eastAsia="zh-CN"/>
        </w:rPr>
        <w:t xml:space="preserve">。</w:t>
      </w:r>
      <w:r/>
    </w:p>
    <w:p>
      <w:pPr>
        <w:ind w:firstLine="482"/>
        <w:jc w:val="both"/>
        <w:spacing w:after="120" w:line="360" w:lineRule="auto"/>
        <w:rPr>
          <w:rFonts w:hint="eastAsia" w:ascii="宋体" w:hAnsi="宋体" w:eastAsia="宋体" w:cs="宋体"/>
          <w:b/>
          <w:color w:val="auto"/>
          <w:sz w:val="21"/>
          <w:szCs w:val="21"/>
          <w:highlight w:val="none"/>
          <w:lang w:eastAsia="zh-CN"/>
        </w:rPr>
      </w:pPr>
      <w:r/>
      <w:bookmarkStart w:id="518" w:name="_Toc36797922"/>
      <w:r>
        <w:rPr>
          <w:rFonts w:hint="eastAsia" w:ascii="宋体" w:hAnsi="宋体" w:eastAsia="宋体" w:cs="宋体"/>
          <w:b/>
          <w:color w:val="auto"/>
          <w:sz w:val="21"/>
          <w:szCs w:val="21"/>
          <w:highlight w:val="none"/>
          <w:lang w:eastAsia="zh-CN"/>
        </w:rPr>
        <w:t xml:space="preserve">1.7 联络</w:t>
      </w:r>
      <w:bookmarkEnd w:id="518"/>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1.7.1发包人和承包人应当在</w:t>
      </w:r>
      <w:r>
        <w:rPr>
          <w:rFonts w:hint="eastAsia" w:ascii="宋体" w:hAnsi="宋体" w:eastAsia="宋体" w:cs="宋体"/>
          <w:color w:val="auto"/>
          <w:sz w:val="21"/>
          <w:szCs w:val="21"/>
          <w:highlight w:val="none"/>
          <w:u w:val="single"/>
          <w:lang w:eastAsia="zh-CN"/>
        </w:rPr>
        <w:t xml:space="preserve">合同签订后3 </w:t>
      </w:r>
      <w:r>
        <w:rPr>
          <w:rFonts w:hint="eastAsia" w:ascii="宋体" w:hAnsi="宋体" w:eastAsia="宋体" w:cs="宋体"/>
          <w:color w:val="auto"/>
          <w:sz w:val="21"/>
          <w:szCs w:val="21"/>
          <w:highlight w:val="none"/>
          <w:lang w:eastAsia="zh-CN"/>
        </w:rPr>
        <w:t xml:space="preserve">天内将与合同有关的通知、批准、证明、证书、指示、指令、要求、请求、同意、意见、确定和决定等书面函件送达对方当事人。</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1.7.2 发包人接收文件的地点：</w:t>
      </w:r>
      <w:r>
        <w:rPr>
          <w:rFonts w:hint="eastAsia" w:ascii="宋体" w:hAnsi="宋体" w:eastAsia="宋体" w:cs="宋体"/>
          <w:color w:val="auto"/>
          <w:sz w:val="21"/>
          <w:szCs w:val="21"/>
          <w:highlight w:val="none"/>
          <w:u w:val="single"/>
          <w:lang w:eastAsia="zh-CN"/>
        </w:rPr>
        <w:t xml:space="preserve">项目现场发包人代表办公室</w:t>
      </w:r>
      <w:r>
        <w:rPr>
          <w:rFonts w:hint="eastAsia" w:ascii="宋体" w:hAnsi="宋体" w:eastAsia="宋体" w:cs="宋体"/>
          <w:color w:val="auto"/>
          <w:sz w:val="21"/>
          <w:szCs w:val="21"/>
          <w:highlight w:val="none"/>
          <w:lang w:eastAsia="zh-CN"/>
        </w:rPr>
        <w:t xml:space="preserve">；</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发包人指定的接收人为：</w:t>
      </w:r>
      <w:r>
        <w:rPr>
          <w:rFonts w:hint="eastAsia" w:ascii="宋体" w:hAnsi="宋体" w:eastAsia="宋体" w:cs="宋体"/>
          <w:color w:val="auto"/>
          <w:sz w:val="21"/>
          <w:szCs w:val="21"/>
          <w:highlight w:val="none"/>
          <w:u w:val="single"/>
          <w:lang w:eastAsia="zh-CN"/>
        </w:rPr>
        <w:t xml:space="preserve">发包人代表 </w:t>
      </w:r>
      <w:r>
        <w:rPr>
          <w:rFonts w:hint="eastAsia" w:ascii="宋体" w:hAnsi="宋体" w:eastAsia="宋体" w:cs="宋体"/>
          <w:color w:val="auto"/>
          <w:sz w:val="21"/>
          <w:szCs w:val="21"/>
          <w:highlight w:val="none"/>
          <w:lang w:eastAsia="zh-CN"/>
        </w:rPr>
        <w:t xml:space="preserve">。</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承包人接收文件的地点：</w:t>
      </w:r>
      <w:r>
        <w:rPr>
          <w:rFonts w:hint="eastAsia" w:ascii="宋体" w:hAnsi="宋体" w:eastAsia="宋体" w:cs="宋体"/>
          <w:color w:val="auto"/>
          <w:sz w:val="21"/>
          <w:szCs w:val="21"/>
          <w:highlight w:val="none"/>
          <w:u w:val="single"/>
          <w:lang w:eastAsia="zh-CN"/>
        </w:rPr>
        <w:t xml:space="preserve">项目现场项目经理办公室</w:t>
      </w:r>
      <w:r>
        <w:rPr>
          <w:rFonts w:hint="eastAsia" w:ascii="宋体" w:hAnsi="宋体" w:eastAsia="宋体" w:cs="宋体"/>
          <w:color w:val="auto"/>
          <w:sz w:val="21"/>
          <w:szCs w:val="21"/>
          <w:highlight w:val="none"/>
          <w:lang w:eastAsia="zh-CN"/>
        </w:rPr>
        <w:t xml:space="preserve">；</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承包人指定的接收人为：</w:t>
      </w:r>
      <w:r>
        <w:rPr>
          <w:rFonts w:hint="eastAsia" w:ascii="宋体" w:hAnsi="宋体" w:eastAsia="宋体" w:cs="宋体"/>
          <w:color w:val="auto"/>
          <w:sz w:val="21"/>
          <w:szCs w:val="21"/>
          <w:highlight w:val="none"/>
          <w:u w:val="single"/>
          <w:lang w:eastAsia="zh-CN"/>
        </w:rPr>
        <w:t xml:space="preserve">项目经理</w:t>
      </w:r>
      <w:r>
        <w:rPr>
          <w:rFonts w:hint="eastAsia" w:ascii="宋体" w:hAnsi="宋体" w:eastAsia="宋体" w:cs="宋体"/>
          <w:color w:val="auto"/>
          <w:sz w:val="21"/>
          <w:szCs w:val="21"/>
          <w:highlight w:val="none"/>
          <w:lang w:eastAsia="zh-CN"/>
        </w:rPr>
        <w:t xml:space="preserve">。</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监理人接收文件的地点：</w:t>
      </w:r>
      <w:r>
        <w:rPr>
          <w:rFonts w:hint="eastAsia" w:ascii="宋体" w:hAnsi="宋体" w:eastAsia="宋体" w:cs="宋体"/>
          <w:color w:val="auto"/>
          <w:sz w:val="21"/>
          <w:szCs w:val="21"/>
          <w:highlight w:val="none"/>
          <w:u w:val="single"/>
          <w:lang w:eastAsia="zh-CN"/>
        </w:rPr>
        <w:t xml:space="preserve">项目现场总监理工程师办公室</w:t>
      </w:r>
      <w:r>
        <w:rPr>
          <w:rFonts w:hint="eastAsia" w:ascii="宋体" w:hAnsi="宋体" w:eastAsia="宋体" w:cs="宋体"/>
          <w:color w:val="auto"/>
          <w:sz w:val="21"/>
          <w:szCs w:val="21"/>
          <w:highlight w:val="none"/>
          <w:lang w:eastAsia="zh-CN"/>
        </w:rPr>
        <w:t xml:space="preserve">；</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监理人指定的接收人为：</w:t>
      </w:r>
      <w:r>
        <w:rPr>
          <w:rFonts w:hint="eastAsia" w:ascii="宋体" w:hAnsi="宋体" w:eastAsia="宋体" w:cs="宋体"/>
          <w:color w:val="auto"/>
          <w:sz w:val="21"/>
          <w:szCs w:val="21"/>
          <w:highlight w:val="none"/>
          <w:u w:val="single"/>
          <w:lang w:eastAsia="zh-CN"/>
        </w:rPr>
        <w:t xml:space="preserve">总监理工程师</w:t>
      </w:r>
      <w:r>
        <w:rPr>
          <w:rFonts w:hint="eastAsia" w:ascii="宋体" w:hAnsi="宋体" w:eastAsia="宋体" w:cs="宋体"/>
          <w:color w:val="auto"/>
          <w:sz w:val="21"/>
          <w:szCs w:val="21"/>
          <w:highlight w:val="none"/>
          <w:lang w:eastAsia="zh-CN"/>
        </w:rPr>
        <w:t xml:space="preserve">。</w:t>
      </w:r>
      <w:r/>
    </w:p>
    <w:p>
      <w:pPr>
        <w:ind w:firstLine="482"/>
        <w:jc w:val="both"/>
        <w:spacing w:after="120" w:line="360" w:lineRule="auto"/>
        <w:rPr>
          <w:rFonts w:hint="eastAsia" w:ascii="宋体" w:hAnsi="宋体" w:eastAsia="宋体" w:cs="宋体"/>
          <w:b/>
          <w:color w:val="auto"/>
          <w:sz w:val="21"/>
          <w:szCs w:val="21"/>
          <w:highlight w:val="none"/>
          <w:lang w:eastAsia="zh-CN"/>
        </w:rPr>
      </w:pPr>
      <w:r/>
      <w:bookmarkStart w:id="519" w:name="_Toc36797923"/>
      <w:r>
        <w:rPr>
          <w:rFonts w:hint="eastAsia" w:ascii="宋体" w:hAnsi="宋体" w:eastAsia="宋体" w:cs="宋体"/>
          <w:b/>
          <w:color w:val="auto"/>
          <w:sz w:val="21"/>
          <w:szCs w:val="21"/>
          <w:highlight w:val="none"/>
          <w:lang w:eastAsia="zh-CN"/>
        </w:rPr>
        <w:t xml:space="preserve">1.10 交通运输</w:t>
      </w:r>
      <w:bookmarkEnd w:id="519"/>
      <w:r/>
      <w:r/>
    </w:p>
    <w:p>
      <w:pPr>
        <w:ind w:firstLine="480"/>
        <w:jc w:val="both"/>
        <w:spacing w:line="360" w:lineRule="auto"/>
        <w:rPr>
          <w:rFonts w:hint="eastAsia" w:ascii="宋体" w:hAnsi="宋体" w:eastAsia="宋体" w:cs="宋体"/>
          <w:color w:val="auto"/>
          <w:sz w:val="21"/>
          <w:szCs w:val="21"/>
          <w:highlight w:val="none"/>
          <w:lang w:eastAsia="zh-CN"/>
        </w:rPr>
      </w:pPr>
      <w:r/>
      <w:bookmarkStart w:id="520" w:name="_Toc36797924"/>
      <w:r>
        <w:rPr>
          <w:rFonts w:hint="eastAsia" w:ascii="宋体" w:hAnsi="宋体" w:eastAsia="宋体" w:cs="宋体"/>
          <w:color w:val="auto"/>
          <w:sz w:val="21"/>
          <w:szCs w:val="21"/>
          <w:highlight w:val="none"/>
          <w:lang w:eastAsia="zh-CN"/>
        </w:rPr>
        <w:t xml:space="preserve">1</w:t>
      </w:r>
      <w:bookmarkStart w:id="521" w:name="_Toc300934943"/>
      <w:r/>
      <w:bookmarkStart w:id="522" w:name="_Toc303539100"/>
      <w:r/>
      <w:bookmarkStart w:id="523" w:name="_Toc304295521"/>
      <w:r/>
      <w:bookmarkStart w:id="524" w:name="_Toc318581155"/>
      <w:r/>
      <w:bookmarkStart w:id="525" w:name="_Toc312677986"/>
      <w:r>
        <w:rPr>
          <w:rFonts w:hint="eastAsia" w:ascii="宋体" w:hAnsi="宋体" w:eastAsia="宋体" w:cs="宋体"/>
          <w:color w:val="auto"/>
          <w:sz w:val="21"/>
          <w:szCs w:val="21"/>
          <w:highlight w:val="none"/>
          <w:lang w:eastAsia="zh-CN"/>
        </w:rPr>
        <w:t xml:space="preserve">.10.1 出入现场的权利</w:t>
      </w:r>
      <w:bookmarkEnd w:id="520"/>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关于出入现场的权利的约定：</w:t>
      </w:r>
      <w:r>
        <w:rPr>
          <w:rFonts w:hint="eastAsia" w:ascii="宋体" w:hAnsi="宋体" w:eastAsia="宋体" w:cs="宋体"/>
          <w:color w:val="auto"/>
          <w:sz w:val="21"/>
          <w:szCs w:val="21"/>
          <w:highlight w:val="none"/>
          <w:u w:val="single"/>
          <w:lang w:eastAsia="zh-CN"/>
        </w:rPr>
        <w:t xml:space="preserve">除与工程项目有关人员外，其他人不得进入施工现场</w:t>
      </w:r>
      <w:r>
        <w:rPr>
          <w:rFonts w:hint="eastAsia" w:ascii="宋体" w:hAnsi="宋体" w:eastAsia="宋体" w:cs="宋体"/>
          <w:color w:val="auto"/>
          <w:sz w:val="21"/>
          <w:szCs w:val="21"/>
          <w:highlight w:val="none"/>
          <w:lang w:eastAsia="zh-CN"/>
        </w:rPr>
        <w:t xml:space="preserve">。</w:t>
      </w:r>
      <w:bookmarkEnd w:id="521"/>
      <w:bookmarkEnd w:id="522"/>
      <w:bookmarkEnd w:id="523"/>
      <w:bookmarkEnd w:id="524"/>
      <w:bookmarkEnd w:id="525"/>
      <w:r/>
    </w:p>
    <w:p>
      <w:pPr>
        <w:ind w:firstLine="480"/>
        <w:jc w:val="both"/>
        <w:spacing w:line="360" w:lineRule="auto"/>
        <w:rPr>
          <w:rFonts w:hint="eastAsia" w:ascii="宋体" w:hAnsi="宋体" w:eastAsia="宋体" w:cs="宋体"/>
          <w:color w:val="auto"/>
          <w:sz w:val="21"/>
          <w:szCs w:val="21"/>
          <w:highlight w:val="none"/>
          <w:lang w:eastAsia="zh-CN"/>
        </w:rPr>
      </w:pPr>
      <w:r/>
      <w:bookmarkStart w:id="526" w:name="_Toc36797925"/>
      <w:r>
        <w:rPr>
          <w:rFonts w:hint="eastAsia" w:ascii="宋体" w:hAnsi="宋体" w:eastAsia="宋体" w:cs="宋体"/>
          <w:color w:val="auto"/>
          <w:sz w:val="21"/>
          <w:szCs w:val="21"/>
          <w:highlight w:val="none"/>
          <w:lang w:eastAsia="zh-CN"/>
        </w:rPr>
        <w:t xml:space="preserve">1</w:t>
      </w:r>
      <w:bookmarkStart w:id="527" w:name="_Toc303539101"/>
      <w:r/>
      <w:bookmarkStart w:id="528" w:name="_Toc304295522"/>
      <w:r/>
      <w:bookmarkStart w:id="529" w:name="_Toc318581156"/>
      <w:r/>
      <w:bookmarkStart w:id="530" w:name="_Toc312677987"/>
      <w:r/>
      <w:bookmarkStart w:id="531" w:name="_Toc300934944"/>
      <w:r>
        <w:rPr>
          <w:rFonts w:hint="eastAsia" w:ascii="宋体" w:hAnsi="宋体" w:eastAsia="宋体" w:cs="宋体"/>
          <w:color w:val="auto"/>
          <w:sz w:val="21"/>
          <w:szCs w:val="21"/>
          <w:highlight w:val="none"/>
          <w:lang w:eastAsia="zh-CN"/>
        </w:rPr>
        <w:t xml:space="preserve">.10.3 场内交通</w:t>
      </w:r>
      <w:bookmarkEnd w:id="526"/>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关于场外交通和场内交通的边界的约定：</w:t>
      </w:r>
      <w:r>
        <w:rPr>
          <w:rFonts w:hint="eastAsia" w:ascii="宋体" w:hAnsi="宋体" w:eastAsia="宋体" w:cs="宋体"/>
          <w:color w:val="auto"/>
          <w:sz w:val="21"/>
          <w:szCs w:val="21"/>
          <w:highlight w:val="none"/>
          <w:u w:val="single"/>
          <w:lang w:eastAsia="zh-CN"/>
        </w:rPr>
        <w:t xml:space="preserve">施工红线</w:t>
      </w:r>
      <w:r>
        <w:rPr>
          <w:rFonts w:hint="eastAsia" w:ascii="宋体" w:hAnsi="宋体" w:eastAsia="宋体" w:cs="宋体"/>
          <w:color w:val="auto"/>
          <w:sz w:val="21"/>
          <w:szCs w:val="21"/>
          <w:highlight w:val="none"/>
          <w:lang w:eastAsia="zh-CN"/>
        </w:rPr>
        <w:t xml:space="preserve">。</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关于发包人向承包人免费提供满足工程施工需要的场内道路和交通设施的约定：</w:t>
      </w:r>
      <w:r>
        <w:rPr>
          <w:rFonts w:hint="eastAsia" w:ascii="宋体" w:hAnsi="宋体" w:eastAsia="宋体" w:cs="宋体"/>
          <w:color w:val="auto"/>
          <w:sz w:val="21"/>
          <w:szCs w:val="21"/>
          <w:highlight w:val="none"/>
          <w:u w:val="single"/>
          <w:lang w:eastAsia="zh-CN"/>
        </w:rPr>
        <w:t xml:space="preserve">承包人可以使用目前场内道路和交通设施，但维修保养费由承包人承担</w:t>
      </w:r>
      <w:r>
        <w:rPr>
          <w:rFonts w:hint="eastAsia" w:ascii="宋体" w:hAnsi="宋体" w:eastAsia="宋体" w:cs="宋体"/>
          <w:color w:val="auto"/>
          <w:sz w:val="21"/>
          <w:szCs w:val="21"/>
          <w:highlight w:val="none"/>
          <w:lang w:eastAsia="zh-CN"/>
        </w:rPr>
        <w:t xml:space="preserve">。</w:t>
      </w:r>
      <w:bookmarkEnd w:id="527"/>
      <w:r/>
      <w:bookmarkEnd w:id="528"/>
      <w:r/>
      <w:bookmarkEnd w:id="529"/>
      <w:r/>
      <w:bookmarkEnd w:id="530"/>
      <w:r/>
      <w:bookmarkEnd w:id="531"/>
      <w:r/>
      <w:bookmarkStart w:id="532" w:name="_Toc318581157"/>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1.10.4超大件和超重件的运输</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运输超大件或超重件所需的道路和桥梁临时加固改造费用和其他有关费用由</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lang w:eastAsia="zh-CN"/>
        </w:rPr>
        <w:t xml:space="preserve">承担。</w:t>
      </w:r>
      <w:bookmarkEnd w:id="532"/>
      <w:r/>
    </w:p>
    <w:p>
      <w:pPr>
        <w:ind w:firstLine="482"/>
        <w:jc w:val="both"/>
        <w:spacing w:after="120" w:line="360" w:lineRule="auto"/>
        <w:rPr>
          <w:rFonts w:hint="eastAsia" w:ascii="宋体" w:hAnsi="宋体" w:eastAsia="宋体" w:cs="宋体"/>
          <w:b/>
          <w:color w:val="auto"/>
          <w:sz w:val="21"/>
          <w:szCs w:val="21"/>
          <w:highlight w:val="none"/>
          <w:lang w:eastAsia="zh-CN"/>
        </w:rPr>
      </w:pPr>
      <w:r/>
      <w:bookmarkStart w:id="533" w:name="_Toc36797926"/>
      <w:r>
        <w:rPr>
          <w:rFonts w:hint="eastAsia" w:ascii="宋体" w:hAnsi="宋体" w:eastAsia="宋体" w:cs="宋体"/>
          <w:b/>
          <w:color w:val="auto"/>
          <w:sz w:val="21"/>
          <w:szCs w:val="21"/>
          <w:highlight w:val="none"/>
          <w:lang w:eastAsia="zh-CN"/>
        </w:rPr>
        <w:t xml:space="preserve">1.11 知识产权</w:t>
      </w:r>
      <w:bookmarkEnd w:id="533"/>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1.11.1关于发包人提供给承包人的图纸、发包人为实施工程自行编制或委托编制的技术规范以及反映发包人关于合同要求或其他类似性质的文件的著作权的归属：归</w:t>
      </w:r>
      <w:r>
        <w:rPr>
          <w:rFonts w:hint="eastAsia" w:ascii="宋体" w:hAnsi="宋体" w:eastAsia="宋体" w:cs="宋体"/>
          <w:color w:val="auto"/>
          <w:sz w:val="21"/>
          <w:szCs w:val="21"/>
          <w:highlight w:val="none"/>
          <w:u w:val="single"/>
          <w:lang w:eastAsia="zh-CN"/>
        </w:rPr>
        <w:t xml:space="preserve">发包人所有</w:t>
      </w:r>
      <w:r>
        <w:rPr>
          <w:rFonts w:hint="eastAsia" w:ascii="宋体" w:hAnsi="宋体" w:eastAsia="宋体" w:cs="宋体"/>
          <w:color w:val="auto"/>
          <w:sz w:val="21"/>
          <w:szCs w:val="21"/>
          <w:highlight w:val="none"/>
          <w:lang w:eastAsia="zh-CN"/>
        </w:rPr>
        <w:t xml:space="preserve">。</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关于发包人提供的上述文件的使用限制的要求：</w:t>
      </w:r>
      <w:r>
        <w:rPr>
          <w:rFonts w:hint="eastAsia" w:ascii="宋体" w:hAnsi="宋体" w:eastAsia="宋体" w:cs="宋体"/>
          <w:color w:val="auto"/>
          <w:sz w:val="21"/>
          <w:szCs w:val="21"/>
          <w:highlight w:val="none"/>
          <w:u w:val="single"/>
          <w:lang w:eastAsia="zh-CN"/>
        </w:rPr>
        <w:t xml:space="preserve">仅限用于本工程</w:t>
      </w:r>
      <w:r>
        <w:rPr>
          <w:rFonts w:hint="eastAsia" w:ascii="宋体" w:hAnsi="宋体" w:eastAsia="宋体" w:cs="宋体"/>
          <w:color w:val="auto"/>
          <w:sz w:val="21"/>
          <w:szCs w:val="21"/>
          <w:highlight w:val="none"/>
          <w:lang w:eastAsia="zh-CN"/>
        </w:rPr>
        <w:t xml:space="preserve">。</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1.11.2 关于承包人为实施工程所编制文件的著作权的归属：归</w:t>
      </w:r>
      <w:r>
        <w:rPr>
          <w:rFonts w:hint="eastAsia" w:ascii="宋体" w:hAnsi="宋体" w:eastAsia="宋体" w:cs="宋体"/>
          <w:color w:val="auto"/>
          <w:sz w:val="21"/>
          <w:szCs w:val="21"/>
          <w:highlight w:val="none"/>
          <w:u w:val="single"/>
          <w:lang w:eastAsia="zh-CN"/>
        </w:rPr>
        <w:t xml:space="preserve">发包人所有</w:t>
      </w:r>
      <w:r>
        <w:rPr>
          <w:rFonts w:hint="eastAsia" w:ascii="宋体" w:hAnsi="宋体" w:eastAsia="宋体" w:cs="宋体"/>
          <w:color w:val="auto"/>
          <w:sz w:val="21"/>
          <w:szCs w:val="21"/>
          <w:highlight w:val="none"/>
          <w:lang w:eastAsia="zh-CN"/>
        </w:rPr>
        <w:t xml:space="preserve">。</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关于承包人提供的上述文件的使用限制的要求：</w:t>
      </w:r>
      <w:r>
        <w:rPr>
          <w:rFonts w:hint="eastAsia" w:ascii="宋体" w:hAnsi="宋体" w:eastAsia="宋体" w:cs="宋体"/>
          <w:color w:val="auto"/>
          <w:sz w:val="21"/>
          <w:szCs w:val="21"/>
          <w:highlight w:val="none"/>
          <w:u w:val="single"/>
          <w:lang w:eastAsia="zh-CN"/>
        </w:rPr>
        <w:t xml:space="preserve">仅限用于本工程</w:t>
      </w:r>
      <w:r>
        <w:rPr>
          <w:rFonts w:hint="eastAsia" w:ascii="宋体" w:hAnsi="宋体" w:eastAsia="宋体" w:cs="宋体"/>
          <w:color w:val="auto"/>
          <w:sz w:val="21"/>
          <w:szCs w:val="21"/>
          <w:highlight w:val="none"/>
          <w:lang w:eastAsia="zh-CN"/>
        </w:rPr>
        <w:t xml:space="preserve">。</w:t>
      </w:r>
      <w:r/>
    </w:p>
    <w:p>
      <w:pPr>
        <w:ind w:firstLine="480"/>
        <w:jc w:val="both"/>
        <w:spacing w:line="360" w:lineRule="auto"/>
        <w:rPr>
          <w:rFonts w:hint="eastAsia" w:ascii="宋体" w:hAnsi="宋体" w:eastAsia="宋体" w:cs="宋体"/>
          <w:color w:val="auto"/>
          <w:sz w:val="21"/>
          <w:szCs w:val="21"/>
          <w:highlight w:val="none"/>
          <w:lang w:eastAsia="zh-CN"/>
        </w:rPr>
      </w:pPr>
      <w:r/>
      <w:bookmarkStart w:id="534" w:name="_Toc36797927"/>
      <w:r>
        <w:rPr>
          <w:rFonts w:hint="eastAsia" w:ascii="宋体" w:hAnsi="宋体" w:eastAsia="宋体" w:cs="宋体"/>
          <w:color w:val="auto"/>
          <w:sz w:val="21"/>
          <w:szCs w:val="21"/>
          <w:highlight w:val="none"/>
          <w:lang w:eastAsia="zh-CN"/>
        </w:rPr>
        <w:t xml:space="preserve">1.11.4 承包人在施工过程中所采用的专利、专有技术、技术秘密的使用费的承担方式：</w:t>
      </w:r>
      <w:r>
        <w:rPr>
          <w:rFonts w:hint="eastAsia" w:ascii="宋体" w:hAnsi="宋体" w:eastAsia="宋体" w:cs="宋体"/>
          <w:color w:val="auto"/>
          <w:sz w:val="21"/>
          <w:szCs w:val="21"/>
          <w:highlight w:val="none"/>
          <w:u w:val="single"/>
          <w:lang w:eastAsia="zh-CN"/>
        </w:rPr>
        <w:t xml:space="preserve">由承包人承担，已包含在签约合同价中</w:t>
      </w:r>
      <w:r>
        <w:rPr>
          <w:rFonts w:hint="eastAsia" w:ascii="宋体" w:hAnsi="宋体" w:eastAsia="宋体" w:cs="宋体"/>
          <w:color w:val="auto"/>
          <w:sz w:val="21"/>
          <w:szCs w:val="21"/>
          <w:highlight w:val="none"/>
          <w:lang w:eastAsia="zh-CN"/>
        </w:rPr>
        <w:t xml:space="preserve">。</w:t>
      </w:r>
      <w:bookmarkEnd w:id="534"/>
      <w:r/>
      <w:r/>
    </w:p>
    <w:p>
      <w:pPr>
        <w:ind w:firstLine="482"/>
        <w:jc w:val="both"/>
        <w:spacing w:after="120" w:line="360" w:lineRule="auto"/>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1.13工程量清单错误的修正</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出现工程量清单错误时，是否调整合同价格：</w:t>
      </w:r>
      <w:r>
        <w:rPr>
          <w:rFonts w:hint="eastAsia" w:ascii="宋体" w:hAnsi="宋体" w:eastAsia="宋体" w:cs="宋体"/>
          <w:color w:val="auto"/>
          <w:sz w:val="21"/>
          <w:szCs w:val="21"/>
          <w:highlight w:val="none"/>
          <w:u w:val="single"/>
          <w:lang w:eastAsia="zh-CN"/>
        </w:rPr>
        <w:t xml:space="preserve">是，具体如下：工程量清单特征描述与施工图纸不符的，承包人在合同签订之日起 </w:t>
      </w:r>
      <w:r>
        <w:rPr>
          <w:rFonts w:ascii="宋体" w:hAnsi="宋体" w:eastAsia="宋体" w:cs="宋体"/>
          <w:color w:val="auto"/>
          <w:sz w:val="21"/>
          <w:szCs w:val="21"/>
          <w:highlight w:val="none"/>
          <w:u w:val="single"/>
          <w:lang w:eastAsia="zh-CN"/>
        </w:rPr>
        <w:t xml:space="preserve">10</w:t>
      </w:r>
      <w:r>
        <w:rPr>
          <w:rFonts w:hint="eastAsia" w:ascii="宋体" w:hAnsi="宋体" w:eastAsia="宋体" w:cs="宋体"/>
          <w:color w:val="auto"/>
          <w:sz w:val="21"/>
          <w:szCs w:val="21"/>
          <w:highlight w:val="none"/>
          <w:u w:val="single"/>
          <w:lang w:eastAsia="zh-CN"/>
        </w:rPr>
        <w:t xml:space="preserve"> 日历天提出，并以书面文件报至发包人现场代表，由发包人现场代表报请发包人技术部门、跟踪审计及行政主管部门进行审核确认后方可实施，否则造成返工与损失由承包人承担，凡发包人确认未对工程量清单特征描述作实质性修改，综合单价均不得改变。发包人代表有权要求承包人按照清单特征描述，或图纸设计做法，及技术规范要求实施工程，承包人必须实施，且承包人不得以工程量清单特征描述与施工图纸不符提出异议 </w:t>
      </w:r>
      <w:r>
        <w:rPr>
          <w:rFonts w:hint="eastAsia" w:ascii="宋体" w:hAnsi="宋体" w:eastAsia="宋体" w:cs="宋体"/>
          <w:bCs/>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u w:val="single"/>
          <w:lang w:eastAsia="zh-CN"/>
        </w:rPr>
        <w:t xml:space="preserve">出现工程量清单错误时，是否调整合同价格：分部分项工程工程量增加15%以上时予以调整。增加部分的工程量必须经发包人、监理人及跟踪审计书面确认后方可计量，并且增加部分的工程量的综合单价应予调低</w:t>
      </w:r>
      <w:r>
        <w:rPr>
          <w:rFonts w:hint="eastAsia" w:ascii="宋体" w:hAnsi="宋体" w:eastAsia="宋体" w:cs="宋体"/>
          <w:color w:val="auto"/>
          <w:sz w:val="21"/>
          <w:szCs w:val="21"/>
          <w:highlight w:val="none"/>
          <w:lang w:eastAsia="zh-CN"/>
        </w:rPr>
        <w:t xml:space="preserve">。</w:t>
      </w:r>
      <w:r/>
    </w:p>
    <w:p>
      <w:pPr>
        <w:ind w:firstLine="482"/>
        <w:jc w:val="both"/>
        <w:spacing w:line="360" w:lineRule="auto"/>
        <w:rPr>
          <w:rFonts w:hint="eastAsia" w:cs="宋体"/>
          <w:color w:val="auto"/>
          <w:sz w:val="21"/>
          <w:szCs w:val="21"/>
          <w:highlight w:val="none"/>
          <w:lang w:eastAsia="zh-CN"/>
        </w:rPr>
      </w:pPr>
      <w:r/>
      <w:bookmarkStart w:id="535" w:name="_Toc351203634"/>
      <w:r>
        <w:rPr>
          <w:rFonts w:hint="eastAsia" w:cs="宋体"/>
          <w:color w:val="auto"/>
          <w:sz w:val="21"/>
          <w:szCs w:val="21"/>
          <w:highlight w:val="none"/>
          <w:lang w:eastAsia="zh-CN"/>
        </w:rPr>
        <w:t xml:space="preserve">2</w:t>
      </w:r>
      <w:bookmarkStart w:id="536" w:name="_Toc297120457"/>
      <w:r/>
      <w:bookmarkStart w:id="537" w:name="_Toc296891197"/>
      <w:r/>
      <w:bookmarkStart w:id="538" w:name="_Toc296346658"/>
      <w:r/>
      <w:bookmarkStart w:id="539" w:name="_Toc296503157"/>
      <w:r/>
      <w:bookmarkStart w:id="540" w:name="_Toc292559867"/>
      <w:r/>
      <w:bookmarkStart w:id="541" w:name="_Toc296944496"/>
      <w:r/>
      <w:bookmarkStart w:id="542" w:name="_Toc297048343"/>
      <w:r/>
      <w:bookmarkStart w:id="543" w:name="_Toc296890985"/>
      <w:r/>
      <w:bookmarkStart w:id="544" w:name="_Toc292559362"/>
      <w:r/>
      <w:bookmarkStart w:id="545" w:name="_Toc296347156"/>
      <w:r>
        <w:rPr>
          <w:rFonts w:hint="eastAsia" w:cs="宋体"/>
          <w:color w:val="auto"/>
          <w:sz w:val="21"/>
          <w:szCs w:val="21"/>
          <w:highlight w:val="none"/>
          <w:lang w:eastAsia="zh-CN"/>
        </w:rPr>
        <w:t xml:space="preserve">. 发包人</w:t>
      </w:r>
      <w:bookmarkEnd w:id="535"/>
      <w:r/>
      <w:bookmarkEnd w:id="536"/>
      <w:bookmarkEnd w:id="537"/>
      <w:bookmarkEnd w:id="538"/>
      <w:bookmarkEnd w:id="539"/>
      <w:bookmarkEnd w:id="540"/>
      <w:bookmarkEnd w:id="541"/>
      <w:bookmarkEnd w:id="542"/>
      <w:bookmarkEnd w:id="543"/>
      <w:bookmarkEnd w:id="544"/>
      <w:bookmarkEnd w:id="545"/>
      <w:r/>
    </w:p>
    <w:p>
      <w:pPr>
        <w:ind w:firstLine="482"/>
        <w:jc w:val="both"/>
        <w:spacing w:after="120" w:line="360" w:lineRule="auto"/>
        <w:rPr>
          <w:rFonts w:hint="eastAsia" w:ascii="宋体" w:hAnsi="宋体" w:eastAsia="宋体" w:cs="宋体"/>
          <w:b/>
          <w:color w:val="auto"/>
          <w:sz w:val="21"/>
          <w:szCs w:val="21"/>
          <w:highlight w:val="none"/>
          <w:lang w:eastAsia="zh-CN"/>
        </w:rPr>
      </w:pPr>
      <w:r/>
      <w:bookmarkStart w:id="546" w:name="_Toc36797928"/>
      <w:r>
        <w:rPr>
          <w:rFonts w:hint="eastAsia" w:ascii="宋体" w:hAnsi="宋体" w:eastAsia="宋体" w:cs="宋体"/>
          <w:b/>
          <w:color w:val="auto"/>
          <w:sz w:val="21"/>
          <w:szCs w:val="21"/>
          <w:highlight w:val="none"/>
          <w:lang w:eastAsia="zh-CN"/>
        </w:rPr>
        <w:t xml:space="preserve">2.2 发包人代表</w:t>
      </w:r>
      <w:bookmarkEnd w:id="546"/>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发包人代表：</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姓    名：；</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身份证号：                            ；</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职    务：；</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联系电话：；</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电子信箱：                      ；</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通信地址：                                。</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发包人对发包人代表的授权范围如下：</w:t>
      </w:r>
      <w:r/>
    </w:p>
    <w:p>
      <w:pPr>
        <w:ind w:firstLine="480"/>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（1）发包人代表行使发包人的权利，包括组织施工现场发包人的工作、对监理工作的检查及代表发包人行使本合同授予发包人的相关权利。</w:t>
      </w:r>
      <w:r/>
    </w:p>
    <w:p>
      <w:pPr>
        <w:ind w:firstLine="480"/>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具体包括：</w:t>
      </w:r>
      <w:r/>
    </w:p>
    <w:p>
      <w:pPr>
        <w:ind w:firstLine="480"/>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①确认承包人提出顺延工期的签证；</w:t>
      </w:r>
      <w:r/>
    </w:p>
    <w:p>
      <w:pPr>
        <w:ind w:firstLine="480"/>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②对发生的不可抗力造成工程无法继续施工的处置；</w:t>
      </w:r>
      <w:r/>
    </w:p>
    <w:p>
      <w:pPr>
        <w:ind w:firstLine="480"/>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③设计变更等有关签证的确认；</w:t>
      </w:r>
      <w:r/>
    </w:p>
    <w:p>
      <w:pPr>
        <w:ind w:firstLine="480"/>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④工程竣工验收及甩项验收的报告确认；</w:t>
      </w:r>
      <w:r/>
    </w:p>
    <w:p>
      <w:pPr>
        <w:ind w:firstLine="480"/>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⑤工程最终造价的确认；</w:t>
      </w:r>
      <w:r/>
    </w:p>
    <w:p>
      <w:pPr>
        <w:ind w:firstLine="480"/>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⑥行使合同约定的权利，履行合同约定的职责。</w:t>
      </w:r>
      <w:r/>
    </w:p>
    <w:p>
      <w:pPr>
        <w:ind w:firstLine="482"/>
        <w:jc w:val="both"/>
        <w:spacing w:after="120" w:line="360" w:lineRule="auto"/>
        <w:rPr>
          <w:rFonts w:hint="eastAsia" w:ascii="宋体" w:hAnsi="宋体" w:eastAsia="宋体" w:cs="宋体"/>
          <w:b/>
          <w:color w:val="auto"/>
          <w:sz w:val="21"/>
          <w:szCs w:val="21"/>
          <w:highlight w:val="none"/>
          <w:lang w:eastAsia="zh-CN"/>
        </w:rPr>
      </w:pPr>
      <w:r/>
      <w:bookmarkStart w:id="547" w:name="_Toc36797929"/>
      <w:r>
        <w:rPr>
          <w:rFonts w:hint="eastAsia" w:ascii="宋体" w:hAnsi="宋体" w:eastAsia="宋体" w:cs="宋体"/>
          <w:b/>
          <w:color w:val="auto"/>
          <w:sz w:val="21"/>
          <w:szCs w:val="21"/>
          <w:highlight w:val="none"/>
          <w:lang w:eastAsia="zh-CN"/>
        </w:rPr>
        <w:t xml:space="preserve">2.4 施工现场、施工条件和基础资料的提供</w:t>
      </w:r>
      <w:bookmarkEnd w:id="547"/>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2.4.1 提供施工现场</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关于发包人移交施工现场的期限要求：</w:t>
      </w:r>
      <w:r>
        <w:rPr>
          <w:rFonts w:hint="eastAsia" w:ascii="宋体" w:hAnsi="宋体" w:eastAsia="宋体" w:cs="宋体"/>
          <w:color w:val="auto"/>
          <w:sz w:val="21"/>
          <w:szCs w:val="21"/>
          <w:highlight w:val="none"/>
          <w:u w:val="single"/>
          <w:lang w:eastAsia="zh-CN"/>
        </w:rPr>
        <w:t xml:space="preserve">开工令签发前七日内</w:t>
      </w:r>
      <w:r>
        <w:rPr>
          <w:rFonts w:hint="eastAsia" w:ascii="宋体" w:hAnsi="宋体" w:eastAsia="宋体" w:cs="宋体"/>
          <w:color w:val="auto"/>
          <w:sz w:val="21"/>
          <w:szCs w:val="21"/>
          <w:highlight w:val="none"/>
          <w:lang w:eastAsia="zh-CN"/>
        </w:rPr>
        <w:t xml:space="preserve">。</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2.4.2 提供施工条件</w:t>
      </w:r>
      <w:r/>
    </w:p>
    <w:p>
      <w:pPr>
        <w:ind w:firstLine="480"/>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lang w:eastAsia="zh-CN"/>
        </w:rPr>
        <w:t xml:space="preserve">关于发包人应负责提供施工所需要的条件，包括：</w:t>
      </w:r>
      <w:r/>
    </w:p>
    <w:p>
      <w:pPr>
        <w:ind w:firstLine="480"/>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（1）承包人在投标前已经到工地勘察并充分了解工地位置、邻近建筑物、道路、储存空间、起卸限制及任何其他足以影响投标报价之情况。中标后，承包人不得因忽视或误解工地情况提出费用或工期索赔。</w:t>
      </w:r>
      <w:r/>
    </w:p>
    <w:p>
      <w:pPr>
        <w:ind w:firstLine="480"/>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（2）工程周边道路基本满足施工需求，施工区域内的临时道路由承包人自行修建，相应费用由承包人承担。</w:t>
      </w:r>
      <w:r/>
    </w:p>
    <w:p>
      <w:pPr>
        <w:ind w:firstLine="480"/>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（3）发包人提供电源、水源，承包人现场踏勘确认具体容量、接入点位置，承包人自行考虑用水、用电布管接入、挂表计量，并承担应交纳的水电费用（按照发包人向供电部门实缴单价计算）。</w:t>
      </w:r>
      <w:r/>
    </w:p>
    <w:p>
      <w:pPr>
        <w:ind w:firstLine="480"/>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4）发包人指定现场施工（生活）用水、电接入位置，自指定位置接入施工现场所需的材料、安装等一切费用，由承包人自行解决并承担相应费用，同时施工中发包人不考虑因用电原因（如需自发电或电容量不够）而给承包人的任何额外补偿；</w:t>
      </w:r>
      <w:r/>
    </w:p>
    <w:p>
      <w:pPr>
        <w:ind w:firstLine="480"/>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5）施工场地与公共道路的通道开通时间和要求：以目前现状为准。承包人在投标时已自行考察过施工场地与公共道路的通道现状，且在报价时已考虑相关费用，现场不允许大型和超载车辆通行，造成损失和责任均由承包人承担。</w:t>
      </w:r>
      <w:r/>
    </w:p>
    <w:p>
      <w:pPr>
        <w:ind w:firstLine="482"/>
        <w:jc w:val="both"/>
        <w:spacing w:after="120" w:line="360" w:lineRule="auto"/>
        <w:rPr>
          <w:rFonts w:hint="eastAsia" w:ascii="宋体" w:hAnsi="宋体" w:eastAsia="宋体" w:cs="宋体"/>
          <w:b/>
          <w:color w:val="auto"/>
          <w:sz w:val="21"/>
          <w:szCs w:val="21"/>
          <w:highlight w:val="none"/>
          <w:lang w:eastAsia="zh-CN"/>
        </w:rPr>
      </w:pPr>
      <w:r/>
      <w:bookmarkStart w:id="548" w:name="_Toc36797930"/>
      <w:r>
        <w:rPr>
          <w:rFonts w:hint="eastAsia" w:ascii="宋体" w:hAnsi="宋体" w:eastAsia="宋体" w:cs="宋体"/>
          <w:b/>
          <w:color w:val="auto"/>
          <w:sz w:val="21"/>
          <w:szCs w:val="21"/>
          <w:highlight w:val="none"/>
          <w:lang w:eastAsia="zh-CN"/>
        </w:rPr>
        <w:t xml:space="preserve">2.5 资金来源证明及支付担保</w:t>
      </w:r>
      <w:bookmarkEnd w:id="548"/>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发包人提供资金来源证明的期限要求：</w:t>
      </w:r>
      <w:r>
        <w:rPr>
          <w:rFonts w:hint="eastAsia" w:ascii="宋体" w:hAnsi="宋体" w:eastAsia="宋体" w:cs="宋体"/>
          <w:color w:val="auto"/>
          <w:sz w:val="21"/>
          <w:szCs w:val="21"/>
          <w:highlight w:val="none"/>
          <w:u w:val="single"/>
          <w:lang w:eastAsia="zh-CN"/>
        </w:rPr>
        <w:t xml:space="preserve">无</w:t>
      </w:r>
      <w:r>
        <w:rPr>
          <w:rFonts w:hint="eastAsia" w:ascii="宋体" w:hAnsi="宋体" w:eastAsia="宋体" w:cs="宋体"/>
          <w:color w:val="auto"/>
          <w:sz w:val="21"/>
          <w:szCs w:val="21"/>
          <w:highlight w:val="none"/>
          <w:lang w:eastAsia="zh-CN"/>
        </w:rPr>
        <w:t xml:space="preserve">。</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发包人是否提供支付担保：</w:t>
      </w:r>
      <w:r>
        <w:rPr>
          <w:rFonts w:hint="eastAsia" w:ascii="宋体" w:hAnsi="宋体" w:eastAsia="宋体" w:cs="宋体"/>
          <w:color w:val="auto"/>
          <w:sz w:val="21"/>
          <w:szCs w:val="21"/>
          <w:highlight w:val="none"/>
          <w:u w:val="single"/>
          <w:lang w:eastAsia="zh-CN"/>
        </w:rPr>
        <w:t xml:space="preserve">无</w:t>
      </w:r>
      <w:r>
        <w:rPr>
          <w:rFonts w:hint="eastAsia" w:ascii="宋体" w:hAnsi="宋体" w:eastAsia="宋体" w:cs="宋体"/>
          <w:color w:val="auto"/>
          <w:sz w:val="21"/>
          <w:szCs w:val="21"/>
          <w:highlight w:val="none"/>
          <w:lang w:eastAsia="zh-CN"/>
        </w:rPr>
        <w:t xml:space="preserve">。</w:t>
      </w:r>
      <w:r/>
    </w:p>
    <w:p>
      <w:pPr>
        <w:ind w:firstLine="480"/>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lang w:eastAsia="zh-CN"/>
        </w:rPr>
        <w:t xml:space="preserve">发包人提供支付担保的形式：</w:t>
      </w:r>
      <w:r>
        <w:rPr>
          <w:rFonts w:hint="eastAsia" w:ascii="宋体" w:hAnsi="宋体" w:eastAsia="宋体" w:cs="宋体"/>
          <w:color w:val="auto"/>
          <w:sz w:val="21"/>
          <w:szCs w:val="21"/>
          <w:highlight w:val="none"/>
          <w:u w:val="single"/>
          <w:lang w:eastAsia="zh-CN"/>
        </w:rPr>
        <w:t xml:space="preserve">无</w:t>
      </w:r>
      <w:r>
        <w:rPr>
          <w:rFonts w:hint="eastAsia" w:ascii="宋体" w:hAnsi="宋体" w:eastAsia="宋体" w:cs="宋体"/>
          <w:color w:val="auto"/>
          <w:sz w:val="21"/>
          <w:szCs w:val="21"/>
          <w:highlight w:val="none"/>
          <w:lang w:eastAsia="zh-CN"/>
        </w:rPr>
        <w:t xml:space="preserve">。</w:t>
      </w:r>
      <w:r/>
    </w:p>
    <w:p>
      <w:pPr>
        <w:ind w:firstLine="482"/>
        <w:jc w:val="both"/>
        <w:spacing w:line="360" w:lineRule="auto"/>
        <w:rPr>
          <w:rFonts w:hint="eastAsia" w:cs="宋体"/>
          <w:color w:val="auto"/>
          <w:sz w:val="21"/>
          <w:szCs w:val="21"/>
          <w:highlight w:val="none"/>
          <w:lang w:eastAsia="zh-CN"/>
        </w:rPr>
      </w:pPr>
      <w:r/>
      <w:bookmarkStart w:id="549" w:name="_Toc351203635"/>
      <w:r>
        <w:rPr>
          <w:rFonts w:hint="eastAsia" w:cs="宋体"/>
          <w:color w:val="auto"/>
          <w:sz w:val="21"/>
          <w:szCs w:val="21"/>
          <w:highlight w:val="none"/>
          <w:lang w:eastAsia="zh-CN"/>
        </w:rPr>
        <w:t xml:space="preserve">3</w:t>
      </w:r>
      <w:bookmarkStart w:id="550" w:name="_Toc292559363"/>
      <w:r/>
      <w:bookmarkStart w:id="551" w:name="_Toc296347157"/>
      <w:r/>
      <w:bookmarkStart w:id="552" w:name="_Toc297048344"/>
      <w:r/>
      <w:bookmarkStart w:id="553" w:name="_Toc296503158"/>
      <w:r/>
      <w:bookmarkStart w:id="554" w:name="_Toc296890986"/>
      <w:r/>
      <w:bookmarkStart w:id="555" w:name="_Toc292559868"/>
      <w:r/>
      <w:bookmarkStart w:id="556" w:name="_Toc296891198"/>
      <w:r/>
      <w:bookmarkStart w:id="557" w:name="_Toc297120458"/>
      <w:r/>
      <w:bookmarkStart w:id="558" w:name="_Toc296944497"/>
      <w:r/>
      <w:bookmarkStart w:id="559" w:name="_Toc296346659"/>
      <w:r>
        <w:rPr>
          <w:rFonts w:hint="eastAsia" w:cs="宋体"/>
          <w:color w:val="auto"/>
          <w:sz w:val="21"/>
          <w:szCs w:val="21"/>
          <w:highlight w:val="none"/>
          <w:lang w:eastAsia="zh-CN"/>
        </w:rPr>
        <w:t xml:space="preserve">. 承包人</w:t>
      </w:r>
      <w:bookmarkEnd w:id="549"/>
      <w:r/>
      <w:bookmarkEnd w:id="550"/>
      <w:bookmarkEnd w:id="551"/>
      <w:bookmarkEnd w:id="552"/>
      <w:bookmarkEnd w:id="553"/>
      <w:bookmarkEnd w:id="554"/>
      <w:bookmarkEnd w:id="555"/>
      <w:bookmarkEnd w:id="556"/>
      <w:bookmarkEnd w:id="557"/>
      <w:bookmarkEnd w:id="558"/>
      <w:bookmarkEnd w:id="559"/>
      <w:r/>
    </w:p>
    <w:p>
      <w:pPr>
        <w:ind w:firstLine="482"/>
        <w:jc w:val="both"/>
        <w:spacing w:after="120" w:line="360" w:lineRule="auto"/>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3.1 承包人的一般义务</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1.承包人提交的竣工资料的内容：</w:t>
      </w:r>
      <w:r>
        <w:rPr>
          <w:rFonts w:hint="eastAsia" w:ascii="宋体" w:hAnsi="宋体" w:eastAsia="宋体" w:cs="宋体"/>
          <w:color w:val="auto"/>
          <w:sz w:val="21"/>
          <w:szCs w:val="21"/>
          <w:highlight w:val="none"/>
          <w:u w:val="single"/>
          <w:lang w:eastAsia="zh-CN"/>
        </w:rPr>
        <w:t xml:space="preserve">按照GB/T50328-2014《建设工程文件归档整理规范》绘制竣工图一式六份及电子版一份，所需费用已包含在签约合同价中。</w:t>
      </w:r>
      <w:r/>
    </w:p>
    <w:p>
      <w:pPr>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承包人需要提交的竣工资料套数：</w:t>
      </w:r>
      <w:r>
        <w:rPr>
          <w:rFonts w:hint="eastAsia" w:ascii="宋体" w:hAnsi="宋体" w:eastAsia="宋体" w:cs="宋体"/>
          <w:color w:val="auto"/>
          <w:sz w:val="21"/>
          <w:szCs w:val="21"/>
          <w:highlight w:val="none"/>
          <w:u w:val="single"/>
          <w:lang w:eastAsia="zh-CN"/>
        </w:rPr>
        <w:t xml:space="preserve">六套</w:t>
      </w:r>
      <w:r>
        <w:rPr>
          <w:rFonts w:hint="eastAsia" w:ascii="宋体" w:hAnsi="宋体" w:eastAsia="宋体" w:cs="宋体"/>
          <w:color w:val="auto"/>
          <w:sz w:val="21"/>
          <w:szCs w:val="21"/>
          <w:highlight w:val="none"/>
          <w:lang w:eastAsia="zh-CN"/>
        </w:rPr>
        <w:t xml:space="preserve">。</w:t>
      </w:r>
      <w:r/>
    </w:p>
    <w:p>
      <w:pPr>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承包人提交的竣工资料的费用承担：</w:t>
      </w:r>
      <w:r>
        <w:rPr>
          <w:rFonts w:hint="eastAsia" w:ascii="宋体" w:hAnsi="宋体" w:eastAsia="宋体" w:cs="宋体"/>
          <w:color w:val="auto"/>
          <w:sz w:val="21"/>
          <w:szCs w:val="21"/>
          <w:highlight w:val="none"/>
          <w:u w:val="single"/>
          <w:lang w:eastAsia="zh-CN"/>
        </w:rPr>
        <w:t xml:space="preserve">承包人承担</w:t>
      </w:r>
      <w:r>
        <w:rPr>
          <w:rFonts w:hint="eastAsia" w:ascii="宋体" w:hAnsi="宋体" w:eastAsia="宋体" w:cs="宋体"/>
          <w:color w:val="auto"/>
          <w:sz w:val="21"/>
          <w:szCs w:val="21"/>
          <w:highlight w:val="none"/>
          <w:lang w:eastAsia="zh-CN"/>
        </w:rPr>
        <w:t xml:space="preserve">。</w:t>
      </w:r>
      <w:r/>
    </w:p>
    <w:p>
      <w:pPr>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承包人提交的竣工资料移交时间：</w:t>
      </w:r>
      <w:r>
        <w:rPr>
          <w:rFonts w:hint="eastAsia" w:ascii="宋体" w:hAnsi="宋体" w:eastAsia="宋体" w:cs="宋体"/>
          <w:color w:val="auto"/>
          <w:sz w:val="21"/>
          <w:szCs w:val="21"/>
          <w:highlight w:val="none"/>
          <w:u w:val="single"/>
          <w:lang w:eastAsia="zh-CN"/>
        </w:rPr>
        <w:t xml:space="preserve">竣工验收后30日内</w:t>
      </w:r>
      <w:r>
        <w:rPr>
          <w:rFonts w:hint="eastAsia" w:ascii="宋体" w:hAnsi="宋体" w:eastAsia="宋体" w:cs="宋体"/>
          <w:color w:val="auto"/>
          <w:sz w:val="21"/>
          <w:szCs w:val="21"/>
          <w:highlight w:val="none"/>
          <w:lang w:eastAsia="zh-CN"/>
        </w:rPr>
        <w:t xml:space="preserve">。</w:t>
      </w:r>
      <w:r/>
    </w:p>
    <w:p>
      <w:pPr>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承包人提交的竣工资料形式要求：</w:t>
      </w:r>
      <w:r>
        <w:rPr>
          <w:rFonts w:hint="eastAsia" w:ascii="宋体" w:hAnsi="宋体" w:eastAsia="宋体" w:cs="宋体"/>
          <w:color w:val="auto"/>
          <w:sz w:val="21"/>
          <w:szCs w:val="21"/>
          <w:highlight w:val="none"/>
          <w:u w:val="single"/>
          <w:lang w:eastAsia="zh-CN"/>
        </w:rPr>
        <w:t xml:space="preserve">纸质版及电子版</w:t>
      </w:r>
      <w:r>
        <w:rPr>
          <w:rFonts w:hint="eastAsia" w:ascii="宋体" w:hAnsi="宋体" w:eastAsia="宋体" w:cs="宋体"/>
          <w:color w:val="auto"/>
          <w:sz w:val="21"/>
          <w:szCs w:val="21"/>
          <w:highlight w:val="none"/>
          <w:lang w:eastAsia="zh-CN"/>
        </w:rPr>
        <w:t xml:space="preserve">。</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2.承包人应履行的其他义务：</w:t>
      </w:r>
      <w:r/>
    </w:p>
    <w:p>
      <w:pPr>
        <w:ind w:firstLine="480"/>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⑴承担发包人上级领导检查、视察工地所需的现场准备工作；配合质监、安监单位的现场检查，并承担由此引起的相关费用。发包人需要时，可能对施工做出某些限制和配合要求，承包人应按照要求做出必要的配合，并承担有可能因此而引起工效降低需增加的费用。</w:t>
      </w:r>
      <w:r/>
    </w:p>
    <w:p>
      <w:pPr>
        <w:ind w:firstLine="480"/>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⑵承包人必须遵守省、市行业主管部门的相关规定，服从行业主管部门的管理，凡涉及到承包人的安全监督、质量监督、施工备案、车辆准运等有关证、照，均由承包人自行办理，发包人给予配合，发生的费用全部由承包人承担，包括但不限于排污管理费、噪声管理费、垃圾管理费等。</w:t>
      </w:r>
      <w:r/>
    </w:p>
    <w:p>
      <w:pPr>
        <w:ind w:firstLine="480"/>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⑶涉及到的所有交通、环卫、市容、施工噪声及劳务用工管理等各项应办手续及费用，均由承包方自行办理和承担。承包人不得因此而影响工程工期，否则仍须承担违约责任。若因此而产生相应的行政处罚，概由承包人承担。</w:t>
      </w:r>
      <w:r/>
    </w:p>
    <w:p>
      <w:pPr>
        <w:ind w:firstLine="480"/>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⑷承包人所报价格应包含其自身分包引起的各项增加的或额外的费用。</w:t>
      </w:r>
      <w:r/>
    </w:p>
    <w:p>
      <w:pPr>
        <w:ind w:firstLine="480"/>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⑸承包人加强工程施工车辆的管理，施工车辆不得无故堵塞道路交通，不得沿途抛洒弃土，并根据发包人的要求，安排人员在主要路口疏导车辆、行人交通，其费用由承包人负责。</w:t>
      </w:r>
      <w:r/>
    </w:p>
    <w:p>
      <w:pPr>
        <w:ind w:firstLine="480"/>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⑹施工场地清洁卫生的要求：承包人负责工地现场除由承包人自身施工产生的建筑垃圾和生活垃圾清运工作外，还需负责公共区域的卫生、清洁、垃圾清运等工作；以及本工程全区域的卫生管理与检查。按建设行政主管部门有关规定执行，文明施工，保证工完场清。</w:t>
      </w:r>
      <w:r/>
    </w:p>
    <w:p>
      <w:pPr>
        <w:ind w:firstLine="480"/>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①设置、维修和管理临时排污系统；</w:t>
      </w:r>
      <w:r/>
    </w:p>
    <w:p>
      <w:pPr>
        <w:ind w:firstLine="420"/>
        <w:jc w:val="both"/>
        <w:spacing w:before="186" w:line="315"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②收集和处理所有施工现场和生活区域内的所有垃圾，直到竣工交付为止。</w:t>
      </w:r>
      <w:r>
        <w:rPr>
          <w:rFonts w:ascii="宋体" w:hAnsi="宋体" w:eastAsia="宋体" w:cs="宋体"/>
          <w:color w:val="auto"/>
          <w:spacing w:val="-10"/>
          <w:sz w:val="21"/>
          <w:szCs w:val="21"/>
          <w:highlight w:val="none"/>
          <w:u w:val="single"/>
          <w:lang w:eastAsia="zh-CN"/>
        </w:rPr>
        <w:t xml:space="preserve">承包人应当按照行政主管部门的规定运输建筑垃圾</w:t>
      </w:r>
      <w:r>
        <w:rPr>
          <w:rFonts w:hint="eastAsia" w:ascii="宋体" w:hAnsi="宋体" w:eastAsia="宋体" w:cs="宋体"/>
          <w:color w:val="auto"/>
          <w:spacing w:val="-10"/>
          <w:sz w:val="21"/>
          <w:szCs w:val="21"/>
          <w:highlight w:val="none"/>
          <w:u w:val="single"/>
          <w:lang w:eastAsia="zh-CN"/>
        </w:rPr>
        <w:t xml:space="preserve">，做好施工噪声污染管理。因此产生的行政法律责任均由承包人承担</w:t>
      </w:r>
      <w:r>
        <w:rPr>
          <w:rFonts w:hint="eastAsia" w:ascii="宋体" w:hAnsi="宋体" w:eastAsia="宋体" w:cs="宋体"/>
          <w:color w:val="auto"/>
          <w:sz w:val="21"/>
          <w:szCs w:val="21"/>
          <w:highlight w:val="none"/>
          <w:u w:val="single"/>
          <w:lang w:eastAsia="zh-CN"/>
        </w:rPr>
        <w:t xml:space="preserve">；</w:t>
      </w:r>
      <w:r/>
    </w:p>
    <w:p>
      <w:pPr>
        <w:ind w:firstLine="480"/>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③若因承包人现场清洁卫生工作不好，导致投诉（经调查属实的）或新闻媒体曝光，承包人需承担由此产生的一切后果和费用；另发包人可以要求承包人支付5万元/次的违约金；</w:t>
      </w:r>
      <w:r/>
    </w:p>
    <w:p>
      <w:pPr>
        <w:ind w:firstLine="480"/>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⑺承包人必须立刻执行发包人派驻的工程师获本合同授权而发出的书面指令。若承包人没有在规定时间之内执行指令，而在收到发包人催促执行的书面通知后7日之内，承包人仍未执行，发包人可另聘和指派他人执行该指示所要求的工作。其他承包人完成此项工作的相关费用从本合同应付或将会付给承包人的款项中扣除而无须承包人认可，由此造成发包人额外损失或间接损失的，作为债务向承包人追讨。</w:t>
      </w:r>
      <w:r/>
    </w:p>
    <w:p>
      <w:pPr>
        <w:ind w:firstLine="480"/>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⑻承包人应当服从监理工程师及发包人的现场管理和协调工作，合理调动资源，保障工期、质量目标的实现。</w:t>
      </w:r>
      <w:r/>
    </w:p>
    <w:p>
      <w:pPr>
        <w:ind w:firstLine="480"/>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⑼承包人必须签收监理工程师及发包人发出的书面资料，如有异议必须在收文之日起3日内书面回复，否则视同认可。</w:t>
      </w:r>
      <w:r/>
    </w:p>
    <w:p>
      <w:pPr>
        <w:ind w:firstLine="480"/>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⑽工程竣工验收后，因承包人的原因发生工程质量问题时，承包人应及时负责保修，若承包人不能及时保修，发包人有权委托其他单位进行保修，因保修发生费用由承包人承担并在保修金中扣除。保修金不足扣除的，其不足部分，发包人有权向承包人追偿。</w:t>
      </w:r>
      <w:r/>
    </w:p>
    <w:p>
      <w:pPr>
        <w:ind w:firstLine="480"/>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3.双方约定承包人应做的其他工作：</w:t>
      </w:r>
      <w:r/>
    </w:p>
    <w:p>
      <w:pPr>
        <w:ind w:firstLine="480"/>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a.承包人应按发包人的指令，完成发包人要求的对工程内容任何的变更、增加和删减。除非该设计变更属结构性重大变动，同时也符合价款调整的相关条款之规定，否则所有设计变更均不得作为延长工期的理由。</w:t>
      </w:r>
      <w:r/>
    </w:p>
    <w:p>
      <w:pPr>
        <w:ind w:firstLine="480"/>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b.承包人应负责办理工程竣工备案等相关手续。</w:t>
      </w:r>
      <w:r/>
    </w:p>
    <w:p>
      <w:pPr>
        <w:ind w:firstLine="480"/>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c.承包人必须积极配合发包人的相关宣传报道、形象展示行为。承包人若以任何名义作任何关于该项目的宣传报道，须事先经发包人同意。</w:t>
      </w:r>
      <w:r/>
    </w:p>
    <w:p>
      <w:pPr>
        <w:ind w:firstLine="480"/>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d.承包人在施工及维修期间应注意从各方面维护自己和发包人的形象，如果有被媒体曝光的，发包人将视为承包人违约，媒体曝光一次，违约金不低于20000元人民币；对发包人有损害的媒体曝光一次，违约金不低于40000元人民币。</w:t>
      </w:r>
      <w:r/>
    </w:p>
    <w:p>
      <w:pPr>
        <w:ind w:firstLine="480"/>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e.发包人有权自行委托工程造价咨询单位对经发包人初步审定的竣工结算报告及结算资料进行复核，并以该复核结果作为对报审竣工结算作出确认或者提出修改意见的最终依据。如施工单位所报结算经审计后，若审减额（送审额与审定额之差）超过10%（含10%）时（包括图纸变更、材料核价等一切中途变更审计内容），审减额（送审额与审定额之差）超过10%部分的审计费用由承包人支付。</w:t>
      </w:r>
      <w:r/>
    </w:p>
    <w:p>
      <w:pPr>
        <w:ind w:firstLine="480"/>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f.关于检测、检验、试验：</w:t>
      </w:r>
      <w:r/>
    </w:p>
    <w:p>
      <w:pPr>
        <w:ind w:firstLine="480"/>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①承包人按规定进行建筑材料、构配件等试样的制作、封样、送检和其它为保证工程质量进行的材料检验试验工作的费用，由承包人承担。包括新结构、新材料的试验费，对构件（如幕墙、预制桩、门窗）做破坏性试验所发生的试样费用和根据国家标准和施工验收规范要求对材料、构配件和建筑物工程质量检测检验发生的第三方检测费用，对此类检测发生的费用，由发包人承担。但对承包人提供的具有合格证明的材料进行检测不合格的，该检测费用由承包人支付。</w:t>
      </w:r>
      <w:r/>
    </w:p>
    <w:p>
      <w:pPr>
        <w:ind w:firstLine="480"/>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②甲供材的进场质量须由承包人进行把关，如遇因质量不合格材料的使用而引起的返工所造成的费用损失及工期延误由承包人负责。</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u w:val="single"/>
          <w:lang w:eastAsia="zh-CN"/>
        </w:rPr>
        <w:t xml:space="preserve">③工程各分部分项一次检测不合格，承包人除承担返工费用外，还需承担后续检测费用以及因延期交付给发包人造成的直接和间接损失的相关费用</w:t>
      </w:r>
      <w:r>
        <w:rPr>
          <w:rFonts w:hint="eastAsia" w:ascii="宋体" w:hAnsi="宋体" w:eastAsia="宋体" w:cs="宋体"/>
          <w:color w:val="auto"/>
          <w:sz w:val="21"/>
          <w:szCs w:val="21"/>
          <w:highlight w:val="none"/>
          <w:lang w:eastAsia="zh-CN"/>
        </w:rPr>
        <w:t xml:space="preserve">。</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g.</w:t>
      </w:r>
      <w:r>
        <w:rPr>
          <w:rFonts w:hint="eastAsia" w:ascii="宋体" w:hAnsi="宋体" w:eastAsia="宋体" w:cs="宋体"/>
          <w:color w:val="auto"/>
          <w:sz w:val="21"/>
          <w:szCs w:val="21"/>
          <w:highlight w:val="none"/>
          <w:u w:val="single"/>
          <w:lang w:eastAsia="zh-CN"/>
        </w:rPr>
        <w:t xml:space="preserve">做好施工场地周围地下管线和邻近建、构筑物、古树名木的保护和观测工作，由承包人提出迁移或保护方案经发包人同意后实施，其费用由发包人承担，如发生意外造成的财产和人身损害以及由于承包人原因造成的损失，法律责任和费用由承包人承担。</w:t>
      </w:r>
      <w:r/>
    </w:p>
    <w:p>
      <w:pPr>
        <w:ind w:firstLine="482"/>
        <w:jc w:val="both"/>
        <w:spacing w:after="120" w:line="360" w:lineRule="auto"/>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3.2 项目经理</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3.2.1 项目经理： </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姓    名：    ；</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身份证号：    ；</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建造师执业资格等级：  ；</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建造师注册证书号：  ；</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建造师执业印章号：  ；</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安全生产考核合格证书号： ；</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联系电话：  ；</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电子信箱：  ；</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通信地址： ；</w:t>
      </w:r>
      <w:r/>
    </w:p>
    <w:p>
      <w:pPr>
        <w:ind w:firstLine="42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承包人对项目经理的授权范围如下：</w:t>
      </w:r>
      <w:r>
        <w:rPr>
          <w:rFonts w:hint="eastAsia" w:ascii="宋体" w:hAnsi="宋体" w:eastAsia="宋体" w:cs="宋体"/>
          <w:color w:val="auto"/>
          <w:sz w:val="21"/>
          <w:szCs w:val="21"/>
          <w:highlight w:val="none"/>
          <w:u w:val="single"/>
          <w:lang w:eastAsia="zh-CN"/>
        </w:rPr>
        <w:t xml:space="preserve">代表承包人履行本合同约定的各项权利义务</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u w:val="single"/>
          <w:lang w:eastAsia="zh-CN"/>
        </w:rPr>
        <w:t xml:space="preserve">按合同约定组织工程实施；在合同约定范围内主持承包人有关施工、技术、工程进度、现场管理、安全生产、质量检验、竣工交付、结算等方面工作 </w:t>
      </w:r>
      <w:r>
        <w:rPr>
          <w:rFonts w:hint="eastAsia" w:ascii="宋体" w:hAnsi="宋体" w:eastAsia="宋体" w:cs="宋体"/>
          <w:color w:val="auto"/>
          <w:sz w:val="21"/>
          <w:szCs w:val="21"/>
          <w:highlight w:val="none"/>
          <w:lang w:eastAsia="zh-CN"/>
        </w:rPr>
        <w:t xml:space="preserve">。</w:t>
      </w:r>
      <w:r/>
    </w:p>
    <w:p>
      <w:pPr>
        <w:ind w:firstLine="42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关于项目经理每月在施工现场的时间要求：</w:t>
      </w:r>
      <w:r>
        <w:rPr>
          <w:rFonts w:hint="eastAsia" w:ascii="宋体" w:hAnsi="宋体" w:eastAsia="宋体" w:cs="宋体"/>
          <w:color w:val="auto"/>
          <w:sz w:val="21"/>
          <w:szCs w:val="21"/>
          <w:highlight w:val="none"/>
          <w:u w:val="single"/>
          <w:lang w:eastAsia="zh-CN"/>
        </w:rPr>
        <w:t xml:space="preserve">施工期间项目经理必须常驻施工现场，每周不少于五天，每天不少于8小时，如有夜间施工的情况，项目经理必须全程在施工现场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u w:val="single"/>
          <w:lang w:eastAsia="zh-CN"/>
        </w:rPr>
        <w:t xml:space="preserve">项目经理必须参加每周召开的工程例会，有事必须请假。如项目经理有特殊原因不能保证上述在岗时间的，需征得发包人书面同意后，授权项目副经理全权处理现场事务，且满足上述在岗时间。如项目经理未经发包人同意违反上述规定，每缺席一日或缺席一次例会支付违约金1000元整</w:t>
      </w:r>
      <w:r>
        <w:rPr>
          <w:rFonts w:hint="eastAsia" w:ascii="宋体" w:hAnsi="宋体" w:eastAsia="宋体" w:cs="宋体"/>
          <w:color w:val="auto"/>
          <w:sz w:val="21"/>
          <w:szCs w:val="21"/>
          <w:highlight w:val="none"/>
          <w:lang w:eastAsia="zh-CN"/>
        </w:rPr>
        <w:t xml:space="preserve">。</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承包人未提交劳动合同，以及没有为项目经理缴纳社会保险证明的违约责任：</w:t>
      </w:r>
      <w:r>
        <w:rPr>
          <w:rFonts w:hint="eastAsia" w:ascii="宋体" w:hAnsi="宋体" w:eastAsia="宋体" w:cs="宋体"/>
          <w:color w:val="auto"/>
          <w:sz w:val="21"/>
          <w:szCs w:val="21"/>
          <w:highlight w:val="none"/>
          <w:u w:val="single"/>
          <w:lang w:eastAsia="zh-CN"/>
        </w:rPr>
        <w:t xml:space="preserve">清退承包人出场，所发生所有费用由承包人承担，并报送工程所在地工程建设主管部门备案</w:t>
      </w:r>
      <w:r>
        <w:rPr>
          <w:rFonts w:hint="eastAsia" w:ascii="宋体" w:hAnsi="宋体" w:eastAsia="宋体" w:cs="宋体"/>
          <w:color w:val="auto"/>
          <w:sz w:val="21"/>
          <w:szCs w:val="21"/>
          <w:highlight w:val="none"/>
          <w:lang w:eastAsia="zh-CN"/>
        </w:rPr>
        <w:t xml:space="preserve">。</w:t>
      </w:r>
      <w:r/>
    </w:p>
    <w:p>
      <w:pPr>
        <w:ind w:firstLine="480"/>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lang w:eastAsia="zh-CN"/>
        </w:rPr>
        <w:t xml:space="preserve">项目经理未经批准，擅自离开施工现场的违约责任：</w:t>
      </w:r>
      <w:r>
        <w:rPr>
          <w:rFonts w:hint="eastAsia" w:ascii="宋体" w:hAnsi="宋体" w:eastAsia="宋体" w:cs="宋体"/>
          <w:color w:val="auto"/>
          <w:sz w:val="21"/>
          <w:szCs w:val="21"/>
          <w:highlight w:val="none"/>
          <w:u w:val="single"/>
          <w:lang w:eastAsia="zh-CN"/>
        </w:rPr>
        <w:t xml:space="preserve">每次处罚违约金人民币2000元</w:t>
      </w:r>
      <w:r>
        <w:rPr>
          <w:rFonts w:hint="eastAsia" w:ascii="宋体" w:hAnsi="宋体" w:eastAsia="宋体" w:cs="宋体"/>
          <w:color w:val="auto"/>
          <w:sz w:val="21"/>
          <w:szCs w:val="21"/>
          <w:highlight w:val="none"/>
          <w:lang w:eastAsia="zh-CN"/>
        </w:rPr>
        <w:t xml:space="preserve">。</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3.2.2 承包人擅自更换项目经理的违约责任：</w:t>
      </w:r>
      <w:r>
        <w:rPr>
          <w:rFonts w:hint="eastAsia" w:ascii="宋体" w:hAnsi="宋体" w:eastAsia="宋体" w:cs="宋体"/>
          <w:color w:val="auto"/>
          <w:sz w:val="21"/>
          <w:szCs w:val="21"/>
          <w:highlight w:val="none"/>
          <w:u w:val="single"/>
          <w:lang w:eastAsia="zh-CN"/>
        </w:rPr>
        <w:t xml:space="preserve">投标文件中列明的项目经理不得擅自更换，如有特殊原因确需更换，承包人应向发包人提出书面申请，发包人同意后方可更换，否则按照签约合同价的5%处罚违约金，并勒令停工至发包人书面同意其更换项目经理</w:t>
      </w:r>
      <w:r>
        <w:rPr>
          <w:rFonts w:hint="eastAsia" w:ascii="宋体" w:hAnsi="宋体" w:eastAsia="宋体" w:cs="宋体"/>
          <w:color w:val="auto"/>
          <w:sz w:val="21"/>
          <w:szCs w:val="21"/>
          <w:highlight w:val="none"/>
          <w:lang w:eastAsia="zh-CN"/>
        </w:rPr>
        <w:t xml:space="preserve">。</w:t>
      </w:r>
      <w:r/>
    </w:p>
    <w:p>
      <w:pPr>
        <w:ind w:firstLine="480"/>
        <w:jc w:val="both"/>
        <w:spacing w:line="360" w:lineRule="auto"/>
        <w:rPr>
          <w:rFonts w:hint="eastAsia" w:ascii="宋体" w:hAnsi="宋体" w:eastAsia="宋体" w:cs="宋体"/>
          <w:color w:val="auto"/>
          <w:sz w:val="21"/>
          <w:szCs w:val="21"/>
          <w:highlight w:val="none"/>
          <w:lang w:eastAsia="zh-CN"/>
        </w:rPr>
      </w:pPr>
      <w:r/>
      <w:bookmarkStart w:id="560" w:name="_Toc36797931"/>
      <w:r>
        <w:rPr>
          <w:rFonts w:hint="eastAsia" w:ascii="宋体" w:hAnsi="宋体" w:eastAsia="宋体" w:cs="宋体"/>
          <w:color w:val="auto"/>
          <w:sz w:val="21"/>
          <w:szCs w:val="21"/>
          <w:highlight w:val="none"/>
          <w:lang w:eastAsia="zh-CN"/>
        </w:rPr>
        <w:t xml:space="preserve">3.2.3 承包人无正当理由拒绝更换项目经理的违约责任：</w:t>
      </w:r>
      <w:bookmarkEnd w:id="560"/>
      <w:r>
        <w:rPr>
          <w:rFonts w:hint="eastAsia" w:ascii="宋体" w:hAnsi="宋体" w:eastAsia="宋体" w:cs="宋体"/>
          <w:color w:val="auto"/>
          <w:sz w:val="21"/>
          <w:szCs w:val="21"/>
          <w:highlight w:val="none"/>
          <w:u w:val="single"/>
          <w:lang w:eastAsia="zh-CN"/>
        </w:rPr>
        <w:t xml:space="preserve">发包人有权更换其认为不符合合同约定或不称职的项目经理，承包人无正当理由拒绝更换的，发包人有权解除合同</w:t>
      </w:r>
      <w:r>
        <w:rPr>
          <w:rFonts w:hint="eastAsia" w:ascii="宋体" w:hAnsi="宋体" w:eastAsia="宋体" w:cs="宋体"/>
          <w:color w:val="auto"/>
          <w:sz w:val="21"/>
          <w:szCs w:val="21"/>
          <w:highlight w:val="none"/>
          <w:lang w:eastAsia="zh-CN"/>
        </w:rPr>
        <w:t xml:space="preserve">。</w:t>
      </w:r>
      <w:r/>
    </w:p>
    <w:p>
      <w:pPr>
        <w:ind w:firstLine="482"/>
        <w:jc w:val="both"/>
        <w:spacing w:after="120" w:line="360" w:lineRule="auto"/>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3.3 承包人人员</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3.3.1 承包人提交项目管理机构及施工现场管理人员安排报告的期限：</w:t>
      </w:r>
      <w:r>
        <w:rPr>
          <w:rFonts w:hint="eastAsia" w:ascii="宋体" w:hAnsi="宋体" w:eastAsia="宋体" w:cs="宋体"/>
          <w:color w:val="auto"/>
          <w:sz w:val="21"/>
          <w:szCs w:val="21"/>
          <w:highlight w:val="none"/>
          <w:u w:val="single"/>
          <w:lang w:eastAsia="zh-CN"/>
        </w:rPr>
        <w:t xml:space="preserve">召开第一次工地例会前三天</w:t>
      </w:r>
      <w:r>
        <w:rPr>
          <w:rFonts w:hint="eastAsia" w:ascii="宋体" w:hAnsi="宋体" w:eastAsia="宋体" w:cs="宋体"/>
          <w:color w:val="auto"/>
          <w:sz w:val="21"/>
          <w:szCs w:val="21"/>
          <w:highlight w:val="none"/>
          <w:lang w:eastAsia="zh-CN"/>
        </w:rPr>
        <w:t xml:space="preserve">。</w:t>
      </w:r>
      <w:r/>
    </w:p>
    <w:p>
      <w:pPr>
        <w:ind w:firstLine="420"/>
        <w:spacing w:line="360" w:lineRule="auto"/>
        <w:rPr>
          <w:rFonts w:hint="eastAsia" w:ascii="宋体" w:hAnsi="宋体" w:eastAsia="宋体" w:cs="宋体"/>
          <w:bCs/>
          <w:color w:val="auto"/>
          <w:sz w:val="21"/>
          <w:szCs w:val="21"/>
          <w:highlight w:val="none"/>
          <w:u w:val="single"/>
          <w:lang w:eastAsia="zh-CN"/>
        </w:rPr>
      </w:pPr>
      <w:r>
        <w:rPr>
          <w:rFonts w:hint="eastAsia" w:ascii="宋体" w:hAnsi="宋体" w:eastAsia="宋体" w:cs="宋体"/>
          <w:color w:val="auto"/>
          <w:sz w:val="21"/>
          <w:szCs w:val="21"/>
          <w:highlight w:val="none"/>
          <w:lang w:eastAsia="zh-CN"/>
        </w:rPr>
        <w:t xml:space="preserve">3.3.2 承包人无正当理由拒绝撤换主要施工管理人员的违约责任：</w:t>
      </w:r>
      <w:r>
        <w:rPr>
          <w:rFonts w:hint="eastAsia" w:ascii="宋体" w:hAnsi="宋体" w:eastAsia="宋体" w:cs="宋体"/>
          <w:color w:val="auto"/>
          <w:sz w:val="21"/>
          <w:szCs w:val="21"/>
          <w:highlight w:val="none"/>
          <w:u w:val="single"/>
          <w:lang w:eastAsia="zh-CN"/>
        </w:rPr>
        <w:t xml:space="preserve">每人次处罚违约金人民币1000元，由发包人代表签发处罚指令，此费用将从当月进度款中直接扣除</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bCs/>
          <w:color w:val="auto"/>
          <w:sz w:val="21"/>
          <w:szCs w:val="21"/>
          <w:highlight w:val="none"/>
          <w:u w:val="single"/>
          <w:lang w:eastAsia="zh-CN"/>
        </w:rPr>
        <w:t xml:space="preserve">主要施工管理人员包括：项目经理、项目副经理（如果有）、技术负责人、造价员、质量员、安全员、材料员、资料员等人员。</w:t>
      </w:r>
      <w:r/>
    </w:p>
    <w:p>
      <w:pPr>
        <w:ind w:firstLine="480"/>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lang w:eastAsia="zh-CN"/>
        </w:rPr>
        <w:t xml:space="preserve">3.3.3 承包人主要施工管理人员离开施工现场的批准要求：</w:t>
      </w:r>
      <w:r>
        <w:rPr>
          <w:rFonts w:hint="eastAsia" w:ascii="宋体" w:hAnsi="宋体" w:eastAsia="宋体" w:cs="宋体"/>
          <w:color w:val="auto"/>
          <w:sz w:val="21"/>
          <w:szCs w:val="21"/>
          <w:highlight w:val="none"/>
          <w:u w:val="single"/>
          <w:lang w:eastAsia="zh-CN"/>
        </w:rPr>
        <w:t xml:space="preserve">按照通用合同条款执行</w:t>
      </w:r>
      <w:r>
        <w:rPr>
          <w:rFonts w:hint="eastAsia" w:ascii="宋体" w:hAnsi="宋体" w:eastAsia="宋体" w:cs="宋体"/>
          <w:color w:val="auto"/>
          <w:sz w:val="21"/>
          <w:szCs w:val="21"/>
          <w:highlight w:val="none"/>
          <w:lang w:eastAsia="zh-CN"/>
        </w:rPr>
        <w:t xml:space="preserve">。</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3.3.4 承包人主要施工管理人员擅自离开施工现场的违约责任：</w:t>
      </w:r>
      <w:r>
        <w:rPr>
          <w:rFonts w:hint="eastAsia" w:ascii="宋体" w:hAnsi="宋体" w:eastAsia="宋体" w:cs="宋体"/>
          <w:color w:val="auto"/>
          <w:sz w:val="21"/>
          <w:szCs w:val="21"/>
          <w:highlight w:val="none"/>
          <w:u w:val="single"/>
          <w:lang w:eastAsia="zh-CN"/>
        </w:rPr>
        <w:t xml:space="preserve">每人次处罚违约金人民币1000元，由发包人代表签发处罚指令，此费用将从当月进度款中直接扣除</w:t>
      </w:r>
      <w:r>
        <w:rPr>
          <w:rFonts w:hint="eastAsia" w:ascii="宋体" w:hAnsi="宋体" w:eastAsia="宋体" w:cs="宋体"/>
          <w:color w:val="auto"/>
          <w:sz w:val="21"/>
          <w:szCs w:val="21"/>
          <w:highlight w:val="none"/>
          <w:lang w:eastAsia="zh-CN"/>
        </w:rPr>
        <w:t xml:space="preserve">。</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3.3.5承包人擅自更换主要施工管理人员的违约责任：</w:t>
      </w:r>
      <w:r>
        <w:rPr>
          <w:rFonts w:hint="eastAsia" w:ascii="宋体" w:hAnsi="宋体" w:eastAsia="宋体" w:cs="宋体"/>
          <w:color w:val="auto"/>
          <w:sz w:val="21"/>
          <w:szCs w:val="21"/>
          <w:highlight w:val="none"/>
          <w:u w:val="single"/>
          <w:lang w:eastAsia="zh-CN"/>
        </w:rPr>
        <w:t xml:space="preserve">每人次处罚违约金人民币1000元，由发包人代表签发处罚指令，此费用将从当月进度款中直接扣除</w:t>
      </w:r>
      <w:r>
        <w:rPr>
          <w:rFonts w:hint="eastAsia" w:ascii="宋体" w:hAnsi="宋体" w:eastAsia="宋体" w:cs="宋体"/>
          <w:color w:val="auto"/>
          <w:sz w:val="21"/>
          <w:szCs w:val="21"/>
          <w:highlight w:val="none"/>
          <w:lang w:eastAsia="zh-CN"/>
        </w:rPr>
        <w:t xml:space="preserve">。</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承包人应当依法与其现场施工人员签订劳动（劳务）合同，缴纳社会保险（商业保险），按时发放工资、报酬，及时、妥善处理劳动（劳务）争议并承担相关法律责任。如发包人先行垫付相关费用的，有权从是进度款中扣除。因此给发包人造成损失的，承包人应当予以赔偿。</w:t>
      </w:r>
      <w:r/>
    </w:p>
    <w:p>
      <w:pPr>
        <w:ind w:firstLine="482"/>
        <w:jc w:val="both"/>
        <w:spacing w:after="120" w:line="360" w:lineRule="auto"/>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3</w:t>
      </w:r>
      <w:bookmarkStart w:id="561" w:name="_Toc296503159"/>
      <w:r/>
      <w:bookmarkStart w:id="562" w:name="_Toc312677988"/>
      <w:r/>
      <w:bookmarkStart w:id="563" w:name="_Toc296890987"/>
      <w:r/>
      <w:bookmarkStart w:id="564" w:name="_Toc296347158"/>
      <w:r/>
      <w:bookmarkStart w:id="565" w:name="_Toc296944498"/>
      <w:r/>
      <w:bookmarkStart w:id="566" w:name="_Toc304295523"/>
      <w:r/>
      <w:bookmarkStart w:id="567" w:name="_Toc297123492"/>
      <w:r/>
      <w:bookmarkStart w:id="568" w:name="_Toc296891199"/>
      <w:r/>
      <w:bookmarkStart w:id="569" w:name="_Toc300934945"/>
      <w:r/>
      <w:bookmarkStart w:id="570" w:name="_Toc292559869"/>
      <w:r/>
      <w:bookmarkStart w:id="571" w:name="_Toc296346660"/>
      <w:r/>
      <w:bookmarkStart w:id="572" w:name="_Toc292559364"/>
      <w:r/>
      <w:bookmarkStart w:id="573" w:name="_Toc303539102"/>
      <w:r/>
      <w:bookmarkStart w:id="574" w:name="_Toc297120459"/>
      <w:r/>
      <w:bookmarkStart w:id="575" w:name="_Toc297216151"/>
      <w:r/>
      <w:bookmarkStart w:id="576" w:name="_Toc297048345"/>
      <w:r>
        <w:rPr>
          <w:rFonts w:hint="eastAsia" w:ascii="宋体" w:hAnsi="宋体" w:eastAsia="宋体" w:cs="宋体"/>
          <w:b/>
          <w:color w:val="auto"/>
          <w:sz w:val="21"/>
          <w:szCs w:val="21"/>
          <w:highlight w:val="none"/>
          <w:lang w:eastAsia="zh-CN"/>
        </w:rPr>
        <w:t xml:space="preserve">.5 分包</w:t>
      </w:r>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r/>
    </w:p>
    <w:p>
      <w:pPr>
        <w:ind w:firstLine="480"/>
        <w:jc w:val="both"/>
        <w:spacing w:before="120" w:after="120"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lang w:eastAsia="zh-CN"/>
        </w:rPr>
        <w:t xml:space="preserve">禁止分包的工程包括：</w:t>
      </w:r>
      <w:r>
        <w:rPr>
          <w:rFonts w:hint="eastAsia" w:ascii="宋体" w:hAnsi="宋体" w:eastAsia="宋体" w:cs="宋体"/>
          <w:color w:val="0000ff"/>
          <w:sz w:val="21"/>
          <w:szCs w:val="21"/>
          <w:highlight w:val="none"/>
          <w:u w:val="single"/>
          <w:lang w:eastAsia="zh-CN"/>
        </w:rPr>
        <w:t xml:space="preserve">工程主体结构、关键性工作不允许分包。</w:t>
      </w:r>
      <w:r>
        <w:rPr>
          <w:rFonts w:hint="eastAsia" w:ascii="宋体" w:hAnsi="宋体" w:eastAsia="宋体" w:cs="宋体"/>
          <w:color w:val="auto"/>
          <w:sz w:val="21"/>
          <w:szCs w:val="21"/>
          <w:highlight w:val="none"/>
          <w:u w:val="single"/>
          <w:lang w:eastAsia="zh-CN"/>
        </w:rPr>
        <w:t xml:space="preserve">如某些专业工程，承包人自行施工质量不能令发包人和监理满意，发包人书面同意承包人做分包处理，承包人应做好分包人的管理工作和负总责。分包单位的任何违约行为或疏忽导致工程损害或给发包人造成其他损失，承包人承担连带责任。</w:t>
      </w:r>
      <w:r/>
    </w:p>
    <w:p>
      <w:pPr>
        <w:ind w:firstLine="480"/>
        <w:jc w:val="both"/>
        <w:spacing w:before="120" w:after="120"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主体结构、关键性工作的范围：</w:t>
      </w:r>
      <w:r>
        <w:rPr>
          <w:rFonts w:hint="eastAsia" w:ascii="宋体" w:hAnsi="宋体" w:eastAsia="宋体" w:cs="宋体"/>
          <w:color w:val="0000ff"/>
          <w:sz w:val="21"/>
          <w:szCs w:val="21"/>
          <w:highlight w:val="none"/>
          <w:u w:val="single"/>
          <w:lang w:eastAsia="zh-CN"/>
        </w:rPr>
        <w:t xml:space="preserve">基础、梁、板、柱、墙、楼梯工程等 </w:t>
      </w:r>
      <w:r>
        <w:rPr>
          <w:rFonts w:hint="eastAsia" w:ascii="宋体" w:hAnsi="宋体" w:eastAsia="宋体" w:cs="宋体"/>
          <w:color w:val="auto"/>
          <w:sz w:val="21"/>
          <w:szCs w:val="21"/>
          <w:highlight w:val="none"/>
          <w:u w:val="single"/>
          <w:lang w:eastAsia="zh-CN"/>
        </w:rPr>
        <w:t xml:space="preserve">。</w:t>
      </w:r>
      <w:bookmarkStart w:id="577" w:name="_Toc296347160"/>
      <w:r/>
      <w:bookmarkStart w:id="578" w:name="_Toc297123494"/>
      <w:r/>
      <w:bookmarkStart w:id="579" w:name="_Toc304295525"/>
      <w:r/>
      <w:bookmarkStart w:id="580" w:name="_Toc296503161"/>
      <w:r/>
      <w:bookmarkStart w:id="581" w:name="_Toc303539104"/>
      <w:r/>
      <w:bookmarkStart w:id="582" w:name="_Toc296944500"/>
      <w:r/>
      <w:bookmarkStart w:id="583" w:name="_Toc297216153"/>
      <w:r/>
      <w:bookmarkStart w:id="584" w:name="_Toc296890989"/>
      <w:r/>
      <w:bookmarkStart w:id="585" w:name="_Toc297048347"/>
      <w:r/>
      <w:bookmarkStart w:id="586" w:name="_Toc296346662"/>
      <w:r/>
      <w:bookmarkStart w:id="587" w:name="_Toc297120461"/>
      <w:r/>
      <w:bookmarkStart w:id="588" w:name="_Toc300934947"/>
      <w:r/>
      <w:bookmarkStart w:id="589" w:name="_Toc296891201"/>
      <w:r/>
      <w:bookmarkEnd w:id="577"/>
      <w:bookmarkEnd w:id="578"/>
      <w:bookmarkEnd w:id="579"/>
      <w:bookmarkEnd w:id="580"/>
      <w:bookmarkEnd w:id="581"/>
      <w:bookmarkEnd w:id="582"/>
      <w:bookmarkEnd w:id="583"/>
      <w:bookmarkEnd w:id="584"/>
      <w:bookmarkEnd w:id="585"/>
      <w:bookmarkEnd w:id="586"/>
      <w:bookmarkEnd w:id="587"/>
      <w:bookmarkEnd w:id="588"/>
      <w:bookmarkEnd w:id="589"/>
      <w:r/>
    </w:p>
    <w:p>
      <w:pPr>
        <w:ind w:firstLine="480"/>
        <w:jc w:val="both"/>
        <w:spacing w:before="120" w:after="120" w:line="360" w:lineRule="auto"/>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 3</w:t>
      </w:r>
      <w:bookmarkStart w:id="590" w:name="_Toc318581159"/>
      <w:r/>
      <w:bookmarkStart w:id="591" w:name="_Toc312677990"/>
      <w:r>
        <w:rPr>
          <w:rFonts w:hint="eastAsia" w:ascii="宋体" w:hAnsi="宋体" w:eastAsia="宋体" w:cs="宋体"/>
          <w:b/>
          <w:color w:val="auto"/>
          <w:sz w:val="21"/>
          <w:szCs w:val="21"/>
          <w:highlight w:val="none"/>
          <w:lang w:eastAsia="zh-CN"/>
        </w:rPr>
        <w:t xml:space="preserve">.5.1分包的确定</w:t>
      </w:r>
      <w:r/>
    </w:p>
    <w:p>
      <w:pPr>
        <w:ind w:firstLine="480"/>
        <w:jc w:val="both"/>
        <w:spacing w:before="120" w:after="120"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允许分包的专业工程包括：</w:t>
      </w:r>
      <w:r>
        <w:rPr>
          <w:rFonts w:hint="eastAsia" w:ascii="宋体" w:hAnsi="宋体" w:eastAsia="宋体" w:cs="宋体"/>
          <w:color w:val="0000ff"/>
          <w:sz w:val="21"/>
          <w:szCs w:val="21"/>
          <w:highlight w:val="none"/>
          <w:u w:val="single"/>
          <w:lang w:eastAsia="zh-CN"/>
        </w:rPr>
        <w:t xml:space="preserve">工程主体结构和关键性工作不允许分包，工程非主体结构、非关键性工作分包须经发包人同意。</w:t>
      </w:r>
      <w:r>
        <w:rPr>
          <w:rFonts w:hint="eastAsia" w:ascii="宋体" w:hAnsi="宋体" w:eastAsia="宋体" w:cs="宋体"/>
          <w:color w:val="auto"/>
          <w:sz w:val="21"/>
          <w:szCs w:val="21"/>
          <w:highlight w:val="none"/>
          <w:u w:val="single"/>
          <w:lang w:eastAsia="zh-CN"/>
        </w:rPr>
        <w:t xml:space="preserve">未经发包人同意，不得擅自分包。若发现擅自分包，发包人有权要求相关分包人退场，一切损失均由承包人承担，并视情况向建设行政主管部门报告。对有特殊情况或相关文件规定确需分包的特殊工程，须经发包人确认后方可分包，此时承包人和分包单位就分包的项目对建设单位承担连带责任。如遇承包人无法自行完成的项目，承包人必须向发包人递交纸质的分包申请经发包人批准后再向分包人递交分包合同进行备案 。</w:t>
      </w:r>
      <w:r/>
    </w:p>
    <w:p>
      <w:pPr>
        <w:ind w:firstLine="480"/>
        <w:jc w:val="both"/>
        <w:spacing w:before="120" w:after="120"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发包人有权依据承包人的工程实施能力和合同履行情况，并结合工程推进的实际情况，发包人有权将专业工程另行分包且发包人保留追究承包人违约的责任。</w:t>
      </w:r>
      <w:r/>
    </w:p>
    <w:p>
      <w:pPr>
        <w:ind w:firstLine="480"/>
        <w:jc w:val="both"/>
        <w:spacing w:before="120" w:after="120"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lang w:eastAsia="zh-CN"/>
        </w:rPr>
        <w:t xml:space="preserve">其他关于分包的约定： </w:t>
      </w:r>
      <w:r>
        <w:rPr>
          <w:rFonts w:hint="eastAsia" w:ascii="宋体" w:hAnsi="宋体" w:eastAsia="宋体" w:cs="宋体"/>
          <w:color w:val="auto"/>
          <w:sz w:val="21"/>
          <w:szCs w:val="21"/>
          <w:highlight w:val="none"/>
          <w:u w:val="single"/>
          <w:lang w:eastAsia="zh-CN"/>
        </w:rPr>
        <w:t xml:space="preserve">需合法分包的分部分项工程，分包单位确定须在分部分项工程开工前14天向发包人申报并同意后方可实施。分包合同需向相关行政管理部门备案。</w:t>
      </w:r>
      <w:r>
        <w:rPr>
          <w:rFonts w:hint="eastAsia" w:ascii="宋体" w:hAnsi="宋体" w:eastAsia="宋体" w:cs="宋体"/>
          <w:color w:val="0000ff"/>
          <w:sz w:val="21"/>
          <w:szCs w:val="21"/>
          <w:highlight w:val="none"/>
          <w:u w:val="single"/>
          <w:lang w:eastAsia="zh-CN"/>
        </w:rPr>
        <w:t xml:space="preserve">承包人不得将任何工程项目转包或违法分包给第三方，若经确认有未经发包人批准的第三方进场施工，发包人有权拒绝验收分包商施工的工程，并有权解除合同并没收履约保证金，承包人承担由此给发包人造成的一切损失。</w:t>
      </w:r>
      <w:r/>
    </w:p>
    <w:p>
      <w:pPr>
        <w:ind w:firstLine="480"/>
        <w:jc w:val="both"/>
        <w:spacing w:before="120" w:after="120" w:line="360" w:lineRule="auto"/>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3.5.2 分包合同价款</w:t>
      </w:r>
      <w:r/>
    </w:p>
    <w:p>
      <w:pPr>
        <w:ind w:firstLine="480"/>
        <w:jc w:val="both"/>
        <w:spacing w:before="120" w:after="120"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lang w:eastAsia="zh-CN"/>
        </w:rPr>
        <w:t xml:space="preserve">关于分包合同价款支付的约定：</w:t>
      </w:r>
      <w:r>
        <w:rPr>
          <w:rFonts w:hint="eastAsia" w:ascii="宋体" w:hAnsi="宋体" w:eastAsia="宋体" w:cs="宋体"/>
          <w:color w:val="auto"/>
          <w:sz w:val="21"/>
          <w:szCs w:val="21"/>
          <w:highlight w:val="none"/>
          <w:u w:val="single"/>
          <w:lang w:eastAsia="zh-CN"/>
        </w:rPr>
        <w:t xml:space="preserve">由承包人与分包人之间结算，发包人有权直接向分包人按分包合同支付工程价款，其全部费用将从承包人当期进度款中直接扣除  。</w:t>
      </w:r>
      <w:bookmarkEnd w:id="590"/>
      <w:bookmarkEnd w:id="591"/>
      <w:r/>
    </w:p>
    <w:p>
      <w:pPr>
        <w:ind w:firstLine="482"/>
        <w:jc w:val="both"/>
        <w:spacing w:after="120" w:line="360" w:lineRule="auto"/>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3.6 工程照管与成品、半成品保护</w:t>
      </w:r>
      <w:r/>
    </w:p>
    <w:p>
      <w:pPr>
        <w:ind w:firstLine="480"/>
        <w:jc w:val="both"/>
        <w:spacing w:before="120" w:after="12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承包人负责照管工程及工程相关的材料、工程设备的起始时间：</w:t>
      </w:r>
      <w:r/>
    </w:p>
    <w:p>
      <w:pPr>
        <w:ind w:firstLine="480"/>
        <w:jc w:val="both"/>
        <w:spacing w:before="120" w:after="120"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（1）自发包人向承包人移交施工现场之日起，承包人应负责照管工程及工程相关的材料、工程设备，直到颁发工程接收证书之日止。</w:t>
      </w:r>
      <w:r/>
    </w:p>
    <w:p>
      <w:pPr>
        <w:ind w:firstLine="480"/>
        <w:jc w:val="both"/>
        <w:spacing w:before="120" w:after="120"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（2）在承包人负责照管期间，因承包人原因造成工程、材料、工程设备损坏的，由承包人负责修复或更换，并承担由此增加的费用和延误的工期。</w:t>
      </w:r>
      <w:r/>
    </w:p>
    <w:p>
      <w:pPr>
        <w:ind w:firstLine="480"/>
        <w:jc w:val="both"/>
        <w:spacing w:before="120" w:after="120"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（3）对合同内分期完成的成品和半成品，在工程接收证书颁发前，由承包人承担保护责任。因承包人原因造成成品或半成品损坏的，由承包人负责修复或更换，并承担由此增加的费用和延误的工期。</w:t>
      </w:r>
      <w:r/>
    </w:p>
    <w:p>
      <w:pPr>
        <w:ind w:firstLine="480"/>
        <w:jc w:val="both"/>
        <w:spacing w:before="120" w:after="120" w:line="360" w:lineRule="auto"/>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3.7 履约担保</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承包人是否提供履约担保：</w:t>
      </w:r>
      <w:r>
        <w:rPr>
          <w:rFonts w:hint="eastAsia" w:ascii="宋体" w:hAnsi="宋体" w:eastAsia="宋体" w:cs="宋体"/>
          <w:color w:val="auto"/>
          <w:sz w:val="21"/>
          <w:szCs w:val="21"/>
          <w:highlight w:val="none"/>
          <w:u w:val="single"/>
          <w:lang w:eastAsia="zh-CN"/>
        </w:rPr>
        <w:t xml:space="preserve">无</w:t>
      </w:r>
      <w:r>
        <w:rPr>
          <w:rFonts w:hint="eastAsia" w:ascii="宋体" w:hAnsi="宋体" w:eastAsia="宋体" w:cs="宋体"/>
          <w:color w:val="auto"/>
          <w:sz w:val="21"/>
          <w:szCs w:val="21"/>
          <w:highlight w:val="none"/>
          <w:lang w:eastAsia="zh-CN"/>
        </w:rPr>
        <w:t xml:space="preserve">。</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承包人提供履约担保的形式、金额及期限的：</w:t>
      </w:r>
      <w:r>
        <w:rPr>
          <w:rFonts w:hint="eastAsia" w:ascii="宋体" w:hAnsi="宋体" w:eastAsia="宋体" w:cs="宋体"/>
          <w:color w:val="auto"/>
          <w:sz w:val="21"/>
          <w:szCs w:val="21"/>
          <w:highlight w:val="none"/>
          <w:u w:val="single"/>
          <w:lang w:eastAsia="zh-CN"/>
        </w:rPr>
        <w:t xml:space="preserve">无</w:t>
      </w:r>
      <w:r>
        <w:rPr>
          <w:rFonts w:hint="eastAsia" w:ascii="宋体" w:hAnsi="宋体" w:eastAsia="宋体" w:cs="宋体"/>
          <w:color w:val="auto"/>
          <w:sz w:val="21"/>
          <w:szCs w:val="21"/>
          <w:highlight w:val="none"/>
          <w:lang w:eastAsia="zh-CN"/>
        </w:rPr>
        <w:t xml:space="preserve">。</w:t>
      </w:r>
      <w:r/>
    </w:p>
    <w:p>
      <w:pPr>
        <w:ind w:firstLine="482"/>
        <w:jc w:val="both"/>
        <w:spacing w:line="360" w:lineRule="auto"/>
        <w:rPr>
          <w:rFonts w:hint="eastAsia" w:cs="宋体"/>
          <w:color w:val="auto"/>
          <w:sz w:val="21"/>
          <w:szCs w:val="21"/>
          <w:highlight w:val="none"/>
          <w:lang w:eastAsia="zh-CN"/>
        </w:rPr>
      </w:pPr>
      <w:r/>
      <w:bookmarkStart w:id="592" w:name="_Toc351203636"/>
      <w:r>
        <w:rPr>
          <w:rFonts w:hint="eastAsia" w:cs="宋体"/>
          <w:color w:val="auto"/>
          <w:sz w:val="21"/>
          <w:szCs w:val="21"/>
          <w:highlight w:val="none"/>
          <w:lang w:eastAsia="zh-CN"/>
        </w:rPr>
        <w:t xml:space="preserve">4</w:t>
      </w:r>
      <w:bookmarkStart w:id="593" w:name="_Toc292559366"/>
      <w:r/>
      <w:bookmarkStart w:id="594" w:name="_Toc296890990"/>
      <w:r/>
      <w:bookmarkStart w:id="595" w:name="_Toc297048348"/>
      <w:r/>
      <w:bookmarkStart w:id="596" w:name="_Toc296944501"/>
      <w:r/>
      <w:bookmarkStart w:id="597" w:name="_Toc296891202"/>
      <w:r/>
      <w:bookmarkStart w:id="598" w:name="_Toc267251413"/>
      <w:r/>
      <w:bookmarkStart w:id="599" w:name="_Toc296503162"/>
      <w:r/>
      <w:bookmarkStart w:id="600" w:name="_Toc297120462"/>
      <w:r/>
      <w:bookmarkStart w:id="601" w:name="_Toc296346663"/>
      <w:r/>
      <w:bookmarkStart w:id="602" w:name="_Toc292559871"/>
      <w:r/>
      <w:bookmarkStart w:id="603" w:name="_Toc296347161"/>
      <w:r>
        <w:rPr>
          <w:rFonts w:hint="eastAsia" w:cs="宋体"/>
          <w:color w:val="auto"/>
          <w:sz w:val="21"/>
          <w:szCs w:val="21"/>
          <w:highlight w:val="none"/>
          <w:lang w:eastAsia="zh-CN"/>
        </w:rPr>
        <w:t xml:space="preserve">. 监</w:t>
      </w:r>
      <w:bookmarkEnd w:id="593"/>
      <w:r/>
      <w:bookmarkEnd w:id="594"/>
      <w:r/>
      <w:bookmarkEnd w:id="595"/>
      <w:r/>
      <w:bookmarkEnd w:id="596"/>
      <w:r/>
      <w:bookmarkEnd w:id="597"/>
      <w:r/>
      <w:bookmarkEnd w:id="598"/>
      <w:r/>
      <w:bookmarkEnd w:id="599"/>
      <w:r/>
      <w:bookmarkEnd w:id="600"/>
      <w:r/>
      <w:bookmarkEnd w:id="601"/>
      <w:r/>
      <w:bookmarkEnd w:id="602"/>
      <w:r/>
      <w:bookmarkEnd w:id="603"/>
      <w:r>
        <w:rPr>
          <w:rFonts w:hint="eastAsia" w:cs="宋体"/>
          <w:color w:val="auto"/>
          <w:sz w:val="21"/>
          <w:szCs w:val="21"/>
          <w:highlight w:val="none"/>
          <w:lang w:eastAsia="zh-CN"/>
        </w:rPr>
        <w:t xml:space="preserve">理人</w:t>
      </w:r>
      <w:bookmarkEnd w:id="592"/>
      <w:r/>
      <w:r/>
    </w:p>
    <w:p>
      <w:pPr>
        <w:ind w:firstLine="482"/>
        <w:jc w:val="both"/>
        <w:spacing w:after="120" w:line="360" w:lineRule="auto"/>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4.1监理人的一般规定</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关于监理人的监理内容：</w:t>
      </w:r>
      <w:r>
        <w:rPr>
          <w:rFonts w:hint="eastAsia" w:ascii="宋体" w:hAnsi="宋体" w:eastAsia="宋体" w:cs="宋体"/>
          <w:color w:val="auto"/>
          <w:sz w:val="21"/>
          <w:szCs w:val="21"/>
          <w:highlight w:val="none"/>
          <w:u w:val="single"/>
          <w:lang w:eastAsia="zh-CN"/>
        </w:rPr>
        <w:t xml:space="preserve">代表发包人对工程施工相关事项进行检查、查验、审核、验收，并签发相关指示，但监理人无权修改合同，且无权减轻或免除合同约定的承包人的任何责任与义务</w:t>
      </w:r>
      <w:r>
        <w:rPr>
          <w:rFonts w:hint="eastAsia" w:ascii="宋体" w:hAnsi="宋体" w:eastAsia="宋体" w:cs="宋体"/>
          <w:color w:val="auto"/>
          <w:sz w:val="21"/>
          <w:szCs w:val="21"/>
          <w:highlight w:val="none"/>
          <w:lang w:eastAsia="zh-CN"/>
        </w:rPr>
        <w:t xml:space="preserve">。</w:t>
      </w:r>
      <w:r/>
    </w:p>
    <w:p>
      <w:pPr>
        <w:ind w:firstLine="480"/>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lang w:eastAsia="zh-CN"/>
        </w:rPr>
        <w:t xml:space="preserve">关于监理人的监理权限：</w:t>
      </w:r>
      <w:r>
        <w:rPr>
          <w:rFonts w:hint="eastAsia" w:ascii="宋体" w:hAnsi="宋体" w:eastAsia="宋体" w:cs="宋体"/>
          <w:color w:val="auto"/>
          <w:sz w:val="21"/>
          <w:szCs w:val="21"/>
          <w:highlight w:val="none"/>
          <w:u w:val="single"/>
          <w:lang w:eastAsia="zh-CN"/>
        </w:rPr>
        <w:t xml:space="preserve">需要取得发包人批准才能行使的职权：</w:t>
      </w:r>
      <w:r/>
    </w:p>
    <w:p>
      <w:pPr>
        <w:ind w:firstLine="480"/>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1、所有涉及工程造价的签证、工程量签证、索赔、设计变更、工艺和技术核定单批准；</w:t>
      </w:r>
      <w:r/>
    </w:p>
    <w:p>
      <w:pPr>
        <w:ind w:firstLine="480"/>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2、开工令、停工令、复工令、工程分包、工程延期；</w:t>
      </w:r>
      <w:r/>
    </w:p>
    <w:p>
      <w:pPr>
        <w:ind w:firstLine="480"/>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3、工程施工过程中需发生经济费用的各种事宜；</w:t>
      </w:r>
      <w:r/>
    </w:p>
    <w:p>
      <w:pPr>
        <w:ind w:firstLine="480"/>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4、分包单位的确认；</w:t>
      </w:r>
      <w:r/>
    </w:p>
    <w:p>
      <w:pPr>
        <w:ind w:firstLine="480"/>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5、材料的确认。</w:t>
      </w:r>
      <w:r/>
    </w:p>
    <w:p>
      <w:pPr>
        <w:ind w:firstLine="480"/>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具体见《建设工程监理规范》。</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关于监理人在施工现场的办公场所、生活场所的提供和费用承担的约定：</w:t>
      </w:r>
      <w:r>
        <w:rPr>
          <w:rFonts w:hint="eastAsia" w:ascii="宋体" w:hAnsi="宋体" w:eastAsia="宋体" w:cs="宋体"/>
          <w:color w:val="auto"/>
          <w:sz w:val="21"/>
          <w:szCs w:val="21"/>
          <w:highlight w:val="none"/>
          <w:u w:val="single"/>
          <w:lang w:eastAsia="zh-CN"/>
        </w:rPr>
        <w:t xml:space="preserve">由承包人提供一间或两间办公场所，其费用包含在签约合同价中</w:t>
      </w:r>
      <w:r>
        <w:rPr>
          <w:rFonts w:hint="eastAsia" w:ascii="宋体" w:hAnsi="宋体" w:eastAsia="宋体" w:cs="宋体"/>
          <w:color w:val="auto"/>
          <w:sz w:val="21"/>
          <w:szCs w:val="21"/>
          <w:highlight w:val="none"/>
          <w:lang w:eastAsia="zh-CN"/>
        </w:rPr>
        <w:t xml:space="preserve">。</w:t>
      </w:r>
      <w:r/>
    </w:p>
    <w:p>
      <w:pPr>
        <w:ind w:firstLine="482"/>
        <w:jc w:val="both"/>
        <w:spacing w:after="120" w:line="360" w:lineRule="auto"/>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4.2 商定或确定</w:t>
      </w:r>
      <w:r/>
    </w:p>
    <w:p>
      <w:pPr>
        <w:ind w:firstLine="480"/>
        <w:jc w:val="both"/>
        <w:spacing w:line="360" w:lineRule="auto"/>
        <w:rPr>
          <w:rFonts w:hint="eastAsia" w:ascii="宋体" w:hAnsi="宋体" w:eastAsia="宋体" w:cs="宋体"/>
          <w:color w:val="auto"/>
          <w:sz w:val="21"/>
          <w:szCs w:val="21"/>
          <w:highlight w:val="none"/>
          <w:lang w:eastAsia="zh-CN"/>
        </w:rPr>
      </w:pPr>
      <w:r/>
      <w:bookmarkStart w:id="604" w:name="_Toc267251418"/>
      <w:r>
        <w:rPr>
          <w:rFonts w:hint="eastAsia" w:ascii="宋体" w:hAnsi="宋体" w:eastAsia="宋体" w:cs="宋体"/>
          <w:color w:val="auto"/>
          <w:sz w:val="21"/>
          <w:szCs w:val="21"/>
          <w:highlight w:val="none"/>
          <w:lang w:eastAsia="zh-CN"/>
        </w:rPr>
        <w:t xml:space="preserve">在发包人和承包人不能通过协商达成一致意见时，发包人授权监理人对以下事项进行确定：</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u w:val="single"/>
          <w:lang w:eastAsia="zh-CN"/>
        </w:rPr>
        <w:t xml:space="preserve">分部分项施工方案及其调整</w:t>
      </w:r>
      <w:r>
        <w:rPr>
          <w:rFonts w:hint="eastAsia" w:ascii="宋体" w:hAnsi="宋体" w:eastAsia="宋体" w:cs="宋体"/>
          <w:color w:val="auto"/>
          <w:sz w:val="21"/>
          <w:szCs w:val="21"/>
          <w:highlight w:val="none"/>
          <w:lang w:eastAsia="zh-CN"/>
        </w:rPr>
        <w:t xml:space="preserve">；</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u w:val="single"/>
          <w:lang w:eastAsia="zh-CN"/>
        </w:rPr>
        <w:t xml:space="preserve">关于工程建设安全方面的相关问题</w:t>
      </w:r>
      <w:r>
        <w:rPr>
          <w:rFonts w:hint="eastAsia" w:ascii="宋体" w:hAnsi="宋体" w:eastAsia="宋体" w:cs="宋体"/>
          <w:color w:val="auto"/>
          <w:sz w:val="21"/>
          <w:szCs w:val="21"/>
          <w:highlight w:val="none"/>
          <w:lang w:eastAsia="zh-CN"/>
        </w:rPr>
        <w:t xml:space="preserve">；</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u w:val="single"/>
          <w:lang w:eastAsia="zh-CN"/>
        </w:rPr>
        <w:t xml:space="preserve">关于工程建设进度方面的相关问题</w:t>
      </w:r>
      <w:r>
        <w:rPr>
          <w:rFonts w:hint="eastAsia" w:ascii="宋体" w:hAnsi="宋体" w:eastAsia="宋体" w:cs="宋体"/>
          <w:color w:val="auto"/>
          <w:sz w:val="21"/>
          <w:szCs w:val="21"/>
          <w:highlight w:val="none"/>
          <w:lang w:eastAsia="zh-CN"/>
        </w:rPr>
        <w:t xml:space="preserve">；</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w:t>
      </w:r>
      <w:r>
        <w:rPr>
          <w:rFonts w:hint="eastAsia" w:ascii="宋体" w:hAnsi="宋体" w:eastAsia="宋体" w:cs="宋体"/>
          <w:color w:val="auto"/>
          <w:sz w:val="21"/>
          <w:szCs w:val="21"/>
          <w:highlight w:val="none"/>
          <w:u w:val="single"/>
          <w:lang w:eastAsia="zh-CN"/>
        </w:rPr>
        <w:t xml:space="preserve"> 关于工程建设质量方面的相关问题 。</w:t>
      </w:r>
      <w:r/>
    </w:p>
    <w:p>
      <w:pPr>
        <w:ind w:firstLine="482"/>
        <w:jc w:val="both"/>
        <w:spacing w:line="360" w:lineRule="auto"/>
        <w:rPr>
          <w:rFonts w:hint="eastAsia" w:cs="宋体"/>
          <w:color w:val="auto"/>
          <w:sz w:val="21"/>
          <w:szCs w:val="21"/>
          <w:highlight w:val="none"/>
          <w:lang w:eastAsia="zh-CN"/>
        </w:rPr>
      </w:pPr>
      <w:r/>
      <w:bookmarkStart w:id="605" w:name="_Toc351203637"/>
      <w:r>
        <w:rPr>
          <w:rFonts w:hint="eastAsia" w:cs="宋体"/>
          <w:color w:val="auto"/>
          <w:sz w:val="21"/>
          <w:szCs w:val="21"/>
          <w:highlight w:val="none"/>
          <w:lang w:eastAsia="zh-CN"/>
        </w:rPr>
        <w:t xml:space="preserve">5</w:t>
      </w:r>
      <w:bookmarkEnd w:id="604"/>
      <w:r/>
      <w:bookmarkStart w:id="606" w:name="_Toc296503163"/>
      <w:r/>
      <w:bookmarkStart w:id="607" w:name="_Toc296944502"/>
      <w:r/>
      <w:bookmarkStart w:id="608" w:name="_Toc297048349"/>
      <w:r/>
      <w:bookmarkStart w:id="609" w:name="_Toc292559367"/>
      <w:r/>
      <w:bookmarkStart w:id="610" w:name="_Toc296347162"/>
      <w:r/>
      <w:bookmarkStart w:id="611" w:name="_Toc297120463"/>
      <w:r/>
      <w:bookmarkStart w:id="612" w:name="_Toc296891203"/>
      <w:r/>
      <w:bookmarkStart w:id="613" w:name="_Toc296346664"/>
      <w:r/>
      <w:bookmarkStart w:id="614" w:name="_Toc296890991"/>
      <w:r/>
      <w:bookmarkStart w:id="615" w:name="_Toc292559872"/>
      <w:r>
        <w:rPr>
          <w:rFonts w:hint="eastAsia" w:cs="宋体"/>
          <w:color w:val="auto"/>
          <w:sz w:val="21"/>
          <w:szCs w:val="21"/>
          <w:highlight w:val="none"/>
          <w:lang w:eastAsia="zh-CN"/>
        </w:rPr>
        <w:t xml:space="preserve">. 工程质量</w:t>
      </w:r>
      <w:bookmarkEnd w:id="605"/>
      <w:r/>
      <w:r/>
    </w:p>
    <w:p>
      <w:pPr>
        <w:ind w:firstLine="482"/>
        <w:jc w:val="both"/>
        <w:spacing w:after="120" w:line="360" w:lineRule="auto"/>
        <w:rPr>
          <w:rFonts w:hint="eastAsia" w:ascii="宋体" w:hAnsi="宋体" w:eastAsia="宋体" w:cs="宋体"/>
          <w:b/>
          <w:color w:val="auto"/>
          <w:sz w:val="21"/>
          <w:szCs w:val="21"/>
          <w:highlight w:val="none"/>
          <w:lang w:eastAsia="zh-CN"/>
        </w:rPr>
      </w:pPr>
      <w:r/>
      <w:bookmarkStart w:id="616" w:name="_Toc36797932"/>
      <w:r>
        <w:rPr>
          <w:rFonts w:hint="eastAsia" w:ascii="宋体" w:hAnsi="宋体" w:eastAsia="宋体" w:cs="宋体"/>
          <w:b/>
          <w:color w:val="auto"/>
          <w:sz w:val="21"/>
          <w:szCs w:val="21"/>
          <w:highlight w:val="none"/>
          <w:lang w:eastAsia="zh-CN"/>
        </w:rPr>
        <w:t xml:space="preserve">5.1 质量要求</w:t>
      </w:r>
      <w:bookmarkEnd w:id="616"/>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5</w:t>
      </w:r>
      <w:bookmarkStart w:id="617" w:name="_Toc312677997"/>
      <w:r/>
      <w:bookmarkStart w:id="618" w:name="_Toc297216155"/>
      <w:r/>
      <w:bookmarkStart w:id="619" w:name="_Toc318581164"/>
      <w:r/>
      <w:bookmarkStart w:id="620" w:name="_Toc297123496"/>
      <w:r/>
      <w:bookmarkStart w:id="621" w:name="_Toc303539106"/>
      <w:r/>
      <w:bookmarkStart w:id="622" w:name="_Toc300934949"/>
      <w:r/>
      <w:bookmarkStart w:id="623" w:name="_Toc304295527"/>
      <w:r>
        <w:rPr>
          <w:rFonts w:hint="eastAsia" w:ascii="宋体" w:hAnsi="宋体" w:eastAsia="宋体" w:cs="宋体"/>
          <w:color w:val="auto"/>
          <w:sz w:val="21"/>
          <w:szCs w:val="21"/>
          <w:highlight w:val="none"/>
          <w:lang w:eastAsia="zh-CN"/>
        </w:rPr>
        <w:t xml:space="preserve">.1.1 特殊质量标准和要求：</w:t>
      </w:r>
      <w:r>
        <w:rPr>
          <w:rFonts w:hint="eastAsia" w:ascii="宋体" w:hAnsi="宋体" w:eastAsia="宋体" w:cs="宋体"/>
          <w:color w:val="auto"/>
          <w:sz w:val="21"/>
          <w:szCs w:val="21"/>
          <w:highlight w:val="none"/>
          <w:u w:val="single"/>
          <w:lang w:eastAsia="zh-CN"/>
        </w:rPr>
        <w:t xml:space="preserve">工程质量符合国家质量验收标准，并达到投标承诺的质量标准等级</w:t>
      </w:r>
      <w:r>
        <w:rPr>
          <w:rFonts w:hint="eastAsia" w:ascii="宋体" w:hAnsi="宋体" w:eastAsia="宋体" w:cs="宋体"/>
          <w:color w:val="auto"/>
          <w:sz w:val="21"/>
          <w:szCs w:val="21"/>
          <w:highlight w:val="none"/>
          <w:lang w:eastAsia="zh-CN"/>
        </w:rPr>
        <w:t xml:space="preserve">。</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关于工程奖项的约定：</w:t>
      </w:r>
      <w:r>
        <w:rPr>
          <w:rFonts w:hint="eastAsia" w:ascii="宋体" w:hAnsi="宋体" w:eastAsia="宋体" w:cs="宋体"/>
          <w:color w:val="auto"/>
          <w:sz w:val="21"/>
          <w:szCs w:val="21"/>
          <w:highlight w:val="none"/>
          <w:u w:val="single"/>
          <w:lang w:eastAsia="zh-CN"/>
        </w:rPr>
        <w:t xml:space="preserve">无</w:t>
      </w:r>
      <w:r>
        <w:rPr>
          <w:rFonts w:hint="eastAsia" w:ascii="宋体" w:hAnsi="宋体" w:eastAsia="宋体" w:cs="宋体"/>
          <w:color w:val="auto"/>
          <w:sz w:val="21"/>
          <w:szCs w:val="21"/>
          <w:highlight w:val="none"/>
          <w:lang w:eastAsia="zh-CN"/>
        </w:rPr>
        <w:t xml:space="preserve">。</w:t>
      </w:r>
      <w:r/>
    </w:p>
    <w:p>
      <w:pPr>
        <w:ind w:firstLine="482"/>
        <w:jc w:val="both"/>
        <w:spacing w:after="120" w:line="360" w:lineRule="auto"/>
        <w:rPr>
          <w:rFonts w:hint="eastAsia" w:ascii="宋体" w:hAnsi="宋体" w:eastAsia="宋体" w:cs="宋体"/>
          <w:b/>
          <w:color w:val="auto"/>
          <w:sz w:val="21"/>
          <w:szCs w:val="21"/>
          <w:highlight w:val="none"/>
          <w:lang w:eastAsia="zh-CN"/>
        </w:rPr>
      </w:pPr>
      <w:r/>
      <w:bookmarkStart w:id="624" w:name="_Toc36797933"/>
      <w:r>
        <w:rPr>
          <w:rFonts w:hint="eastAsia" w:ascii="宋体" w:hAnsi="宋体" w:eastAsia="宋体" w:cs="宋体"/>
          <w:b/>
          <w:color w:val="auto"/>
          <w:sz w:val="21"/>
          <w:szCs w:val="21"/>
          <w:highlight w:val="none"/>
          <w:lang w:eastAsia="zh-CN"/>
        </w:rPr>
        <w:t xml:space="preserve">5.2 隐蔽工程检查</w:t>
      </w:r>
      <w:bookmarkEnd w:id="624"/>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5.2.1承包人提前通知监理人隐蔽工程检查的期限的约定：</w:t>
      </w:r>
      <w:r>
        <w:rPr>
          <w:rFonts w:hint="eastAsia" w:ascii="宋体" w:hAnsi="宋体" w:eastAsia="宋体" w:cs="宋体"/>
          <w:color w:val="auto"/>
          <w:sz w:val="21"/>
          <w:szCs w:val="21"/>
          <w:highlight w:val="none"/>
          <w:u w:val="single"/>
          <w:lang w:eastAsia="zh-CN"/>
        </w:rPr>
        <w:t xml:space="preserve">工程具备隐蔽条件或达到中间验收部位，承包人进行自检，并在隐蔽或中间验收前48小时以书面形式通知工程师验收。通知包括隐蔽和中间验收的内容、验收时间和地点。承包人准备验收记录，验收合格，工程师在验收记录上签字后，承包人可进行隐蔽和继续施工。验收不合格，承包人在工程师限定时间内修改后重新验收</w:t>
      </w:r>
      <w:r>
        <w:rPr>
          <w:rFonts w:hint="eastAsia" w:ascii="宋体" w:hAnsi="宋体" w:eastAsia="宋体" w:cs="宋体"/>
          <w:color w:val="auto"/>
          <w:sz w:val="21"/>
          <w:szCs w:val="21"/>
          <w:highlight w:val="none"/>
          <w:lang w:eastAsia="zh-CN"/>
        </w:rPr>
        <w:t xml:space="preserve">。</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监理人不能按时进行检查时，应提前</w:t>
      </w:r>
      <w:r>
        <w:rPr>
          <w:rFonts w:hint="eastAsia" w:ascii="宋体" w:hAnsi="宋体" w:eastAsia="宋体" w:cs="宋体"/>
          <w:color w:val="auto"/>
          <w:sz w:val="21"/>
          <w:szCs w:val="21"/>
          <w:highlight w:val="none"/>
          <w:u w:val="single"/>
          <w:lang w:eastAsia="zh-CN"/>
        </w:rPr>
        <w:t xml:space="preserve">24 </w:t>
      </w:r>
      <w:r>
        <w:rPr>
          <w:rFonts w:hint="eastAsia" w:ascii="宋体" w:hAnsi="宋体" w:eastAsia="宋体" w:cs="宋体"/>
          <w:color w:val="auto"/>
          <w:sz w:val="21"/>
          <w:szCs w:val="21"/>
          <w:highlight w:val="none"/>
          <w:lang w:eastAsia="zh-CN"/>
        </w:rPr>
        <w:t xml:space="preserve">小时提交书面延期要求。</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关于延期最长不得超过：</w:t>
      </w:r>
      <w:r>
        <w:rPr>
          <w:rFonts w:hint="eastAsia" w:ascii="宋体" w:hAnsi="宋体" w:eastAsia="宋体" w:cs="宋体"/>
          <w:color w:val="auto"/>
          <w:sz w:val="21"/>
          <w:szCs w:val="21"/>
          <w:highlight w:val="none"/>
          <w:u w:val="single"/>
          <w:lang w:eastAsia="zh-CN"/>
        </w:rPr>
        <w:t xml:space="preserve">48</w:t>
      </w:r>
      <w:r>
        <w:rPr>
          <w:rFonts w:hint="eastAsia" w:ascii="宋体" w:hAnsi="宋体" w:eastAsia="宋体" w:cs="宋体"/>
          <w:color w:val="auto"/>
          <w:sz w:val="21"/>
          <w:szCs w:val="21"/>
          <w:highlight w:val="none"/>
          <w:lang w:eastAsia="zh-CN"/>
        </w:rPr>
        <w:t xml:space="preserve">小时。</w:t>
      </w:r>
      <w:r/>
    </w:p>
    <w:p>
      <w:pPr>
        <w:ind w:firstLine="482"/>
        <w:jc w:val="both"/>
        <w:spacing w:line="360" w:lineRule="auto"/>
        <w:rPr>
          <w:rFonts w:hint="eastAsia" w:cs="宋体"/>
          <w:color w:val="auto"/>
          <w:sz w:val="21"/>
          <w:szCs w:val="21"/>
          <w:highlight w:val="none"/>
          <w:lang w:eastAsia="zh-CN"/>
        </w:rPr>
      </w:pPr>
      <w:r/>
      <w:bookmarkStart w:id="625" w:name="_Toc351203638"/>
      <w:r>
        <w:rPr>
          <w:rFonts w:hint="eastAsia" w:cs="宋体"/>
          <w:color w:val="auto"/>
          <w:sz w:val="21"/>
          <w:szCs w:val="21"/>
          <w:highlight w:val="none"/>
          <w:lang w:eastAsia="zh-CN"/>
        </w:rPr>
        <w:t xml:space="preserve">6. 安全文明施工与环境保护</w:t>
      </w:r>
      <w:bookmarkEnd w:id="625"/>
      <w:r/>
      <w:r/>
    </w:p>
    <w:p>
      <w:pPr>
        <w:ind w:firstLine="482"/>
        <w:jc w:val="both"/>
        <w:spacing w:after="120" w:line="360" w:lineRule="auto"/>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6.1安全文明施工</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6.1.1 项目安全生产的达标目标及相应事项的约定：</w:t>
      </w:r>
      <w:r/>
    </w:p>
    <w:p>
      <w:pPr>
        <w:ind w:firstLine="480"/>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①承包人必须按照工程所在地省、市规定的要求、标准、规范实行安全施工管理，总承包单位对施工现场的安全施工负总责，专业工程承包单位应当服从总承包单位的安全施工管理 。</w:t>
      </w:r>
      <w:r/>
    </w:p>
    <w:p>
      <w:pPr>
        <w:ind w:firstLine="480"/>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②除执行通用合同条款的相关规定外，承包人应按规范施工并严格按照施工组织设计组织施工，在安全管理方面除正常进行安全学习、安全教育外，同时应高度重视工程施工时的安全工作，安全措施要落实到位，应急措施必须跟上，对于不重视安全工作，措施不到位，发生安全事故的，承包人须承担全部责任，并承担所有赔偿费用。 </w:t>
      </w:r>
      <w:r/>
    </w:p>
    <w:p>
      <w:pPr>
        <w:ind w:firstLine="480"/>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③承包人负责施工现场的第三方人身安全。 </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u w:val="single"/>
          <w:lang w:eastAsia="zh-CN"/>
        </w:rPr>
        <w:t xml:space="preserve">④发包人不得要求承包人违反安全管理的规定进行施工。因发包人原因导致的生产安全事故，由发包人承担相应法律责任及费用。因承包人原因造成人员伤亡或机具损坏而导致停工，承包人承担1000元/天的违约金，且工期不予顺延，同时发包人还保留进一步索赔的权利</w:t>
      </w:r>
      <w:r>
        <w:rPr>
          <w:rFonts w:hint="eastAsia" w:ascii="宋体" w:hAnsi="宋体" w:eastAsia="宋体" w:cs="宋体"/>
          <w:color w:val="auto"/>
          <w:sz w:val="21"/>
          <w:szCs w:val="21"/>
          <w:highlight w:val="none"/>
          <w:lang w:eastAsia="zh-CN"/>
        </w:rPr>
        <w:t xml:space="preserve">。</w:t>
      </w:r>
      <w:r/>
    </w:p>
    <w:p>
      <w:pPr>
        <w:ind w:firstLine="480"/>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lang w:eastAsia="zh-CN"/>
        </w:rPr>
        <w:t xml:space="preserve">6.1.2 关于治安保卫的特别约定：</w:t>
      </w:r>
      <w:r>
        <w:rPr>
          <w:rFonts w:hint="eastAsia" w:ascii="宋体" w:hAnsi="宋体" w:eastAsia="宋体" w:cs="宋体"/>
          <w:color w:val="auto"/>
          <w:sz w:val="21"/>
          <w:szCs w:val="21"/>
          <w:highlight w:val="none"/>
          <w:u w:val="single"/>
          <w:lang w:eastAsia="zh-CN"/>
        </w:rPr>
        <w:t xml:space="preserve">承担施工安全保卫工作及非夜间施工照明的责任和要求，具体如下：</w:t>
      </w:r>
      <w:r/>
    </w:p>
    <w:p>
      <w:pPr>
        <w:ind w:firstLine="480"/>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①根据监理、发包人批准的施工方案，在施工现场适当地方设置门卫，并安排专人24小时看管，禁止非本工程施工、管理人员、车辆进入现场；</w:t>
      </w:r>
      <w:r/>
    </w:p>
    <w:p>
      <w:pPr>
        <w:ind w:firstLine="480"/>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②为保护本工程免遭损坏，或为现场附近和过往人群的安全与方便，在确有必要的时候和地方，或当监理工程师或有关主管部门要求时，承包人应自费提供照明、警卫、护栅、警告标志等安全防护措施。</w:t>
      </w:r>
      <w:r/>
    </w:p>
    <w:p>
      <w:pPr>
        <w:ind w:firstLine="480"/>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③在实施和完成本工程过程中，承包人应承担非夜间施工照明和照明设施的维护责任；</w:t>
      </w:r>
      <w:r/>
    </w:p>
    <w:p>
      <w:pPr>
        <w:ind w:firstLine="480"/>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④承包人必须承担上述工作所需的所有费用。</w:t>
      </w:r>
      <w:r/>
    </w:p>
    <w:p>
      <w:pPr>
        <w:ind w:firstLine="480"/>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⑤如承包人未履行上述约定及通用合同条款相关义务造成工程、财产和人身伤害，由承包人承担责任、赔偿损失及支付发生的费用。</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u w:val="single"/>
          <w:lang w:eastAsia="zh-CN"/>
        </w:rPr>
        <w:t xml:space="preserve">关于编制施工场地治安管理计划的约定：由承包人负责施工现场内治安保卫工作，包括：（1）对进入到施工现场的参建单位相关人员的管理；（2）配合公安、交警等部门的管理；（3）承担治安管理工作相关费用</w:t>
      </w:r>
      <w:r>
        <w:rPr>
          <w:rFonts w:hint="eastAsia" w:ascii="宋体" w:hAnsi="宋体" w:eastAsia="宋体" w:cs="宋体"/>
          <w:color w:val="auto"/>
          <w:sz w:val="21"/>
          <w:szCs w:val="21"/>
          <w:highlight w:val="none"/>
          <w:lang w:eastAsia="zh-CN"/>
        </w:rPr>
        <w:t xml:space="preserve">。</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6.1.3 文明施工</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合同当事人对文明施工的要求：</w:t>
      </w:r>
      <w:r>
        <w:rPr>
          <w:rFonts w:hint="eastAsia" w:ascii="宋体" w:hAnsi="宋体" w:eastAsia="宋体" w:cs="宋体"/>
          <w:color w:val="auto"/>
          <w:sz w:val="21"/>
          <w:szCs w:val="21"/>
          <w:highlight w:val="none"/>
          <w:u w:val="single"/>
          <w:lang w:eastAsia="zh-CN"/>
        </w:rPr>
        <w:t xml:space="preserve">施工场地符合项目所在地省、市、区、县级有关主管部门规定的标准化施工现场和文明工地要求，同时应满足市政、市容等有关主管部门的有关规定，承包人违反规定造成的损失和罚款由承包人负责</w:t>
      </w:r>
      <w:r>
        <w:rPr>
          <w:rFonts w:hint="eastAsia" w:ascii="宋体" w:hAnsi="宋体" w:eastAsia="宋体" w:cs="宋体"/>
          <w:color w:val="auto"/>
          <w:sz w:val="21"/>
          <w:szCs w:val="21"/>
          <w:highlight w:val="none"/>
          <w:lang w:eastAsia="zh-CN"/>
        </w:rPr>
        <w:t xml:space="preserve">。</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6.1.4 关于安全文明施工费支付比例和支付期限的约定：</w:t>
      </w:r>
      <w:r>
        <w:rPr>
          <w:rFonts w:hint="eastAsia" w:ascii="宋体" w:hAnsi="宋体" w:eastAsia="宋体" w:cs="宋体"/>
          <w:color w:val="auto"/>
          <w:sz w:val="21"/>
          <w:szCs w:val="21"/>
          <w:highlight w:val="none"/>
          <w:u w:val="single"/>
          <w:lang w:eastAsia="zh-CN"/>
        </w:rPr>
        <w:t xml:space="preserve">支付工程预付款时，同时支付安全文明施工基本费的60%，其余部分按照提前安排的原则进行分解，于工程竣工前包含在工程款内付清(发包人不单独支付该费用)，安全文明施工费的支付和到账时间不能免除承包人的安全责任</w:t>
      </w:r>
      <w:r>
        <w:rPr>
          <w:rFonts w:hint="eastAsia" w:ascii="宋体" w:hAnsi="宋体" w:eastAsia="宋体" w:cs="宋体"/>
          <w:color w:val="auto"/>
          <w:sz w:val="21"/>
          <w:szCs w:val="21"/>
          <w:highlight w:val="none"/>
          <w:lang w:eastAsia="zh-CN"/>
        </w:rPr>
        <w:t xml:space="preserve">。</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6.1.5 承包人及其现场施工人员必须遵守南京中山植物园的管理规定，服从发包人的现场指挥。</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承包人施工过程中，必须维护南京中山植物园的良好社会形象，不得损害发包人和南京中山植物园的声誉，否则，发包人有权要求承包人立即纠正并赔偿发包人损失，承包人拒不纠正的，发包人有权解除本合同并追究承包人的违约责任。</w:t>
      </w:r>
      <w:bookmarkEnd w:id="617"/>
      <w:bookmarkEnd w:id="618"/>
      <w:bookmarkEnd w:id="619"/>
      <w:bookmarkEnd w:id="620"/>
      <w:bookmarkEnd w:id="621"/>
      <w:bookmarkEnd w:id="622"/>
      <w:bookmarkEnd w:id="623"/>
      <w:r/>
    </w:p>
    <w:p>
      <w:pPr>
        <w:ind w:firstLine="482"/>
        <w:jc w:val="both"/>
        <w:spacing w:line="360" w:lineRule="auto"/>
        <w:rPr>
          <w:rFonts w:hint="eastAsia" w:cs="宋体"/>
          <w:color w:val="auto"/>
          <w:sz w:val="21"/>
          <w:szCs w:val="21"/>
          <w:highlight w:val="none"/>
          <w:lang w:eastAsia="zh-CN"/>
        </w:rPr>
      </w:pPr>
      <w:r/>
      <w:bookmarkStart w:id="626" w:name="_Toc351203639"/>
      <w:r>
        <w:rPr>
          <w:rFonts w:hint="eastAsia" w:cs="宋体"/>
          <w:color w:val="auto"/>
          <w:sz w:val="21"/>
          <w:szCs w:val="21"/>
          <w:highlight w:val="none"/>
          <w:lang w:eastAsia="zh-CN"/>
        </w:rPr>
        <w:t xml:space="preserve">7. 工期和进度</w:t>
      </w:r>
      <w:bookmarkEnd w:id="626"/>
      <w:r/>
      <w:r/>
    </w:p>
    <w:p>
      <w:pPr>
        <w:ind w:firstLine="482"/>
        <w:jc w:val="both"/>
        <w:spacing w:after="120" w:line="360" w:lineRule="auto"/>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7.1 施工组织设计</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7.1.1 合同当事人约定的施工组织设计应包括的其他内容：</w:t>
      </w:r>
      <w:r>
        <w:rPr>
          <w:rFonts w:hint="eastAsia" w:ascii="宋体" w:hAnsi="宋体" w:eastAsia="宋体" w:cs="宋体"/>
          <w:color w:val="auto"/>
          <w:sz w:val="21"/>
          <w:szCs w:val="21"/>
          <w:highlight w:val="none"/>
          <w:u w:val="single"/>
          <w:lang w:eastAsia="zh-CN"/>
        </w:rPr>
        <w:t xml:space="preserve">总体施工组织设计及分期工程施工组织设计</w:t>
      </w:r>
      <w:r>
        <w:rPr>
          <w:rFonts w:hint="eastAsia" w:ascii="宋体" w:hAnsi="宋体" w:eastAsia="宋体" w:cs="宋体"/>
          <w:color w:val="auto"/>
          <w:sz w:val="21"/>
          <w:szCs w:val="21"/>
          <w:highlight w:val="none"/>
          <w:lang w:eastAsia="zh-CN"/>
        </w:rPr>
        <w:t xml:space="preserve">。</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7.1.2 施工组织设计的提交和修改</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承包人提交详细施工组织设计的期限的约定：</w:t>
      </w:r>
      <w:r>
        <w:rPr>
          <w:rFonts w:hint="eastAsia" w:ascii="宋体" w:hAnsi="宋体" w:eastAsia="宋体" w:cs="宋体"/>
          <w:color w:val="auto"/>
          <w:sz w:val="21"/>
          <w:szCs w:val="21"/>
          <w:highlight w:val="none"/>
          <w:u w:val="single"/>
          <w:lang w:eastAsia="zh-CN"/>
        </w:rPr>
        <w:t xml:space="preserve">开工令签发后7天内</w:t>
      </w:r>
      <w:r>
        <w:rPr>
          <w:rFonts w:hint="eastAsia" w:ascii="宋体" w:hAnsi="宋体" w:eastAsia="宋体" w:cs="宋体"/>
          <w:color w:val="auto"/>
          <w:sz w:val="21"/>
          <w:szCs w:val="21"/>
          <w:highlight w:val="none"/>
          <w:lang w:eastAsia="zh-CN"/>
        </w:rPr>
        <w:t xml:space="preserve">。</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发包人和监理人在收到详细的施工组织设计后确认或提出修改意见的期限：</w:t>
      </w:r>
      <w:r>
        <w:rPr>
          <w:rFonts w:hint="eastAsia" w:ascii="宋体" w:hAnsi="宋体" w:eastAsia="宋体" w:cs="宋体"/>
          <w:color w:val="auto"/>
          <w:sz w:val="21"/>
          <w:szCs w:val="21"/>
          <w:highlight w:val="none"/>
          <w:u w:val="single"/>
          <w:lang w:eastAsia="zh-CN"/>
        </w:rPr>
        <w:t xml:space="preserve">收到后7天内</w:t>
      </w:r>
      <w:r>
        <w:rPr>
          <w:rFonts w:hint="eastAsia" w:ascii="宋体" w:hAnsi="宋体" w:eastAsia="宋体" w:cs="宋体"/>
          <w:color w:val="auto"/>
          <w:sz w:val="21"/>
          <w:szCs w:val="21"/>
          <w:highlight w:val="none"/>
          <w:lang w:eastAsia="zh-CN"/>
        </w:rPr>
        <w:t xml:space="preserve">。</w:t>
      </w:r>
      <w:r/>
    </w:p>
    <w:p>
      <w:pPr>
        <w:ind w:firstLine="482"/>
        <w:jc w:val="both"/>
        <w:spacing w:after="120" w:line="360" w:lineRule="auto"/>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7</w:t>
      </w:r>
      <w:bookmarkStart w:id="627" w:name="_Toc297216173"/>
      <w:r/>
      <w:bookmarkStart w:id="628" w:name="_Toc312677479"/>
      <w:r/>
      <w:bookmarkStart w:id="629" w:name="_Toc304295541"/>
      <w:r/>
      <w:bookmarkStart w:id="630" w:name="_Toc300934966"/>
      <w:r/>
      <w:bookmarkStart w:id="631" w:name="_Toc297123514"/>
      <w:r/>
      <w:bookmarkStart w:id="632" w:name="_Toc312678005"/>
      <w:r/>
      <w:bookmarkStart w:id="633" w:name="_Toc303539123"/>
      <w:r>
        <w:rPr>
          <w:rFonts w:hint="eastAsia" w:ascii="宋体" w:hAnsi="宋体" w:eastAsia="宋体" w:cs="宋体"/>
          <w:b/>
          <w:color w:val="auto"/>
          <w:sz w:val="21"/>
          <w:szCs w:val="21"/>
          <w:highlight w:val="none"/>
          <w:lang w:eastAsia="zh-CN"/>
        </w:rPr>
        <w:t xml:space="preserve">.2 施工进度计划</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7.2.1 施工进度计划的修订</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发包人和监理人在收到修订的施工进度计划后确认或提出修改意见的期限：</w:t>
      </w:r>
      <w:r>
        <w:rPr>
          <w:rFonts w:hint="eastAsia" w:ascii="宋体" w:hAnsi="宋体" w:eastAsia="宋体" w:cs="宋体"/>
          <w:color w:val="auto"/>
          <w:sz w:val="21"/>
          <w:szCs w:val="21"/>
          <w:highlight w:val="none"/>
          <w:u w:val="single"/>
          <w:lang w:eastAsia="zh-CN"/>
        </w:rPr>
        <w:t xml:space="preserve">收到后7天内</w:t>
      </w:r>
      <w:r>
        <w:rPr>
          <w:rFonts w:hint="eastAsia" w:ascii="宋体" w:hAnsi="宋体" w:eastAsia="宋体" w:cs="宋体"/>
          <w:color w:val="auto"/>
          <w:sz w:val="21"/>
          <w:szCs w:val="21"/>
          <w:highlight w:val="none"/>
          <w:lang w:eastAsia="zh-CN"/>
        </w:rPr>
        <w:t xml:space="preserve">。</w:t>
      </w:r>
      <w:r/>
    </w:p>
    <w:p>
      <w:pPr>
        <w:ind w:firstLine="482"/>
        <w:jc w:val="both"/>
        <w:spacing w:after="120" w:line="360" w:lineRule="auto"/>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7.3 开工</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7.3.1 开工准备</w:t>
      </w:r>
      <w:r/>
    </w:p>
    <w:p>
      <w:pPr>
        <w:ind w:firstLine="480"/>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lang w:eastAsia="zh-CN"/>
        </w:rPr>
        <w:t xml:space="preserve">关于承包人提交工程开工报审表的期限：</w:t>
      </w:r>
      <w:r>
        <w:rPr>
          <w:rFonts w:hint="eastAsia" w:ascii="宋体" w:hAnsi="宋体" w:eastAsia="宋体" w:cs="宋体"/>
          <w:color w:val="auto"/>
          <w:sz w:val="21"/>
          <w:szCs w:val="21"/>
          <w:highlight w:val="none"/>
          <w:u w:val="single"/>
          <w:lang w:eastAsia="zh-CN"/>
        </w:rPr>
        <w:t xml:space="preserve">第一次工地例会后7天内</w:t>
      </w:r>
      <w:r>
        <w:rPr>
          <w:rFonts w:hint="eastAsia" w:ascii="宋体" w:hAnsi="宋体" w:eastAsia="宋体" w:cs="宋体"/>
          <w:color w:val="auto"/>
          <w:sz w:val="21"/>
          <w:szCs w:val="21"/>
          <w:highlight w:val="none"/>
          <w:lang w:eastAsia="zh-CN"/>
        </w:rPr>
        <w:t xml:space="preserve">。</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关于发包人应完成的其他开工准备工作及期限：</w:t>
      </w:r>
      <w:r>
        <w:rPr>
          <w:rFonts w:hint="eastAsia" w:ascii="宋体" w:hAnsi="宋体" w:eastAsia="宋体" w:cs="宋体"/>
          <w:color w:val="auto"/>
          <w:sz w:val="21"/>
          <w:szCs w:val="21"/>
          <w:highlight w:val="none"/>
          <w:u w:val="single"/>
          <w:lang w:eastAsia="zh-CN"/>
        </w:rPr>
        <w:t xml:space="preserve">第一次工地例会后7天内</w:t>
      </w:r>
      <w:r>
        <w:rPr>
          <w:rFonts w:hint="eastAsia" w:ascii="宋体" w:hAnsi="宋体" w:eastAsia="宋体" w:cs="宋体"/>
          <w:color w:val="auto"/>
          <w:sz w:val="21"/>
          <w:szCs w:val="21"/>
          <w:highlight w:val="none"/>
          <w:lang w:eastAsia="zh-CN"/>
        </w:rPr>
        <w:t xml:space="preserve">。</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关于承包人应完成的其他开工准备工作及期限：</w:t>
      </w:r>
      <w:r>
        <w:rPr>
          <w:rFonts w:hint="eastAsia" w:ascii="宋体" w:hAnsi="宋体" w:eastAsia="宋体" w:cs="宋体"/>
          <w:color w:val="auto"/>
          <w:sz w:val="21"/>
          <w:szCs w:val="21"/>
          <w:highlight w:val="none"/>
          <w:u w:val="single"/>
          <w:lang w:eastAsia="zh-CN"/>
        </w:rPr>
        <w:t xml:space="preserve">第一次工地例会后7天内  </w:t>
      </w:r>
      <w:r>
        <w:rPr>
          <w:rFonts w:hint="eastAsia" w:ascii="宋体" w:hAnsi="宋体" w:eastAsia="宋体" w:cs="宋体"/>
          <w:color w:val="auto"/>
          <w:sz w:val="21"/>
          <w:szCs w:val="21"/>
          <w:highlight w:val="none"/>
          <w:lang w:eastAsia="zh-CN"/>
        </w:rPr>
        <w:t xml:space="preserve">。</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7.3.2开工通知</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因发包人原因造成监理人未能在计划开工日期之日起</w:t>
      </w:r>
      <w:r>
        <w:rPr>
          <w:rFonts w:hint="eastAsia" w:ascii="宋体" w:hAnsi="宋体" w:eastAsia="宋体" w:cs="宋体"/>
          <w:color w:val="auto"/>
          <w:sz w:val="21"/>
          <w:szCs w:val="21"/>
          <w:highlight w:val="none"/>
          <w:u w:val="single"/>
          <w:lang w:eastAsia="zh-CN"/>
        </w:rPr>
        <w:t xml:space="preserve">90</w:t>
      </w:r>
      <w:r>
        <w:rPr>
          <w:rFonts w:hint="eastAsia" w:ascii="宋体" w:hAnsi="宋体" w:eastAsia="宋体" w:cs="宋体"/>
          <w:color w:val="auto"/>
          <w:sz w:val="21"/>
          <w:szCs w:val="21"/>
          <w:highlight w:val="none"/>
          <w:lang w:eastAsia="zh-CN"/>
        </w:rPr>
        <w:t xml:space="preserve">天内发出开工通知的，承包人有权提出价格调整要求，或者解除合同。</w:t>
      </w:r>
      <w:bookmarkEnd w:id="627"/>
      <w:bookmarkEnd w:id="628"/>
      <w:bookmarkEnd w:id="629"/>
      <w:bookmarkEnd w:id="630"/>
      <w:bookmarkEnd w:id="631"/>
      <w:bookmarkEnd w:id="632"/>
      <w:bookmarkEnd w:id="633"/>
      <w:r/>
    </w:p>
    <w:p>
      <w:pPr>
        <w:ind w:firstLine="482"/>
        <w:jc w:val="both"/>
        <w:spacing w:after="120" w:line="360" w:lineRule="auto"/>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7.4 测量放线</w:t>
      </w:r>
      <w:r/>
    </w:p>
    <w:p>
      <w:pPr>
        <w:ind w:firstLine="480"/>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lang w:eastAsia="zh-CN"/>
        </w:rPr>
        <w:t xml:space="preserve">7.4.1发包人通过监理人向承包人提供测量基准点、基准线和水准点及其书面资料的期限：</w:t>
      </w:r>
      <w:r>
        <w:rPr>
          <w:rFonts w:hint="eastAsia" w:ascii="宋体" w:hAnsi="宋体" w:eastAsia="宋体" w:cs="宋体"/>
          <w:color w:val="auto"/>
          <w:sz w:val="21"/>
          <w:szCs w:val="21"/>
          <w:highlight w:val="none"/>
          <w:u w:val="single"/>
          <w:lang w:eastAsia="zh-CN"/>
        </w:rPr>
        <w:t xml:space="preserve">按照通用合同条款执行</w:t>
      </w:r>
      <w:r>
        <w:rPr>
          <w:rFonts w:hint="eastAsia" w:ascii="宋体" w:hAnsi="宋体" w:eastAsia="宋体" w:cs="宋体"/>
          <w:color w:val="auto"/>
          <w:sz w:val="21"/>
          <w:szCs w:val="21"/>
          <w:highlight w:val="none"/>
          <w:lang w:eastAsia="zh-CN"/>
        </w:rPr>
        <w:t xml:space="preserve">。</w:t>
      </w:r>
      <w:r/>
    </w:p>
    <w:p>
      <w:pPr>
        <w:ind w:firstLine="482"/>
        <w:jc w:val="both"/>
        <w:spacing w:after="120" w:line="360" w:lineRule="auto"/>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7</w:t>
      </w:r>
      <w:bookmarkStart w:id="634" w:name="_Toc312677484"/>
      <w:r/>
      <w:bookmarkStart w:id="635" w:name="_Toc297216175"/>
      <w:r/>
      <w:bookmarkStart w:id="636" w:name="_Toc312678010"/>
      <w:r/>
      <w:bookmarkStart w:id="637" w:name="_Toc303539125"/>
      <w:r/>
      <w:bookmarkStart w:id="638" w:name="_Toc304295546"/>
      <w:r/>
      <w:bookmarkStart w:id="639" w:name="_Toc297123516"/>
      <w:r/>
      <w:bookmarkStart w:id="640" w:name="_Toc300934968"/>
      <w:r>
        <w:rPr>
          <w:rFonts w:hint="eastAsia" w:ascii="宋体" w:hAnsi="宋体" w:eastAsia="宋体" w:cs="宋体"/>
          <w:b/>
          <w:color w:val="auto"/>
          <w:sz w:val="21"/>
          <w:szCs w:val="21"/>
          <w:highlight w:val="none"/>
          <w:lang w:eastAsia="zh-CN"/>
        </w:rPr>
        <w:t xml:space="preserve">.5 工期延误</w:t>
      </w:r>
      <w:bookmarkEnd w:id="634"/>
      <w:bookmarkEnd w:id="635"/>
      <w:bookmarkEnd w:id="636"/>
      <w:bookmarkEnd w:id="637"/>
      <w:bookmarkEnd w:id="638"/>
      <w:bookmarkEnd w:id="639"/>
      <w:bookmarkEnd w:id="640"/>
      <w:r/>
    </w:p>
    <w:p>
      <w:pPr>
        <w:ind w:firstLine="480"/>
        <w:jc w:val="both"/>
        <w:spacing w:line="360" w:lineRule="auto"/>
        <w:rPr>
          <w:rFonts w:hint="eastAsia" w:ascii="宋体" w:hAnsi="宋体" w:eastAsia="宋体" w:cs="宋体"/>
          <w:color w:val="auto"/>
          <w:sz w:val="21"/>
          <w:szCs w:val="21"/>
          <w:highlight w:val="none"/>
          <w:lang w:eastAsia="zh-CN"/>
        </w:rPr>
      </w:pPr>
      <w:r/>
      <w:bookmarkStart w:id="641" w:name="_Toc318581171"/>
      <w:r/>
      <w:bookmarkStart w:id="642" w:name="_Toc312678014"/>
      <w:r>
        <w:rPr>
          <w:rFonts w:hint="eastAsia" w:ascii="宋体" w:hAnsi="宋体" w:eastAsia="宋体" w:cs="宋体"/>
          <w:color w:val="auto"/>
          <w:sz w:val="21"/>
          <w:szCs w:val="21"/>
          <w:highlight w:val="none"/>
          <w:lang w:eastAsia="zh-CN"/>
        </w:rPr>
        <w:t xml:space="preserve">7.5.1 因发包人原因导致工期延误</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（7）因发包人原因导致工期延误的其他情形：</w:t>
      </w:r>
      <w:r/>
    </w:p>
    <w:p>
      <w:pPr>
        <w:ind w:firstLine="480"/>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①发包人未能及时提供设计施工变更修改图；</w:t>
      </w:r>
      <w:r/>
    </w:p>
    <w:p>
      <w:pPr>
        <w:ind w:firstLine="480"/>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②一周内非承包人原因停水、停电、停气造成停工累计超过8小时；　</w:t>
      </w:r>
      <w:r/>
    </w:p>
    <w:p>
      <w:pPr>
        <w:ind w:firstLine="480"/>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③不可抗力；</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④其余按本合同《通用合同条款》执行 。</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7.5.2 因承包人原因导致工期延误</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因承包人原因造成工期延误，逾期竣工违约金的计算方法为：</w:t>
      </w:r>
      <w:bookmarkEnd w:id="641"/>
      <w:r/>
      <w:bookmarkEnd w:id="642"/>
      <w:r/>
      <w:r/>
    </w:p>
    <w:p>
      <w:pPr>
        <w:ind w:firstLine="480"/>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1）因发包人原因和国家行政命令要求的停工，承包人必须按照相关规定，提供相关资料报监理工程师，经监理工程师及发包人审核并签证后，工期可顺延；但发包人不支付停工期间的窝工及机械停滞等产生的任何费用。</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u w:val="single"/>
          <w:lang w:eastAsia="zh-CN"/>
        </w:rPr>
        <w:t xml:space="preserve">（2）因发包人原因造成工期延误的，发包人提前7天书面通知承包人，承包人应积极配合发包人做好施工计划调整，合理调整人员和施工机械，合同工期顺延，发包人不承担任何费用</w:t>
      </w:r>
      <w:r>
        <w:rPr>
          <w:rFonts w:hint="eastAsia" w:ascii="宋体" w:hAnsi="宋体" w:eastAsia="宋体" w:cs="宋体"/>
          <w:color w:val="auto"/>
          <w:sz w:val="21"/>
          <w:szCs w:val="21"/>
          <w:highlight w:val="none"/>
          <w:lang w:eastAsia="zh-CN"/>
        </w:rPr>
        <w:t xml:space="preserve">。</w:t>
      </w:r>
      <w:r/>
    </w:p>
    <w:p>
      <w:pPr>
        <w:ind w:firstLine="420"/>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（3）由于承包人原因造成工期延误，每延误一天按照签约合同价的万分之二向发包人支付违约金；最高限额不超过签约合同价的2%。</w:t>
      </w:r>
      <w:r>
        <w:rPr>
          <w:rFonts w:hint="eastAsia" w:ascii="宋体" w:hAnsi="宋体" w:eastAsia="宋体" w:cs="宋体"/>
          <w:color w:val="auto"/>
          <w:sz w:val="21"/>
          <w:szCs w:val="21"/>
          <w:highlight w:val="none"/>
          <w:lang w:eastAsia="zh-CN" w:bidi="ar"/>
        </w:rPr>
        <w:t xml:space="preserve"> </w:t>
      </w:r>
      <w:r/>
    </w:p>
    <w:p>
      <w:pPr>
        <w:ind w:firstLine="480"/>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4）本工程在节假日（除春节）及麦收、秋收须连续施工，承包人须保障劳动力、设备、材料、资金等资源的投入，所发生的一切费用已经包含在本合同价款的工程非实体部分包干费中。承包人承诺在节假日（除春节）、麦收、秋收等原因减少在现场的施工劳力，否则承包人有权视情况处以违约金。</w:t>
      </w:r>
      <w:r/>
    </w:p>
    <w:p>
      <w:pPr>
        <w:ind w:firstLine="480"/>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5）当承包人不能按照已批准的进度计划实现节点目标，而又无切实有效措施保证竣工的，经专家评审确认后，发包人有权将承包人承包范围内的部分工程量进行切割，交由其他单位实施，实际发生的费用均由承包人全额承担，承包人应无条件服从并给予配合。</w:t>
      </w:r>
      <w:r/>
    </w:p>
    <w:p>
      <w:pPr>
        <w:ind w:firstLine="480"/>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因承包人原因造成工期延误，逾期竣工违约金的上限：最高限额为签约合同价的2%。对承包人不能按期竣工的，且拖延工期达到一定期限的，除支付违约金外，发包人有权解除合同，承包人应按发包人要求退场，并承担发包人的实际损失。</w:t>
      </w:r>
      <w:r/>
    </w:p>
    <w:p>
      <w:pPr>
        <w:ind w:firstLine="480"/>
        <w:jc w:val="both"/>
        <w:spacing w:line="360" w:lineRule="auto"/>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7</w:t>
      </w:r>
      <w:bookmarkStart w:id="643" w:name="_Toc297123519"/>
      <w:r/>
      <w:bookmarkStart w:id="644" w:name="_Toc300934971"/>
      <w:r/>
      <w:bookmarkStart w:id="645" w:name="_Toc297216178"/>
      <w:r/>
      <w:bookmarkStart w:id="646" w:name="_Toc303539128"/>
      <w:r/>
      <w:bookmarkStart w:id="647" w:name="_Toc312678015"/>
      <w:r/>
      <w:bookmarkStart w:id="648" w:name="_Toc304295549"/>
      <w:r>
        <w:rPr>
          <w:rFonts w:hint="eastAsia" w:ascii="宋体" w:hAnsi="宋体" w:eastAsia="宋体" w:cs="宋体"/>
          <w:b/>
          <w:color w:val="auto"/>
          <w:sz w:val="21"/>
          <w:szCs w:val="21"/>
          <w:highlight w:val="none"/>
          <w:lang w:eastAsia="zh-CN"/>
        </w:rPr>
        <w:t xml:space="preserve">.6 不</w:t>
      </w:r>
      <w:bookmarkEnd w:id="643"/>
      <w:r/>
      <w:bookmarkEnd w:id="644"/>
      <w:r/>
      <w:bookmarkEnd w:id="645"/>
      <w:r/>
      <w:bookmarkEnd w:id="646"/>
      <w:r/>
      <w:bookmarkEnd w:id="647"/>
      <w:r/>
      <w:bookmarkEnd w:id="648"/>
      <w:r>
        <w:rPr>
          <w:rFonts w:hint="eastAsia" w:ascii="宋体" w:hAnsi="宋体" w:eastAsia="宋体" w:cs="宋体"/>
          <w:b/>
          <w:color w:val="auto"/>
          <w:sz w:val="21"/>
          <w:szCs w:val="21"/>
          <w:highlight w:val="none"/>
          <w:lang w:eastAsia="zh-CN"/>
        </w:rPr>
        <w:t xml:space="preserve">利物质条件</w:t>
      </w:r>
      <w:r/>
    </w:p>
    <w:p>
      <w:pPr>
        <w:ind w:firstLine="480"/>
        <w:jc w:val="both"/>
        <w:spacing w:line="360" w:lineRule="auto"/>
        <w:rPr>
          <w:rFonts w:hint="eastAsia" w:ascii="宋体" w:hAnsi="宋体" w:eastAsia="宋体" w:cs="宋体"/>
          <w:color w:val="auto"/>
          <w:sz w:val="21"/>
          <w:szCs w:val="21"/>
          <w:highlight w:val="none"/>
          <w:lang w:eastAsia="zh-CN"/>
        </w:rPr>
      </w:pPr>
      <w:r/>
      <w:bookmarkStart w:id="649" w:name="_Toc300934972"/>
      <w:r/>
      <w:bookmarkStart w:id="650" w:name="_Toc304295550"/>
      <w:r/>
      <w:bookmarkStart w:id="651" w:name="_Toc297123520"/>
      <w:r/>
      <w:bookmarkStart w:id="652" w:name="_Toc297216179"/>
      <w:r/>
      <w:bookmarkStart w:id="653" w:name="_Toc318581172"/>
      <w:r/>
      <w:bookmarkStart w:id="654" w:name="_Toc303539129"/>
      <w:r/>
      <w:bookmarkStart w:id="655" w:name="_Toc312678016"/>
      <w:r>
        <w:rPr>
          <w:rFonts w:hint="eastAsia" w:ascii="宋体" w:hAnsi="宋体" w:eastAsia="宋体" w:cs="宋体"/>
          <w:color w:val="auto"/>
          <w:sz w:val="21"/>
          <w:szCs w:val="21"/>
          <w:highlight w:val="none"/>
          <w:lang w:eastAsia="zh-CN"/>
        </w:rPr>
        <w:t xml:space="preserve">不利物质条件的其他情形和有关约定：</w:t>
      </w:r>
      <w:r>
        <w:rPr>
          <w:rFonts w:hint="eastAsia" w:ascii="宋体" w:hAnsi="宋体" w:eastAsia="宋体" w:cs="宋体"/>
          <w:color w:val="auto"/>
          <w:sz w:val="21"/>
          <w:szCs w:val="21"/>
          <w:highlight w:val="none"/>
          <w:u w:val="single"/>
          <w:lang w:eastAsia="zh-CN"/>
        </w:rPr>
        <w:t xml:space="preserve">（1）地下不明障碍物；(2)古墓或文物；(3)其余按本合同《通用合同条款》执行</w:t>
      </w:r>
      <w:r>
        <w:rPr>
          <w:rFonts w:hint="eastAsia" w:ascii="宋体" w:hAnsi="宋体" w:eastAsia="宋体" w:cs="宋体"/>
          <w:color w:val="auto"/>
          <w:sz w:val="21"/>
          <w:szCs w:val="21"/>
          <w:highlight w:val="none"/>
          <w:lang w:eastAsia="zh-CN"/>
        </w:rPr>
        <w:t xml:space="preserve">。</w:t>
      </w:r>
      <w:bookmarkEnd w:id="649"/>
      <w:bookmarkEnd w:id="650"/>
      <w:bookmarkEnd w:id="651"/>
      <w:bookmarkEnd w:id="652"/>
      <w:bookmarkEnd w:id="653"/>
      <w:bookmarkEnd w:id="654"/>
      <w:bookmarkEnd w:id="655"/>
      <w:r/>
    </w:p>
    <w:p>
      <w:pPr>
        <w:ind w:firstLine="482"/>
        <w:jc w:val="both"/>
        <w:spacing w:after="120" w:line="360" w:lineRule="auto"/>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7</w:t>
      </w:r>
      <w:bookmarkStart w:id="656" w:name="_Toc297216180"/>
      <w:r/>
      <w:bookmarkStart w:id="657" w:name="_Toc312678017"/>
      <w:r/>
      <w:bookmarkStart w:id="658" w:name="_Toc303539130"/>
      <w:r/>
      <w:bookmarkStart w:id="659" w:name="_Toc300934973"/>
      <w:r/>
      <w:bookmarkStart w:id="660" w:name="_Toc304295551"/>
      <w:r/>
      <w:bookmarkStart w:id="661" w:name="_Toc297123521"/>
      <w:r>
        <w:rPr>
          <w:rFonts w:hint="eastAsia" w:ascii="宋体" w:hAnsi="宋体" w:eastAsia="宋体" w:cs="宋体"/>
          <w:b/>
          <w:color w:val="auto"/>
          <w:sz w:val="21"/>
          <w:szCs w:val="21"/>
          <w:highlight w:val="none"/>
          <w:lang w:eastAsia="zh-CN"/>
        </w:rPr>
        <w:t xml:space="preserve">.7异常恶劣的气候条件</w:t>
      </w:r>
      <w:bookmarkEnd w:id="656"/>
      <w:bookmarkEnd w:id="657"/>
      <w:bookmarkEnd w:id="658"/>
      <w:bookmarkEnd w:id="659"/>
      <w:bookmarkEnd w:id="660"/>
      <w:bookmarkEnd w:id="661"/>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发包人和承包人同意以下情形视为异常恶劣的气候条件：</w:t>
      </w:r>
      <w:r/>
    </w:p>
    <w:p>
      <w:pPr>
        <w:ind w:firstLine="482"/>
        <w:jc w:val="both"/>
        <w:spacing w:after="120" w:line="360" w:lineRule="auto"/>
        <w:rPr>
          <w:rFonts w:hint="eastAsia" w:ascii="宋体" w:hAnsi="宋体" w:eastAsia="宋体" w:cs="宋体"/>
          <w:color w:val="auto"/>
          <w:sz w:val="21"/>
          <w:szCs w:val="21"/>
          <w:highlight w:val="none"/>
          <w:u w:val="single"/>
          <w:lang w:eastAsia="zh-CN"/>
        </w:rPr>
      </w:pPr>
      <w:r/>
      <w:bookmarkStart w:id="662" w:name="_Toc36797934"/>
      <w:r>
        <w:rPr>
          <w:rFonts w:hint="eastAsia" w:ascii="宋体" w:hAnsi="宋体" w:eastAsia="宋体" w:cs="宋体"/>
          <w:color w:val="auto"/>
          <w:sz w:val="21"/>
          <w:szCs w:val="21"/>
          <w:highlight w:val="none"/>
          <w:u w:val="single"/>
          <w:lang w:eastAsia="zh-CN"/>
        </w:rPr>
        <w:t xml:space="preserve">（1） 持续降雨24小时且降雨量200mm以上；下雪为30mm以上；</w:t>
      </w:r>
      <w:r/>
    </w:p>
    <w:p>
      <w:pPr>
        <w:ind w:firstLine="482"/>
        <w:jc w:val="both"/>
        <w:spacing w:after="120"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（2） 40℃及以上持续24小时的高温。</w:t>
      </w:r>
      <w:r/>
    </w:p>
    <w:p>
      <w:pPr>
        <w:ind w:firstLine="482"/>
        <w:jc w:val="both"/>
        <w:spacing w:after="120"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（3） 日气温超过38℃的高温大于3天或低于-20℃的严寒大于3天；</w:t>
      </w:r>
      <w:r/>
    </w:p>
    <w:p>
      <w:pPr>
        <w:ind w:firstLine="482"/>
        <w:jc w:val="both"/>
        <w:spacing w:after="120" w:line="360" w:lineRule="auto"/>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7.9 提前竣工的奖励</w:t>
      </w:r>
      <w:bookmarkEnd w:id="662"/>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7.9.1提前竣工的奖励：</w:t>
      </w:r>
      <w:r>
        <w:rPr>
          <w:rFonts w:hint="eastAsia" w:ascii="宋体" w:hAnsi="宋体" w:eastAsia="宋体" w:cs="宋体"/>
          <w:color w:val="auto"/>
          <w:sz w:val="21"/>
          <w:szCs w:val="21"/>
          <w:highlight w:val="none"/>
          <w:u w:val="single"/>
          <w:lang w:eastAsia="zh-CN"/>
        </w:rPr>
        <w:t xml:space="preserve">无</w:t>
      </w:r>
      <w:r>
        <w:rPr>
          <w:rFonts w:hint="eastAsia" w:ascii="宋体" w:hAnsi="宋体" w:eastAsia="宋体" w:cs="宋体"/>
          <w:color w:val="auto"/>
          <w:sz w:val="21"/>
          <w:szCs w:val="21"/>
          <w:highlight w:val="none"/>
          <w:lang w:eastAsia="zh-CN"/>
        </w:rPr>
        <w:t xml:space="preserve">。</w:t>
      </w:r>
      <w:r/>
    </w:p>
    <w:p>
      <w:pPr>
        <w:ind w:firstLine="482"/>
        <w:jc w:val="both"/>
        <w:spacing w:line="360" w:lineRule="auto"/>
        <w:rPr>
          <w:rFonts w:hint="eastAsia" w:cs="宋体"/>
          <w:color w:val="auto"/>
          <w:sz w:val="21"/>
          <w:szCs w:val="21"/>
          <w:highlight w:val="none"/>
          <w:lang w:eastAsia="zh-CN"/>
        </w:rPr>
      </w:pPr>
      <w:r/>
      <w:bookmarkStart w:id="663" w:name="_Toc351203640"/>
      <w:r>
        <w:rPr>
          <w:rFonts w:hint="eastAsia" w:cs="宋体"/>
          <w:color w:val="auto"/>
          <w:sz w:val="21"/>
          <w:szCs w:val="21"/>
          <w:highlight w:val="none"/>
          <w:lang w:eastAsia="zh-CN"/>
        </w:rPr>
        <w:t xml:space="preserve">8. 材料与设备</w:t>
      </w:r>
      <w:bookmarkEnd w:id="663"/>
      <w:r/>
      <w:bookmarkEnd w:id="606"/>
      <w:bookmarkEnd w:id="607"/>
      <w:bookmarkEnd w:id="608"/>
      <w:bookmarkEnd w:id="609"/>
      <w:bookmarkEnd w:id="610"/>
      <w:bookmarkEnd w:id="611"/>
      <w:bookmarkEnd w:id="612"/>
      <w:bookmarkEnd w:id="613"/>
      <w:bookmarkEnd w:id="614"/>
      <w:bookmarkEnd w:id="615"/>
      <w:r/>
    </w:p>
    <w:p>
      <w:pPr>
        <w:ind w:firstLine="482"/>
        <w:jc w:val="both"/>
        <w:spacing w:after="120" w:line="360" w:lineRule="auto"/>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8</w:t>
      </w:r>
      <w:bookmarkStart w:id="664" w:name="_Toc297216186"/>
      <w:r/>
      <w:bookmarkStart w:id="665" w:name="_Toc303539136"/>
      <w:r/>
      <w:bookmarkStart w:id="666" w:name="_Toc297123527"/>
      <w:r/>
      <w:bookmarkStart w:id="667" w:name="_Toc296346668"/>
      <w:r/>
      <w:bookmarkStart w:id="668" w:name="_Toc297120467"/>
      <w:r/>
      <w:bookmarkStart w:id="669" w:name="_Toc292559372"/>
      <w:r/>
      <w:bookmarkStart w:id="670" w:name="_Toc296347166"/>
      <w:r/>
      <w:bookmarkStart w:id="671" w:name="_Toc280868654"/>
      <w:r/>
      <w:bookmarkStart w:id="672" w:name="_Toc296890995"/>
      <w:r/>
      <w:bookmarkStart w:id="673" w:name="_Toc296891207"/>
      <w:r/>
      <w:bookmarkStart w:id="674" w:name="_Toc304295556"/>
      <w:r/>
      <w:bookmarkStart w:id="675" w:name="_Toc300934979"/>
      <w:r/>
      <w:bookmarkStart w:id="676" w:name="_Toc297048353"/>
      <w:r/>
      <w:bookmarkStart w:id="677" w:name="_Toc292559877"/>
      <w:r/>
      <w:bookmarkStart w:id="678" w:name="_Toc312677493"/>
      <w:r/>
      <w:bookmarkStart w:id="679" w:name="_Toc312678019"/>
      <w:r/>
      <w:bookmarkStart w:id="680" w:name="_Toc296944506"/>
      <w:r/>
      <w:bookmarkStart w:id="681" w:name="_Toc296503167"/>
      <w:r/>
      <w:bookmarkStart w:id="682" w:name="_Toc280868656"/>
      <w:r/>
      <w:bookmarkStart w:id="683" w:name="_Toc280868655"/>
      <w:r/>
      <w:bookmarkStart w:id="684" w:name="_Toc267251424"/>
      <w:r>
        <w:rPr>
          <w:rFonts w:hint="eastAsia" w:ascii="宋体" w:hAnsi="宋体" w:eastAsia="宋体" w:cs="宋体"/>
          <w:b/>
          <w:color w:val="auto"/>
          <w:sz w:val="21"/>
          <w:szCs w:val="21"/>
          <w:highlight w:val="none"/>
          <w:lang w:eastAsia="zh-CN"/>
        </w:rPr>
        <w:t xml:space="preserve">.1材料与工程设备的保管与使用</w:t>
      </w:r>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8</w:t>
      </w:r>
      <w:bookmarkStart w:id="685" w:name="_Toc292559373"/>
      <w:r/>
      <w:bookmarkStart w:id="686" w:name="_Toc292559878"/>
      <w:r/>
      <w:bookmarkStart w:id="687" w:name="_Toc318581173"/>
      <w:r/>
      <w:bookmarkStart w:id="688" w:name="_Toc303539137"/>
      <w:r/>
      <w:bookmarkStart w:id="689" w:name="_Toc296347167"/>
      <w:r/>
      <w:bookmarkStart w:id="690" w:name="_Toc296890996"/>
      <w:r/>
      <w:bookmarkStart w:id="691" w:name="_Toc297120468"/>
      <w:r/>
      <w:bookmarkStart w:id="692" w:name="_Toc297048354"/>
      <w:r/>
      <w:bookmarkStart w:id="693" w:name="_Toc296891208"/>
      <w:r/>
      <w:bookmarkStart w:id="694" w:name="_Toc312678020"/>
      <w:r/>
      <w:bookmarkStart w:id="695" w:name="_Toc297123528"/>
      <w:r/>
      <w:bookmarkStart w:id="696" w:name="_Toc312677494"/>
      <w:r/>
      <w:bookmarkStart w:id="697" w:name="_Toc297216187"/>
      <w:r/>
      <w:bookmarkStart w:id="698" w:name="_Toc300934980"/>
      <w:r/>
      <w:bookmarkStart w:id="699" w:name="_Toc304295557"/>
      <w:r/>
      <w:bookmarkStart w:id="700" w:name="_Toc296503168"/>
      <w:r/>
      <w:bookmarkStart w:id="701" w:name="_Toc296346669"/>
      <w:r/>
      <w:bookmarkStart w:id="702" w:name="_Toc296944507"/>
      <w:r>
        <w:rPr>
          <w:rFonts w:hint="eastAsia" w:ascii="宋体" w:hAnsi="宋体" w:eastAsia="宋体" w:cs="宋体"/>
          <w:color w:val="auto"/>
          <w:sz w:val="21"/>
          <w:szCs w:val="21"/>
          <w:highlight w:val="none"/>
          <w:lang w:eastAsia="zh-CN"/>
        </w:rPr>
        <w:t xml:space="preserve">.1.1发包人供应的材料设备的保管费用的承担：</w:t>
      </w:r>
      <w:bookmarkEnd w:id="685"/>
      <w:r/>
      <w:bookmarkEnd w:id="686"/>
      <w:r>
        <w:rPr>
          <w:rFonts w:hint="eastAsia" w:ascii="宋体" w:hAnsi="宋体" w:eastAsia="宋体" w:cs="宋体"/>
          <w:color w:val="auto"/>
          <w:sz w:val="21"/>
          <w:szCs w:val="21"/>
          <w:highlight w:val="none"/>
          <w:u w:val="single"/>
          <w:lang w:eastAsia="zh-CN"/>
        </w:rPr>
        <w:t xml:space="preserve">本次招标无发包人供应材料设备，如在施工中发生，则按发包人供应材料设备总价的1%在结算时支付（因承包人原因导致部分材料设备由发包人采购除外）</w:t>
      </w:r>
      <w:r>
        <w:rPr>
          <w:rFonts w:hint="eastAsia" w:ascii="宋体" w:hAnsi="宋体" w:eastAsia="宋体" w:cs="宋体"/>
          <w:color w:val="auto"/>
          <w:sz w:val="21"/>
          <w:szCs w:val="21"/>
          <w:highlight w:val="none"/>
          <w:lang w:eastAsia="zh-CN"/>
        </w:rPr>
        <w:t xml:space="preserve">。</w:t>
      </w:r>
      <w:r/>
    </w:p>
    <w:p>
      <w:pPr>
        <w:ind w:firstLine="420"/>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关于材料的约定：</w:t>
      </w:r>
      <w:r/>
    </w:p>
    <w:p>
      <w:pPr>
        <w:ind w:firstLine="420"/>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1）凡由承包人采购的材料，必须为全新、未使用、正牌、合格产品，承包人应按照设计要求、技术标准及招标文件的约定采购，并向发包人提供质量保证书、出厂合格证及现场抽样检测报告等证明材料，对材料质量负责。如不符合质量及技术标准要求或规格有差异的，承包人应按发包人要求的时间将不符合要求的材料运出施工场地，重新采购符合要求的材料。若已使用，由承包人负责整改处理，确保达到要求的质量目标。因使用不符合要求的材料对工程造成的损失由承包人负责，由此延误的工期不予顺延。</w:t>
      </w:r>
      <w:r/>
    </w:p>
    <w:p>
      <w:pPr>
        <w:ind w:firstLine="420"/>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2）承包人在施工中偷工减料的，使用不合格的建筑材料、建筑构配件和设备的，或者有不按照工程设计图纸或者施工技术标准施工的其他行为的，责令改正，结合相关法律法规规定，按签约合同价的4%要求承包人支付违约金；造成建设工程质量不符合规定的质量标准的，负责返工、修理，并赔偿因此造成的损失；情节严重的，责令停业整顿，降低资质等级或者吊销资质证书。</w:t>
      </w:r>
      <w:r/>
    </w:p>
    <w:p>
      <w:pPr>
        <w:ind w:firstLine="420"/>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3）承包人所选用材料必须符合相关国家强制性标准和规范要求，保证材料符合相关安全、环保等要求。主材如未按招标文件约定，以次充优，擅自更换投标品牌或使用假冒、贴牌产品的，必须全部无条件清退出场。所造成的一切责任和后果均由承包人承担，对于已发生的还将进行“以一罚十”的处罚。</w:t>
      </w:r>
      <w:r/>
    </w:p>
    <w:p>
      <w:pPr>
        <w:pStyle w:val="834"/>
        <w:ind w:firstLine="420"/>
        <w:rPr>
          <w:rFonts w:hint="eastAsia" w:cs="宋体"/>
          <w:color w:val="auto"/>
          <w:sz w:val="21"/>
          <w:szCs w:val="21"/>
          <w:highlight w:val="none"/>
          <w:lang w:eastAsia="zh-CN"/>
        </w:rPr>
      </w:pPr>
      <w:r>
        <w:rPr>
          <w:rFonts w:hint="eastAsia" w:cs="宋体"/>
          <w:color w:val="auto"/>
          <w:sz w:val="21"/>
          <w:szCs w:val="21"/>
          <w:highlight w:val="none"/>
          <w:lang w:eastAsia="zh-CN"/>
        </w:rPr>
      </w:r>
      <w:r/>
    </w:p>
    <w:p>
      <w:pPr>
        <w:ind w:firstLine="482"/>
        <w:jc w:val="both"/>
        <w:spacing w:after="120" w:line="360" w:lineRule="auto"/>
        <w:rPr>
          <w:rFonts w:hint="eastAsia" w:ascii="宋体" w:hAnsi="宋体" w:eastAsia="宋体" w:cs="宋体"/>
          <w:b/>
          <w:color w:val="auto"/>
          <w:sz w:val="21"/>
          <w:szCs w:val="21"/>
          <w:highlight w:val="none"/>
          <w:lang w:eastAsia="zh-CN"/>
        </w:rPr>
      </w:pPr>
      <w:r/>
      <w:bookmarkStart w:id="703" w:name="_Toc36797935"/>
      <w:r>
        <w:rPr>
          <w:rFonts w:hint="eastAsia" w:ascii="宋体" w:hAnsi="宋体" w:eastAsia="宋体" w:cs="宋体"/>
          <w:b/>
          <w:color w:val="auto"/>
          <w:sz w:val="21"/>
          <w:szCs w:val="21"/>
          <w:highlight w:val="none"/>
          <w:lang w:eastAsia="zh-CN"/>
        </w:rPr>
        <w:t xml:space="preserve">8.2 样品</w:t>
      </w:r>
      <w:bookmarkEnd w:id="703"/>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8.2.1 样品的报送与封存</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需要承包人报送样品的材料或工程设备，样品的种类、名称、规格、数量要求：</w:t>
      </w:r>
      <w:r/>
    </w:p>
    <w:p>
      <w:pPr>
        <w:ind w:firstLine="480"/>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1）用于本工程之任何材料，在使用前必须得到发包人授权的监理工程师认可或批准。在施工前，承包人须提供各有关物料之样本作认可之用，认可的物料样本由发包人封样备查。发包人对任何样本之认可或批准，并不会解除承包人按合同须履行之责任。</w:t>
      </w:r>
      <w:r/>
    </w:p>
    <w:p>
      <w:pPr>
        <w:ind w:firstLine="480"/>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（2）承包人应在投标文件中明确上述主要材料所选的品牌、厂家，如果承包人在投标文件中没有明确选用何种品牌，发包人可以指定其他任一品牌厂家，且合同价格不予调整。</w:t>
      </w:r>
      <w:r/>
    </w:p>
    <w:p>
      <w:pPr>
        <w:ind w:firstLine="480"/>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3）“主要材料推荐品牌及要求”详见招标清单编制总说明（如有），承包人必须在本表规定的品牌范围内提供样品或样册，经监理、发包人确认后方可使用。发包人有权在招标文件规定推荐品牌范围内更换或调整材料，仍按投标价格进行结算，竣工结算时不予调整。</w:t>
      </w:r>
      <w:r/>
    </w:p>
    <w:p>
      <w:pPr>
        <w:ind w:firstLine="482"/>
        <w:jc w:val="both"/>
        <w:spacing w:after="120" w:line="360" w:lineRule="auto"/>
        <w:rPr>
          <w:rFonts w:hint="eastAsia" w:ascii="宋体" w:hAnsi="宋体" w:eastAsia="宋体" w:cs="宋体"/>
          <w:b/>
          <w:color w:val="auto"/>
          <w:sz w:val="21"/>
          <w:szCs w:val="21"/>
          <w:highlight w:val="none"/>
          <w:lang w:eastAsia="zh-CN"/>
        </w:rPr>
      </w:pPr>
      <w:r/>
      <w:bookmarkStart w:id="704" w:name="_Toc36797936"/>
      <w:r>
        <w:rPr>
          <w:rFonts w:hint="eastAsia" w:ascii="宋体" w:hAnsi="宋体" w:eastAsia="宋体" w:cs="宋体"/>
          <w:b/>
          <w:color w:val="auto"/>
          <w:sz w:val="21"/>
          <w:szCs w:val="21"/>
          <w:highlight w:val="none"/>
          <w:lang w:eastAsia="zh-CN"/>
        </w:rPr>
        <w:t xml:space="preserve">8.3 施工设备和临时设施</w:t>
      </w:r>
      <w:bookmarkEnd w:id="704"/>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8.3.1 承包人提供的施工设备和临时设施</w:t>
      </w:r>
      <w:r/>
    </w:p>
    <w:p>
      <w:pPr>
        <w:ind w:firstLine="480"/>
        <w:jc w:val="both"/>
        <w:spacing w:line="360" w:lineRule="auto"/>
        <w:rPr>
          <w:rFonts w:hint="eastAsia" w:ascii="宋体" w:hAnsi="宋体" w:eastAsia="宋体" w:cs="宋体"/>
          <w:b/>
          <w:color w:val="auto"/>
          <w:sz w:val="21"/>
          <w:szCs w:val="21"/>
          <w:highlight w:val="none"/>
          <w:u w:val="single"/>
          <w:lang w:eastAsia="zh-CN"/>
        </w:rPr>
      </w:pPr>
      <w:r>
        <w:rPr>
          <w:rFonts w:hint="eastAsia" w:ascii="宋体" w:hAnsi="宋体" w:eastAsia="宋体" w:cs="宋体"/>
          <w:color w:val="auto"/>
          <w:sz w:val="21"/>
          <w:szCs w:val="21"/>
          <w:highlight w:val="none"/>
          <w:lang w:eastAsia="zh-CN"/>
        </w:rPr>
        <w:t xml:space="preserve">关于修建临时设施费用承担的约定：</w:t>
      </w:r>
      <w:r>
        <w:rPr>
          <w:rFonts w:hint="eastAsia" w:ascii="宋体" w:hAnsi="宋体" w:eastAsia="宋体" w:cs="宋体"/>
          <w:color w:val="auto"/>
          <w:sz w:val="21"/>
          <w:szCs w:val="21"/>
          <w:highlight w:val="none"/>
          <w:u w:val="single"/>
          <w:lang w:eastAsia="zh-CN"/>
        </w:rPr>
        <w:t xml:space="preserve">按照通用合同条款执行</w:t>
      </w:r>
      <w:r>
        <w:rPr>
          <w:rFonts w:hint="eastAsia" w:ascii="宋体" w:hAnsi="宋体" w:eastAsia="宋体" w:cs="宋体"/>
          <w:color w:val="auto"/>
          <w:sz w:val="21"/>
          <w:szCs w:val="21"/>
          <w:highlight w:val="none"/>
          <w:lang w:eastAsia="zh-CN"/>
        </w:rPr>
        <w:t xml:space="preserve">。</w:t>
      </w:r>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r/>
    </w:p>
    <w:p>
      <w:pPr>
        <w:ind w:firstLine="482"/>
        <w:jc w:val="both"/>
        <w:spacing w:line="360" w:lineRule="auto"/>
        <w:rPr>
          <w:rFonts w:hint="eastAsia" w:cs="宋体"/>
          <w:color w:val="auto"/>
          <w:sz w:val="21"/>
          <w:szCs w:val="21"/>
          <w:highlight w:val="none"/>
          <w:lang w:eastAsia="zh-CN"/>
        </w:rPr>
      </w:pPr>
      <w:r/>
      <w:bookmarkStart w:id="705" w:name="_Toc351203641"/>
      <w:r>
        <w:rPr>
          <w:rFonts w:hint="eastAsia" w:cs="宋体"/>
          <w:color w:val="auto"/>
          <w:sz w:val="21"/>
          <w:szCs w:val="21"/>
          <w:highlight w:val="none"/>
          <w:lang w:eastAsia="zh-CN"/>
        </w:rPr>
        <w:t xml:space="preserve">9</w:t>
      </w:r>
      <w:bookmarkEnd w:id="682"/>
      <w:r/>
      <w:bookmarkEnd w:id="683"/>
      <w:r/>
      <w:bookmarkEnd w:id="684"/>
      <w:r/>
      <w:bookmarkStart w:id="706" w:name="_Toc297123533"/>
      <w:r/>
      <w:bookmarkStart w:id="707" w:name="_Toc312677495"/>
      <w:r/>
      <w:bookmarkStart w:id="708" w:name="_Toc312678021"/>
      <w:r/>
      <w:bookmarkStart w:id="709" w:name="_Toc297216192"/>
      <w:r/>
      <w:bookmarkStart w:id="710" w:name="_Toc303539139"/>
      <w:r/>
      <w:bookmarkStart w:id="711" w:name="_Toc304295559"/>
      <w:r/>
      <w:bookmarkStart w:id="712" w:name="_Toc300934982"/>
      <w:r/>
      <w:bookmarkStart w:id="713" w:name="_Toc292559883"/>
      <w:r/>
      <w:bookmarkStart w:id="714" w:name="_Toc267251427"/>
      <w:r/>
      <w:bookmarkStart w:id="715" w:name="_Toc296891213"/>
      <w:r/>
      <w:bookmarkStart w:id="716" w:name="_Toc267251428"/>
      <w:r/>
      <w:bookmarkStart w:id="717" w:name="_Toc296347172"/>
      <w:r/>
      <w:bookmarkStart w:id="718" w:name="_Toc297048359"/>
      <w:r/>
      <w:bookmarkStart w:id="719" w:name="_Toc296346674"/>
      <w:r/>
      <w:bookmarkStart w:id="720" w:name="_Toc296944512"/>
      <w:r/>
      <w:bookmarkStart w:id="721" w:name="_Toc296891001"/>
      <w:r/>
      <w:bookmarkStart w:id="722" w:name="_Toc297120473"/>
      <w:r/>
      <w:bookmarkStart w:id="723" w:name="_Toc296503173"/>
      <w:r/>
      <w:bookmarkStart w:id="724" w:name="_Toc292559378"/>
      <w:r>
        <w:rPr>
          <w:rFonts w:hint="eastAsia" w:cs="宋体"/>
          <w:color w:val="auto"/>
          <w:sz w:val="21"/>
          <w:szCs w:val="21"/>
          <w:highlight w:val="none"/>
          <w:lang w:eastAsia="zh-CN"/>
        </w:rPr>
        <w:t xml:space="preserve">. 试验与检验</w:t>
      </w:r>
      <w:bookmarkEnd w:id="705"/>
      <w:r/>
      <w:bookmarkEnd w:id="706"/>
      <w:bookmarkEnd w:id="707"/>
      <w:bookmarkEnd w:id="708"/>
      <w:bookmarkEnd w:id="709"/>
      <w:bookmarkEnd w:id="710"/>
      <w:bookmarkEnd w:id="711"/>
      <w:bookmarkEnd w:id="712"/>
      <w:r/>
    </w:p>
    <w:p>
      <w:pPr>
        <w:ind w:firstLine="482"/>
        <w:jc w:val="both"/>
        <w:spacing w:after="120" w:line="360" w:lineRule="auto"/>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9</w:t>
      </w:r>
      <w:bookmarkStart w:id="725" w:name="_Toc300934983"/>
      <w:r/>
      <w:bookmarkStart w:id="726" w:name="_Toc304295560"/>
      <w:r/>
      <w:bookmarkStart w:id="727" w:name="_Toc303539140"/>
      <w:r/>
      <w:bookmarkStart w:id="728" w:name="_Toc297216193"/>
      <w:r/>
      <w:bookmarkStart w:id="729" w:name="_Toc312677496"/>
      <w:r/>
      <w:bookmarkStart w:id="730" w:name="_Toc312678022"/>
      <w:r/>
      <w:bookmarkStart w:id="731" w:name="_Toc297123534"/>
      <w:r>
        <w:rPr>
          <w:rFonts w:hint="eastAsia" w:ascii="宋体" w:hAnsi="宋体" w:eastAsia="宋体" w:cs="宋体"/>
          <w:b/>
          <w:color w:val="auto"/>
          <w:sz w:val="21"/>
          <w:szCs w:val="21"/>
          <w:highlight w:val="none"/>
          <w:lang w:eastAsia="zh-CN"/>
        </w:rPr>
        <w:t xml:space="preserve">.1试验设备与试验人员</w:t>
      </w:r>
      <w:bookmarkEnd w:id="725"/>
      <w:bookmarkEnd w:id="726"/>
      <w:bookmarkEnd w:id="727"/>
      <w:bookmarkEnd w:id="728"/>
      <w:bookmarkEnd w:id="729"/>
      <w:bookmarkEnd w:id="730"/>
      <w:bookmarkEnd w:id="731"/>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9</w:t>
      </w:r>
      <w:bookmarkStart w:id="732" w:name="_Toc303539141"/>
      <w:r/>
      <w:bookmarkStart w:id="733" w:name="_Toc300934984"/>
      <w:r/>
      <w:bookmarkStart w:id="734" w:name="_Toc312678023"/>
      <w:r/>
      <w:bookmarkStart w:id="735" w:name="_Toc297123535"/>
      <w:r/>
      <w:bookmarkStart w:id="736" w:name="_Toc304295561"/>
      <w:r/>
      <w:bookmarkStart w:id="737" w:name="_Toc312677497"/>
      <w:r/>
      <w:bookmarkStart w:id="738" w:name="_Toc297216194"/>
      <w:r/>
      <w:bookmarkStart w:id="739" w:name="_Toc318581174"/>
      <w:r>
        <w:rPr>
          <w:rFonts w:hint="eastAsia" w:ascii="宋体" w:hAnsi="宋体" w:eastAsia="宋体" w:cs="宋体"/>
          <w:color w:val="auto"/>
          <w:sz w:val="21"/>
          <w:szCs w:val="21"/>
          <w:highlight w:val="none"/>
          <w:lang w:eastAsia="zh-CN"/>
        </w:rPr>
        <w:t xml:space="preserve">.1.1 试验设备</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施工现场需要配置的试验场所：</w:t>
      </w:r>
      <w:bookmarkEnd w:id="732"/>
      <w:r/>
      <w:bookmarkEnd w:id="733"/>
      <w:r/>
      <w:bookmarkEnd w:id="734"/>
      <w:r/>
      <w:bookmarkEnd w:id="735"/>
      <w:r/>
      <w:bookmarkEnd w:id="736"/>
      <w:r/>
      <w:bookmarkEnd w:id="737"/>
      <w:r/>
      <w:bookmarkEnd w:id="738"/>
      <w:r/>
      <w:bookmarkStart w:id="740" w:name="_Toc303539142"/>
      <w:r/>
      <w:bookmarkStart w:id="741" w:name="_Toc304295562"/>
      <w:r/>
      <w:bookmarkStart w:id="742" w:name="_Toc297123536"/>
      <w:r/>
      <w:bookmarkStart w:id="743" w:name="_Toc297216195"/>
      <w:r/>
      <w:bookmarkStart w:id="744" w:name="_Toc312677498"/>
      <w:r/>
      <w:bookmarkStart w:id="745" w:name="_Toc300934985"/>
      <w:r/>
      <w:bookmarkStart w:id="746" w:name="_Toc312678024"/>
      <w:r>
        <w:rPr>
          <w:rFonts w:hint="eastAsia" w:ascii="宋体" w:hAnsi="宋体" w:eastAsia="宋体" w:cs="宋体"/>
          <w:color w:val="auto"/>
          <w:sz w:val="21"/>
          <w:szCs w:val="21"/>
          <w:highlight w:val="none"/>
          <w:u w:val="single"/>
          <w:lang w:eastAsia="zh-CN"/>
        </w:rPr>
        <w:t xml:space="preserve">承包人按规定和按投标文件承诺配置</w:t>
      </w:r>
      <w:r/>
    </w:p>
    <w:p>
      <w:pPr>
        <w:ind w:firstLine="480"/>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lang w:eastAsia="zh-CN"/>
        </w:rPr>
        <w:t xml:space="preserve">施工现场需要配备的试验设备：</w:t>
      </w:r>
      <w:r>
        <w:rPr>
          <w:rFonts w:hint="eastAsia" w:ascii="宋体" w:hAnsi="宋体" w:eastAsia="宋体" w:cs="宋体"/>
          <w:color w:val="auto"/>
          <w:sz w:val="21"/>
          <w:szCs w:val="21"/>
          <w:highlight w:val="none"/>
          <w:u w:val="single"/>
          <w:lang w:eastAsia="zh-CN"/>
        </w:rPr>
        <w:t xml:space="preserve">承包人按后附表：《试验仪器设备配置表》要求配置</w:t>
      </w:r>
      <w:r>
        <w:rPr>
          <w:rFonts w:hint="eastAsia" w:ascii="宋体" w:hAnsi="宋体" w:eastAsia="宋体" w:cs="宋体"/>
          <w:color w:val="auto"/>
          <w:sz w:val="21"/>
          <w:szCs w:val="21"/>
          <w:highlight w:val="none"/>
          <w:lang w:eastAsia="zh-CN"/>
        </w:rPr>
        <w:t xml:space="preserve">。</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施工现场需要具备的其他试验条件：</w:t>
      </w:r>
      <w:r>
        <w:rPr>
          <w:rFonts w:hint="eastAsia" w:ascii="宋体" w:hAnsi="宋体" w:eastAsia="宋体" w:cs="宋体"/>
          <w:color w:val="auto"/>
          <w:sz w:val="21"/>
          <w:szCs w:val="21"/>
          <w:highlight w:val="none"/>
          <w:u w:val="single"/>
          <w:lang w:eastAsia="zh-CN"/>
        </w:rPr>
        <w:t xml:space="preserve">暂无，如需要，另行协商解决</w:t>
      </w:r>
      <w:r>
        <w:rPr>
          <w:rFonts w:hint="eastAsia" w:ascii="宋体" w:hAnsi="宋体" w:eastAsia="宋体" w:cs="宋体"/>
          <w:color w:val="auto"/>
          <w:sz w:val="21"/>
          <w:szCs w:val="21"/>
          <w:highlight w:val="none"/>
          <w:lang w:eastAsia="zh-CN"/>
        </w:rPr>
        <w:t xml:space="preserve">。</w:t>
      </w:r>
      <w:r/>
    </w:p>
    <w:p>
      <w:pPr>
        <w:ind w:firstLine="482"/>
        <w:jc w:val="both"/>
        <w:spacing w:after="120" w:line="360" w:lineRule="auto"/>
        <w:rPr>
          <w:rFonts w:hint="eastAsia" w:ascii="宋体" w:hAnsi="宋体" w:eastAsia="宋体" w:cs="宋体"/>
          <w:b/>
          <w:color w:val="auto"/>
          <w:sz w:val="21"/>
          <w:szCs w:val="21"/>
          <w:highlight w:val="none"/>
          <w:lang w:eastAsia="zh-CN"/>
        </w:rPr>
      </w:pPr>
      <w:r/>
      <w:bookmarkStart w:id="747" w:name="_Toc36797937"/>
      <w:r>
        <w:rPr>
          <w:rFonts w:hint="eastAsia" w:ascii="宋体" w:hAnsi="宋体" w:eastAsia="宋体" w:cs="宋体"/>
          <w:b/>
          <w:color w:val="auto"/>
          <w:sz w:val="21"/>
          <w:szCs w:val="21"/>
          <w:highlight w:val="none"/>
          <w:lang w:eastAsia="zh-CN"/>
        </w:rPr>
        <w:t xml:space="preserve">9.2 现场工艺试验</w:t>
      </w:r>
      <w:bookmarkEnd w:id="747"/>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现场工艺试验的有关约定：</w:t>
      </w:r>
      <w:r>
        <w:rPr>
          <w:rFonts w:hint="eastAsia" w:ascii="宋体" w:hAnsi="宋体" w:eastAsia="宋体" w:cs="宋体"/>
          <w:color w:val="auto"/>
          <w:sz w:val="21"/>
          <w:szCs w:val="21"/>
          <w:highlight w:val="none"/>
          <w:u w:val="single"/>
          <w:lang w:eastAsia="zh-CN"/>
        </w:rPr>
        <w:t xml:space="preserve">符合发包人或监理人现场要求</w:t>
      </w:r>
      <w:r>
        <w:rPr>
          <w:rFonts w:hint="eastAsia" w:ascii="宋体" w:hAnsi="宋体" w:eastAsia="宋体" w:cs="宋体"/>
          <w:color w:val="auto"/>
          <w:sz w:val="21"/>
          <w:szCs w:val="21"/>
          <w:highlight w:val="none"/>
          <w:lang w:eastAsia="zh-CN"/>
        </w:rPr>
        <w:t xml:space="preserve">。</w:t>
      </w:r>
      <w:bookmarkEnd w:id="739"/>
      <w:bookmarkEnd w:id="740"/>
      <w:bookmarkEnd w:id="741"/>
      <w:bookmarkEnd w:id="742"/>
      <w:bookmarkEnd w:id="743"/>
      <w:bookmarkEnd w:id="744"/>
      <w:bookmarkEnd w:id="745"/>
      <w:bookmarkEnd w:id="746"/>
      <w:r/>
    </w:p>
    <w:p>
      <w:pPr>
        <w:ind w:firstLine="482"/>
        <w:jc w:val="both"/>
        <w:spacing w:line="360" w:lineRule="auto"/>
        <w:rPr>
          <w:rFonts w:hint="eastAsia" w:cs="宋体"/>
          <w:color w:val="auto"/>
          <w:sz w:val="21"/>
          <w:szCs w:val="21"/>
          <w:highlight w:val="none"/>
          <w:lang w:eastAsia="zh-CN"/>
        </w:rPr>
      </w:pPr>
      <w:r/>
      <w:bookmarkStart w:id="748" w:name="_Toc351203642"/>
      <w:r>
        <w:rPr>
          <w:rFonts w:hint="eastAsia" w:cs="宋体"/>
          <w:color w:val="auto"/>
          <w:sz w:val="21"/>
          <w:szCs w:val="21"/>
          <w:highlight w:val="none"/>
          <w:lang w:eastAsia="zh-CN"/>
        </w:rPr>
        <w:t xml:space="preserve">1</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Start w:id="749" w:name="_Toc297120493"/>
      <w:r/>
      <w:bookmarkStart w:id="750" w:name="_Toc303539146"/>
      <w:r/>
      <w:bookmarkStart w:id="751" w:name="_Toc292559903"/>
      <w:r/>
      <w:bookmarkStart w:id="752" w:name="_Toc304295566"/>
      <w:r/>
      <w:bookmarkStart w:id="753" w:name="_Toc296347192"/>
      <w:r/>
      <w:bookmarkStart w:id="754" w:name="_Toc297048379"/>
      <w:r/>
      <w:bookmarkStart w:id="755" w:name="_Toc296944532"/>
      <w:r/>
      <w:bookmarkStart w:id="756" w:name="_Toc296346694"/>
      <w:r/>
      <w:bookmarkStart w:id="757" w:name="_Toc300934989"/>
      <w:r/>
      <w:bookmarkStart w:id="758" w:name="_Toc297123540"/>
      <w:r/>
      <w:bookmarkStart w:id="759" w:name="_Toc292559398"/>
      <w:r/>
      <w:bookmarkStart w:id="760" w:name="_Toc297216199"/>
      <w:r/>
      <w:bookmarkStart w:id="761" w:name="_Toc296891233"/>
      <w:r/>
      <w:bookmarkStart w:id="762" w:name="_Toc296891021"/>
      <w:r/>
      <w:bookmarkStart w:id="763" w:name="_Toc296503193"/>
      <w:r/>
      <w:bookmarkStart w:id="764" w:name="_Toc312677499"/>
      <w:r/>
      <w:bookmarkStart w:id="765" w:name="_Toc312678025"/>
      <w:r/>
      <w:bookmarkStart w:id="766" w:name="_Toc267251441"/>
      <w:r/>
      <w:bookmarkStart w:id="767" w:name="_Toc267251440"/>
      <w:r/>
      <w:bookmarkStart w:id="768" w:name="_Toc267251433"/>
      <w:r/>
      <w:bookmarkStart w:id="769" w:name="_Toc267251435"/>
      <w:r/>
      <w:bookmarkStart w:id="770" w:name="_Toc267251439"/>
      <w:r/>
      <w:bookmarkStart w:id="771" w:name="_Toc267251437"/>
      <w:r/>
      <w:bookmarkStart w:id="772" w:name="_Toc267251442"/>
      <w:r>
        <w:rPr>
          <w:rFonts w:hint="eastAsia" w:cs="宋体"/>
          <w:color w:val="auto"/>
          <w:sz w:val="21"/>
          <w:szCs w:val="21"/>
          <w:highlight w:val="none"/>
          <w:lang w:eastAsia="zh-CN"/>
        </w:rPr>
        <w:t xml:space="preserve">0. 变更</w:t>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bookmarkEnd w:id="765"/>
      <w:r/>
    </w:p>
    <w:p>
      <w:pPr>
        <w:ind w:firstLine="482"/>
        <w:jc w:val="both"/>
        <w:spacing w:after="120" w:line="360" w:lineRule="auto"/>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1</w:t>
      </w:r>
      <w:bookmarkStart w:id="773" w:name="_Toc297048380"/>
      <w:r/>
      <w:bookmarkStart w:id="774" w:name="_Toc297216200"/>
      <w:r/>
      <w:bookmarkStart w:id="775" w:name="_Toc296944533"/>
      <w:r/>
      <w:bookmarkStart w:id="776" w:name="_Toc297123541"/>
      <w:r/>
      <w:bookmarkStart w:id="777" w:name="_Toc296503194"/>
      <w:r/>
      <w:bookmarkStart w:id="778" w:name="_Toc292559904"/>
      <w:r/>
      <w:bookmarkStart w:id="779" w:name="_Toc296346695"/>
      <w:r/>
      <w:bookmarkStart w:id="780" w:name="_Toc304295567"/>
      <w:r/>
      <w:bookmarkStart w:id="781" w:name="_Toc312677500"/>
      <w:r/>
      <w:bookmarkStart w:id="782" w:name="_Toc296347193"/>
      <w:r/>
      <w:bookmarkStart w:id="783" w:name="_Toc296891022"/>
      <w:r/>
      <w:bookmarkStart w:id="784" w:name="_Toc292559399"/>
      <w:r/>
      <w:bookmarkStart w:id="785" w:name="_Toc296891234"/>
      <w:r/>
      <w:bookmarkStart w:id="786" w:name="_Toc297120494"/>
      <w:r/>
      <w:bookmarkStart w:id="787" w:name="_Toc303539147"/>
      <w:r/>
      <w:bookmarkStart w:id="788" w:name="_Toc312678026"/>
      <w:r/>
      <w:bookmarkStart w:id="789" w:name="_Toc300934990"/>
      <w:r>
        <w:rPr>
          <w:rFonts w:hint="eastAsia" w:ascii="宋体" w:hAnsi="宋体" w:eastAsia="宋体" w:cs="宋体"/>
          <w:b/>
          <w:color w:val="auto"/>
          <w:sz w:val="21"/>
          <w:szCs w:val="21"/>
          <w:highlight w:val="none"/>
          <w:lang w:eastAsia="zh-CN"/>
        </w:rPr>
        <w:t xml:space="preserve">0.1变更的范围</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关于变更的范围的约定：</w:t>
      </w:r>
      <w:r>
        <w:rPr>
          <w:rFonts w:hint="eastAsia" w:ascii="宋体" w:hAnsi="宋体" w:eastAsia="宋体" w:cs="宋体"/>
          <w:color w:val="auto"/>
          <w:sz w:val="21"/>
          <w:szCs w:val="21"/>
          <w:highlight w:val="none"/>
          <w:u w:val="single"/>
          <w:lang w:eastAsia="zh-CN"/>
        </w:rPr>
        <w:t xml:space="preserve">工程实施过程中由发包人提出或由承包人提出经发包人批准为前提，包含设计图纸发生修改，对施工工艺、顺序和时间的改变，施工条件发生改变，为完成合同工程所需要追加的额外工作等 </w:t>
      </w:r>
      <w:r>
        <w:rPr>
          <w:rFonts w:hint="eastAsia" w:ascii="宋体" w:hAnsi="宋体" w:eastAsia="宋体" w:cs="宋体"/>
          <w:color w:val="auto"/>
          <w:sz w:val="21"/>
          <w:szCs w:val="21"/>
          <w:highlight w:val="none"/>
          <w:lang w:eastAsia="zh-CN"/>
        </w:rPr>
        <w:t xml:space="preserve">。</w:t>
      </w:r>
      <w:r/>
    </w:p>
    <w:p>
      <w:pPr>
        <w:ind w:firstLine="482"/>
        <w:jc w:val="both"/>
        <w:spacing w:after="120" w:line="360" w:lineRule="auto"/>
        <w:rPr>
          <w:rFonts w:hint="eastAsia" w:ascii="宋体" w:hAnsi="宋体" w:eastAsia="宋体" w:cs="宋体"/>
          <w:b/>
          <w:color w:val="auto"/>
          <w:sz w:val="21"/>
          <w:szCs w:val="21"/>
          <w:highlight w:val="none"/>
          <w:lang w:eastAsia="zh-CN"/>
        </w:rPr>
      </w:pPr>
      <w:r/>
      <w:bookmarkStart w:id="790" w:name="_Toc36797938"/>
      <w:r>
        <w:rPr>
          <w:rFonts w:hint="eastAsia" w:ascii="宋体" w:hAnsi="宋体" w:eastAsia="宋体" w:cs="宋体"/>
          <w:b/>
          <w:color w:val="auto"/>
          <w:sz w:val="21"/>
          <w:szCs w:val="21"/>
          <w:highlight w:val="none"/>
          <w:lang w:eastAsia="zh-CN"/>
        </w:rPr>
        <w:t xml:space="preserve">10.4 变更估价</w:t>
      </w:r>
      <w:bookmarkEnd w:id="790"/>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10.4.1 变更估价原则</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关于变更估价的约定: </w:t>
      </w:r>
      <w:r/>
    </w:p>
    <w:p>
      <w:pPr>
        <w:ind w:firstLine="420"/>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（1）工程量清单中已有工作内容和价格组成相同于变更子目或单项的综合单价时，按合同已有综合单价执行；</w:t>
      </w:r>
      <w:r/>
    </w:p>
    <w:p>
      <w:pPr>
        <w:ind w:firstLine="420"/>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（2）工程量清单中只有工作内容和价格组成类似于变更子目或单项的综合单价时，参照类似综合单价；</w:t>
      </w:r>
      <w:r/>
    </w:p>
    <w:p>
      <w:pPr>
        <w:ind w:firstLine="420"/>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3）工程量清单中没有工作内容和价格组成相同或类似于变更子目或单项的综合单价时，按本工程招控制价的计价标准原则和下浮率进行组价，材料价格按同期南京市场信息价格执行，如信息指导价无相关价格，则按照市场询价确定，固定品牌广告价格不作为参考依旧。变更价按投标下浮比例（1-中标价/招标控制价×100%）下浮后作为变更报价，报送监理和跟踪审计复核，发包人审批。</w:t>
      </w:r>
      <w:r/>
    </w:p>
    <w:p>
      <w:pPr>
        <w:ind w:firstLine="420"/>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（4）变更材料价格的确定：</w:t>
      </w:r>
      <w:r/>
    </w:p>
    <w:p>
      <w:pPr>
        <w:ind w:firstLine="420"/>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① 投标文件承包人材料价格明细表已有的材料，根据承包人材料价格明细表所列的材料单价计算；</w:t>
      </w:r>
      <w:r/>
    </w:p>
    <w:p>
      <w:pPr>
        <w:ind w:firstLine="420"/>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② 承包人材料价格明细表中没有的材料，由承包人呈报价格, 最终经监理、跟踪审计审核、发包人批准后的价格为准。承包人呈报的价格不得高于南京市工程造价管理部门当期施工的指导价价格，无指导价价格的，不得高于市场询价价格，否则高出的价格差价作为承包人结算让利部分。</w:t>
      </w:r>
      <w:r/>
    </w:p>
    <w:p>
      <w:pPr>
        <w:ind w:firstLine="420"/>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③ 如承包人材料价格明细表中已有的材料，在建设过程中因市场原因无法采购，而发生材料代用时，必须经监理和发包人代表报请发包人技术部门审核同意后方可代用，并由承包人呈报价格，经监理、跟踪审计审核、发包人审核批准的价格为准，超出原材料价款的费用由承包方承担。</w:t>
      </w:r>
      <w:r/>
    </w:p>
    <w:p>
      <w:pPr>
        <w:ind w:firstLine="420"/>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④以上所述的发包人审核批准的价格必须是发包人代表报请发包人合约部门核实，否则不作为工程结算依据。</w:t>
      </w:r>
      <w:r/>
    </w:p>
    <w:p>
      <w:pPr>
        <w:ind w:firstLine="420"/>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5）重大工程变更引起施工方案改变，并使措施项目发生变化的，承包人提出调整措施项目费的，应事先将拟实施的方案提交监理人及发包人确认，并详细说明与原方案措施项目相比的变化情况。拟实施的方案经发监理人及发包人确认后执行。该情况下，应按照下列规定调整措施项目费。</w:t>
      </w:r>
      <w:r/>
    </w:p>
    <w:p>
      <w:pPr>
        <w:ind w:firstLine="420"/>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①清单编制说明中约定包干使用的费用不予调整。如：脚手架、垂直运输、降排水等</w:t>
      </w:r>
      <w:r/>
    </w:p>
    <w:p>
      <w:pPr>
        <w:ind w:firstLine="420"/>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②按总价（或系数）计算的措施项目费，结算时其费率不调整。</w:t>
      </w:r>
      <w:r/>
    </w:p>
    <w:p>
      <w:pPr>
        <w:ind w:firstLine="420"/>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③采用单价计算的措施项目费，按照实际发生变化的措施项目按本条目（1）（2）（3）条款确定价格</w:t>
      </w:r>
      <w:r/>
    </w:p>
    <w:p>
      <w:pPr>
        <w:ind w:firstLine="420"/>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④如果承包人未事先将拟实施的方案提交给发包人确认，则视为工程变更不引起措施项目费的调整或承包人放弃调整措施项目费的权利。</w:t>
      </w:r>
      <w:r/>
    </w:p>
    <w:p>
      <w:pPr>
        <w:ind w:firstLine="480"/>
        <w:jc w:val="both"/>
        <w:spacing w:line="360" w:lineRule="auto"/>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1</w:t>
      </w:r>
      <w:bookmarkEnd w:id="773"/>
      <w:r/>
      <w:bookmarkEnd w:id="774"/>
      <w:r/>
      <w:bookmarkEnd w:id="775"/>
      <w:r/>
      <w:bookmarkEnd w:id="776"/>
      <w:r/>
      <w:bookmarkEnd w:id="777"/>
      <w:r/>
      <w:bookmarkEnd w:id="778"/>
      <w:r/>
      <w:bookmarkEnd w:id="779"/>
      <w:r/>
      <w:bookmarkEnd w:id="780"/>
      <w:r/>
      <w:bookmarkEnd w:id="781"/>
      <w:r/>
      <w:bookmarkEnd w:id="782"/>
      <w:r/>
      <w:bookmarkEnd w:id="783"/>
      <w:r/>
      <w:bookmarkEnd w:id="784"/>
      <w:r/>
      <w:bookmarkEnd w:id="785"/>
      <w:r/>
      <w:bookmarkEnd w:id="786"/>
      <w:r/>
      <w:bookmarkEnd w:id="787"/>
      <w:r/>
      <w:bookmarkEnd w:id="788"/>
      <w:r/>
      <w:bookmarkEnd w:id="789"/>
      <w:r/>
      <w:bookmarkStart w:id="791" w:name="_Toc303539150"/>
      <w:r/>
      <w:bookmarkStart w:id="792" w:name="_Toc292559402"/>
      <w:r/>
      <w:bookmarkStart w:id="793" w:name="_Toc297120497"/>
      <w:r/>
      <w:bookmarkStart w:id="794" w:name="_Toc300934993"/>
      <w:r/>
      <w:bookmarkStart w:id="795" w:name="_Toc296503197"/>
      <w:r/>
      <w:bookmarkStart w:id="796" w:name="_Toc297048383"/>
      <w:r/>
      <w:bookmarkStart w:id="797" w:name="_Toc292559907"/>
      <w:r/>
      <w:bookmarkStart w:id="798" w:name="_Toc297123544"/>
      <w:r/>
      <w:bookmarkStart w:id="799" w:name="_Toc296891237"/>
      <w:r/>
      <w:bookmarkStart w:id="800" w:name="_Toc296944536"/>
      <w:r/>
      <w:bookmarkStart w:id="801" w:name="_Toc296346698"/>
      <w:r/>
      <w:bookmarkStart w:id="802" w:name="_Toc296891025"/>
      <w:r/>
      <w:bookmarkStart w:id="803" w:name="_Toc296347196"/>
      <w:r/>
      <w:bookmarkStart w:id="804" w:name="_Toc297216203"/>
      <w:r/>
      <w:bookmarkStart w:id="805" w:name="_Toc312678029"/>
      <w:r/>
      <w:bookmarkStart w:id="806" w:name="_Toc312677503"/>
      <w:r/>
      <w:bookmarkStart w:id="807" w:name="_Toc304295570"/>
      <w:r>
        <w:rPr>
          <w:rFonts w:hint="eastAsia" w:ascii="宋体" w:hAnsi="宋体" w:eastAsia="宋体" w:cs="宋体"/>
          <w:b/>
          <w:color w:val="auto"/>
          <w:sz w:val="21"/>
          <w:szCs w:val="21"/>
          <w:highlight w:val="none"/>
          <w:lang w:eastAsia="zh-CN"/>
        </w:rPr>
        <w:t xml:space="preserve">0.5承</w:t>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Start w:id="808" w:name="_Toc296944542"/>
      <w:r/>
      <w:bookmarkStart w:id="809" w:name="_Toc297120503"/>
      <w:r/>
      <w:bookmarkStart w:id="810" w:name="_Toc297216204"/>
      <w:r/>
      <w:bookmarkStart w:id="811" w:name="_Toc300934994"/>
      <w:r/>
      <w:bookmarkStart w:id="812" w:name="_Toc296891031"/>
      <w:r/>
      <w:bookmarkStart w:id="813" w:name="_Toc292559913"/>
      <w:r/>
      <w:bookmarkStart w:id="814" w:name="_Toc296891243"/>
      <w:r/>
      <w:bookmarkStart w:id="815" w:name="_Toc296347202"/>
      <w:r/>
      <w:bookmarkStart w:id="816" w:name="_Toc296503203"/>
      <w:r/>
      <w:bookmarkStart w:id="817" w:name="_Toc303539151"/>
      <w:r/>
      <w:bookmarkStart w:id="818" w:name="_Toc296346704"/>
      <w:r/>
      <w:bookmarkStart w:id="819" w:name="_Toc297048389"/>
      <w:r/>
      <w:bookmarkStart w:id="820" w:name="_Toc292559408"/>
      <w:r/>
      <w:bookmarkStart w:id="821" w:name="_Toc297123545"/>
      <w:r>
        <w:rPr>
          <w:rFonts w:hint="eastAsia" w:ascii="宋体" w:hAnsi="宋体" w:eastAsia="宋体" w:cs="宋体"/>
          <w:b/>
          <w:color w:val="auto"/>
          <w:sz w:val="21"/>
          <w:szCs w:val="21"/>
          <w:highlight w:val="none"/>
          <w:lang w:eastAsia="zh-CN"/>
        </w:rPr>
        <w:t xml:space="preserve">包人的合理化建议</w:t>
      </w:r>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监理人审查承包人合理化建议的期限：</w:t>
      </w:r>
      <w:r>
        <w:rPr>
          <w:rFonts w:hint="eastAsia" w:ascii="宋体" w:hAnsi="宋体" w:eastAsia="宋体" w:cs="宋体"/>
          <w:color w:val="auto"/>
          <w:sz w:val="21"/>
          <w:szCs w:val="21"/>
          <w:highlight w:val="none"/>
          <w:u w:val="single"/>
          <w:lang w:eastAsia="zh-CN"/>
        </w:rPr>
        <w:t xml:space="preserve">按照通用合同条款执行</w:t>
      </w:r>
      <w:r>
        <w:rPr>
          <w:rFonts w:hint="eastAsia" w:ascii="宋体" w:hAnsi="宋体" w:eastAsia="宋体" w:cs="宋体"/>
          <w:color w:val="auto"/>
          <w:sz w:val="21"/>
          <w:szCs w:val="21"/>
          <w:highlight w:val="none"/>
          <w:lang w:eastAsia="zh-CN"/>
        </w:rPr>
        <w:t xml:space="preserve">。</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发包人审批承包人合理化建议的期限：</w:t>
      </w:r>
      <w:r>
        <w:rPr>
          <w:rFonts w:hint="eastAsia" w:ascii="宋体" w:hAnsi="宋体" w:eastAsia="宋体" w:cs="宋体"/>
          <w:color w:val="auto"/>
          <w:sz w:val="21"/>
          <w:szCs w:val="21"/>
          <w:highlight w:val="none"/>
          <w:u w:val="single"/>
          <w:lang w:eastAsia="zh-CN"/>
        </w:rPr>
        <w:t xml:space="preserve">承包人在施工中提出的合理化建议涉及到对设计图纸或施工组织设计的更改及对材料、设备的换用，须经发包人同意。未经同意擅自更改或换用时，承包人承担由此发生的费用，并赔偿发包人的有关损失，延误的工期不予顺延。</w:t>
      </w:r>
      <w:r/>
    </w:p>
    <w:p>
      <w:pPr>
        <w:ind w:firstLine="480"/>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lang w:eastAsia="zh-CN"/>
        </w:rPr>
        <w:t xml:space="preserve">承</w:t>
      </w:r>
      <w:bookmarkStart w:id="822" w:name="_Toc296891244"/>
      <w:r/>
      <w:bookmarkStart w:id="823" w:name="_Toc304295571"/>
      <w:r/>
      <w:bookmarkStart w:id="824" w:name="_Toc297120504"/>
      <w:r/>
      <w:bookmarkStart w:id="825" w:name="_Toc297048390"/>
      <w:r/>
      <w:bookmarkStart w:id="826" w:name="_Toc318581175"/>
      <w:r/>
      <w:bookmarkStart w:id="827" w:name="_Toc300934995"/>
      <w:r/>
      <w:bookmarkStart w:id="828" w:name="_Toc296944543"/>
      <w:r/>
      <w:bookmarkStart w:id="829" w:name="_Toc296891032"/>
      <w:r/>
      <w:bookmarkStart w:id="830" w:name="_Toc296347203"/>
      <w:r/>
      <w:bookmarkStart w:id="831" w:name="_Toc292559409"/>
      <w:r/>
      <w:bookmarkStart w:id="832" w:name="_Toc296503204"/>
      <w:r/>
      <w:bookmarkStart w:id="833" w:name="_Toc292559914"/>
      <w:r/>
      <w:bookmarkStart w:id="834" w:name="_Toc312677504"/>
      <w:r/>
      <w:bookmarkStart w:id="835" w:name="_Toc297123546"/>
      <w:r/>
      <w:bookmarkStart w:id="836" w:name="_Toc296346705"/>
      <w:r/>
      <w:bookmarkStart w:id="837" w:name="_Toc312678030"/>
      <w:r/>
      <w:bookmarkStart w:id="838" w:name="_Toc303539152"/>
      <w:r/>
      <w:bookmarkStart w:id="839" w:name="_Toc297216205"/>
      <w:r>
        <w:rPr>
          <w:rFonts w:hint="eastAsia" w:ascii="宋体" w:hAnsi="宋体" w:eastAsia="宋体" w:cs="宋体"/>
          <w:color w:val="auto"/>
          <w:sz w:val="21"/>
          <w:szCs w:val="21"/>
          <w:highlight w:val="none"/>
          <w:lang w:eastAsia="zh-CN"/>
        </w:rPr>
        <w:t xml:space="preserve">包人提出的合理化建议降低了合同价格或者提高了工程经济效益的奖励的方法和金额为：</w:t>
      </w:r>
      <w:r>
        <w:rPr>
          <w:rFonts w:hint="eastAsia" w:ascii="宋体" w:hAnsi="宋体" w:eastAsia="宋体" w:cs="宋体"/>
          <w:color w:val="auto"/>
          <w:sz w:val="21"/>
          <w:szCs w:val="21"/>
          <w:highlight w:val="none"/>
          <w:u w:val="single"/>
          <w:lang w:eastAsia="zh-CN"/>
        </w:rPr>
        <w:t xml:space="preserve">无</w:t>
      </w:r>
      <w:r>
        <w:rPr>
          <w:rFonts w:hint="eastAsia" w:ascii="宋体" w:hAnsi="宋体" w:eastAsia="宋体" w:cs="宋体"/>
          <w:color w:val="auto"/>
          <w:sz w:val="21"/>
          <w:szCs w:val="21"/>
          <w:highlight w:val="none"/>
          <w:lang w:eastAsia="zh-CN"/>
        </w:rPr>
        <w:t xml:space="preserve">。</w:t>
      </w:r>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r/>
    </w:p>
    <w:p>
      <w:pPr>
        <w:ind w:firstLine="482"/>
        <w:jc w:val="both"/>
        <w:spacing w:after="120" w:line="360" w:lineRule="auto"/>
        <w:rPr>
          <w:rFonts w:hint="eastAsia" w:ascii="宋体" w:hAnsi="宋体" w:eastAsia="宋体" w:cs="宋体"/>
          <w:b/>
          <w:color w:val="auto"/>
          <w:sz w:val="21"/>
          <w:szCs w:val="21"/>
          <w:highlight w:val="none"/>
          <w:lang w:eastAsia="zh-CN"/>
        </w:rPr>
      </w:pPr>
      <w:r/>
      <w:bookmarkStart w:id="840" w:name="_Toc36797939"/>
      <w:r>
        <w:rPr>
          <w:rFonts w:hint="eastAsia" w:ascii="宋体" w:hAnsi="宋体" w:eastAsia="宋体" w:cs="宋体"/>
          <w:b/>
          <w:color w:val="auto"/>
          <w:sz w:val="21"/>
          <w:szCs w:val="21"/>
          <w:highlight w:val="none"/>
          <w:lang w:eastAsia="zh-CN"/>
        </w:rPr>
        <w:t xml:space="preserve">1</w:t>
      </w:r>
      <w:bookmarkStart w:id="841" w:name="_Toc303539154"/>
      <w:r/>
      <w:bookmarkStart w:id="842" w:name="_Toc296891239"/>
      <w:r/>
      <w:bookmarkStart w:id="843" w:name="_Toc296891027"/>
      <w:r/>
      <w:bookmarkStart w:id="844" w:name="_Toc304295574"/>
      <w:r/>
      <w:bookmarkStart w:id="845" w:name="_Toc297048385"/>
      <w:r/>
      <w:bookmarkStart w:id="846" w:name="_Toc292559404"/>
      <w:r/>
      <w:bookmarkStart w:id="847" w:name="_Toc312678033"/>
      <w:r/>
      <w:bookmarkStart w:id="848" w:name="_Toc312677507"/>
      <w:r/>
      <w:bookmarkStart w:id="849" w:name="_Toc297123548"/>
      <w:r/>
      <w:bookmarkStart w:id="850" w:name="_Toc296347198"/>
      <w:r/>
      <w:bookmarkStart w:id="851" w:name="_Toc297120499"/>
      <w:r/>
      <w:bookmarkStart w:id="852" w:name="_Toc292559909"/>
      <w:r/>
      <w:bookmarkStart w:id="853" w:name="_Toc296346700"/>
      <w:r/>
      <w:bookmarkStart w:id="854" w:name="_Toc297216207"/>
      <w:r/>
      <w:bookmarkStart w:id="855" w:name="_Toc296503199"/>
      <w:r/>
      <w:bookmarkStart w:id="856" w:name="_Toc300934997"/>
      <w:r/>
      <w:bookmarkStart w:id="857" w:name="_Toc296944538"/>
      <w:r>
        <w:rPr>
          <w:rFonts w:hint="eastAsia" w:ascii="宋体" w:hAnsi="宋体" w:eastAsia="宋体" w:cs="宋体"/>
          <w:b/>
          <w:color w:val="auto"/>
          <w:sz w:val="21"/>
          <w:szCs w:val="21"/>
          <w:highlight w:val="none"/>
          <w:lang w:eastAsia="zh-CN"/>
        </w:rPr>
        <w:t xml:space="preserve">0.7 暂估价</w:t>
      </w:r>
      <w:bookmarkEnd w:id="840"/>
      <w:r/>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暂</w:t>
      </w:r>
      <w:bookmarkStart w:id="858" w:name="_Toc312678034"/>
      <w:r/>
      <w:bookmarkStart w:id="859" w:name="_Toc318581176"/>
      <w:r/>
      <w:bookmarkStart w:id="860" w:name="_Toc312677508"/>
      <w:r>
        <w:rPr>
          <w:rFonts w:hint="eastAsia" w:ascii="宋体" w:hAnsi="宋体" w:eastAsia="宋体" w:cs="宋体"/>
          <w:color w:val="auto"/>
          <w:sz w:val="21"/>
          <w:szCs w:val="21"/>
          <w:highlight w:val="none"/>
          <w:lang w:eastAsia="zh-CN"/>
        </w:rPr>
        <w:t xml:space="preserve">估价材料和工程设备的明细详见附件11：《暂估价一览表》。</w:t>
      </w:r>
      <w:bookmarkEnd w:id="858"/>
      <w:bookmarkEnd w:id="859"/>
      <w:bookmarkEnd w:id="860"/>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w:t>
      </w:r>
      <w:bookmarkStart w:id="861" w:name="_Toc318581177"/>
      <w:r/>
      <w:bookmarkStart w:id="862" w:name="_Toc312678035"/>
      <w:r/>
      <w:bookmarkStart w:id="863" w:name="_Toc312677509"/>
      <w:r>
        <w:rPr>
          <w:rFonts w:hint="eastAsia" w:ascii="宋体" w:hAnsi="宋体" w:eastAsia="宋体" w:cs="宋体"/>
          <w:color w:val="auto"/>
          <w:sz w:val="21"/>
          <w:szCs w:val="21"/>
          <w:highlight w:val="none"/>
          <w:lang w:eastAsia="zh-CN"/>
        </w:rPr>
        <w:t xml:space="preserve">0.7.1 依法必须招标的暂估价项目</w:t>
      </w:r>
      <w:bookmarkEnd w:id="861"/>
      <w:bookmarkEnd w:id="862"/>
      <w:bookmarkEnd w:id="863"/>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对于依法必须招标的暂估价项目的确认和批准</w:t>
      </w:r>
      <w:r>
        <w:rPr>
          <w:rFonts w:hint="eastAsia" w:ascii="宋体" w:hAnsi="宋体" w:eastAsia="宋体" w:cs="宋体"/>
          <w:color w:val="auto"/>
          <w:sz w:val="21"/>
          <w:szCs w:val="21"/>
          <w:highlight w:val="none"/>
          <w:u w:val="single"/>
          <w:lang w:eastAsia="zh-CN"/>
        </w:rPr>
        <w:t xml:space="preserve">由发包人组织招标</w:t>
      </w:r>
      <w:r>
        <w:rPr>
          <w:rFonts w:hint="eastAsia" w:ascii="宋体" w:hAnsi="宋体" w:eastAsia="宋体" w:cs="宋体"/>
          <w:color w:val="auto"/>
          <w:sz w:val="21"/>
          <w:szCs w:val="21"/>
          <w:highlight w:val="none"/>
          <w:lang w:eastAsia="zh-CN"/>
        </w:rPr>
        <w:t xml:space="preserve">。</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10.7.2 不属于依法必须招标的暂估价项目</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对于不属于依法必须招标的暂估价项目的确认和批准采取第</w:t>
      </w:r>
      <w:r>
        <w:rPr>
          <w:rFonts w:hint="eastAsia" w:ascii="宋体" w:hAnsi="宋体" w:eastAsia="宋体" w:cs="宋体"/>
          <w:color w:val="auto"/>
          <w:sz w:val="21"/>
          <w:szCs w:val="21"/>
          <w:highlight w:val="none"/>
          <w:u w:val="single"/>
          <w:lang w:eastAsia="zh-CN"/>
        </w:rPr>
        <w:t xml:space="preserve">3 </w:t>
      </w:r>
      <w:r>
        <w:rPr>
          <w:rFonts w:hint="eastAsia" w:ascii="宋体" w:hAnsi="宋体" w:eastAsia="宋体" w:cs="宋体"/>
          <w:color w:val="auto"/>
          <w:sz w:val="21"/>
          <w:szCs w:val="21"/>
          <w:highlight w:val="none"/>
          <w:lang w:eastAsia="zh-CN"/>
        </w:rPr>
        <w:t xml:space="preserve">种方式确定。</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第3种方式：承包人直接实施的暂估价项目</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承包人直接实施的暂估价项目的约定：</w:t>
      </w:r>
      <w:r>
        <w:rPr>
          <w:rFonts w:hint="eastAsia" w:ascii="宋体" w:hAnsi="宋体" w:eastAsia="宋体" w:cs="宋体"/>
          <w:color w:val="auto"/>
          <w:sz w:val="21"/>
          <w:szCs w:val="21"/>
          <w:highlight w:val="none"/>
          <w:u w:val="single"/>
          <w:lang w:eastAsia="zh-CN"/>
        </w:rPr>
        <w:t xml:space="preserve">无</w:t>
      </w:r>
      <w:r>
        <w:rPr>
          <w:rFonts w:hint="eastAsia" w:ascii="宋体" w:hAnsi="宋体" w:eastAsia="宋体" w:cs="宋体"/>
          <w:color w:val="auto"/>
          <w:sz w:val="21"/>
          <w:szCs w:val="21"/>
          <w:highlight w:val="none"/>
          <w:lang w:eastAsia="zh-CN"/>
        </w:rPr>
        <w:t xml:space="preserve">。</w:t>
      </w:r>
      <w:r/>
    </w:p>
    <w:p>
      <w:pPr>
        <w:ind w:firstLine="482"/>
        <w:jc w:val="both"/>
        <w:spacing w:after="120" w:line="360" w:lineRule="auto"/>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10.8 暂列金额</w:t>
      </w:r>
      <w:r/>
    </w:p>
    <w:p>
      <w:pPr>
        <w:ind w:firstLine="480"/>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lang w:eastAsia="zh-CN"/>
        </w:rPr>
        <w:t xml:space="preserve">合同当事人关于暂列金额使用的约定：</w:t>
      </w:r>
      <w:r>
        <w:rPr>
          <w:rFonts w:hint="eastAsia" w:ascii="宋体" w:hAnsi="宋体" w:eastAsia="宋体" w:cs="宋体"/>
          <w:color w:val="auto"/>
          <w:sz w:val="21"/>
          <w:szCs w:val="21"/>
          <w:highlight w:val="none"/>
          <w:u w:val="single"/>
          <w:lang w:eastAsia="zh-CN"/>
        </w:rPr>
        <w:t xml:space="preserve">暂列金额归发包人所有或使用，暂列金额应按照发包人的要求使用，发包人的要求应通过监理人发出。</w:t>
      </w:r>
      <w:r/>
    </w:p>
    <w:p>
      <w:pPr>
        <w:ind w:firstLine="482"/>
        <w:jc w:val="both"/>
        <w:spacing w:line="360" w:lineRule="auto"/>
        <w:rPr>
          <w:rFonts w:hint="eastAsia" w:cs="宋体"/>
          <w:color w:val="auto"/>
          <w:sz w:val="21"/>
          <w:szCs w:val="21"/>
          <w:highlight w:val="none"/>
          <w:lang w:eastAsia="zh-CN"/>
        </w:rPr>
      </w:pPr>
      <w:r/>
      <w:bookmarkStart w:id="864" w:name="_Toc351203643"/>
      <w:r>
        <w:rPr>
          <w:rFonts w:hint="eastAsia" w:cs="宋体"/>
          <w:color w:val="auto"/>
          <w:sz w:val="21"/>
          <w:szCs w:val="21"/>
          <w:highlight w:val="none"/>
          <w:lang w:eastAsia="zh-CN"/>
        </w:rPr>
        <w:t xml:space="preserve">11. 价格调整</w:t>
      </w:r>
      <w:bookmarkEnd w:id="864"/>
      <w:r/>
      <w:r/>
    </w:p>
    <w:p>
      <w:pPr>
        <w:ind w:firstLine="482"/>
        <w:jc w:val="both"/>
        <w:spacing w:after="120" w:line="360" w:lineRule="auto"/>
        <w:rPr>
          <w:rFonts w:hint="eastAsia" w:ascii="宋体" w:hAnsi="宋体" w:eastAsia="宋体" w:cs="宋体"/>
          <w:b/>
          <w:color w:val="auto"/>
          <w:sz w:val="21"/>
          <w:szCs w:val="21"/>
          <w:highlight w:val="none"/>
          <w:lang w:eastAsia="zh-CN"/>
        </w:rPr>
      </w:pPr>
      <w:r/>
      <w:bookmarkStart w:id="865" w:name="_Toc296944540"/>
      <w:r/>
      <w:bookmarkStart w:id="866" w:name="_Toc296891241"/>
      <w:r/>
      <w:bookmarkStart w:id="867" w:name="_Toc297120501"/>
      <w:r/>
      <w:bookmarkStart w:id="868" w:name="_Toc297216209"/>
      <w:r/>
      <w:bookmarkStart w:id="869" w:name="_Toc312678039"/>
      <w:r/>
      <w:bookmarkStart w:id="870" w:name="_Toc296503201"/>
      <w:r/>
      <w:bookmarkStart w:id="871" w:name="_Toc297123550"/>
      <w:r/>
      <w:bookmarkStart w:id="872" w:name="_Toc296346702"/>
      <w:r/>
      <w:bookmarkStart w:id="873" w:name="_Toc296347200"/>
      <w:r/>
      <w:bookmarkStart w:id="874" w:name="_Toc303539157"/>
      <w:r/>
      <w:bookmarkStart w:id="875" w:name="_Toc292559406"/>
      <w:r/>
      <w:bookmarkStart w:id="876" w:name="_Toc296891029"/>
      <w:r/>
      <w:bookmarkStart w:id="877" w:name="_Toc304295577"/>
      <w:r/>
      <w:bookmarkStart w:id="878" w:name="_Toc292559911"/>
      <w:r/>
      <w:bookmarkStart w:id="879" w:name="_Toc300935000"/>
      <w:r/>
      <w:bookmarkStart w:id="880" w:name="_Toc297048387"/>
      <w:r>
        <w:rPr>
          <w:rFonts w:hint="eastAsia" w:ascii="宋体" w:hAnsi="宋体" w:eastAsia="宋体" w:cs="宋体"/>
          <w:b/>
          <w:color w:val="auto"/>
          <w:sz w:val="21"/>
          <w:szCs w:val="21"/>
          <w:highlight w:val="none"/>
          <w:lang w:eastAsia="zh-CN"/>
        </w:rPr>
        <w:t xml:space="preserve">11.1 市场价格波动引起的调整</w:t>
      </w:r>
      <w:bookmarkEnd w:id="766"/>
      <w:bookmarkEnd w:id="767"/>
      <w:bookmarkEnd w:id="768"/>
      <w:bookmarkEnd w:id="769"/>
      <w:bookmarkEnd w:id="770"/>
      <w:bookmarkEnd w:id="771"/>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r/>
    </w:p>
    <w:p>
      <w:pPr>
        <w:ind w:firstLine="420"/>
        <w:spacing w:line="360" w:lineRule="auto"/>
        <w:rPr>
          <w:rFonts w:hint="eastAsia" w:ascii="宋体" w:hAnsi="宋体" w:eastAsia="宋体" w:cs="宋体"/>
          <w:color w:val="auto"/>
          <w:sz w:val="21"/>
          <w:szCs w:val="21"/>
          <w:highlight w:val="none"/>
          <w:lang w:eastAsia="zh-CN"/>
        </w:rPr>
      </w:pPr>
      <w:r/>
      <w:bookmarkStart w:id="881" w:name="_Toc292559410"/>
      <w:r/>
      <w:bookmarkStart w:id="882" w:name="_Toc296503205"/>
      <w:r/>
      <w:bookmarkStart w:id="883" w:name="_Toc296347204"/>
      <w:r/>
      <w:bookmarkStart w:id="884" w:name="_Toc297048391"/>
      <w:r/>
      <w:bookmarkStart w:id="885" w:name="_Toc296346706"/>
      <w:r/>
      <w:bookmarkStart w:id="886" w:name="_Toc297120505"/>
      <w:r/>
      <w:bookmarkStart w:id="887" w:name="_Toc292559915"/>
      <w:r/>
      <w:bookmarkStart w:id="888" w:name="_Toc296891033"/>
      <w:r/>
      <w:bookmarkStart w:id="889" w:name="_Toc296944544"/>
      <w:r/>
      <w:bookmarkStart w:id="890" w:name="_Toc296891245"/>
      <w:r/>
      <w:bookmarkStart w:id="891" w:name="_Toc351203644"/>
      <w:r/>
      <w:bookmarkStart w:id="892" w:name="_Toc312678040"/>
      <w:r/>
      <w:bookmarkStart w:id="893" w:name="_Toc303539159"/>
      <w:r/>
      <w:bookmarkStart w:id="894" w:name="_Toc297216211"/>
      <w:r/>
      <w:bookmarkStart w:id="895" w:name="_Toc304295579"/>
      <w:r/>
      <w:bookmarkStart w:id="896" w:name="_Toc297123552"/>
      <w:r/>
      <w:bookmarkStart w:id="897" w:name="_Toc300935002"/>
      <w:r>
        <w:rPr>
          <w:rFonts w:hint="eastAsia" w:ascii="宋体" w:hAnsi="宋体" w:eastAsia="宋体" w:cs="宋体"/>
          <w:color w:val="auto"/>
          <w:sz w:val="21"/>
          <w:szCs w:val="21"/>
          <w:highlight w:val="none"/>
          <w:lang w:eastAsia="zh-CN"/>
        </w:rPr>
        <w:t xml:space="preserve">（1）市场价格波动是否调整合同价格的约定：</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u w:val="single"/>
          <w:lang w:eastAsia="zh-CN"/>
        </w:rPr>
        <w:t xml:space="preserve">①施工期间Ⅰ类、Ⅱ类建材的市场价格波动调整及认定，按“苏建价[2008]67 号文”执行；因承包人原因造成工期延误的，延误期间发生的材料价格上涨差额由承包人承担。②人工工资的政策性调整，允许调整</w:t>
      </w:r>
      <w:r>
        <w:rPr>
          <w:rFonts w:hint="eastAsia" w:ascii="宋体" w:hAnsi="宋体" w:eastAsia="宋体" w:cs="宋体"/>
          <w:color w:val="auto"/>
          <w:sz w:val="21"/>
          <w:szCs w:val="21"/>
          <w:highlight w:val="none"/>
          <w:lang w:eastAsia="zh-CN"/>
        </w:rPr>
        <w:t xml:space="preserve">。</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因市场价格波动调整合同价格，采用以下第</w:t>
      </w:r>
      <w:r>
        <w:rPr>
          <w:rFonts w:hint="eastAsia" w:ascii="宋体" w:hAnsi="宋体" w:eastAsia="宋体" w:cs="宋体"/>
          <w:color w:val="auto"/>
          <w:sz w:val="21"/>
          <w:szCs w:val="21"/>
          <w:highlight w:val="none"/>
          <w:u w:val="single"/>
          <w:lang w:eastAsia="zh-CN"/>
        </w:rPr>
        <w:t xml:space="preserve"> 3</w:t>
      </w:r>
      <w:r>
        <w:rPr>
          <w:rFonts w:hint="eastAsia" w:ascii="宋体" w:hAnsi="宋体" w:eastAsia="宋体" w:cs="宋体"/>
          <w:color w:val="auto"/>
          <w:sz w:val="21"/>
          <w:szCs w:val="21"/>
          <w:highlight w:val="none"/>
          <w:lang w:eastAsia="zh-CN"/>
        </w:rPr>
        <w:t xml:space="preserve">种方式对合同价格进行调整：</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第1种方式：采用价格指数进行价格调整。</w:t>
      </w:r>
      <w:r/>
    </w:p>
    <w:p>
      <w:pPr>
        <w:ind w:firstLine="420"/>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lang w:eastAsia="zh-CN"/>
        </w:rPr>
        <w:t xml:space="preserve">关于各可调因子、定值和变值权重，以及基本价格指数及其来源的约定：</w:t>
      </w:r>
      <w:r>
        <w:rPr>
          <w:rFonts w:hint="eastAsia" w:ascii="宋体" w:hAnsi="宋体" w:eastAsia="宋体" w:cs="宋体"/>
          <w:color w:val="auto"/>
          <w:sz w:val="21"/>
          <w:szCs w:val="21"/>
          <w:highlight w:val="none"/>
          <w:u w:val="single"/>
          <w:lang w:eastAsia="zh-CN"/>
        </w:rPr>
        <w:t xml:space="preserve">          /    </w:t>
      </w:r>
      <w:r>
        <w:rPr>
          <w:rFonts w:hint="eastAsia" w:ascii="宋体" w:hAnsi="宋体" w:eastAsia="宋体" w:cs="宋体"/>
          <w:color w:val="auto"/>
          <w:sz w:val="21"/>
          <w:szCs w:val="21"/>
          <w:highlight w:val="none"/>
          <w:lang w:eastAsia="zh-CN"/>
        </w:rPr>
        <w:t xml:space="preserve">；  </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第2种方式：采用造价信息进行价格调整。</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（2）关于基准价格的约定：</w:t>
      </w:r>
      <w:r>
        <w:rPr>
          <w:rFonts w:hint="eastAsia" w:ascii="宋体" w:hAnsi="宋体" w:eastAsia="宋体" w:cs="宋体"/>
          <w:color w:val="auto"/>
          <w:sz w:val="21"/>
          <w:szCs w:val="21"/>
          <w:highlight w:val="none"/>
          <w:u w:val="single"/>
          <w:lang w:eastAsia="zh-CN"/>
        </w:rPr>
        <w:t xml:space="preserve">         /                </w:t>
      </w:r>
      <w:r>
        <w:rPr>
          <w:rFonts w:hint="eastAsia" w:ascii="宋体" w:hAnsi="宋体" w:eastAsia="宋体" w:cs="宋体"/>
          <w:color w:val="auto"/>
          <w:sz w:val="21"/>
          <w:szCs w:val="21"/>
          <w:highlight w:val="none"/>
          <w:lang w:eastAsia="zh-CN"/>
        </w:rPr>
        <w:t xml:space="preserve">。</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专用合同条款：</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①承包人在已标价工程量清单或预算书中载明的材料单价低于基准价格的：专用合同条款合同履行期间材料单价涨幅以基准价格为基础超过</w:t>
      </w:r>
      <w:r>
        <w:rPr>
          <w:rFonts w:hint="eastAsia" w:ascii="宋体" w:hAnsi="宋体" w:eastAsia="宋体" w:cs="宋体"/>
          <w:color w:val="auto"/>
          <w:sz w:val="21"/>
          <w:szCs w:val="21"/>
          <w:highlight w:val="none"/>
          <w:u w:val="single"/>
          <w:lang w:eastAsia="zh-CN"/>
        </w:rPr>
        <w:t xml:space="preserve">  / </w:t>
      </w:r>
      <w:r>
        <w:rPr>
          <w:rFonts w:hint="eastAsia" w:ascii="宋体" w:hAnsi="宋体" w:eastAsia="宋体" w:cs="宋体"/>
          <w:color w:val="auto"/>
          <w:sz w:val="21"/>
          <w:szCs w:val="21"/>
          <w:highlight w:val="none"/>
          <w:lang w:eastAsia="zh-CN"/>
        </w:rPr>
        <w:t xml:space="preserve">%时，或材料单价跌幅以已标价工程量清单或预算书中载明材料单价为基础超过</w:t>
      </w:r>
      <w:r>
        <w:rPr>
          <w:rFonts w:hint="eastAsia" w:ascii="宋体" w:hAnsi="宋体" w:eastAsia="宋体" w:cs="宋体"/>
          <w:color w:val="auto"/>
          <w:sz w:val="21"/>
          <w:szCs w:val="21"/>
          <w:highlight w:val="none"/>
          <w:u w:val="single"/>
          <w:lang w:eastAsia="zh-CN"/>
        </w:rPr>
        <w:t xml:space="preserve">  / </w:t>
      </w:r>
      <w:r>
        <w:rPr>
          <w:rFonts w:hint="eastAsia" w:ascii="宋体" w:hAnsi="宋体" w:eastAsia="宋体" w:cs="宋体"/>
          <w:color w:val="auto"/>
          <w:sz w:val="21"/>
          <w:szCs w:val="21"/>
          <w:highlight w:val="none"/>
          <w:lang w:eastAsia="zh-CN"/>
        </w:rPr>
        <w:t xml:space="preserve">%时，其超过部分据实调整。</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②承包人在已标价工程量清单或预算书中载明的材料单价高于基准价格的：专用合同条款合同履行期间材料单价跌幅以基准价格为基础超过</w:t>
      </w:r>
      <w:r>
        <w:rPr>
          <w:rFonts w:hint="eastAsia" w:ascii="宋体" w:hAnsi="宋体" w:eastAsia="宋体" w:cs="宋体"/>
          <w:color w:val="auto"/>
          <w:sz w:val="21"/>
          <w:szCs w:val="21"/>
          <w:highlight w:val="none"/>
          <w:u w:val="single"/>
          <w:lang w:eastAsia="zh-CN"/>
        </w:rPr>
        <w:t xml:space="preserve"> /  </w:t>
      </w:r>
      <w:r>
        <w:rPr>
          <w:rFonts w:hint="eastAsia" w:ascii="宋体" w:hAnsi="宋体" w:eastAsia="宋体" w:cs="宋体"/>
          <w:color w:val="auto"/>
          <w:sz w:val="21"/>
          <w:szCs w:val="21"/>
          <w:highlight w:val="none"/>
          <w:lang w:eastAsia="zh-CN"/>
        </w:rPr>
        <w:t xml:space="preserve">%时，材料单价涨幅以已标价工程量清单或预算书中载明材料单价为基础超过</w:t>
      </w:r>
      <w:r>
        <w:rPr>
          <w:rFonts w:hint="eastAsia" w:ascii="宋体" w:hAnsi="宋体" w:eastAsia="宋体" w:cs="宋体"/>
          <w:color w:val="auto"/>
          <w:sz w:val="21"/>
          <w:szCs w:val="21"/>
          <w:highlight w:val="none"/>
          <w:u w:val="single"/>
          <w:lang w:eastAsia="zh-CN"/>
        </w:rPr>
        <w:t xml:space="preserve">  / </w:t>
      </w:r>
      <w:r>
        <w:rPr>
          <w:rFonts w:hint="eastAsia" w:ascii="宋体" w:hAnsi="宋体" w:eastAsia="宋体" w:cs="宋体"/>
          <w:color w:val="auto"/>
          <w:sz w:val="21"/>
          <w:szCs w:val="21"/>
          <w:highlight w:val="none"/>
          <w:lang w:eastAsia="zh-CN"/>
        </w:rPr>
        <w:t xml:space="preserve">%时，其超过部分据实调整。</w:t>
      </w:r>
      <w:r/>
    </w:p>
    <w:p>
      <w:pPr>
        <w:ind w:firstLine="645"/>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③承包人在已标价工程量清单或预算书中载明的材料单价等于基准单价的：专用合同条款合同履行期间材料单价涨跌幅以基准单价为基础超过±</w:t>
      </w:r>
      <w:r>
        <w:rPr>
          <w:rFonts w:hint="eastAsia" w:ascii="宋体" w:hAnsi="宋体" w:eastAsia="宋体" w:cs="宋体"/>
          <w:color w:val="auto"/>
          <w:sz w:val="21"/>
          <w:szCs w:val="21"/>
          <w:highlight w:val="none"/>
          <w:u w:val="single"/>
          <w:lang w:eastAsia="zh-CN"/>
        </w:rPr>
        <w:t xml:space="preserve"> /  </w:t>
      </w:r>
      <w:r>
        <w:rPr>
          <w:rFonts w:hint="eastAsia" w:ascii="宋体" w:hAnsi="宋体" w:eastAsia="宋体" w:cs="宋体"/>
          <w:color w:val="auto"/>
          <w:sz w:val="21"/>
          <w:szCs w:val="21"/>
          <w:highlight w:val="none"/>
          <w:lang w:eastAsia="zh-CN"/>
        </w:rPr>
        <w:t xml:space="preserve">%时，其超过部分据实调整。</w:t>
      </w:r>
      <w:r/>
    </w:p>
    <w:p>
      <w:pPr>
        <w:ind w:firstLine="646"/>
        <w:spacing w:before="100" w:after="100"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lang w:eastAsia="zh-CN"/>
        </w:rPr>
        <w:t xml:space="preserve">第3种方式：其他价格调整方式：</w:t>
      </w:r>
      <w:r>
        <w:rPr>
          <w:rFonts w:hint="eastAsia" w:ascii="宋体" w:hAnsi="宋体" w:eastAsia="宋体" w:cs="宋体"/>
          <w:color w:val="auto"/>
          <w:sz w:val="21"/>
          <w:szCs w:val="21"/>
          <w:highlight w:val="none"/>
          <w:u w:val="single"/>
          <w:lang w:eastAsia="zh-CN"/>
        </w:rPr>
        <w:t xml:space="preserve">签证、变更、变动后的子目或漏项的综合单价，按以下办法调整：</w:t>
      </w:r>
      <w:r/>
    </w:p>
    <w:p>
      <w:pPr>
        <w:ind w:firstLine="646"/>
        <w:spacing w:before="100" w:after="100"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（1）工程量清单中已有工作内容和价格组成相同于变更子目或单项的综合单价时，按合同已有综合单价执行；</w:t>
      </w:r>
      <w:r/>
    </w:p>
    <w:p>
      <w:pPr>
        <w:ind w:firstLine="646"/>
        <w:spacing w:before="100" w:after="100"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（2）工程量清单中只有工作内容和价格组成类似于变更子目或单项的综合单价时，可以参照类似综合单价，由双方协商调整后确定变更的综合单价；</w:t>
      </w:r>
      <w:r/>
    </w:p>
    <w:p>
      <w:pPr>
        <w:ind w:firstLine="646"/>
        <w:spacing w:before="100" w:after="100"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（3）工程量清单中没有工作内容和价格组成相同或类似于变更子目或单项的综合单价时，按本工程招标控制价的计价标准原则和下浮率进行组价，材料价格按同期南京 信息指导价执行，变更总价按投标下浮比例（1-中标价/招标控制价×100%）下浮后作为变更报价，报送监理和跟踪审计复核，发包人审批。如信息指导价无相关价格，则按照市场询价确定，材料价格按市场询价结果不下浮，其他定额组价及费用标准取定按投标下浮比例（1-中标价/招标控制价×100%）下浮作为变更报价，报送监理和跟踪审计复核，发包人审批。</w:t>
      </w:r>
      <w:r/>
    </w:p>
    <w:p>
      <w:pPr>
        <w:ind w:firstLine="646"/>
        <w:spacing w:before="100" w:after="100"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3、因发包人原因造成工期延误的，延误期间发生的材料价格涨跌差额由发包人承担；因承包人原因造成工期延误的，延误期间发生的材料价格上涨差额由承包人承担。</w:t>
      </w:r>
      <w:r/>
    </w:p>
    <w:p>
      <w:pPr>
        <w:ind w:firstLine="646"/>
        <w:spacing w:before="100" w:after="100"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4、承包人在施工过程中发生的变更、签证，应严格按发包人的变更、签证管理流程进行申报，价格调整方法参照专用合同条款11.1</w:t>
      </w:r>
      <w:r/>
    </w:p>
    <w:p>
      <w:pPr>
        <w:ind w:firstLine="646"/>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u w:val="single"/>
          <w:lang w:eastAsia="zh-CN"/>
        </w:rPr>
        <w:t xml:space="preserve">5、若发包人需要变更某种材料的品牌、质量等级、规格，发包人 将以书面形式通知承包人，要求承包人按照某种价格限价购买，如果此限定价格与投标时所报价格不一致，需通过变更签证方式予以确认</w:t>
      </w:r>
      <w:r>
        <w:rPr>
          <w:rFonts w:hint="eastAsia" w:ascii="宋体" w:hAnsi="宋体" w:eastAsia="宋体" w:cs="宋体"/>
          <w:color w:val="auto"/>
          <w:sz w:val="21"/>
          <w:szCs w:val="21"/>
          <w:highlight w:val="none"/>
          <w:lang w:eastAsia="zh-CN"/>
        </w:rPr>
        <w:t xml:space="preserve">。</w:t>
      </w:r>
      <w:r/>
    </w:p>
    <w:p>
      <w:pPr>
        <w:ind w:firstLine="482"/>
        <w:jc w:val="both"/>
        <w:spacing w:line="360" w:lineRule="auto"/>
        <w:rPr>
          <w:rFonts w:hint="eastAsia" w:cs="宋体"/>
          <w:color w:val="auto"/>
          <w:sz w:val="21"/>
          <w:szCs w:val="21"/>
          <w:highlight w:val="none"/>
          <w:lang w:eastAsia="zh-CN"/>
        </w:rPr>
      </w:pPr>
      <w:r>
        <w:rPr>
          <w:rFonts w:hint="eastAsia" w:cs="宋体"/>
          <w:color w:val="auto"/>
          <w:sz w:val="21"/>
          <w:szCs w:val="21"/>
          <w:highlight w:val="none"/>
          <w:lang w:eastAsia="zh-CN"/>
        </w:rPr>
        <w:t xml:space="preserve">12. </w:t>
      </w:r>
      <w:bookmarkEnd w:id="881"/>
      <w:r/>
      <w:bookmarkEnd w:id="882"/>
      <w:r/>
      <w:bookmarkEnd w:id="883"/>
      <w:r/>
      <w:bookmarkEnd w:id="884"/>
      <w:r/>
      <w:bookmarkEnd w:id="885"/>
      <w:r/>
      <w:bookmarkEnd w:id="886"/>
      <w:r/>
      <w:bookmarkEnd w:id="887"/>
      <w:r/>
      <w:bookmarkEnd w:id="888"/>
      <w:r/>
      <w:bookmarkEnd w:id="889"/>
      <w:r/>
      <w:bookmarkEnd w:id="890"/>
      <w:r>
        <w:rPr>
          <w:rFonts w:hint="eastAsia" w:cs="宋体"/>
          <w:color w:val="auto"/>
          <w:sz w:val="21"/>
          <w:szCs w:val="21"/>
          <w:highlight w:val="none"/>
          <w:lang w:eastAsia="zh-CN"/>
        </w:rPr>
        <w:t xml:space="preserve">合同价格、计量与支付</w:t>
      </w:r>
      <w:bookmarkEnd w:id="891"/>
      <w:r/>
      <w:bookmarkEnd w:id="892"/>
      <w:bookmarkEnd w:id="893"/>
      <w:bookmarkEnd w:id="894"/>
      <w:bookmarkEnd w:id="895"/>
      <w:bookmarkEnd w:id="896"/>
      <w:bookmarkEnd w:id="897"/>
      <w:r/>
    </w:p>
    <w:p>
      <w:pPr>
        <w:ind w:firstLine="482"/>
        <w:jc w:val="both"/>
        <w:spacing w:after="120" w:line="360" w:lineRule="auto"/>
        <w:rPr>
          <w:rFonts w:hint="eastAsia" w:ascii="宋体" w:hAnsi="宋体" w:eastAsia="宋体" w:cs="宋体"/>
          <w:color w:val="auto"/>
          <w:sz w:val="21"/>
          <w:szCs w:val="21"/>
          <w:highlight w:val="none"/>
          <w:lang w:eastAsia="zh-CN"/>
        </w:rPr>
      </w:pPr>
      <w:r/>
      <w:bookmarkStart w:id="898" w:name="_Toc292559411"/>
      <w:r/>
      <w:bookmarkStart w:id="899" w:name="_Toc292559916"/>
      <w:r/>
      <w:bookmarkStart w:id="900" w:name="_Toc267251461"/>
      <w:r/>
      <w:bookmarkStart w:id="901" w:name="_Toc296347205"/>
      <w:r/>
      <w:bookmarkStart w:id="902" w:name="_Toc297120506"/>
      <w:r/>
      <w:bookmarkStart w:id="903" w:name="_Toc296503206"/>
      <w:r/>
      <w:bookmarkStart w:id="904" w:name="_Toc296891034"/>
      <w:r/>
      <w:bookmarkStart w:id="905" w:name="_Toc296346707"/>
      <w:r/>
      <w:bookmarkStart w:id="906" w:name="_Toc296944545"/>
      <w:r/>
      <w:bookmarkStart w:id="907" w:name="_Toc297048392"/>
      <w:r/>
      <w:bookmarkStart w:id="908" w:name="_Toc296891246"/>
      <w:r/>
      <w:bookmarkStart w:id="909" w:name="_Toc303539160"/>
      <w:r/>
      <w:bookmarkStart w:id="910" w:name="_Toc312678041"/>
      <w:r/>
      <w:bookmarkStart w:id="911" w:name="_Toc297216212"/>
      <w:r/>
      <w:bookmarkStart w:id="912" w:name="_Toc297123553"/>
      <w:r/>
      <w:bookmarkStart w:id="913" w:name="_Toc300935003"/>
      <w:r/>
      <w:bookmarkStart w:id="914" w:name="_Toc304295580"/>
      <w:r>
        <w:rPr>
          <w:rFonts w:hint="eastAsia" w:ascii="宋体" w:hAnsi="宋体" w:eastAsia="宋体" w:cs="宋体"/>
          <w:b/>
          <w:color w:val="auto"/>
          <w:sz w:val="21"/>
          <w:szCs w:val="21"/>
          <w:highlight w:val="none"/>
          <w:lang w:eastAsia="zh-CN"/>
        </w:rPr>
        <w:t xml:space="preserve">12.1 合</w:t>
      </w:r>
      <w:bookmarkEnd w:id="898"/>
      <w:r/>
      <w:bookmarkEnd w:id="899"/>
      <w:r/>
      <w:bookmarkEnd w:id="900"/>
      <w:r>
        <w:rPr>
          <w:rFonts w:hint="eastAsia" w:ascii="宋体" w:hAnsi="宋体" w:eastAsia="宋体" w:cs="宋体"/>
          <w:b/>
          <w:color w:val="auto"/>
          <w:sz w:val="21"/>
          <w:szCs w:val="21"/>
          <w:highlight w:val="none"/>
          <w:lang w:eastAsia="zh-CN"/>
        </w:rPr>
        <w:t xml:space="preserve">同价</w:t>
      </w:r>
      <w:bookmarkEnd w:id="901"/>
      <w:r/>
      <w:bookmarkEnd w:id="902"/>
      <w:r/>
      <w:bookmarkEnd w:id="903"/>
      <w:r/>
      <w:bookmarkEnd w:id="904"/>
      <w:r/>
      <w:bookmarkEnd w:id="905"/>
      <w:r/>
      <w:bookmarkEnd w:id="906"/>
      <w:r/>
      <w:bookmarkEnd w:id="907"/>
      <w:r/>
      <w:bookmarkEnd w:id="908"/>
      <w:r>
        <w:rPr>
          <w:rFonts w:hint="eastAsia" w:ascii="宋体" w:hAnsi="宋体" w:eastAsia="宋体" w:cs="宋体"/>
          <w:b/>
          <w:color w:val="auto"/>
          <w:sz w:val="21"/>
          <w:szCs w:val="21"/>
          <w:highlight w:val="none"/>
          <w:lang w:eastAsia="zh-CN"/>
        </w:rPr>
        <w:t xml:space="preserve">格形式：</w:t>
      </w:r>
      <w:bookmarkEnd w:id="909"/>
      <w:r/>
      <w:bookmarkEnd w:id="910"/>
      <w:r/>
      <w:bookmarkEnd w:id="911"/>
      <w:r/>
      <w:bookmarkEnd w:id="912"/>
      <w:r/>
      <w:bookmarkEnd w:id="913"/>
      <w:r/>
      <w:bookmarkEnd w:id="914"/>
      <w:r>
        <w:rPr>
          <w:rFonts w:hint="eastAsia" w:ascii="宋体" w:hAnsi="宋体" w:eastAsia="宋体" w:cs="宋体"/>
          <w:b/>
          <w:color w:val="auto"/>
          <w:sz w:val="21"/>
          <w:szCs w:val="21"/>
          <w:highlight w:val="none"/>
          <w:lang w:eastAsia="zh-CN"/>
        </w:rPr>
        <w:t xml:space="preserve">综合固定</w:t>
      </w:r>
      <w:r>
        <w:rPr>
          <w:rFonts w:hint="eastAsia" w:ascii="宋体" w:hAnsi="宋体" w:eastAsia="宋体" w:cs="宋体"/>
          <w:color w:val="auto"/>
          <w:sz w:val="21"/>
          <w:szCs w:val="21"/>
          <w:highlight w:val="none"/>
          <w:lang w:eastAsia="zh-CN"/>
        </w:rPr>
        <w:t xml:space="preserve">单价合同</w:t>
      </w:r>
      <w:r/>
    </w:p>
    <w:p>
      <w:pPr>
        <w:ind w:firstLine="480"/>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综合单价包含的风险范围：</w:t>
      </w:r>
      <w:r/>
    </w:p>
    <w:p>
      <w:pPr>
        <w:ind w:firstLine="480"/>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（1） 承包人须完全承担建设项目的技术和管理风险；</w:t>
      </w:r>
      <w:r/>
    </w:p>
    <w:p>
      <w:pPr>
        <w:ind w:firstLine="480"/>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（2） 承包人有承限度的承担市场风险，详见专用合同条款第11.1款；</w:t>
      </w:r>
      <w:r/>
    </w:p>
    <w:p>
      <w:pPr>
        <w:ind w:firstLine="480"/>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（3）发包人须完全承担法律、法规、规章和政策发生变化的风险，人工费调整的风险（详见专用合同条款第11.1（1）款），由政府定价或政府指导价的原材料价格调整的风险（详见专用合同条款第11.1（1）款）；</w:t>
      </w:r>
      <w:r/>
    </w:p>
    <w:p>
      <w:pPr>
        <w:ind w:firstLine="480"/>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（4）对于不可抗力的风险发包人和承包人各自承担各自损失。  </w:t>
      </w:r>
      <w:r/>
    </w:p>
    <w:p>
      <w:pPr>
        <w:ind w:firstLine="480"/>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（5）总承包服务费、施工配合费：</w:t>
      </w:r>
      <w:r/>
    </w:p>
    <w:p>
      <w:pPr>
        <w:ind w:firstLine="480"/>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①承包人负责整个项目的施工总承包管理工作，并为专业分包工程提供施工配合工作（包括但不限于：为各专业分包单位提供已有的、可以利用的脚手架、垂直运输设施、仓储设施、安全保卫等）。</w:t>
      </w:r>
      <w:r/>
    </w:p>
    <w:p>
      <w:pPr>
        <w:ind w:firstLine="480"/>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②承包人有责任对其他分包的专业工程进行管理和协调工作，并提供配合和服务。按发包人要求分包的专业工程发包人按分包专业工程结算价（扣除设备价款）的2%计入工程结算价。</w:t>
      </w:r>
      <w:r/>
    </w:p>
    <w:p>
      <w:pPr>
        <w:ind w:firstLine="480"/>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风险费用的计算方法： 已包含于签约合同价中。</w:t>
      </w:r>
      <w:r/>
    </w:p>
    <w:p>
      <w:pPr>
        <w:ind w:firstLine="480"/>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风险范围以外合同价格的调整方法： </w:t>
      </w:r>
      <w:r/>
    </w:p>
    <w:p>
      <w:pPr>
        <w:ind w:firstLine="480"/>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（1）发包人认可的设计变更；</w:t>
      </w:r>
      <w:r/>
    </w:p>
    <w:p>
      <w:pPr>
        <w:ind w:firstLine="480"/>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（2）发包人、监理均认可的现场签证；</w:t>
      </w:r>
      <w:r/>
    </w:p>
    <w:p>
      <w:pPr>
        <w:ind w:firstLine="480"/>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（3）发包人及监理认可的材料代用（材料代用引起的量差和价差）；</w:t>
      </w:r>
      <w:r/>
    </w:p>
    <w:p>
      <w:pPr>
        <w:ind w:firstLine="480"/>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（4）工程量清单中已有但实际施工中未发生的项目（扣减）；</w:t>
      </w:r>
      <w:r/>
    </w:p>
    <w:p>
      <w:pPr>
        <w:ind w:firstLine="480"/>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（5）其它不可抗力造成的意外情况，调整前需经政府相关部门认可；</w:t>
      </w:r>
      <w:r/>
    </w:p>
    <w:p>
      <w:pPr>
        <w:ind w:firstLine="480"/>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（6）对设计变更、签证部分：</w:t>
      </w:r>
      <w:r/>
    </w:p>
    <w:p>
      <w:pPr>
        <w:ind w:firstLine="480"/>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①合同中已有适用于变更工程的价格，按合同已有的价格计算，变更合同价款；</w:t>
      </w:r>
      <w:r/>
    </w:p>
    <w:p>
      <w:pPr>
        <w:ind w:firstLine="480"/>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②合同中有类似于变更工程的价格，可以参照此价格确定变更合同价款；</w:t>
      </w:r>
      <w:r/>
    </w:p>
    <w:p>
      <w:pPr>
        <w:ind w:firstLine="480"/>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③合同中没有适用或类似于变更工程价格，由承包人重新报价，双方协商一致后签字确认。</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▲调整因素：</w:t>
      </w:r>
      <w:r/>
    </w:p>
    <w:p>
      <w:pPr>
        <w:ind w:firstLine="480"/>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⑴监理认可、发包人批准的设计变更及图纸会审记录；</w:t>
      </w:r>
      <w:r/>
    </w:p>
    <w:p>
      <w:pPr>
        <w:ind w:firstLine="480"/>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⑵监理认可、发包人批准的工程签证；</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▲调整时间：</w:t>
      </w:r>
      <w:r/>
    </w:p>
    <w:p>
      <w:pPr>
        <w:ind w:firstLine="480"/>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如发生风险范围以外合同价款调整因素，承包人应及时申报，报监理人、造价咨询人计量、审核确认，最终须经发包人批准。</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▲调整方法：</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设计变更、工程签证的调整办法见专用合同条款。</w:t>
      </w:r>
      <w:r/>
    </w:p>
    <w:p>
      <w:pPr>
        <w:ind w:firstLine="482"/>
        <w:jc w:val="both"/>
        <w:spacing w:after="120" w:line="360" w:lineRule="auto"/>
        <w:rPr>
          <w:rFonts w:hint="eastAsia" w:ascii="宋体" w:hAnsi="宋体" w:eastAsia="宋体" w:cs="宋体"/>
          <w:b/>
          <w:color w:val="auto"/>
          <w:sz w:val="21"/>
          <w:szCs w:val="21"/>
          <w:highlight w:val="none"/>
          <w:lang w:eastAsia="zh-CN"/>
        </w:rPr>
      </w:pPr>
      <w:r/>
      <w:bookmarkStart w:id="915" w:name="_Toc303539161"/>
      <w:r/>
      <w:bookmarkStart w:id="916" w:name="_Toc297123554"/>
      <w:r/>
      <w:bookmarkStart w:id="917" w:name="_Toc304295581"/>
      <w:r/>
      <w:bookmarkStart w:id="918" w:name="_Toc300935004"/>
      <w:r/>
      <w:bookmarkStart w:id="919" w:name="_Toc312678042"/>
      <w:r/>
      <w:bookmarkStart w:id="920" w:name="_Toc297216213"/>
      <w:r/>
      <w:bookmarkStart w:id="921" w:name="_Toc292559412"/>
      <w:r/>
      <w:bookmarkStart w:id="922" w:name="_Toc296891247"/>
      <w:r/>
      <w:bookmarkStart w:id="923" w:name="_Toc297048393"/>
      <w:r/>
      <w:bookmarkStart w:id="924" w:name="_Toc296891035"/>
      <w:r/>
      <w:bookmarkStart w:id="925" w:name="_Toc296346708"/>
      <w:r/>
      <w:bookmarkStart w:id="926" w:name="_Toc296944546"/>
      <w:r/>
      <w:bookmarkStart w:id="927" w:name="_Toc292559917"/>
      <w:r/>
      <w:bookmarkStart w:id="928" w:name="_Toc296347206"/>
      <w:r/>
      <w:bookmarkStart w:id="929" w:name="_Toc296503207"/>
      <w:r/>
      <w:bookmarkStart w:id="930" w:name="_Toc297120507"/>
      <w:r>
        <w:rPr>
          <w:rFonts w:hint="eastAsia" w:ascii="宋体" w:hAnsi="宋体" w:eastAsia="宋体" w:cs="宋体"/>
          <w:b/>
          <w:color w:val="auto"/>
          <w:sz w:val="21"/>
          <w:szCs w:val="21"/>
          <w:highlight w:val="none"/>
          <w:lang w:eastAsia="zh-CN"/>
        </w:rPr>
        <w:t xml:space="preserve">12.2 预付款</w:t>
      </w:r>
      <w:bookmarkEnd w:id="915"/>
      <w:bookmarkEnd w:id="916"/>
      <w:bookmarkEnd w:id="917"/>
      <w:bookmarkEnd w:id="918"/>
      <w:bookmarkEnd w:id="919"/>
      <w:bookmarkEnd w:id="920"/>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12.2.1 预付款的支付</w:t>
      </w:r>
      <w:bookmarkEnd w:id="921"/>
      <w:bookmarkEnd w:id="922"/>
      <w:bookmarkEnd w:id="923"/>
      <w:bookmarkEnd w:id="924"/>
      <w:bookmarkEnd w:id="925"/>
      <w:bookmarkEnd w:id="926"/>
      <w:bookmarkEnd w:id="927"/>
      <w:bookmarkEnd w:id="928"/>
      <w:bookmarkEnd w:id="929"/>
      <w:bookmarkEnd w:id="930"/>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预付款支付比例或金额：</w:t>
      </w:r>
      <w:r>
        <w:rPr>
          <w:rFonts w:hint="eastAsia" w:ascii="宋体" w:hAnsi="宋体" w:eastAsia="宋体" w:cs="宋体"/>
          <w:color w:val="auto"/>
          <w:sz w:val="21"/>
          <w:szCs w:val="21"/>
          <w:highlight w:val="none"/>
          <w:u w:val="single"/>
          <w:lang w:eastAsia="zh-CN"/>
        </w:rPr>
        <w:t xml:space="preserve">合同签订后7个工作日内付至合同价的30%（扣除暂列金）预付款。</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预付款支付期限：</w:t>
      </w:r>
      <w:r>
        <w:rPr>
          <w:rFonts w:hint="eastAsia" w:ascii="宋体" w:hAnsi="宋体" w:eastAsia="宋体" w:cs="宋体"/>
          <w:color w:val="auto"/>
          <w:sz w:val="21"/>
          <w:szCs w:val="21"/>
          <w:highlight w:val="none"/>
          <w:u w:val="single"/>
          <w:lang w:eastAsia="zh-CN"/>
        </w:rPr>
        <w:t xml:space="preserve"> 合同签订后7个工作日 。</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预付款扣回的方式：</w:t>
      </w:r>
      <w:r>
        <w:rPr>
          <w:rFonts w:hint="eastAsia" w:ascii="宋体" w:hAnsi="宋体" w:eastAsia="宋体" w:cs="宋体"/>
          <w:color w:val="auto"/>
          <w:sz w:val="21"/>
          <w:szCs w:val="21"/>
          <w:highlight w:val="none"/>
          <w:u w:val="single"/>
          <w:lang w:eastAsia="zh-CN"/>
        </w:rPr>
        <w:t xml:space="preserve"> \ 。</w:t>
      </w:r>
      <w:r/>
    </w:p>
    <w:p>
      <w:pPr>
        <w:ind w:firstLine="482"/>
        <w:jc w:val="both"/>
        <w:spacing w:after="120" w:line="360" w:lineRule="auto"/>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12.3 计量</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12.3.1 计量原则</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工程量计算规则：</w:t>
      </w:r>
      <w:r>
        <w:rPr>
          <w:rFonts w:hint="eastAsia" w:ascii="宋体" w:hAnsi="宋体" w:eastAsia="宋体" w:cs="宋体"/>
          <w:color w:val="auto"/>
          <w:sz w:val="21"/>
          <w:szCs w:val="21"/>
          <w:highlight w:val="none"/>
          <w:u w:val="single"/>
          <w:lang w:eastAsia="zh-CN"/>
        </w:rPr>
        <w:t xml:space="preserve">按相关的国家标准、行业标准等为依据。</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12.3.2 计量周期</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关于计量周期的约定：</w:t>
      </w:r>
      <w:r/>
    </w:p>
    <w:p>
      <w:pPr>
        <w:ind w:firstLine="480"/>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（1）承包人应于每月18日向监理人或发包人报送上月15日至当月15日已完成的工程量报告，并附已完成工程量报表和有关资料。</w:t>
      </w:r>
      <w:r/>
    </w:p>
    <w:p>
      <w:pPr>
        <w:ind w:firstLine="480"/>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2）监理人或发包人应在收到承包人提交的工程量报告后7天内完成对承包人提交的工程量报表的审核并报送发包人，以确定当月实际完成的工程量。监理人或发包人对工程量有异议的，有权要求承包人进行共同复核或抽样复测。承包人应协助监理人或发包人进行复核或抽样复测，并按监理人或发包人要求提供补充计量资料。承包人未按监理人或发包人要求参加复核或抽样复测的，监理人或发包人复核或修正的工程量视为承包人实际完成的工程量。</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u w:val="single"/>
          <w:lang w:eastAsia="zh-CN"/>
        </w:rPr>
        <w:t xml:space="preserve">（3）监理人或发包人未在收到承包人提交的工程量报表后的7天内完成审核的，承包人报送的工程量报告中的工程量视为承包人实际完成的工程量，据此计算工程价款。</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12.3.3 单价合同的计量</w:t>
      </w:r>
      <w:r/>
    </w:p>
    <w:p>
      <w:pPr>
        <w:ind w:firstLine="480"/>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lang w:eastAsia="zh-CN"/>
        </w:rPr>
        <w:t xml:space="preserve">关于单价合同计量的约定：</w:t>
      </w:r>
      <w:r/>
    </w:p>
    <w:p>
      <w:pPr>
        <w:ind w:firstLine="480"/>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（1）承包人应于每月18日向监理人报送上月15日至当月15日已完成的工程量报告，并附已完成工程量报表和有关资料。</w:t>
      </w:r>
      <w:r/>
    </w:p>
    <w:p>
      <w:pPr>
        <w:ind w:firstLine="480"/>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2）监理人应在收到承包人提交的工程量报告后7天内完成对承包人提交的工程量报表针对其质量验收合格负责审核，审核后报送发包人，以确定当月实际完成的工程量。监理单位对工程量有异议的，有权要求承包人进行共同复核或抽样复测。承包人应协助监理单位进行复核或抽样复测，并按监理要求提供补充计量资料。承包人未按监理单位要求参加复核或抽样复测的，监理单位复核或修正的工程量视为承包人实际完成的工程量。</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12.3.4 总价合同的计量</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关于总价合同计量的约定：</w:t>
      </w:r>
      <w:r>
        <w:rPr>
          <w:rFonts w:hint="eastAsia" w:ascii="宋体" w:hAnsi="宋体" w:eastAsia="宋体" w:cs="宋体"/>
          <w:color w:val="auto"/>
          <w:sz w:val="21"/>
          <w:szCs w:val="21"/>
          <w:highlight w:val="none"/>
          <w:u w:val="single"/>
          <w:lang w:eastAsia="zh-CN"/>
        </w:rPr>
        <w:t xml:space="preserve">无</w:t>
      </w:r>
      <w:r>
        <w:rPr>
          <w:rFonts w:hint="eastAsia" w:ascii="宋体" w:hAnsi="宋体" w:eastAsia="宋体" w:cs="宋体"/>
          <w:color w:val="auto"/>
          <w:sz w:val="21"/>
          <w:szCs w:val="21"/>
          <w:highlight w:val="none"/>
          <w:lang w:eastAsia="zh-CN"/>
        </w:rPr>
        <w:t xml:space="preserve">。</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12.3.5总价合同采用支付分解表计量支付的，是否适用第12.3.4 项〔总价合同的计量〕约定进行计量：</w:t>
      </w:r>
      <w:r>
        <w:rPr>
          <w:rFonts w:hint="eastAsia" w:ascii="宋体" w:hAnsi="宋体" w:eastAsia="宋体" w:cs="宋体"/>
          <w:color w:val="auto"/>
          <w:sz w:val="21"/>
          <w:szCs w:val="21"/>
          <w:highlight w:val="none"/>
          <w:u w:val="single"/>
          <w:lang w:eastAsia="zh-CN"/>
        </w:rPr>
        <w:t xml:space="preserve">无  </w:t>
      </w:r>
      <w:r>
        <w:rPr>
          <w:rFonts w:hint="eastAsia" w:ascii="宋体" w:hAnsi="宋体" w:eastAsia="宋体" w:cs="宋体"/>
          <w:color w:val="auto"/>
          <w:sz w:val="21"/>
          <w:szCs w:val="21"/>
          <w:highlight w:val="none"/>
          <w:lang w:eastAsia="zh-CN"/>
        </w:rPr>
        <w:t xml:space="preserve">。</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12.3.6 其他价格形式合同的计量</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其他价格形式的计量方式和程序：</w:t>
      </w:r>
      <w:r>
        <w:rPr>
          <w:rFonts w:hint="eastAsia" w:ascii="宋体" w:hAnsi="宋体" w:eastAsia="宋体" w:cs="宋体"/>
          <w:color w:val="auto"/>
          <w:sz w:val="21"/>
          <w:szCs w:val="21"/>
          <w:highlight w:val="none"/>
          <w:u w:val="single"/>
          <w:lang w:eastAsia="zh-CN"/>
        </w:rPr>
        <w:t xml:space="preserve">无</w:t>
      </w:r>
      <w:r>
        <w:rPr>
          <w:rFonts w:hint="eastAsia" w:ascii="宋体" w:hAnsi="宋体" w:eastAsia="宋体" w:cs="宋体"/>
          <w:color w:val="auto"/>
          <w:sz w:val="21"/>
          <w:szCs w:val="21"/>
          <w:highlight w:val="none"/>
          <w:lang w:eastAsia="zh-CN"/>
        </w:rPr>
        <w:t xml:space="preserve">。</w:t>
      </w:r>
      <w:r/>
    </w:p>
    <w:p>
      <w:pPr>
        <w:ind w:firstLine="482"/>
        <w:jc w:val="both"/>
        <w:spacing w:after="120" w:line="360" w:lineRule="auto"/>
        <w:rPr>
          <w:rFonts w:hint="eastAsia" w:ascii="宋体" w:hAnsi="宋体" w:eastAsia="宋体" w:cs="宋体"/>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12.4 工程进度款支付</w:t>
      </w:r>
      <w:bookmarkStart w:id="931" w:name="_Toc296891039"/>
      <w:r/>
      <w:bookmarkStart w:id="932" w:name="_Toc292559921"/>
      <w:r/>
      <w:bookmarkStart w:id="933" w:name="_Toc296891251"/>
      <w:r/>
      <w:bookmarkStart w:id="934" w:name="_Toc300935006"/>
      <w:r/>
      <w:bookmarkStart w:id="935" w:name="_Toc303539163"/>
      <w:r/>
      <w:bookmarkStart w:id="936" w:name="_Toc297048397"/>
      <w:r/>
      <w:bookmarkStart w:id="937" w:name="_Toc292559416"/>
      <w:r/>
      <w:bookmarkStart w:id="938" w:name="_Toc296346712"/>
      <w:r/>
      <w:bookmarkStart w:id="939" w:name="_Toc296503211"/>
      <w:r/>
      <w:bookmarkStart w:id="940" w:name="_Toc296944550"/>
      <w:r/>
      <w:bookmarkStart w:id="941" w:name="_Toc297216215"/>
      <w:r/>
      <w:bookmarkStart w:id="942" w:name="_Toc297123556"/>
      <w:r/>
      <w:bookmarkStart w:id="943" w:name="_Toc296347210"/>
      <w:r/>
      <w:bookmarkStart w:id="944" w:name="_Toc297120511"/>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12.4.1关于付款周期的约定：</w:t>
      </w:r>
      <w:r/>
    </w:p>
    <w:p>
      <w:pPr>
        <w:ind w:firstLine="480"/>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（1）合同生效后7个工作日内付至签约合同价（扣除暂列金）的30%作为预付款；</w:t>
      </w:r>
      <w:r/>
    </w:p>
    <w:p>
      <w:pPr>
        <w:ind w:firstLine="480"/>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lang w:val="en-US" w:eastAsia="zh-CN"/>
        </w:rPr>
        <w:t xml:space="preserve">2</w:t>
      </w:r>
      <w:r>
        <w:rPr>
          <w:rFonts w:hint="eastAsia" w:ascii="宋体" w:hAnsi="宋体" w:eastAsia="宋体" w:cs="宋体"/>
          <w:color w:val="auto"/>
          <w:sz w:val="21"/>
          <w:szCs w:val="21"/>
          <w:highlight w:val="none"/>
          <w:u w:val="single"/>
          <w:lang w:eastAsia="zh-CN"/>
        </w:rPr>
        <w:t xml:space="preserve">）工程进度完成50%后，逐月支付进度款，经审计、监理、发包人审核后，每月支付至已完工程量的80%（预付款转为工程进度款，扣除暂列金）</w:t>
      </w:r>
      <w:r/>
    </w:p>
    <w:p>
      <w:pPr>
        <w:ind w:firstLine="480"/>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lang w:val="en-US" w:eastAsia="zh-CN"/>
        </w:rPr>
        <w:t xml:space="preserve">3</w:t>
      </w:r>
      <w:r>
        <w:rPr>
          <w:rFonts w:hint="eastAsia" w:ascii="宋体" w:hAnsi="宋体" w:eastAsia="宋体" w:cs="宋体"/>
          <w:color w:val="auto"/>
          <w:sz w:val="21"/>
          <w:szCs w:val="21"/>
          <w:highlight w:val="none"/>
          <w:u w:val="single"/>
          <w:lang w:eastAsia="zh-CN"/>
        </w:rPr>
        <w:t xml:space="preserve">）工程完工，经审计、监理、发包人审核后支付至</w:t>
      </w:r>
      <w:r>
        <w:rPr>
          <w:rFonts w:hint="eastAsia" w:ascii="宋体" w:hAnsi="宋体" w:eastAsia="宋体" w:cs="宋体"/>
          <w:color w:val="auto"/>
          <w:sz w:val="21"/>
          <w:szCs w:val="21"/>
          <w:highlight w:val="none"/>
          <w:u w:val="single"/>
          <w:lang w:val="en-US" w:eastAsia="zh-CN"/>
        </w:rPr>
        <w:t xml:space="preserve">已完成产值</w:t>
      </w:r>
      <w:r>
        <w:rPr>
          <w:rFonts w:hint="eastAsia" w:ascii="宋体" w:hAnsi="宋体" w:eastAsia="宋体" w:cs="宋体"/>
          <w:color w:val="auto"/>
          <w:sz w:val="21"/>
          <w:szCs w:val="21"/>
          <w:highlight w:val="none"/>
          <w:u w:val="single"/>
          <w:lang w:eastAsia="zh-CN"/>
        </w:rPr>
        <w:t xml:space="preserve">的80%；</w:t>
      </w:r>
      <w:r/>
    </w:p>
    <w:p>
      <w:pPr>
        <w:ind w:firstLine="480"/>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lang w:val="en-US" w:eastAsia="zh-CN"/>
        </w:rPr>
        <w:t xml:space="preserve">4</w:t>
      </w:r>
      <w:r>
        <w:rPr>
          <w:rFonts w:hint="eastAsia" w:ascii="宋体" w:hAnsi="宋体" w:eastAsia="宋体" w:cs="宋体"/>
          <w:color w:val="auto"/>
          <w:sz w:val="21"/>
          <w:szCs w:val="21"/>
          <w:highlight w:val="none"/>
          <w:u w:val="single"/>
          <w:lang w:eastAsia="zh-CN"/>
        </w:rPr>
        <w:t xml:space="preserve">）承包人按照要求提交全部竣工验收资料和竣工结算资料，由发包人组织竣工验收和组织审计部门进行竣工结算审计。工程竣工验收合格并经结算审计后，支付至审定结算价的 100%（同时扣除全部甲供材料款和应扣的水电费等相关费用以及违约金、赔偿金）。尾款结算前承包人须向</w:t>
      </w:r>
      <w:r>
        <w:rPr>
          <w:rFonts w:hint="eastAsia" w:ascii="宋体" w:hAnsi="宋体" w:eastAsia="宋体" w:cs="宋体"/>
          <w:color w:val="auto"/>
          <w:sz w:val="21"/>
          <w:szCs w:val="21"/>
          <w:highlight w:val="none"/>
          <w:u w:val="single"/>
          <w:lang w:val="en-US" w:eastAsia="zh-CN"/>
        </w:rPr>
        <w:t xml:space="preserve">发</w:t>
      </w:r>
      <w:r>
        <w:rPr>
          <w:rFonts w:hint="eastAsia" w:ascii="宋体" w:hAnsi="宋体" w:eastAsia="宋体" w:cs="宋体"/>
          <w:color w:val="auto"/>
          <w:sz w:val="21"/>
          <w:szCs w:val="21"/>
          <w:highlight w:val="none"/>
          <w:u w:val="single"/>
          <w:lang w:eastAsia="zh-CN"/>
        </w:rPr>
        <w:t xml:space="preserve">包人缴纳审定结算价的3%作为质保金。</w:t>
      </w:r>
      <w:r/>
    </w:p>
    <w:p>
      <w:pPr>
        <w:ind w:firstLine="480"/>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注：</w:t>
      </w:r>
      <w:r/>
    </w:p>
    <w:p>
      <w:pPr>
        <w:ind w:firstLine="480"/>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（1）所有工程支付款必须由监理人签字确认有效工程量，发包人才予办理工程款支付的手续；</w:t>
      </w:r>
      <w:r/>
    </w:p>
    <w:p>
      <w:pPr>
        <w:ind w:firstLine="480"/>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（2）每次付款前，承包人必须提供符合国家规定的增值税专用发票；</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12.4.2 进度付款申请单的编制</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关于进度付款申请单编制的约定：</w:t>
      </w:r>
      <w:r/>
    </w:p>
    <w:p>
      <w:pPr>
        <w:ind w:firstLine="480"/>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（1）截至本次付款周期已完成工作对应的金额；</w:t>
      </w:r>
      <w:r/>
    </w:p>
    <w:p>
      <w:pPr>
        <w:ind w:firstLine="480"/>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（2）变更应增加和扣减的变更金额；</w:t>
      </w:r>
      <w:r/>
    </w:p>
    <w:p>
      <w:pPr>
        <w:ind w:firstLine="480"/>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（3）预付款约定应支付的预付款和扣减的返还预付款；</w:t>
      </w:r>
      <w:r/>
    </w:p>
    <w:p>
      <w:pPr>
        <w:ind w:firstLine="480"/>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（4）索赔应增加和扣减的索赔金额；</w:t>
      </w:r>
      <w:r/>
    </w:p>
    <w:p>
      <w:pPr>
        <w:ind w:firstLine="480"/>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（5）对已签发的进度款支付证书中出现错误的修正，应在本次进度付款中支付或扣除的金额；</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u w:val="single"/>
          <w:lang w:eastAsia="zh-CN"/>
        </w:rPr>
        <w:t xml:space="preserve">（6）根据合同约定应增加和扣减的其他金额</w:t>
      </w:r>
      <w:r>
        <w:rPr>
          <w:rFonts w:hint="eastAsia" w:ascii="宋体" w:hAnsi="宋体" w:eastAsia="宋体" w:cs="宋体"/>
          <w:color w:val="auto"/>
          <w:sz w:val="21"/>
          <w:szCs w:val="21"/>
          <w:highlight w:val="none"/>
          <w:lang w:eastAsia="zh-CN"/>
        </w:rPr>
        <w:t xml:space="preserve">。</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w:t>
      </w:r>
      <w:bookmarkEnd w:id="931"/>
      <w:r/>
      <w:bookmarkEnd w:id="932"/>
      <w:r/>
      <w:bookmarkEnd w:id="933"/>
      <w:r/>
      <w:bookmarkEnd w:id="934"/>
      <w:r/>
      <w:bookmarkEnd w:id="935"/>
      <w:r/>
      <w:bookmarkEnd w:id="936"/>
      <w:r/>
      <w:bookmarkEnd w:id="937"/>
      <w:r/>
      <w:bookmarkEnd w:id="938"/>
      <w:r/>
      <w:bookmarkEnd w:id="939"/>
      <w:r/>
      <w:bookmarkEnd w:id="940"/>
      <w:r/>
      <w:bookmarkEnd w:id="941"/>
      <w:r/>
      <w:bookmarkEnd w:id="942"/>
      <w:r/>
      <w:bookmarkEnd w:id="943"/>
      <w:r/>
      <w:bookmarkEnd w:id="944"/>
      <w:r>
        <w:rPr>
          <w:rFonts w:hint="eastAsia" w:ascii="宋体" w:hAnsi="宋体" w:eastAsia="宋体" w:cs="宋体"/>
          <w:color w:val="auto"/>
          <w:sz w:val="21"/>
          <w:szCs w:val="21"/>
          <w:highlight w:val="none"/>
          <w:lang w:eastAsia="zh-CN"/>
        </w:rPr>
        <w:t xml:space="preserve">2.4.3 进度付款申请单的提交</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（1）单价合同进度付款申请单提交的约定：</w:t>
      </w:r>
      <w:r>
        <w:rPr>
          <w:rFonts w:hint="eastAsia" w:ascii="宋体" w:hAnsi="宋体" w:eastAsia="宋体" w:cs="宋体"/>
          <w:color w:val="auto"/>
          <w:sz w:val="21"/>
          <w:szCs w:val="21"/>
          <w:highlight w:val="none"/>
          <w:u w:val="single"/>
          <w:lang w:eastAsia="zh-CN"/>
        </w:rPr>
        <w:t xml:space="preserve">不采用。</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（2）总价合同进度付款申请单提交的约定：</w:t>
      </w:r>
      <w:r>
        <w:rPr>
          <w:rFonts w:hint="eastAsia" w:ascii="宋体" w:hAnsi="宋体" w:eastAsia="宋体" w:cs="宋体"/>
          <w:color w:val="auto"/>
          <w:sz w:val="21"/>
          <w:szCs w:val="21"/>
          <w:highlight w:val="none"/>
          <w:u w:val="single"/>
          <w:lang w:eastAsia="zh-CN"/>
        </w:rPr>
        <w:t xml:space="preserve">按月向监理人提交，并附上已完成工程量报表和有关资料</w:t>
      </w:r>
      <w:r>
        <w:rPr>
          <w:rFonts w:hint="eastAsia" w:ascii="宋体" w:hAnsi="宋体" w:eastAsia="宋体" w:cs="宋体"/>
          <w:color w:val="auto"/>
          <w:sz w:val="21"/>
          <w:szCs w:val="21"/>
          <w:highlight w:val="none"/>
          <w:lang w:eastAsia="zh-CN"/>
        </w:rPr>
        <w:t xml:space="preserve">。</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（3）其他价格形式合同进度付款申请单提交的约定：</w:t>
      </w:r>
      <w:r>
        <w:rPr>
          <w:rFonts w:hint="eastAsia" w:ascii="宋体" w:hAnsi="宋体" w:eastAsia="宋体" w:cs="宋体"/>
          <w:color w:val="auto"/>
          <w:sz w:val="21"/>
          <w:szCs w:val="21"/>
          <w:highlight w:val="none"/>
          <w:u w:val="single"/>
          <w:lang w:eastAsia="zh-CN"/>
        </w:rPr>
        <w:t xml:space="preserve">不采用</w:t>
      </w:r>
      <w:r>
        <w:rPr>
          <w:rFonts w:hint="eastAsia" w:ascii="宋体" w:hAnsi="宋体" w:eastAsia="宋体" w:cs="宋体"/>
          <w:color w:val="auto"/>
          <w:sz w:val="21"/>
          <w:szCs w:val="21"/>
          <w:highlight w:val="none"/>
          <w:lang w:eastAsia="zh-CN"/>
        </w:rPr>
        <w:t xml:space="preserve">。</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12.4.4 进度款审核和支付</w:t>
      </w:r>
      <w:r/>
    </w:p>
    <w:p>
      <w:pPr>
        <w:ind w:firstLine="525"/>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（1）监理人审查并报送发包人的期限：监理人应在收到承包人进度付款申请单以及相关资料后7天内完成审查并报送发包人。</w:t>
      </w:r>
      <w:r/>
    </w:p>
    <w:p>
      <w:pPr>
        <w:ind w:firstLine="525"/>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发包人完成审批并签发进度款支付证书的期限：发包人应在收到后14天内完成审批并签发进度款支付证书。</w:t>
      </w:r>
      <w:r/>
    </w:p>
    <w:p>
      <w:pPr>
        <w:ind w:firstLine="525"/>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（2）发包人支付进度款的期限：发包人应在进度款支付证书签发后14天内完成支付。</w:t>
      </w:r>
      <w:r/>
    </w:p>
    <w:p>
      <w:pPr>
        <w:ind w:firstLine="525"/>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发包人逾期支付进度款的违约金的计算方式：按通用合同条款执行。</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12.4.5 支付分解表的编制</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2、总价合同支付分解表的编制与审批：按通用合同条款执行。</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3、单价合同的总价项目支付分解表的编制与审批：按通用合同条款执行。</w:t>
      </w:r>
      <w:bookmarkEnd w:id="772"/>
      <w:r/>
    </w:p>
    <w:p>
      <w:pPr>
        <w:ind w:firstLine="482"/>
        <w:jc w:val="both"/>
        <w:spacing w:line="360" w:lineRule="auto"/>
        <w:rPr>
          <w:rFonts w:hint="eastAsia" w:cs="宋体"/>
          <w:color w:val="auto"/>
          <w:sz w:val="21"/>
          <w:szCs w:val="21"/>
          <w:highlight w:val="none"/>
          <w:lang w:eastAsia="zh-CN"/>
        </w:rPr>
      </w:pPr>
      <w:r/>
      <w:bookmarkStart w:id="945" w:name="_Toc351203645"/>
      <w:r/>
      <w:bookmarkStart w:id="946" w:name="_Toc312678053"/>
      <w:r/>
      <w:bookmarkStart w:id="947" w:name="_Toc292559929"/>
      <w:r/>
      <w:bookmarkStart w:id="948" w:name="_Toc296944558"/>
      <w:r/>
      <w:bookmarkStart w:id="949" w:name="_Toc296346720"/>
      <w:r/>
      <w:bookmarkStart w:id="950" w:name="_Toc292559424"/>
      <w:r/>
      <w:bookmarkStart w:id="951" w:name="_Toc297120519"/>
      <w:r/>
      <w:bookmarkStart w:id="952" w:name="_Toc297216223"/>
      <w:r/>
      <w:bookmarkStart w:id="953" w:name="_Toc297048405"/>
      <w:r/>
      <w:bookmarkStart w:id="954" w:name="_Toc296503219"/>
      <w:r/>
      <w:bookmarkStart w:id="955" w:name="_Toc296347218"/>
      <w:r/>
      <w:bookmarkStart w:id="956" w:name="_Toc296891047"/>
      <w:r/>
      <w:bookmarkStart w:id="957" w:name="_Toc300935015"/>
      <w:r/>
      <w:bookmarkStart w:id="958" w:name="_Toc296891259"/>
      <w:r/>
      <w:bookmarkStart w:id="959" w:name="_Toc297123564"/>
      <w:r/>
      <w:bookmarkStart w:id="960" w:name="_Toc303539172"/>
      <w:r/>
      <w:bookmarkStart w:id="961" w:name="_Toc304295593"/>
      <w:r>
        <w:rPr>
          <w:rFonts w:hint="eastAsia" w:cs="宋体"/>
          <w:color w:val="auto"/>
          <w:sz w:val="21"/>
          <w:szCs w:val="21"/>
          <w:highlight w:val="none"/>
          <w:lang w:eastAsia="zh-CN"/>
        </w:rPr>
        <w:t xml:space="preserve">13.验收和工程试车</w:t>
      </w:r>
      <w:bookmarkEnd w:id="945"/>
      <w:r/>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r/>
    </w:p>
    <w:p>
      <w:pPr>
        <w:ind w:firstLine="482"/>
        <w:jc w:val="both"/>
        <w:spacing w:after="120" w:line="360" w:lineRule="auto"/>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13.1 分部分项工程验收</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13.1.1监理人不能按时进行验收时，应提前</w:t>
      </w:r>
      <w:r>
        <w:rPr>
          <w:rFonts w:hint="eastAsia" w:ascii="宋体" w:hAnsi="宋体" w:eastAsia="宋体" w:cs="宋体"/>
          <w:color w:val="auto"/>
          <w:sz w:val="21"/>
          <w:szCs w:val="21"/>
          <w:highlight w:val="none"/>
          <w:u w:val="single"/>
          <w:lang w:eastAsia="zh-CN"/>
        </w:rPr>
        <w:t xml:space="preserve">24</w:t>
      </w:r>
      <w:r>
        <w:rPr>
          <w:rFonts w:hint="eastAsia" w:ascii="宋体" w:hAnsi="宋体" w:eastAsia="宋体" w:cs="宋体"/>
          <w:color w:val="auto"/>
          <w:sz w:val="21"/>
          <w:szCs w:val="21"/>
          <w:highlight w:val="none"/>
          <w:lang w:eastAsia="zh-CN"/>
        </w:rPr>
        <w:t xml:space="preserve">小时提交书面延期要求。</w:t>
      </w:r>
      <w:r/>
    </w:p>
    <w:p>
      <w:pPr>
        <w:ind w:firstLine="480"/>
        <w:jc w:val="both"/>
        <w:spacing w:line="360" w:lineRule="auto"/>
        <w:rPr>
          <w:rFonts w:hint="eastAsia" w:ascii="宋体" w:hAnsi="宋体" w:eastAsia="宋体" w:cs="宋体"/>
          <w:b/>
          <w:color w:val="auto"/>
          <w:sz w:val="21"/>
          <w:szCs w:val="21"/>
          <w:highlight w:val="none"/>
          <w:lang w:eastAsia="zh-CN"/>
        </w:rPr>
      </w:pPr>
      <w:r>
        <w:rPr>
          <w:rFonts w:hint="eastAsia" w:ascii="宋体" w:hAnsi="宋体" w:eastAsia="宋体" w:cs="宋体"/>
          <w:color w:val="auto"/>
          <w:sz w:val="21"/>
          <w:szCs w:val="21"/>
          <w:highlight w:val="none"/>
          <w:lang w:eastAsia="zh-CN"/>
        </w:rPr>
        <w:t xml:space="preserve">关于延期最长不得超过：</w:t>
      </w:r>
      <w:r>
        <w:rPr>
          <w:rFonts w:hint="eastAsia" w:ascii="宋体" w:hAnsi="宋体" w:eastAsia="宋体" w:cs="宋体"/>
          <w:color w:val="auto"/>
          <w:sz w:val="21"/>
          <w:szCs w:val="21"/>
          <w:highlight w:val="none"/>
          <w:u w:val="single"/>
          <w:lang w:eastAsia="zh-CN"/>
        </w:rPr>
        <w:t xml:space="preserve">48</w:t>
      </w:r>
      <w:r>
        <w:rPr>
          <w:rFonts w:hint="eastAsia" w:ascii="宋体" w:hAnsi="宋体" w:eastAsia="宋体" w:cs="宋体"/>
          <w:color w:val="auto"/>
          <w:sz w:val="21"/>
          <w:szCs w:val="21"/>
          <w:highlight w:val="none"/>
          <w:lang w:eastAsia="zh-CN"/>
        </w:rPr>
        <w:t xml:space="preserve">小时。</w:t>
      </w:r>
      <w:r/>
    </w:p>
    <w:p>
      <w:pPr>
        <w:ind w:firstLine="482"/>
        <w:jc w:val="both"/>
        <w:spacing w:after="120" w:line="360" w:lineRule="auto"/>
        <w:rPr>
          <w:rFonts w:hint="eastAsia" w:ascii="宋体" w:hAnsi="宋体" w:eastAsia="宋体" w:cs="宋体"/>
          <w:b/>
          <w:color w:val="auto"/>
          <w:sz w:val="21"/>
          <w:szCs w:val="21"/>
          <w:highlight w:val="none"/>
          <w:lang w:eastAsia="zh-CN"/>
        </w:rPr>
      </w:pPr>
      <w:r/>
      <w:bookmarkStart w:id="962" w:name="_Toc296891263"/>
      <w:r/>
      <w:bookmarkStart w:id="963" w:name="_Toc300935016"/>
      <w:r/>
      <w:bookmarkStart w:id="964" w:name="_Toc296347222"/>
      <w:r/>
      <w:bookmarkStart w:id="965" w:name="_Toc297123565"/>
      <w:r/>
      <w:bookmarkStart w:id="966" w:name="_Toc296346724"/>
      <w:r/>
      <w:bookmarkStart w:id="967" w:name="_Toc296944562"/>
      <w:r/>
      <w:bookmarkStart w:id="968" w:name="_Toc303539173"/>
      <w:r/>
      <w:bookmarkStart w:id="969" w:name="_Toc312678056"/>
      <w:r/>
      <w:bookmarkStart w:id="970" w:name="_Toc292559428"/>
      <w:r/>
      <w:bookmarkStart w:id="971" w:name="_Toc297120523"/>
      <w:r/>
      <w:bookmarkStart w:id="972" w:name="_Toc292559933"/>
      <w:r/>
      <w:bookmarkStart w:id="973" w:name="_Toc296503223"/>
      <w:r/>
      <w:bookmarkStart w:id="974" w:name="_Toc297048409"/>
      <w:r/>
      <w:bookmarkStart w:id="975" w:name="_Toc296891051"/>
      <w:r/>
      <w:bookmarkStart w:id="976" w:name="_Toc304295596"/>
      <w:r/>
      <w:bookmarkStart w:id="977" w:name="_Toc297216224"/>
      <w:r/>
      <w:bookmarkStart w:id="978" w:name="_Toc267251475"/>
      <w:r/>
      <w:bookmarkStart w:id="979" w:name="_Toc267251473"/>
      <w:r/>
      <w:bookmarkStart w:id="980" w:name="_Toc267251472"/>
      <w:r/>
      <w:bookmarkStart w:id="981" w:name="_Toc267251471"/>
      <w:r/>
      <w:bookmarkStart w:id="982" w:name="_Toc267251476"/>
      <w:r/>
      <w:bookmarkStart w:id="983" w:name="_Toc267251470"/>
      <w:r/>
      <w:bookmarkStart w:id="984" w:name="_Toc267251474"/>
      <w:r>
        <w:rPr>
          <w:rFonts w:hint="eastAsia" w:ascii="宋体" w:hAnsi="宋体" w:eastAsia="宋体" w:cs="宋体"/>
          <w:b/>
          <w:color w:val="auto"/>
          <w:sz w:val="21"/>
          <w:szCs w:val="21"/>
          <w:highlight w:val="none"/>
          <w:lang w:eastAsia="zh-CN"/>
        </w:rPr>
        <w:t xml:space="preserve">13.2 竣工验收</w:t>
      </w:r>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r/>
    </w:p>
    <w:p>
      <w:pPr>
        <w:ind w:firstLine="480"/>
        <w:jc w:val="both"/>
        <w:spacing w:line="360" w:lineRule="auto"/>
        <w:rPr>
          <w:rFonts w:hint="eastAsia" w:ascii="宋体" w:hAnsi="宋体" w:eastAsia="宋体" w:cs="宋体"/>
          <w:color w:val="auto"/>
          <w:sz w:val="21"/>
          <w:szCs w:val="21"/>
          <w:highlight w:val="none"/>
          <w:lang w:eastAsia="zh-CN"/>
        </w:rPr>
      </w:pPr>
      <w:r/>
      <w:bookmarkStart w:id="985" w:name="_Toc280868704"/>
      <w:r/>
      <w:bookmarkStart w:id="986" w:name="_Toc280868705"/>
      <w:r/>
      <w:bookmarkStart w:id="987" w:name="_Toc280868706"/>
      <w:r/>
      <w:bookmarkStart w:id="988" w:name="_Toc280868707"/>
      <w:r/>
      <w:bookmarkStart w:id="989" w:name="_Toc280868708"/>
      <w:r/>
      <w:bookmarkStart w:id="990" w:name="_Toc280868709"/>
      <w:r>
        <w:rPr>
          <w:rFonts w:hint="eastAsia" w:ascii="宋体" w:hAnsi="宋体" w:eastAsia="宋体" w:cs="宋体"/>
          <w:color w:val="auto"/>
          <w:sz w:val="21"/>
          <w:szCs w:val="21"/>
          <w:highlight w:val="none"/>
          <w:lang w:eastAsia="zh-CN"/>
        </w:rPr>
        <w:t xml:space="preserve">13.2.1竣工验收程序</w:t>
      </w:r>
      <w:bookmarkEnd w:id="985"/>
      <w:r/>
    </w:p>
    <w:p>
      <w:pPr>
        <w:ind w:left="4220" w:hanging="37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关于竣工验收程序的约定：</w:t>
      </w:r>
      <w:r>
        <w:rPr>
          <w:rFonts w:hint="eastAsia" w:ascii="宋体" w:hAnsi="宋体" w:eastAsia="宋体" w:cs="宋体"/>
          <w:color w:val="auto"/>
          <w:sz w:val="21"/>
          <w:szCs w:val="21"/>
          <w:highlight w:val="none"/>
          <w:u w:val="single"/>
          <w:lang w:eastAsia="zh-CN"/>
        </w:rPr>
        <w:t xml:space="preserve">按照通用合同条款执行</w:t>
      </w:r>
      <w:r>
        <w:rPr>
          <w:rFonts w:hint="eastAsia" w:ascii="宋体" w:hAnsi="宋体" w:eastAsia="宋体" w:cs="宋体"/>
          <w:color w:val="auto"/>
          <w:sz w:val="21"/>
          <w:szCs w:val="21"/>
          <w:highlight w:val="none"/>
          <w:lang w:eastAsia="zh-CN"/>
        </w:rPr>
        <w:t xml:space="preserve">。</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发包人不按照本项约定组织竣工验收、颁发工程接收证书的违约金的计算方法：</w:t>
      </w:r>
      <w:r>
        <w:rPr>
          <w:rFonts w:hint="eastAsia" w:ascii="宋体" w:hAnsi="宋体" w:eastAsia="宋体" w:cs="宋体"/>
          <w:color w:val="auto"/>
          <w:sz w:val="21"/>
          <w:szCs w:val="21"/>
          <w:highlight w:val="none"/>
          <w:u w:val="single"/>
          <w:lang w:eastAsia="zh-CN"/>
        </w:rPr>
        <w:t xml:space="preserve">无</w:t>
      </w:r>
      <w:r>
        <w:rPr>
          <w:rFonts w:hint="eastAsia" w:ascii="宋体" w:hAnsi="宋体" w:eastAsia="宋体" w:cs="宋体"/>
          <w:color w:val="auto"/>
          <w:sz w:val="21"/>
          <w:szCs w:val="21"/>
          <w:highlight w:val="none"/>
          <w:lang w:eastAsia="zh-CN"/>
        </w:rPr>
        <w:t xml:space="preserve">。</w:t>
      </w:r>
      <w:bookmarkEnd w:id="986"/>
      <w:r/>
    </w:p>
    <w:p>
      <w:pPr>
        <w:ind w:firstLine="48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13.2.2移交、接收全部与部分工程</w:t>
      </w:r>
      <w:bookmarkEnd w:id="987"/>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承包人向发包人移交工程的期限：</w:t>
      </w:r>
      <w:r>
        <w:rPr>
          <w:rFonts w:hint="eastAsia" w:ascii="宋体" w:hAnsi="宋体" w:eastAsia="宋体" w:cs="宋体"/>
          <w:color w:val="auto"/>
          <w:sz w:val="21"/>
          <w:szCs w:val="21"/>
          <w:highlight w:val="none"/>
          <w:u w:val="single"/>
          <w:lang w:eastAsia="zh-CN"/>
        </w:rPr>
        <w:t xml:space="preserve">按照发包人要求，或竣工验收合格后15天内</w:t>
      </w:r>
      <w:r>
        <w:rPr>
          <w:rFonts w:hint="eastAsia" w:ascii="宋体" w:hAnsi="宋体" w:eastAsia="宋体" w:cs="宋体"/>
          <w:color w:val="auto"/>
          <w:sz w:val="21"/>
          <w:szCs w:val="21"/>
          <w:highlight w:val="none"/>
          <w:lang w:eastAsia="zh-CN"/>
        </w:rPr>
        <w:t xml:space="preserve">。</w:t>
      </w:r>
      <w:r/>
    </w:p>
    <w:p>
      <w:pPr>
        <w:ind w:firstLine="480"/>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lang w:eastAsia="zh-CN"/>
        </w:rPr>
        <w:t xml:space="preserve">发包人未按本合同约定接收全部或部分工程的，违约金的计算方法为：</w:t>
      </w:r>
      <w:r>
        <w:rPr>
          <w:rFonts w:hint="eastAsia" w:ascii="宋体" w:hAnsi="宋体" w:eastAsia="宋体" w:cs="宋体"/>
          <w:color w:val="auto"/>
          <w:sz w:val="21"/>
          <w:szCs w:val="21"/>
          <w:highlight w:val="none"/>
          <w:u w:val="single"/>
          <w:lang w:eastAsia="zh-CN"/>
        </w:rPr>
        <w:t xml:space="preserve">按通用合同条款执行</w:t>
      </w:r>
      <w:r>
        <w:rPr>
          <w:rFonts w:hint="eastAsia" w:ascii="宋体" w:hAnsi="宋体" w:eastAsia="宋体" w:cs="宋体"/>
          <w:color w:val="auto"/>
          <w:sz w:val="21"/>
          <w:szCs w:val="21"/>
          <w:highlight w:val="none"/>
          <w:lang w:eastAsia="zh-CN"/>
        </w:rPr>
        <w:t xml:space="preserve">。</w:t>
      </w:r>
      <w:bookmarkEnd w:id="988"/>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承包人未按时移交工程的，违约金的计算方法为：</w:t>
      </w:r>
      <w:r>
        <w:rPr>
          <w:rFonts w:hint="eastAsia" w:ascii="宋体" w:hAnsi="宋体" w:eastAsia="宋体" w:cs="宋体"/>
          <w:color w:val="auto"/>
          <w:sz w:val="21"/>
          <w:szCs w:val="21"/>
          <w:highlight w:val="none"/>
          <w:u w:val="single"/>
          <w:lang w:eastAsia="zh-CN"/>
        </w:rPr>
        <w:t xml:space="preserve">按照2000元/天支付违约金</w:t>
      </w:r>
      <w:r>
        <w:rPr>
          <w:rFonts w:hint="eastAsia" w:ascii="宋体" w:hAnsi="宋体" w:eastAsia="宋体" w:cs="宋体"/>
          <w:color w:val="auto"/>
          <w:sz w:val="21"/>
          <w:szCs w:val="21"/>
          <w:highlight w:val="none"/>
          <w:lang w:eastAsia="zh-CN"/>
        </w:rPr>
        <w:t xml:space="preserve">。</w:t>
      </w:r>
      <w:r/>
    </w:p>
    <w:p>
      <w:pPr>
        <w:ind w:firstLine="482"/>
        <w:jc w:val="both"/>
        <w:spacing w:after="120" w:line="360" w:lineRule="auto"/>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13.3 工程试车</w:t>
      </w:r>
      <w:bookmarkEnd w:id="989"/>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13.3.1 试车程序</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工程试车内容：</w:t>
      </w:r>
      <w:r>
        <w:rPr>
          <w:rFonts w:hint="eastAsia" w:ascii="宋体" w:hAnsi="宋体" w:eastAsia="宋体" w:cs="宋体"/>
          <w:color w:val="auto"/>
          <w:sz w:val="21"/>
          <w:szCs w:val="21"/>
          <w:highlight w:val="none"/>
          <w:u w:val="single"/>
          <w:lang w:eastAsia="zh-CN"/>
        </w:rPr>
        <w:t xml:space="preserve">无 </w:t>
      </w:r>
      <w:r>
        <w:rPr>
          <w:rFonts w:hint="eastAsia" w:ascii="宋体" w:hAnsi="宋体" w:eastAsia="宋体" w:cs="宋体"/>
          <w:color w:val="auto"/>
          <w:sz w:val="21"/>
          <w:szCs w:val="21"/>
          <w:highlight w:val="none"/>
          <w:lang w:eastAsia="zh-CN"/>
        </w:rPr>
        <w:t xml:space="preserve">。</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（1）单机无负荷试车费用由</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lang w:eastAsia="zh-CN"/>
        </w:rPr>
        <w:t xml:space="preserve">承担；</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（2）无负荷联动试车费用由</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承担。</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13.3.2 投料试车</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关于投料试车相关事项的约定：</w:t>
      </w:r>
      <w:r>
        <w:rPr>
          <w:rFonts w:hint="eastAsia" w:ascii="宋体" w:hAnsi="宋体" w:eastAsia="宋体" w:cs="宋体"/>
          <w:color w:val="auto"/>
          <w:sz w:val="21"/>
          <w:szCs w:val="21"/>
          <w:highlight w:val="none"/>
          <w:u w:val="single"/>
          <w:lang w:eastAsia="zh-CN"/>
        </w:rPr>
        <w:t xml:space="preserve">  无</w:t>
      </w:r>
      <w:r>
        <w:rPr>
          <w:rFonts w:hint="eastAsia" w:ascii="宋体" w:hAnsi="宋体" w:eastAsia="宋体" w:cs="宋体"/>
          <w:color w:val="auto"/>
          <w:sz w:val="21"/>
          <w:szCs w:val="21"/>
          <w:highlight w:val="none"/>
          <w:lang w:eastAsia="zh-CN"/>
        </w:rPr>
        <w:t xml:space="preserve">。</w:t>
      </w:r>
      <w:r/>
    </w:p>
    <w:p>
      <w:pPr>
        <w:ind w:firstLine="482"/>
        <w:jc w:val="both"/>
        <w:spacing w:after="120" w:line="360" w:lineRule="auto"/>
        <w:rPr>
          <w:rFonts w:hint="eastAsia" w:ascii="宋体" w:hAnsi="宋体" w:eastAsia="宋体" w:cs="宋体"/>
          <w:b/>
          <w:color w:val="auto"/>
          <w:sz w:val="21"/>
          <w:szCs w:val="21"/>
          <w:highlight w:val="none"/>
          <w:lang w:eastAsia="zh-CN"/>
        </w:rPr>
      </w:pPr>
      <w:r/>
      <w:bookmarkStart w:id="991" w:name="_Toc36797940"/>
      <w:r>
        <w:rPr>
          <w:rFonts w:hint="eastAsia" w:ascii="宋体" w:hAnsi="宋体" w:eastAsia="宋体" w:cs="宋体"/>
          <w:b/>
          <w:color w:val="auto"/>
          <w:sz w:val="21"/>
          <w:szCs w:val="21"/>
          <w:highlight w:val="none"/>
          <w:lang w:eastAsia="zh-CN"/>
        </w:rPr>
        <w:t xml:space="preserve">13.6 竣工退场</w:t>
      </w:r>
      <w:bookmarkEnd w:id="991"/>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13.6.1 竣工退场</w:t>
      </w:r>
      <w:r/>
    </w:p>
    <w:p>
      <w:pPr>
        <w:ind w:firstLine="42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承包人完成竣工退场的期限：竣工验收合格后</w:t>
      </w:r>
      <w:r>
        <w:rPr>
          <w:rFonts w:hint="eastAsia" w:ascii="宋体" w:hAnsi="宋体" w:eastAsia="宋体" w:cs="宋体"/>
          <w:color w:val="auto"/>
          <w:sz w:val="21"/>
          <w:szCs w:val="21"/>
          <w:highlight w:val="none"/>
          <w:u w:val="single"/>
          <w:lang w:eastAsia="zh-CN"/>
        </w:rPr>
        <w:t xml:space="preserve">30天内</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u w:val="single"/>
          <w:lang w:eastAsia="zh-CN"/>
        </w:rPr>
        <w:t xml:space="preserve">承包人将工程移交给发包人，撤出全部临建、施工人员、施工机械和剩余材料，并将施工现场及临时占地范围内的所有场地清理干净 </w:t>
      </w:r>
      <w:r>
        <w:rPr>
          <w:rFonts w:hint="eastAsia" w:ascii="宋体" w:hAnsi="宋体" w:eastAsia="宋体" w:cs="宋体"/>
          <w:color w:val="auto"/>
          <w:sz w:val="21"/>
          <w:szCs w:val="21"/>
          <w:highlight w:val="none"/>
          <w:lang w:eastAsia="zh-CN"/>
        </w:rPr>
        <w:t xml:space="preserve">。</w:t>
      </w:r>
      <w:r/>
    </w:p>
    <w:p>
      <w:pPr>
        <w:ind w:firstLine="482"/>
        <w:jc w:val="both"/>
        <w:spacing w:line="360" w:lineRule="auto"/>
        <w:rPr>
          <w:rFonts w:hint="eastAsia" w:cs="宋体"/>
          <w:color w:val="auto"/>
          <w:sz w:val="21"/>
          <w:szCs w:val="21"/>
          <w:highlight w:val="none"/>
          <w:lang w:eastAsia="zh-CN"/>
        </w:rPr>
      </w:pPr>
      <w:r/>
      <w:bookmarkStart w:id="992" w:name="_Toc351203646"/>
      <w:r>
        <w:rPr>
          <w:rFonts w:hint="eastAsia" w:cs="宋体"/>
          <w:color w:val="auto"/>
          <w:sz w:val="21"/>
          <w:szCs w:val="21"/>
          <w:highlight w:val="none"/>
          <w:lang w:eastAsia="zh-CN"/>
        </w:rPr>
        <w:t xml:space="preserve">14. 竣工结算</w:t>
      </w:r>
      <w:bookmarkEnd w:id="992"/>
      <w:r/>
      <w:r/>
    </w:p>
    <w:p>
      <w:pPr>
        <w:ind w:firstLine="482"/>
        <w:jc w:val="both"/>
        <w:spacing w:after="120" w:line="360" w:lineRule="auto"/>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14.1 竣工结算申请</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承包人提交竣工结算申请单的期限：</w:t>
      </w:r>
      <w:r>
        <w:rPr>
          <w:rFonts w:hint="eastAsia" w:ascii="宋体" w:hAnsi="宋体" w:eastAsia="宋体" w:cs="宋体"/>
          <w:color w:val="auto"/>
          <w:sz w:val="21"/>
          <w:szCs w:val="21"/>
          <w:highlight w:val="none"/>
          <w:u w:val="single"/>
          <w:lang w:eastAsia="zh-CN"/>
        </w:rPr>
        <w:t xml:space="preserve">承包人应在工程竣工验收合格后28天内向发包人提交竣工结算资料和申请书</w:t>
      </w:r>
      <w:r>
        <w:rPr>
          <w:rFonts w:hint="eastAsia" w:ascii="宋体" w:hAnsi="宋体" w:eastAsia="宋体" w:cs="宋体"/>
          <w:color w:val="auto"/>
          <w:sz w:val="21"/>
          <w:szCs w:val="21"/>
          <w:highlight w:val="none"/>
          <w:lang w:eastAsia="zh-CN"/>
        </w:rPr>
        <w:t xml:space="preserve">。</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竣工结算申请单应包括的内容：</w:t>
      </w:r>
      <w:r/>
    </w:p>
    <w:p>
      <w:pPr>
        <w:ind w:firstLine="480"/>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（1）竣工结算书原件、工程量计算书。</w:t>
      </w:r>
      <w:r/>
    </w:p>
    <w:p>
      <w:pPr>
        <w:ind w:firstLine="480"/>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（2）施工合同原件、中标通知书复印件。</w:t>
      </w:r>
      <w:r/>
    </w:p>
    <w:p>
      <w:pPr>
        <w:ind w:firstLine="480"/>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（3）招标文件、招标答疑、投标文件。</w:t>
      </w:r>
      <w:r/>
    </w:p>
    <w:p>
      <w:pPr>
        <w:ind w:firstLine="480"/>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（4）竣工图纸（蓝图）；</w:t>
      </w:r>
      <w:r/>
    </w:p>
    <w:p>
      <w:pPr>
        <w:ind w:firstLine="480"/>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（5）竣工资料原件（包括开竣工报告、分部分项工程验收记录以及材料检测等资料，经监理核查装订成册，拟报档案管存档的资料）；</w:t>
      </w:r>
      <w:r/>
    </w:p>
    <w:p>
      <w:pPr>
        <w:ind w:firstLine="480"/>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（6）设计变更、工程签证、图纸会审、会议纪要等结算资料；</w:t>
      </w:r>
      <w:r/>
    </w:p>
    <w:p>
      <w:pPr>
        <w:ind w:firstLine="480"/>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（7）电子文件（包括投标报价、竣工结算书、施工图纸等）；</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u w:val="single"/>
          <w:lang w:eastAsia="zh-CN"/>
        </w:rPr>
        <w:t xml:space="preserve">（8）甲供材料结算单、结算审计水电费扣除委托表，由审计单位在工程款中核减。</w:t>
      </w:r>
      <w:r/>
    </w:p>
    <w:p>
      <w:pPr>
        <w:ind w:firstLine="482"/>
        <w:jc w:val="both"/>
        <w:spacing w:after="120" w:line="360" w:lineRule="auto"/>
        <w:rPr>
          <w:rFonts w:hint="eastAsia" w:ascii="宋体" w:hAnsi="宋体" w:eastAsia="宋体" w:cs="宋体"/>
          <w:b/>
          <w:color w:val="auto"/>
          <w:sz w:val="21"/>
          <w:szCs w:val="21"/>
          <w:highlight w:val="none"/>
          <w:lang w:eastAsia="zh-CN"/>
        </w:rPr>
      </w:pPr>
      <w:r/>
      <w:bookmarkStart w:id="993" w:name="_Toc36797941"/>
      <w:r>
        <w:rPr>
          <w:rFonts w:hint="eastAsia" w:ascii="宋体" w:hAnsi="宋体" w:eastAsia="宋体" w:cs="宋体"/>
          <w:b/>
          <w:color w:val="auto"/>
          <w:sz w:val="21"/>
          <w:szCs w:val="21"/>
          <w:highlight w:val="none"/>
          <w:lang w:eastAsia="zh-CN"/>
        </w:rPr>
        <w:t xml:space="preserve">14.2 竣工结算审核</w:t>
      </w:r>
      <w:bookmarkEnd w:id="993"/>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发包人审批竣工付款申请单的期限：</w:t>
      </w:r>
      <w:r>
        <w:rPr>
          <w:rFonts w:hint="eastAsia" w:ascii="宋体" w:hAnsi="宋体" w:eastAsia="宋体" w:cs="宋体"/>
          <w:color w:val="auto"/>
          <w:sz w:val="21"/>
          <w:szCs w:val="21"/>
          <w:highlight w:val="none"/>
          <w:u w:val="single"/>
          <w:lang w:eastAsia="zh-CN"/>
        </w:rPr>
        <w:t xml:space="preserve">按通用合同条款执行</w:t>
      </w:r>
      <w:r>
        <w:rPr>
          <w:rFonts w:hint="eastAsia" w:ascii="宋体" w:hAnsi="宋体" w:eastAsia="宋体" w:cs="宋体"/>
          <w:color w:val="auto"/>
          <w:sz w:val="21"/>
          <w:szCs w:val="21"/>
          <w:highlight w:val="none"/>
          <w:lang w:eastAsia="zh-CN"/>
        </w:rPr>
        <w:t xml:space="preserve">。</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发包人完成竣工付款的期限：</w:t>
      </w:r>
      <w:r>
        <w:rPr>
          <w:rFonts w:hint="eastAsia" w:ascii="宋体" w:hAnsi="宋体" w:eastAsia="宋体" w:cs="宋体"/>
          <w:color w:val="auto"/>
          <w:sz w:val="21"/>
          <w:szCs w:val="21"/>
          <w:highlight w:val="none"/>
          <w:u w:val="single"/>
          <w:lang w:eastAsia="zh-CN"/>
        </w:rPr>
        <w:t xml:space="preserve">按通用合同条款执行</w:t>
      </w:r>
      <w:r>
        <w:rPr>
          <w:rFonts w:hint="eastAsia" w:ascii="宋体" w:hAnsi="宋体" w:eastAsia="宋体" w:cs="宋体"/>
          <w:color w:val="auto"/>
          <w:sz w:val="21"/>
          <w:szCs w:val="21"/>
          <w:highlight w:val="none"/>
          <w:lang w:eastAsia="zh-CN"/>
        </w:rPr>
        <w:t xml:space="preserve">。</w:t>
      </w:r>
      <w:r/>
    </w:p>
    <w:p>
      <w:pPr>
        <w:pStyle w:val="795"/>
        <w:ind w:firstLine="420"/>
        <w:spacing w:before="408" w:after="408" w:line="360" w:lineRule="auto"/>
        <w:rPr>
          <w:rFonts w:hint="eastAsia" w:cs="宋体"/>
          <w:color w:val="auto"/>
          <w:sz w:val="21"/>
          <w:szCs w:val="21"/>
          <w:highlight w:val="none"/>
          <w:u w:val="single"/>
          <w:lang w:eastAsia="zh-CN"/>
        </w:rPr>
      </w:pPr>
      <w:r>
        <w:rPr>
          <w:rFonts w:hint="eastAsia" w:cs="宋体"/>
          <w:color w:val="auto"/>
          <w:sz w:val="21"/>
          <w:szCs w:val="21"/>
          <w:highlight w:val="none"/>
          <w:lang w:eastAsia="zh-CN"/>
        </w:rPr>
        <w:t xml:space="preserve">关于竣工付款证书异议部分复核的方式和程序：</w:t>
      </w:r>
      <w:r>
        <w:rPr>
          <w:rFonts w:hint="eastAsia" w:cs="宋体"/>
          <w:color w:val="auto"/>
          <w:sz w:val="21"/>
          <w:szCs w:val="21"/>
          <w:highlight w:val="none"/>
          <w:u w:val="single"/>
          <w:lang w:eastAsia="zh-CN"/>
        </w:rPr>
        <w:t xml:space="preserve">由项目终审单位提出异议，并由合同当事人按照专用合同条款约定的方式和程序进行复核，或按照第20条〔争议解决〕约定处理；承包人在计算工程量时必须按竣工图分</w:t>
      </w:r>
      <w:r>
        <w:rPr>
          <w:rFonts w:hint="eastAsia" w:cs="宋体"/>
          <w:color w:val="auto"/>
          <w:sz w:val="21"/>
          <w:szCs w:val="21"/>
          <w:highlight w:val="none"/>
          <w:u w:val="single"/>
          <w:lang w:eastAsia="zh-CN"/>
        </w:rPr>
        <w:t xml:space="preserve">专业计算，竣工图以外的变更签证部分，分专业另行计算。变更签证凡在竣工图上标明的，不得重复计算。承包人应按照“有理有据，实事求是”的原则上报工程结算，不得高估冒算，提供的结算书，竣工结算审计或跟踪审计产生的审计费中基本收费全额和效益收费的50%由发包人承担，效益收费的另50%由施工单位承担，并在工程款中扣减，其余要求按通用合同条款执行。本合同没有约定的，按财政部、建设部联合颁发的《建设工程价款结算暂行办法》（财建[2004]369号）《关于完善建设工程价款结算有关办法的通知》（财建〔2022〕183号）执行。</w:t>
      </w:r>
      <w:r/>
    </w:p>
    <w:p>
      <w:pPr>
        <w:ind w:firstLine="482"/>
        <w:jc w:val="both"/>
        <w:spacing w:after="120" w:line="360" w:lineRule="auto"/>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14.3 最终结清</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14.3.1 最终结清申请单</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承包人提交最终结清申请单的份数：</w:t>
      </w:r>
      <w:r>
        <w:rPr>
          <w:rFonts w:hint="eastAsia" w:ascii="宋体" w:hAnsi="宋体" w:eastAsia="宋体" w:cs="宋体"/>
          <w:color w:val="auto"/>
          <w:sz w:val="21"/>
          <w:szCs w:val="21"/>
          <w:highlight w:val="none"/>
          <w:u w:val="single"/>
          <w:lang w:eastAsia="zh-CN"/>
        </w:rPr>
        <w:t xml:space="preserve">两份纸质版文件，一份电子版文件</w:t>
      </w:r>
      <w:r>
        <w:rPr>
          <w:rFonts w:hint="eastAsia" w:ascii="宋体" w:hAnsi="宋体" w:eastAsia="宋体" w:cs="宋体"/>
          <w:color w:val="auto"/>
          <w:sz w:val="21"/>
          <w:szCs w:val="21"/>
          <w:highlight w:val="none"/>
          <w:lang w:eastAsia="zh-CN"/>
        </w:rPr>
        <w:t xml:space="preserve">。</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承包人提交最终结算申请单的期限：</w:t>
      </w:r>
      <w:r>
        <w:rPr>
          <w:rFonts w:hint="eastAsia" w:ascii="宋体" w:hAnsi="宋体" w:eastAsia="宋体" w:cs="宋体"/>
          <w:color w:val="auto"/>
          <w:sz w:val="21"/>
          <w:szCs w:val="21"/>
          <w:highlight w:val="none"/>
          <w:u w:val="single"/>
          <w:lang w:eastAsia="zh-CN"/>
        </w:rPr>
        <w:t xml:space="preserve">缺陷责任期届满后30天内</w:t>
      </w:r>
      <w:r>
        <w:rPr>
          <w:rFonts w:hint="eastAsia" w:ascii="宋体" w:hAnsi="宋体" w:eastAsia="宋体" w:cs="宋体"/>
          <w:color w:val="auto"/>
          <w:sz w:val="21"/>
          <w:szCs w:val="21"/>
          <w:highlight w:val="none"/>
          <w:lang w:eastAsia="zh-CN"/>
        </w:rPr>
        <w:t xml:space="preserve">。</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14.3.2 最终结清证书和支付</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（1）发包人完成最终结清申请单的审批并颁发最终结清证书的期限：</w:t>
      </w:r>
      <w:r>
        <w:rPr>
          <w:rFonts w:hint="eastAsia" w:ascii="宋体" w:hAnsi="宋体" w:eastAsia="宋体" w:cs="宋体"/>
          <w:color w:val="auto"/>
          <w:sz w:val="21"/>
          <w:szCs w:val="21"/>
          <w:highlight w:val="none"/>
          <w:u w:val="single"/>
          <w:lang w:eastAsia="zh-CN"/>
        </w:rPr>
        <w:t xml:space="preserve">收到最终结算申请书后30天内</w:t>
      </w:r>
      <w:r>
        <w:rPr>
          <w:rFonts w:hint="eastAsia" w:ascii="宋体" w:hAnsi="宋体" w:eastAsia="宋体" w:cs="宋体"/>
          <w:color w:val="auto"/>
          <w:sz w:val="21"/>
          <w:szCs w:val="21"/>
          <w:highlight w:val="none"/>
          <w:lang w:eastAsia="zh-CN"/>
        </w:rPr>
        <w:t xml:space="preserve">。</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（2）发包人完成支付的期限：</w:t>
      </w:r>
      <w:r>
        <w:rPr>
          <w:rFonts w:hint="eastAsia" w:ascii="宋体" w:hAnsi="宋体" w:eastAsia="宋体" w:cs="宋体"/>
          <w:color w:val="auto"/>
          <w:sz w:val="21"/>
          <w:szCs w:val="21"/>
          <w:highlight w:val="none"/>
          <w:u w:val="single"/>
          <w:lang w:eastAsia="zh-CN"/>
        </w:rPr>
        <w:t xml:space="preserve">最终结算申请书定审后30天内</w:t>
      </w:r>
      <w:r>
        <w:rPr>
          <w:rFonts w:hint="eastAsia" w:ascii="宋体" w:hAnsi="宋体" w:eastAsia="宋体" w:cs="宋体"/>
          <w:color w:val="auto"/>
          <w:sz w:val="21"/>
          <w:szCs w:val="21"/>
          <w:highlight w:val="none"/>
          <w:lang w:eastAsia="zh-CN"/>
        </w:rPr>
        <w:t xml:space="preserve">。</w:t>
      </w:r>
      <w:bookmarkEnd w:id="978"/>
      <w:bookmarkEnd w:id="979"/>
      <w:bookmarkEnd w:id="980"/>
      <w:bookmarkEnd w:id="981"/>
      <w:bookmarkEnd w:id="982"/>
      <w:bookmarkEnd w:id="983"/>
      <w:bookmarkEnd w:id="984"/>
      <w:bookmarkEnd w:id="990"/>
      <w:r/>
    </w:p>
    <w:p>
      <w:pPr>
        <w:ind w:firstLine="482"/>
        <w:jc w:val="both"/>
        <w:spacing w:line="360" w:lineRule="auto"/>
        <w:rPr>
          <w:rFonts w:hint="eastAsia" w:cs="宋体"/>
          <w:color w:val="auto"/>
          <w:sz w:val="21"/>
          <w:szCs w:val="21"/>
          <w:highlight w:val="none"/>
          <w:lang w:eastAsia="zh-CN"/>
        </w:rPr>
      </w:pPr>
      <w:r/>
      <w:bookmarkStart w:id="994" w:name="_Toc351203647"/>
      <w:r/>
      <w:bookmarkStart w:id="995" w:name="_Toc267251483"/>
      <w:r/>
      <w:bookmarkStart w:id="996" w:name="_Toc267251484"/>
      <w:r/>
      <w:bookmarkStart w:id="997" w:name="_Toc267251482"/>
      <w:r/>
      <w:bookmarkStart w:id="998" w:name="_Toc267251485"/>
      <w:r/>
      <w:bookmarkStart w:id="999" w:name="_Toc267251488"/>
      <w:r/>
      <w:bookmarkStart w:id="1000" w:name="_Toc267251486"/>
      <w:r/>
      <w:bookmarkStart w:id="1001" w:name="_Toc267251490"/>
      <w:r/>
      <w:bookmarkStart w:id="1002" w:name="_Toc267251489"/>
      <w:r/>
      <w:bookmarkStart w:id="1003" w:name="_Toc267251501"/>
      <w:r/>
      <w:bookmarkStart w:id="1004" w:name="_Toc267251495"/>
      <w:r/>
      <w:bookmarkStart w:id="1005" w:name="_Toc267251493"/>
      <w:r/>
      <w:bookmarkStart w:id="1006" w:name="_Toc267251502"/>
      <w:r/>
      <w:bookmarkStart w:id="1007" w:name="_Toc267251496"/>
      <w:r/>
      <w:bookmarkStart w:id="1008" w:name="_Toc267251491"/>
      <w:r/>
      <w:bookmarkStart w:id="1009" w:name="_Toc267251494"/>
      <w:r/>
      <w:bookmarkStart w:id="1010" w:name="_Toc267251503"/>
      <w:r/>
      <w:bookmarkStart w:id="1011" w:name="_Toc267251498"/>
      <w:r/>
      <w:bookmarkStart w:id="1012" w:name="_Toc267251492"/>
      <w:r/>
      <w:bookmarkStart w:id="1013" w:name="_Toc267251497"/>
      <w:r/>
      <w:bookmarkStart w:id="1014" w:name="_Toc267251499"/>
      <w:r/>
      <w:bookmarkStart w:id="1015" w:name="_Toc267251506"/>
      <w:r/>
      <w:bookmarkStart w:id="1016" w:name="_Toc267251504"/>
      <w:r/>
      <w:bookmarkStart w:id="1017" w:name="_Toc267251507"/>
      <w:r/>
      <w:bookmarkStart w:id="1018" w:name="_Toc267251508"/>
      <w:r/>
      <w:bookmarkStart w:id="1019" w:name="_Toc267251515"/>
      <w:r/>
      <w:bookmarkStart w:id="1020" w:name="_Toc267251509"/>
      <w:r/>
      <w:bookmarkStart w:id="1021" w:name="_Toc267251514"/>
      <w:r/>
      <w:bookmarkStart w:id="1022" w:name="_Toc267251510"/>
      <w:r/>
      <w:bookmarkStart w:id="1023" w:name="_Toc267251511"/>
      <w:r/>
      <w:bookmarkStart w:id="1024" w:name="_Toc267251513"/>
      <w:r>
        <w:rPr>
          <w:rFonts w:hint="eastAsia" w:cs="宋体"/>
          <w:color w:val="auto"/>
          <w:sz w:val="21"/>
          <w:szCs w:val="21"/>
          <w:highlight w:val="none"/>
          <w:lang w:eastAsia="zh-CN"/>
        </w:rPr>
        <w:t xml:space="preserve">15. 缺陷责任期与保修</w:t>
      </w:r>
      <w:bookmarkEnd w:id="994"/>
      <w:r/>
      <w:r/>
    </w:p>
    <w:p>
      <w:pPr>
        <w:ind w:firstLine="482"/>
        <w:jc w:val="both"/>
        <w:spacing w:after="120" w:line="360" w:lineRule="auto"/>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15.1工程保修原则</w:t>
      </w:r>
      <w:r/>
    </w:p>
    <w:p>
      <w:pPr>
        <w:ind w:firstLine="480"/>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在工程移交发包人后，因承包人原因产生的质量缺陷，承包人应承担质量缺陷责任和保修义务。缺陷责任期届满，承包人仍应按合同约定的各部位保修年限承担保修义务。</w:t>
      </w:r>
      <w:r/>
    </w:p>
    <w:p>
      <w:pPr>
        <w:ind w:firstLine="482"/>
        <w:jc w:val="both"/>
        <w:spacing w:after="120" w:line="360" w:lineRule="auto"/>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15.2缺陷责任期</w:t>
      </w:r>
      <w:bookmarkEnd w:id="995"/>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15.2.1缺陷责任期的具体期限：</w:t>
      </w:r>
      <w:r>
        <w:rPr>
          <w:rFonts w:hint="eastAsia" w:ascii="宋体" w:hAnsi="宋体" w:eastAsia="宋体" w:cs="宋体"/>
          <w:color w:val="auto"/>
          <w:sz w:val="21"/>
          <w:szCs w:val="21"/>
          <w:highlight w:val="none"/>
          <w:u w:val="single"/>
          <w:lang w:eastAsia="zh-CN"/>
        </w:rPr>
        <w:t xml:space="preserve">24个月，缺陷责任期自工程通过竣工验收之次日起计算。</w:t>
      </w:r>
      <w:r/>
    </w:p>
    <w:p>
      <w:pPr>
        <w:ind w:firstLine="482"/>
        <w:jc w:val="both"/>
        <w:spacing w:after="120" w:line="360" w:lineRule="auto"/>
        <w:rPr>
          <w:rFonts w:hint="eastAsia" w:ascii="宋体" w:hAnsi="宋体" w:eastAsia="宋体" w:cs="宋体"/>
          <w:b/>
          <w:color w:val="auto"/>
          <w:sz w:val="21"/>
          <w:szCs w:val="21"/>
          <w:highlight w:val="none"/>
          <w:lang w:eastAsia="zh-CN"/>
        </w:rPr>
      </w:pPr>
      <w:r/>
      <w:bookmarkStart w:id="1025" w:name="_Toc36797942"/>
      <w:r>
        <w:rPr>
          <w:rFonts w:hint="eastAsia" w:ascii="宋体" w:hAnsi="宋体" w:eastAsia="宋体" w:cs="宋体"/>
          <w:b/>
          <w:color w:val="auto"/>
          <w:sz w:val="21"/>
          <w:szCs w:val="21"/>
          <w:highlight w:val="none"/>
          <w:lang w:eastAsia="zh-CN"/>
        </w:rPr>
        <w:t xml:space="preserve">15.3 质量保证金</w:t>
      </w:r>
      <w:bookmarkEnd w:id="1025"/>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关于是否扣留质量保证金的约定：</w:t>
      </w:r>
      <w:r>
        <w:rPr>
          <w:rFonts w:hint="eastAsia" w:ascii="宋体" w:hAnsi="宋体" w:eastAsia="宋体" w:cs="宋体"/>
          <w:color w:val="auto"/>
          <w:sz w:val="21"/>
          <w:szCs w:val="21"/>
          <w:highlight w:val="none"/>
          <w:u w:val="single"/>
          <w:lang w:eastAsia="zh-CN"/>
        </w:rPr>
        <w:t xml:space="preserve"> / </w:t>
      </w:r>
      <w:r>
        <w:rPr>
          <w:rFonts w:hint="eastAsia" w:ascii="宋体" w:hAnsi="宋体" w:eastAsia="宋体" w:cs="宋体"/>
          <w:color w:val="auto"/>
          <w:sz w:val="21"/>
          <w:szCs w:val="21"/>
          <w:highlight w:val="none"/>
          <w:lang w:eastAsia="zh-CN"/>
        </w:rPr>
        <w:t xml:space="preserve">。在工程项目竣工前，承包人按专用合同条款第3.7条提供履约担保的，发包人不得同时预留工程质量保证金。</w:t>
      </w:r>
      <w:r/>
    </w:p>
    <w:p>
      <w:pPr>
        <w:ind w:firstLine="480"/>
        <w:jc w:val="both"/>
        <w:spacing w:line="360" w:lineRule="auto"/>
        <w:rPr>
          <w:rFonts w:hint="eastAsia" w:ascii="宋体" w:hAnsi="宋体" w:eastAsia="宋体" w:cs="宋体"/>
          <w:color w:val="auto"/>
          <w:sz w:val="21"/>
          <w:szCs w:val="21"/>
          <w:highlight w:val="none"/>
          <w:lang w:eastAsia="zh-CN"/>
        </w:rPr>
      </w:pPr>
      <w:r/>
      <w:bookmarkStart w:id="1026" w:name="_Toc36797943"/>
      <w:r>
        <w:rPr>
          <w:rFonts w:hint="eastAsia" w:ascii="宋体" w:hAnsi="宋体" w:eastAsia="宋体" w:cs="宋体"/>
          <w:color w:val="auto"/>
          <w:sz w:val="21"/>
          <w:szCs w:val="21"/>
          <w:highlight w:val="none"/>
          <w:lang w:eastAsia="zh-CN"/>
        </w:rPr>
        <w:t xml:space="preserve">15.3.1 承包人提供质量保证金的方式</w:t>
      </w:r>
      <w:bookmarkEnd w:id="1026"/>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质量保证金采用以下第</w:t>
      </w:r>
      <w:r>
        <w:rPr>
          <w:rFonts w:hint="eastAsia" w:ascii="宋体" w:hAnsi="宋体" w:eastAsia="宋体" w:cs="宋体"/>
          <w:color w:val="auto"/>
          <w:sz w:val="21"/>
          <w:szCs w:val="21"/>
          <w:highlight w:val="none"/>
          <w:u w:val="single"/>
          <w:lang w:eastAsia="zh-CN"/>
        </w:rPr>
        <w:t xml:space="preserve">3</w:t>
      </w:r>
      <w:r>
        <w:rPr>
          <w:rFonts w:hint="eastAsia" w:ascii="宋体" w:hAnsi="宋体" w:eastAsia="宋体" w:cs="宋体"/>
          <w:color w:val="auto"/>
          <w:sz w:val="21"/>
          <w:szCs w:val="21"/>
          <w:highlight w:val="none"/>
          <w:lang w:eastAsia="zh-CN"/>
        </w:rPr>
        <w:t xml:space="preserve">种方式：</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（1）质量保证金保函，保证金额为：</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 </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u w:val="single"/>
          <w:lang w:eastAsia="zh-CN"/>
        </w:rPr>
        <w:t xml:space="preserve">审定结算价3%</w:t>
      </w:r>
      <w:r>
        <w:rPr>
          <w:rFonts w:hint="eastAsia" w:ascii="宋体" w:hAnsi="宋体" w:eastAsia="宋体" w:cs="宋体"/>
          <w:color w:val="auto"/>
          <w:sz w:val="21"/>
          <w:szCs w:val="21"/>
          <w:highlight w:val="none"/>
          <w:lang w:eastAsia="zh-CN"/>
        </w:rPr>
        <w:t xml:space="preserve">的工程款；</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（3）其他方式:</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w:t>
      </w:r>
      <w:r/>
    </w:p>
    <w:p>
      <w:pPr>
        <w:ind w:firstLine="480"/>
        <w:jc w:val="both"/>
        <w:spacing w:line="360" w:lineRule="auto"/>
        <w:rPr>
          <w:rFonts w:hint="eastAsia" w:ascii="宋体" w:hAnsi="宋体" w:eastAsia="宋体" w:cs="宋体"/>
          <w:color w:val="auto"/>
          <w:sz w:val="21"/>
          <w:szCs w:val="21"/>
          <w:highlight w:val="none"/>
          <w:lang w:eastAsia="zh-CN"/>
        </w:rPr>
      </w:pPr>
      <w:r/>
      <w:bookmarkStart w:id="1027" w:name="_Toc36797944"/>
      <w:r>
        <w:rPr>
          <w:rFonts w:hint="eastAsia" w:ascii="宋体" w:hAnsi="宋体" w:eastAsia="宋体" w:cs="宋体"/>
          <w:color w:val="auto"/>
          <w:sz w:val="21"/>
          <w:szCs w:val="21"/>
          <w:highlight w:val="none"/>
          <w:lang w:eastAsia="zh-CN"/>
        </w:rPr>
        <w:t xml:space="preserve">15.3.2 质量保证金的扣留</w:t>
      </w:r>
      <w:bookmarkEnd w:id="1027"/>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质量保证金的扣留采取以下第</w:t>
      </w:r>
      <w:r>
        <w:rPr>
          <w:rFonts w:hint="eastAsia" w:ascii="宋体" w:hAnsi="宋体" w:eastAsia="宋体" w:cs="宋体"/>
          <w:color w:val="auto"/>
          <w:sz w:val="21"/>
          <w:szCs w:val="21"/>
          <w:highlight w:val="none"/>
          <w:u w:val="single"/>
          <w:lang w:eastAsia="zh-CN"/>
        </w:rPr>
        <w:t xml:space="preserve">（3）</w:t>
      </w:r>
      <w:r>
        <w:rPr>
          <w:rFonts w:hint="eastAsia" w:ascii="宋体" w:hAnsi="宋体" w:eastAsia="宋体" w:cs="宋体"/>
          <w:color w:val="auto"/>
          <w:sz w:val="21"/>
          <w:szCs w:val="21"/>
          <w:highlight w:val="none"/>
          <w:lang w:eastAsia="zh-CN"/>
        </w:rPr>
        <w:t xml:space="preserve">种方式：</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（1）在支付工程进度款时逐次扣留，在此情形下，质量保证金的计算基数不包括预付款的支付、扣回以及价格调整的金额；</w:t>
      </w:r>
      <w:r/>
    </w:p>
    <w:p>
      <w:pPr>
        <w:ind w:firstLine="480"/>
        <w:jc w:val="both"/>
        <w:spacing w:line="360" w:lineRule="auto"/>
        <w:rPr>
          <w:rFonts w:hint="eastAsia" w:ascii="宋体" w:hAnsi="宋体" w:eastAsia="宋体" w:cs="宋体"/>
          <w:color w:val="auto"/>
          <w:sz w:val="21"/>
          <w:szCs w:val="21"/>
          <w:highlight w:val="none"/>
          <w:lang w:eastAsia="zh-CN"/>
        </w:rPr>
      </w:pPr>
      <w:r/>
      <w:bookmarkStart w:id="1028" w:name="_Toc36797945"/>
      <w:r>
        <w:rPr>
          <w:rFonts w:hint="eastAsia" w:ascii="宋体" w:hAnsi="宋体" w:eastAsia="宋体" w:cs="宋体"/>
          <w:color w:val="auto"/>
          <w:sz w:val="21"/>
          <w:szCs w:val="21"/>
          <w:highlight w:val="none"/>
          <w:lang w:eastAsia="zh-CN"/>
        </w:rPr>
        <w:t xml:space="preserve">（2）工程竣工结算时一次性扣留质量保证金；</w:t>
      </w:r>
      <w:bookmarkEnd w:id="1028"/>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（3）其他方式:</w:t>
      </w:r>
      <w:r>
        <w:rPr>
          <w:rFonts w:hint="eastAsia" w:ascii="宋体" w:hAnsi="宋体" w:eastAsia="宋体" w:cs="宋体"/>
          <w:color w:val="auto"/>
          <w:sz w:val="21"/>
          <w:szCs w:val="21"/>
          <w:highlight w:val="none"/>
          <w:u w:val="single"/>
          <w:lang w:eastAsia="zh-CN"/>
        </w:rPr>
        <w:t xml:space="preserve">尾款结算前承包人须向承包人缴纳审定结算价的3%作为质保金</w:t>
      </w:r>
      <w:r>
        <w:rPr>
          <w:rFonts w:hint="eastAsia" w:ascii="宋体" w:hAnsi="宋体" w:eastAsia="宋体" w:cs="宋体"/>
          <w:color w:val="auto"/>
          <w:sz w:val="21"/>
          <w:szCs w:val="21"/>
          <w:highlight w:val="none"/>
          <w:lang w:eastAsia="zh-CN"/>
        </w:rPr>
        <w:t xml:space="preserve">。</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关于质量保证金的补充约定：</w:t>
      </w:r>
      <w:r>
        <w:rPr>
          <w:rFonts w:hint="eastAsia" w:ascii="宋体" w:hAnsi="宋体" w:eastAsia="宋体" w:cs="宋体"/>
          <w:color w:val="auto"/>
          <w:sz w:val="21"/>
          <w:szCs w:val="21"/>
          <w:highlight w:val="none"/>
          <w:u w:val="single"/>
          <w:lang w:eastAsia="zh-CN"/>
        </w:rPr>
        <w:t xml:space="preserve">无</w:t>
      </w:r>
      <w:r>
        <w:rPr>
          <w:rFonts w:hint="eastAsia" w:ascii="宋体" w:hAnsi="宋体" w:eastAsia="宋体" w:cs="宋体"/>
          <w:color w:val="auto"/>
          <w:sz w:val="21"/>
          <w:szCs w:val="21"/>
          <w:highlight w:val="none"/>
          <w:lang w:eastAsia="zh-CN"/>
        </w:rPr>
        <w:t xml:space="preserve">。</w:t>
      </w:r>
      <w:bookmarkEnd w:id="996"/>
      <w:bookmarkEnd w:id="997"/>
      <w:r/>
    </w:p>
    <w:p>
      <w:pPr>
        <w:ind w:firstLine="482"/>
        <w:jc w:val="both"/>
        <w:spacing w:after="120" w:line="360" w:lineRule="auto"/>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15.4保修</w:t>
      </w:r>
      <w:bookmarkEnd w:id="998"/>
      <w:r/>
    </w:p>
    <w:p>
      <w:pPr>
        <w:ind w:firstLine="409"/>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15.4.1 保修责任</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工程保修期为：</w:t>
      </w:r>
      <w:r>
        <w:rPr>
          <w:rFonts w:hint="eastAsia" w:ascii="宋体" w:hAnsi="宋体" w:eastAsia="宋体" w:cs="宋体"/>
          <w:color w:val="auto"/>
          <w:sz w:val="21"/>
          <w:szCs w:val="21"/>
          <w:highlight w:val="none"/>
          <w:u w:val="single"/>
          <w:lang w:eastAsia="zh-CN"/>
        </w:rPr>
        <w:t xml:space="preserve">从工程竣工验收合格之次日起算，不得低于建设工程质量管理条例要求，具体分部分项工程的保修期详见《工程质量保修书》，在工程保修期内，承包人应当根据有关法律规定以及合同约定承担保修责任。</w:t>
      </w:r>
      <w:r/>
    </w:p>
    <w:p>
      <w:pPr>
        <w:ind w:firstLine="409"/>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15.4.2 修复通知</w:t>
      </w:r>
      <w:r/>
    </w:p>
    <w:p>
      <w:pPr>
        <w:ind w:firstLine="409"/>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承包人收到保修通知并到达工程现场的合理时间：</w:t>
      </w:r>
      <w:r>
        <w:rPr>
          <w:rFonts w:hint="eastAsia" w:ascii="宋体" w:hAnsi="宋体" w:eastAsia="宋体" w:cs="宋体"/>
          <w:color w:val="auto"/>
          <w:sz w:val="21"/>
          <w:szCs w:val="21"/>
          <w:highlight w:val="none"/>
          <w:u w:val="single"/>
          <w:lang w:eastAsia="zh-CN"/>
        </w:rPr>
        <w:t xml:space="preserve">承包人收到保</w:t>
      </w:r>
      <w:r>
        <w:rPr>
          <w:rFonts w:hint="eastAsia" w:ascii="宋体" w:hAnsi="宋体" w:eastAsia="宋体" w:cs="宋体"/>
          <w:color w:val="auto"/>
          <w:sz w:val="21"/>
          <w:szCs w:val="21"/>
          <w:highlight w:val="none"/>
          <w:u w:val="single"/>
          <w:lang w:eastAsia="zh-CN"/>
        </w:rPr>
        <w:t xml:space="preserve">修通知并到达工程现场的合理时间：1.属于保修范围和内容的项目，承包人应在接到修理通知之日后 7 天内派人修理。承包人不在约定期限内，派人修理，发包人可委托其他人员修理，保修费用从质量保证金内扣除。2.发生须急抢修事故(如上水跑水、暖气漏水漏气、燃气漏气等)，承包人接到事故通知后，应立即到达事故现场抢修。非承包人施工质量引起的事故，抢修费用由发包人承担。3.在国家规定的工程合理使用期限内，承包人确保地基基础工程和主体结构的质量。因承包人原因致使工程在合理使用期限内造成人身和财产损害的，承包人应承担损害赔偿责任</w:t>
      </w:r>
      <w:r>
        <w:rPr>
          <w:rFonts w:hint="eastAsia" w:ascii="宋体" w:hAnsi="宋体" w:eastAsia="宋体" w:cs="宋体"/>
          <w:color w:val="auto"/>
          <w:sz w:val="21"/>
          <w:szCs w:val="21"/>
          <w:highlight w:val="none"/>
          <w:lang w:eastAsia="zh-CN"/>
        </w:rPr>
        <w:t xml:space="preserve">。</w:t>
      </w:r>
      <w:bookmarkEnd w:id="999"/>
      <w:bookmarkEnd w:id="1000"/>
      <w:bookmarkEnd w:id="1001"/>
      <w:bookmarkEnd w:id="1002"/>
      <w:r/>
    </w:p>
    <w:p>
      <w:pPr>
        <w:ind w:firstLine="482"/>
        <w:jc w:val="both"/>
        <w:spacing w:line="360" w:lineRule="auto"/>
        <w:rPr>
          <w:rFonts w:hint="eastAsia" w:cs="宋体"/>
          <w:color w:val="auto"/>
          <w:sz w:val="21"/>
          <w:szCs w:val="21"/>
          <w:highlight w:val="none"/>
          <w:lang w:eastAsia="zh-CN"/>
        </w:rPr>
      </w:pPr>
      <w:r/>
      <w:bookmarkStart w:id="1029" w:name="_Toc351203648"/>
      <w:r/>
      <w:bookmarkStart w:id="1030" w:name="_Toc280868717"/>
      <w:r/>
      <w:bookmarkStart w:id="1031" w:name="_Toc280868718"/>
      <w:r>
        <w:rPr>
          <w:rFonts w:hint="eastAsia" w:cs="宋体"/>
          <w:color w:val="auto"/>
          <w:sz w:val="21"/>
          <w:szCs w:val="21"/>
          <w:highlight w:val="none"/>
          <w:lang w:eastAsia="zh-CN"/>
        </w:rPr>
        <w:t xml:space="preserve">16. 违约</w:t>
      </w:r>
      <w:bookmarkEnd w:id="1029"/>
      <w:r/>
      <w:r/>
    </w:p>
    <w:p>
      <w:pPr>
        <w:ind w:firstLine="482"/>
        <w:jc w:val="both"/>
        <w:spacing w:after="120" w:line="360" w:lineRule="auto"/>
        <w:rPr>
          <w:rFonts w:hint="eastAsia" w:ascii="宋体" w:hAnsi="宋体" w:eastAsia="宋体" w:cs="宋体"/>
          <w:b/>
          <w:color w:val="auto"/>
          <w:sz w:val="21"/>
          <w:szCs w:val="21"/>
          <w:highlight w:val="none"/>
          <w:lang w:eastAsia="zh-CN"/>
        </w:rPr>
      </w:pPr>
      <w:r/>
      <w:bookmarkStart w:id="1032" w:name="_Toc36797946"/>
      <w:r>
        <w:rPr>
          <w:rFonts w:hint="eastAsia" w:ascii="宋体" w:hAnsi="宋体" w:eastAsia="宋体" w:cs="宋体"/>
          <w:b/>
          <w:color w:val="auto"/>
          <w:sz w:val="21"/>
          <w:szCs w:val="21"/>
          <w:highlight w:val="none"/>
          <w:lang w:eastAsia="zh-CN"/>
        </w:rPr>
        <w:t xml:space="preserve">16.1 发包人违约</w:t>
      </w:r>
      <w:bookmarkEnd w:id="1032"/>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16.1.1发包人违约的情形</w:t>
      </w:r>
      <w:r/>
    </w:p>
    <w:p>
      <w:pPr>
        <w:ind w:left="1070" w:hanging="63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发包人违约的其他情形：</w:t>
      </w:r>
      <w:r>
        <w:rPr>
          <w:rFonts w:hint="eastAsia" w:ascii="宋体" w:hAnsi="宋体" w:eastAsia="宋体" w:cs="宋体"/>
          <w:color w:val="auto"/>
          <w:sz w:val="21"/>
          <w:szCs w:val="21"/>
          <w:highlight w:val="none"/>
          <w:u w:val="single"/>
          <w:lang w:eastAsia="zh-CN"/>
        </w:rPr>
        <w:t xml:space="preserve">按通用合同条款执行</w:t>
      </w:r>
      <w:r>
        <w:rPr>
          <w:rFonts w:hint="eastAsia" w:ascii="宋体" w:hAnsi="宋体" w:eastAsia="宋体" w:cs="宋体"/>
          <w:color w:val="auto"/>
          <w:sz w:val="21"/>
          <w:szCs w:val="21"/>
          <w:highlight w:val="none"/>
          <w:lang w:eastAsia="zh-CN"/>
        </w:rPr>
        <w:t xml:space="preserve">。</w:t>
      </w:r>
      <w:r/>
    </w:p>
    <w:p>
      <w:pPr>
        <w:ind w:left="1050" w:hanging="105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    16.1.2 发包人违约的责任</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发包人违约责任的承担方式和计算方法：</w:t>
      </w:r>
      <w:r/>
    </w:p>
    <w:p>
      <w:pPr>
        <w:ind w:firstLine="480"/>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lang w:eastAsia="zh-CN"/>
        </w:rPr>
        <w:t xml:space="preserve">（1）因发包人原因未能在计划开工日期前7天内下达开工通知的违约责任：</w:t>
      </w:r>
      <w:r>
        <w:rPr>
          <w:rFonts w:hint="eastAsia" w:ascii="宋体" w:hAnsi="宋体" w:eastAsia="宋体" w:cs="宋体"/>
          <w:color w:val="auto"/>
          <w:sz w:val="21"/>
          <w:szCs w:val="21"/>
          <w:highlight w:val="none"/>
          <w:u w:val="single"/>
          <w:lang w:eastAsia="zh-CN"/>
        </w:rPr>
        <w:t xml:space="preserve">相应工期顺延</w:t>
      </w:r>
      <w:r>
        <w:rPr>
          <w:rFonts w:hint="eastAsia" w:ascii="宋体" w:hAnsi="宋体" w:eastAsia="宋体" w:cs="宋体"/>
          <w:color w:val="auto"/>
          <w:sz w:val="21"/>
          <w:szCs w:val="21"/>
          <w:highlight w:val="none"/>
          <w:lang w:eastAsia="zh-CN"/>
        </w:rPr>
        <w:t xml:space="preserve">。</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（2）因发包人原因未能按合同约定支付合同价款的违约责任：</w:t>
      </w:r>
      <w:r>
        <w:rPr>
          <w:rFonts w:hint="eastAsia" w:ascii="宋体" w:hAnsi="宋体" w:eastAsia="宋体" w:cs="宋体"/>
          <w:color w:val="auto"/>
          <w:sz w:val="21"/>
          <w:szCs w:val="21"/>
          <w:highlight w:val="none"/>
          <w:u w:val="single"/>
          <w:lang w:eastAsia="zh-CN"/>
        </w:rPr>
        <w:t xml:space="preserve">按照全国银行间同业拆借中心公布的一年期贷款市场报价利率（LPR）支付违约金。</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（3）发包人违反第10.1款〔变更的范围〕第（2）项约定，自行实施被取消的工作或转由他人实施的违约责任：</w:t>
      </w:r>
      <w:r>
        <w:rPr>
          <w:rFonts w:hint="eastAsia" w:ascii="宋体" w:hAnsi="宋体" w:eastAsia="宋体" w:cs="宋体"/>
          <w:color w:val="auto"/>
          <w:sz w:val="21"/>
          <w:szCs w:val="21"/>
          <w:highlight w:val="none"/>
          <w:u w:val="single"/>
          <w:lang w:eastAsia="zh-CN"/>
        </w:rPr>
        <w:t xml:space="preserve">按通用合同条款执行</w:t>
      </w:r>
      <w:r>
        <w:rPr>
          <w:rFonts w:hint="eastAsia" w:ascii="宋体" w:hAnsi="宋体" w:eastAsia="宋体" w:cs="宋体"/>
          <w:color w:val="auto"/>
          <w:sz w:val="21"/>
          <w:szCs w:val="21"/>
          <w:highlight w:val="none"/>
          <w:lang w:eastAsia="zh-CN"/>
        </w:rPr>
        <w:t xml:space="preserve">。</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1"/>
          <w:szCs w:val="21"/>
          <w:highlight w:val="none"/>
          <w:u w:val="single"/>
          <w:lang w:eastAsia="zh-CN"/>
        </w:rPr>
        <w:t xml:space="preserve">如造成工期延误的，工期相应顺延并赔偿给承包人造成的直接经济损失</w:t>
      </w:r>
      <w:r>
        <w:rPr>
          <w:rFonts w:hint="eastAsia" w:ascii="宋体" w:hAnsi="宋体" w:eastAsia="宋体" w:cs="宋体"/>
          <w:color w:val="auto"/>
          <w:sz w:val="21"/>
          <w:szCs w:val="21"/>
          <w:highlight w:val="none"/>
          <w:lang w:eastAsia="zh-CN"/>
        </w:rPr>
        <w:t xml:space="preserve">。</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（5）因发包人违反合同约定造成暂停施工的违约责任：</w:t>
      </w:r>
      <w:r>
        <w:rPr>
          <w:rFonts w:hint="eastAsia" w:ascii="宋体" w:hAnsi="宋体" w:eastAsia="宋体" w:cs="宋体"/>
          <w:color w:val="auto"/>
          <w:sz w:val="21"/>
          <w:szCs w:val="21"/>
          <w:highlight w:val="none"/>
          <w:u w:val="single"/>
          <w:lang w:eastAsia="zh-CN"/>
        </w:rPr>
        <w:t xml:space="preserve">如造成工期延误的，工期相应顺延并赔偿给承包人造成的直接经济损失</w:t>
      </w:r>
      <w:r>
        <w:rPr>
          <w:rFonts w:hint="eastAsia" w:ascii="宋体" w:hAnsi="宋体" w:eastAsia="宋体" w:cs="宋体"/>
          <w:color w:val="auto"/>
          <w:sz w:val="21"/>
          <w:szCs w:val="21"/>
          <w:highlight w:val="none"/>
          <w:lang w:eastAsia="zh-CN"/>
        </w:rPr>
        <w:t xml:space="preserve">。</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（6）发包人无正当理由没有在约定期限内发出复工指示，导致承包人无法复工的违约责任：</w:t>
      </w:r>
      <w:r>
        <w:rPr>
          <w:rFonts w:hint="eastAsia" w:ascii="宋体" w:hAnsi="宋体" w:eastAsia="宋体" w:cs="宋体"/>
          <w:color w:val="auto"/>
          <w:sz w:val="21"/>
          <w:szCs w:val="21"/>
          <w:highlight w:val="none"/>
          <w:u w:val="single"/>
          <w:lang w:eastAsia="zh-CN"/>
        </w:rPr>
        <w:t xml:space="preserve">如造成工期延误的，工期相应顺延并赔偿给承包人造成的直接经济损失</w:t>
      </w:r>
      <w:r>
        <w:rPr>
          <w:rFonts w:hint="eastAsia" w:ascii="宋体" w:hAnsi="宋体" w:eastAsia="宋体" w:cs="宋体"/>
          <w:color w:val="auto"/>
          <w:sz w:val="21"/>
          <w:szCs w:val="21"/>
          <w:highlight w:val="none"/>
          <w:lang w:eastAsia="zh-CN"/>
        </w:rPr>
        <w:t xml:space="preserve">。</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（7）其他：</w:t>
      </w:r>
      <w:r>
        <w:rPr>
          <w:rFonts w:hint="eastAsia" w:ascii="宋体" w:hAnsi="宋体" w:eastAsia="宋体" w:cs="宋体"/>
          <w:color w:val="auto"/>
          <w:sz w:val="21"/>
          <w:szCs w:val="21"/>
          <w:highlight w:val="none"/>
          <w:u w:val="single"/>
          <w:lang w:eastAsia="zh-CN"/>
        </w:rPr>
        <w:t xml:space="preserve">无  </w:t>
      </w:r>
      <w:r>
        <w:rPr>
          <w:rFonts w:hint="eastAsia" w:ascii="宋体" w:hAnsi="宋体" w:eastAsia="宋体" w:cs="宋体"/>
          <w:color w:val="auto"/>
          <w:sz w:val="21"/>
          <w:szCs w:val="21"/>
          <w:highlight w:val="none"/>
          <w:lang w:eastAsia="zh-CN"/>
        </w:rPr>
        <w:t xml:space="preserve">。</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16.1.3 因发包人违约解除合同</w:t>
      </w:r>
      <w:r/>
    </w:p>
    <w:p>
      <w:pPr>
        <w:pStyle w:val="912"/>
        <w:spacing w:line="360" w:lineRule="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承包人按16.1.1项〔发包人违约的情形〕约定暂停施工满</w:t>
      </w:r>
      <w:r>
        <w:rPr>
          <w:rFonts w:hint="eastAsia" w:ascii="宋体" w:hAnsi="宋体" w:cs="宋体"/>
          <w:color w:val="auto"/>
          <w:sz w:val="21"/>
          <w:szCs w:val="21"/>
          <w:highlight w:val="none"/>
          <w:u w:val="single"/>
          <w:lang w:eastAsia="zh-CN"/>
        </w:rPr>
        <w:t xml:space="preserve">28 </w:t>
      </w:r>
      <w:r>
        <w:rPr>
          <w:rFonts w:hint="eastAsia" w:ascii="宋体" w:hAnsi="宋体" w:cs="宋体"/>
          <w:color w:val="auto"/>
          <w:sz w:val="21"/>
          <w:szCs w:val="21"/>
          <w:highlight w:val="none"/>
          <w:lang w:eastAsia="zh-CN"/>
        </w:rPr>
        <w:t xml:space="preserve">天后发包人仍不纠正其违约行为并致使合同目的不能实现的，承包人有权解除合同。</w:t>
      </w:r>
      <w:r/>
    </w:p>
    <w:p>
      <w:pPr>
        <w:ind w:firstLine="482"/>
        <w:jc w:val="both"/>
        <w:spacing w:after="120" w:line="360" w:lineRule="auto"/>
        <w:rPr>
          <w:rFonts w:hint="eastAsia" w:ascii="宋体" w:hAnsi="宋体" w:eastAsia="宋体" w:cs="宋体"/>
          <w:b/>
          <w:color w:val="auto"/>
          <w:sz w:val="21"/>
          <w:szCs w:val="21"/>
          <w:highlight w:val="none"/>
          <w:lang w:eastAsia="zh-CN"/>
        </w:rPr>
      </w:pPr>
      <w:r/>
      <w:bookmarkStart w:id="1033" w:name="_Toc36797947"/>
      <w:r>
        <w:rPr>
          <w:rFonts w:hint="eastAsia" w:ascii="宋体" w:hAnsi="宋体" w:eastAsia="宋体" w:cs="宋体"/>
          <w:b/>
          <w:color w:val="auto"/>
          <w:sz w:val="21"/>
          <w:szCs w:val="21"/>
          <w:highlight w:val="none"/>
          <w:lang w:eastAsia="zh-CN"/>
        </w:rPr>
        <w:t xml:space="preserve">16.2 承包人违约</w:t>
      </w:r>
      <w:bookmarkEnd w:id="1033"/>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16.2.1 承包人违约的情形</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除本合同其他条款的约定外，承包人违约的其他情形：</w:t>
      </w:r>
      <w:r>
        <w:rPr>
          <w:rFonts w:hint="eastAsia" w:ascii="宋体" w:hAnsi="宋体" w:eastAsia="宋体" w:cs="宋体"/>
          <w:color w:val="auto"/>
          <w:sz w:val="21"/>
          <w:szCs w:val="21"/>
          <w:highlight w:val="none"/>
          <w:u w:val="single"/>
          <w:lang w:eastAsia="zh-CN"/>
        </w:rPr>
        <w:t xml:space="preserve">承包人项目经理及其他主要管理人员未按投标文件承诺驻场，或未经发包人许可擅自更换项目经理及其他主要管理人员</w:t>
      </w:r>
      <w:r>
        <w:rPr>
          <w:rFonts w:hint="eastAsia" w:ascii="宋体" w:hAnsi="宋体" w:eastAsia="宋体" w:cs="宋体"/>
          <w:color w:val="auto"/>
          <w:sz w:val="21"/>
          <w:szCs w:val="21"/>
          <w:highlight w:val="none"/>
          <w:lang w:eastAsia="zh-CN"/>
        </w:rPr>
        <w:t xml:space="preserve">。</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16.2.2承包人违约的责任</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承包人违约责任的承担方式和计算方法：</w:t>
      </w:r>
      <w:r/>
    </w:p>
    <w:p>
      <w:pPr>
        <w:ind w:firstLine="480"/>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（1）承包人提交竣工结算申请单的期限延误，按照2000元/天向发包人支付违约金。</w:t>
      </w:r>
      <w:r/>
    </w:p>
    <w:p>
      <w:pPr>
        <w:ind w:firstLine="480"/>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（2）因承包人自身原因造成工期延误，按专用合同条款第7.5.2条执行。</w:t>
      </w:r>
      <w:r/>
    </w:p>
    <w:p>
      <w:pPr>
        <w:ind w:firstLine="480"/>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（3）承包人承担因其自身违约行为而增加的费用和（或）延误工期而增加的费用。</w:t>
      </w:r>
      <w:r/>
    </w:p>
    <w:p>
      <w:pPr>
        <w:ind w:right="634" w:firstLine="400"/>
        <w:jc w:val="both"/>
        <w:spacing w:before="184" w:line="289" w:lineRule="auto"/>
        <w:tabs>
          <w:tab w:val="left" w:pos="607" w:leader="none"/>
        </w:tabs>
        <w:rPr>
          <w:rFonts w:ascii="宋体" w:hAnsi="宋体" w:eastAsia="宋体" w:cs="宋体"/>
          <w:color w:val="auto"/>
          <w:spacing w:val="-5"/>
          <w:sz w:val="21"/>
          <w:szCs w:val="21"/>
          <w:highlight w:val="none"/>
          <w:u w:val="single"/>
          <w:lang w:eastAsia="zh-CN"/>
        </w:rPr>
      </w:pPr>
      <w:r>
        <w:rPr>
          <w:rFonts w:hint="eastAsia" w:ascii="宋体" w:hAnsi="宋体" w:eastAsia="宋体" w:cs="宋体"/>
          <w:color w:val="auto"/>
          <w:spacing w:val="-5"/>
          <w:sz w:val="21"/>
          <w:szCs w:val="21"/>
          <w:highlight w:val="none"/>
          <w:u w:val="single"/>
          <w:lang w:eastAsia="zh-CN"/>
        </w:rPr>
        <w:t xml:space="preserve">（4）因承包人违约，发包人为追究承包人的违约责任或实现债权而产生的费用（包括但不限于调查费用、公证费用、检测费用、差旅费、诉讼费用、执行费用、财产保全费、保全担保费、律师代理费等）均由承包人承担。</w:t>
      </w:r>
      <w:r/>
    </w:p>
    <w:p>
      <w:pPr>
        <w:pStyle w:val="832"/>
        <w:ind w:firstLine="420"/>
        <w:spacing w:line="360" w:lineRule="auto"/>
        <w:rPr>
          <w:rFonts w:hint="eastAsia" w:hAnsi="宋体"/>
          <w:color w:val="auto"/>
          <w:sz w:val="21"/>
          <w:szCs w:val="21"/>
          <w:highlight w:val="none"/>
        </w:rPr>
      </w:pPr>
      <w:r>
        <w:rPr>
          <w:rFonts w:hint="eastAsia" w:hAnsi="宋体"/>
          <w:color w:val="auto"/>
          <w:sz w:val="21"/>
          <w:szCs w:val="21"/>
          <w:highlight w:val="none"/>
          <w:u w:val="single"/>
        </w:rPr>
        <w:t xml:space="preserve">（5）本合同其他条款对承包人违约责任另有约定的，从其约定。</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16.2.3 因承包人违约解除合同</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除本合同其他条款的约定外，关于承包人违约解除合同的特别约定：</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1、如有下列情况之一发生，发包人有权书面通知解除合同，通知自送达承包人或其在现场的项目经理七日后生效：</w:t>
      </w:r>
      <w:r/>
    </w:p>
    <w:p>
      <w:pPr>
        <w:ind w:firstLine="480"/>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①承包人在施工过程中擅自停工、窝工行为，经发包人书面催告后5日内仍不正常施工的，或其他因承包人之原因致使合同约定的工期根本无法达到要求的；</w:t>
      </w:r>
      <w:r/>
    </w:p>
    <w:p>
      <w:pPr>
        <w:ind w:firstLine="480"/>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②承包人施工质量无法达到合格要求,经监理工程师要求整改却无正当理由拒绝整改的或者整改后仍不合格的；</w:t>
      </w:r>
      <w:r/>
    </w:p>
    <w:p>
      <w:pPr>
        <w:ind w:firstLine="480"/>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③承包人擅自更换本工程项目经理的，经发包人提出异议后七日内不予纠正的。</w:t>
      </w:r>
      <w:r/>
    </w:p>
    <w:p>
      <w:pPr>
        <w:ind w:firstLine="480"/>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④若承包人没有在规定时间之内执行发包人指令，而在收到发包人催促执行的书面通知后7日之内，承包人仍未执行。发包人有权解除合同，造成发包人直接损失或间接损失的，作为债务向承包人追讨。</w:t>
      </w:r>
      <w:r/>
    </w:p>
    <w:p>
      <w:pPr>
        <w:ind w:firstLine="480"/>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⑤因承包人原因工程出现死亡事故，承包人承担违约金50万元，自行单方向死者家属承担一切经济赔偿费用，并不得延长工期。如发现人员死亡、火灾等工程建设重大事故，发包人有权解除合同。</w:t>
      </w:r>
      <w:r/>
    </w:p>
    <w:p>
      <w:pPr>
        <w:ind w:firstLine="480"/>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⑥承包人不得以任何理由（非发包人原因）擅自停工，对发包人的复工通知应积极响应，连续收到三次复工通知书拒不复工的，发包人将与其解除合同关系，并拒付工程款，没收履约保证金，并追究承包人相应经济和法律责任。</w:t>
      </w:r>
      <w:r/>
    </w:p>
    <w:p>
      <w:pPr>
        <w:ind w:firstLine="480"/>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⑦承包人因主要机械和主要材料延迟进场超过20日，经发包人催告后7日内仍未进场的；或者承包方未按投标计划投入施工机械及人工，经发包人催告后15日内仍未解决的；或者非发包人原因，承包人累计延误工期达60天的。</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2、合同解除后的处理</w:t>
      </w:r>
      <w:r/>
    </w:p>
    <w:p>
      <w:pPr>
        <w:ind w:firstLine="480"/>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发包人提出解除之日起24小时内，承包人需一次性向发包人同时提供材料采购合同，如超过24小时，发包人仍未提供材料采购合同等未来将据此索赔的合同，发包人将不再确认该合同的有效性。</w:t>
      </w:r>
      <w:r/>
    </w:p>
    <w:p>
      <w:pPr>
        <w:ind w:firstLine="480"/>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承包人违反本专用合同条款第16.2条约定，发包人依约解除合同的，承包人因此给发包人造成损失的（包括但不限于发包人重新招标或者直接发包给第三人发生的费用、发包人自己或者第三人完成本合同内容需要支付的材料款、工程款、需要额外增加的赶工费、需要额外增加的材料采购费等费用），发包人有权自承包人应付未付款中予以直接扣减，不足部份，承包人应予以全额赔偿。</w:t>
      </w:r>
      <w:r/>
    </w:p>
    <w:p>
      <w:pPr>
        <w:ind w:firstLine="480"/>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合同解除后，承包人应于接到发包人通知后15日内做好现场安全、工程保护并退出工地现场。如逾期仍未撤离完毕，应赔偿发包人每日1万元的赔偿金。同时，发包人有权采取强制手段清理现场。为此发生的费用从未付工程款中扣除。</w:t>
      </w:r>
      <w:r/>
    </w:p>
    <w:p>
      <w:pPr>
        <w:ind w:firstLine="480"/>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因承包人违约解除合同的，承包人已完工程量按造价的60%结算工程款。合同的解除并不解除承包人对已完工工程的质量责任和保修责任以及合同履行过程中的违约责任。</w:t>
      </w:r>
      <w:r/>
    </w:p>
    <w:p>
      <w:pPr>
        <w:ind w:firstLine="480"/>
        <w:jc w:val="both"/>
        <w:spacing w:before="120" w:after="120" w:line="360" w:lineRule="auto"/>
        <w:rPr>
          <w:rFonts w:hint="eastAsia" w:ascii="宋体" w:hAnsi="宋体" w:eastAsia="宋体" w:cs="宋体"/>
          <w:color w:val="auto"/>
          <w:sz w:val="21"/>
          <w:szCs w:val="21"/>
          <w:highlight w:val="none"/>
          <w:lang w:eastAsia="zh-CN"/>
        </w:rPr>
      </w:pPr>
      <w:r/>
      <w:bookmarkStart w:id="1034" w:name="_Toc351203649"/>
      <w:r>
        <w:rPr>
          <w:rFonts w:hint="eastAsia" w:ascii="宋体" w:hAnsi="宋体" w:eastAsia="宋体" w:cs="宋体"/>
          <w:color w:val="auto"/>
          <w:sz w:val="21"/>
          <w:szCs w:val="21"/>
          <w:highlight w:val="none"/>
          <w:lang w:eastAsia="zh-CN"/>
        </w:rPr>
        <w:t xml:space="preserve">发包人继续使用承包人在施工现场的材料、设备、临时工程、承包人文件和由承包人或以其名义编制的其他文件的费用承担方式：由</w:t>
      </w:r>
      <w:r>
        <w:rPr>
          <w:rFonts w:hint="eastAsia" w:ascii="宋体" w:hAnsi="宋体" w:eastAsia="宋体" w:cs="宋体"/>
          <w:color w:val="auto"/>
          <w:sz w:val="21"/>
          <w:szCs w:val="21"/>
          <w:highlight w:val="none"/>
          <w:u w:val="single"/>
          <w:lang w:eastAsia="zh-CN"/>
        </w:rPr>
        <w:t xml:space="preserve">双方协商处理</w:t>
      </w:r>
      <w:r>
        <w:rPr>
          <w:rFonts w:hint="eastAsia" w:ascii="宋体" w:hAnsi="宋体" w:eastAsia="宋体" w:cs="宋体"/>
          <w:color w:val="auto"/>
          <w:sz w:val="21"/>
          <w:szCs w:val="21"/>
          <w:highlight w:val="none"/>
          <w:lang w:eastAsia="zh-CN"/>
        </w:rPr>
        <w:t xml:space="preserve">。</w:t>
      </w:r>
      <w:r/>
    </w:p>
    <w:p>
      <w:pPr>
        <w:ind w:firstLine="482"/>
        <w:jc w:val="both"/>
        <w:spacing w:line="360" w:lineRule="auto"/>
        <w:rPr>
          <w:rFonts w:hint="eastAsia" w:cs="宋体"/>
          <w:color w:val="auto"/>
          <w:sz w:val="21"/>
          <w:szCs w:val="21"/>
          <w:highlight w:val="none"/>
          <w:lang w:eastAsia="zh-CN"/>
        </w:rPr>
      </w:pPr>
      <w:r>
        <w:rPr>
          <w:rFonts w:hint="eastAsia" w:cs="宋体"/>
          <w:color w:val="auto"/>
          <w:sz w:val="21"/>
          <w:szCs w:val="21"/>
          <w:highlight w:val="none"/>
          <w:lang w:eastAsia="zh-CN"/>
        </w:rPr>
        <w:t xml:space="preserve">17. 不可抗力</w:t>
      </w:r>
      <w:bookmarkEnd w:id="1030"/>
      <w:r/>
      <w:bookmarkEnd w:id="1034"/>
      <w:r/>
      <w:r/>
    </w:p>
    <w:p>
      <w:pPr>
        <w:ind w:firstLine="482"/>
        <w:jc w:val="both"/>
        <w:spacing w:after="120" w:line="360" w:lineRule="auto"/>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17.1 不可抗力的确认</w:t>
      </w:r>
      <w:r/>
    </w:p>
    <w:p>
      <w:pPr>
        <w:ind w:firstLine="480"/>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lang w:eastAsia="zh-CN"/>
        </w:rPr>
        <w:t xml:space="preserve">除通用合同条款约定的不可抗力事件之外，视为不可抗力的其他情形：</w:t>
      </w:r>
      <w:r>
        <w:rPr>
          <w:rFonts w:hint="eastAsia" w:ascii="宋体" w:hAnsi="宋体" w:eastAsia="宋体" w:cs="宋体"/>
          <w:color w:val="auto"/>
          <w:sz w:val="21"/>
          <w:szCs w:val="21"/>
          <w:highlight w:val="none"/>
          <w:u w:val="single"/>
          <w:lang w:eastAsia="zh-CN"/>
        </w:rPr>
        <w:t xml:space="preserve">①不可抗力包括因战争、动乱、空中飞行物体坠落或其他非发包人承包人责任造成的爆炸、火灾，以及以下方面的自然灾害：</w:t>
      </w:r>
      <w:r/>
    </w:p>
    <w:p>
      <w:pPr>
        <w:ind w:firstLine="480"/>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1.1 烈度为6级以上的地震；</w:t>
      </w:r>
      <w:r/>
    </w:p>
    <w:p>
      <w:pPr>
        <w:ind w:firstLine="480"/>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1.2 6级以上持续24小时的大风；</w:t>
      </w:r>
      <w:r/>
    </w:p>
    <w:p>
      <w:pPr>
        <w:ind w:firstLine="480"/>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1.3 持续降雨24小时且降雨量200mm以上；下雪为30mm以上；</w:t>
      </w:r>
      <w:r/>
    </w:p>
    <w:p>
      <w:pPr>
        <w:ind w:firstLine="480"/>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1.4 （40℃）及以上持续24小时的高温；</w:t>
      </w:r>
      <w:r/>
    </w:p>
    <w:p>
      <w:pPr>
        <w:ind w:firstLine="480"/>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②不可抗力事件发生后，承包人应立即通知监理，在力所能及的条件下迅速采取措施，尽力减少损失，发包人应协助承包人采取措施。不可抗力事件结束后48小时内承包人向监理通报受害情况和损失情况，及预计清理和修复的费用。不可抗事件持续发生，承包人应每隔7天向监理报告一次受害情况。不可抗力事件结束后14天内，承包人向监理提交清理和修复费用的正式报告及有关资料。 </w:t>
      </w:r>
      <w:r/>
    </w:p>
    <w:p>
      <w:pPr>
        <w:ind w:firstLine="480"/>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③因不可抗力事件导致的费用由双方按以下方法分别承担： </w:t>
      </w:r>
      <w:r/>
    </w:p>
    <w:p>
      <w:pPr>
        <w:ind w:firstLine="480"/>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3.1 工程本身（承包人施工质量未达标准除外）的损害、因工程损害导致第三人人员伤亡和财产损失以及运至施工场地用于施工的材料和待安装的设备的损害、清理、修复费用，由发包人承担； </w:t>
      </w:r>
      <w:r/>
    </w:p>
    <w:p>
      <w:pPr>
        <w:ind w:firstLine="480"/>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3.2 发包人、承包人人员伤亡由其所在单位负责，并承担相应费用； </w:t>
      </w:r>
      <w:r/>
    </w:p>
    <w:p>
      <w:pPr>
        <w:ind w:firstLine="480"/>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3.3 承包人机械设备损坏及停工损失，由承包人承担； </w:t>
      </w:r>
      <w:r/>
    </w:p>
    <w:p>
      <w:pPr>
        <w:ind w:firstLine="480"/>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3.4 停工期间，承包人应监理要求留在施工场地的必要的管理人员及保卫人员的费用由发包人承担； </w:t>
      </w:r>
      <w:r/>
    </w:p>
    <w:p>
      <w:pPr>
        <w:ind w:firstLine="480"/>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3.5 因合同一方迟延履行合同后发生不可抗力的，不能免除迟延履行方的相应责任。</w:t>
      </w:r>
      <w:r/>
    </w:p>
    <w:p>
      <w:pPr>
        <w:ind w:firstLine="482"/>
        <w:jc w:val="both"/>
        <w:spacing w:after="120" w:line="360" w:lineRule="auto"/>
        <w:rPr>
          <w:rFonts w:hint="eastAsia" w:ascii="宋体" w:hAnsi="宋体" w:eastAsia="宋体" w:cs="宋体"/>
          <w:b/>
          <w:color w:val="auto"/>
          <w:sz w:val="21"/>
          <w:szCs w:val="21"/>
          <w:highlight w:val="none"/>
          <w:lang w:eastAsia="zh-CN"/>
        </w:rPr>
      </w:pPr>
      <w:r/>
      <w:bookmarkStart w:id="1035" w:name="_Toc36797948"/>
      <w:r>
        <w:rPr>
          <w:rFonts w:hint="eastAsia" w:ascii="宋体" w:hAnsi="宋体" w:eastAsia="宋体" w:cs="宋体"/>
          <w:b/>
          <w:color w:val="auto"/>
          <w:sz w:val="21"/>
          <w:szCs w:val="21"/>
          <w:highlight w:val="none"/>
          <w:lang w:eastAsia="zh-CN"/>
        </w:rPr>
        <w:t xml:space="preserve">17.2 因不可抗力解除合同</w:t>
      </w:r>
      <w:bookmarkEnd w:id="1035"/>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合同解除后，发包人应在商定或确定发包人应支付款项后</w:t>
      </w:r>
      <w:r>
        <w:rPr>
          <w:rFonts w:hint="eastAsia" w:ascii="宋体" w:hAnsi="宋体" w:eastAsia="宋体" w:cs="宋体"/>
          <w:color w:val="auto"/>
          <w:sz w:val="21"/>
          <w:szCs w:val="21"/>
          <w:highlight w:val="none"/>
          <w:u w:val="single"/>
          <w:lang w:eastAsia="zh-CN"/>
        </w:rPr>
        <w:t xml:space="preserve">28</w:t>
      </w:r>
      <w:r>
        <w:rPr>
          <w:rFonts w:hint="eastAsia" w:ascii="宋体" w:hAnsi="宋体" w:eastAsia="宋体" w:cs="宋体"/>
          <w:color w:val="auto"/>
          <w:sz w:val="21"/>
          <w:szCs w:val="21"/>
          <w:highlight w:val="none"/>
          <w:lang w:eastAsia="zh-CN"/>
        </w:rPr>
        <w:t xml:space="preserve">天内完成款项的支付。</w:t>
      </w:r>
      <w:r/>
    </w:p>
    <w:p>
      <w:pPr>
        <w:ind w:firstLine="482"/>
        <w:jc w:val="both"/>
        <w:spacing w:line="360" w:lineRule="auto"/>
        <w:rPr>
          <w:rFonts w:hint="eastAsia" w:cs="宋体"/>
          <w:color w:val="auto"/>
          <w:sz w:val="21"/>
          <w:szCs w:val="21"/>
          <w:highlight w:val="none"/>
          <w:lang w:eastAsia="zh-CN"/>
        </w:rPr>
      </w:pPr>
      <w:r/>
      <w:bookmarkStart w:id="1036" w:name="_Toc351203650"/>
      <w:r>
        <w:rPr>
          <w:rFonts w:hint="eastAsia" w:cs="宋体"/>
          <w:color w:val="auto"/>
          <w:sz w:val="21"/>
          <w:szCs w:val="21"/>
          <w:highlight w:val="none"/>
          <w:lang w:eastAsia="zh-CN"/>
        </w:rPr>
        <w:t xml:space="preserve">18. 保险</w:t>
      </w:r>
      <w:bookmarkEnd w:id="1036"/>
      <w:r/>
      <w:bookmarkEnd w:id="1031"/>
      <w:r/>
    </w:p>
    <w:p>
      <w:pPr>
        <w:ind w:firstLine="482"/>
        <w:jc w:val="both"/>
        <w:spacing w:after="120" w:line="360" w:lineRule="auto"/>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18.1 工程保险</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关于工程保险的特别约定：</w:t>
      </w:r>
      <w:r>
        <w:rPr>
          <w:rFonts w:hint="eastAsia" w:ascii="宋体" w:hAnsi="宋体" w:eastAsia="宋体" w:cs="宋体"/>
          <w:color w:val="auto"/>
          <w:sz w:val="21"/>
          <w:szCs w:val="21"/>
          <w:highlight w:val="none"/>
          <w:u w:val="single"/>
          <w:lang w:eastAsia="zh-CN"/>
        </w:rPr>
        <w:t xml:space="preserve">由承包人办理工程一切险和第三者责任险并支付相应保费，相关费用已包含在签约合同价中，由承包人承担</w:t>
      </w:r>
      <w:r>
        <w:rPr>
          <w:rFonts w:hint="eastAsia" w:ascii="宋体" w:hAnsi="宋体" w:eastAsia="宋体" w:cs="宋体"/>
          <w:color w:val="auto"/>
          <w:sz w:val="21"/>
          <w:szCs w:val="21"/>
          <w:highlight w:val="none"/>
          <w:lang w:eastAsia="zh-CN"/>
        </w:rPr>
        <w:t xml:space="preserve">。</w:t>
      </w:r>
      <w:r/>
    </w:p>
    <w:p>
      <w:pPr>
        <w:ind w:firstLine="482"/>
        <w:jc w:val="both"/>
        <w:spacing w:after="120" w:line="360" w:lineRule="auto"/>
        <w:rPr>
          <w:rFonts w:hint="eastAsia" w:ascii="宋体" w:hAnsi="宋体" w:eastAsia="宋体" w:cs="宋体"/>
          <w:b/>
          <w:color w:val="auto"/>
          <w:sz w:val="21"/>
          <w:szCs w:val="21"/>
          <w:highlight w:val="none"/>
          <w:lang w:eastAsia="zh-CN"/>
        </w:rPr>
      </w:pPr>
      <w:r/>
      <w:bookmarkStart w:id="1037" w:name="_Toc36797949"/>
      <w:r>
        <w:rPr>
          <w:rFonts w:hint="eastAsia" w:ascii="宋体" w:hAnsi="宋体" w:eastAsia="宋体" w:cs="宋体"/>
          <w:b/>
          <w:color w:val="auto"/>
          <w:sz w:val="21"/>
          <w:szCs w:val="21"/>
          <w:highlight w:val="none"/>
          <w:lang w:eastAsia="zh-CN"/>
        </w:rPr>
        <w:t xml:space="preserve">18.2 其他保险</w:t>
      </w:r>
      <w:bookmarkEnd w:id="1037"/>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关于其他保险的约定：</w:t>
      </w:r>
      <w:r/>
    </w:p>
    <w:p>
      <w:pPr>
        <w:ind w:firstLine="480"/>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（1）承包人须依法对其应投保的人身、财产（包括但不限于对本工程施工作业人员的生命财产和施工机械设备）办理保险，并支付保险费用。</w:t>
      </w:r>
      <w:r/>
    </w:p>
    <w:p>
      <w:pPr>
        <w:ind w:firstLine="480"/>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（2）承包人须对进入施工现场人员的意外或伤亡负全部责任</w:t>
      </w:r>
      <w:r>
        <w:rPr>
          <w:rFonts w:hint="eastAsia" w:ascii="宋体" w:hAnsi="宋体" w:eastAsia="宋体" w:cs="宋体"/>
          <w:color w:val="auto"/>
          <w:spacing w:val="-4"/>
          <w:sz w:val="21"/>
          <w:szCs w:val="21"/>
          <w:highlight w:val="none"/>
          <w:u w:val="single"/>
          <w:lang w:eastAsia="zh-CN"/>
        </w:rPr>
        <w:t xml:space="preserve">，承包人应当为其现场施工人员缴纳社会保险并投保人身意外伤害险和/或雇主责任险等商业保险</w:t>
      </w:r>
      <w:r>
        <w:rPr>
          <w:rFonts w:hint="eastAsia" w:ascii="宋体" w:hAnsi="宋体" w:eastAsia="宋体" w:cs="宋体"/>
          <w:color w:val="auto"/>
          <w:sz w:val="21"/>
          <w:szCs w:val="21"/>
          <w:highlight w:val="none"/>
          <w:u w:val="single"/>
          <w:lang w:eastAsia="zh-CN"/>
        </w:rPr>
        <w:t xml:space="preserve">。发包人对包括但不限于任何雇员的意外或伤亡，不论该人是受雇于承包人或其分包人，皆不负任何法律上的赔偿责任，承包人须保障发包人免负任何有关的索偿、要求、诉讼、成本、费用和支出。</w:t>
      </w:r>
      <w:r/>
    </w:p>
    <w:p>
      <w:pPr>
        <w:ind w:firstLine="480"/>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3）承包人须对与本工程有关或本工程进行期间发生或本工程引致的人身伤亡及财产损坏承担费用、损失、索偿或诉讼以及行政处罚等法律责任，并须保障发包人免予承担该等责任，除非有关伤亡是发包人所引致的。</w:t>
      </w:r>
      <w:r/>
    </w:p>
    <w:p>
      <w:pPr>
        <w:pStyle w:val="896"/>
        <w:ind w:firstLine="480"/>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u w:val="single"/>
          <w:lang w:eastAsia="zh-CN"/>
        </w:rPr>
        <w:t xml:space="preserve">以上保险费用已经包含在签约合同价中，由承包人支付和承担。</w:t>
      </w:r>
      <w:r/>
    </w:p>
    <w:p>
      <w:pPr>
        <w:ind w:firstLine="480"/>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lang w:eastAsia="zh-CN"/>
        </w:rPr>
        <w:t xml:space="preserve">承包人是否应为其施工设备等办理财产保险：</w:t>
      </w:r>
      <w:r>
        <w:rPr>
          <w:rFonts w:hint="eastAsia" w:ascii="宋体" w:hAnsi="宋体" w:eastAsia="宋体" w:cs="宋体"/>
          <w:color w:val="auto"/>
          <w:sz w:val="21"/>
          <w:szCs w:val="21"/>
          <w:highlight w:val="none"/>
          <w:u w:val="single"/>
          <w:lang w:eastAsia="zh-CN"/>
        </w:rPr>
        <w:t xml:space="preserve">应该，费用由承包人承担。</w:t>
      </w:r>
      <w:r/>
    </w:p>
    <w:p>
      <w:pPr>
        <w:ind w:firstLine="480"/>
        <w:jc w:val="both"/>
        <w:spacing w:line="360" w:lineRule="auto"/>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18.3 通知义务</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关于变更保险合同时的通知义务的约定：</w:t>
      </w:r>
      <w:r>
        <w:rPr>
          <w:rFonts w:hint="eastAsia" w:ascii="宋体" w:hAnsi="宋体" w:eastAsia="宋体" w:cs="宋体"/>
          <w:color w:val="auto"/>
          <w:sz w:val="21"/>
          <w:szCs w:val="21"/>
          <w:highlight w:val="none"/>
          <w:u w:val="single"/>
          <w:lang w:eastAsia="zh-CN"/>
        </w:rPr>
        <w:t xml:space="preserve">按照通用合同条款执行</w:t>
      </w:r>
      <w:r>
        <w:rPr>
          <w:rFonts w:hint="eastAsia" w:ascii="宋体" w:hAnsi="宋体" w:eastAsia="宋体" w:cs="宋体"/>
          <w:color w:val="auto"/>
          <w:sz w:val="21"/>
          <w:szCs w:val="21"/>
          <w:highlight w:val="none"/>
          <w:lang w:eastAsia="zh-CN"/>
        </w:rPr>
        <w:t xml:space="preserve">。</w:t>
      </w:r>
      <w:bookmarkEnd w:id="1003"/>
      <w:bookmarkEnd w:id="1004"/>
      <w:bookmarkEnd w:id="1005"/>
      <w:bookmarkEnd w:id="1006"/>
      <w:bookmarkEnd w:id="1007"/>
      <w:bookmarkEnd w:id="1008"/>
      <w:bookmarkEnd w:id="1009"/>
      <w:bookmarkEnd w:id="1010"/>
      <w:bookmarkEnd w:id="1011"/>
      <w:bookmarkEnd w:id="1012"/>
      <w:bookmarkEnd w:id="1013"/>
      <w:bookmarkEnd w:id="1014"/>
      <w:r/>
    </w:p>
    <w:p>
      <w:pPr>
        <w:ind w:firstLine="482"/>
        <w:jc w:val="both"/>
        <w:spacing w:line="360" w:lineRule="auto"/>
        <w:rPr>
          <w:rFonts w:hint="eastAsia" w:cs="宋体"/>
          <w:color w:val="auto"/>
          <w:sz w:val="21"/>
          <w:szCs w:val="21"/>
          <w:highlight w:val="none"/>
          <w:lang w:eastAsia="zh-CN"/>
        </w:rPr>
      </w:pPr>
      <w:r/>
      <w:bookmarkStart w:id="1038" w:name="_Toc351203651"/>
      <w:r>
        <w:rPr>
          <w:rFonts w:hint="eastAsia" w:cs="宋体"/>
          <w:color w:val="auto"/>
          <w:sz w:val="21"/>
          <w:szCs w:val="21"/>
          <w:highlight w:val="none"/>
          <w:lang w:eastAsia="zh-CN"/>
        </w:rPr>
        <w:t xml:space="preserve">19. 争议解决</w:t>
      </w:r>
      <w:bookmarkEnd w:id="1038"/>
      <w:r/>
      <w:bookmarkEnd w:id="1015"/>
      <w:bookmarkEnd w:id="1016"/>
      <w:r/>
    </w:p>
    <w:p>
      <w:pPr>
        <w:ind w:firstLine="482"/>
        <w:jc w:val="both"/>
        <w:spacing w:after="120" w:line="360" w:lineRule="auto"/>
        <w:rPr>
          <w:rFonts w:hint="eastAsia" w:ascii="宋体" w:hAnsi="宋体" w:eastAsia="宋体" w:cs="宋体"/>
          <w:b/>
          <w:color w:val="auto"/>
          <w:sz w:val="21"/>
          <w:szCs w:val="21"/>
          <w:highlight w:val="none"/>
          <w:lang w:eastAsia="zh-CN"/>
        </w:rPr>
      </w:pPr>
      <w:r/>
      <w:bookmarkStart w:id="1039" w:name="_Toc36797950"/>
      <w:r>
        <w:rPr>
          <w:rFonts w:hint="eastAsia" w:ascii="宋体" w:hAnsi="宋体" w:eastAsia="宋体" w:cs="宋体"/>
          <w:b/>
          <w:color w:val="auto"/>
          <w:sz w:val="21"/>
          <w:szCs w:val="21"/>
          <w:highlight w:val="none"/>
          <w:lang w:eastAsia="zh-CN"/>
        </w:rPr>
        <w:t xml:space="preserve">19.1 争</w:t>
      </w:r>
      <w:bookmarkEnd w:id="1017"/>
      <w:r>
        <w:rPr>
          <w:rFonts w:hint="eastAsia" w:ascii="宋体" w:hAnsi="宋体" w:eastAsia="宋体" w:cs="宋体"/>
          <w:b/>
          <w:color w:val="auto"/>
          <w:sz w:val="21"/>
          <w:szCs w:val="21"/>
          <w:highlight w:val="none"/>
          <w:lang w:eastAsia="zh-CN"/>
        </w:rPr>
        <w:t xml:space="preserve">议评审</w:t>
      </w:r>
      <w:bookmarkEnd w:id="1039"/>
      <w:r/>
      <w:r/>
    </w:p>
    <w:p>
      <w:pPr>
        <w:ind w:left="156" w:firstLine="315"/>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合同当事人是否同意将工程争议提交争议评审小组决定：</w:t>
      </w:r>
      <w:r>
        <w:rPr>
          <w:rFonts w:hint="eastAsia" w:ascii="宋体" w:hAnsi="宋体" w:eastAsia="宋体" w:cs="宋体"/>
          <w:color w:val="auto"/>
          <w:sz w:val="21"/>
          <w:szCs w:val="21"/>
          <w:highlight w:val="none"/>
          <w:u w:val="single"/>
          <w:lang w:eastAsia="zh-CN"/>
        </w:rPr>
        <w:t xml:space="preserve"> 否 。 </w:t>
      </w:r>
      <w:r/>
    </w:p>
    <w:p>
      <w:pPr>
        <w:ind w:firstLine="482"/>
        <w:jc w:val="both"/>
        <w:spacing w:after="120" w:line="360" w:lineRule="auto"/>
        <w:rPr>
          <w:rFonts w:hint="eastAsia" w:ascii="宋体" w:hAnsi="宋体" w:eastAsia="宋体" w:cs="宋体"/>
          <w:b/>
          <w:color w:val="auto"/>
          <w:sz w:val="21"/>
          <w:szCs w:val="21"/>
          <w:highlight w:val="none"/>
          <w:lang w:eastAsia="zh-CN"/>
        </w:rPr>
      </w:pPr>
      <w:r/>
      <w:bookmarkStart w:id="1040" w:name="_Toc36797951"/>
      <w:r>
        <w:rPr>
          <w:rFonts w:hint="eastAsia" w:ascii="宋体" w:hAnsi="宋体" w:eastAsia="宋体" w:cs="宋体"/>
          <w:b/>
          <w:color w:val="auto"/>
          <w:sz w:val="21"/>
          <w:szCs w:val="21"/>
          <w:highlight w:val="none"/>
          <w:lang w:eastAsia="zh-CN"/>
        </w:rPr>
        <w:t xml:space="preserve">19.2仲裁或诉讼</w:t>
      </w:r>
      <w:bookmarkEnd w:id="1018"/>
      <w:r/>
      <w:bookmarkEnd w:id="1040"/>
      <w:r/>
      <w:r/>
    </w:p>
    <w:p>
      <w:pPr>
        <w:ind w:firstLine="480"/>
        <w:jc w:val="both"/>
        <w:spacing w:after="12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因合同及合同有关事项发生的争议，按下列第</w:t>
      </w:r>
      <w:r>
        <w:rPr>
          <w:rFonts w:hint="eastAsia" w:ascii="宋体" w:hAnsi="宋体" w:eastAsia="宋体" w:cs="宋体"/>
          <w:color w:val="auto"/>
          <w:sz w:val="21"/>
          <w:szCs w:val="21"/>
          <w:highlight w:val="none"/>
          <w:u w:val="single"/>
          <w:lang w:eastAsia="zh-CN"/>
        </w:rPr>
        <w:t xml:space="preserve">（2）</w:t>
      </w:r>
      <w:r>
        <w:rPr>
          <w:rFonts w:hint="eastAsia" w:ascii="宋体" w:hAnsi="宋体" w:eastAsia="宋体" w:cs="宋体"/>
          <w:color w:val="auto"/>
          <w:sz w:val="21"/>
          <w:szCs w:val="21"/>
          <w:highlight w:val="none"/>
          <w:lang w:eastAsia="zh-CN"/>
        </w:rPr>
        <w:t xml:space="preserve">种方式解决：</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（1）向仲裁委员会申请仲裁；</w:t>
      </w:r>
      <w:r/>
    </w:p>
    <w:p>
      <w:pPr>
        <w:ind w:firstLine="48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（2）向</w:t>
      </w:r>
      <w:r>
        <w:rPr>
          <w:rFonts w:hint="eastAsia" w:ascii="宋体" w:hAnsi="宋体" w:eastAsia="宋体" w:cs="宋体"/>
          <w:color w:val="auto"/>
          <w:sz w:val="21"/>
          <w:szCs w:val="21"/>
          <w:highlight w:val="none"/>
          <w:u w:val="single"/>
          <w:lang w:eastAsia="zh-CN"/>
        </w:rPr>
        <w:t xml:space="preserve">工程所在地</w:t>
      </w:r>
      <w:r>
        <w:rPr>
          <w:rFonts w:hint="eastAsia" w:ascii="宋体" w:hAnsi="宋体" w:eastAsia="宋体" w:cs="宋体"/>
          <w:color w:val="auto"/>
          <w:sz w:val="21"/>
          <w:szCs w:val="21"/>
          <w:highlight w:val="none"/>
          <w:lang w:eastAsia="zh-CN"/>
        </w:rPr>
        <w:t xml:space="preserve">人民法院起诉。</w:t>
      </w:r>
      <w:bookmarkEnd w:id="1019"/>
      <w:r/>
      <w:bookmarkEnd w:id="1020"/>
      <w:r/>
      <w:bookmarkEnd w:id="1021"/>
      <w:r/>
      <w:bookmarkEnd w:id="1022"/>
      <w:r/>
      <w:bookmarkEnd w:id="1023"/>
      <w:r/>
      <w:bookmarkEnd w:id="1024"/>
      <w:r/>
      <w:r/>
    </w:p>
    <w:p>
      <w:pPr>
        <w:jc w:val="both"/>
        <w:spacing w:line="360" w:lineRule="auto"/>
        <w:rPr>
          <w:rFonts w:hint="eastAsia" w:ascii="宋体" w:hAnsi="宋体" w:eastAsia="宋体" w:cs="宋体"/>
          <w:b/>
          <w:color w:val="auto"/>
          <w:sz w:val="21"/>
          <w:szCs w:val="21"/>
          <w:highlight w:val="none"/>
          <w:lang w:eastAsia="zh-CN"/>
        </w:rPr>
      </w:pPr>
      <w:r>
        <w:rPr>
          <w:rFonts w:hint="eastAsia" w:ascii="宋体" w:hAnsi="宋体" w:eastAsia="宋体" w:cs="宋体"/>
          <w:color w:val="auto"/>
          <w:sz w:val="24"/>
          <w:szCs w:val="24"/>
          <w:highlight w:val="none"/>
          <w:lang w:eastAsia="zh-CN"/>
        </w:rPr>
        <w:br w:type="page" w:clear="all"/>
      </w:r>
      <w:r>
        <w:rPr>
          <w:rFonts w:hint="eastAsia" w:ascii="宋体" w:hAnsi="宋体" w:eastAsia="宋体" w:cs="宋体"/>
          <w:b/>
          <w:color w:val="auto"/>
          <w:sz w:val="21"/>
          <w:szCs w:val="21"/>
          <w:highlight w:val="none"/>
          <w:lang w:eastAsia="zh-CN"/>
        </w:rPr>
        <w:t xml:space="preserve">附件</w:t>
      </w:r>
      <w:bookmarkEnd w:id="71"/>
      <w:r/>
      <w:r/>
    </w:p>
    <w:p>
      <w:pPr>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附件1：承包人承揽工程项目一览表</w:t>
      </w:r>
      <w:r/>
    </w:p>
    <w:p>
      <w:pPr>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专用合同条款附件：</w:t>
      </w:r>
      <w:r/>
    </w:p>
    <w:p>
      <w:pPr>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附件2：发包人供应材料设备一览表</w:t>
      </w:r>
      <w:r/>
    </w:p>
    <w:p>
      <w:pPr>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附件3：工程质量保修书</w:t>
      </w:r>
      <w:r/>
    </w:p>
    <w:p>
      <w:pPr>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附件4：主要建设工程文件目录</w:t>
      </w:r>
      <w:r/>
    </w:p>
    <w:p>
      <w:pPr>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附件5：承包人用于本工程施工的机械设备表</w:t>
      </w:r>
      <w:r/>
    </w:p>
    <w:p>
      <w:pPr>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附件6：承包人主要施工管理人员表</w:t>
      </w:r>
      <w:r/>
    </w:p>
    <w:p>
      <w:pPr>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附件7：分包人主要施工管理人员表</w:t>
      </w:r>
      <w:r/>
    </w:p>
    <w:p>
      <w:pPr>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附件8：履约担保格式</w:t>
      </w:r>
      <w:r/>
    </w:p>
    <w:p>
      <w:pPr>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附件9：预付款担保格式</w:t>
      </w:r>
      <w:r/>
    </w:p>
    <w:p>
      <w:pPr>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附件10：支付担保格式</w:t>
      </w:r>
      <w:r/>
    </w:p>
    <w:p>
      <w:pPr>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附件11：暂估价一览表</w:t>
      </w:r>
      <w:r/>
    </w:p>
    <w:p>
      <w:pPr>
        <w:pStyle w:val="832"/>
        <w:spacing w:line="360" w:lineRule="auto"/>
        <w:rPr>
          <w:rFonts w:hint="eastAsia" w:hAnsi="宋体"/>
          <w:color w:val="auto"/>
          <w:sz w:val="21"/>
          <w:szCs w:val="21"/>
          <w:highlight w:val="none"/>
        </w:rPr>
      </w:pPr>
      <w:r>
        <w:rPr>
          <w:rFonts w:hint="eastAsia" w:hAnsi="宋体"/>
          <w:color w:val="auto"/>
          <w:sz w:val="21"/>
          <w:szCs w:val="21"/>
          <w:highlight w:val="none"/>
        </w:rPr>
        <w:t xml:space="preserve">附件12：廉洁协议</w:t>
      </w:r>
      <w:r/>
    </w:p>
    <w:p>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附件13：安全生产协议书</w:t>
      </w:r>
      <w:r/>
    </w:p>
    <w:p>
      <w:pPr>
        <w:pStyle w:val="832"/>
        <w:spacing w:line="360" w:lineRule="auto"/>
        <w:rPr>
          <w:rFonts w:hint="eastAsia" w:hAnsi="宋体"/>
          <w:color w:val="auto"/>
          <w:sz w:val="21"/>
          <w:szCs w:val="21"/>
          <w:highlight w:val="none"/>
        </w:rPr>
      </w:pPr>
      <w:r>
        <w:rPr>
          <w:rFonts w:hint="eastAsia" w:hAnsi="宋体"/>
          <w:color w:val="auto"/>
          <w:sz w:val="21"/>
          <w:szCs w:val="21"/>
          <w:highlight w:val="none"/>
        </w:rPr>
        <w:t xml:space="preserve">附件14：文明施工责任协议书</w:t>
      </w:r>
      <w:r/>
    </w:p>
    <w:p>
      <w:pPr>
        <w:pStyle w:val="834"/>
        <w:ind w:firstLine="420"/>
        <w:rPr>
          <w:rFonts w:hint="eastAsia" w:cs="宋体"/>
          <w:color w:val="auto"/>
          <w:sz w:val="21"/>
          <w:szCs w:val="21"/>
          <w:highlight w:val="none"/>
          <w:lang w:eastAsia="zh-CN"/>
        </w:rPr>
      </w:pPr>
      <w:r>
        <w:rPr>
          <w:rFonts w:hint="eastAsia" w:cs="宋体"/>
          <w:color w:val="auto"/>
          <w:sz w:val="21"/>
          <w:szCs w:val="21"/>
          <w:highlight w:val="none"/>
          <w:lang w:eastAsia="zh-CN"/>
        </w:rPr>
      </w:r>
      <w:r/>
    </w:p>
    <w:p>
      <w:pPr>
        <w:pStyle w:val="834"/>
        <w:ind w:firstLine="420"/>
        <w:rPr>
          <w:rFonts w:hint="eastAsia" w:cs="宋体"/>
          <w:color w:val="auto"/>
          <w:sz w:val="21"/>
          <w:szCs w:val="21"/>
          <w:highlight w:val="none"/>
          <w:lang w:eastAsia="zh-CN"/>
        </w:rPr>
        <w:sectPr>
          <w:footerReference w:type="default" r:id="rId15"/>
          <w:footerReference w:type="first" r:id="rId16"/>
          <w:footnotePr/>
          <w:endnotePr/>
          <w:type w:val="nextPage"/>
          <w:pgSz w:w="11906" w:h="16838" w:orient="portrait"/>
          <w:pgMar w:top="1440" w:right="1080" w:bottom="1440" w:left="1080" w:header="851" w:footer="992" w:gutter="0"/>
          <w:cols w:num="1" w:sep="0" w:space="720" w:equalWidth="1"/>
          <w:docGrid w:linePitch="360"/>
        </w:sectPr>
      </w:pPr>
      <w:r>
        <w:rPr>
          <w:rFonts w:hint="eastAsia" w:cs="宋体"/>
          <w:color w:val="auto"/>
          <w:sz w:val="21"/>
          <w:szCs w:val="21"/>
          <w:highlight w:val="none"/>
          <w:lang w:eastAsia="zh-CN"/>
        </w:rPr>
      </w:r>
      <w:r/>
    </w:p>
    <w:p>
      <w:pPr>
        <w:jc w:val="both"/>
        <w:spacing w:before="156" w:after="156"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附件1：</w:t>
      </w:r>
      <w:r/>
    </w:p>
    <w:p>
      <w:pPr>
        <w:jc w:val="center"/>
        <w:spacing w:before="156" w:after="156"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承包人承揽工程项目一览表</w:t>
      </w:r>
      <w:r/>
    </w:p>
    <w:tbl>
      <w:tblPr>
        <w:tblStyle w:val="776"/>
        <w:tblW w:w="14601" w:type="dxa"/>
        <w:tblInd w:w="-39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277"/>
        <w:gridCol w:w="1843"/>
        <w:gridCol w:w="1417"/>
        <w:gridCol w:w="2410"/>
        <w:gridCol w:w="850"/>
        <w:gridCol w:w="1560"/>
        <w:gridCol w:w="2126"/>
        <w:gridCol w:w="1417"/>
        <w:gridCol w:w="851"/>
        <w:gridCol w:w="850"/>
      </w:tblGrid>
      <w:tr>
        <w:trPr/>
        <w:tc>
          <w:tcPr>
            <w:tcBorders>
              <w:top w:val="single" w:color="auto" w:sz="12" w:space="0"/>
              <w:bottom w:val="single" w:color="auto" w:sz="6" w:space="0"/>
            </w:tcBorders>
            <w:tcW w:w="1277"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t xml:space="preserve">单位工程名称</w:t>
            </w:r>
            <w:r/>
          </w:p>
        </w:tc>
        <w:tc>
          <w:tcPr>
            <w:tcBorders>
              <w:top w:val="single" w:color="auto" w:sz="12" w:space="0"/>
              <w:bottom w:val="single" w:color="auto" w:sz="6" w:space="0"/>
            </w:tcBorders>
            <w:tcW w:w="1843"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t xml:space="preserve">建设规模</w:t>
            </w:r>
            <w:r/>
          </w:p>
        </w:tc>
        <w:tc>
          <w:tcPr>
            <w:tcBorders>
              <w:top w:val="single" w:color="auto" w:sz="12" w:space="0"/>
              <w:bottom w:val="single" w:color="auto" w:sz="6" w:space="0"/>
            </w:tcBorders>
            <w:tcW w:w="1417"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t xml:space="preserve">建筑面积(平方米)</w:t>
            </w:r>
            <w:r/>
          </w:p>
        </w:tc>
        <w:tc>
          <w:tcPr>
            <w:tcBorders>
              <w:top w:val="single" w:color="auto" w:sz="12" w:space="0"/>
              <w:bottom w:val="single" w:color="auto" w:sz="6" w:space="0"/>
            </w:tcBorders>
            <w:tcW w:w="2410"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t xml:space="preserve">结构形式</w:t>
            </w:r>
            <w:r/>
          </w:p>
        </w:tc>
        <w:tc>
          <w:tcPr>
            <w:tcBorders>
              <w:top w:val="single" w:color="auto" w:sz="12" w:space="0"/>
              <w:bottom w:val="single" w:color="auto" w:sz="6" w:space="0"/>
            </w:tcBorders>
            <w:tcW w:w="850"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t xml:space="preserve">层数</w:t>
            </w:r>
            <w:r/>
          </w:p>
        </w:tc>
        <w:tc>
          <w:tcPr>
            <w:tcBorders>
              <w:top w:val="single" w:color="auto" w:sz="12" w:space="0"/>
              <w:bottom w:val="single" w:color="auto" w:sz="6" w:space="0"/>
            </w:tcBorders>
            <w:tcW w:w="1560"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t xml:space="preserve">生产能力</w:t>
            </w:r>
            <w:r/>
          </w:p>
        </w:tc>
        <w:tc>
          <w:tcPr>
            <w:tcBorders>
              <w:top w:val="single" w:color="auto" w:sz="12" w:space="0"/>
              <w:bottom w:val="single" w:color="auto" w:sz="6" w:space="0"/>
            </w:tcBorders>
            <w:tcW w:w="2126"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t xml:space="preserve">设备安装内容</w:t>
            </w:r>
            <w:r/>
          </w:p>
        </w:tc>
        <w:tc>
          <w:tcPr>
            <w:tcBorders>
              <w:top w:val="single" w:color="auto" w:sz="12" w:space="0"/>
              <w:bottom w:val="single" w:color="auto" w:sz="6" w:space="0"/>
            </w:tcBorders>
            <w:tcW w:w="1417"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t xml:space="preserve">合同价格（元）</w:t>
            </w:r>
            <w:r/>
          </w:p>
        </w:tc>
        <w:tc>
          <w:tcPr>
            <w:tcBorders>
              <w:top w:val="single" w:color="auto" w:sz="12" w:space="0"/>
              <w:bottom w:val="single" w:color="auto" w:sz="6" w:space="0"/>
            </w:tcBorders>
            <w:tcW w:w="851"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t xml:space="preserve">开工日期</w:t>
            </w:r>
            <w:r/>
          </w:p>
        </w:tc>
        <w:tc>
          <w:tcPr>
            <w:tcBorders>
              <w:top w:val="single" w:color="auto" w:sz="12" w:space="0"/>
              <w:bottom w:val="single" w:color="auto" w:sz="6" w:space="0"/>
            </w:tcBorders>
            <w:tcW w:w="850"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t xml:space="preserve">竣工日期</w:t>
            </w:r>
            <w:r/>
          </w:p>
        </w:tc>
      </w:tr>
      <w:tr>
        <w:trPr>
          <w:trHeight w:val="567"/>
        </w:trPr>
        <w:tc>
          <w:tcPr>
            <w:tcBorders>
              <w:top w:val="single" w:color="auto" w:sz="6" w:space="0"/>
              <w:bottom w:val="single" w:color="auto" w:sz="6" w:space="0"/>
            </w:tcBorders>
            <w:tcW w:w="1277"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c>
          <w:tcPr>
            <w:tcBorders>
              <w:top w:val="single" w:color="auto" w:sz="6" w:space="0"/>
              <w:bottom w:val="single" w:color="auto" w:sz="6" w:space="0"/>
            </w:tcBorders>
            <w:tcW w:w="1843"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c>
          <w:tcPr>
            <w:tcBorders>
              <w:top w:val="single" w:color="auto" w:sz="6" w:space="0"/>
              <w:bottom w:val="single" w:color="auto" w:sz="6" w:space="0"/>
            </w:tcBorders>
            <w:tcW w:w="1417"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c>
          <w:tcPr>
            <w:tcBorders>
              <w:top w:val="single" w:color="auto" w:sz="6" w:space="0"/>
              <w:bottom w:val="single" w:color="auto" w:sz="6" w:space="0"/>
            </w:tcBorders>
            <w:tcW w:w="2410"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c>
          <w:tcPr>
            <w:tcBorders>
              <w:top w:val="single" w:color="auto" w:sz="6" w:space="0"/>
              <w:bottom w:val="single" w:color="auto" w:sz="6" w:space="0"/>
            </w:tcBorders>
            <w:tcW w:w="850"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c>
          <w:tcPr>
            <w:tcBorders>
              <w:top w:val="single" w:color="auto" w:sz="6" w:space="0"/>
              <w:bottom w:val="single" w:color="auto" w:sz="6" w:space="0"/>
            </w:tcBorders>
            <w:tcW w:w="1560"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c>
          <w:tcPr>
            <w:tcBorders>
              <w:top w:val="single" w:color="auto" w:sz="6" w:space="0"/>
              <w:bottom w:val="single" w:color="auto" w:sz="6" w:space="0"/>
            </w:tcBorders>
            <w:tcW w:w="2126"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c>
          <w:tcPr>
            <w:tcBorders>
              <w:top w:val="single" w:color="auto" w:sz="6" w:space="0"/>
              <w:bottom w:val="single" w:color="auto" w:sz="6" w:space="0"/>
            </w:tcBorders>
            <w:tcW w:w="1417"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c>
          <w:tcPr>
            <w:tcBorders>
              <w:top w:val="single" w:color="auto" w:sz="6" w:space="0"/>
              <w:bottom w:val="single" w:color="auto" w:sz="6" w:space="0"/>
            </w:tcBorders>
            <w:tcW w:w="851"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c>
          <w:tcPr>
            <w:tcBorders>
              <w:top w:val="single" w:color="auto" w:sz="6" w:space="0"/>
              <w:bottom w:val="single" w:color="auto" w:sz="6" w:space="0"/>
            </w:tcBorders>
            <w:tcW w:w="850"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r>
      <w:tr>
        <w:trPr>
          <w:trHeight w:val="567"/>
        </w:trPr>
        <w:tc>
          <w:tcPr>
            <w:tcBorders>
              <w:top w:val="none" w:color="000000" w:sz="4" w:space="0"/>
            </w:tcBorders>
            <w:tcW w:w="1277"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c>
          <w:tcPr>
            <w:tcBorders>
              <w:top w:val="none" w:color="000000" w:sz="4" w:space="0"/>
            </w:tcBorders>
            <w:tcW w:w="1843"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c>
          <w:tcPr>
            <w:tcBorders>
              <w:top w:val="none" w:color="000000" w:sz="4" w:space="0"/>
            </w:tcBorders>
            <w:tcW w:w="1417"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c>
          <w:tcPr>
            <w:tcBorders>
              <w:top w:val="none" w:color="000000" w:sz="4" w:space="0"/>
            </w:tcBorders>
            <w:tcW w:w="2410"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c>
          <w:tcPr>
            <w:tcBorders>
              <w:top w:val="none" w:color="000000" w:sz="4" w:space="0"/>
            </w:tcBorders>
            <w:tcW w:w="850"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c>
          <w:tcPr>
            <w:tcBorders>
              <w:top w:val="none" w:color="000000" w:sz="4" w:space="0"/>
            </w:tcBorders>
            <w:tcW w:w="1560"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c>
          <w:tcPr>
            <w:tcBorders>
              <w:top w:val="none" w:color="000000" w:sz="4" w:space="0"/>
            </w:tcBorders>
            <w:tcW w:w="2126"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c>
          <w:tcPr>
            <w:tcBorders>
              <w:top w:val="none" w:color="000000" w:sz="4" w:space="0"/>
            </w:tcBorders>
            <w:tcW w:w="1417"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c>
          <w:tcPr>
            <w:tcBorders>
              <w:top w:val="none" w:color="000000" w:sz="4" w:space="0"/>
            </w:tcBorders>
            <w:tcW w:w="851"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c>
          <w:tcPr>
            <w:tcBorders>
              <w:top w:val="none" w:color="000000" w:sz="4" w:space="0"/>
            </w:tcBorders>
            <w:tcW w:w="850"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r>
      <w:tr>
        <w:trPr>
          <w:trHeight w:val="567"/>
        </w:trPr>
        <w:tc>
          <w:tcPr>
            <w:tcBorders>
              <w:top w:val="none" w:color="000000" w:sz="4" w:space="0"/>
            </w:tcBorders>
            <w:tcW w:w="1277"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c>
          <w:tcPr>
            <w:tcBorders>
              <w:top w:val="none" w:color="000000" w:sz="4" w:space="0"/>
            </w:tcBorders>
            <w:tcW w:w="1843"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c>
          <w:tcPr>
            <w:tcBorders>
              <w:top w:val="none" w:color="000000" w:sz="4" w:space="0"/>
            </w:tcBorders>
            <w:tcW w:w="1417"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c>
          <w:tcPr>
            <w:tcBorders>
              <w:top w:val="none" w:color="000000" w:sz="4" w:space="0"/>
            </w:tcBorders>
            <w:tcW w:w="2410"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c>
          <w:tcPr>
            <w:tcBorders>
              <w:top w:val="none" w:color="000000" w:sz="4" w:space="0"/>
            </w:tcBorders>
            <w:tcW w:w="850"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c>
          <w:tcPr>
            <w:tcBorders>
              <w:top w:val="none" w:color="000000" w:sz="4" w:space="0"/>
            </w:tcBorders>
            <w:tcW w:w="1560"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c>
          <w:tcPr>
            <w:tcBorders>
              <w:top w:val="none" w:color="000000" w:sz="4" w:space="0"/>
            </w:tcBorders>
            <w:tcW w:w="2126"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c>
          <w:tcPr>
            <w:tcBorders>
              <w:top w:val="none" w:color="000000" w:sz="4" w:space="0"/>
            </w:tcBorders>
            <w:tcW w:w="1417"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c>
          <w:tcPr>
            <w:tcBorders>
              <w:top w:val="none" w:color="000000" w:sz="4" w:space="0"/>
            </w:tcBorders>
            <w:tcW w:w="851"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c>
          <w:tcPr>
            <w:tcBorders>
              <w:top w:val="none" w:color="000000" w:sz="4" w:space="0"/>
            </w:tcBorders>
            <w:tcW w:w="850"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r>
      <w:tr>
        <w:trPr>
          <w:trHeight w:val="567"/>
        </w:trPr>
        <w:tc>
          <w:tcPr>
            <w:tcW w:w="1277"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c>
          <w:tcPr>
            <w:tcW w:w="1843"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c>
          <w:tcPr>
            <w:tcW w:w="1417"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c>
          <w:tcPr>
            <w:tcW w:w="2410"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c>
          <w:tcPr>
            <w:tcW w:w="850"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c>
          <w:tcPr>
            <w:tcW w:w="1560"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c>
          <w:tcPr>
            <w:tcW w:w="2126"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c>
          <w:tcPr>
            <w:tcW w:w="1417"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c>
          <w:tcPr>
            <w:tcW w:w="851"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c>
          <w:tcPr>
            <w:tcW w:w="850"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r>
      <w:tr>
        <w:trPr>
          <w:trHeight w:val="567"/>
        </w:trPr>
        <w:tc>
          <w:tcPr>
            <w:tcBorders>
              <w:top w:val="none" w:color="000000" w:sz="4" w:space="0"/>
            </w:tcBorders>
            <w:tcW w:w="1277"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c>
          <w:tcPr>
            <w:tcBorders>
              <w:top w:val="none" w:color="000000" w:sz="4" w:space="0"/>
            </w:tcBorders>
            <w:tcW w:w="1843"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c>
          <w:tcPr>
            <w:tcBorders>
              <w:top w:val="none" w:color="000000" w:sz="4" w:space="0"/>
            </w:tcBorders>
            <w:tcW w:w="1417"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c>
          <w:tcPr>
            <w:tcBorders>
              <w:top w:val="none" w:color="000000" w:sz="4" w:space="0"/>
            </w:tcBorders>
            <w:tcW w:w="2410"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c>
          <w:tcPr>
            <w:tcBorders>
              <w:top w:val="none" w:color="000000" w:sz="4" w:space="0"/>
            </w:tcBorders>
            <w:tcW w:w="850"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c>
          <w:tcPr>
            <w:tcBorders>
              <w:top w:val="none" w:color="000000" w:sz="4" w:space="0"/>
            </w:tcBorders>
            <w:tcW w:w="1560"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c>
          <w:tcPr>
            <w:tcBorders>
              <w:top w:val="none" w:color="000000" w:sz="4" w:space="0"/>
            </w:tcBorders>
            <w:tcW w:w="2126"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c>
          <w:tcPr>
            <w:tcBorders>
              <w:top w:val="none" w:color="000000" w:sz="4" w:space="0"/>
            </w:tcBorders>
            <w:tcW w:w="1417"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c>
          <w:tcPr>
            <w:tcBorders>
              <w:top w:val="none" w:color="000000" w:sz="4" w:space="0"/>
            </w:tcBorders>
            <w:tcW w:w="851"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c>
          <w:tcPr>
            <w:tcBorders>
              <w:top w:val="none" w:color="000000" w:sz="4" w:space="0"/>
            </w:tcBorders>
            <w:tcW w:w="850"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r>
      <w:tr>
        <w:trPr>
          <w:trHeight w:val="567"/>
        </w:trPr>
        <w:tc>
          <w:tcPr>
            <w:tcW w:w="1277"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c>
          <w:tcPr>
            <w:tcW w:w="1843"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c>
          <w:tcPr>
            <w:tcW w:w="1417"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c>
          <w:tcPr>
            <w:tcW w:w="2410"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c>
          <w:tcPr>
            <w:tcW w:w="850"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c>
          <w:tcPr>
            <w:tcW w:w="1560"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c>
          <w:tcPr>
            <w:tcW w:w="2126"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c>
          <w:tcPr>
            <w:tcW w:w="1417"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c>
          <w:tcPr>
            <w:tcW w:w="851"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c>
          <w:tcPr>
            <w:tcW w:w="850"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r>
      <w:tr>
        <w:trPr>
          <w:trHeight w:val="567"/>
        </w:trPr>
        <w:tc>
          <w:tcPr>
            <w:tcBorders>
              <w:top w:val="none" w:color="000000" w:sz="4" w:space="0"/>
            </w:tcBorders>
            <w:tcW w:w="1277"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c>
          <w:tcPr>
            <w:tcBorders>
              <w:top w:val="none" w:color="000000" w:sz="4" w:space="0"/>
            </w:tcBorders>
            <w:tcW w:w="1843"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c>
          <w:tcPr>
            <w:tcBorders>
              <w:top w:val="none" w:color="000000" w:sz="4" w:space="0"/>
            </w:tcBorders>
            <w:tcW w:w="1417"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c>
          <w:tcPr>
            <w:tcBorders>
              <w:top w:val="none" w:color="000000" w:sz="4" w:space="0"/>
            </w:tcBorders>
            <w:tcW w:w="2410"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c>
          <w:tcPr>
            <w:tcBorders>
              <w:top w:val="none" w:color="000000" w:sz="4" w:space="0"/>
            </w:tcBorders>
            <w:tcW w:w="850"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c>
          <w:tcPr>
            <w:tcBorders>
              <w:top w:val="none" w:color="000000" w:sz="4" w:space="0"/>
            </w:tcBorders>
            <w:tcW w:w="1560"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c>
          <w:tcPr>
            <w:tcBorders>
              <w:top w:val="none" w:color="000000" w:sz="4" w:space="0"/>
            </w:tcBorders>
            <w:tcW w:w="2126"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c>
          <w:tcPr>
            <w:tcBorders>
              <w:top w:val="none" w:color="000000" w:sz="4" w:space="0"/>
            </w:tcBorders>
            <w:tcW w:w="1417"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c>
          <w:tcPr>
            <w:tcBorders>
              <w:top w:val="none" w:color="000000" w:sz="4" w:space="0"/>
            </w:tcBorders>
            <w:tcW w:w="851"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c>
          <w:tcPr>
            <w:tcBorders>
              <w:top w:val="none" w:color="000000" w:sz="4" w:space="0"/>
            </w:tcBorders>
            <w:tcW w:w="850"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r>
      <w:tr>
        <w:trPr>
          <w:trHeight w:val="567"/>
        </w:trPr>
        <w:tc>
          <w:tcPr>
            <w:tcW w:w="1277"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c>
          <w:tcPr>
            <w:tcW w:w="1843"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c>
          <w:tcPr>
            <w:tcW w:w="1417"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c>
          <w:tcPr>
            <w:tcW w:w="2410"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c>
          <w:tcPr>
            <w:tcW w:w="850"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c>
          <w:tcPr>
            <w:tcW w:w="1560"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c>
          <w:tcPr>
            <w:tcW w:w="2126"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c>
          <w:tcPr>
            <w:tcW w:w="1417"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c>
          <w:tcPr>
            <w:tcW w:w="851"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c>
          <w:tcPr>
            <w:tcW w:w="850"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r>
    </w:tbl>
    <w:p>
      <w:pPr>
        <w:jc w:val="both"/>
        <w:spacing w:line="360" w:lineRule="auto"/>
        <w:rPr>
          <w:rFonts w:hint="eastAsia" w:ascii="宋体" w:hAnsi="宋体" w:eastAsia="宋体" w:cs="宋体"/>
          <w:b/>
          <w:color w:val="auto"/>
          <w:sz w:val="21"/>
          <w:szCs w:val="21"/>
          <w:highlight w:val="none"/>
        </w:rPr>
        <w:sectPr>
          <w:footnotePr/>
          <w:endnotePr/>
          <w:type w:val="nextPage"/>
          <w:pgSz w:w="16838" w:h="11906" w:orient="landscape"/>
          <w:pgMar w:top="1554" w:right="1418" w:bottom="1531" w:left="1418" w:header="851" w:footer="992" w:gutter="0"/>
          <w:cols w:num="1" w:sep="0" w:space="720" w:equalWidth="1"/>
          <w:docGrid w:linePitch="360"/>
          <w:titlePg/>
        </w:sectPr>
      </w:pPr>
      <w:r>
        <w:rPr>
          <w:rFonts w:hint="eastAsia" w:ascii="宋体" w:hAnsi="宋体" w:eastAsia="宋体" w:cs="宋体"/>
          <w:b/>
          <w:color w:val="auto"/>
          <w:sz w:val="21"/>
          <w:szCs w:val="21"/>
          <w:highlight w:val="none"/>
        </w:rPr>
      </w:r>
      <w:r/>
    </w:p>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附</w:t>
      </w:r>
      <w:bookmarkStart w:id="1041" w:name="_Toc296891265"/>
      <w:r/>
      <w:bookmarkStart w:id="1042" w:name="_Toc296346726"/>
      <w:r/>
      <w:bookmarkStart w:id="1043" w:name="_Toc296891053"/>
      <w:r/>
      <w:bookmarkStart w:id="1044" w:name="_Toc296347224"/>
      <w:r/>
      <w:bookmarkStart w:id="1045" w:name="_Toc296503225"/>
      <w:r/>
      <w:bookmarkStart w:id="1046" w:name="_Toc296944564"/>
      <w:r/>
      <w:bookmarkStart w:id="1047" w:name="_Toc267261692"/>
      <w:r>
        <w:rPr>
          <w:rFonts w:hint="eastAsia" w:ascii="宋体" w:hAnsi="宋体" w:eastAsia="宋体" w:cs="宋体"/>
          <w:color w:val="auto"/>
          <w:sz w:val="21"/>
          <w:szCs w:val="21"/>
          <w:highlight w:val="none"/>
        </w:rPr>
        <w:t xml:space="preserve">件2：</w:t>
      </w:r>
      <w:bookmarkEnd w:id="1041"/>
      <w:bookmarkEnd w:id="1042"/>
      <w:bookmarkEnd w:id="1043"/>
      <w:bookmarkEnd w:id="1044"/>
      <w:bookmarkEnd w:id="1045"/>
      <w:bookmarkEnd w:id="1046"/>
      <w:bookmarkEnd w:id="1047"/>
      <w:r/>
    </w:p>
    <w:p>
      <w:pPr>
        <w:jc w:val="center"/>
        <w:spacing w:before="120" w:after="12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发包人供应材料设备一览表</w:t>
      </w:r>
      <w:r/>
    </w:p>
    <w:tbl>
      <w:tblPr>
        <w:tblStyle w:val="776"/>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1276"/>
        <w:gridCol w:w="1418"/>
        <w:gridCol w:w="940"/>
        <w:gridCol w:w="851"/>
        <w:gridCol w:w="1044"/>
        <w:gridCol w:w="992"/>
        <w:gridCol w:w="851"/>
        <w:gridCol w:w="1487"/>
        <w:gridCol w:w="992"/>
      </w:tblGrid>
      <w:tr>
        <w:trPr>
          <w:jc w:val="center"/>
        </w:trPr>
        <w:tc>
          <w:tcPr>
            <w:tcBorders>
              <w:top w:val="single" w:color="auto" w:sz="12" w:space="0"/>
              <w:bottom w:val="single" w:color="auto" w:sz="6" w:space="0"/>
            </w:tcBorders>
            <w:tcW w:w="851"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t xml:space="preserve">序号</w:t>
            </w:r>
            <w:r/>
          </w:p>
        </w:tc>
        <w:tc>
          <w:tcPr>
            <w:tcBorders>
              <w:top w:val="single" w:color="auto" w:sz="12" w:space="0"/>
              <w:bottom w:val="single" w:color="auto" w:sz="6" w:space="0"/>
            </w:tcBorders>
            <w:tcW w:w="1276"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t xml:space="preserve">材料、</w:t>
            </w:r>
            <w:r/>
          </w:p>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t xml:space="preserve">设备品种</w:t>
            </w:r>
            <w:r/>
          </w:p>
        </w:tc>
        <w:tc>
          <w:tcPr>
            <w:tcBorders>
              <w:top w:val="single" w:color="auto" w:sz="12" w:space="0"/>
              <w:bottom w:val="single" w:color="auto" w:sz="6" w:space="0"/>
            </w:tcBorders>
            <w:tcW w:w="1418"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t xml:space="preserve">规格型号</w:t>
            </w:r>
            <w:r/>
          </w:p>
        </w:tc>
        <w:tc>
          <w:tcPr>
            <w:tcBorders>
              <w:top w:val="single" w:color="auto" w:sz="12" w:space="0"/>
              <w:bottom w:val="single" w:color="auto" w:sz="6" w:space="0"/>
            </w:tcBorders>
            <w:tcW w:w="940"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t xml:space="preserve">单位</w:t>
            </w:r>
            <w:r/>
          </w:p>
        </w:tc>
        <w:tc>
          <w:tcPr>
            <w:tcBorders>
              <w:top w:val="single" w:color="auto" w:sz="12" w:space="0"/>
              <w:bottom w:val="single" w:color="auto" w:sz="6" w:space="0"/>
            </w:tcBorders>
            <w:tcW w:w="851"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t xml:space="preserve">数量</w:t>
            </w:r>
            <w:r/>
          </w:p>
        </w:tc>
        <w:tc>
          <w:tcPr>
            <w:tcBorders>
              <w:top w:val="single" w:color="auto" w:sz="12" w:space="0"/>
              <w:bottom w:val="single" w:color="auto" w:sz="6" w:space="0"/>
            </w:tcBorders>
            <w:tcW w:w="1044"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t xml:space="preserve">单价（元）</w:t>
            </w:r>
            <w:r/>
          </w:p>
        </w:tc>
        <w:tc>
          <w:tcPr>
            <w:tcBorders>
              <w:top w:val="single" w:color="auto" w:sz="12" w:space="0"/>
              <w:bottom w:val="single" w:color="auto" w:sz="6" w:space="0"/>
            </w:tcBorders>
            <w:tcW w:w="992"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t xml:space="preserve">质量等级</w:t>
            </w:r>
            <w:r/>
          </w:p>
        </w:tc>
        <w:tc>
          <w:tcPr>
            <w:tcBorders>
              <w:top w:val="single" w:color="auto" w:sz="12" w:space="0"/>
              <w:bottom w:val="single" w:color="auto" w:sz="6" w:space="0"/>
            </w:tcBorders>
            <w:tcW w:w="851"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t xml:space="preserve">供应时间</w:t>
            </w:r>
            <w:r/>
          </w:p>
        </w:tc>
        <w:tc>
          <w:tcPr>
            <w:tcBorders>
              <w:top w:val="single" w:color="auto" w:sz="12" w:space="0"/>
              <w:bottom w:val="single" w:color="auto" w:sz="6" w:space="0"/>
            </w:tcBorders>
            <w:tcW w:w="1487"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t xml:space="preserve">送达地点</w:t>
            </w:r>
            <w:r/>
          </w:p>
        </w:tc>
        <w:tc>
          <w:tcPr>
            <w:tcBorders>
              <w:top w:val="single" w:color="auto" w:sz="12" w:space="0"/>
              <w:bottom w:val="single" w:color="auto" w:sz="6" w:space="0"/>
            </w:tcBorders>
            <w:tcW w:w="992"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t xml:space="preserve">备注</w:t>
            </w:r>
            <w:r/>
          </w:p>
        </w:tc>
      </w:tr>
      <w:tr>
        <w:trPr>
          <w:jc w:val="center"/>
          <w:trHeight w:val="567"/>
        </w:trPr>
        <w:tc>
          <w:tcPr>
            <w:tcBorders>
              <w:top w:val="single" w:color="auto" w:sz="6" w:space="0"/>
              <w:bottom w:val="single" w:color="auto" w:sz="6" w:space="0"/>
            </w:tcBorders>
            <w:tcW w:w="851"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c>
          <w:tcPr>
            <w:tcBorders>
              <w:top w:val="single" w:color="auto" w:sz="6" w:space="0"/>
              <w:bottom w:val="single" w:color="auto" w:sz="6" w:space="0"/>
            </w:tcBorders>
            <w:tcW w:w="1276"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c>
          <w:tcPr>
            <w:tcBorders>
              <w:top w:val="single" w:color="auto" w:sz="6" w:space="0"/>
              <w:bottom w:val="single" w:color="auto" w:sz="6" w:space="0"/>
            </w:tcBorders>
            <w:tcW w:w="1418"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c>
          <w:tcPr>
            <w:tcBorders>
              <w:top w:val="single" w:color="auto" w:sz="6" w:space="0"/>
              <w:bottom w:val="single" w:color="auto" w:sz="6" w:space="0"/>
            </w:tcBorders>
            <w:tcW w:w="940"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c>
          <w:tcPr>
            <w:tcBorders>
              <w:top w:val="single" w:color="auto" w:sz="6" w:space="0"/>
              <w:bottom w:val="single" w:color="auto" w:sz="6" w:space="0"/>
            </w:tcBorders>
            <w:tcW w:w="851"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c>
          <w:tcPr>
            <w:tcBorders>
              <w:top w:val="single" w:color="auto" w:sz="6" w:space="0"/>
              <w:bottom w:val="single" w:color="auto" w:sz="6" w:space="0"/>
            </w:tcBorders>
            <w:tcW w:w="1044"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c>
          <w:tcPr>
            <w:tcBorders>
              <w:top w:val="single" w:color="auto" w:sz="6" w:space="0"/>
              <w:bottom w:val="single" w:color="auto" w:sz="6" w:space="0"/>
            </w:tcBorders>
            <w:tcW w:w="992"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c>
          <w:tcPr>
            <w:tcBorders>
              <w:top w:val="single" w:color="auto" w:sz="6" w:space="0"/>
              <w:bottom w:val="single" w:color="auto" w:sz="6" w:space="0"/>
            </w:tcBorders>
            <w:tcW w:w="851"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c>
          <w:tcPr>
            <w:tcBorders>
              <w:top w:val="single" w:color="auto" w:sz="6" w:space="0"/>
              <w:bottom w:val="single" w:color="auto" w:sz="6" w:space="0"/>
            </w:tcBorders>
            <w:tcW w:w="1487"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c>
          <w:tcPr>
            <w:tcBorders>
              <w:top w:val="single" w:color="auto" w:sz="6" w:space="0"/>
              <w:bottom w:val="single" w:color="auto" w:sz="6" w:space="0"/>
            </w:tcBorders>
            <w:tcW w:w="992"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r>
      <w:tr>
        <w:trPr>
          <w:jc w:val="center"/>
          <w:trHeight w:val="567"/>
        </w:trPr>
        <w:tc>
          <w:tcPr>
            <w:tcBorders>
              <w:top w:val="none" w:color="000000" w:sz="4" w:space="0"/>
            </w:tcBorders>
            <w:tcW w:w="851"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c>
          <w:tcPr>
            <w:tcBorders>
              <w:top w:val="none" w:color="000000" w:sz="4" w:space="0"/>
            </w:tcBorders>
            <w:tcW w:w="1276"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c>
          <w:tcPr>
            <w:tcBorders>
              <w:top w:val="none" w:color="000000" w:sz="4" w:space="0"/>
            </w:tcBorders>
            <w:tcW w:w="1418"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c>
          <w:tcPr>
            <w:tcBorders>
              <w:top w:val="none" w:color="000000" w:sz="4" w:space="0"/>
            </w:tcBorders>
            <w:tcW w:w="940"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c>
          <w:tcPr>
            <w:tcBorders>
              <w:top w:val="none" w:color="000000" w:sz="4" w:space="0"/>
            </w:tcBorders>
            <w:tcW w:w="851"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c>
          <w:tcPr>
            <w:tcBorders>
              <w:top w:val="none" w:color="000000" w:sz="4" w:space="0"/>
            </w:tcBorders>
            <w:tcW w:w="1044"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c>
          <w:tcPr>
            <w:tcBorders>
              <w:top w:val="none" w:color="000000" w:sz="4" w:space="0"/>
            </w:tcBorders>
            <w:tcW w:w="992"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c>
          <w:tcPr>
            <w:tcBorders>
              <w:top w:val="none" w:color="000000" w:sz="4" w:space="0"/>
            </w:tcBorders>
            <w:tcW w:w="851"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c>
          <w:tcPr>
            <w:tcBorders>
              <w:top w:val="none" w:color="000000" w:sz="4" w:space="0"/>
            </w:tcBorders>
            <w:tcW w:w="1487"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c>
          <w:tcPr>
            <w:tcBorders>
              <w:top w:val="none" w:color="000000" w:sz="4" w:space="0"/>
            </w:tcBorders>
            <w:tcW w:w="992"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r>
      <w:tr>
        <w:trPr>
          <w:jc w:val="center"/>
          <w:trHeight w:val="567"/>
        </w:trPr>
        <w:tc>
          <w:tcPr>
            <w:tcW w:w="851"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c>
          <w:tcPr>
            <w:tcW w:w="1276"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c>
          <w:tcPr>
            <w:tcW w:w="1418"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c>
          <w:tcPr>
            <w:tcW w:w="940"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c>
          <w:tcPr>
            <w:tcW w:w="851"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c>
          <w:tcPr>
            <w:tcW w:w="1044"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c>
          <w:tcPr>
            <w:tcW w:w="992"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c>
          <w:tcPr>
            <w:tcW w:w="851"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c>
          <w:tcPr>
            <w:tcW w:w="1487"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c>
          <w:tcPr>
            <w:tcW w:w="992"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r>
      <w:tr>
        <w:trPr>
          <w:jc w:val="center"/>
          <w:trHeight w:val="567"/>
        </w:trPr>
        <w:tc>
          <w:tcPr>
            <w:tcW w:w="851"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c>
          <w:tcPr>
            <w:tcW w:w="1276"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c>
          <w:tcPr>
            <w:tcW w:w="1418"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c>
          <w:tcPr>
            <w:tcW w:w="940"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c>
          <w:tcPr>
            <w:tcW w:w="851"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c>
          <w:tcPr>
            <w:tcW w:w="1044"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c>
          <w:tcPr>
            <w:tcW w:w="992"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c>
          <w:tcPr>
            <w:tcW w:w="851"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c>
          <w:tcPr>
            <w:tcW w:w="1487"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c>
          <w:tcPr>
            <w:tcW w:w="992"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r>
      <w:tr>
        <w:trPr>
          <w:jc w:val="center"/>
          <w:trHeight w:val="567"/>
        </w:trPr>
        <w:tc>
          <w:tcPr>
            <w:tcW w:w="851"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c>
          <w:tcPr>
            <w:tcW w:w="1276"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c>
          <w:tcPr>
            <w:tcW w:w="1418"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c>
          <w:tcPr>
            <w:tcW w:w="940"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c>
          <w:tcPr>
            <w:tcW w:w="851"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c>
          <w:tcPr>
            <w:tcW w:w="1044"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c>
          <w:tcPr>
            <w:tcW w:w="992"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c>
          <w:tcPr>
            <w:tcW w:w="851"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c>
          <w:tcPr>
            <w:tcW w:w="1487"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c>
          <w:tcPr>
            <w:tcW w:w="992"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r>
      <w:tr>
        <w:trPr>
          <w:jc w:val="center"/>
          <w:trHeight w:val="567"/>
        </w:trPr>
        <w:tc>
          <w:tcPr>
            <w:tcW w:w="851"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c>
          <w:tcPr>
            <w:tcW w:w="1276"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c>
          <w:tcPr>
            <w:tcW w:w="1418"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c>
          <w:tcPr>
            <w:tcW w:w="940"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c>
          <w:tcPr>
            <w:tcW w:w="851"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c>
          <w:tcPr>
            <w:tcW w:w="1044"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c>
          <w:tcPr>
            <w:tcW w:w="992"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c>
          <w:tcPr>
            <w:tcW w:w="851"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c>
          <w:tcPr>
            <w:tcW w:w="1487"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c>
          <w:tcPr>
            <w:tcW w:w="992"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r>
      <w:tr>
        <w:trPr>
          <w:jc w:val="center"/>
          <w:trHeight w:val="567"/>
        </w:trPr>
        <w:tc>
          <w:tcPr>
            <w:tcW w:w="851"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c>
          <w:tcPr>
            <w:tcW w:w="1276"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c>
          <w:tcPr>
            <w:tcW w:w="1418"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c>
          <w:tcPr>
            <w:tcW w:w="940"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c>
          <w:tcPr>
            <w:tcW w:w="851"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c>
          <w:tcPr>
            <w:tcW w:w="1044"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c>
          <w:tcPr>
            <w:tcW w:w="992"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c>
          <w:tcPr>
            <w:tcW w:w="851"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c>
          <w:tcPr>
            <w:tcW w:w="1487"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c>
          <w:tcPr>
            <w:tcW w:w="992"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r>
      <w:tr>
        <w:trPr>
          <w:jc w:val="center"/>
          <w:trHeight w:val="567"/>
        </w:trPr>
        <w:tc>
          <w:tcPr>
            <w:tcW w:w="851"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c>
          <w:tcPr>
            <w:tcW w:w="1276"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c>
          <w:tcPr>
            <w:tcW w:w="1418"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c>
          <w:tcPr>
            <w:tcW w:w="940"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c>
          <w:tcPr>
            <w:tcW w:w="851"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c>
          <w:tcPr>
            <w:tcW w:w="1044"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c>
          <w:tcPr>
            <w:tcW w:w="992"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c>
          <w:tcPr>
            <w:tcW w:w="851"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c>
          <w:tcPr>
            <w:tcW w:w="1487"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c>
          <w:tcPr>
            <w:tcW w:w="992"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r>
      <w:tr>
        <w:trPr>
          <w:jc w:val="center"/>
          <w:trHeight w:val="567"/>
        </w:trPr>
        <w:tc>
          <w:tcPr>
            <w:tcW w:w="851"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6"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18"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40"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51"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44"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92"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51"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7"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92"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tcW w:w="851"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c>
          <w:tcPr>
            <w:tcW w:w="1276"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c>
          <w:tcPr>
            <w:tcW w:w="1418"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c>
          <w:tcPr>
            <w:tcW w:w="940"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c>
          <w:tcPr>
            <w:tcW w:w="851"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c>
          <w:tcPr>
            <w:tcW w:w="1044"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c>
          <w:tcPr>
            <w:tcW w:w="992"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c>
          <w:tcPr>
            <w:tcW w:w="851"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c>
          <w:tcPr>
            <w:tcW w:w="1487"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c>
          <w:tcPr>
            <w:tcW w:w="992" w:type="dxa"/>
            <w:vAlign w:val="center"/>
            <w:textDirection w:val="lrTb"/>
            <w:noWrap w:val="false"/>
          </w:tcPr>
          <w:p>
            <w:pPr>
              <w:pStyle w:val="782"/>
              <w:ind w:left="60" w:right="60"/>
              <w:jc w:val="both"/>
              <w:keepNext/>
              <w:spacing w:line="360" w:lineRule="auto"/>
              <w:rPr>
                <w:rFonts w:hint="eastAsia" w:cs="宋体"/>
                <w:color w:val="auto"/>
                <w:sz w:val="21"/>
                <w:szCs w:val="21"/>
                <w:highlight w:val="none"/>
              </w:rPr>
            </w:pPr>
            <w:r>
              <w:rPr>
                <w:rFonts w:hint="eastAsia" w:cs="宋体"/>
                <w:color w:val="auto"/>
                <w:sz w:val="21"/>
                <w:szCs w:val="21"/>
                <w:highlight w:val="none"/>
              </w:rPr>
            </w:r>
            <w:r/>
          </w:p>
        </w:tc>
      </w:tr>
      <w:tr>
        <w:trPr>
          <w:jc w:val="center"/>
          <w:trHeight w:val="567"/>
        </w:trPr>
        <w:tc>
          <w:tcPr>
            <w:tcW w:w="851"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6"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18"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40"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51"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44"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92"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51"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7"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92"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tcW w:w="851"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6"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18"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40"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51"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44"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92"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51"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7"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92"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tcW w:w="851"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6"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18"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40"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51"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44"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92"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51"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7"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92"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tcW w:w="851"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6"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18"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40"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51"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44"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92"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51"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7"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92"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tcW w:w="851"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6"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18"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40"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51"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44"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92"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51"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7"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92"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tcW w:w="851"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6"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18"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40"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51"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44"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92"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51"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7"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92"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tcW w:w="851"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6"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18"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40"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51"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44"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92"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51"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7"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92"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tcW w:w="851"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6"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18"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40"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51"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44"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92"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51"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7"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92"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jc w:val="both"/>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both"/>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r>
        <w:rPr>
          <w:rFonts w:hint="eastAsia" w:ascii="宋体" w:hAnsi="宋体" w:eastAsia="宋体" w:cs="宋体"/>
          <w:color w:val="auto"/>
          <w:sz w:val="21"/>
          <w:szCs w:val="21"/>
          <w:highlight w:val="none"/>
        </w:rPr>
        <w:t xml:space="preserve">附</w:t>
      </w:r>
      <w:bookmarkStart w:id="1048" w:name="_Toc296503226"/>
      <w:r/>
      <w:bookmarkStart w:id="1049" w:name="_Toc296346727"/>
      <w:r/>
      <w:bookmarkStart w:id="1050" w:name="_Toc296944565"/>
      <w:r/>
      <w:bookmarkStart w:id="1051" w:name="_Toc296347225"/>
      <w:r/>
      <w:bookmarkStart w:id="1052" w:name="_Toc296891266"/>
      <w:r/>
      <w:bookmarkStart w:id="1053" w:name="_Toc267261693"/>
      <w:r/>
      <w:bookmarkStart w:id="1054" w:name="_Toc296891054"/>
      <w:r>
        <w:rPr>
          <w:rFonts w:hint="eastAsia" w:ascii="宋体" w:hAnsi="宋体" w:eastAsia="宋体" w:cs="宋体"/>
          <w:color w:val="auto"/>
          <w:sz w:val="21"/>
          <w:szCs w:val="21"/>
          <w:highlight w:val="none"/>
        </w:rPr>
        <w:t xml:space="preserve">件3：</w:t>
      </w:r>
      <w:bookmarkEnd w:id="1048"/>
      <w:r/>
      <w:bookmarkEnd w:id="1049"/>
      <w:r/>
      <w:bookmarkEnd w:id="1050"/>
      <w:r/>
      <w:bookmarkEnd w:id="1051"/>
      <w:r/>
      <w:bookmarkEnd w:id="1052"/>
      <w:r/>
      <w:bookmarkEnd w:id="1053"/>
      <w:r/>
      <w:bookmarkEnd w:id="1054"/>
      <w:r/>
      <w:r/>
    </w:p>
    <w:p>
      <w:pPr>
        <w:jc w:val="center"/>
        <w:spacing w:before="120" w:after="120" w:line="44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工程质量保修书</w:t>
      </w:r>
      <w:r/>
    </w:p>
    <w:p>
      <w:pPr>
        <w:ind w:firstLine="420"/>
        <w:jc w:val="both"/>
        <w:spacing w:line="44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ind w:firstLine="42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发包人（全称）：江苏省中国科学院植物研究所</w:t>
      </w:r>
      <w:r/>
    </w:p>
    <w:p>
      <w:pPr>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　　承包人（全称）：          </w:t>
      </w:r>
      <w:r/>
    </w:p>
    <w:p>
      <w:pPr>
        <w:ind w:firstLine="42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发包人和承包人根据《中华人民共和国建筑法》和《建设工程质量管理条例》，经协商一致就</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签订工程质量保修书。</w:t>
      </w:r>
      <w:r/>
    </w:p>
    <w:p>
      <w:pPr>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　　一、工程质量保修范围和内容</w:t>
      </w:r>
      <w:r/>
    </w:p>
    <w:p>
      <w:pPr>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　　承包人在质量保修期内，按照有关法律规定和合同约定，承担工程质量保修责任。</w:t>
      </w:r>
      <w:r/>
    </w:p>
    <w:p>
      <w:pPr>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　　质量保修范围包括：防水工程、电气管线、给排水管道、设备安装和装修工程，以及双方约定的其他项目。具体保修的内容，双方约定如下：</w:t>
      </w:r>
      <w:r/>
    </w:p>
    <w:p>
      <w:pPr>
        <w:ind w:firstLine="60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u w:val="single"/>
          <w:lang w:eastAsia="zh-CN"/>
        </w:rPr>
        <w:t xml:space="preserve">但凡非人为原因及不可抗力（如地震、台风及海啸等）影响建设项目正常使用的情况均属保修内容。</w:t>
      </w:r>
      <w:r/>
    </w:p>
    <w:p>
      <w:pPr>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　　</w:t>
      </w:r>
      <w:r>
        <w:rPr>
          <w:rFonts w:hint="eastAsia" w:ascii="宋体" w:hAnsi="宋体" w:eastAsia="宋体" w:cs="宋体"/>
          <w:color w:val="auto"/>
          <w:sz w:val="21"/>
          <w:szCs w:val="21"/>
          <w:highlight w:val="none"/>
          <w:lang w:eastAsia="zh-CN"/>
        </w:rPr>
        <w:t xml:space="preserve">二、质量保修期</w:t>
      </w:r>
      <w:r/>
    </w:p>
    <w:p>
      <w:pPr>
        <w:ind w:firstLine="42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根据《建设工程质量管理条例》及有关规定，工程的质量保修期如下：</w:t>
      </w:r>
      <w:r/>
    </w:p>
    <w:p>
      <w:pPr>
        <w:ind w:firstLine="42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1．地基基础工程和主体结构工程为设计文件规定的工程合理使用年限；</w:t>
      </w:r>
      <w:r/>
    </w:p>
    <w:p>
      <w:pPr>
        <w:ind w:firstLine="42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2．屋面防水工程、有防水要求的卫生间、房间和外墙面的防渗为</w:t>
      </w:r>
      <w:r>
        <w:rPr>
          <w:rFonts w:hint="eastAsia" w:ascii="宋体" w:hAnsi="宋体" w:eastAsia="宋体" w:cs="宋体"/>
          <w:color w:val="auto"/>
          <w:sz w:val="21"/>
          <w:szCs w:val="21"/>
          <w:highlight w:val="none"/>
          <w:u w:val="single"/>
          <w:lang w:eastAsia="zh-CN"/>
        </w:rPr>
        <w:t xml:space="preserve">  5  </w:t>
      </w:r>
      <w:r>
        <w:rPr>
          <w:rFonts w:hint="eastAsia" w:ascii="宋体" w:hAnsi="宋体" w:eastAsia="宋体" w:cs="宋体"/>
          <w:color w:val="auto"/>
          <w:sz w:val="21"/>
          <w:szCs w:val="21"/>
          <w:highlight w:val="none"/>
          <w:lang w:eastAsia="zh-CN"/>
        </w:rPr>
        <w:t xml:space="preserve">年；</w:t>
      </w:r>
      <w:r/>
    </w:p>
    <w:p>
      <w:pPr>
        <w:ind w:left="440" w:firstLine="105"/>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3．装修工程为</w:t>
      </w:r>
      <w:r>
        <w:rPr>
          <w:rFonts w:hint="eastAsia" w:ascii="宋体" w:hAnsi="宋体" w:eastAsia="宋体" w:cs="宋体"/>
          <w:color w:val="auto"/>
          <w:sz w:val="21"/>
          <w:szCs w:val="21"/>
          <w:highlight w:val="none"/>
          <w:u w:val="single"/>
          <w:lang w:eastAsia="zh-CN"/>
        </w:rPr>
        <w:t xml:space="preserve">2</w:t>
      </w:r>
      <w:r>
        <w:rPr>
          <w:rFonts w:hint="eastAsia" w:ascii="宋体" w:hAnsi="宋体" w:eastAsia="宋体" w:cs="宋体"/>
          <w:color w:val="auto"/>
          <w:sz w:val="21"/>
          <w:szCs w:val="21"/>
          <w:highlight w:val="none"/>
          <w:lang w:eastAsia="zh-CN"/>
        </w:rPr>
        <w:t xml:space="preserve">年；</w:t>
      </w:r>
      <w:r/>
    </w:p>
    <w:p>
      <w:pPr>
        <w:ind w:left="440" w:firstLine="105"/>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4．电气管线、给排水管道、设备安装工程为</w:t>
      </w:r>
      <w:r>
        <w:rPr>
          <w:rFonts w:hint="eastAsia" w:ascii="宋体" w:hAnsi="宋体" w:eastAsia="宋体" w:cs="宋体"/>
          <w:color w:val="auto"/>
          <w:sz w:val="21"/>
          <w:szCs w:val="21"/>
          <w:highlight w:val="none"/>
          <w:u w:val="single"/>
          <w:lang w:eastAsia="zh-CN"/>
        </w:rPr>
        <w:t xml:space="preserve">2</w:t>
      </w:r>
      <w:r>
        <w:rPr>
          <w:rFonts w:hint="eastAsia" w:ascii="宋体" w:hAnsi="宋体" w:eastAsia="宋体" w:cs="宋体"/>
          <w:color w:val="auto"/>
          <w:sz w:val="21"/>
          <w:szCs w:val="21"/>
          <w:highlight w:val="none"/>
          <w:lang w:eastAsia="zh-CN"/>
        </w:rPr>
        <w:t xml:space="preserve">年；</w:t>
      </w:r>
      <w:r/>
    </w:p>
    <w:p>
      <w:pPr>
        <w:ind w:left="440" w:firstLine="105"/>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5．供热与供冷系统为</w:t>
      </w:r>
      <w:r>
        <w:rPr>
          <w:rFonts w:hint="eastAsia" w:ascii="宋体" w:hAnsi="宋体" w:eastAsia="宋体" w:cs="宋体"/>
          <w:color w:val="auto"/>
          <w:sz w:val="21"/>
          <w:szCs w:val="21"/>
          <w:highlight w:val="none"/>
          <w:u w:val="single"/>
          <w:lang w:eastAsia="zh-CN"/>
        </w:rPr>
        <w:t xml:space="preserve">2</w:t>
      </w:r>
      <w:r>
        <w:rPr>
          <w:rFonts w:hint="eastAsia" w:ascii="宋体" w:hAnsi="宋体" w:eastAsia="宋体" w:cs="宋体"/>
          <w:color w:val="auto"/>
          <w:sz w:val="21"/>
          <w:szCs w:val="21"/>
          <w:highlight w:val="none"/>
          <w:lang w:eastAsia="zh-CN"/>
        </w:rPr>
        <w:t xml:space="preserve">个采暖期、供冷期；</w:t>
      </w:r>
      <w:r/>
    </w:p>
    <w:p>
      <w:pPr>
        <w:ind w:left="440" w:firstLine="105"/>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6．住宅小区内的给排水设施、道路等配套工程为</w:t>
      </w:r>
      <w:r>
        <w:rPr>
          <w:rFonts w:hint="eastAsia" w:ascii="宋体" w:hAnsi="宋体" w:eastAsia="宋体" w:cs="宋体"/>
          <w:color w:val="auto"/>
          <w:sz w:val="21"/>
          <w:szCs w:val="21"/>
          <w:highlight w:val="none"/>
          <w:u w:val="single"/>
          <w:lang w:eastAsia="zh-CN"/>
        </w:rPr>
        <w:t xml:space="preserve">2</w:t>
      </w:r>
      <w:r>
        <w:rPr>
          <w:rFonts w:hint="eastAsia" w:ascii="宋体" w:hAnsi="宋体" w:eastAsia="宋体" w:cs="宋体"/>
          <w:color w:val="auto"/>
          <w:sz w:val="21"/>
          <w:szCs w:val="21"/>
          <w:highlight w:val="none"/>
          <w:lang w:eastAsia="zh-CN"/>
        </w:rPr>
        <w:t xml:space="preserve">年；</w:t>
      </w:r>
      <w:r/>
    </w:p>
    <w:p>
      <w:pPr>
        <w:ind w:left="440" w:firstLine="105"/>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7．其他项目保修期限约定如下：</w:t>
      </w:r>
      <w:r>
        <w:rPr>
          <w:rFonts w:hint="eastAsia" w:ascii="宋体" w:hAnsi="宋体" w:eastAsia="宋体" w:cs="宋体"/>
          <w:color w:val="auto"/>
          <w:sz w:val="21"/>
          <w:szCs w:val="21"/>
          <w:highlight w:val="none"/>
          <w:u w:val="single"/>
          <w:lang w:eastAsia="zh-CN"/>
        </w:rPr>
        <w:t xml:space="preserve">其他工程为2年</w:t>
      </w:r>
      <w:r>
        <w:rPr>
          <w:rFonts w:hint="eastAsia" w:ascii="宋体" w:hAnsi="宋体" w:eastAsia="宋体" w:cs="宋体"/>
          <w:color w:val="auto"/>
          <w:sz w:val="21"/>
          <w:szCs w:val="21"/>
          <w:highlight w:val="none"/>
          <w:lang w:eastAsia="zh-CN"/>
        </w:rPr>
        <w:t xml:space="preserve">。</w:t>
      </w:r>
      <w:r/>
    </w:p>
    <w:p>
      <w:pPr>
        <w:ind w:firstLine="60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质量保修期自工程竣工验收合格之日起计算。</w:t>
      </w:r>
      <w:r/>
    </w:p>
    <w:p>
      <w:pPr>
        <w:ind w:firstLine="42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三、缺陷责任期</w:t>
      </w:r>
      <w:r/>
    </w:p>
    <w:p>
      <w:pPr>
        <w:ind w:firstLine="42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工程缺陷责任期为</w:t>
      </w:r>
      <w:r>
        <w:rPr>
          <w:rFonts w:hint="eastAsia" w:ascii="宋体" w:hAnsi="宋体" w:eastAsia="宋体" w:cs="宋体"/>
          <w:color w:val="auto"/>
          <w:sz w:val="21"/>
          <w:szCs w:val="21"/>
          <w:highlight w:val="none"/>
          <w:u w:val="single"/>
          <w:lang w:eastAsia="zh-CN"/>
        </w:rPr>
        <w:t xml:space="preserve">24</w:t>
      </w:r>
      <w:r>
        <w:rPr>
          <w:rFonts w:hint="eastAsia" w:ascii="宋体" w:hAnsi="宋体" w:eastAsia="宋体" w:cs="宋体"/>
          <w:color w:val="auto"/>
          <w:sz w:val="21"/>
          <w:szCs w:val="21"/>
          <w:highlight w:val="none"/>
          <w:lang w:eastAsia="zh-CN"/>
        </w:rPr>
        <w:t xml:space="preserve">个月，缺陷责任期自工程通过竣工验收之次日起计算。单位工程先于全部工程进行验收，单位工程缺陷责任期自单位工程验收合格之日起算。</w:t>
      </w:r>
      <w:r/>
    </w:p>
    <w:p>
      <w:pPr>
        <w:ind w:firstLine="42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缺陷责任期终止后，发包人应退还剩余的质量保证金。</w:t>
      </w:r>
      <w:r/>
    </w:p>
    <w:p>
      <w:pPr>
        <w:ind w:firstLine="42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四、质量保修责任</w:t>
      </w:r>
      <w:r/>
    </w:p>
    <w:p>
      <w:pPr>
        <w:ind w:left="110" w:firstLine="43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1．属于保修范围、内容的项目，承包人应当在接到保修通知之日起7天内派人保修。承包人不在约定期限内派人保修的，发包人可以委托他人修理，费用由承包人承担。</w:t>
      </w:r>
      <w:r/>
    </w:p>
    <w:p>
      <w:pPr>
        <w:ind w:left="110" w:firstLine="43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2．发生紧急事故需抢修的，承包人在接到事故通知后，应当立即到达事故现场抢修。</w:t>
      </w:r>
      <w:r/>
    </w:p>
    <w:p>
      <w:pPr>
        <w:ind w:left="110" w:firstLine="43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110" w:firstLine="43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4．质量保修完成后，由发包人组织验收。</w:t>
      </w:r>
      <w:r/>
    </w:p>
    <w:p>
      <w:pPr>
        <w:ind w:left="110" w:firstLine="43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五、保修费用</w:t>
      </w:r>
      <w:r/>
    </w:p>
    <w:p>
      <w:pPr>
        <w:ind w:left="110" w:firstLine="43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保修费用由造成质量缺陷的责任方承担。</w:t>
      </w:r>
      <w:r/>
    </w:p>
    <w:p>
      <w:pPr>
        <w:numPr>
          <w:ilvl w:val="0"/>
          <w:numId w:val="4"/>
        </w:numPr>
        <w:ind w:left="110" w:firstLine="43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双方约定的其他工程质量保修事项：</w:t>
      </w:r>
      <w:r/>
    </w:p>
    <w:p>
      <w:pPr>
        <w:ind w:left="110" w:firstLine="43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1、发包人指定发包人现场代表负责协调保修具体事宜。</w:t>
      </w:r>
      <w:r/>
    </w:p>
    <w:p>
      <w:pPr>
        <w:ind w:left="110" w:firstLine="43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2、本工程质量保修书，由施工合同发包人、承包人双方共同签署，作为施工合同附件，其有效期限至保修期满。</w:t>
      </w:r>
      <w:r/>
    </w:p>
    <w:p>
      <w:pPr>
        <w:ind w:left="110" w:firstLine="43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3、本保修书经承、发包双方签章后生效，未尽事宜由双方另行签订补充条款进行约定。任何一方不得擅自变更或解除本保修书。</w:t>
      </w:r>
      <w:r/>
    </w:p>
    <w:p>
      <w:pPr>
        <w:ind w:firstLine="399"/>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工程质量保修书由发包人、承包人在工程竣工验收前共同签署，作为施工合同附件，其有效期限至保修期满。</w:t>
      </w:r>
      <w:r/>
    </w:p>
    <w:p>
      <w:pPr>
        <w:ind w:firstLine="42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发包人(公章)：                      承包人(公章)：</w:t>
      </w:r>
      <w:r/>
    </w:p>
    <w:p>
      <w:pPr>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地址：                              地  址：</w:t>
      </w:r>
      <w:r/>
    </w:p>
    <w:p>
      <w:pPr>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法定代表人(签名)：                  法定代表人(签名)：</w:t>
      </w:r>
      <w:r/>
    </w:p>
    <w:p>
      <w:pPr>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委托代理人(签名)：                  委托代理人(签名)：</w:t>
      </w:r>
      <w:r/>
    </w:p>
    <w:p>
      <w:pPr>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电  话：                           电  话：</w:t>
      </w:r>
      <w:r/>
    </w:p>
    <w:p>
      <w:pPr>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传  真：                           传  真：</w:t>
      </w:r>
      <w:r/>
    </w:p>
    <w:p>
      <w:pPr>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开户银行：                         开户银行：</w:t>
      </w:r>
      <w:r/>
    </w:p>
    <w:p>
      <w:pPr>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账  号：                           账 号：</w:t>
      </w:r>
      <w:r/>
    </w:p>
    <w:p>
      <w:pPr>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邮政编码：</w:t>
      </w:r>
      <w:r/>
    </w:p>
    <w:p>
      <w:pPr>
        <w:jc w:val="both"/>
        <w:spacing w:line="440" w:lineRule="exact"/>
        <w:rPr>
          <w:rFonts w:hint="eastAsia" w:ascii="宋体" w:hAnsi="宋体" w:eastAsia="宋体" w:cs="宋体"/>
          <w:color w:val="auto"/>
          <w:sz w:val="21"/>
          <w:szCs w:val="21"/>
          <w:highlight w:val="none"/>
          <w:lang w:eastAsia="zh-CN"/>
        </w:rPr>
      </w:pPr>
      <w:r>
        <w:rPr>
          <w:rFonts w:hint="eastAsia" w:ascii="宋体" w:hAnsi="宋体" w:eastAsia="宋体" w:cs="宋体"/>
          <w:b/>
          <w:color w:val="auto"/>
          <w:sz w:val="21"/>
          <w:szCs w:val="21"/>
          <w:highlight w:val="none"/>
          <w:lang w:eastAsia="zh-CN"/>
        </w:rPr>
        <w:br w:type="page" w:clear="all"/>
      </w:r>
      <w:r>
        <w:rPr>
          <w:rFonts w:hint="eastAsia" w:ascii="宋体" w:hAnsi="宋体" w:eastAsia="宋体" w:cs="宋体"/>
          <w:color w:val="auto"/>
          <w:sz w:val="21"/>
          <w:szCs w:val="21"/>
          <w:highlight w:val="none"/>
          <w:lang w:eastAsia="zh-CN"/>
        </w:rPr>
        <w:t xml:space="preserve">附件4：</w:t>
      </w:r>
      <w:r/>
    </w:p>
    <w:p>
      <w:pPr>
        <w:jc w:val="center"/>
        <w:spacing w:before="120" w:after="120" w:line="44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主要建设工程文件目录</w:t>
      </w:r>
      <w:r/>
    </w:p>
    <w:tbl>
      <w:tblPr>
        <w:tblStyle w:val="776"/>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450"/>
        <w:gridCol w:w="1243"/>
        <w:gridCol w:w="1450"/>
        <w:gridCol w:w="1667"/>
      </w:tblGrid>
      <w:tr>
        <w:trPr>
          <w:jc w:val="center"/>
        </w:trPr>
        <w:tc>
          <w:tcPr>
            <w:tcBorders>
              <w:top w:val="single" w:color="auto" w:sz="12" w:space="0"/>
              <w:bottom w:val="single" w:color="auto" w:sz="6" w:space="0"/>
            </w:tcBorders>
            <w:tcW w:w="1953"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t xml:space="preserve">文件名称</w:t>
            </w:r>
            <w:r/>
          </w:p>
        </w:tc>
        <w:tc>
          <w:tcPr>
            <w:tcBorders>
              <w:top w:val="single" w:color="auto" w:sz="12" w:space="0"/>
              <w:bottom w:val="single" w:color="auto" w:sz="6" w:space="0"/>
            </w:tcBorders>
            <w:tcW w:w="1276"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t xml:space="preserve">套数</w:t>
            </w:r>
            <w:r/>
          </w:p>
        </w:tc>
        <w:tc>
          <w:tcPr>
            <w:tcBorders>
              <w:top w:val="single" w:color="auto" w:sz="12" w:space="0"/>
              <w:bottom w:val="single" w:color="auto" w:sz="6" w:space="0"/>
            </w:tcBorders>
            <w:tcW w:w="1450"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t xml:space="preserve">费用（元）</w:t>
            </w:r>
            <w:r/>
          </w:p>
        </w:tc>
        <w:tc>
          <w:tcPr>
            <w:tcBorders>
              <w:top w:val="single" w:color="auto" w:sz="12" w:space="0"/>
              <w:bottom w:val="single" w:color="auto" w:sz="6" w:space="0"/>
            </w:tcBorders>
            <w:tcW w:w="1243"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t xml:space="preserve">质量</w:t>
            </w:r>
            <w:r/>
          </w:p>
        </w:tc>
        <w:tc>
          <w:tcPr>
            <w:tcBorders>
              <w:top w:val="single" w:color="auto" w:sz="12" w:space="0"/>
              <w:bottom w:val="single" w:color="auto" w:sz="6" w:space="0"/>
            </w:tcBorders>
            <w:tcW w:w="1450" w:type="dxa"/>
            <w:vAlign w:val="top"/>
            <w:textDirection w:val="lrTb"/>
            <w:noWrap w:val="false"/>
          </w:tcPr>
          <w:p>
            <w:pPr>
              <w:jc w:val="both"/>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移交时间</w:t>
            </w:r>
            <w:r/>
          </w:p>
        </w:tc>
        <w:tc>
          <w:tcPr>
            <w:tcBorders>
              <w:top w:val="single" w:color="auto" w:sz="12" w:space="0"/>
              <w:bottom w:val="single" w:color="auto" w:sz="6" w:space="0"/>
            </w:tcBorders>
            <w:tcW w:w="1667" w:type="dxa"/>
            <w:vAlign w:val="top"/>
            <w:textDirection w:val="lrTb"/>
            <w:noWrap w:val="false"/>
          </w:tcPr>
          <w:p>
            <w:pPr>
              <w:jc w:val="both"/>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责任人</w:t>
            </w:r>
            <w:r/>
          </w:p>
        </w:tc>
      </w:tr>
      <w:tr>
        <w:trPr>
          <w:jc w:val="center"/>
          <w:trHeight w:val="567"/>
        </w:trPr>
        <w:tc>
          <w:tcPr>
            <w:tcBorders>
              <w:top w:val="single" w:color="auto" w:sz="6" w:space="0"/>
              <w:bottom w:val="single" w:color="auto" w:sz="6" w:space="0"/>
            </w:tcBorders>
            <w:tcW w:w="1953"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Borders>
              <w:top w:val="single" w:color="auto" w:sz="6" w:space="0"/>
              <w:bottom w:val="single" w:color="auto" w:sz="6" w:space="0"/>
            </w:tcBorders>
            <w:tcW w:w="1276"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Borders>
              <w:top w:val="single" w:color="auto" w:sz="6" w:space="0"/>
              <w:bottom w:val="single" w:color="auto" w:sz="6" w:space="0"/>
            </w:tcBorders>
            <w:tcW w:w="1450"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Borders>
              <w:top w:val="single" w:color="auto" w:sz="6" w:space="0"/>
              <w:bottom w:val="single" w:color="auto" w:sz="6" w:space="0"/>
            </w:tcBorders>
            <w:tcW w:w="1243"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Borders>
              <w:top w:val="single" w:color="auto" w:sz="6" w:space="0"/>
              <w:bottom w:val="single" w:color="auto" w:sz="6" w:space="0"/>
            </w:tcBorders>
            <w:tcW w:w="1450"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Borders>
              <w:top w:val="single" w:color="auto" w:sz="6" w:space="0"/>
              <w:bottom w:val="single" w:color="auto" w:sz="6" w:space="0"/>
            </w:tcBorders>
            <w:tcW w:w="1667"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r>
      <w:tr>
        <w:trPr>
          <w:jc w:val="center"/>
          <w:trHeight w:val="567"/>
        </w:trPr>
        <w:tc>
          <w:tcPr>
            <w:tcBorders>
              <w:top w:val="none" w:color="000000" w:sz="4" w:space="0"/>
            </w:tcBorders>
            <w:tcW w:w="1953"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Borders>
              <w:top w:val="none" w:color="000000" w:sz="4" w:space="0"/>
            </w:tcBorders>
            <w:tcW w:w="1276"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Borders>
              <w:top w:val="none" w:color="000000" w:sz="4" w:space="0"/>
            </w:tcBorders>
            <w:tcW w:w="1450"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Borders>
              <w:top w:val="none" w:color="000000" w:sz="4" w:space="0"/>
            </w:tcBorders>
            <w:tcW w:w="1243"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Borders>
              <w:top w:val="none" w:color="000000" w:sz="4" w:space="0"/>
            </w:tcBorders>
            <w:tcW w:w="1450"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Borders>
              <w:top w:val="none" w:color="000000" w:sz="4" w:space="0"/>
            </w:tcBorders>
            <w:tcW w:w="1667"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r>
      <w:tr>
        <w:trPr>
          <w:jc w:val="center"/>
          <w:trHeight w:val="567"/>
        </w:trPr>
        <w:tc>
          <w:tcPr>
            <w:tcW w:w="1953"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276"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450"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243"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450"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667"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r>
      <w:tr>
        <w:trPr>
          <w:jc w:val="center"/>
          <w:trHeight w:val="567"/>
        </w:trPr>
        <w:tc>
          <w:tcPr>
            <w:tcW w:w="1953"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276"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450"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243"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450"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667"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r>
      <w:tr>
        <w:trPr>
          <w:jc w:val="center"/>
          <w:trHeight w:val="567"/>
        </w:trPr>
        <w:tc>
          <w:tcPr>
            <w:tcW w:w="1953"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276"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450"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243"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450"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667"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r>
      <w:tr>
        <w:trPr>
          <w:jc w:val="center"/>
          <w:trHeight w:val="567"/>
        </w:trPr>
        <w:tc>
          <w:tcPr>
            <w:tcW w:w="1953"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276"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450"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243"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450"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667"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r>
      <w:tr>
        <w:trPr>
          <w:jc w:val="center"/>
          <w:trHeight w:val="567"/>
        </w:trPr>
        <w:tc>
          <w:tcPr>
            <w:tcW w:w="1953"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276"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450"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243"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450"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667"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r>
      <w:tr>
        <w:trPr>
          <w:jc w:val="center"/>
          <w:trHeight w:val="567"/>
        </w:trPr>
        <w:tc>
          <w:tcPr>
            <w:tcW w:w="1953"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276"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450"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243"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450"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667"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r>
      <w:tr>
        <w:trPr>
          <w:jc w:val="center"/>
          <w:trHeight w:val="567"/>
        </w:trPr>
        <w:tc>
          <w:tcPr>
            <w:tcW w:w="1953" w:type="dxa"/>
            <w:vAlign w:val="top"/>
            <w:textDirection w:val="lrTb"/>
            <w:noWrap w:val="false"/>
          </w:tcPr>
          <w:p>
            <w:pPr>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6" w:type="dxa"/>
            <w:vAlign w:val="top"/>
            <w:textDirection w:val="lrTb"/>
            <w:noWrap w:val="false"/>
          </w:tcPr>
          <w:p>
            <w:pPr>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50" w:type="dxa"/>
            <w:vAlign w:val="top"/>
            <w:textDirection w:val="lrTb"/>
            <w:noWrap w:val="false"/>
          </w:tcPr>
          <w:p>
            <w:pPr>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43" w:type="dxa"/>
            <w:vAlign w:val="top"/>
            <w:textDirection w:val="lrTb"/>
            <w:noWrap w:val="false"/>
          </w:tcPr>
          <w:p>
            <w:pPr>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50" w:type="dxa"/>
            <w:vAlign w:val="top"/>
            <w:textDirection w:val="lrTb"/>
            <w:noWrap w:val="false"/>
          </w:tcPr>
          <w:p>
            <w:pPr>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67" w:type="dxa"/>
            <w:vAlign w:val="top"/>
            <w:textDirection w:val="lrTb"/>
            <w:noWrap w:val="false"/>
          </w:tcPr>
          <w:p>
            <w:pPr>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tcW w:w="1953"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276"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450"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243"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450"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667"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r>
      <w:tr>
        <w:trPr>
          <w:jc w:val="center"/>
          <w:trHeight w:val="567"/>
        </w:trPr>
        <w:tc>
          <w:tcPr>
            <w:tcW w:w="1953" w:type="dxa"/>
            <w:vAlign w:val="top"/>
            <w:textDirection w:val="lrTb"/>
            <w:noWrap w:val="false"/>
          </w:tcPr>
          <w:p>
            <w:pPr>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6" w:type="dxa"/>
            <w:vAlign w:val="top"/>
            <w:textDirection w:val="lrTb"/>
            <w:noWrap w:val="false"/>
          </w:tcPr>
          <w:p>
            <w:pPr>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50" w:type="dxa"/>
            <w:vAlign w:val="top"/>
            <w:textDirection w:val="lrTb"/>
            <w:noWrap w:val="false"/>
          </w:tcPr>
          <w:p>
            <w:pPr>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43" w:type="dxa"/>
            <w:vAlign w:val="top"/>
            <w:textDirection w:val="lrTb"/>
            <w:noWrap w:val="false"/>
          </w:tcPr>
          <w:p>
            <w:pPr>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50" w:type="dxa"/>
            <w:vAlign w:val="top"/>
            <w:textDirection w:val="lrTb"/>
            <w:noWrap w:val="false"/>
          </w:tcPr>
          <w:p>
            <w:pPr>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67" w:type="dxa"/>
            <w:vAlign w:val="top"/>
            <w:textDirection w:val="lrTb"/>
            <w:noWrap w:val="false"/>
          </w:tcPr>
          <w:p>
            <w:pPr>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tcW w:w="1953" w:type="dxa"/>
            <w:vAlign w:val="top"/>
            <w:textDirection w:val="lrTb"/>
            <w:noWrap w:val="false"/>
          </w:tcPr>
          <w:p>
            <w:pPr>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6" w:type="dxa"/>
            <w:vAlign w:val="top"/>
            <w:textDirection w:val="lrTb"/>
            <w:noWrap w:val="false"/>
          </w:tcPr>
          <w:p>
            <w:pPr>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50" w:type="dxa"/>
            <w:vAlign w:val="top"/>
            <w:textDirection w:val="lrTb"/>
            <w:noWrap w:val="false"/>
          </w:tcPr>
          <w:p>
            <w:pPr>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43" w:type="dxa"/>
            <w:vAlign w:val="top"/>
            <w:textDirection w:val="lrTb"/>
            <w:noWrap w:val="false"/>
          </w:tcPr>
          <w:p>
            <w:pPr>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50" w:type="dxa"/>
            <w:vAlign w:val="top"/>
            <w:textDirection w:val="lrTb"/>
            <w:noWrap w:val="false"/>
          </w:tcPr>
          <w:p>
            <w:pPr>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67" w:type="dxa"/>
            <w:vAlign w:val="top"/>
            <w:textDirection w:val="lrTb"/>
            <w:noWrap w:val="false"/>
          </w:tcPr>
          <w:p>
            <w:pPr>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tcW w:w="1953" w:type="dxa"/>
            <w:vAlign w:val="top"/>
            <w:textDirection w:val="lrTb"/>
            <w:noWrap w:val="false"/>
          </w:tcPr>
          <w:p>
            <w:pPr>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6" w:type="dxa"/>
            <w:vAlign w:val="top"/>
            <w:textDirection w:val="lrTb"/>
            <w:noWrap w:val="false"/>
          </w:tcPr>
          <w:p>
            <w:pPr>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50" w:type="dxa"/>
            <w:vAlign w:val="top"/>
            <w:textDirection w:val="lrTb"/>
            <w:noWrap w:val="false"/>
          </w:tcPr>
          <w:p>
            <w:pPr>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43" w:type="dxa"/>
            <w:vAlign w:val="top"/>
            <w:textDirection w:val="lrTb"/>
            <w:noWrap w:val="false"/>
          </w:tcPr>
          <w:p>
            <w:pPr>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50" w:type="dxa"/>
            <w:vAlign w:val="top"/>
            <w:textDirection w:val="lrTb"/>
            <w:noWrap w:val="false"/>
          </w:tcPr>
          <w:p>
            <w:pPr>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67" w:type="dxa"/>
            <w:vAlign w:val="top"/>
            <w:textDirection w:val="lrTb"/>
            <w:noWrap w:val="false"/>
          </w:tcPr>
          <w:p>
            <w:pPr>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tcW w:w="1953" w:type="dxa"/>
            <w:vAlign w:val="top"/>
            <w:textDirection w:val="lrTb"/>
            <w:noWrap w:val="false"/>
          </w:tcPr>
          <w:p>
            <w:pPr>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6" w:type="dxa"/>
            <w:vAlign w:val="top"/>
            <w:textDirection w:val="lrTb"/>
            <w:noWrap w:val="false"/>
          </w:tcPr>
          <w:p>
            <w:pPr>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50" w:type="dxa"/>
            <w:vAlign w:val="top"/>
            <w:textDirection w:val="lrTb"/>
            <w:noWrap w:val="false"/>
          </w:tcPr>
          <w:p>
            <w:pPr>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43" w:type="dxa"/>
            <w:vAlign w:val="top"/>
            <w:textDirection w:val="lrTb"/>
            <w:noWrap w:val="false"/>
          </w:tcPr>
          <w:p>
            <w:pPr>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50" w:type="dxa"/>
            <w:vAlign w:val="top"/>
            <w:textDirection w:val="lrTb"/>
            <w:noWrap w:val="false"/>
          </w:tcPr>
          <w:p>
            <w:pPr>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67" w:type="dxa"/>
            <w:vAlign w:val="top"/>
            <w:textDirection w:val="lrTb"/>
            <w:noWrap w:val="false"/>
          </w:tcPr>
          <w:p>
            <w:pPr>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tcW w:w="1953" w:type="dxa"/>
            <w:vAlign w:val="top"/>
            <w:textDirection w:val="lrTb"/>
            <w:noWrap w:val="false"/>
          </w:tcPr>
          <w:p>
            <w:pPr>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6" w:type="dxa"/>
            <w:vAlign w:val="top"/>
            <w:textDirection w:val="lrTb"/>
            <w:noWrap w:val="false"/>
          </w:tcPr>
          <w:p>
            <w:pPr>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50" w:type="dxa"/>
            <w:vAlign w:val="top"/>
            <w:textDirection w:val="lrTb"/>
            <w:noWrap w:val="false"/>
          </w:tcPr>
          <w:p>
            <w:pPr>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43" w:type="dxa"/>
            <w:vAlign w:val="top"/>
            <w:textDirection w:val="lrTb"/>
            <w:noWrap w:val="false"/>
          </w:tcPr>
          <w:p>
            <w:pPr>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50" w:type="dxa"/>
            <w:vAlign w:val="top"/>
            <w:textDirection w:val="lrTb"/>
            <w:noWrap w:val="false"/>
          </w:tcPr>
          <w:p>
            <w:pPr>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67" w:type="dxa"/>
            <w:vAlign w:val="top"/>
            <w:textDirection w:val="lrTb"/>
            <w:noWrap w:val="false"/>
          </w:tcPr>
          <w:p>
            <w:pPr>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tcW w:w="1953" w:type="dxa"/>
            <w:vAlign w:val="top"/>
            <w:textDirection w:val="lrTb"/>
            <w:noWrap w:val="false"/>
          </w:tcPr>
          <w:p>
            <w:pPr>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6" w:type="dxa"/>
            <w:vAlign w:val="top"/>
            <w:textDirection w:val="lrTb"/>
            <w:noWrap w:val="false"/>
          </w:tcPr>
          <w:p>
            <w:pPr>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50" w:type="dxa"/>
            <w:vAlign w:val="top"/>
            <w:textDirection w:val="lrTb"/>
            <w:noWrap w:val="false"/>
          </w:tcPr>
          <w:p>
            <w:pPr>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43" w:type="dxa"/>
            <w:vAlign w:val="top"/>
            <w:textDirection w:val="lrTb"/>
            <w:noWrap w:val="false"/>
          </w:tcPr>
          <w:p>
            <w:pPr>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50" w:type="dxa"/>
            <w:vAlign w:val="top"/>
            <w:textDirection w:val="lrTb"/>
            <w:noWrap w:val="false"/>
          </w:tcPr>
          <w:p>
            <w:pPr>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67" w:type="dxa"/>
            <w:vAlign w:val="top"/>
            <w:textDirection w:val="lrTb"/>
            <w:noWrap w:val="false"/>
          </w:tcPr>
          <w:p>
            <w:pPr>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jc w:val="both"/>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r>
        <w:rPr>
          <w:rFonts w:hint="eastAsia" w:ascii="宋体" w:hAnsi="宋体" w:eastAsia="宋体" w:cs="宋体"/>
          <w:color w:val="auto"/>
          <w:sz w:val="21"/>
          <w:szCs w:val="21"/>
          <w:highlight w:val="none"/>
        </w:rPr>
        <w:t xml:space="preserve">附</w:t>
      </w:r>
      <w:bookmarkStart w:id="1055" w:name="_Toc296891055"/>
      <w:r/>
      <w:bookmarkStart w:id="1056" w:name="_Toc267261698"/>
      <w:r/>
      <w:bookmarkStart w:id="1057" w:name="_Toc296347226"/>
      <w:r/>
      <w:bookmarkStart w:id="1058" w:name="_Toc296891267"/>
      <w:r/>
      <w:bookmarkStart w:id="1059" w:name="_Toc296944566"/>
      <w:r/>
      <w:bookmarkStart w:id="1060" w:name="_Toc296503227"/>
      <w:r/>
      <w:bookmarkStart w:id="1061" w:name="_Toc296346728"/>
      <w:r>
        <w:rPr>
          <w:rFonts w:hint="eastAsia" w:ascii="宋体" w:hAnsi="宋体" w:eastAsia="宋体" w:cs="宋体"/>
          <w:color w:val="auto"/>
          <w:sz w:val="21"/>
          <w:szCs w:val="21"/>
          <w:highlight w:val="none"/>
        </w:rPr>
        <w:t xml:space="preserve">件5：</w:t>
      </w:r>
      <w:bookmarkEnd w:id="1055"/>
      <w:bookmarkEnd w:id="1056"/>
      <w:bookmarkEnd w:id="1057"/>
      <w:bookmarkEnd w:id="1058"/>
      <w:bookmarkEnd w:id="1059"/>
      <w:bookmarkEnd w:id="1060"/>
      <w:bookmarkEnd w:id="1061"/>
      <w:r/>
    </w:p>
    <w:p>
      <w:pPr>
        <w:jc w:val="center"/>
        <w:spacing w:before="120" w:after="12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承包人用于本工程施工的机械设备表</w:t>
      </w:r>
      <w:r/>
    </w:p>
    <w:tbl>
      <w:tblPr>
        <w:tblStyle w:val="776"/>
        <w:tblW w:w="9448"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624"/>
        <w:gridCol w:w="1667"/>
        <w:gridCol w:w="1280"/>
        <w:gridCol w:w="825"/>
        <w:gridCol w:w="835"/>
        <w:gridCol w:w="1301"/>
        <w:gridCol w:w="1072"/>
        <w:gridCol w:w="969"/>
        <w:gridCol w:w="875"/>
      </w:tblGrid>
      <w:tr>
        <w:trPr>
          <w:jc w:val="center"/>
          <w:trHeight w:val="805"/>
        </w:trPr>
        <w:tc>
          <w:tcPr>
            <w:tcBorders>
              <w:top w:val="single" w:color="auto" w:sz="12" w:space="0"/>
              <w:bottom w:val="single" w:color="auto" w:sz="6" w:space="0"/>
            </w:tcBorders>
            <w:tcW w:w="624"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t xml:space="preserve">序号</w:t>
            </w:r>
            <w:r/>
          </w:p>
        </w:tc>
        <w:tc>
          <w:tcPr>
            <w:tcBorders>
              <w:top w:val="single" w:color="auto" w:sz="12" w:space="0"/>
              <w:bottom w:val="single" w:color="auto" w:sz="6" w:space="0"/>
            </w:tcBorders>
            <w:tcW w:w="1667"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t xml:space="preserve">机械或设备名称</w:t>
            </w:r>
            <w:r/>
          </w:p>
        </w:tc>
        <w:tc>
          <w:tcPr>
            <w:tcBorders>
              <w:top w:val="single" w:color="auto" w:sz="12" w:space="0"/>
              <w:bottom w:val="single" w:color="auto" w:sz="6" w:space="0"/>
            </w:tcBorders>
            <w:tcW w:w="1280"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t xml:space="preserve">规格型号</w:t>
            </w:r>
            <w:r/>
          </w:p>
        </w:tc>
        <w:tc>
          <w:tcPr>
            <w:tcBorders>
              <w:top w:val="single" w:color="auto" w:sz="12" w:space="0"/>
              <w:bottom w:val="single" w:color="auto" w:sz="6" w:space="0"/>
            </w:tcBorders>
            <w:tcW w:w="825"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t xml:space="preserve">数量</w:t>
            </w:r>
            <w:r/>
          </w:p>
        </w:tc>
        <w:tc>
          <w:tcPr>
            <w:tcBorders>
              <w:top w:val="single" w:color="auto" w:sz="12" w:space="0"/>
              <w:bottom w:val="single" w:color="auto" w:sz="6" w:space="0"/>
            </w:tcBorders>
            <w:tcW w:w="835"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t xml:space="preserve">产地</w:t>
            </w:r>
            <w:r/>
          </w:p>
        </w:tc>
        <w:tc>
          <w:tcPr>
            <w:tcBorders>
              <w:top w:val="single" w:color="auto" w:sz="12" w:space="0"/>
              <w:bottom w:val="single" w:color="auto" w:sz="6" w:space="0"/>
            </w:tcBorders>
            <w:tcW w:w="1301"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t xml:space="preserve">制造年份</w:t>
            </w:r>
            <w:r/>
          </w:p>
        </w:tc>
        <w:tc>
          <w:tcPr>
            <w:tcBorders>
              <w:top w:val="single" w:color="auto" w:sz="12" w:space="0"/>
              <w:bottom w:val="single" w:color="auto" w:sz="6" w:space="0"/>
            </w:tcBorders>
            <w:tcW w:w="1072"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t xml:space="preserve">额定功率(kW)</w:t>
            </w:r>
            <w:r/>
          </w:p>
        </w:tc>
        <w:tc>
          <w:tcPr>
            <w:tcBorders>
              <w:top w:val="single" w:color="auto" w:sz="12" w:space="0"/>
              <w:bottom w:val="single" w:color="auto" w:sz="6" w:space="0"/>
            </w:tcBorders>
            <w:tcW w:w="969"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t xml:space="preserve">生产能力</w:t>
            </w:r>
            <w:r/>
          </w:p>
        </w:tc>
        <w:tc>
          <w:tcPr>
            <w:tcBorders>
              <w:top w:val="single" w:color="auto" w:sz="12" w:space="0"/>
              <w:bottom w:val="single" w:color="auto" w:sz="6" w:space="0"/>
            </w:tcBorders>
            <w:tcW w:w="875"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t xml:space="preserve">备注</w:t>
            </w:r>
            <w:r/>
          </w:p>
        </w:tc>
      </w:tr>
      <w:tr>
        <w:trPr>
          <w:jc w:val="center"/>
          <w:trHeight w:val="452"/>
        </w:trPr>
        <w:tc>
          <w:tcPr>
            <w:tcBorders>
              <w:top w:val="single" w:color="auto" w:sz="6" w:space="0"/>
              <w:bottom w:val="single" w:color="auto" w:sz="6" w:space="0"/>
            </w:tcBorders>
            <w:tcW w:w="624"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t xml:space="preserve">1</w:t>
            </w:r>
            <w:r/>
          </w:p>
        </w:tc>
        <w:tc>
          <w:tcPr>
            <w:tcBorders>
              <w:top w:val="single" w:color="auto" w:sz="6" w:space="0"/>
              <w:bottom w:val="single" w:color="auto" w:sz="6" w:space="0"/>
            </w:tcBorders>
            <w:tcW w:w="1667"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r>
            <w:r/>
          </w:p>
        </w:tc>
        <w:tc>
          <w:tcPr>
            <w:tcBorders>
              <w:top w:val="single" w:color="auto" w:sz="6" w:space="0"/>
              <w:bottom w:val="single" w:color="auto" w:sz="6" w:space="0"/>
            </w:tcBorders>
            <w:tcW w:w="1280"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r>
            <w:r/>
          </w:p>
        </w:tc>
        <w:tc>
          <w:tcPr>
            <w:tcBorders>
              <w:top w:val="single" w:color="auto" w:sz="6" w:space="0"/>
              <w:bottom w:val="single" w:color="auto" w:sz="6" w:space="0"/>
            </w:tcBorders>
            <w:tcW w:w="825"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r>
            <w:r/>
          </w:p>
        </w:tc>
        <w:tc>
          <w:tcPr>
            <w:tcBorders>
              <w:top w:val="single" w:color="auto" w:sz="6" w:space="0"/>
              <w:bottom w:val="single" w:color="auto" w:sz="6" w:space="0"/>
            </w:tcBorders>
            <w:tcW w:w="835"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r>
            <w:r/>
          </w:p>
        </w:tc>
        <w:tc>
          <w:tcPr>
            <w:tcBorders>
              <w:top w:val="single" w:color="auto" w:sz="6" w:space="0"/>
              <w:bottom w:val="single" w:color="auto" w:sz="6" w:space="0"/>
            </w:tcBorders>
            <w:tcW w:w="1301"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r>
            <w:r/>
          </w:p>
        </w:tc>
        <w:tc>
          <w:tcPr>
            <w:tcBorders>
              <w:top w:val="single" w:color="auto" w:sz="6" w:space="0"/>
              <w:bottom w:val="single" w:color="auto" w:sz="6" w:space="0"/>
            </w:tcBorders>
            <w:tcW w:w="1072"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r>
            <w:r/>
          </w:p>
        </w:tc>
        <w:tc>
          <w:tcPr>
            <w:tcBorders>
              <w:top w:val="single" w:color="auto" w:sz="6" w:space="0"/>
              <w:bottom w:val="single" w:color="auto" w:sz="6" w:space="0"/>
            </w:tcBorders>
            <w:tcW w:w="969"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r>
            <w:r/>
          </w:p>
        </w:tc>
        <w:tc>
          <w:tcPr>
            <w:tcBorders>
              <w:top w:val="single" w:color="auto" w:sz="6" w:space="0"/>
              <w:bottom w:val="single" w:color="auto" w:sz="6" w:space="0"/>
            </w:tcBorders>
            <w:tcW w:w="875"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r>
            <w:r/>
          </w:p>
        </w:tc>
      </w:tr>
      <w:tr>
        <w:trPr>
          <w:jc w:val="center"/>
          <w:trHeight w:val="428"/>
        </w:trPr>
        <w:tc>
          <w:tcPr>
            <w:tcBorders>
              <w:top w:val="none" w:color="000000" w:sz="4" w:space="0"/>
            </w:tcBorders>
            <w:tcW w:w="624"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t xml:space="preserve">2</w:t>
            </w:r>
            <w:r/>
          </w:p>
        </w:tc>
        <w:tc>
          <w:tcPr>
            <w:tcBorders>
              <w:top w:val="none" w:color="000000" w:sz="4" w:space="0"/>
            </w:tcBorders>
            <w:tcW w:w="1667"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r>
            <w:r/>
          </w:p>
        </w:tc>
        <w:tc>
          <w:tcPr>
            <w:tcBorders>
              <w:top w:val="none" w:color="000000" w:sz="4" w:space="0"/>
            </w:tcBorders>
            <w:tcW w:w="1280"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r>
            <w:r/>
          </w:p>
        </w:tc>
        <w:tc>
          <w:tcPr>
            <w:tcBorders>
              <w:top w:val="none" w:color="000000" w:sz="4" w:space="0"/>
            </w:tcBorders>
            <w:tcW w:w="825"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r>
            <w:r/>
          </w:p>
        </w:tc>
        <w:tc>
          <w:tcPr>
            <w:tcBorders>
              <w:top w:val="none" w:color="000000" w:sz="4" w:space="0"/>
            </w:tcBorders>
            <w:tcW w:w="835"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r>
            <w:r/>
          </w:p>
        </w:tc>
        <w:tc>
          <w:tcPr>
            <w:tcBorders>
              <w:top w:val="none" w:color="000000" w:sz="4" w:space="0"/>
            </w:tcBorders>
            <w:tcW w:w="1301"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r>
            <w:r/>
          </w:p>
        </w:tc>
        <w:tc>
          <w:tcPr>
            <w:tcBorders>
              <w:top w:val="none" w:color="000000" w:sz="4" w:space="0"/>
            </w:tcBorders>
            <w:tcW w:w="1072"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r>
            <w:r/>
          </w:p>
        </w:tc>
        <w:tc>
          <w:tcPr>
            <w:tcBorders>
              <w:top w:val="none" w:color="000000" w:sz="4" w:space="0"/>
            </w:tcBorders>
            <w:tcW w:w="969"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r>
            <w:r/>
          </w:p>
        </w:tc>
        <w:tc>
          <w:tcPr>
            <w:tcBorders>
              <w:top w:val="none" w:color="000000" w:sz="4" w:space="0"/>
            </w:tcBorders>
            <w:tcW w:w="875" w:type="dxa"/>
            <w:vAlign w:val="center"/>
            <w:textDirection w:val="lrTb"/>
            <w:noWrap w:val="false"/>
          </w:tcPr>
          <w:p>
            <w:pPr>
              <w:ind w:left="60" w:right="60"/>
              <w:jc w:val="both"/>
              <w:keepNex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28"/>
        </w:trPr>
        <w:tc>
          <w:tcPr>
            <w:tcW w:w="624"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t xml:space="preserve">3</w:t>
            </w:r>
            <w:r/>
          </w:p>
        </w:tc>
        <w:tc>
          <w:tcPr>
            <w:tcW w:w="1667"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r>
            <w:r/>
          </w:p>
        </w:tc>
        <w:tc>
          <w:tcPr>
            <w:tcW w:w="1280"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r>
            <w:r/>
          </w:p>
        </w:tc>
        <w:tc>
          <w:tcPr>
            <w:tcW w:w="825"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r>
            <w:r/>
          </w:p>
        </w:tc>
        <w:tc>
          <w:tcPr>
            <w:tcW w:w="835"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r>
            <w:r/>
          </w:p>
        </w:tc>
        <w:tc>
          <w:tcPr>
            <w:tcW w:w="1301"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r>
            <w:r/>
          </w:p>
        </w:tc>
        <w:tc>
          <w:tcPr>
            <w:tcW w:w="1072"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r>
            <w:r/>
          </w:p>
        </w:tc>
        <w:tc>
          <w:tcPr>
            <w:tcW w:w="969"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r>
            <w:r/>
          </w:p>
        </w:tc>
        <w:tc>
          <w:tcPr>
            <w:tcW w:w="875" w:type="dxa"/>
            <w:vAlign w:val="center"/>
            <w:textDirection w:val="lrTb"/>
            <w:noWrap w:val="false"/>
          </w:tcPr>
          <w:p>
            <w:pPr>
              <w:ind w:left="60" w:right="60"/>
              <w:jc w:val="both"/>
              <w:keepNex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28"/>
        </w:trPr>
        <w:tc>
          <w:tcPr>
            <w:tcW w:w="624"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t xml:space="preserve">4</w:t>
            </w:r>
            <w:r/>
          </w:p>
        </w:tc>
        <w:tc>
          <w:tcPr>
            <w:tcW w:w="1667"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r>
            <w:r/>
          </w:p>
        </w:tc>
        <w:tc>
          <w:tcPr>
            <w:tcW w:w="1280"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r>
            <w:r/>
          </w:p>
        </w:tc>
        <w:tc>
          <w:tcPr>
            <w:tcW w:w="825"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r>
            <w:r/>
          </w:p>
        </w:tc>
        <w:tc>
          <w:tcPr>
            <w:tcW w:w="835"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r>
            <w:r/>
          </w:p>
        </w:tc>
        <w:tc>
          <w:tcPr>
            <w:tcW w:w="1301"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r>
            <w:r/>
          </w:p>
        </w:tc>
        <w:tc>
          <w:tcPr>
            <w:tcW w:w="1072"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r>
            <w:r/>
          </w:p>
        </w:tc>
        <w:tc>
          <w:tcPr>
            <w:tcW w:w="969"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r>
            <w:r/>
          </w:p>
        </w:tc>
        <w:tc>
          <w:tcPr>
            <w:tcW w:w="875" w:type="dxa"/>
            <w:vAlign w:val="center"/>
            <w:textDirection w:val="lrTb"/>
            <w:noWrap w:val="false"/>
          </w:tcPr>
          <w:p>
            <w:pPr>
              <w:ind w:left="60" w:right="60"/>
              <w:jc w:val="both"/>
              <w:keepNex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28"/>
        </w:trPr>
        <w:tc>
          <w:tcPr>
            <w:tcW w:w="624"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t xml:space="preserve">5</w:t>
            </w:r>
            <w:r/>
          </w:p>
        </w:tc>
        <w:tc>
          <w:tcPr>
            <w:tcW w:w="1667"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r>
            <w:r/>
          </w:p>
        </w:tc>
        <w:tc>
          <w:tcPr>
            <w:tcW w:w="1280"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r>
            <w:r/>
          </w:p>
        </w:tc>
        <w:tc>
          <w:tcPr>
            <w:tcW w:w="825"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r>
            <w:r/>
          </w:p>
        </w:tc>
        <w:tc>
          <w:tcPr>
            <w:tcW w:w="835"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r>
            <w:r/>
          </w:p>
        </w:tc>
        <w:tc>
          <w:tcPr>
            <w:tcW w:w="1301"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r>
            <w:r/>
          </w:p>
        </w:tc>
        <w:tc>
          <w:tcPr>
            <w:tcW w:w="1072"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r>
            <w:r/>
          </w:p>
        </w:tc>
        <w:tc>
          <w:tcPr>
            <w:tcW w:w="969"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r>
            <w:r/>
          </w:p>
        </w:tc>
        <w:tc>
          <w:tcPr>
            <w:tcW w:w="875" w:type="dxa"/>
            <w:vAlign w:val="center"/>
            <w:textDirection w:val="lrTb"/>
            <w:noWrap w:val="false"/>
          </w:tcPr>
          <w:p>
            <w:pPr>
              <w:ind w:left="60" w:right="60"/>
              <w:jc w:val="both"/>
              <w:keepNex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28"/>
        </w:trPr>
        <w:tc>
          <w:tcPr>
            <w:tcW w:w="624"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t xml:space="preserve">6</w:t>
            </w:r>
            <w:r/>
          </w:p>
        </w:tc>
        <w:tc>
          <w:tcPr>
            <w:tcW w:w="1667"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r>
            <w:r/>
          </w:p>
        </w:tc>
        <w:tc>
          <w:tcPr>
            <w:tcW w:w="1280"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r>
            <w:r/>
          </w:p>
        </w:tc>
        <w:tc>
          <w:tcPr>
            <w:tcW w:w="825"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r>
            <w:r/>
          </w:p>
        </w:tc>
        <w:tc>
          <w:tcPr>
            <w:tcW w:w="835"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r>
            <w:r/>
          </w:p>
        </w:tc>
        <w:tc>
          <w:tcPr>
            <w:tcW w:w="1301"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r>
            <w:r/>
          </w:p>
        </w:tc>
        <w:tc>
          <w:tcPr>
            <w:tcW w:w="1072"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r>
            <w:r/>
          </w:p>
        </w:tc>
        <w:tc>
          <w:tcPr>
            <w:tcW w:w="969"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r>
            <w:r/>
          </w:p>
        </w:tc>
        <w:tc>
          <w:tcPr>
            <w:tcW w:w="875" w:type="dxa"/>
            <w:vAlign w:val="center"/>
            <w:textDirection w:val="lrTb"/>
            <w:noWrap w:val="false"/>
          </w:tcPr>
          <w:p>
            <w:pPr>
              <w:ind w:left="60" w:right="60"/>
              <w:jc w:val="both"/>
              <w:keepNex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28"/>
        </w:trPr>
        <w:tc>
          <w:tcPr>
            <w:tcW w:w="624"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t xml:space="preserve">7</w:t>
            </w:r>
            <w:r/>
          </w:p>
        </w:tc>
        <w:tc>
          <w:tcPr>
            <w:tcW w:w="1667"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r>
            <w:r/>
          </w:p>
        </w:tc>
        <w:tc>
          <w:tcPr>
            <w:tcW w:w="1280"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r>
            <w:r/>
          </w:p>
        </w:tc>
        <w:tc>
          <w:tcPr>
            <w:tcW w:w="825"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r>
            <w:r/>
          </w:p>
        </w:tc>
        <w:tc>
          <w:tcPr>
            <w:tcW w:w="835" w:type="dxa"/>
            <w:vAlign w:val="center"/>
            <w:textDirection w:val="lrTb"/>
            <w:noWrap w:val="false"/>
          </w:tcPr>
          <w:p>
            <w:pPr>
              <w:ind w:left="60" w:right="60"/>
              <w:jc w:val="both"/>
              <w:keepNex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1"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r>
            <w:r/>
          </w:p>
        </w:tc>
        <w:tc>
          <w:tcPr>
            <w:tcW w:w="1072"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r>
            <w:r/>
          </w:p>
        </w:tc>
        <w:tc>
          <w:tcPr>
            <w:tcW w:w="969"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r>
            <w:r/>
          </w:p>
        </w:tc>
        <w:tc>
          <w:tcPr>
            <w:tcW w:w="875" w:type="dxa"/>
            <w:vAlign w:val="center"/>
            <w:textDirection w:val="lrTb"/>
            <w:noWrap w:val="false"/>
          </w:tcPr>
          <w:p>
            <w:pPr>
              <w:ind w:left="60" w:right="60"/>
              <w:jc w:val="both"/>
              <w:keepNex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28"/>
        </w:trPr>
        <w:tc>
          <w:tcPr>
            <w:tcW w:w="624"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t xml:space="preserve">8</w:t>
            </w:r>
            <w:r/>
          </w:p>
        </w:tc>
        <w:tc>
          <w:tcPr>
            <w:tcW w:w="1667"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r>
            <w:r/>
          </w:p>
        </w:tc>
        <w:tc>
          <w:tcPr>
            <w:tcW w:w="1280"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r>
            <w:r/>
          </w:p>
        </w:tc>
        <w:tc>
          <w:tcPr>
            <w:tcW w:w="825"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r>
            <w:r/>
          </w:p>
        </w:tc>
        <w:tc>
          <w:tcPr>
            <w:tcW w:w="835" w:type="dxa"/>
            <w:vAlign w:val="center"/>
            <w:textDirection w:val="lrTb"/>
            <w:noWrap w:val="false"/>
          </w:tcPr>
          <w:p>
            <w:pPr>
              <w:ind w:left="60" w:right="60"/>
              <w:jc w:val="both"/>
              <w:keepNex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1"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r>
            <w:r/>
          </w:p>
        </w:tc>
        <w:tc>
          <w:tcPr>
            <w:tcW w:w="1072"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r>
            <w:r/>
          </w:p>
        </w:tc>
        <w:tc>
          <w:tcPr>
            <w:tcW w:w="969"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r>
            <w:r/>
          </w:p>
        </w:tc>
        <w:tc>
          <w:tcPr>
            <w:tcW w:w="875" w:type="dxa"/>
            <w:vAlign w:val="center"/>
            <w:textDirection w:val="lrTb"/>
            <w:noWrap w:val="false"/>
          </w:tcPr>
          <w:p>
            <w:pPr>
              <w:ind w:left="60" w:right="60"/>
              <w:jc w:val="both"/>
              <w:keepNex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28"/>
        </w:trPr>
        <w:tc>
          <w:tcPr>
            <w:tcW w:w="624"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t xml:space="preserve">9</w:t>
            </w:r>
            <w:r/>
          </w:p>
        </w:tc>
        <w:tc>
          <w:tcPr>
            <w:tcW w:w="1667"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r>
            <w:r/>
          </w:p>
        </w:tc>
        <w:tc>
          <w:tcPr>
            <w:tcW w:w="1280"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r>
            <w:r/>
          </w:p>
        </w:tc>
        <w:tc>
          <w:tcPr>
            <w:tcW w:w="825"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r>
            <w:r/>
          </w:p>
        </w:tc>
        <w:tc>
          <w:tcPr>
            <w:tcW w:w="835" w:type="dxa"/>
            <w:vAlign w:val="center"/>
            <w:textDirection w:val="lrTb"/>
            <w:noWrap w:val="false"/>
          </w:tcPr>
          <w:p>
            <w:pPr>
              <w:ind w:left="60" w:right="60"/>
              <w:jc w:val="both"/>
              <w:keepNex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1"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r>
            <w:r/>
          </w:p>
        </w:tc>
        <w:tc>
          <w:tcPr>
            <w:tcW w:w="1072"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r>
            <w:r/>
          </w:p>
        </w:tc>
        <w:tc>
          <w:tcPr>
            <w:tcW w:w="969"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r>
            <w:r/>
          </w:p>
        </w:tc>
        <w:tc>
          <w:tcPr>
            <w:tcW w:w="875" w:type="dxa"/>
            <w:vAlign w:val="center"/>
            <w:textDirection w:val="lrTb"/>
            <w:noWrap w:val="false"/>
          </w:tcPr>
          <w:p>
            <w:pPr>
              <w:ind w:left="60" w:right="60"/>
              <w:jc w:val="both"/>
              <w:keepNex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793"/>
        </w:trPr>
        <w:tc>
          <w:tcPr>
            <w:tcW w:w="624"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t xml:space="preserve">10</w:t>
            </w:r>
            <w:r/>
          </w:p>
        </w:tc>
        <w:tc>
          <w:tcPr>
            <w:tcW w:w="1667"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r>
            <w:r/>
          </w:p>
        </w:tc>
        <w:tc>
          <w:tcPr>
            <w:tcW w:w="1280"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r>
            <w:r/>
          </w:p>
        </w:tc>
        <w:tc>
          <w:tcPr>
            <w:tcW w:w="825"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r>
            <w:r/>
          </w:p>
        </w:tc>
        <w:tc>
          <w:tcPr>
            <w:tcW w:w="835" w:type="dxa"/>
            <w:vAlign w:val="center"/>
            <w:textDirection w:val="lrTb"/>
            <w:noWrap w:val="false"/>
          </w:tcPr>
          <w:p>
            <w:pPr>
              <w:ind w:left="60" w:right="60"/>
              <w:jc w:val="both"/>
              <w:keepNex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1"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r>
            <w:r/>
          </w:p>
        </w:tc>
        <w:tc>
          <w:tcPr>
            <w:tcW w:w="1072"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r>
            <w:r/>
          </w:p>
        </w:tc>
        <w:tc>
          <w:tcPr>
            <w:tcW w:w="969"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r>
            <w:r/>
          </w:p>
        </w:tc>
        <w:tc>
          <w:tcPr>
            <w:tcW w:w="875" w:type="dxa"/>
            <w:vAlign w:val="center"/>
            <w:textDirection w:val="lrTb"/>
            <w:noWrap w:val="false"/>
          </w:tcPr>
          <w:p>
            <w:pPr>
              <w:ind w:left="60" w:right="60"/>
              <w:jc w:val="both"/>
              <w:keepNex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28"/>
        </w:trPr>
        <w:tc>
          <w:tcPr>
            <w:tcW w:w="624"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t xml:space="preserve">11</w:t>
            </w:r>
            <w:r/>
          </w:p>
        </w:tc>
        <w:tc>
          <w:tcPr>
            <w:tcW w:w="1667"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r>
            <w:r/>
          </w:p>
        </w:tc>
        <w:tc>
          <w:tcPr>
            <w:tcW w:w="1280"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r>
            <w:r/>
          </w:p>
        </w:tc>
        <w:tc>
          <w:tcPr>
            <w:tcW w:w="825"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r>
            <w:r/>
          </w:p>
        </w:tc>
        <w:tc>
          <w:tcPr>
            <w:tcW w:w="835" w:type="dxa"/>
            <w:vAlign w:val="center"/>
            <w:textDirection w:val="lrTb"/>
            <w:noWrap w:val="false"/>
          </w:tcPr>
          <w:p>
            <w:pPr>
              <w:ind w:left="60" w:right="60"/>
              <w:jc w:val="both"/>
              <w:keepNex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1"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r>
            <w:r/>
          </w:p>
        </w:tc>
        <w:tc>
          <w:tcPr>
            <w:tcW w:w="1072"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r>
            <w:r/>
          </w:p>
        </w:tc>
        <w:tc>
          <w:tcPr>
            <w:tcW w:w="969"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r>
            <w:r/>
          </w:p>
        </w:tc>
        <w:tc>
          <w:tcPr>
            <w:tcW w:w="875" w:type="dxa"/>
            <w:vAlign w:val="center"/>
            <w:textDirection w:val="lrTb"/>
            <w:noWrap w:val="false"/>
          </w:tcPr>
          <w:p>
            <w:pPr>
              <w:ind w:left="60" w:right="60"/>
              <w:jc w:val="both"/>
              <w:keepNex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28"/>
        </w:trPr>
        <w:tc>
          <w:tcPr>
            <w:tcW w:w="624"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t xml:space="preserve">12</w:t>
            </w:r>
            <w:r/>
          </w:p>
        </w:tc>
        <w:tc>
          <w:tcPr>
            <w:tcW w:w="1667"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r>
            <w:r/>
          </w:p>
        </w:tc>
        <w:tc>
          <w:tcPr>
            <w:tcW w:w="1280"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r>
            <w:r/>
          </w:p>
        </w:tc>
        <w:tc>
          <w:tcPr>
            <w:tcW w:w="825"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r>
            <w:r/>
          </w:p>
        </w:tc>
        <w:tc>
          <w:tcPr>
            <w:tcW w:w="835" w:type="dxa"/>
            <w:vAlign w:val="center"/>
            <w:textDirection w:val="lrTb"/>
            <w:noWrap w:val="false"/>
          </w:tcPr>
          <w:p>
            <w:pPr>
              <w:ind w:left="60" w:right="60"/>
              <w:jc w:val="both"/>
              <w:keepNex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1"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r>
            <w:r/>
          </w:p>
        </w:tc>
        <w:tc>
          <w:tcPr>
            <w:tcW w:w="1072"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r>
            <w:r/>
          </w:p>
        </w:tc>
        <w:tc>
          <w:tcPr>
            <w:tcW w:w="969"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r>
            <w:r/>
          </w:p>
        </w:tc>
        <w:tc>
          <w:tcPr>
            <w:tcW w:w="875" w:type="dxa"/>
            <w:vAlign w:val="center"/>
            <w:textDirection w:val="lrTb"/>
            <w:noWrap w:val="false"/>
          </w:tcPr>
          <w:p>
            <w:pPr>
              <w:ind w:left="60" w:right="60"/>
              <w:jc w:val="both"/>
              <w:keepNex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28"/>
        </w:trPr>
        <w:tc>
          <w:tcPr>
            <w:tcW w:w="624"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t xml:space="preserve">13</w:t>
            </w:r>
            <w:r/>
          </w:p>
        </w:tc>
        <w:tc>
          <w:tcPr>
            <w:tcW w:w="1667"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r>
            <w:r/>
          </w:p>
        </w:tc>
        <w:tc>
          <w:tcPr>
            <w:tcW w:w="1280"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r>
            <w:r/>
          </w:p>
        </w:tc>
        <w:tc>
          <w:tcPr>
            <w:tcW w:w="825"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r>
            <w:r/>
          </w:p>
        </w:tc>
        <w:tc>
          <w:tcPr>
            <w:tcW w:w="835" w:type="dxa"/>
            <w:vAlign w:val="center"/>
            <w:textDirection w:val="lrTb"/>
            <w:noWrap w:val="false"/>
          </w:tcPr>
          <w:p>
            <w:pPr>
              <w:ind w:left="60" w:right="60"/>
              <w:jc w:val="both"/>
              <w:keepNex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1"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r>
            <w:r/>
          </w:p>
        </w:tc>
        <w:tc>
          <w:tcPr>
            <w:tcW w:w="1072"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r>
            <w:r/>
          </w:p>
        </w:tc>
        <w:tc>
          <w:tcPr>
            <w:tcW w:w="969"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r>
            <w:r/>
          </w:p>
        </w:tc>
        <w:tc>
          <w:tcPr>
            <w:tcW w:w="875" w:type="dxa"/>
            <w:vAlign w:val="center"/>
            <w:textDirection w:val="lrTb"/>
            <w:noWrap w:val="false"/>
          </w:tcPr>
          <w:p>
            <w:pPr>
              <w:ind w:left="60" w:right="60"/>
              <w:jc w:val="both"/>
              <w:keepNex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28"/>
        </w:trPr>
        <w:tc>
          <w:tcPr>
            <w:tcW w:w="624"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t xml:space="preserve">14</w:t>
            </w:r>
            <w:r/>
          </w:p>
        </w:tc>
        <w:tc>
          <w:tcPr>
            <w:tcW w:w="1667"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r>
            <w:r/>
          </w:p>
        </w:tc>
        <w:tc>
          <w:tcPr>
            <w:tcW w:w="1280"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r>
            <w:r/>
          </w:p>
        </w:tc>
        <w:tc>
          <w:tcPr>
            <w:tcW w:w="825"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r>
            <w:r/>
          </w:p>
        </w:tc>
        <w:tc>
          <w:tcPr>
            <w:tcW w:w="835" w:type="dxa"/>
            <w:vAlign w:val="center"/>
            <w:textDirection w:val="lrTb"/>
            <w:noWrap w:val="false"/>
          </w:tcPr>
          <w:p>
            <w:pPr>
              <w:ind w:left="60" w:right="60"/>
              <w:jc w:val="both"/>
              <w:keepNex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1"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r>
            <w:r/>
          </w:p>
        </w:tc>
        <w:tc>
          <w:tcPr>
            <w:tcW w:w="1072"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r>
            <w:r/>
          </w:p>
        </w:tc>
        <w:tc>
          <w:tcPr>
            <w:tcW w:w="969"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r>
            <w:r/>
          </w:p>
        </w:tc>
        <w:tc>
          <w:tcPr>
            <w:tcW w:w="875" w:type="dxa"/>
            <w:vAlign w:val="center"/>
            <w:textDirection w:val="lrTb"/>
            <w:noWrap w:val="false"/>
          </w:tcPr>
          <w:p>
            <w:pPr>
              <w:ind w:left="60" w:right="60"/>
              <w:jc w:val="both"/>
              <w:keepNex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28"/>
        </w:trPr>
        <w:tc>
          <w:tcPr>
            <w:tcW w:w="624"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t xml:space="preserve">15</w:t>
            </w:r>
            <w:r/>
          </w:p>
        </w:tc>
        <w:tc>
          <w:tcPr>
            <w:tcW w:w="1667"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r>
            <w:r/>
          </w:p>
        </w:tc>
        <w:tc>
          <w:tcPr>
            <w:tcW w:w="1280"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r>
            <w:r/>
          </w:p>
        </w:tc>
        <w:tc>
          <w:tcPr>
            <w:tcW w:w="825"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r>
            <w:r/>
          </w:p>
        </w:tc>
        <w:tc>
          <w:tcPr>
            <w:tcW w:w="835" w:type="dxa"/>
            <w:vAlign w:val="center"/>
            <w:textDirection w:val="lrTb"/>
            <w:noWrap w:val="false"/>
          </w:tcPr>
          <w:p>
            <w:pPr>
              <w:ind w:left="60" w:right="60"/>
              <w:jc w:val="both"/>
              <w:keepNex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1"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r>
            <w:r/>
          </w:p>
        </w:tc>
        <w:tc>
          <w:tcPr>
            <w:tcW w:w="1072"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r>
            <w:r/>
          </w:p>
        </w:tc>
        <w:tc>
          <w:tcPr>
            <w:tcW w:w="969"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r>
            <w:r/>
          </w:p>
        </w:tc>
        <w:tc>
          <w:tcPr>
            <w:tcW w:w="875" w:type="dxa"/>
            <w:vAlign w:val="center"/>
            <w:textDirection w:val="lrTb"/>
            <w:noWrap w:val="false"/>
          </w:tcPr>
          <w:p>
            <w:pPr>
              <w:ind w:left="60" w:right="60"/>
              <w:jc w:val="both"/>
              <w:keepNex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28"/>
        </w:trPr>
        <w:tc>
          <w:tcPr>
            <w:tcW w:w="624"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t xml:space="preserve">16</w:t>
            </w:r>
            <w:r/>
          </w:p>
        </w:tc>
        <w:tc>
          <w:tcPr>
            <w:tcW w:w="1667"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r>
            <w:r/>
          </w:p>
        </w:tc>
        <w:tc>
          <w:tcPr>
            <w:tcW w:w="1280"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r>
            <w:r/>
          </w:p>
        </w:tc>
        <w:tc>
          <w:tcPr>
            <w:tcW w:w="825"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r>
            <w:r/>
          </w:p>
        </w:tc>
        <w:tc>
          <w:tcPr>
            <w:tcW w:w="835" w:type="dxa"/>
            <w:vAlign w:val="center"/>
            <w:textDirection w:val="lrTb"/>
            <w:noWrap w:val="false"/>
          </w:tcPr>
          <w:p>
            <w:pPr>
              <w:ind w:left="60" w:right="60"/>
              <w:jc w:val="both"/>
              <w:keepNex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1"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r>
            <w:r/>
          </w:p>
        </w:tc>
        <w:tc>
          <w:tcPr>
            <w:tcW w:w="1072"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r>
            <w:r/>
          </w:p>
        </w:tc>
        <w:tc>
          <w:tcPr>
            <w:tcW w:w="969"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r>
            <w:r/>
          </w:p>
        </w:tc>
        <w:tc>
          <w:tcPr>
            <w:tcW w:w="875" w:type="dxa"/>
            <w:vAlign w:val="center"/>
            <w:textDirection w:val="lrTb"/>
            <w:noWrap w:val="false"/>
          </w:tcPr>
          <w:p>
            <w:pPr>
              <w:ind w:left="60" w:right="60"/>
              <w:jc w:val="both"/>
              <w:keepNex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28"/>
        </w:trPr>
        <w:tc>
          <w:tcPr>
            <w:tcW w:w="624"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t xml:space="preserve">17</w:t>
            </w:r>
            <w:r/>
          </w:p>
        </w:tc>
        <w:tc>
          <w:tcPr>
            <w:tcW w:w="1667"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r>
            <w:r/>
          </w:p>
        </w:tc>
        <w:tc>
          <w:tcPr>
            <w:tcW w:w="1280"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r>
            <w:r/>
          </w:p>
        </w:tc>
        <w:tc>
          <w:tcPr>
            <w:tcW w:w="825"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r>
            <w:r/>
          </w:p>
        </w:tc>
        <w:tc>
          <w:tcPr>
            <w:tcW w:w="835" w:type="dxa"/>
            <w:vAlign w:val="center"/>
            <w:textDirection w:val="lrTb"/>
            <w:noWrap w:val="false"/>
          </w:tcPr>
          <w:p>
            <w:pPr>
              <w:ind w:left="60" w:right="60"/>
              <w:jc w:val="both"/>
              <w:keepNex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1"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r>
            <w:r/>
          </w:p>
        </w:tc>
        <w:tc>
          <w:tcPr>
            <w:tcW w:w="1072"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r>
            <w:r/>
          </w:p>
        </w:tc>
        <w:tc>
          <w:tcPr>
            <w:tcW w:w="969"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r>
            <w:r/>
          </w:p>
        </w:tc>
        <w:tc>
          <w:tcPr>
            <w:tcW w:w="875" w:type="dxa"/>
            <w:vAlign w:val="center"/>
            <w:textDirection w:val="lrTb"/>
            <w:noWrap w:val="false"/>
          </w:tcPr>
          <w:p>
            <w:pPr>
              <w:ind w:left="60" w:right="60"/>
              <w:jc w:val="both"/>
              <w:keepNex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28"/>
        </w:trPr>
        <w:tc>
          <w:tcPr>
            <w:tcW w:w="624"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t xml:space="preserve">18</w:t>
            </w:r>
            <w:r/>
          </w:p>
        </w:tc>
        <w:tc>
          <w:tcPr>
            <w:tcW w:w="1667"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r>
            <w:r/>
          </w:p>
        </w:tc>
        <w:tc>
          <w:tcPr>
            <w:tcW w:w="1280"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r>
            <w:r/>
          </w:p>
        </w:tc>
        <w:tc>
          <w:tcPr>
            <w:tcW w:w="825"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r>
            <w:r/>
          </w:p>
        </w:tc>
        <w:tc>
          <w:tcPr>
            <w:tcW w:w="835" w:type="dxa"/>
            <w:vAlign w:val="center"/>
            <w:textDirection w:val="lrTb"/>
            <w:noWrap w:val="false"/>
          </w:tcPr>
          <w:p>
            <w:pPr>
              <w:ind w:left="60" w:right="60"/>
              <w:jc w:val="both"/>
              <w:keepNex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1"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r>
            <w:r/>
          </w:p>
        </w:tc>
        <w:tc>
          <w:tcPr>
            <w:tcW w:w="1072"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r>
            <w:r/>
          </w:p>
        </w:tc>
        <w:tc>
          <w:tcPr>
            <w:tcW w:w="969"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r>
            <w:r/>
          </w:p>
        </w:tc>
        <w:tc>
          <w:tcPr>
            <w:tcW w:w="875" w:type="dxa"/>
            <w:vAlign w:val="center"/>
            <w:textDirection w:val="lrTb"/>
            <w:noWrap w:val="false"/>
          </w:tcPr>
          <w:p>
            <w:pPr>
              <w:ind w:left="60" w:right="60"/>
              <w:jc w:val="both"/>
              <w:keepNex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28"/>
        </w:trPr>
        <w:tc>
          <w:tcPr>
            <w:tcW w:w="624"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t xml:space="preserve">19</w:t>
            </w:r>
            <w:r/>
          </w:p>
        </w:tc>
        <w:tc>
          <w:tcPr>
            <w:tcW w:w="1667"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r>
            <w:r/>
          </w:p>
        </w:tc>
        <w:tc>
          <w:tcPr>
            <w:tcW w:w="1280"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r>
            <w:r/>
          </w:p>
        </w:tc>
        <w:tc>
          <w:tcPr>
            <w:tcW w:w="825"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r>
            <w:r/>
          </w:p>
        </w:tc>
        <w:tc>
          <w:tcPr>
            <w:tcW w:w="835" w:type="dxa"/>
            <w:vAlign w:val="center"/>
            <w:textDirection w:val="lrTb"/>
            <w:noWrap w:val="false"/>
          </w:tcPr>
          <w:p>
            <w:pPr>
              <w:ind w:left="60" w:right="60"/>
              <w:jc w:val="both"/>
              <w:keepNex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1"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r>
            <w:r/>
          </w:p>
        </w:tc>
        <w:tc>
          <w:tcPr>
            <w:tcW w:w="1072"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r>
            <w:r/>
          </w:p>
        </w:tc>
        <w:tc>
          <w:tcPr>
            <w:tcW w:w="969"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r>
            <w:r/>
          </w:p>
        </w:tc>
        <w:tc>
          <w:tcPr>
            <w:tcW w:w="875" w:type="dxa"/>
            <w:vAlign w:val="center"/>
            <w:textDirection w:val="lrTb"/>
            <w:noWrap w:val="false"/>
          </w:tcPr>
          <w:p>
            <w:pPr>
              <w:ind w:left="60" w:right="60"/>
              <w:jc w:val="both"/>
              <w:keepNex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28"/>
        </w:trPr>
        <w:tc>
          <w:tcPr>
            <w:tcW w:w="624"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t xml:space="preserve">20</w:t>
            </w:r>
            <w:r/>
          </w:p>
        </w:tc>
        <w:tc>
          <w:tcPr>
            <w:tcW w:w="1667"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r>
            <w:r/>
          </w:p>
        </w:tc>
        <w:tc>
          <w:tcPr>
            <w:tcW w:w="1280"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r>
            <w:r/>
          </w:p>
        </w:tc>
        <w:tc>
          <w:tcPr>
            <w:tcW w:w="825"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r>
            <w:r/>
          </w:p>
        </w:tc>
        <w:tc>
          <w:tcPr>
            <w:tcW w:w="835" w:type="dxa"/>
            <w:vAlign w:val="center"/>
            <w:textDirection w:val="lrTb"/>
            <w:noWrap w:val="false"/>
          </w:tcPr>
          <w:p>
            <w:pPr>
              <w:ind w:left="60" w:right="60"/>
              <w:jc w:val="both"/>
              <w:keepNex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1"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r>
            <w:r/>
          </w:p>
        </w:tc>
        <w:tc>
          <w:tcPr>
            <w:tcW w:w="1072"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r>
            <w:r/>
          </w:p>
        </w:tc>
        <w:tc>
          <w:tcPr>
            <w:tcW w:w="969"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r>
            <w:r/>
          </w:p>
        </w:tc>
        <w:tc>
          <w:tcPr>
            <w:tcW w:w="875" w:type="dxa"/>
            <w:vAlign w:val="center"/>
            <w:textDirection w:val="lrTb"/>
            <w:noWrap w:val="false"/>
          </w:tcPr>
          <w:p>
            <w:pPr>
              <w:ind w:left="60" w:right="60"/>
              <w:jc w:val="both"/>
              <w:keepNex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28"/>
        </w:trPr>
        <w:tc>
          <w:tcPr>
            <w:tcW w:w="624"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t xml:space="preserve">21</w:t>
            </w:r>
            <w:r/>
          </w:p>
        </w:tc>
        <w:tc>
          <w:tcPr>
            <w:tcW w:w="1667"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r>
            <w:r/>
          </w:p>
        </w:tc>
        <w:tc>
          <w:tcPr>
            <w:tcW w:w="1280"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r>
            <w:r/>
          </w:p>
        </w:tc>
        <w:tc>
          <w:tcPr>
            <w:tcW w:w="825"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r>
            <w:r/>
          </w:p>
        </w:tc>
        <w:tc>
          <w:tcPr>
            <w:tcW w:w="835" w:type="dxa"/>
            <w:vAlign w:val="center"/>
            <w:textDirection w:val="lrTb"/>
            <w:noWrap w:val="false"/>
          </w:tcPr>
          <w:p>
            <w:pPr>
              <w:ind w:left="60" w:right="60"/>
              <w:jc w:val="both"/>
              <w:keepNex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1"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r>
            <w:r/>
          </w:p>
        </w:tc>
        <w:tc>
          <w:tcPr>
            <w:tcW w:w="1072"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r>
            <w:r/>
          </w:p>
        </w:tc>
        <w:tc>
          <w:tcPr>
            <w:tcW w:w="969"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r>
            <w:r/>
          </w:p>
        </w:tc>
        <w:tc>
          <w:tcPr>
            <w:tcW w:w="875" w:type="dxa"/>
            <w:vAlign w:val="center"/>
            <w:textDirection w:val="lrTb"/>
            <w:noWrap w:val="false"/>
          </w:tcPr>
          <w:p>
            <w:pPr>
              <w:ind w:left="60" w:right="60"/>
              <w:jc w:val="both"/>
              <w:keepNex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28"/>
        </w:trPr>
        <w:tc>
          <w:tcPr>
            <w:tcW w:w="624"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t xml:space="preserve">22</w:t>
            </w:r>
            <w:r/>
          </w:p>
        </w:tc>
        <w:tc>
          <w:tcPr>
            <w:tcW w:w="1667"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r>
            <w:r/>
          </w:p>
        </w:tc>
        <w:tc>
          <w:tcPr>
            <w:tcW w:w="1280"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r>
            <w:r/>
          </w:p>
        </w:tc>
        <w:tc>
          <w:tcPr>
            <w:tcW w:w="825"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r>
            <w:r/>
          </w:p>
        </w:tc>
        <w:tc>
          <w:tcPr>
            <w:tcW w:w="835" w:type="dxa"/>
            <w:vAlign w:val="center"/>
            <w:textDirection w:val="lrTb"/>
            <w:noWrap w:val="false"/>
          </w:tcPr>
          <w:p>
            <w:pPr>
              <w:ind w:left="60" w:right="60"/>
              <w:jc w:val="both"/>
              <w:keepNex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1"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r>
            <w:r/>
          </w:p>
        </w:tc>
        <w:tc>
          <w:tcPr>
            <w:tcW w:w="1072"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r>
            <w:r/>
          </w:p>
        </w:tc>
        <w:tc>
          <w:tcPr>
            <w:tcW w:w="969"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r>
            <w:r/>
          </w:p>
        </w:tc>
        <w:tc>
          <w:tcPr>
            <w:tcW w:w="875" w:type="dxa"/>
            <w:vAlign w:val="center"/>
            <w:textDirection w:val="lrTb"/>
            <w:noWrap w:val="false"/>
          </w:tcPr>
          <w:p>
            <w:pPr>
              <w:ind w:left="60" w:right="60"/>
              <w:jc w:val="both"/>
              <w:keepNex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28"/>
        </w:trPr>
        <w:tc>
          <w:tcPr>
            <w:tcW w:w="624"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t xml:space="preserve">23</w:t>
            </w:r>
            <w:r/>
          </w:p>
        </w:tc>
        <w:tc>
          <w:tcPr>
            <w:tcW w:w="1667"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r>
            <w:r/>
          </w:p>
        </w:tc>
        <w:tc>
          <w:tcPr>
            <w:tcW w:w="1280"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r>
            <w:r/>
          </w:p>
        </w:tc>
        <w:tc>
          <w:tcPr>
            <w:tcW w:w="825"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r>
            <w:r/>
          </w:p>
        </w:tc>
        <w:tc>
          <w:tcPr>
            <w:tcW w:w="835" w:type="dxa"/>
            <w:vAlign w:val="center"/>
            <w:textDirection w:val="lrTb"/>
            <w:noWrap w:val="false"/>
          </w:tcPr>
          <w:p>
            <w:pPr>
              <w:ind w:left="60" w:right="60"/>
              <w:jc w:val="both"/>
              <w:keepNex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1"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r>
            <w:r/>
          </w:p>
        </w:tc>
        <w:tc>
          <w:tcPr>
            <w:tcW w:w="1072"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r>
            <w:r/>
          </w:p>
        </w:tc>
        <w:tc>
          <w:tcPr>
            <w:tcW w:w="969" w:type="dxa"/>
            <w:vAlign w:val="center"/>
            <w:textDirection w:val="lrTb"/>
            <w:noWrap w:val="false"/>
          </w:tcPr>
          <w:p>
            <w:pPr>
              <w:pStyle w:val="782"/>
              <w:ind w:left="60" w:right="60"/>
              <w:jc w:val="both"/>
              <w:keepNext/>
              <w:rPr>
                <w:rFonts w:hint="eastAsia" w:cs="宋体"/>
                <w:color w:val="auto"/>
                <w:sz w:val="21"/>
                <w:szCs w:val="21"/>
                <w:highlight w:val="none"/>
              </w:rPr>
            </w:pPr>
            <w:r>
              <w:rPr>
                <w:rFonts w:hint="eastAsia" w:cs="宋体"/>
                <w:color w:val="auto"/>
                <w:sz w:val="21"/>
                <w:szCs w:val="21"/>
                <w:highlight w:val="none"/>
              </w:rPr>
            </w:r>
            <w:r/>
          </w:p>
        </w:tc>
        <w:tc>
          <w:tcPr>
            <w:tcW w:w="875" w:type="dxa"/>
            <w:vAlign w:val="center"/>
            <w:textDirection w:val="lrTb"/>
            <w:noWrap w:val="false"/>
          </w:tcPr>
          <w:p>
            <w:pPr>
              <w:ind w:left="60" w:right="60"/>
              <w:jc w:val="both"/>
              <w:keepNex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jc w:val="both"/>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32"/>
        <w:jc w:val="both"/>
        <w:rPr>
          <w:rFonts w:hint="eastAsia" w:hAnsi="宋体"/>
          <w:color w:val="auto"/>
          <w:sz w:val="21"/>
          <w:szCs w:val="21"/>
          <w:highlight w:val="none"/>
        </w:rPr>
      </w:pPr>
      <w:r>
        <w:rPr>
          <w:rFonts w:hint="eastAsia" w:hAnsi="宋体"/>
          <w:color w:val="auto"/>
          <w:sz w:val="21"/>
          <w:szCs w:val="21"/>
          <w:highlight w:val="none"/>
        </w:rPr>
      </w:r>
      <w:r/>
    </w:p>
    <w:p>
      <w:pPr>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32"/>
        <w:jc w:val="both"/>
        <w:rPr>
          <w:rFonts w:hint="eastAsia" w:hAnsi="宋体"/>
          <w:color w:val="auto"/>
          <w:sz w:val="21"/>
          <w:szCs w:val="21"/>
          <w:highlight w:val="none"/>
        </w:rPr>
      </w:pPr>
      <w:r>
        <w:rPr>
          <w:rFonts w:hint="eastAsia" w:hAnsi="宋体"/>
          <w:color w:val="auto"/>
          <w:sz w:val="21"/>
          <w:szCs w:val="21"/>
          <w:highlight w:val="none"/>
        </w:rPr>
      </w:r>
      <w:r/>
    </w:p>
    <w:p>
      <w:pPr>
        <w:jc w:val="both"/>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r>
        <w:rPr>
          <w:rFonts w:hint="eastAsia" w:ascii="宋体" w:hAnsi="宋体" w:eastAsia="宋体" w:cs="宋体"/>
          <w:color w:val="auto"/>
          <w:sz w:val="21"/>
          <w:szCs w:val="21"/>
          <w:highlight w:val="none"/>
        </w:rPr>
        <w:t xml:space="preserve">附</w:t>
      </w:r>
      <w:bookmarkStart w:id="1062" w:name="_Toc296346729"/>
      <w:r/>
      <w:bookmarkStart w:id="1063" w:name="_Toc267261699"/>
      <w:r/>
      <w:bookmarkStart w:id="1064" w:name="_Toc296891268"/>
      <w:r/>
      <w:bookmarkStart w:id="1065" w:name="_Toc296503228"/>
      <w:r/>
      <w:bookmarkStart w:id="1066" w:name="_Toc296891056"/>
      <w:r/>
      <w:bookmarkStart w:id="1067" w:name="_Toc296347227"/>
      <w:r/>
      <w:bookmarkStart w:id="1068" w:name="_Toc296944567"/>
      <w:r>
        <w:rPr>
          <w:rFonts w:hint="eastAsia" w:ascii="宋体" w:hAnsi="宋体" w:eastAsia="宋体" w:cs="宋体"/>
          <w:color w:val="auto"/>
          <w:sz w:val="21"/>
          <w:szCs w:val="21"/>
          <w:highlight w:val="none"/>
        </w:rPr>
        <w:t xml:space="preserve">件6：</w:t>
      </w:r>
      <w:bookmarkEnd w:id="1062"/>
      <w:bookmarkEnd w:id="1063"/>
      <w:bookmarkEnd w:id="1064"/>
      <w:bookmarkEnd w:id="1065"/>
      <w:bookmarkEnd w:id="1066"/>
      <w:bookmarkEnd w:id="1067"/>
      <w:bookmarkEnd w:id="1068"/>
      <w:r/>
    </w:p>
    <w:p>
      <w:pPr>
        <w:jc w:val="center"/>
        <w:spacing w:before="120" w:after="120" w:line="44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承包人主要施工管理人员表</w:t>
      </w:r>
      <w:r/>
    </w:p>
    <w:tbl>
      <w:tblPr>
        <w:tblStyle w:val="776"/>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210"/>
        <w:gridCol w:w="1344"/>
        <w:gridCol w:w="1132"/>
        <w:gridCol w:w="4252"/>
      </w:tblGrid>
      <w:tr>
        <w:trPr>
          <w:jc w:val="center"/>
        </w:trPr>
        <w:tc>
          <w:tcPr>
            <w:tcBorders>
              <w:top w:val="single" w:color="auto" w:sz="12" w:space="0"/>
              <w:bottom w:val="single" w:color="auto" w:sz="6" w:space="0"/>
            </w:tcBorders>
            <w:tcW w:w="1871"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t xml:space="preserve">名    称</w:t>
            </w:r>
            <w:r/>
          </w:p>
        </w:tc>
        <w:tc>
          <w:tcPr>
            <w:tcBorders>
              <w:top w:val="single" w:color="auto" w:sz="12" w:space="0"/>
              <w:bottom w:val="single" w:color="auto" w:sz="6" w:space="0"/>
            </w:tcBorders>
            <w:tcW w:w="1210"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t xml:space="preserve">姓名</w:t>
            </w:r>
            <w:r/>
          </w:p>
        </w:tc>
        <w:tc>
          <w:tcPr>
            <w:tcBorders>
              <w:top w:val="single" w:color="auto" w:sz="12" w:space="0"/>
              <w:bottom w:val="single" w:color="auto" w:sz="6" w:space="0"/>
            </w:tcBorders>
            <w:tcW w:w="1344"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t xml:space="preserve">职务</w:t>
            </w:r>
            <w:r/>
          </w:p>
        </w:tc>
        <w:tc>
          <w:tcPr>
            <w:tcBorders>
              <w:top w:val="single" w:color="auto" w:sz="12" w:space="0"/>
              <w:bottom w:val="single" w:color="auto" w:sz="6" w:space="0"/>
            </w:tcBorders>
            <w:tcW w:w="1132"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t xml:space="preserve">职称</w:t>
            </w:r>
            <w:r/>
          </w:p>
        </w:tc>
        <w:tc>
          <w:tcPr>
            <w:tcBorders>
              <w:top w:val="single" w:color="auto" w:sz="12" w:space="0"/>
              <w:bottom w:val="single" w:color="auto" w:sz="6" w:space="0"/>
            </w:tcBorders>
            <w:tcW w:w="4252" w:type="dxa"/>
            <w:vAlign w:val="center"/>
            <w:textDirection w:val="lrTb"/>
            <w:noWrap w:val="false"/>
          </w:tcPr>
          <w:p>
            <w:pPr>
              <w:pStyle w:val="782"/>
              <w:ind w:left="60" w:right="60"/>
              <w:jc w:val="both"/>
              <w:keepNext/>
              <w:spacing w:line="440" w:lineRule="exact"/>
              <w:rPr>
                <w:rFonts w:hint="eastAsia" w:cs="宋体"/>
                <w:color w:val="auto"/>
                <w:sz w:val="21"/>
                <w:szCs w:val="21"/>
                <w:highlight w:val="none"/>
                <w:lang w:eastAsia="zh-CN"/>
              </w:rPr>
            </w:pPr>
            <w:r>
              <w:rPr>
                <w:rFonts w:hint="eastAsia" w:cs="宋体"/>
                <w:color w:val="auto"/>
                <w:sz w:val="21"/>
                <w:szCs w:val="21"/>
                <w:highlight w:val="none"/>
                <w:lang w:eastAsia="zh-CN"/>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t xml:space="preserve">项目主管</w:t>
            </w:r>
            <w:r/>
          </w:p>
        </w:tc>
        <w:tc>
          <w:tcPr>
            <w:tcBorders>
              <w:top w:val="none" w:color="000000" w:sz="4" w:space="0"/>
            </w:tcBorders>
            <w:tcW w:w="1210"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Borders>
              <w:top w:val="none" w:color="000000" w:sz="4" w:space="0"/>
            </w:tcBorders>
            <w:tcW w:w="1344" w:type="dxa"/>
            <w:vAlign w:val="center"/>
            <w:textDirection w:val="lrTb"/>
            <w:noWrap w:val="false"/>
          </w:tcPr>
          <w:p>
            <w:pPr>
              <w:pStyle w:val="782"/>
              <w:ind w:left="60" w:right="60"/>
              <w:jc w:val="both"/>
              <w:keepNext/>
              <w:spacing w:line="440" w:lineRule="exact"/>
              <w:rPr>
                <w:rFonts w:hint="eastAsia" w:cs="宋体"/>
                <w:color w:val="auto"/>
                <w:sz w:val="21"/>
                <w:szCs w:val="21"/>
                <w:highlight w:val="none"/>
                <w:lang w:eastAsia="zh-CN"/>
              </w:rPr>
            </w:pPr>
            <w:r>
              <w:rPr>
                <w:rFonts w:hint="eastAsia" w:cs="宋体"/>
                <w:color w:val="auto"/>
                <w:sz w:val="21"/>
                <w:szCs w:val="21"/>
                <w:highlight w:val="none"/>
                <w:lang w:eastAsia="zh-CN"/>
              </w:rPr>
              <w:t xml:space="preserve">法定代表人</w:t>
            </w:r>
            <w:r/>
          </w:p>
        </w:tc>
        <w:tc>
          <w:tcPr>
            <w:tcBorders>
              <w:top w:val="none" w:color="000000" w:sz="4" w:space="0"/>
            </w:tcBorders>
            <w:tcW w:w="1132"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Borders>
              <w:top w:val="none" w:color="000000" w:sz="4" w:space="0"/>
            </w:tcBorders>
            <w:tcW w:w="4252"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r>
      <w:tr>
        <w:trPr>
          <w:jc w:val="center"/>
        </w:trPr>
        <w:tc>
          <w:tcPr>
            <w:tcBorders>
              <w:top w:val="single" w:color="auto" w:sz="6" w:space="0"/>
              <w:bottom w:val="none" w:color="000000" w:sz="4" w:space="0"/>
            </w:tcBorders>
            <w:tcW w:w="1871"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210"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344"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132"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4252"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r>
      <w:tr>
        <w:trPr>
          <w:jc w:val="center"/>
        </w:trPr>
        <w:tc>
          <w:tcPr>
            <w:tcBorders>
              <w:top w:val="none" w:color="000000" w:sz="4" w:space="0"/>
              <w:bottom w:val="none" w:color="000000" w:sz="4" w:space="0"/>
            </w:tcBorders>
            <w:tcW w:w="1871"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t xml:space="preserve">其他人员</w:t>
            </w:r>
            <w:r/>
          </w:p>
        </w:tc>
        <w:tc>
          <w:tcPr>
            <w:tcW w:w="1210"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344"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132"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4252"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r>
      <w:tr>
        <w:trPr>
          <w:jc w:val="center"/>
        </w:trPr>
        <w:tc>
          <w:tcPr>
            <w:tcBorders>
              <w:top w:val="none" w:color="000000" w:sz="4" w:space="0"/>
              <w:bottom w:val="none" w:color="000000" w:sz="4" w:space="0"/>
            </w:tcBorders>
            <w:tcW w:w="1871"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210"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344"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132"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4252"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t xml:space="preserve">项目经理</w:t>
            </w:r>
            <w:r/>
          </w:p>
        </w:tc>
        <w:tc>
          <w:tcPr>
            <w:tcW w:w="1210"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t xml:space="preserve"> </w:t>
            </w:r>
            <w:r/>
          </w:p>
        </w:tc>
        <w:tc>
          <w:tcPr>
            <w:tcW w:w="1344"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t xml:space="preserve"> </w:t>
            </w:r>
            <w:r/>
          </w:p>
        </w:tc>
        <w:tc>
          <w:tcPr>
            <w:tcW w:w="1132"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t xml:space="preserve"> </w:t>
            </w:r>
            <w:r/>
          </w:p>
        </w:tc>
        <w:tc>
          <w:tcPr>
            <w:tcW w:w="4252"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t xml:space="preserve">项目副经理</w:t>
            </w:r>
            <w:r/>
          </w:p>
        </w:tc>
        <w:tc>
          <w:tcPr>
            <w:tcW w:w="1210"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344"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132"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4252"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t xml:space="preserve">技术负责人</w:t>
            </w:r>
            <w:r/>
          </w:p>
        </w:tc>
        <w:tc>
          <w:tcPr>
            <w:tcW w:w="1210"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344"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132"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4252"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t xml:space="preserve">造价管理</w:t>
            </w:r>
            <w:r/>
          </w:p>
        </w:tc>
        <w:tc>
          <w:tcPr>
            <w:tcW w:w="1210"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344"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132"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4252"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t xml:space="preserve">质量管理</w:t>
            </w:r>
            <w:r/>
          </w:p>
        </w:tc>
        <w:tc>
          <w:tcPr>
            <w:tcW w:w="1210"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344"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132"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4252"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t xml:space="preserve">材料管理</w:t>
            </w:r>
            <w:r/>
          </w:p>
        </w:tc>
        <w:tc>
          <w:tcPr>
            <w:tcW w:w="1210"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344"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132"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4252"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t xml:space="preserve">计划管理</w:t>
            </w:r>
            <w:r/>
          </w:p>
        </w:tc>
        <w:tc>
          <w:tcPr>
            <w:tcW w:w="1210"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344"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132"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4252"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t xml:space="preserve">安全管理</w:t>
            </w:r>
            <w:r/>
          </w:p>
        </w:tc>
        <w:tc>
          <w:tcPr>
            <w:tcW w:w="1210"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344"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132"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4252"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r>
      <w:tr>
        <w:trPr>
          <w:jc w:val="center"/>
        </w:trPr>
        <w:tc>
          <w:tcPr>
            <w:tcBorders>
              <w:top w:val="single" w:color="auto" w:sz="6" w:space="0"/>
            </w:tcBorders>
            <w:tcW w:w="1871" w:type="dxa"/>
            <w:vAlign w:val="center"/>
            <w:vMerge w:val="restart"/>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t xml:space="preserve">其他人员</w:t>
            </w:r>
            <w:r/>
          </w:p>
        </w:tc>
        <w:tc>
          <w:tcPr>
            <w:tcW w:w="1210"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344"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132"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4252"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r>
      <w:tr>
        <w:trPr>
          <w:jc w:val="center"/>
        </w:trPr>
        <w:tc>
          <w:tcPr>
            <w:tcW w:w="1871" w:type="dxa"/>
            <w:vAlign w:val="center"/>
            <w:vMerge w:val="continue"/>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Borders>
              <w:bottom w:val="none" w:color="000000" w:sz="4" w:space="0"/>
            </w:tcBorders>
            <w:tcW w:w="1210"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Borders>
              <w:bottom w:val="none" w:color="000000" w:sz="4" w:space="0"/>
            </w:tcBorders>
            <w:tcW w:w="1344"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Borders>
              <w:bottom w:val="none" w:color="000000" w:sz="4" w:space="0"/>
            </w:tcBorders>
            <w:tcW w:w="1132"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Borders>
              <w:bottom w:val="none" w:color="000000" w:sz="4" w:space="0"/>
            </w:tcBorders>
            <w:tcW w:w="4252"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r>
      <w:tr>
        <w:trPr>
          <w:jc w:val="center"/>
        </w:trPr>
        <w:tc>
          <w:tcPr>
            <w:tcW w:w="1871" w:type="dxa"/>
            <w:vAlign w:val="center"/>
            <w:vMerge w:val="continue"/>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210"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344"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132"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4252"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r>
      <w:tr>
        <w:trPr>
          <w:jc w:val="center"/>
        </w:trPr>
        <w:tc>
          <w:tcPr>
            <w:tcW w:w="1871" w:type="dxa"/>
            <w:vAlign w:val="center"/>
            <w:vMerge w:val="continue"/>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210"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344"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132"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4252"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r>
      <w:tr>
        <w:trPr>
          <w:jc w:val="center"/>
        </w:trPr>
        <w:tc>
          <w:tcPr>
            <w:tcW w:w="1871" w:type="dxa"/>
            <w:vAlign w:val="center"/>
            <w:vMerge w:val="continue"/>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210"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344"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132"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4252"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r>
      <w:tr>
        <w:trPr>
          <w:jc w:val="center"/>
        </w:trPr>
        <w:tc>
          <w:tcPr>
            <w:tcBorders>
              <w:bottom w:val="single" w:color="auto" w:sz="12" w:space="0"/>
            </w:tcBorders>
            <w:tcW w:w="1871" w:type="dxa"/>
            <w:vAlign w:val="center"/>
            <w:vMerge w:val="continue"/>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Borders>
              <w:bottom w:val="single" w:color="auto" w:sz="12" w:space="0"/>
            </w:tcBorders>
            <w:tcW w:w="1210"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Borders>
              <w:bottom w:val="single" w:color="auto" w:sz="12" w:space="0"/>
            </w:tcBorders>
            <w:tcW w:w="1344"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Borders>
              <w:bottom w:val="single" w:color="auto" w:sz="12" w:space="0"/>
            </w:tcBorders>
            <w:tcW w:w="1132"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Borders>
              <w:bottom w:val="single" w:color="auto" w:sz="12" w:space="0"/>
            </w:tcBorders>
            <w:tcW w:w="4252"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r>
    </w:tbl>
    <w:p>
      <w:pPr>
        <w:jc w:val="both"/>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r>
        <w:rPr>
          <w:rFonts w:hint="eastAsia" w:ascii="宋体" w:hAnsi="宋体" w:eastAsia="宋体" w:cs="宋体"/>
          <w:color w:val="auto"/>
          <w:sz w:val="21"/>
          <w:szCs w:val="21"/>
          <w:highlight w:val="none"/>
        </w:rPr>
        <w:t xml:space="preserve">附</w:t>
      </w:r>
      <w:bookmarkStart w:id="1069" w:name="_Toc296346730"/>
      <w:r/>
      <w:bookmarkStart w:id="1070" w:name="_Toc296347228"/>
      <w:r/>
      <w:bookmarkStart w:id="1071" w:name="_Toc296891269"/>
      <w:r/>
      <w:bookmarkStart w:id="1072" w:name="_Toc296891057"/>
      <w:r/>
      <w:bookmarkStart w:id="1073" w:name="_Toc296503229"/>
      <w:r/>
      <w:bookmarkStart w:id="1074" w:name="_Toc296944568"/>
      <w:r>
        <w:rPr>
          <w:rFonts w:hint="eastAsia" w:ascii="宋体" w:hAnsi="宋体" w:eastAsia="宋体" w:cs="宋体"/>
          <w:color w:val="auto"/>
          <w:sz w:val="21"/>
          <w:szCs w:val="21"/>
          <w:highlight w:val="none"/>
        </w:rPr>
        <w:t xml:space="preserve">件7：</w:t>
      </w:r>
      <w:bookmarkEnd w:id="1069"/>
      <w:bookmarkEnd w:id="1070"/>
      <w:bookmarkEnd w:id="1071"/>
      <w:bookmarkEnd w:id="1072"/>
      <w:bookmarkEnd w:id="1073"/>
      <w:bookmarkEnd w:id="1074"/>
      <w:r/>
    </w:p>
    <w:p>
      <w:pPr>
        <w:jc w:val="center"/>
        <w:spacing w:before="120" w:after="120" w:line="44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分包人主要施工管理人员表</w:t>
      </w:r>
      <w:r/>
    </w:p>
    <w:tbl>
      <w:tblPr>
        <w:tblStyle w:val="776"/>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t xml:space="preserve">名    称</w:t>
            </w:r>
            <w:r/>
          </w:p>
        </w:tc>
        <w:tc>
          <w:tcPr>
            <w:tcBorders>
              <w:top w:val="single" w:color="auto" w:sz="12" w:space="0"/>
              <w:bottom w:val="single" w:color="auto" w:sz="6" w:space="0"/>
            </w:tcBorders>
            <w:tcW w:w="1418"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t xml:space="preserve">姓名</w:t>
            </w:r>
            <w:r/>
          </w:p>
        </w:tc>
        <w:tc>
          <w:tcPr>
            <w:tcBorders>
              <w:top w:val="single" w:color="auto" w:sz="12" w:space="0"/>
              <w:bottom w:val="single" w:color="auto" w:sz="6" w:space="0"/>
            </w:tcBorders>
            <w:tcW w:w="1134"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t xml:space="preserve">职务</w:t>
            </w:r>
            <w:r/>
          </w:p>
        </w:tc>
        <w:tc>
          <w:tcPr>
            <w:tcBorders>
              <w:top w:val="single" w:color="auto" w:sz="12" w:space="0"/>
              <w:bottom w:val="single" w:color="auto" w:sz="6" w:space="0"/>
            </w:tcBorders>
            <w:tcW w:w="1134"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t xml:space="preserve">职称</w:t>
            </w:r>
            <w:r/>
          </w:p>
        </w:tc>
        <w:tc>
          <w:tcPr>
            <w:tcBorders>
              <w:top w:val="single" w:color="auto" w:sz="12" w:space="0"/>
              <w:bottom w:val="single" w:color="auto" w:sz="6" w:space="0"/>
            </w:tcBorders>
            <w:tcW w:w="4252" w:type="dxa"/>
            <w:vAlign w:val="center"/>
            <w:textDirection w:val="lrTb"/>
            <w:noWrap w:val="false"/>
          </w:tcPr>
          <w:p>
            <w:pPr>
              <w:pStyle w:val="782"/>
              <w:ind w:left="60" w:right="60"/>
              <w:jc w:val="both"/>
              <w:keepNext/>
              <w:spacing w:line="440" w:lineRule="exact"/>
              <w:rPr>
                <w:rFonts w:hint="eastAsia" w:cs="宋体"/>
                <w:color w:val="auto"/>
                <w:sz w:val="21"/>
                <w:szCs w:val="21"/>
                <w:highlight w:val="none"/>
                <w:lang w:eastAsia="zh-CN"/>
              </w:rPr>
            </w:pPr>
            <w:r>
              <w:rPr>
                <w:rFonts w:hint="eastAsia" w:cs="宋体"/>
                <w:color w:val="auto"/>
                <w:sz w:val="21"/>
                <w:szCs w:val="21"/>
                <w:highlight w:val="none"/>
                <w:lang w:eastAsia="zh-CN"/>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t xml:space="preserve">项目主管</w:t>
            </w:r>
            <w:r/>
          </w:p>
        </w:tc>
        <w:tc>
          <w:tcPr>
            <w:tcBorders>
              <w:top w:val="none" w:color="000000" w:sz="4" w:space="0"/>
            </w:tcBorders>
            <w:tcW w:w="1418"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Borders>
              <w:top w:val="none" w:color="000000" w:sz="4" w:space="0"/>
            </w:tcBorders>
            <w:tcW w:w="1134"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Borders>
              <w:top w:val="none" w:color="000000" w:sz="4" w:space="0"/>
            </w:tcBorders>
            <w:tcW w:w="1134"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Borders>
              <w:top w:val="none" w:color="000000" w:sz="4" w:space="0"/>
            </w:tcBorders>
            <w:tcW w:w="4252"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r>
      <w:tr>
        <w:trPr>
          <w:jc w:val="center"/>
        </w:trPr>
        <w:tc>
          <w:tcPr>
            <w:tcBorders>
              <w:top w:val="single" w:color="auto" w:sz="6" w:space="0"/>
              <w:bottom w:val="none" w:color="000000" w:sz="4" w:space="0"/>
            </w:tcBorders>
            <w:tcW w:w="1871"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418"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134"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134"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4252"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r>
      <w:tr>
        <w:trPr>
          <w:jc w:val="center"/>
        </w:trPr>
        <w:tc>
          <w:tcPr>
            <w:tcBorders>
              <w:top w:val="none" w:color="000000" w:sz="4" w:space="0"/>
              <w:bottom w:val="none" w:color="000000" w:sz="4" w:space="0"/>
            </w:tcBorders>
            <w:tcW w:w="1871"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t xml:space="preserve">其他人员</w:t>
            </w:r>
            <w:r/>
          </w:p>
        </w:tc>
        <w:tc>
          <w:tcPr>
            <w:tcW w:w="1418"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134"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134"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4252"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r>
      <w:tr>
        <w:trPr>
          <w:jc w:val="center"/>
        </w:trPr>
        <w:tc>
          <w:tcPr>
            <w:tcBorders>
              <w:top w:val="none" w:color="000000" w:sz="4" w:space="0"/>
              <w:bottom w:val="none" w:color="000000" w:sz="4" w:space="0"/>
            </w:tcBorders>
            <w:tcW w:w="1871"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418"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134"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134"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4252"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t xml:space="preserve">项目经理</w:t>
            </w:r>
            <w:r/>
          </w:p>
        </w:tc>
        <w:tc>
          <w:tcPr>
            <w:tcW w:w="1418"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134"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134"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4252"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t xml:space="preserve">项目副经理</w:t>
            </w:r>
            <w:r/>
          </w:p>
        </w:tc>
        <w:tc>
          <w:tcPr>
            <w:tcW w:w="1418"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134"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134"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4252"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t xml:space="preserve">技术负责人</w:t>
            </w:r>
            <w:r/>
          </w:p>
        </w:tc>
        <w:tc>
          <w:tcPr>
            <w:tcW w:w="1418"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134"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134"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4252"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t xml:space="preserve">造价管理</w:t>
            </w:r>
            <w:r/>
          </w:p>
        </w:tc>
        <w:tc>
          <w:tcPr>
            <w:tcW w:w="1418"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134"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134"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4252"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t xml:space="preserve">质量管理</w:t>
            </w:r>
            <w:r/>
          </w:p>
        </w:tc>
        <w:tc>
          <w:tcPr>
            <w:tcW w:w="1418"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134"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134"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4252"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t xml:space="preserve">材料管理</w:t>
            </w:r>
            <w:r/>
          </w:p>
        </w:tc>
        <w:tc>
          <w:tcPr>
            <w:tcW w:w="1418"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134"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134"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4252"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t xml:space="preserve">计划管理</w:t>
            </w:r>
            <w:r/>
          </w:p>
        </w:tc>
        <w:tc>
          <w:tcPr>
            <w:tcW w:w="1418"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134"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134"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4252"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t xml:space="preserve">安全管理</w:t>
            </w:r>
            <w:r/>
          </w:p>
        </w:tc>
        <w:tc>
          <w:tcPr>
            <w:tcW w:w="1418"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134"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134"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4252"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r>
      <w:tr>
        <w:trPr>
          <w:jc w:val="center"/>
        </w:trPr>
        <w:tc>
          <w:tcPr>
            <w:tcBorders>
              <w:top w:val="single" w:color="auto" w:sz="6" w:space="0"/>
            </w:tcBorders>
            <w:tcW w:w="1871" w:type="dxa"/>
            <w:vAlign w:val="center"/>
            <w:vMerge w:val="restart"/>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t xml:space="preserve">其他人员</w:t>
            </w:r>
            <w:r/>
          </w:p>
        </w:tc>
        <w:tc>
          <w:tcPr>
            <w:tcW w:w="1418"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134"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134"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4252"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r>
      <w:tr>
        <w:trPr>
          <w:jc w:val="center"/>
        </w:trPr>
        <w:tc>
          <w:tcPr>
            <w:tcW w:w="1871" w:type="dxa"/>
            <w:vAlign w:val="center"/>
            <w:vMerge w:val="continue"/>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Borders>
              <w:bottom w:val="none" w:color="000000" w:sz="4" w:space="0"/>
            </w:tcBorders>
            <w:tcW w:w="1418"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Borders>
              <w:bottom w:val="none" w:color="000000" w:sz="4" w:space="0"/>
            </w:tcBorders>
            <w:tcW w:w="1134"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Borders>
              <w:bottom w:val="none" w:color="000000" w:sz="4" w:space="0"/>
            </w:tcBorders>
            <w:tcW w:w="1134"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Borders>
              <w:bottom w:val="none" w:color="000000" w:sz="4" w:space="0"/>
            </w:tcBorders>
            <w:tcW w:w="4252"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r>
      <w:tr>
        <w:trPr>
          <w:jc w:val="center"/>
        </w:trPr>
        <w:tc>
          <w:tcPr>
            <w:tcW w:w="1871" w:type="dxa"/>
            <w:vAlign w:val="center"/>
            <w:vMerge w:val="continue"/>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418"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134"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134"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4252"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r>
      <w:tr>
        <w:trPr>
          <w:jc w:val="center"/>
        </w:trPr>
        <w:tc>
          <w:tcPr>
            <w:tcW w:w="1871" w:type="dxa"/>
            <w:vAlign w:val="center"/>
            <w:vMerge w:val="continue"/>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418"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134"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134"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4252"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r>
      <w:tr>
        <w:trPr>
          <w:jc w:val="center"/>
        </w:trPr>
        <w:tc>
          <w:tcPr>
            <w:tcW w:w="1871" w:type="dxa"/>
            <w:vAlign w:val="center"/>
            <w:vMerge w:val="continue"/>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418"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134"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134"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4252"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r>
      <w:tr>
        <w:trPr>
          <w:jc w:val="center"/>
        </w:trPr>
        <w:tc>
          <w:tcPr>
            <w:tcBorders>
              <w:bottom w:val="single" w:color="auto" w:sz="12" w:space="0"/>
            </w:tcBorders>
            <w:tcW w:w="1871" w:type="dxa"/>
            <w:vAlign w:val="center"/>
            <w:vMerge w:val="continue"/>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Borders>
              <w:bottom w:val="single" w:color="auto" w:sz="12" w:space="0"/>
            </w:tcBorders>
            <w:tcW w:w="1418"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Borders>
              <w:bottom w:val="single" w:color="auto" w:sz="12" w:space="0"/>
            </w:tcBorders>
            <w:tcW w:w="1134"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Borders>
              <w:bottom w:val="single" w:color="auto" w:sz="12" w:space="0"/>
            </w:tcBorders>
            <w:tcW w:w="1134"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Borders>
              <w:bottom w:val="single" w:color="auto" w:sz="12" w:space="0"/>
            </w:tcBorders>
            <w:tcW w:w="4252" w:type="dxa"/>
            <w:vAlign w:val="center"/>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r>
    </w:tbl>
    <w:p>
      <w:pPr>
        <w:jc w:val="both"/>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bookmarkStart w:id="1075" w:name="_Toc267261701"/>
      <w:r>
        <w:rPr>
          <w:rFonts w:hint="eastAsia" w:ascii="宋体" w:hAnsi="宋体" w:eastAsia="宋体" w:cs="宋体"/>
          <w:b/>
          <w:bCs/>
          <w:color w:val="auto"/>
          <w:sz w:val="21"/>
          <w:szCs w:val="21"/>
          <w:highlight w:val="none"/>
        </w:rPr>
        <w:t xml:space="preserve">附</w:t>
      </w:r>
      <w:bookmarkStart w:id="1076" w:name="_Toc296944570"/>
      <w:r/>
      <w:bookmarkStart w:id="1077" w:name="_Toc296346732"/>
      <w:r/>
      <w:bookmarkStart w:id="1078" w:name="_Toc296891059"/>
      <w:r/>
      <w:bookmarkStart w:id="1079" w:name="_Toc296347230"/>
      <w:r/>
      <w:bookmarkStart w:id="1080" w:name="_Toc296891271"/>
      <w:r/>
      <w:bookmarkStart w:id="1081" w:name="_Toc296503231"/>
      <w:r>
        <w:rPr>
          <w:rFonts w:hint="eastAsia" w:ascii="宋体" w:hAnsi="宋体" w:eastAsia="宋体" w:cs="宋体"/>
          <w:b/>
          <w:bCs/>
          <w:color w:val="auto"/>
          <w:sz w:val="21"/>
          <w:szCs w:val="21"/>
          <w:highlight w:val="none"/>
        </w:rPr>
        <w:t xml:space="preserve">件8：</w:t>
      </w:r>
      <w:bookmarkEnd w:id="1075"/>
      <w:bookmarkEnd w:id="1076"/>
      <w:bookmarkEnd w:id="1077"/>
      <w:bookmarkEnd w:id="1078"/>
      <w:bookmarkEnd w:id="1079"/>
      <w:bookmarkEnd w:id="1080"/>
      <w:bookmarkEnd w:id="1081"/>
      <w:r/>
    </w:p>
    <w:p>
      <w:pPr>
        <w:jc w:val="center"/>
        <w:spacing w:before="120" w:after="120"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履约担保</w:t>
      </w:r>
      <w:r/>
    </w:p>
    <w:p>
      <w:pPr>
        <w:jc w:val="both"/>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r>
      <w:r/>
    </w:p>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（发包人名称）：</w:t>
      </w:r>
      <w:r/>
    </w:p>
    <w:p>
      <w:pPr>
        <w:ind w:firstLine="42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鉴于</w:t>
      </w:r>
      <w:r>
        <w:rPr>
          <w:rFonts w:hint="eastAsia" w:ascii="宋体" w:hAnsi="宋体" w:eastAsia="宋体" w:cs="宋体"/>
          <w:color w:val="auto"/>
          <w:sz w:val="21"/>
          <w:szCs w:val="21"/>
          <w:highlight w:val="none"/>
          <w:u w:val="single"/>
          <w:lang w:eastAsia="zh-CN"/>
        </w:rPr>
        <w:t xml:space="preserve">（发包人名称，以下简称“发包人”）</w:t>
      </w:r>
      <w:r>
        <w:rPr>
          <w:rFonts w:hint="eastAsia" w:ascii="宋体" w:hAnsi="宋体" w:eastAsia="宋体" w:cs="宋体"/>
          <w:color w:val="auto"/>
          <w:sz w:val="21"/>
          <w:szCs w:val="21"/>
          <w:highlight w:val="none"/>
          <w:lang w:eastAsia="zh-CN"/>
        </w:rPr>
        <w:t xml:space="preserve">与</w:t>
      </w:r>
      <w:r>
        <w:rPr>
          <w:rFonts w:hint="eastAsia" w:ascii="宋体" w:hAnsi="宋体" w:eastAsia="宋体" w:cs="宋体"/>
          <w:color w:val="auto"/>
          <w:sz w:val="21"/>
          <w:szCs w:val="21"/>
          <w:highlight w:val="none"/>
          <w:u w:val="single"/>
          <w:lang w:eastAsia="zh-CN"/>
        </w:rPr>
        <w:t xml:space="preserve">（承包人名称）</w:t>
      </w:r>
      <w:r>
        <w:rPr>
          <w:rFonts w:hint="eastAsia" w:ascii="宋体" w:hAnsi="宋体" w:eastAsia="宋体" w:cs="宋体"/>
          <w:color w:val="auto"/>
          <w:sz w:val="21"/>
          <w:szCs w:val="21"/>
          <w:highlight w:val="none"/>
          <w:lang w:eastAsia="zh-CN"/>
        </w:rPr>
        <w:t xml:space="preserve">（以下称“承包人”）于   年  月  日就</w:t>
      </w:r>
      <w:r>
        <w:rPr>
          <w:rFonts w:hint="eastAsia" w:ascii="宋体" w:hAnsi="宋体" w:eastAsia="宋体" w:cs="宋体"/>
          <w:color w:val="auto"/>
          <w:sz w:val="21"/>
          <w:szCs w:val="21"/>
          <w:highlight w:val="none"/>
          <w:u w:val="single"/>
          <w:lang w:eastAsia="zh-CN"/>
        </w:rPr>
        <w:t xml:space="preserve">  （工程名称）  </w:t>
      </w:r>
      <w:r>
        <w:rPr>
          <w:rFonts w:hint="eastAsia" w:ascii="宋体" w:hAnsi="宋体" w:eastAsia="宋体" w:cs="宋体"/>
          <w:color w:val="auto"/>
          <w:sz w:val="21"/>
          <w:szCs w:val="21"/>
          <w:highlight w:val="none"/>
          <w:lang w:eastAsia="zh-CN"/>
        </w:rPr>
        <w:t xml:space="preserve">施工及有关事项协商一致共同签订《建设工程施工合同》。我方愿意无条件地、不可撤销地就承包人履行与你方签订的合同，向你方提供连带责任担保。 </w:t>
      </w:r>
      <w:r/>
    </w:p>
    <w:p>
      <w:pPr>
        <w:ind w:firstLine="42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 担保金额人民币  </w:t>
      </w:r>
      <w:r>
        <w:rPr>
          <w:rFonts w:hint="eastAsia" w:ascii="宋体" w:hAnsi="宋体" w:eastAsia="宋体" w:cs="宋体"/>
          <w:color w:val="auto"/>
          <w:sz w:val="21"/>
          <w:szCs w:val="21"/>
          <w:highlight w:val="none"/>
          <w:u w:val="single"/>
          <w:lang w:eastAsia="zh-CN"/>
        </w:rPr>
        <w:t xml:space="preserve">（大写）  </w:t>
      </w:r>
      <w:r>
        <w:rPr>
          <w:rFonts w:hint="eastAsia" w:ascii="宋体" w:hAnsi="宋体" w:eastAsia="宋体" w:cs="宋体"/>
          <w:color w:val="auto"/>
          <w:sz w:val="21"/>
          <w:szCs w:val="21"/>
          <w:highlight w:val="none"/>
          <w:lang w:eastAsia="zh-CN"/>
        </w:rPr>
        <w:t xml:space="preserve">元（¥</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w:t>
      </w:r>
      <w:r/>
    </w:p>
    <w:p>
      <w:pPr>
        <w:ind w:firstLine="42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 担保有效期自你方与承包人签订的合同生效之日起至你方签发或应签发工程接收证书之日止。</w:t>
      </w:r>
      <w:r/>
    </w:p>
    <w:p>
      <w:pPr>
        <w:ind w:firstLine="42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 在本担保有效期内，因承包人违反合同约定的义务给你方造成经济损失时，我方在收到你方以书面形式提出的在担保金额内的赔偿要求后，在7天内无条件支付。</w:t>
      </w:r>
      <w:r/>
    </w:p>
    <w:p>
      <w:pPr>
        <w:ind w:firstLine="42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 你方和承包人按合同约定变更合同时，我方承担本担保规定的义务不变。</w:t>
      </w:r>
      <w:r/>
    </w:p>
    <w:p>
      <w:pPr>
        <w:ind w:firstLine="42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5. 因本保函发生的纠纷，可由双方协商解决，协商不成的，任何一方均可提请仲裁委员会仲裁。</w:t>
      </w:r>
      <w:r/>
    </w:p>
    <w:p>
      <w:pPr>
        <w:ind w:firstLine="42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6. 本保函自我方法定代表人（或其授权代理人）签字并加盖公章之日起生效。</w:t>
      </w:r>
      <w:r/>
    </w:p>
    <w:p>
      <w:pPr>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担 保 人：（盖单位章）</w:t>
      </w:r>
      <w:r/>
    </w:p>
    <w:p>
      <w:pPr>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法定代表人或其委托代理人：（签字）</w:t>
      </w:r>
      <w:r/>
    </w:p>
    <w:p>
      <w:pPr>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地    址：</w:t>
      </w:r>
      <w:r/>
    </w:p>
    <w:p>
      <w:pPr>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邮政编码：</w:t>
      </w:r>
      <w:r/>
    </w:p>
    <w:p>
      <w:pPr>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lang w:eastAsia="zh-CN"/>
        </w:rPr>
        <w:t xml:space="preserve">电    话：</w:t>
      </w:r>
      <w:r/>
    </w:p>
    <w:p>
      <w:pPr>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传    真：</w:t>
      </w:r>
      <w:r/>
    </w:p>
    <w:p>
      <w:pPr>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r>
      <w:r/>
    </w:p>
    <w:p>
      <w:pPr>
        <w:ind w:left="1329" w:hanging="1329"/>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年月日</w:t>
      </w:r>
      <w:r/>
    </w:p>
    <w:p>
      <w:pPr>
        <w:ind w:left="1329" w:hanging="1329"/>
        <w:jc w:val="both"/>
        <w:spacing w:line="4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br w:type="page" w:clear="all"/>
      </w:r>
      <w:r>
        <w:rPr>
          <w:rFonts w:hint="eastAsia" w:ascii="宋体" w:hAnsi="宋体" w:eastAsia="宋体" w:cs="宋体"/>
          <w:color w:val="auto"/>
          <w:sz w:val="21"/>
          <w:szCs w:val="21"/>
          <w:highlight w:val="none"/>
          <w:lang w:eastAsia="zh-CN"/>
        </w:rPr>
        <w:t xml:space="preserve">附</w:t>
      </w:r>
      <w:bookmarkStart w:id="1082" w:name="_Toc296891060"/>
      <w:r/>
      <w:bookmarkStart w:id="1083" w:name="_Toc267261702"/>
      <w:r/>
      <w:bookmarkStart w:id="1084" w:name="_Toc296346733"/>
      <w:r/>
      <w:bookmarkStart w:id="1085" w:name="_Toc296944571"/>
      <w:r/>
      <w:bookmarkStart w:id="1086" w:name="_Toc296347231"/>
      <w:r/>
      <w:bookmarkStart w:id="1087" w:name="_Toc296891272"/>
      <w:r/>
      <w:bookmarkStart w:id="1088" w:name="_Toc296503232"/>
      <w:r>
        <w:rPr>
          <w:rFonts w:hint="eastAsia" w:ascii="宋体" w:hAnsi="宋体" w:eastAsia="宋体" w:cs="宋体"/>
          <w:color w:val="auto"/>
          <w:sz w:val="21"/>
          <w:szCs w:val="21"/>
          <w:highlight w:val="none"/>
          <w:lang w:eastAsia="zh-CN"/>
        </w:rPr>
        <w:t xml:space="preserve">件9 ：</w:t>
      </w:r>
      <w:bookmarkEnd w:id="1082"/>
      <w:bookmarkEnd w:id="1083"/>
      <w:bookmarkEnd w:id="1084"/>
      <w:bookmarkEnd w:id="1085"/>
      <w:bookmarkEnd w:id="1086"/>
      <w:bookmarkEnd w:id="1087"/>
      <w:bookmarkEnd w:id="1088"/>
      <w:r/>
    </w:p>
    <w:p>
      <w:pPr>
        <w:jc w:val="center"/>
        <w:spacing w:before="120" w:after="120" w:line="4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预付款担保</w:t>
      </w:r>
      <w:r/>
    </w:p>
    <w:p>
      <w:pPr>
        <w:jc w:val="center"/>
        <w:spacing w:before="120" w:after="120" w:line="4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u w:val="single"/>
          <w:lang w:eastAsia="zh-CN"/>
        </w:rPr>
        <w:tab/>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u w:val="single"/>
          <w:lang w:eastAsia="zh-CN"/>
        </w:rPr>
        <w:tab/>
      </w:r>
      <w:r>
        <w:rPr>
          <w:rFonts w:hint="eastAsia" w:ascii="宋体" w:hAnsi="宋体" w:eastAsia="宋体" w:cs="宋体"/>
          <w:color w:val="auto"/>
          <w:sz w:val="21"/>
          <w:szCs w:val="21"/>
          <w:highlight w:val="none"/>
          <w:lang w:eastAsia="zh-CN"/>
        </w:rPr>
        <w:t xml:space="preserve"> （发包人名称）：</w:t>
      </w:r>
      <w:r/>
    </w:p>
    <w:p>
      <w:pPr>
        <w:ind w:firstLine="42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根据</w:t>
      </w:r>
      <w:r>
        <w:rPr>
          <w:rFonts w:hint="eastAsia" w:ascii="宋体" w:hAnsi="宋体" w:eastAsia="宋体" w:cs="宋体"/>
          <w:color w:val="auto"/>
          <w:sz w:val="21"/>
          <w:szCs w:val="21"/>
          <w:highlight w:val="none"/>
          <w:u w:val="single"/>
          <w:lang w:eastAsia="zh-CN"/>
        </w:rPr>
        <w:t xml:space="preserve">（承包人名称）（以下称“承包人”）</w:t>
      </w:r>
      <w:r>
        <w:rPr>
          <w:rFonts w:hint="eastAsia" w:ascii="宋体" w:hAnsi="宋体" w:eastAsia="宋体" w:cs="宋体"/>
          <w:color w:val="auto"/>
          <w:sz w:val="21"/>
          <w:szCs w:val="21"/>
          <w:highlight w:val="none"/>
          <w:lang w:eastAsia="zh-CN"/>
        </w:rPr>
        <w:t xml:space="preserve">与</w:t>
      </w:r>
      <w:r>
        <w:rPr>
          <w:rFonts w:hint="eastAsia" w:ascii="宋体" w:hAnsi="宋体" w:eastAsia="宋体" w:cs="宋体"/>
          <w:color w:val="auto"/>
          <w:sz w:val="21"/>
          <w:szCs w:val="21"/>
          <w:highlight w:val="none"/>
          <w:u w:val="single"/>
          <w:lang w:eastAsia="zh-CN"/>
        </w:rPr>
        <w:t xml:space="preserve">（发包人名称）（以下简称“发包人”）</w:t>
      </w:r>
      <w:r>
        <w:rPr>
          <w:rFonts w:hint="eastAsia" w:ascii="宋体" w:hAnsi="宋体" w:eastAsia="宋体" w:cs="宋体"/>
          <w:color w:val="auto"/>
          <w:sz w:val="21"/>
          <w:szCs w:val="21"/>
          <w:highlight w:val="none"/>
          <w:lang w:eastAsia="zh-CN"/>
        </w:rPr>
        <w:t xml:space="preserve">于</w:t>
      </w:r>
      <w:r>
        <w:rPr>
          <w:rFonts w:hint="eastAsia" w:ascii="宋体" w:hAnsi="宋体" w:eastAsia="宋体" w:cs="宋体"/>
          <w:color w:val="auto"/>
          <w:sz w:val="21"/>
          <w:szCs w:val="21"/>
          <w:highlight w:val="none"/>
          <w:u w:val="single"/>
          <w:lang w:eastAsia="zh-CN"/>
        </w:rPr>
        <w:t xml:space="preserve">    年    月    日</w:t>
      </w:r>
      <w:r>
        <w:rPr>
          <w:rFonts w:hint="eastAsia" w:ascii="宋体" w:hAnsi="宋体" w:eastAsia="宋体" w:cs="宋体"/>
          <w:color w:val="auto"/>
          <w:sz w:val="21"/>
          <w:szCs w:val="21"/>
          <w:highlight w:val="none"/>
          <w:lang w:eastAsia="zh-CN"/>
        </w:rPr>
        <w:t xml:space="preserve">签订的</w:t>
      </w:r>
      <w:r>
        <w:rPr>
          <w:rFonts w:hint="eastAsia" w:ascii="宋体" w:hAnsi="宋体" w:eastAsia="宋体" w:cs="宋体"/>
          <w:color w:val="auto"/>
          <w:sz w:val="21"/>
          <w:szCs w:val="21"/>
          <w:highlight w:val="none"/>
          <w:u w:val="single"/>
          <w:lang w:eastAsia="zh-CN"/>
        </w:rPr>
        <w:t xml:space="preserve"> （工程名称） </w:t>
      </w:r>
      <w:r>
        <w:rPr>
          <w:rFonts w:hint="eastAsia" w:ascii="宋体" w:hAnsi="宋体" w:eastAsia="宋体" w:cs="宋体"/>
          <w:color w:val="auto"/>
          <w:sz w:val="21"/>
          <w:szCs w:val="21"/>
          <w:highlight w:val="none"/>
          <w:lang w:eastAsia="zh-CN"/>
        </w:rPr>
        <w:t xml:space="preserve">《建设工程施工合同》，承包人按约定的金额向你方提交一份预付款担保，即有权得到你方支付相等金额的预付款。我方愿意就你方提供给承包人的预付款为承包人提供连带责任担保。</w:t>
      </w:r>
      <w:r/>
    </w:p>
    <w:p>
      <w:pPr>
        <w:ind w:firstLine="42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 担保金额人民币</w:t>
      </w:r>
      <w:r>
        <w:rPr>
          <w:rFonts w:hint="eastAsia" w:ascii="宋体" w:hAnsi="宋体" w:eastAsia="宋体" w:cs="宋体"/>
          <w:color w:val="auto"/>
          <w:sz w:val="21"/>
          <w:szCs w:val="21"/>
          <w:highlight w:val="none"/>
          <w:u w:val="single"/>
          <w:lang w:eastAsia="zh-CN"/>
        </w:rPr>
        <w:t xml:space="preserve"> （大写）  </w:t>
      </w:r>
      <w:r>
        <w:rPr>
          <w:rFonts w:hint="eastAsia" w:ascii="宋体" w:hAnsi="宋体" w:eastAsia="宋体" w:cs="宋体"/>
          <w:color w:val="auto"/>
          <w:sz w:val="21"/>
          <w:szCs w:val="21"/>
          <w:highlight w:val="none"/>
          <w:lang w:eastAsia="zh-CN"/>
        </w:rPr>
        <w:t xml:space="preserve">元（¥</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w:t>
      </w:r>
      <w:r/>
    </w:p>
    <w:p>
      <w:pPr>
        <w:ind w:firstLine="42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 担保有效期自预付款支付给承包人起生效，至你方签发的进度款支付证书说明已完全扣清止。</w:t>
      </w:r>
      <w:r/>
    </w:p>
    <w:p>
      <w:pPr>
        <w:ind w:firstLine="42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 在本保函有效期内，因承包人违反合同约定的义务而要求收回预付款时，我方在收到你方的书面通知后，在７天内无条件支付。但本保函的担保金额，在任何时候不应超过预付款金额减去你方按合同约定在向承包人签发的进度款支付证书中扣除的金额。</w:t>
      </w:r>
      <w:r/>
    </w:p>
    <w:p>
      <w:pPr>
        <w:ind w:firstLine="42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 你方和承包人按合同约定变更合同时，我方承担本保函规定的义务不变。</w:t>
      </w:r>
      <w:r/>
    </w:p>
    <w:p>
      <w:pPr>
        <w:ind w:firstLine="42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5. 因本保函发生的纠纷，可由双方协商解决，协商不成的，任何一方均可提请仲裁委员会仲裁。</w:t>
      </w:r>
      <w:r/>
    </w:p>
    <w:p>
      <w:pPr>
        <w:ind w:firstLine="42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6. 本保函自我方法定代表人（或其授权代理人）签字并加盖公章之日起生效。</w:t>
      </w:r>
      <w:r/>
    </w:p>
    <w:p>
      <w:pPr>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担保人：（盖单位章）</w:t>
      </w:r>
      <w:r/>
    </w:p>
    <w:p>
      <w:pPr>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法定代表人或其委托代理人：（签字）</w:t>
      </w:r>
      <w:r/>
    </w:p>
    <w:p>
      <w:pPr>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地    址：</w:t>
      </w:r>
      <w:r>
        <w:rPr>
          <w:rFonts w:hint="eastAsia" w:ascii="宋体" w:hAnsi="宋体" w:eastAsia="宋体" w:cs="宋体"/>
          <w:color w:val="auto"/>
          <w:sz w:val="21"/>
          <w:szCs w:val="21"/>
          <w:highlight w:val="none"/>
          <w:u w:val="single"/>
          <w:lang w:eastAsia="zh-CN"/>
        </w:rPr>
        <w:tab/>
      </w:r>
      <w:r>
        <w:rPr>
          <w:rFonts w:hint="eastAsia" w:ascii="宋体" w:hAnsi="宋体" w:eastAsia="宋体" w:cs="宋体"/>
          <w:color w:val="auto"/>
          <w:sz w:val="21"/>
          <w:szCs w:val="21"/>
          <w:highlight w:val="none"/>
          <w:u w:val="single"/>
          <w:lang w:eastAsia="zh-CN"/>
        </w:rPr>
        <w:tab/>
      </w:r>
      <w:r>
        <w:rPr>
          <w:rFonts w:hint="eastAsia" w:ascii="宋体" w:hAnsi="宋体" w:eastAsia="宋体" w:cs="宋体"/>
          <w:color w:val="auto"/>
          <w:sz w:val="21"/>
          <w:szCs w:val="21"/>
          <w:highlight w:val="none"/>
          <w:u w:val="single"/>
          <w:lang w:eastAsia="zh-CN"/>
        </w:rPr>
        <w:tab/>
      </w:r>
      <w:r>
        <w:rPr>
          <w:rFonts w:hint="eastAsia" w:ascii="宋体" w:hAnsi="宋体" w:eastAsia="宋体" w:cs="宋体"/>
          <w:color w:val="auto"/>
          <w:sz w:val="21"/>
          <w:szCs w:val="21"/>
          <w:highlight w:val="none"/>
          <w:u w:val="single"/>
          <w:lang w:eastAsia="zh-CN"/>
        </w:rPr>
        <w:tab/>
      </w:r>
      <w:r>
        <w:rPr>
          <w:rFonts w:hint="eastAsia" w:ascii="宋体" w:hAnsi="宋体" w:eastAsia="宋体" w:cs="宋体"/>
          <w:color w:val="auto"/>
          <w:sz w:val="21"/>
          <w:szCs w:val="21"/>
          <w:highlight w:val="none"/>
          <w:u w:val="single"/>
          <w:lang w:eastAsia="zh-CN"/>
        </w:rPr>
        <w:tab/>
      </w:r>
      <w:r>
        <w:rPr>
          <w:rFonts w:hint="eastAsia" w:ascii="宋体" w:hAnsi="宋体" w:eastAsia="宋体" w:cs="宋体"/>
          <w:color w:val="auto"/>
          <w:sz w:val="21"/>
          <w:szCs w:val="21"/>
          <w:highlight w:val="none"/>
          <w:u w:val="single"/>
          <w:lang w:eastAsia="zh-CN"/>
        </w:rPr>
        <w:tab/>
      </w:r>
      <w:r>
        <w:rPr>
          <w:rFonts w:hint="eastAsia" w:ascii="宋体" w:hAnsi="宋体" w:eastAsia="宋体" w:cs="宋体"/>
          <w:color w:val="auto"/>
          <w:sz w:val="21"/>
          <w:szCs w:val="21"/>
          <w:highlight w:val="none"/>
          <w:u w:val="single"/>
          <w:lang w:eastAsia="zh-CN"/>
        </w:rPr>
        <w:tab/>
      </w:r>
      <w:r/>
    </w:p>
    <w:p>
      <w:pPr>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lang w:eastAsia="zh-CN"/>
        </w:rPr>
        <w:t xml:space="preserve">邮政编码：</w:t>
      </w:r>
      <w:r>
        <w:rPr>
          <w:rFonts w:hint="eastAsia" w:ascii="宋体" w:hAnsi="宋体" w:eastAsia="宋体" w:cs="宋体"/>
          <w:color w:val="auto"/>
          <w:sz w:val="21"/>
          <w:szCs w:val="21"/>
          <w:highlight w:val="none"/>
          <w:u w:val="single"/>
          <w:lang w:eastAsia="zh-CN"/>
        </w:rPr>
        <w:tab/>
      </w:r>
      <w:r>
        <w:rPr>
          <w:rFonts w:hint="eastAsia" w:ascii="宋体" w:hAnsi="宋体" w:eastAsia="宋体" w:cs="宋体"/>
          <w:color w:val="auto"/>
          <w:sz w:val="21"/>
          <w:szCs w:val="21"/>
          <w:highlight w:val="none"/>
          <w:u w:val="single"/>
          <w:lang w:eastAsia="zh-CN"/>
        </w:rPr>
        <w:tab/>
      </w:r>
      <w:r>
        <w:rPr>
          <w:rFonts w:hint="eastAsia" w:ascii="宋体" w:hAnsi="宋体" w:eastAsia="宋体" w:cs="宋体"/>
          <w:color w:val="auto"/>
          <w:sz w:val="21"/>
          <w:szCs w:val="21"/>
          <w:highlight w:val="none"/>
          <w:u w:val="single"/>
          <w:lang w:eastAsia="zh-CN"/>
        </w:rPr>
        <w:tab/>
      </w:r>
      <w:r>
        <w:rPr>
          <w:rFonts w:hint="eastAsia" w:ascii="宋体" w:hAnsi="宋体" w:eastAsia="宋体" w:cs="宋体"/>
          <w:color w:val="auto"/>
          <w:sz w:val="21"/>
          <w:szCs w:val="21"/>
          <w:highlight w:val="none"/>
          <w:u w:val="single"/>
          <w:lang w:eastAsia="zh-CN"/>
        </w:rPr>
        <w:tab/>
      </w:r>
      <w:r>
        <w:rPr>
          <w:rFonts w:hint="eastAsia" w:ascii="宋体" w:hAnsi="宋体" w:eastAsia="宋体" w:cs="宋体"/>
          <w:color w:val="auto"/>
          <w:sz w:val="21"/>
          <w:szCs w:val="21"/>
          <w:highlight w:val="none"/>
          <w:u w:val="single"/>
          <w:lang w:eastAsia="zh-CN"/>
        </w:rPr>
        <w:tab/>
      </w:r>
      <w:r>
        <w:rPr>
          <w:rFonts w:hint="eastAsia" w:ascii="宋体" w:hAnsi="宋体" w:eastAsia="宋体" w:cs="宋体"/>
          <w:color w:val="auto"/>
          <w:sz w:val="21"/>
          <w:szCs w:val="21"/>
          <w:highlight w:val="none"/>
          <w:u w:val="single"/>
          <w:lang w:eastAsia="zh-CN"/>
        </w:rPr>
        <w:tab/>
      </w:r>
      <w:r>
        <w:rPr>
          <w:rFonts w:hint="eastAsia" w:ascii="宋体" w:hAnsi="宋体" w:eastAsia="宋体" w:cs="宋体"/>
          <w:color w:val="auto"/>
          <w:sz w:val="21"/>
          <w:szCs w:val="21"/>
          <w:highlight w:val="none"/>
          <w:u w:val="single"/>
          <w:lang w:eastAsia="zh-CN"/>
        </w:rPr>
        <w:tab/>
      </w:r>
      <w:r/>
    </w:p>
    <w:p>
      <w:pPr>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lang w:eastAsia="zh-CN"/>
        </w:rPr>
        <w:t xml:space="preserve">电    话：</w:t>
      </w:r>
      <w:r>
        <w:rPr>
          <w:rFonts w:hint="eastAsia" w:ascii="宋体" w:hAnsi="宋体" w:eastAsia="宋体" w:cs="宋体"/>
          <w:color w:val="auto"/>
          <w:sz w:val="21"/>
          <w:szCs w:val="21"/>
          <w:highlight w:val="none"/>
          <w:u w:val="single"/>
          <w:lang w:eastAsia="zh-CN"/>
        </w:rPr>
        <w:tab/>
      </w:r>
      <w:r>
        <w:rPr>
          <w:rFonts w:hint="eastAsia" w:ascii="宋体" w:hAnsi="宋体" w:eastAsia="宋体" w:cs="宋体"/>
          <w:color w:val="auto"/>
          <w:sz w:val="21"/>
          <w:szCs w:val="21"/>
          <w:highlight w:val="none"/>
          <w:u w:val="single"/>
          <w:lang w:eastAsia="zh-CN"/>
        </w:rPr>
        <w:tab/>
      </w:r>
      <w:r>
        <w:rPr>
          <w:rFonts w:hint="eastAsia" w:ascii="宋体" w:hAnsi="宋体" w:eastAsia="宋体" w:cs="宋体"/>
          <w:color w:val="auto"/>
          <w:sz w:val="21"/>
          <w:szCs w:val="21"/>
          <w:highlight w:val="none"/>
          <w:u w:val="single"/>
          <w:lang w:eastAsia="zh-CN"/>
        </w:rPr>
        <w:tab/>
      </w:r>
      <w:r>
        <w:rPr>
          <w:rFonts w:hint="eastAsia" w:ascii="宋体" w:hAnsi="宋体" w:eastAsia="宋体" w:cs="宋体"/>
          <w:color w:val="auto"/>
          <w:sz w:val="21"/>
          <w:szCs w:val="21"/>
          <w:highlight w:val="none"/>
          <w:u w:val="single"/>
          <w:lang w:eastAsia="zh-CN"/>
        </w:rPr>
        <w:tab/>
      </w:r>
      <w:r>
        <w:rPr>
          <w:rFonts w:hint="eastAsia" w:ascii="宋体" w:hAnsi="宋体" w:eastAsia="宋体" w:cs="宋体"/>
          <w:color w:val="auto"/>
          <w:sz w:val="21"/>
          <w:szCs w:val="21"/>
          <w:highlight w:val="none"/>
          <w:u w:val="single"/>
          <w:lang w:eastAsia="zh-CN"/>
        </w:rPr>
        <w:tab/>
      </w:r>
      <w:r>
        <w:rPr>
          <w:rFonts w:hint="eastAsia" w:ascii="宋体" w:hAnsi="宋体" w:eastAsia="宋体" w:cs="宋体"/>
          <w:color w:val="auto"/>
          <w:sz w:val="21"/>
          <w:szCs w:val="21"/>
          <w:highlight w:val="none"/>
          <w:u w:val="single"/>
          <w:lang w:eastAsia="zh-CN"/>
        </w:rPr>
        <w:tab/>
      </w:r>
      <w:r>
        <w:rPr>
          <w:rFonts w:hint="eastAsia" w:ascii="宋体" w:hAnsi="宋体" w:eastAsia="宋体" w:cs="宋体"/>
          <w:color w:val="auto"/>
          <w:sz w:val="21"/>
          <w:szCs w:val="21"/>
          <w:highlight w:val="none"/>
          <w:u w:val="single"/>
          <w:lang w:eastAsia="zh-CN"/>
        </w:rPr>
        <w:tab/>
      </w:r>
      <w:r/>
    </w:p>
    <w:p>
      <w:pPr>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lang w:eastAsia="zh-CN"/>
        </w:rPr>
        <w:t xml:space="preserve">传    真：</w:t>
      </w:r>
      <w:r>
        <w:rPr>
          <w:rFonts w:hint="eastAsia" w:ascii="宋体" w:hAnsi="宋体" w:eastAsia="宋体" w:cs="宋体"/>
          <w:color w:val="auto"/>
          <w:sz w:val="21"/>
          <w:szCs w:val="21"/>
          <w:highlight w:val="none"/>
          <w:u w:val="single"/>
          <w:lang w:eastAsia="zh-CN"/>
        </w:rPr>
        <w:tab/>
      </w:r>
      <w:r>
        <w:rPr>
          <w:rFonts w:hint="eastAsia" w:ascii="宋体" w:hAnsi="宋体" w:eastAsia="宋体" w:cs="宋体"/>
          <w:color w:val="auto"/>
          <w:sz w:val="21"/>
          <w:szCs w:val="21"/>
          <w:highlight w:val="none"/>
          <w:u w:val="single"/>
          <w:lang w:eastAsia="zh-CN"/>
        </w:rPr>
        <w:tab/>
      </w:r>
      <w:r>
        <w:rPr>
          <w:rFonts w:hint="eastAsia" w:ascii="宋体" w:hAnsi="宋体" w:eastAsia="宋体" w:cs="宋体"/>
          <w:color w:val="auto"/>
          <w:sz w:val="21"/>
          <w:szCs w:val="21"/>
          <w:highlight w:val="none"/>
          <w:u w:val="single"/>
          <w:lang w:eastAsia="zh-CN"/>
        </w:rPr>
        <w:tab/>
      </w:r>
      <w:r>
        <w:rPr>
          <w:rFonts w:hint="eastAsia" w:ascii="宋体" w:hAnsi="宋体" w:eastAsia="宋体" w:cs="宋体"/>
          <w:color w:val="auto"/>
          <w:sz w:val="21"/>
          <w:szCs w:val="21"/>
          <w:highlight w:val="none"/>
          <w:u w:val="single"/>
          <w:lang w:eastAsia="zh-CN"/>
        </w:rPr>
        <w:tab/>
      </w:r>
      <w:r>
        <w:rPr>
          <w:rFonts w:hint="eastAsia" w:ascii="宋体" w:hAnsi="宋体" w:eastAsia="宋体" w:cs="宋体"/>
          <w:color w:val="auto"/>
          <w:sz w:val="21"/>
          <w:szCs w:val="21"/>
          <w:highlight w:val="none"/>
          <w:u w:val="single"/>
          <w:lang w:eastAsia="zh-CN"/>
        </w:rPr>
        <w:tab/>
      </w:r>
      <w:r>
        <w:rPr>
          <w:rFonts w:hint="eastAsia" w:ascii="宋体" w:hAnsi="宋体" w:eastAsia="宋体" w:cs="宋体"/>
          <w:color w:val="auto"/>
          <w:sz w:val="21"/>
          <w:szCs w:val="21"/>
          <w:highlight w:val="none"/>
          <w:u w:val="single"/>
          <w:lang w:eastAsia="zh-CN"/>
        </w:rPr>
        <w:tab/>
      </w:r>
      <w:r>
        <w:rPr>
          <w:rFonts w:hint="eastAsia" w:ascii="宋体" w:hAnsi="宋体" w:eastAsia="宋体" w:cs="宋体"/>
          <w:color w:val="auto"/>
          <w:sz w:val="21"/>
          <w:szCs w:val="21"/>
          <w:highlight w:val="none"/>
          <w:u w:val="single"/>
          <w:lang w:eastAsia="zh-CN"/>
        </w:rPr>
        <w:tab/>
      </w:r>
      <w:r/>
    </w:p>
    <w:p>
      <w:pPr>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ind w:firstLine="126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年       月       日</w:t>
      </w:r>
      <w:r/>
    </w:p>
    <w:p>
      <w:pPr>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b/>
          <w:color w:val="auto"/>
          <w:sz w:val="21"/>
          <w:szCs w:val="21"/>
          <w:highlight w:val="none"/>
          <w:lang w:eastAsia="zh-CN"/>
        </w:rPr>
        <w:br w:type="page" w:clear="all"/>
      </w:r>
      <w:r>
        <w:rPr>
          <w:rFonts w:hint="eastAsia" w:ascii="宋体" w:hAnsi="宋体" w:eastAsia="宋体" w:cs="宋体"/>
          <w:b/>
          <w:bCs/>
          <w:color w:val="auto"/>
          <w:sz w:val="21"/>
          <w:szCs w:val="21"/>
          <w:highlight w:val="none"/>
          <w:lang w:eastAsia="zh-CN"/>
        </w:rPr>
        <w:t xml:space="preserve">附</w:t>
      </w:r>
      <w:bookmarkStart w:id="1089" w:name="_Toc296891061"/>
      <w:r/>
      <w:bookmarkStart w:id="1090" w:name="_Toc296944572"/>
      <w:r/>
      <w:bookmarkStart w:id="1091" w:name="_Toc296347232"/>
      <w:r/>
      <w:bookmarkStart w:id="1092" w:name="_Toc296346734"/>
      <w:r/>
      <w:bookmarkStart w:id="1093" w:name="_Toc296891273"/>
      <w:r/>
      <w:bookmarkStart w:id="1094" w:name="_Toc296503233"/>
      <w:r>
        <w:rPr>
          <w:rFonts w:hint="eastAsia" w:ascii="宋体" w:hAnsi="宋体" w:eastAsia="宋体" w:cs="宋体"/>
          <w:b/>
          <w:bCs/>
          <w:color w:val="auto"/>
          <w:sz w:val="21"/>
          <w:szCs w:val="21"/>
          <w:highlight w:val="none"/>
          <w:lang w:eastAsia="zh-CN"/>
        </w:rPr>
        <w:t xml:space="preserve">件10: </w:t>
      </w:r>
      <w:bookmarkEnd w:id="1089"/>
      <w:bookmarkEnd w:id="1090"/>
      <w:bookmarkEnd w:id="1091"/>
      <w:bookmarkEnd w:id="1092"/>
      <w:bookmarkEnd w:id="1093"/>
      <w:bookmarkEnd w:id="1094"/>
      <w:r/>
    </w:p>
    <w:p>
      <w:pPr>
        <w:jc w:val="center"/>
        <w:spacing w:before="120" w:after="120" w:line="400" w:lineRule="exact"/>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支付担保</w:t>
      </w:r>
      <w:r/>
    </w:p>
    <w:p>
      <w:pPr>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（承包人）：</w:t>
      </w:r>
      <w:r/>
    </w:p>
    <w:p>
      <w:pPr>
        <w:ind w:firstLine="42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鉴于你方作为承包人已经与</w:t>
      </w:r>
      <w:r>
        <w:rPr>
          <w:rFonts w:hint="eastAsia" w:ascii="宋体" w:hAnsi="宋体" w:eastAsia="宋体" w:cs="宋体"/>
          <w:color w:val="auto"/>
          <w:sz w:val="21"/>
          <w:szCs w:val="21"/>
          <w:highlight w:val="none"/>
          <w:u w:val="single"/>
          <w:lang w:eastAsia="zh-CN"/>
        </w:rPr>
        <w:t xml:space="preserve">（发包人名称）（以下称“发包人”）</w:t>
      </w:r>
      <w:r>
        <w:rPr>
          <w:rFonts w:hint="eastAsia" w:ascii="宋体" w:hAnsi="宋体" w:eastAsia="宋体" w:cs="宋体"/>
          <w:color w:val="auto"/>
          <w:sz w:val="21"/>
          <w:szCs w:val="21"/>
          <w:highlight w:val="none"/>
          <w:lang w:eastAsia="zh-CN"/>
        </w:rPr>
        <w:t xml:space="preserve">于   </w:t>
      </w:r>
      <w:r>
        <w:rPr>
          <w:rFonts w:hint="eastAsia" w:ascii="宋体" w:hAnsi="宋体" w:eastAsia="宋体" w:cs="宋体"/>
          <w:color w:val="auto"/>
          <w:sz w:val="21"/>
          <w:szCs w:val="21"/>
          <w:highlight w:val="none"/>
          <w:u w:val="single"/>
          <w:lang w:eastAsia="zh-CN"/>
        </w:rPr>
        <w:t xml:space="preserve">年  月   日</w:t>
      </w:r>
      <w:r>
        <w:rPr>
          <w:rFonts w:hint="eastAsia" w:ascii="宋体" w:hAnsi="宋体" w:eastAsia="宋体" w:cs="宋体"/>
          <w:color w:val="auto"/>
          <w:sz w:val="21"/>
          <w:szCs w:val="21"/>
          <w:highlight w:val="none"/>
          <w:lang w:eastAsia="zh-CN"/>
        </w:rPr>
        <w:t xml:space="preserve">签订了</w:t>
      </w:r>
      <w:r>
        <w:rPr>
          <w:rFonts w:hint="eastAsia" w:ascii="宋体" w:hAnsi="宋体" w:eastAsia="宋体" w:cs="宋体"/>
          <w:color w:val="auto"/>
          <w:sz w:val="21"/>
          <w:szCs w:val="21"/>
          <w:highlight w:val="none"/>
          <w:u w:val="single"/>
          <w:lang w:eastAsia="zh-CN"/>
        </w:rPr>
        <w:t xml:space="preserve"> （工程名称）  </w:t>
      </w:r>
      <w:r>
        <w:rPr>
          <w:rFonts w:hint="eastAsia" w:ascii="宋体" w:hAnsi="宋体" w:eastAsia="宋体" w:cs="宋体"/>
          <w:color w:val="auto"/>
          <w:sz w:val="21"/>
          <w:szCs w:val="21"/>
          <w:highlight w:val="none"/>
          <w:lang w:eastAsia="zh-CN"/>
        </w:rPr>
        <w:t xml:space="preserve">《建设工程施工合同》（以下称“主合同”），应发包人的申请，我方愿就发包人履行主合同约定的工程款支付义务以保证的方式向你方提供如下担保：</w:t>
      </w:r>
      <w:r/>
    </w:p>
    <w:p>
      <w:pPr>
        <w:ind w:firstLine="42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一、保证的范围及保证金额</w:t>
      </w:r>
      <w:r/>
    </w:p>
    <w:p>
      <w:pPr>
        <w:ind w:firstLine="42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 我方的保证范围是主合同约定的工程款。</w:t>
      </w:r>
      <w:r/>
    </w:p>
    <w:p>
      <w:pPr>
        <w:ind w:firstLine="42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 本保函所称主合同约定的工程款是指主合同约定的除工程质量保证金以外的合同价款。</w:t>
      </w:r>
      <w:r/>
    </w:p>
    <w:p>
      <w:pPr>
        <w:ind w:firstLine="42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 我方保证的金额是主合同约定的工程款的 </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%，数额最高不超过人民币</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元（大写：</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w:t>
      </w:r>
      <w:r/>
    </w:p>
    <w:p>
      <w:pPr>
        <w:ind w:firstLine="42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二、保证的方式及保证期间</w:t>
      </w:r>
      <w:r/>
    </w:p>
    <w:p>
      <w:pPr>
        <w:ind w:firstLine="42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 我方保证的方式为：连带责任保证。</w:t>
      </w:r>
      <w:r/>
    </w:p>
    <w:p>
      <w:pPr>
        <w:ind w:firstLine="42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 我方保证的期间为：自本合同生效之日起至主合同约定的工程款支付完毕之日后日内。</w:t>
      </w:r>
      <w:r/>
    </w:p>
    <w:p>
      <w:pPr>
        <w:ind w:firstLine="42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 你方与发包人协议变更工程款支付日期的，经我方书面同意后，保证期间按照变更后的支付日期做相应调整。</w:t>
      </w:r>
      <w:r/>
    </w:p>
    <w:p>
      <w:pPr>
        <w:ind w:firstLine="42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三、承担保证责任的形式</w:t>
      </w:r>
      <w:r/>
    </w:p>
    <w:p>
      <w:pPr>
        <w:ind w:firstLine="42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我方承担保证责任的形式是代为支付。发包人未按主合同约定向你方支付工程款的，由我方在保证金额内代为支付。</w:t>
      </w:r>
      <w:r/>
    </w:p>
    <w:p>
      <w:pPr>
        <w:ind w:firstLine="42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四、代偿的安排</w:t>
      </w:r>
      <w:r/>
    </w:p>
    <w:p>
      <w:pPr>
        <w:ind w:firstLine="42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 你方要求我方承担保证责任的，应向我方发出书面索赔通知及发包人未支付主合同约定工程款的证明材料。索赔通知应写明要求索赔的金额，支付款项应到达的账号。</w:t>
      </w:r>
      <w:r/>
    </w:p>
    <w:p>
      <w:pPr>
        <w:ind w:firstLine="42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 在出现你方与发包人因工程质量发生争议，发包人拒绝向你方支付工程款的情形时，你方要求我方履行保证责任代为支付的，需提供符合相应条件要求的工程质量检测机构出具的质量说明材料。</w:t>
      </w:r>
      <w:r/>
    </w:p>
    <w:p>
      <w:pPr>
        <w:ind w:firstLine="42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 我方收到你方的书面索赔通知及相应的证明材料后７天内无条件支付。</w:t>
      </w:r>
      <w:r/>
    </w:p>
    <w:p>
      <w:pPr>
        <w:ind w:firstLine="42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五、保证责任的解除</w:t>
      </w:r>
      <w:r/>
    </w:p>
    <w:p>
      <w:pPr>
        <w:ind w:firstLine="42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 在本保函承诺的保证期间内，你方未书面向我方主张保证责任的，自保证期间届满次日起，我方保证责任解除。</w:t>
      </w:r>
      <w:r/>
    </w:p>
    <w:p>
      <w:pPr>
        <w:ind w:firstLine="42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 发包人按主合同约定履行了工程款的全部支付义务的，自本保函承诺的保证期间届满次日起，我方保证责任解除。</w:t>
      </w:r>
      <w:r/>
    </w:p>
    <w:p>
      <w:pPr>
        <w:ind w:firstLine="42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 我方按照本保函向你方履行保证责任所支付金额达到本保函保证金额时，自我方向你方支付（支付款项从我方账户划出）之日起，保证责任即解除。</w:t>
      </w:r>
      <w:r/>
    </w:p>
    <w:p>
      <w:pPr>
        <w:ind w:firstLine="42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 按照法律法规的规定或出现应解除我方保证责任的其他情形的，我方在本保函项下的保证责任亦解除。</w:t>
      </w:r>
      <w:r/>
    </w:p>
    <w:p>
      <w:pPr>
        <w:ind w:firstLine="42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5. 我方解除保证责任后，你方应自我方保证责任解除之日起个工作日内，将本保函原件返还我方。</w:t>
      </w:r>
      <w:r/>
    </w:p>
    <w:p>
      <w:pPr>
        <w:ind w:firstLine="42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六、免责条款</w:t>
      </w:r>
      <w:r/>
    </w:p>
    <w:p>
      <w:pPr>
        <w:ind w:firstLine="42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 因你方违约致使发包人不能履行义务的，我方不承担保证责任。</w:t>
      </w:r>
      <w:r/>
    </w:p>
    <w:p>
      <w:pPr>
        <w:ind w:firstLine="42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 依照法律法规的规定或你方与发包人的另行约定，免除发包人部分或全部义务的，我方亦免除其相应的保证责任。</w:t>
      </w:r>
      <w:r/>
    </w:p>
    <w:p>
      <w:pPr>
        <w:ind w:firstLine="42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 你方与发包人协议变更主合同的，如加重发包人责任致使我方保证责任加重的，需征得我方书面同意，否则我方不再承担因此而加重部分的保证责任，但主合同第10条〔变更〕约定的变更不受本款限制。</w:t>
      </w:r>
      <w:r/>
    </w:p>
    <w:p>
      <w:pPr>
        <w:ind w:firstLine="42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 因不可抗力造成发包人不能履行义务的，我方不承担保证责任。</w:t>
      </w:r>
      <w:r/>
    </w:p>
    <w:p>
      <w:pPr>
        <w:ind w:firstLine="42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七、争议解决</w:t>
      </w:r>
      <w:r/>
    </w:p>
    <w:p>
      <w:pPr>
        <w:ind w:firstLine="420"/>
        <w:jc w:val="both"/>
        <w:spacing w:after="12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因本保函或本保函相关事项发生的纠纷，可由双方协商解决，协商不成的，按下列第种方式解决：</w:t>
      </w:r>
      <w:r/>
    </w:p>
    <w:p>
      <w:pPr>
        <w:numPr>
          <w:ilvl w:val="0"/>
          <w:numId w:val="5"/>
        </w:numPr>
        <w:ind w:firstLine="420"/>
        <w:jc w:val="both"/>
        <w:spacing w:after="12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向仲裁委员会申请仲裁；</w:t>
      </w:r>
      <w:r/>
    </w:p>
    <w:p>
      <w:pPr>
        <w:ind w:firstLine="420"/>
        <w:jc w:val="both"/>
        <w:spacing w:after="12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（2）向人民法院起诉。</w:t>
      </w:r>
      <w:r/>
    </w:p>
    <w:p>
      <w:pPr>
        <w:ind w:firstLine="42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八、保函的生效</w:t>
      </w:r>
      <w:r/>
    </w:p>
    <w:p>
      <w:pPr>
        <w:ind w:firstLine="42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本保函自我方法定代表人（或其授权代理人）签字并加盖公章之日起生效。</w:t>
      </w:r>
      <w:r/>
    </w:p>
    <w:p>
      <w:pPr>
        <w:ind w:right="60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担保人：（盖章）</w:t>
      </w:r>
      <w:r/>
    </w:p>
    <w:p>
      <w:pPr>
        <w:ind w:right="120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法定代表人或委托代理人：（签字）</w:t>
      </w:r>
      <w:r/>
    </w:p>
    <w:p>
      <w:pPr>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地    址：            邮政编码：</w:t>
      </w:r>
      <w:r/>
    </w:p>
    <w:p>
      <w:pPr>
        <w:jc w:val="both"/>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lang w:eastAsia="zh-CN"/>
        </w:rPr>
        <w:t xml:space="preserve">传    真：</w:t>
      </w:r>
      <w:r/>
    </w:p>
    <w:p>
      <w:pPr>
        <w:ind w:right="150" w:firstLine="63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年       月      日</w:t>
      </w:r>
      <w:r/>
    </w:p>
    <w:p>
      <w:pPr>
        <w:jc w:val="both"/>
        <w:spacing w:line="4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br w:type="page" w:clear="all"/>
      </w:r>
      <w:r>
        <w:rPr>
          <w:rFonts w:hint="eastAsia" w:ascii="宋体" w:hAnsi="宋体" w:eastAsia="宋体" w:cs="宋体"/>
          <w:color w:val="auto"/>
          <w:sz w:val="21"/>
          <w:szCs w:val="21"/>
          <w:highlight w:val="none"/>
          <w:lang w:eastAsia="zh-CN"/>
        </w:rPr>
        <w:t xml:space="preserve">附件11：</w:t>
      </w:r>
      <w:r/>
    </w:p>
    <w:p>
      <w:pPr>
        <w:jc w:val="center"/>
        <w:spacing w:before="120" w:after="120" w:line="44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11-1：材料暂估价表</w:t>
      </w:r>
      <w:r/>
    </w:p>
    <w:tbl>
      <w:tblPr>
        <w:tblStyle w:val="776"/>
        <w:tblpPr w:horzAnchor="margin" w:tblpXSpec="left" w:vertAnchor="text" w:tblpY="429" w:leftFromText="180" w:topFromText="0" w:rightFromText="180" w:bottomFromText="0"/>
        <w:tblW w:w="9757"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68"/>
        <w:gridCol w:w="2134"/>
        <w:gridCol w:w="915"/>
        <w:gridCol w:w="832"/>
        <w:gridCol w:w="1454"/>
        <w:gridCol w:w="1525"/>
        <w:gridCol w:w="1829"/>
      </w:tblGrid>
      <w:tr>
        <w:trPr>
          <w:trHeight w:val="504"/>
        </w:trPr>
        <w:tc>
          <w:tcPr>
            <w:tcBorders>
              <w:top w:val="single" w:color="auto" w:sz="12" w:space="0"/>
              <w:bottom w:val="single" w:color="auto" w:sz="6" w:space="0"/>
            </w:tcBorders>
            <w:tcW w:w="1068"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t xml:space="preserve">序号</w:t>
            </w:r>
            <w:r/>
          </w:p>
        </w:tc>
        <w:tc>
          <w:tcPr>
            <w:tcBorders>
              <w:top w:val="single" w:color="auto" w:sz="12" w:space="0"/>
              <w:bottom w:val="single" w:color="auto" w:sz="6" w:space="0"/>
            </w:tcBorders>
            <w:tcW w:w="2134"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t xml:space="preserve">名称</w:t>
            </w:r>
            <w:r/>
          </w:p>
        </w:tc>
        <w:tc>
          <w:tcPr>
            <w:tcBorders>
              <w:top w:val="single" w:color="auto" w:sz="12" w:space="0"/>
              <w:bottom w:val="single" w:color="auto" w:sz="6" w:space="0"/>
            </w:tcBorders>
            <w:tcW w:w="915"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t xml:space="preserve">单位</w:t>
            </w:r>
            <w:r/>
          </w:p>
        </w:tc>
        <w:tc>
          <w:tcPr>
            <w:tcBorders>
              <w:top w:val="single" w:color="auto" w:sz="12" w:space="0"/>
              <w:bottom w:val="single" w:color="auto" w:sz="6" w:space="0"/>
            </w:tcBorders>
            <w:tcW w:w="832"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t xml:space="preserve">数量</w:t>
            </w:r>
            <w:r/>
          </w:p>
        </w:tc>
        <w:tc>
          <w:tcPr>
            <w:tcBorders>
              <w:top w:val="single" w:color="auto" w:sz="12" w:space="0"/>
              <w:bottom w:val="single" w:color="auto" w:sz="6" w:space="0"/>
            </w:tcBorders>
            <w:tcW w:w="1454"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t xml:space="preserve">单价（元）</w:t>
            </w:r>
            <w:r/>
          </w:p>
        </w:tc>
        <w:tc>
          <w:tcPr>
            <w:tcBorders>
              <w:top w:val="single" w:color="auto" w:sz="12" w:space="0"/>
              <w:bottom w:val="single" w:color="auto" w:sz="6" w:space="0"/>
            </w:tcBorders>
            <w:tcW w:w="1525"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t xml:space="preserve">合价（元）</w:t>
            </w:r>
            <w:r/>
          </w:p>
        </w:tc>
        <w:tc>
          <w:tcPr>
            <w:tcBorders>
              <w:top w:val="single" w:color="auto" w:sz="12" w:space="0"/>
              <w:bottom w:val="single" w:color="auto" w:sz="6" w:space="0"/>
            </w:tcBorders>
            <w:tcW w:w="1829"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t xml:space="preserve">备注</w:t>
            </w:r>
            <w:r/>
          </w:p>
        </w:tc>
      </w:tr>
      <w:tr>
        <w:trPr>
          <w:trHeight w:val="519"/>
        </w:trPr>
        <w:tc>
          <w:tcPr>
            <w:tcBorders>
              <w:top w:val="single" w:color="auto" w:sz="6" w:space="0"/>
              <w:bottom w:val="single" w:color="auto" w:sz="6" w:space="0"/>
            </w:tcBorders>
            <w:tcW w:w="1068"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Borders>
              <w:top w:val="single" w:color="auto" w:sz="6" w:space="0"/>
              <w:bottom w:val="single" w:color="auto" w:sz="6" w:space="0"/>
            </w:tcBorders>
            <w:tcW w:w="2134"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Borders>
              <w:top w:val="single" w:color="auto" w:sz="6" w:space="0"/>
              <w:bottom w:val="single" w:color="auto" w:sz="6" w:space="0"/>
            </w:tcBorders>
            <w:tcW w:w="915"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Borders>
              <w:top w:val="single" w:color="auto" w:sz="6" w:space="0"/>
              <w:bottom w:val="single" w:color="auto" w:sz="6" w:space="0"/>
            </w:tcBorders>
            <w:tcW w:w="832"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Borders>
              <w:top w:val="single" w:color="auto" w:sz="6" w:space="0"/>
              <w:bottom w:val="single" w:color="auto" w:sz="6" w:space="0"/>
            </w:tcBorders>
            <w:tcW w:w="1454"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Borders>
              <w:top w:val="single" w:color="auto" w:sz="6" w:space="0"/>
              <w:bottom w:val="single" w:color="auto" w:sz="6" w:space="0"/>
            </w:tcBorders>
            <w:tcW w:w="1525"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Borders>
              <w:top w:val="single" w:color="auto" w:sz="6" w:space="0"/>
              <w:bottom w:val="single" w:color="auto" w:sz="6" w:space="0"/>
            </w:tcBorders>
            <w:tcW w:w="1829"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r>
      <w:tr>
        <w:trPr>
          <w:trHeight w:val="489"/>
        </w:trPr>
        <w:tc>
          <w:tcPr>
            <w:tcBorders>
              <w:top w:val="none" w:color="000000" w:sz="4" w:space="0"/>
            </w:tcBorders>
            <w:tcW w:w="1068"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Borders>
              <w:top w:val="none" w:color="000000" w:sz="4" w:space="0"/>
            </w:tcBorders>
            <w:tcW w:w="2134"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Borders>
              <w:top w:val="none" w:color="000000" w:sz="4" w:space="0"/>
            </w:tcBorders>
            <w:tcW w:w="915"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Borders>
              <w:top w:val="none" w:color="000000" w:sz="4" w:space="0"/>
            </w:tcBorders>
            <w:tcW w:w="832"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Borders>
              <w:top w:val="none" w:color="000000" w:sz="4" w:space="0"/>
            </w:tcBorders>
            <w:tcW w:w="1454"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Borders>
              <w:top w:val="none" w:color="000000" w:sz="4" w:space="0"/>
            </w:tcBorders>
            <w:tcW w:w="1525"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Borders>
              <w:top w:val="none" w:color="000000" w:sz="4" w:space="0"/>
            </w:tcBorders>
            <w:tcW w:w="1829"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r>
      <w:tr>
        <w:trPr>
          <w:trHeight w:val="489"/>
        </w:trPr>
        <w:tc>
          <w:tcPr>
            <w:tcW w:w="1068"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2134"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915"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832"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454"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525"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829"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r>
      <w:tr>
        <w:trPr>
          <w:trHeight w:val="489"/>
        </w:trPr>
        <w:tc>
          <w:tcPr>
            <w:tcW w:w="1068"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2134"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915"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832"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454"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525"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829"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r>
      <w:tr>
        <w:trPr>
          <w:trHeight w:val="489"/>
        </w:trPr>
        <w:tc>
          <w:tcPr>
            <w:tcW w:w="1068"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2134"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915"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832"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454"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525"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829"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r>
      <w:tr>
        <w:trPr>
          <w:trHeight w:val="489"/>
        </w:trPr>
        <w:tc>
          <w:tcPr>
            <w:tcW w:w="1068"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2134"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915"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832"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454"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525"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829"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r>
      <w:tr>
        <w:trPr>
          <w:trHeight w:val="489"/>
        </w:trPr>
        <w:tc>
          <w:tcPr>
            <w:tcW w:w="1068"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2134"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915"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832"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454"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525"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829"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r>
      <w:tr>
        <w:trPr>
          <w:trHeight w:val="489"/>
        </w:trPr>
        <w:tc>
          <w:tcPr>
            <w:tcW w:w="1068"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2134"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915"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832"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454"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525"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829"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r>
      <w:tr>
        <w:trPr>
          <w:trHeight w:val="489"/>
        </w:trPr>
        <w:tc>
          <w:tcPr>
            <w:tcW w:w="1068"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2134"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915"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832"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454"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525"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829"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r>
      <w:tr>
        <w:trPr>
          <w:trHeight w:val="489"/>
        </w:trPr>
        <w:tc>
          <w:tcPr>
            <w:tcW w:w="1068"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2134"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915"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832"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454"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525"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829"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r>
      <w:tr>
        <w:trPr>
          <w:trHeight w:val="489"/>
        </w:trPr>
        <w:tc>
          <w:tcPr>
            <w:tcW w:w="1068"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2134"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915"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832"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454"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525"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829"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r>
      <w:tr>
        <w:trPr>
          <w:trHeight w:val="489"/>
        </w:trPr>
        <w:tc>
          <w:tcPr>
            <w:tcW w:w="1068"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2134"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915"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832"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454"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525"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829"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r>
      <w:tr>
        <w:trPr>
          <w:trHeight w:val="489"/>
        </w:trPr>
        <w:tc>
          <w:tcPr>
            <w:tcW w:w="1068"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2134"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915"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832"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454"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525"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829"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r>
      <w:tr>
        <w:trPr>
          <w:trHeight w:val="489"/>
        </w:trPr>
        <w:tc>
          <w:tcPr>
            <w:tcW w:w="1068"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2134"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915"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832"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454"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525"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829"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r>
      <w:tr>
        <w:trPr>
          <w:trHeight w:val="489"/>
        </w:trPr>
        <w:tc>
          <w:tcPr>
            <w:tcW w:w="1068"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2134"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915"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832"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454"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525"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829"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r>
      <w:tr>
        <w:trPr>
          <w:trHeight w:val="489"/>
        </w:trPr>
        <w:tc>
          <w:tcPr>
            <w:tcW w:w="1068"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2134"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915"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832"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454"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525"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829"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r>
      <w:tr>
        <w:trPr>
          <w:trHeight w:val="489"/>
        </w:trPr>
        <w:tc>
          <w:tcPr>
            <w:tcW w:w="1068"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2134"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915"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832"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454"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525"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829"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r>
      <w:tr>
        <w:trPr>
          <w:trHeight w:val="489"/>
        </w:trPr>
        <w:tc>
          <w:tcPr>
            <w:tcW w:w="1068"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2134"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915"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832"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454"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525"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829"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r>
      <w:tr>
        <w:trPr>
          <w:trHeight w:val="519"/>
        </w:trPr>
        <w:tc>
          <w:tcPr>
            <w:tcW w:w="1068"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2134"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915"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832"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454"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525"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829"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r>
    </w:tbl>
    <w:p>
      <w:pPr>
        <w:jc w:val="both"/>
        <w:spacing w:before="120" w:after="12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both"/>
        <w:spacing w:before="120" w:after="12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both"/>
        <w:spacing w:before="120" w:after="12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both"/>
        <w:spacing w:before="120" w:after="12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before="120" w:after="12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11-2：工程设备暂估价表</w:t>
      </w:r>
      <w:r/>
    </w:p>
    <w:tbl>
      <w:tblPr>
        <w:tblStyle w:val="776"/>
        <w:tblW w:w="0" w:type="auto"/>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Borders>
              <w:top w:val="single" w:color="auto" w:sz="12" w:space="0"/>
              <w:bottom w:val="single" w:color="auto" w:sz="6" w:space="0"/>
            </w:tcBorders>
            <w:tcW w:w="993"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t xml:space="preserve">序号</w:t>
            </w:r>
            <w:r/>
          </w:p>
        </w:tc>
        <w:tc>
          <w:tcPr>
            <w:tcBorders>
              <w:top w:val="single" w:color="auto" w:sz="12" w:space="0"/>
              <w:bottom w:val="single" w:color="auto" w:sz="6" w:space="0"/>
            </w:tcBorders>
            <w:tcW w:w="1984"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t xml:space="preserve">名称</w:t>
            </w:r>
            <w:r/>
          </w:p>
        </w:tc>
        <w:tc>
          <w:tcPr>
            <w:tcBorders>
              <w:top w:val="single" w:color="auto" w:sz="12" w:space="0"/>
              <w:bottom w:val="single" w:color="auto" w:sz="6" w:space="0"/>
            </w:tcBorders>
            <w:tcW w:w="851"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t xml:space="preserve">单位</w:t>
            </w:r>
            <w:r/>
          </w:p>
        </w:tc>
        <w:tc>
          <w:tcPr>
            <w:tcBorders>
              <w:top w:val="single" w:color="auto" w:sz="12" w:space="0"/>
              <w:bottom w:val="single" w:color="auto" w:sz="6" w:space="0"/>
            </w:tcBorders>
            <w:tcW w:w="774"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t xml:space="preserve">数量</w:t>
            </w:r>
            <w:r/>
          </w:p>
        </w:tc>
        <w:tc>
          <w:tcPr>
            <w:tcBorders>
              <w:top w:val="single" w:color="auto" w:sz="12" w:space="0"/>
              <w:bottom w:val="single" w:color="auto" w:sz="6" w:space="0"/>
            </w:tcBorders>
            <w:tcW w:w="1352"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t xml:space="preserve">单价（元）</w:t>
            </w:r>
            <w:r/>
          </w:p>
        </w:tc>
        <w:tc>
          <w:tcPr>
            <w:tcBorders>
              <w:top w:val="single" w:color="auto" w:sz="12" w:space="0"/>
              <w:bottom w:val="single" w:color="auto" w:sz="6" w:space="0"/>
            </w:tcBorders>
            <w:tcW w:w="1418"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t xml:space="preserve">合价（元）</w:t>
            </w:r>
            <w:r/>
          </w:p>
        </w:tc>
        <w:tc>
          <w:tcPr>
            <w:tcBorders>
              <w:top w:val="single" w:color="auto" w:sz="12" w:space="0"/>
              <w:bottom w:val="single" w:color="auto" w:sz="6" w:space="0"/>
            </w:tcBorders>
            <w:tcW w:w="1701"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t xml:space="preserve">备注</w:t>
            </w:r>
            <w:r/>
          </w:p>
        </w:tc>
      </w:tr>
      <w:tr>
        <w:trPr/>
        <w:tc>
          <w:tcPr>
            <w:tcBorders>
              <w:top w:val="single" w:color="auto" w:sz="6" w:space="0"/>
              <w:bottom w:val="single" w:color="auto" w:sz="6" w:space="0"/>
            </w:tcBorders>
            <w:tcW w:w="993"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Borders>
              <w:top w:val="single" w:color="auto" w:sz="6" w:space="0"/>
              <w:bottom w:val="single" w:color="auto" w:sz="6" w:space="0"/>
            </w:tcBorders>
            <w:tcW w:w="1984"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Borders>
              <w:top w:val="single" w:color="auto" w:sz="6" w:space="0"/>
              <w:bottom w:val="single" w:color="auto" w:sz="6" w:space="0"/>
            </w:tcBorders>
            <w:tcW w:w="851"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Borders>
              <w:top w:val="single" w:color="auto" w:sz="6" w:space="0"/>
              <w:bottom w:val="single" w:color="auto" w:sz="6" w:space="0"/>
            </w:tcBorders>
            <w:tcW w:w="774"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Borders>
              <w:top w:val="single" w:color="auto" w:sz="6" w:space="0"/>
              <w:bottom w:val="single" w:color="auto" w:sz="6" w:space="0"/>
            </w:tcBorders>
            <w:tcW w:w="1352"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Borders>
              <w:top w:val="single" w:color="auto" w:sz="6" w:space="0"/>
              <w:bottom w:val="single" w:color="auto" w:sz="6" w:space="0"/>
            </w:tcBorders>
            <w:tcW w:w="1418"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Borders>
              <w:top w:val="single" w:color="auto" w:sz="6" w:space="0"/>
              <w:bottom w:val="single" w:color="auto" w:sz="6" w:space="0"/>
            </w:tcBorders>
            <w:tcW w:w="1701"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r>
      <w:tr>
        <w:trPr/>
        <w:tc>
          <w:tcPr>
            <w:tcBorders>
              <w:top w:val="none" w:color="000000" w:sz="4" w:space="0"/>
            </w:tcBorders>
            <w:tcW w:w="993"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Borders>
              <w:top w:val="none" w:color="000000" w:sz="4" w:space="0"/>
            </w:tcBorders>
            <w:tcW w:w="1984"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Borders>
              <w:top w:val="none" w:color="000000" w:sz="4" w:space="0"/>
            </w:tcBorders>
            <w:tcW w:w="851"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Borders>
              <w:top w:val="none" w:color="000000" w:sz="4" w:space="0"/>
            </w:tcBorders>
            <w:tcW w:w="774"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Borders>
              <w:top w:val="none" w:color="000000" w:sz="4" w:space="0"/>
            </w:tcBorders>
            <w:tcW w:w="1352"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Borders>
              <w:top w:val="none" w:color="000000" w:sz="4" w:space="0"/>
            </w:tcBorders>
            <w:tcW w:w="1418"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Borders>
              <w:top w:val="none" w:color="000000" w:sz="4" w:space="0"/>
            </w:tcBorders>
            <w:tcW w:w="1701"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r>
      <w:tr>
        <w:trPr/>
        <w:tc>
          <w:tcPr>
            <w:tcW w:w="993"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984"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851"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774"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352"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418"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701"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r>
      <w:tr>
        <w:trPr/>
        <w:tc>
          <w:tcPr>
            <w:tcW w:w="993"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984"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851"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774"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352"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418"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701"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r>
      <w:tr>
        <w:trPr/>
        <w:tc>
          <w:tcPr>
            <w:tcW w:w="993"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984"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851"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774"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352"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418"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701"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r>
      <w:tr>
        <w:trPr/>
        <w:tc>
          <w:tcPr>
            <w:tcW w:w="993"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984"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851"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774"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352"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418"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701"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r>
      <w:tr>
        <w:trPr/>
        <w:tc>
          <w:tcPr>
            <w:tcW w:w="993"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984"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851"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774"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352"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418"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701"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r>
      <w:tr>
        <w:trPr/>
        <w:tc>
          <w:tcPr>
            <w:tcW w:w="993"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984"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851"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774"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352"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418"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701"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r>
      <w:tr>
        <w:trPr/>
        <w:tc>
          <w:tcPr>
            <w:tcW w:w="993"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984"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851"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774"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352"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418"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701"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r>
      <w:tr>
        <w:trPr/>
        <w:tc>
          <w:tcPr>
            <w:tcW w:w="993"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984"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851"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774"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352"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418"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701"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r>
      <w:tr>
        <w:trPr/>
        <w:tc>
          <w:tcPr>
            <w:tcW w:w="993"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984"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851"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774"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352"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418"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701"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r>
      <w:tr>
        <w:trPr/>
        <w:tc>
          <w:tcPr>
            <w:tcW w:w="993"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984"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851"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774"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352"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418"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701"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r>
      <w:tr>
        <w:trPr/>
        <w:tc>
          <w:tcPr>
            <w:tcW w:w="993"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984"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851"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774"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352"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418"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701"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r>
      <w:tr>
        <w:trPr/>
        <w:tc>
          <w:tcPr>
            <w:tcW w:w="993"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984"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851"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774"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352"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418"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701"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r>
      <w:tr>
        <w:trPr/>
        <w:tc>
          <w:tcPr>
            <w:tcW w:w="993"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984"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851"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774"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352"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418"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701"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r>
      <w:tr>
        <w:trPr/>
        <w:tc>
          <w:tcPr>
            <w:tcW w:w="993"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984"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851"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774"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352"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418"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701"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r>
      <w:tr>
        <w:trPr/>
        <w:tc>
          <w:tcPr>
            <w:tcW w:w="993"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984"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851"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774"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352"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418"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701"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r>
      <w:tr>
        <w:trPr/>
        <w:tc>
          <w:tcPr>
            <w:tcW w:w="993"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984"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851"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774"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352"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418"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701"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r>
      <w:tr>
        <w:trPr/>
        <w:tc>
          <w:tcPr>
            <w:tcW w:w="993"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984"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851"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774"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352"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418"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701"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r>
      <w:tr>
        <w:trPr/>
        <w:tc>
          <w:tcPr>
            <w:tcW w:w="993"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984"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851"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774"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352"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418"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c>
          <w:tcPr>
            <w:tcW w:w="1701" w:type="dxa"/>
            <w:vAlign w:val="top"/>
            <w:textDirection w:val="lrTb"/>
            <w:noWrap w:val="false"/>
          </w:tcPr>
          <w:p>
            <w:pPr>
              <w:pStyle w:val="782"/>
              <w:ind w:left="60" w:right="60"/>
              <w:jc w:val="both"/>
              <w:keepNext/>
              <w:spacing w:line="440" w:lineRule="exact"/>
              <w:rPr>
                <w:rFonts w:hint="eastAsia" w:cs="宋体"/>
                <w:color w:val="auto"/>
                <w:sz w:val="21"/>
                <w:szCs w:val="21"/>
                <w:highlight w:val="none"/>
              </w:rPr>
            </w:pPr>
            <w:r>
              <w:rPr>
                <w:rFonts w:hint="eastAsia" w:cs="宋体"/>
                <w:color w:val="auto"/>
                <w:sz w:val="21"/>
                <w:szCs w:val="21"/>
                <w:highlight w:val="none"/>
              </w:rPr>
            </w:r>
            <w:r/>
          </w:p>
        </w:tc>
      </w:tr>
    </w:tbl>
    <w:p>
      <w:pPr>
        <w:jc w:val="both"/>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before="120" w:after="12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r>
        <w:rPr>
          <w:rFonts w:hint="eastAsia" w:ascii="宋体" w:hAnsi="宋体" w:eastAsia="宋体" w:cs="宋体"/>
          <w:color w:val="auto"/>
          <w:sz w:val="21"/>
          <w:szCs w:val="21"/>
          <w:highlight w:val="none"/>
        </w:rPr>
        <w:t xml:space="preserve">11-3：专业工程暂估价表</w:t>
      </w:r>
      <w:r/>
    </w:p>
    <w:tbl>
      <w:tblPr>
        <w:tblStyle w:val="776"/>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79"/>
        <w:gridCol w:w="1984"/>
        <w:gridCol w:w="4678"/>
        <w:gridCol w:w="1276"/>
      </w:tblGrid>
      <w:tr>
        <w:trPr/>
        <w:tc>
          <w:tcPr>
            <w:tcBorders>
              <w:top w:val="single" w:color="auto" w:sz="12" w:space="0"/>
              <w:bottom w:val="single" w:color="auto" w:sz="6" w:space="0"/>
            </w:tcBorders>
            <w:tcW w:w="879" w:type="dxa"/>
            <w:vAlign w:val="top"/>
            <w:textDirection w:val="lrTb"/>
            <w:noWrap w:val="false"/>
          </w:tcPr>
          <w:p>
            <w:pPr>
              <w:pStyle w:val="782"/>
              <w:ind w:left="60" w:right="60"/>
              <w:jc w:val="both"/>
              <w:keepNext/>
              <w:spacing w:line="400" w:lineRule="exact"/>
              <w:rPr>
                <w:rFonts w:hint="eastAsia" w:cs="宋体"/>
                <w:color w:val="auto"/>
                <w:sz w:val="21"/>
                <w:szCs w:val="21"/>
                <w:highlight w:val="none"/>
              </w:rPr>
            </w:pPr>
            <w:r>
              <w:rPr>
                <w:rFonts w:hint="eastAsia" w:cs="宋体"/>
                <w:color w:val="auto"/>
                <w:sz w:val="21"/>
                <w:szCs w:val="21"/>
                <w:highlight w:val="none"/>
              </w:rPr>
              <w:t xml:space="preserve">序号</w:t>
            </w:r>
            <w:r/>
          </w:p>
        </w:tc>
        <w:tc>
          <w:tcPr>
            <w:tcBorders>
              <w:top w:val="single" w:color="auto" w:sz="12" w:space="0"/>
              <w:bottom w:val="single" w:color="auto" w:sz="6" w:space="0"/>
            </w:tcBorders>
            <w:tcW w:w="1984" w:type="dxa"/>
            <w:vAlign w:val="top"/>
            <w:textDirection w:val="lrTb"/>
            <w:noWrap w:val="false"/>
          </w:tcPr>
          <w:p>
            <w:pPr>
              <w:pStyle w:val="782"/>
              <w:ind w:left="60" w:right="60"/>
              <w:jc w:val="both"/>
              <w:keepNext/>
              <w:spacing w:line="400" w:lineRule="exact"/>
              <w:rPr>
                <w:rFonts w:hint="eastAsia" w:cs="宋体"/>
                <w:color w:val="auto"/>
                <w:sz w:val="21"/>
                <w:szCs w:val="21"/>
                <w:highlight w:val="none"/>
              </w:rPr>
            </w:pPr>
            <w:r>
              <w:rPr>
                <w:rFonts w:hint="eastAsia" w:cs="宋体"/>
                <w:color w:val="auto"/>
                <w:sz w:val="21"/>
                <w:szCs w:val="21"/>
                <w:highlight w:val="none"/>
              </w:rPr>
              <w:t xml:space="preserve">专业工程名称</w:t>
            </w:r>
            <w:r/>
          </w:p>
        </w:tc>
        <w:tc>
          <w:tcPr>
            <w:tcBorders>
              <w:top w:val="single" w:color="auto" w:sz="12" w:space="0"/>
              <w:bottom w:val="single" w:color="auto" w:sz="6" w:space="0"/>
            </w:tcBorders>
            <w:tcW w:w="4678" w:type="dxa"/>
            <w:vAlign w:val="top"/>
            <w:textDirection w:val="lrTb"/>
            <w:noWrap w:val="false"/>
          </w:tcPr>
          <w:p>
            <w:pPr>
              <w:pStyle w:val="782"/>
              <w:ind w:left="60" w:right="60"/>
              <w:jc w:val="both"/>
              <w:keepNext/>
              <w:spacing w:line="400" w:lineRule="exact"/>
              <w:rPr>
                <w:rFonts w:hint="eastAsia" w:cs="宋体"/>
                <w:color w:val="auto"/>
                <w:sz w:val="21"/>
                <w:szCs w:val="21"/>
                <w:highlight w:val="none"/>
              </w:rPr>
            </w:pPr>
            <w:r>
              <w:rPr>
                <w:rFonts w:hint="eastAsia" w:cs="宋体"/>
                <w:color w:val="auto"/>
                <w:sz w:val="21"/>
                <w:szCs w:val="21"/>
                <w:highlight w:val="none"/>
              </w:rPr>
              <w:t xml:space="preserve">工程内容</w:t>
            </w:r>
            <w:r/>
          </w:p>
        </w:tc>
        <w:tc>
          <w:tcPr>
            <w:tcBorders>
              <w:top w:val="single" w:color="auto" w:sz="12" w:space="0"/>
              <w:bottom w:val="single" w:color="auto" w:sz="6" w:space="0"/>
            </w:tcBorders>
            <w:tcW w:w="1276" w:type="dxa"/>
            <w:vAlign w:val="top"/>
            <w:textDirection w:val="lrTb"/>
            <w:noWrap w:val="false"/>
          </w:tcPr>
          <w:p>
            <w:pPr>
              <w:pStyle w:val="782"/>
              <w:ind w:left="60" w:right="60"/>
              <w:jc w:val="both"/>
              <w:keepNext/>
              <w:spacing w:line="400" w:lineRule="exact"/>
              <w:rPr>
                <w:rFonts w:hint="eastAsia" w:cs="宋体"/>
                <w:color w:val="auto"/>
                <w:sz w:val="21"/>
                <w:szCs w:val="21"/>
                <w:highlight w:val="none"/>
              </w:rPr>
            </w:pPr>
            <w:r>
              <w:rPr>
                <w:rFonts w:hint="eastAsia" w:cs="宋体"/>
                <w:color w:val="auto"/>
                <w:sz w:val="21"/>
                <w:szCs w:val="21"/>
                <w:highlight w:val="none"/>
              </w:rPr>
              <w:t xml:space="preserve">金额</w:t>
            </w:r>
            <w:r/>
          </w:p>
        </w:tc>
      </w:tr>
      <w:tr>
        <w:trPr/>
        <w:tc>
          <w:tcPr>
            <w:tcBorders>
              <w:top w:val="single" w:color="auto" w:sz="6" w:space="0"/>
              <w:bottom w:val="single" w:color="auto" w:sz="6" w:space="0"/>
            </w:tcBorders>
            <w:tcW w:w="879" w:type="dxa"/>
            <w:vAlign w:val="top"/>
            <w:textDirection w:val="lrTb"/>
            <w:noWrap w:val="false"/>
          </w:tcPr>
          <w:p>
            <w:pPr>
              <w:pStyle w:val="782"/>
              <w:ind w:left="60" w:right="60"/>
              <w:jc w:val="both"/>
              <w:keepNext/>
              <w:spacing w:line="400" w:lineRule="exact"/>
              <w:rPr>
                <w:rFonts w:hint="eastAsia" w:cs="宋体"/>
                <w:color w:val="auto"/>
                <w:sz w:val="21"/>
                <w:szCs w:val="21"/>
                <w:highlight w:val="none"/>
              </w:rPr>
            </w:pPr>
            <w:r>
              <w:rPr>
                <w:rFonts w:hint="eastAsia" w:cs="宋体"/>
                <w:color w:val="auto"/>
                <w:sz w:val="21"/>
                <w:szCs w:val="21"/>
                <w:highlight w:val="none"/>
              </w:rPr>
            </w:r>
            <w:r/>
          </w:p>
        </w:tc>
        <w:tc>
          <w:tcPr>
            <w:tcBorders>
              <w:top w:val="single" w:color="auto" w:sz="6" w:space="0"/>
              <w:bottom w:val="single" w:color="auto" w:sz="6" w:space="0"/>
            </w:tcBorders>
            <w:tcW w:w="1984" w:type="dxa"/>
            <w:vAlign w:val="top"/>
            <w:textDirection w:val="lrTb"/>
            <w:noWrap w:val="false"/>
          </w:tcPr>
          <w:p>
            <w:pPr>
              <w:pStyle w:val="782"/>
              <w:ind w:left="60" w:right="60"/>
              <w:jc w:val="both"/>
              <w:keepNext/>
              <w:spacing w:line="400" w:lineRule="exact"/>
              <w:rPr>
                <w:rFonts w:hint="eastAsia" w:cs="宋体"/>
                <w:color w:val="auto"/>
                <w:sz w:val="21"/>
                <w:szCs w:val="21"/>
                <w:highlight w:val="none"/>
              </w:rPr>
            </w:pPr>
            <w:r>
              <w:rPr>
                <w:rFonts w:hint="eastAsia" w:cs="宋体"/>
                <w:color w:val="auto"/>
                <w:sz w:val="21"/>
                <w:szCs w:val="21"/>
                <w:highlight w:val="none"/>
              </w:rPr>
            </w:r>
            <w:r/>
          </w:p>
        </w:tc>
        <w:tc>
          <w:tcPr>
            <w:tcBorders>
              <w:top w:val="single" w:color="auto" w:sz="6" w:space="0"/>
              <w:bottom w:val="single" w:color="auto" w:sz="6" w:space="0"/>
            </w:tcBorders>
            <w:tcW w:w="4678" w:type="dxa"/>
            <w:vAlign w:val="top"/>
            <w:textDirection w:val="lrTb"/>
            <w:noWrap w:val="false"/>
          </w:tcPr>
          <w:p>
            <w:pPr>
              <w:pStyle w:val="782"/>
              <w:ind w:left="60" w:right="60"/>
              <w:jc w:val="both"/>
              <w:keepNext/>
              <w:spacing w:line="400" w:lineRule="exact"/>
              <w:rPr>
                <w:rFonts w:hint="eastAsia" w:cs="宋体"/>
                <w:color w:val="auto"/>
                <w:sz w:val="21"/>
                <w:szCs w:val="21"/>
                <w:highlight w:val="none"/>
              </w:rPr>
            </w:pPr>
            <w:r>
              <w:rPr>
                <w:rFonts w:hint="eastAsia" w:cs="宋体"/>
                <w:color w:val="auto"/>
                <w:sz w:val="21"/>
                <w:szCs w:val="21"/>
                <w:highlight w:val="none"/>
              </w:rPr>
            </w:r>
            <w:r/>
          </w:p>
        </w:tc>
        <w:tc>
          <w:tcPr>
            <w:tcBorders>
              <w:top w:val="single" w:color="auto" w:sz="6" w:space="0"/>
              <w:bottom w:val="single" w:color="auto" w:sz="6" w:space="0"/>
            </w:tcBorders>
            <w:tcW w:w="1276" w:type="dxa"/>
            <w:vAlign w:val="top"/>
            <w:textDirection w:val="lrTb"/>
            <w:noWrap w:val="false"/>
          </w:tcPr>
          <w:p>
            <w:pPr>
              <w:pStyle w:val="782"/>
              <w:ind w:left="60" w:right="60"/>
              <w:jc w:val="both"/>
              <w:keepNext/>
              <w:spacing w:line="400" w:lineRule="exact"/>
              <w:rPr>
                <w:rFonts w:hint="eastAsia" w:cs="宋体"/>
                <w:color w:val="auto"/>
                <w:sz w:val="21"/>
                <w:szCs w:val="21"/>
                <w:highlight w:val="none"/>
              </w:rPr>
            </w:pPr>
            <w:r>
              <w:rPr>
                <w:rFonts w:hint="eastAsia" w:cs="宋体"/>
                <w:color w:val="auto"/>
                <w:sz w:val="21"/>
                <w:szCs w:val="21"/>
                <w:highlight w:val="none"/>
              </w:rPr>
            </w:r>
            <w:r/>
          </w:p>
        </w:tc>
      </w:tr>
      <w:tr>
        <w:trPr/>
        <w:tc>
          <w:tcPr>
            <w:tcBorders>
              <w:top w:val="none" w:color="000000" w:sz="4" w:space="0"/>
            </w:tcBorders>
            <w:tcW w:w="879" w:type="dxa"/>
            <w:vAlign w:val="top"/>
            <w:textDirection w:val="lrTb"/>
            <w:noWrap w:val="false"/>
          </w:tcPr>
          <w:p>
            <w:pPr>
              <w:pStyle w:val="782"/>
              <w:ind w:left="60" w:right="60"/>
              <w:jc w:val="both"/>
              <w:keepNext/>
              <w:spacing w:line="400" w:lineRule="exact"/>
              <w:rPr>
                <w:rFonts w:hint="eastAsia" w:cs="宋体"/>
                <w:color w:val="auto"/>
                <w:sz w:val="21"/>
                <w:szCs w:val="21"/>
                <w:highlight w:val="none"/>
              </w:rPr>
            </w:pPr>
            <w:r>
              <w:rPr>
                <w:rFonts w:hint="eastAsia" w:cs="宋体"/>
                <w:color w:val="auto"/>
                <w:sz w:val="21"/>
                <w:szCs w:val="21"/>
                <w:highlight w:val="none"/>
              </w:rPr>
            </w:r>
            <w:r/>
          </w:p>
        </w:tc>
        <w:tc>
          <w:tcPr>
            <w:tcBorders>
              <w:top w:val="none" w:color="000000" w:sz="4" w:space="0"/>
            </w:tcBorders>
            <w:tcW w:w="1984" w:type="dxa"/>
            <w:vAlign w:val="top"/>
            <w:textDirection w:val="lrTb"/>
            <w:noWrap w:val="false"/>
          </w:tcPr>
          <w:p>
            <w:pPr>
              <w:pStyle w:val="782"/>
              <w:ind w:left="60" w:right="60"/>
              <w:jc w:val="both"/>
              <w:keepNext/>
              <w:spacing w:line="400" w:lineRule="exact"/>
              <w:rPr>
                <w:rFonts w:hint="eastAsia" w:cs="宋体"/>
                <w:color w:val="auto"/>
                <w:sz w:val="21"/>
                <w:szCs w:val="21"/>
                <w:highlight w:val="none"/>
              </w:rPr>
            </w:pPr>
            <w:r>
              <w:rPr>
                <w:rFonts w:hint="eastAsia" w:cs="宋体"/>
                <w:color w:val="auto"/>
                <w:sz w:val="21"/>
                <w:szCs w:val="21"/>
                <w:highlight w:val="none"/>
              </w:rPr>
            </w:r>
            <w:r/>
          </w:p>
        </w:tc>
        <w:tc>
          <w:tcPr>
            <w:tcBorders>
              <w:top w:val="none" w:color="000000" w:sz="4" w:space="0"/>
            </w:tcBorders>
            <w:tcW w:w="4678" w:type="dxa"/>
            <w:vAlign w:val="top"/>
            <w:textDirection w:val="lrTb"/>
            <w:noWrap w:val="false"/>
          </w:tcPr>
          <w:p>
            <w:pPr>
              <w:pStyle w:val="782"/>
              <w:ind w:left="60" w:right="60"/>
              <w:jc w:val="both"/>
              <w:keepNext/>
              <w:spacing w:line="400" w:lineRule="exact"/>
              <w:rPr>
                <w:rFonts w:hint="eastAsia" w:cs="宋体"/>
                <w:color w:val="auto"/>
                <w:sz w:val="21"/>
                <w:szCs w:val="21"/>
                <w:highlight w:val="none"/>
              </w:rPr>
            </w:pPr>
            <w:r>
              <w:rPr>
                <w:rFonts w:hint="eastAsia" w:cs="宋体"/>
                <w:color w:val="auto"/>
                <w:sz w:val="21"/>
                <w:szCs w:val="21"/>
                <w:highlight w:val="none"/>
              </w:rPr>
            </w:r>
            <w:r/>
          </w:p>
        </w:tc>
        <w:tc>
          <w:tcPr>
            <w:tcBorders>
              <w:top w:val="none" w:color="000000" w:sz="4" w:space="0"/>
            </w:tcBorders>
            <w:tcW w:w="1276" w:type="dxa"/>
            <w:vAlign w:val="top"/>
            <w:textDirection w:val="lrTb"/>
            <w:noWrap w:val="false"/>
          </w:tcPr>
          <w:p>
            <w:pPr>
              <w:pStyle w:val="782"/>
              <w:ind w:left="60" w:right="60"/>
              <w:jc w:val="both"/>
              <w:keepNext/>
              <w:spacing w:line="400" w:lineRule="exact"/>
              <w:rPr>
                <w:rFonts w:hint="eastAsia" w:cs="宋体"/>
                <w:color w:val="auto"/>
                <w:sz w:val="21"/>
                <w:szCs w:val="21"/>
                <w:highlight w:val="none"/>
              </w:rPr>
            </w:pPr>
            <w:r>
              <w:rPr>
                <w:rFonts w:hint="eastAsia" w:cs="宋体"/>
                <w:color w:val="auto"/>
                <w:sz w:val="21"/>
                <w:szCs w:val="21"/>
                <w:highlight w:val="none"/>
              </w:rPr>
            </w:r>
            <w:r/>
          </w:p>
        </w:tc>
      </w:tr>
      <w:tr>
        <w:trPr/>
        <w:tc>
          <w:tcPr>
            <w:tcBorders>
              <w:top w:val="none" w:color="000000" w:sz="4" w:space="0"/>
            </w:tcBorders>
            <w:tcW w:w="879" w:type="dxa"/>
            <w:vAlign w:val="top"/>
            <w:textDirection w:val="lrTb"/>
            <w:noWrap w:val="false"/>
          </w:tcPr>
          <w:p>
            <w:pPr>
              <w:pStyle w:val="782"/>
              <w:ind w:left="60" w:right="60"/>
              <w:jc w:val="both"/>
              <w:keepNext/>
              <w:spacing w:line="400" w:lineRule="exact"/>
              <w:rPr>
                <w:rFonts w:hint="eastAsia" w:cs="宋体"/>
                <w:color w:val="auto"/>
                <w:sz w:val="21"/>
                <w:szCs w:val="21"/>
                <w:highlight w:val="none"/>
              </w:rPr>
            </w:pPr>
            <w:r>
              <w:rPr>
                <w:rFonts w:hint="eastAsia" w:cs="宋体"/>
                <w:color w:val="auto"/>
                <w:sz w:val="21"/>
                <w:szCs w:val="21"/>
                <w:highlight w:val="none"/>
              </w:rPr>
            </w:r>
            <w:r/>
          </w:p>
        </w:tc>
        <w:tc>
          <w:tcPr>
            <w:tcBorders>
              <w:top w:val="none" w:color="000000" w:sz="4" w:space="0"/>
            </w:tcBorders>
            <w:tcW w:w="1984" w:type="dxa"/>
            <w:vAlign w:val="top"/>
            <w:textDirection w:val="lrTb"/>
            <w:noWrap w:val="false"/>
          </w:tcPr>
          <w:p>
            <w:pPr>
              <w:pStyle w:val="782"/>
              <w:ind w:left="60" w:right="60"/>
              <w:jc w:val="both"/>
              <w:keepNext/>
              <w:spacing w:line="400" w:lineRule="exact"/>
              <w:rPr>
                <w:rFonts w:hint="eastAsia" w:cs="宋体"/>
                <w:color w:val="auto"/>
                <w:sz w:val="21"/>
                <w:szCs w:val="21"/>
                <w:highlight w:val="none"/>
              </w:rPr>
            </w:pPr>
            <w:r>
              <w:rPr>
                <w:rFonts w:hint="eastAsia" w:cs="宋体"/>
                <w:color w:val="auto"/>
                <w:sz w:val="21"/>
                <w:szCs w:val="21"/>
                <w:highlight w:val="none"/>
              </w:rPr>
            </w:r>
            <w:r/>
          </w:p>
        </w:tc>
        <w:tc>
          <w:tcPr>
            <w:tcBorders>
              <w:top w:val="none" w:color="000000" w:sz="4" w:space="0"/>
            </w:tcBorders>
            <w:tcW w:w="4678" w:type="dxa"/>
            <w:vAlign w:val="top"/>
            <w:textDirection w:val="lrTb"/>
            <w:noWrap w:val="false"/>
          </w:tcPr>
          <w:p>
            <w:pPr>
              <w:pStyle w:val="782"/>
              <w:ind w:left="60" w:right="60"/>
              <w:jc w:val="both"/>
              <w:keepNext/>
              <w:spacing w:line="400" w:lineRule="exact"/>
              <w:rPr>
                <w:rFonts w:hint="eastAsia" w:cs="宋体"/>
                <w:color w:val="auto"/>
                <w:sz w:val="21"/>
                <w:szCs w:val="21"/>
                <w:highlight w:val="none"/>
              </w:rPr>
            </w:pPr>
            <w:r>
              <w:rPr>
                <w:rFonts w:hint="eastAsia" w:cs="宋体"/>
                <w:color w:val="auto"/>
                <w:sz w:val="21"/>
                <w:szCs w:val="21"/>
                <w:highlight w:val="none"/>
              </w:rPr>
            </w:r>
            <w:r/>
          </w:p>
        </w:tc>
        <w:tc>
          <w:tcPr>
            <w:tcBorders>
              <w:top w:val="none" w:color="000000" w:sz="4" w:space="0"/>
            </w:tcBorders>
            <w:tcW w:w="1276" w:type="dxa"/>
            <w:vAlign w:val="top"/>
            <w:textDirection w:val="lrTb"/>
            <w:noWrap w:val="false"/>
          </w:tcPr>
          <w:p>
            <w:pPr>
              <w:pStyle w:val="782"/>
              <w:ind w:left="60" w:right="60"/>
              <w:jc w:val="both"/>
              <w:keepNext/>
              <w:spacing w:line="400" w:lineRule="exact"/>
              <w:rPr>
                <w:rFonts w:hint="eastAsia" w:cs="宋体"/>
                <w:color w:val="auto"/>
                <w:sz w:val="21"/>
                <w:szCs w:val="21"/>
                <w:highlight w:val="none"/>
              </w:rPr>
            </w:pPr>
            <w:r>
              <w:rPr>
                <w:rFonts w:hint="eastAsia" w:cs="宋体"/>
                <w:color w:val="auto"/>
                <w:sz w:val="21"/>
                <w:szCs w:val="21"/>
                <w:highlight w:val="none"/>
              </w:rPr>
            </w:r>
            <w:r/>
          </w:p>
        </w:tc>
      </w:tr>
      <w:tr>
        <w:trPr/>
        <w:tc>
          <w:tcPr>
            <w:tcW w:w="879" w:type="dxa"/>
            <w:vAlign w:val="top"/>
            <w:textDirection w:val="lrTb"/>
            <w:noWrap w:val="false"/>
          </w:tcPr>
          <w:p>
            <w:pPr>
              <w:pStyle w:val="782"/>
              <w:ind w:left="60" w:right="60"/>
              <w:jc w:val="both"/>
              <w:keepNext/>
              <w:spacing w:line="400" w:lineRule="exact"/>
              <w:rPr>
                <w:rFonts w:hint="eastAsia" w:cs="宋体"/>
                <w:color w:val="auto"/>
                <w:sz w:val="21"/>
                <w:szCs w:val="21"/>
                <w:highlight w:val="none"/>
              </w:rPr>
            </w:pPr>
            <w:r>
              <w:rPr>
                <w:rFonts w:hint="eastAsia" w:cs="宋体"/>
                <w:color w:val="auto"/>
                <w:sz w:val="21"/>
                <w:szCs w:val="21"/>
                <w:highlight w:val="none"/>
              </w:rPr>
            </w:r>
            <w:r/>
          </w:p>
        </w:tc>
        <w:tc>
          <w:tcPr>
            <w:tcW w:w="1984" w:type="dxa"/>
            <w:vAlign w:val="top"/>
            <w:textDirection w:val="lrTb"/>
            <w:noWrap w:val="false"/>
          </w:tcPr>
          <w:p>
            <w:pPr>
              <w:pStyle w:val="782"/>
              <w:ind w:left="60" w:right="60"/>
              <w:jc w:val="both"/>
              <w:keepNext/>
              <w:spacing w:line="400" w:lineRule="exact"/>
              <w:rPr>
                <w:rFonts w:hint="eastAsia" w:cs="宋体"/>
                <w:color w:val="auto"/>
                <w:sz w:val="21"/>
                <w:szCs w:val="21"/>
                <w:highlight w:val="none"/>
              </w:rPr>
            </w:pPr>
            <w:r>
              <w:rPr>
                <w:rFonts w:hint="eastAsia" w:cs="宋体"/>
                <w:color w:val="auto"/>
                <w:sz w:val="21"/>
                <w:szCs w:val="21"/>
                <w:highlight w:val="none"/>
              </w:rPr>
            </w:r>
            <w:r/>
          </w:p>
        </w:tc>
        <w:tc>
          <w:tcPr>
            <w:tcW w:w="4678" w:type="dxa"/>
            <w:vAlign w:val="top"/>
            <w:textDirection w:val="lrTb"/>
            <w:noWrap w:val="false"/>
          </w:tcPr>
          <w:p>
            <w:pPr>
              <w:pStyle w:val="782"/>
              <w:ind w:left="60" w:right="60"/>
              <w:jc w:val="both"/>
              <w:keepNext/>
              <w:spacing w:line="400" w:lineRule="exact"/>
              <w:rPr>
                <w:rFonts w:hint="eastAsia" w:cs="宋体"/>
                <w:color w:val="auto"/>
                <w:sz w:val="21"/>
                <w:szCs w:val="21"/>
                <w:highlight w:val="none"/>
              </w:rPr>
            </w:pPr>
            <w:r>
              <w:rPr>
                <w:rFonts w:hint="eastAsia" w:cs="宋体"/>
                <w:color w:val="auto"/>
                <w:sz w:val="21"/>
                <w:szCs w:val="21"/>
                <w:highlight w:val="none"/>
              </w:rPr>
            </w:r>
            <w:r/>
          </w:p>
        </w:tc>
        <w:tc>
          <w:tcPr>
            <w:tcW w:w="1276" w:type="dxa"/>
            <w:vAlign w:val="top"/>
            <w:textDirection w:val="lrTb"/>
            <w:noWrap w:val="false"/>
          </w:tcPr>
          <w:p>
            <w:pPr>
              <w:pStyle w:val="782"/>
              <w:ind w:left="60" w:right="60"/>
              <w:jc w:val="both"/>
              <w:keepNext/>
              <w:spacing w:line="400" w:lineRule="exact"/>
              <w:rPr>
                <w:rFonts w:hint="eastAsia" w:cs="宋体"/>
                <w:color w:val="auto"/>
                <w:sz w:val="21"/>
                <w:szCs w:val="21"/>
                <w:highlight w:val="none"/>
              </w:rPr>
            </w:pPr>
            <w:r>
              <w:rPr>
                <w:rFonts w:hint="eastAsia" w:cs="宋体"/>
                <w:color w:val="auto"/>
                <w:sz w:val="21"/>
                <w:szCs w:val="21"/>
                <w:highlight w:val="none"/>
              </w:rPr>
            </w:r>
            <w:r/>
          </w:p>
        </w:tc>
      </w:tr>
      <w:tr>
        <w:trPr/>
        <w:tc>
          <w:tcPr>
            <w:tcW w:w="879" w:type="dxa"/>
            <w:vAlign w:val="top"/>
            <w:textDirection w:val="lrTb"/>
            <w:noWrap w:val="false"/>
          </w:tcPr>
          <w:p>
            <w:pPr>
              <w:pStyle w:val="782"/>
              <w:ind w:left="60" w:right="60"/>
              <w:jc w:val="both"/>
              <w:keepNext/>
              <w:spacing w:line="400" w:lineRule="exact"/>
              <w:rPr>
                <w:rFonts w:hint="eastAsia" w:cs="宋体"/>
                <w:color w:val="auto"/>
                <w:sz w:val="21"/>
                <w:szCs w:val="21"/>
                <w:highlight w:val="none"/>
              </w:rPr>
            </w:pPr>
            <w:r>
              <w:rPr>
                <w:rFonts w:hint="eastAsia" w:cs="宋体"/>
                <w:color w:val="auto"/>
                <w:sz w:val="21"/>
                <w:szCs w:val="21"/>
                <w:highlight w:val="none"/>
              </w:rPr>
            </w:r>
            <w:r/>
          </w:p>
        </w:tc>
        <w:tc>
          <w:tcPr>
            <w:tcW w:w="1984" w:type="dxa"/>
            <w:vAlign w:val="top"/>
            <w:textDirection w:val="lrTb"/>
            <w:noWrap w:val="false"/>
          </w:tcPr>
          <w:p>
            <w:pPr>
              <w:pStyle w:val="782"/>
              <w:ind w:left="60" w:right="60"/>
              <w:jc w:val="both"/>
              <w:keepNext/>
              <w:spacing w:line="400" w:lineRule="exact"/>
              <w:rPr>
                <w:rFonts w:hint="eastAsia" w:cs="宋体"/>
                <w:color w:val="auto"/>
                <w:sz w:val="21"/>
                <w:szCs w:val="21"/>
                <w:highlight w:val="none"/>
              </w:rPr>
            </w:pPr>
            <w:r>
              <w:rPr>
                <w:rFonts w:hint="eastAsia" w:cs="宋体"/>
                <w:color w:val="auto"/>
                <w:sz w:val="21"/>
                <w:szCs w:val="21"/>
                <w:highlight w:val="none"/>
              </w:rPr>
            </w:r>
            <w:r/>
          </w:p>
        </w:tc>
        <w:tc>
          <w:tcPr>
            <w:tcW w:w="4678" w:type="dxa"/>
            <w:vAlign w:val="top"/>
            <w:textDirection w:val="lrTb"/>
            <w:noWrap w:val="false"/>
          </w:tcPr>
          <w:p>
            <w:pPr>
              <w:pStyle w:val="782"/>
              <w:ind w:left="60" w:right="60"/>
              <w:jc w:val="both"/>
              <w:keepNext/>
              <w:spacing w:line="400" w:lineRule="exact"/>
              <w:rPr>
                <w:rFonts w:hint="eastAsia" w:cs="宋体"/>
                <w:color w:val="auto"/>
                <w:sz w:val="21"/>
                <w:szCs w:val="21"/>
                <w:highlight w:val="none"/>
              </w:rPr>
            </w:pPr>
            <w:r>
              <w:rPr>
                <w:rFonts w:hint="eastAsia" w:cs="宋体"/>
                <w:color w:val="auto"/>
                <w:sz w:val="21"/>
                <w:szCs w:val="21"/>
                <w:highlight w:val="none"/>
              </w:rPr>
            </w:r>
            <w:r/>
          </w:p>
        </w:tc>
        <w:tc>
          <w:tcPr>
            <w:tcW w:w="1276" w:type="dxa"/>
            <w:vAlign w:val="top"/>
            <w:textDirection w:val="lrTb"/>
            <w:noWrap w:val="false"/>
          </w:tcPr>
          <w:p>
            <w:pPr>
              <w:pStyle w:val="782"/>
              <w:ind w:left="60" w:right="60"/>
              <w:jc w:val="both"/>
              <w:keepNext/>
              <w:spacing w:line="400" w:lineRule="exact"/>
              <w:rPr>
                <w:rFonts w:hint="eastAsia" w:cs="宋体"/>
                <w:color w:val="auto"/>
                <w:sz w:val="21"/>
                <w:szCs w:val="21"/>
                <w:highlight w:val="none"/>
              </w:rPr>
            </w:pPr>
            <w:r>
              <w:rPr>
                <w:rFonts w:hint="eastAsia" w:cs="宋体"/>
                <w:color w:val="auto"/>
                <w:sz w:val="21"/>
                <w:szCs w:val="21"/>
                <w:highlight w:val="none"/>
              </w:rPr>
            </w:r>
            <w:r/>
          </w:p>
        </w:tc>
      </w:tr>
      <w:tr>
        <w:trPr/>
        <w:tc>
          <w:tcPr>
            <w:tcW w:w="879" w:type="dxa"/>
            <w:vAlign w:val="top"/>
            <w:textDirection w:val="lrTb"/>
            <w:noWrap w:val="false"/>
          </w:tcPr>
          <w:p>
            <w:pPr>
              <w:pStyle w:val="782"/>
              <w:ind w:left="60" w:right="60"/>
              <w:jc w:val="both"/>
              <w:keepNext/>
              <w:spacing w:line="400" w:lineRule="exact"/>
              <w:rPr>
                <w:rFonts w:hint="eastAsia" w:cs="宋体"/>
                <w:color w:val="auto"/>
                <w:sz w:val="21"/>
                <w:szCs w:val="21"/>
                <w:highlight w:val="none"/>
              </w:rPr>
            </w:pPr>
            <w:r>
              <w:rPr>
                <w:rFonts w:hint="eastAsia" w:cs="宋体"/>
                <w:color w:val="auto"/>
                <w:sz w:val="21"/>
                <w:szCs w:val="21"/>
                <w:highlight w:val="none"/>
              </w:rPr>
            </w:r>
            <w:r/>
          </w:p>
        </w:tc>
        <w:tc>
          <w:tcPr>
            <w:tcW w:w="1984" w:type="dxa"/>
            <w:vAlign w:val="top"/>
            <w:textDirection w:val="lrTb"/>
            <w:noWrap w:val="false"/>
          </w:tcPr>
          <w:p>
            <w:pPr>
              <w:pStyle w:val="782"/>
              <w:ind w:left="60" w:right="60"/>
              <w:jc w:val="both"/>
              <w:keepNext/>
              <w:spacing w:line="400" w:lineRule="exact"/>
              <w:rPr>
                <w:rFonts w:hint="eastAsia" w:cs="宋体"/>
                <w:color w:val="auto"/>
                <w:sz w:val="21"/>
                <w:szCs w:val="21"/>
                <w:highlight w:val="none"/>
              </w:rPr>
            </w:pPr>
            <w:r>
              <w:rPr>
                <w:rFonts w:hint="eastAsia" w:cs="宋体"/>
                <w:color w:val="auto"/>
                <w:sz w:val="21"/>
                <w:szCs w:val="21"/>
                <w:highlight w:val="none"/>
              </w:rPr>
            </w:r>
            <w:r/>
          </w:p>
        </w:tc>
        <w:tc>
          <w:tcPr>
            <w:tcW w:w="4678" w:type="dxa"/>
            <w:vAlign w:val="top"/>
            <w:textDirection w:val="lrTb"/>
            <w:noWrap w:val="false"/>
          </w:tcPr>
          <w:p>
            <w:pPr>
              <w:pStyle w:val="782"/>
              <w:ind w:left="60" w:right="60"/>
              <w:jc w:val="both"/>
              <w:keepNext/>
              <w:spacing w:line="400" w:lineRule="exact"/>
              <w:rPr>
                <w:rFonts w:hint="eastAsia" w:cs="宋体"/>
                <w:color w:val="auto"/>
                <w:sz w:val="21"/>
                <w:szCs w:val="21"/>
                <w:highlight w:val="none"/>
              </w:rPr>
            </w:pPr>
            <w:r>
              <w:rPr>
                <w:rFonts w:hint="eastAsia" w:cs="宋体"/>
                <w:color w:val="auto"/>
                <w:sz w:val="21"/>
                <w:szCs w:val="21"/>
                <w:highlight w:val="none"/>
              </w:rPr>
            </w:r>
            <w:r/>
          </w:p>
        </w:tc>
        <w:tc>
          <w:tcPr>
            <w:tcW w:w="1276" w:type="dxa"/>
            <w:vAlign w:val="top"/>
            <w:textDirection w:val="lrTb"/>
            <w:noWrap w:val="false"/>
          </w:tcPr>
          <w:p>
            <w:pPr>
              <w:pStyle w:val="782"/>
              <w:ind w:left="60" w:right="60"/>
              <w:jc w:val="both"/>
              <w:keepNext/>
              <w:spacing w:line="400" w:lineRule="exact"/>
              <w:rPr>
                <w:rFonts w:hint="eastAsia" w:cs="宋体"/>
                <w:color w:val="auto"/>
                <w:sz w:val="21"/>
                <w:szCs w:val="21"/>
                <w:highlight w:val="none"/>
              </w:rPr>
            </w:pPr>
            <w:r>
              <w:rPr>
                <w:rFonts w:hint="eastAsia" w:cs="宋体"/>
                <w:color w:val="auto"/>
                <w:sz w:val="21"/>
                <w:szCs w:val="21"/>
                <w:highlight w:val="none"/>
              </w:rPr>
            </w:r>
            <w:r/>
          </w:p>
        </w:tc>
      </w:tr>
      <w:tr>
        <w:trPr/>
        <w:tc>
          <w:tcPr>
            <w:tcW w:w="879" w:type="dxa"/>
            <w:vAlign w:val="top"/>
            <w:textDirection w:val="lrTb"/>
            <w:noWrap w:val="false"/>
          </w:tcPr>
          <w:p>
            <w:pPr>
              <w:pStyle w:val="782"/>
              <w:ind w:left="60" w:right="60"/>
              <w:jc w:val="both"/>
              <w:keepNext/>
              <w:spacing w:line="400" w:lineRule="exact"/>
              <w:rPr>
                <w:rFonts w:hint="eastAsia" w:cs="宋体"/>
                <w:color w:val="auto"/>
                <w:sz w:val="21"/>
                <w:szCs w:val="21"/>
                <w:highlight w:val="none"/>
              </w:rPr>
            </w:pPr>
            <w:r>
              <w:rPr>
                <w:rFonts w:hint="eastAsia" w:cs="宋体"/>
                <w:color w:val="auto"/>
                <w:sz w:val="21"/>
                <w:szCs w:val="21"/>
                <w:highlight w:val="none"/>
              </w:rPr>
            </w:r>
            <w:r/>
          </w:p>
        </w:tc>
        <w:tc>
          <w:tcPr>
            <w:tcW w:w="1984" w:type="dxa"/>
            <w:vAlign w:val="top"/>
            <w:textDirection w:val="lrTb"/>
            <w:noWrap w:val="false"/>
          </w:tcPr>
          <w:p>
            <w:pPr>
              <w:pStyle w:val="782"/>
              <w:ind w:left="60" w:right="60"/>
              <w:jc w:val="both"/>
              <w:keepNext/>
              <w:spacing w:line="400" w:lineRule="exact"/>
              <w:rPr>
                <w:rFonts w:hint="eastAsia" w:cs="宋体"/>
                <w:color w:val="auto"/>
                <w:sz w:val="21"/>
                <w:szCs w:val="21"/>
                <w:highlight w:val="none"/>
              </w:rPr>
            </w:pPr>
            <w:r>
              <w:rPr>
                <w:rFonts w:hint="eastAsia" w:cs="宋体"/>
                <w:color w:val="auto"/>
                <w:sz w:val="21"/>
                <w:szCs w:val="21"/>
                <w:highlight w:val="none"/>
              </w:rPr>
            </w:r>
            <w:r/>
          </w:p>
        </w:tc>
        <w:tc>
          <w:tcPr>
            <w:tcW w:w="4678" w:type="dxa"/>
            <w:vAlign w:val="top"/>
            <w:textDirection w:val="lrTb"/>
            <w:noWrap w:val="false"/>
          </w:tcPr>
          <w:p>
            <w:pPr>
              <w:pStyle w:val="782"/>
              <w:ind w:left="60" w:right="60"/>
              <w:jc w:val="both"/>
              <w:keepNext/>
              <w:spacing w:line="400" w:lineRule="exact"/>
              <w:rPr>
                <w:rFonts w:hint="eastAsia" w:cs="宋体"/>
                <w:color w:val="auto"/>
                <w:sz w:val="21"/>
                <w:szCs w:val="21"/>
                <w:highlight w:val="none"/>
              </w:rPr>
            </w:pPr>
            <w:r>
              <w:rPr>
                <w:rFonts w:hint="eastAsia" w:cs="宋体"/>
                <w:color w:val="auto"/>
                <w:sz w:val="21"/>
                <w:szCs w:val="21"/>
                <w:highlight w:val="none"/>
              </w:rPr>
            </w:r>
            <w:r/>
          </w:p>
        </w:tc>
        <w:tc>
          <w:tcPr>
            <w:tcW w:w="1276" w:type="dxa"/>
            <w:vAlign w:val="top"/>
            <w:textDirection w:val="lrTb"/>
            <w:noWrap w:val="false"/>
          </w:tcPr>
          <w:p>
            <w:pPr>
              <w:pStyle w:val="782"/>
              <w:ind w:left="60" w:right="60"/>
              <w:jc w:val="both"/>
              <w:keepNext/>
              <w:spacing w:line="400" w:lineRule="exact"/>
              <w:rPr>
                <w:rFonts w:hint="eastAsia" w:cs="宋体"/>
                <w:color w:val="auto"/>
                <w:sz w:val="21"/>
                <w:szCs w:val="21"/>
                <w:highlight w:val="none"/>
              </w:rPr>
            </w:pPr>
            <w:r>
              <w:rPr>
                <w:rFonts w:hint="eastAsia" w:cs="宋体"/>
                <w:color w:val="auto"/>
                <w:sz w:val="21"/>
                <w:szCs w:val="21"/>
                <w:highlight w:val="none"/>
              </w:rPr>
            </w:r>
            <w:r/>
          </w:p>
        </w:tc>
      </w:tr>
      <w:tr>
        <w:trPr/>
        <w:tc>
          <w:tcPr>
            <w:tcW w:w="879" w:type="dxa"/>
            <w:vAlign w:val="top"/>
            <w:textDirection w:val="lrTb"/>
            <w:noWrap w:val="false"/>
          </w:tcPr>
          <w:p>
            <w:pPr>
              <w:pStyle w:val="782"/>
              <w:ind w:left="60" w:right="60"/>
              <w:jc w:val="both"/>
              <w:keepNext/>
              <w:spacing w:line="400" w:lineRule="exact"/>
              <w:rPr>
                <w:rFonts w:hint="eastAsia" w:cs="宋体"/>
                <w:color w:val="auto"/>
                <w:sz w:val="21"/>
                <w:szCs w:val="21"/>
                <w:highlight w:val="none"/>
              </w:rPr>
            </w:pPr>
            <w:r>
              <w:rPr>
                <w:rFonts w:hint="eastAsia" w:cs="宋体"/>
                <w:color w:val="auto"/>
                <w:sz w:val="21"/>
                <w:szCs w:val="21"/>
                <w:highlight w:val="none"/>
              </w:rPr>
            </w:r>
            <w:r/>
          </w:p>
        </w:tc>
        <w:tc>
          <w:tcPr>
            <w:tcW w:w="1984" w:type="dxa"/>
            <w:vAlign w:val="top"/>
            <w:textDirection w:val="lrTb"/>
            <w:noWrap w:val="false"/>
          </w:tcPr>
          <w:p>
            <w:pPr>
              <w:pStyle w:val="782"/>
              <w:ind w:left="60" w:right="60"/>
              <w:jc w:val="both"/>
              <w:keepNext/>
              <w:spacing w:line="400" w:lineRule="exact"/>
              <w:rPr>
                <w:rFonts w:hint="eastAsia" w:cs="宋体"/>
                <w:color w:val="auto"/>
                <w:sz w:val="21"/>
                <w:szCs w:val="21"/>
                <w:highlight w:val="none"/>
              </w:rPr>
            </w:pPr>
            <w:r>
              <w:rPr>
                <w:rFonts w:hint="eastAsia" w:cs="宋体"/>
                <w:color w:val="auto"/>
                <w:sz w:val="21"/>
                <w:szCs w:val="21"/>
                <w:highlight w:val="none"/>
              </w:rPr>
            </w:r>
            <w:r/>
          </w:p>
        </w:tc>
        <w:tc>
          <w:tcPr>
            <w:tcW w:w="4678" w:type="dxa"/>
            <w:vAlign w:val="top"/>
            <w:textDirection w:val="lrTb"/>
            <w:noWrap w:val="false"/>
          </w:tcPr>
          <w:p>
            <w:pPr>
              <w:pStyle w:val="782"/>
              <w:ind w:left="60" w:right="60"/>
              <w:jc w:val="both"/>
              <w:keepNext/>
              <w:spacing w:line="400" w:lineRule="exact"/>
              <w:rPr>
                <w:rFonts w:hint="eastAsia" w:cs="宋体"/>
                <w:color w:val="auto"/>
                <w:sz w:val="21"/>
                <w:szCs w:val="21"/>
                <w:highlight w:val="none"/>
              </w:rPr>
            </w:pPr>
            <w:r>
              <w:rPr>
                <w:rFonts w:hint="eastAsia" w:cs="宋体"/>
                <w:color w:val="auto"/>
                <w:sz w:val="21"/>
                <w:szCs w:val="21"/>
                <w:highlight w:val="none"/>
              </w:rPr>
            </w:r>
            <w:r/>
          </w:p>
        </w:tc>
        <w:tc>
          <w:tcPr>
            <w:tcW w:w="1276" w:type="dxa"/>
            <w:vAlign w:val="top"/>
            <w:textDirection w:val="lrTb"/>
            <w:noWrap w:val="false"/>
          </w:tcPr>
          <w:p>
            <w:pPr>
              <w:pStyle w:val="782"/>
              <w:ind w:left="60" w:right="60"/>
              <w:jc w:val="both"/>
              <w:keepNext/>
              <w:spacing w:line="400" w:lineRule="exact"/>
              <w:rPr>
                <w:rFonts w:hint="eastAsia" w:cs="宋体"/>
                <w:color w:val="auto"/>
                <w:sz w:val="21"/>
                <w:szCs w:val="21"/>
                <w:highlight w:val="none"/>
              </w:rPr>
            </w:pPr>
            <w:r>
              <w:rPr>
                <w:rFonts w:hint="eastAsia" w:cs="宋体"/>
                <w:color w:val="auto"/>
                <w:sz w:val="21"/>
                <w:szCs w:val="21"/>
                <w:highlight w:val="none"/>
              </w:rPr>
            </w:r>
            <w:r/>
          </w:p>
        </w:tc>
      </w:tr>
      <w:tr>
        <w:trPr/>
        <w:tc>
          <w:tcPr>
            <w:tcW w:w="879" w:type="dxa"/>
            <w:vAlign w:val="top"/>
            <w:textDirection w:val="lrTb"/>
            <w:noWrap w:val="false"/>
          </w:tcPr>
          <w:p>
            <w:pPr>
              <w:pStyle w:val="782"/>
              <w:ind w:left="60" w:right="60"/>
              <w:jc w:val="both"/>
              <w:keepNext/>
              <w:spacing w:line="400" w:lineRule="exact"/>
              <w:rPr>
                <w:rFonts w:hint="eastAsia" w:cs="宋体"/>
                <w:color w:val="auto"/>
                <w:sz w:val="21"/>
                <w:szCs w:val="21"/>
                <w:highlight w:val="none"/>
              </w:rPr>
            </w:pPr>
            <w:r>
              <w:rPr>
                <w:rFonts w:hint="eastAsia" w:cs="宋体"/>
                <w:color w:val="auto"/>
                <w:sz w:val="21"/>
                <w:szCs w:val="21"/>
                <w:highlight w:val="none"/>
              </w:rPr>
            </w:r>
            <w:r/>
          </w:p>
        </w:tc>
        <w:tc>
          <w:tcPr>
            <w:tcW w:w="1984" w:type="dxa"/>
            <w:vAlign w:val="top"/>
            <w:textDirection w:val="lrTb"/>
            <w:noWrap w:val="false"/>
          </w:tcPr>
          <w:p>
            <w:pPr>
              <w:pStyle w:val="782"/>
              <w:ind w:left="60" w:right="60"/>
              <w:jc w:val="both"/>
              <w:keepNext/>
              <w:spacing w:line="400" w:lineRule="exact"/>
              <w:rPr>
                <w:rFonts w:hint="eastAsia" w:cs="宋体"/>
                <w:color w:val="auto"/>
                <w:sz w:val="21"/>
                <w:szCs w:val="21"/>
                <w:highlight w:val="none"/>
              </w:rPr>
            </w:pPr>
            <w:r>
              <w:rPr>
                <w:rFonts w:hint="eastAsia" w:cs="宋体"/>
                <w:color w:val="auto"/>
                <w:sz w:val="21"/>
                <w:szCs w:val="21"/>
                <w:highlight w:val="none"/>
              </w:rPr>
            </w:r>
            <w:r/>
          </w:p>
        </w:tc>
        <w:tc>
          <w:tcPr>
            <w:tcW w:w="4678" w:type="dxa"/>
            <w:vAlign w:val="top"/>
            <w:textDirection w:val="lrTb"/>
            <w:noWrap w:val="false"/>
          </w:tcPr>
          <w:p>
            <w:pPr>
              <w:pStyle w:val="782"/>
              <w:ind w:left="60" w:right="60"/>
              <w:jc w:val="both"/>
              <w:keepNext/>
              <w:spacing w:line="400" w:lineRule="exact"/>
              <w:rPr>
                <w:rFonts w:hint="eastAsia" w:cs="宋体"/>
                <w:color w:val="auto"/>
                <w:sz w:val="21"/>
                <w:szCs w:val="21"/>
                <w:highlight w:val="none"/>
              </w:rPr>
            </w:pPr>
            <w:r>
              <w:rPr>
                <w:rFonts w:hint="eastAsia" w:cs="宋体"/>
                <w:color w:val="auto"/>
                <w:sz w:val="21"/>
                <w:szCs w:val="21"/>
                <w:highlight w:val="none"/>
              </w:rPr>
            </w:r>
            <w:r/>
          </w:p>
        </w:tc>
        <w:tc>
          <w:tcPr>
            <w:tcW w:w="1276" w:type="dxa"/>
            <w:vAlign w:val="top"/>
            <w:textDirection w:val="lrTb"/>
            <w:noWrap w:val="false"/>
          </w:tcPr>
          <w:p>
            <w:pPr>
              <w:pStyle w:val="782"/>
              <w:ind w:left="60" w:right="60"/>
              <w:jc w:val="both"/>
              <w:keepNext/>
              <w:spacing w:line="400" w:lineRule="exact"/>
              <w:rPr>
                <w:rFonts w:hint="eastAsia" w:cs="宋体"/>
                <w:color w:val="auto"/>
                <w:sz w:val="21"/>
                <w:szCs w:val="21"/>
                <w:highlight w:val="none"/>
              </w:rPr>
            </w:pPr>
            <w:r>
              <w:rPr>
                <w:rFonts w:hint="eastAsia" w:cs="宋体"/>
                <w:color w:val="auto"/>
                <w:sz w:val="21"/>
                <w:szCs w:val="21"/>
                <w:highlight w:val="none"/>
              </w:rPr>
            </w:r>
            <w:r/>
          </w:p>
        </w:tc>
      </w:tr>
      <w:tr>
        <w:trPr/>
        <w:tc>
          <w:tcPr>
            <w:tcW w:w="879" w:type="dxa"/>
            <w:vAlign w:val="top"/>
            <w:textDirection w:val="lrTb"/>
            <w:noWrap w:val="false"/>
          </w:tcPr>
          <w:p>
            <w:pPr>
              <w:pStyle w:val="782"/>
              <w:ind w:left="60" w:right="60"/>
              <w:jc w:val="both"/>
              <w:keepNext/>
              <w:spacing w:line="400" w:lineRule="exact"/>
              <w:rPr>
                <w:rFonts w:hint="eastAsia" w:cs="宋体"/>
                <w:color w:val="auto"/>
                <w:sz w:val="21"/>
                <w:szCs w:val="21"/>
                <w:highlight w:val="none"/>
              </w:rPr>
            </w:pPr>
            <w:r>
              <w:rPr>
                <w:rFonts w:hint="eastAsia" w:cs="宋体"/>
                <w:color w:val="auto"/>
                <w:sz w:val="21"/>
                <w:szCs w:val="21"/>
                <w:highlight w:val="none"/>
              </w:rPr>
            </w:r>
            <w:r/>
          </w:p>
        </w:tc>
        <w:tc>
          <w:tcPr>
            <w:tcW w:w="1984" w:type="dxa"/>
            <w:vAlign w:val="top"/>
            <w:textDirection w:val="lrTb"/>
            <w:noWrap w:val="false"/>
          </w:tcPr>
          <w:p>
            <w:pPr>
              <w:pStyle w:val="782"/>
              <w:ind w:left="60" w:right="60"/>
              <w:jc w:val="both"/>
              <w:keepNext/>
              <w:spacing w:line="400" w:lineRule="exact"/>
              <w:rPr>
                <w:rFonts w:hint="eastAsia" w:cs="宋体"/>
                <w:color w:val="auto"/>
                <w:sz w:val="21"/>
                <w:szCs w:val="21"/>
                <w:highlight w:val="none"/>
              </w:rPr>
            </w:pPr>
            <w:r>
              <w:rPr>
                <w:rFonts w:hint="eastAsia" w:cs="宋体"/>
                <w:color w:val="auto"/>
                <w:sz w:val="21"/>
                <w:szCs w:val="21"/>
                <w:highlight w:val="none"/>
              </w:rPr>
            </w:r>
            <w:r/>
          </w:p>
        </w:tc>
        <w:tc>
          <w:tcPr>
            <w:tcW w:w="4678" w:type="dxa"/>
            <w:vAlign w:val="top"/>
            <w:textDirection w:val="lrTb"/>
            <w:noWrap w:val="false"/>
          </w:tcPr>
          <w:p>
            <w:pPr>
              <w:pStyle w:val="782"/>
              <w:ind w:left="60" w:right="60"/>
              <w:jc w:val="both"/>
              <w:keepNext/>
              <w:spacing w:line="400" w:lineRule="exact"/>
              <w:rPr>
                <w:rFonts w:hint="eastAsia" w:cs="宋体"/>
                <w:color w:val="auto"/>
                <w:sz w:val="21"/>
                <w:szCs w:val="21"/>
                <w:highlight w:val="none"/>
              </w:rPr>
            </w:pPr>
            <w:r>
              <w:rPr>
                <w:rFonts w:hint="eastAsia" w:cs="宋体"/>
                <w:color w:val="auto"/>
                <w:sz w:val="21"/>
                <w:szCs w:val="21"/>
                <w:highlight w:val="none"/>
              </w:rPr>
            </w:r>
            <w:r/>
          </w:p>
        </w:tc>
        <w:tc>
          <w:tcPr>
            <w:tcW w:w="1276" w:type="dxa"/>
            <w:vAlign w:val="top"/>
            <w:textDirection w:val="lrTb"/>
            <w:noWrap w:val="false"/>
          </w:tcPr>
          <w:p>
            <w:pPr>
              <w:pStyle w:val="782"/>
              <w:ind w:left="60" w:right="60"/>
              <w:jc w:val="both"/>
              <w:keepNext/>
              <w:spacing w:line="400" w:lineRule="exact"/>
              <w:rPr>
                <w:rFonts w:hint="eastAsia" w:cs="宋体"/>
                <w:color w:val="auto"/>
                <w:sz w:val="21"/>
                <w:szCs w:val="21"/>
                <w:highlight w:val="none"/>
              </w:rPr>
            </w:pPr>
            <w:r>
              <w:rPr>
                <w:rFonts w:hint="eastAsia" w:cs="宋体"/>
                <w:color w:val="auto"/>
                <w:sz w:val="21"/>
                <w:szCs w:val="21"/>
                <w:highlight w:val="none"/>
              </w:rPr>
            </w:r>
            <w:r/>
          </w:p>
        </w:tc>
      </w:tr>
      <w:tr>
        <w:trPr/>
        <w:tc>
          <w:tcPr>
            <w:tcW w:w="879" w:type="dxa"/>
            <w:vAlign w:val="top"/>
            <w:textDirection w:val="lrTb"/>
            <w:noWrap w:val="false"/>
          </w:tcPr>
          <w:p>
            <w:pPr>
              <w:pStyle w:val="782"/>
              <w:ind w:left="60" w:right="60"/>
              <w:jc w:val="both"/>
              <w:keepNext/>
              <w:spacing w:line="400" w:lineRule="exact"/>
              <w:rPr>
                <w:rFonts w:hint="eastAsia" w:cs="宋体"/>
                <w:color w:val="auto"/>
                <w:sz w:val="21"/>
                <w:szCs w:val="21"/>
                <w:highlight w:val="none"/>
              </w:rPr>
            </w:pPr>
            <w:r>
              <w:rPr>
                <w:rFonts w:hint="eastAsia" w:cs="宋体"/>
                <w:color w:val="auto"/>
                <w:sz w:val="21"/>
                <w:szCs w:val="21"/>
                <w:highlight w:val="none"/>
              </w:rPr>
            </w:r>
            <w:r/>
          </w:p>
        </w:tc>
        <w:tc>
          <w:tcPr>
            <w:tcW w:w="1984" w:type="dxa"/>
            <w:vAlign w:val="top"/>
            <w:textDirection w:val="lrTb"/>
            <w:noWrap w:val="false"/>
          </w:tcPr>
          <w:p>
            <w:pPr>
              <w:pStyle w:val="782"/>
              <w:ind w:left="60" w:right="60"/>
              <w:jc w:val="both"/>
              <w:keepNext/>
              <w:spacing w:line="400" w:lineRule="exact"/>
              <w:rPr>
                <w:rFonts w:hint="eastAsia" w:cs="宋体"/>
                <w:color w:val="auto"/>
                <w:sz w:val="21"/>
                <w:szCs w:val="21"/>
                <w:highlight w:val="none"/>
              </w:rPr>
            </w:pPr>
            <w:r>
              <w:rPr>
                <w:rFonts w:hint="eastAsia" w:cs="宋体"/>
                <w:color w:val="auto"/>
                <w:sz w:val="21"/>
                <w:szCs w:val="21"/>
                <w:highlight w:val="none"/>
              </w:rPr>
            </w:r>
            <w:r/>
          </w:p>
        </w:tc>
        <w:tc>
          <w:tcPr>
            <w:tcW w:w="4678" w:type="dxa"/>
            <w:vAlign w:val="top"/>
            <w:textDirection w:val="lrTb"/>
            <w:noWrap w:val="false"/>
          </w:tcPr>
          <w:p>
            <w:pPr>
              <w:pStyle w:val="782"/>
              <w:ind w:left="60" w:right="60"/>
              <w:jc w:val="both"/>
              <w:keepNext/>
              <w:spacing w:line="400" w:lineRule="exact"/>
              <w:rPr>
                <w:rFonts w:hint="eastAsia" w:cs="宋体"/>
                <w:color w:val="auto"/>
                <w:sz w:val="21"/>
                <w:szCs w:val="21"/>
                <w:highlight w:val="none"/>
              </w:rPr>
            </w:pPr>
            <w:r>
              <w:rPr>
                <w:rFonts w:hint="eastAsia" w:cs="宋体"/>
                <w:color w:val="auto"/>
                <w:sz w:val="21"/>
                <w:szCs w:val="21"/>
                <w:highlight w:val="none"/>
              </w:rPr>
            </w:r>
            <w:r/>
          </w:p>
        </w:tc>
        <w:tc>
          <w:tcPr>
            <w:tcW w:w="1276" w:type="dxa"/>
            <w:vAlign w:val="top"/>
            <w:textDirection w:val="lrTb"/>
            <w:noWrap w:val="false"/>
          </w:tcPr>
          <w:p>
            <w:pPr>
              <w:pStyle w:val="782"/>
              <w:ind w:left="60" w:right="60"/>
              <w:jc w:val="both"/>
              <w:keepNext/>
              <w:spacing w:line="400" w:lineRule="exact"/>
              <w:rPr>
                <w:rFonts w:hint="eastAsia" w:cs="宋体"/>
                <w:color w:val="auto"/>
                <w:sz w:val="21"/>
                <w:szCs w:val="21"/>
                <w:highlight w:val="none"/>
              </w:rPr>
            </w:pPr>
            <w:r>
              <w:rPr>
                <w:rFonts w:hint="eastAsia" w:cs="宋体"/>
                <w:color w:val="auto"/>
                <w:sz w:val="21"/>
                <w:szCs w:val="21"/>
                <w:highlight w:val="none"/>
              </w:rPr>
            </w:r>
            <w:r/>
          </w:p>
        </w:tc>
      </w:tr>
      <w:tr>
        <w:trPr/>
        <w:tc>
          <w:tcPr>
            <w:tcW w:w="879" w:type="dxa"/>
            <w:vAlign w:val="top"/>
            <w:textDirection w:val="lrTb"/>
            <w:noWrap w:val="false"/>
          </w:tcPr>
          <w:p>
            <w:pPr>
              <w:pStyle w:val="782"/>
              <w:ind w:left="60" w:right="60"/>
              <w:jc w:val="both"/>
              <w:keepNext/>
              <w:spacing w:line="400" w:lineRule="exact"/>
              <w:rPr>
                <w:rFonts w:hint="eastAsia" w:cs="宋体"/>
                <w:color w:val="auto"/>
                <w:sz w:val="21"/>
                <w:szCs w:val="21"/>
                <w:highlight w:val="none"/>
              </w:rPr>
            </w:pPr>
            <w:r>
              <w:rPr>
                <w:rFonts w:hint="eastAsia" w:cs="宋体"/>
                <w:color w:val="auto"/>
                <w:sz w:val="21"/>
                <w:szCs w:val="21"/>
                <w:highlight w:val="none"/>
              </w:rPr>
            </w:r>
            <w:r/>
          </w:p>
        </w:tc>
        <w:tc>
          <w:tcPr>
            <w:tcW w:w="1984" w:type="dxa"/>
            <w:vAlign w:val="top"/>
            <w:textDirection w:val="lrTb"/>
            <w:noWrap w:val="false"/>
          </w:tcPr>
          <w:p>
            <w:pPr>
              <w:pStyle w:val="782"/>
              <w:ind w:left="60" w:right="60"/>
              <w:jc w:val="both"/>
              <w:keepNext/>
              <w:spacing w:line="400" w:lineRule="exact"/>
              <w:rPr>
                <w:rFonts w:hint="eastAsia" w:cs="宋体"/>
                <w:color w:val="auto"/>
                <w:sz w:val="21"/>
                <w:szCs w:val="21"/>
                <w:highlight w:val="none"/>
              </w:rPr>
            </w:pPr>
            <w:r>
              <w:rPr>
                <w:rFonts w:hint="eastAsia" w:cs="宋体"/>
                <w:color w:val="auto"/>
                <w:sz w:val="21"/>
                <w:szCs w:val="21"/>
                <w:highlight w:val="none"/>
              </w:rPr>
            </w:r>
            <w:r/>
          </w:p>
        </w:tc>
        <w:tc>
          <w:tcPr>
            <w:tcW w:w="4678" w:type="dxa"/>
            <w:vAlign w:val="top"/>
            <w:textDirection w:val="lrTb"/>
            <w:noWrap w:val="false"/>
          </w:tcPr>
          <w:p>
            <w:pPr>
              <w:pStyle w:val="782"/>
              <w:ind w:left="60" w:right="60"/>
              <w:jc w:val="both"/>
              <w:keepNext/>
              <w:spacing w:line="400" w:lineRule="exact"/>
              <w:rPr>
                <w:rFonts w:hint="eastAsia" w:cs="宋体"/>
                <w:color w:val="auto"/>
                <w:sz w:val="21"/>
                <w:szCs w:val="21"/>
                <w:highlight w:val="none"/>
              </w:rPr>
            </w:pPr>
            <w:r>
              <w:rPr>
                <w:rFonts w:hint="eastAsia" w:cs="宋体"/>
                <w:color w:val="auto"/>
                <w:sz w:val="21"/>
                <w:szCs w:val="21"/>
                <w:highlight w:val="none"/>
              </w:rPr>
            </w:r>
            <w:r/>
          </w:p>
        </w:tc>
        <w:tc>
          <w:tcPr>
            <w:tcW w:w="1276" w:type="dxa"/>
            <w:vAlign w:val="top"/>
            <w:textDirection w:val="lrTb"/>
            <w:noWrap w:val="false"/>
          </w:tcPr>
          <w:p>
            <w:pPr>
              <w:pStyle w:val="782"/>
              <w:ind w:left="60" w:right="60"/>
              <w:jc w:val="both"/>
              <w:keepNext/>
              <w:spacing w:line="400" w:lineRule="exact"/>
              <w:rPr>
                <w:rFonts w:hint="eastAsia" w:cs="宋体"/>
                <w:color w:val="auto"/>
                <w:sz w:val="21"/>
                <w:szCs w:val="21"/>
                <w:highlight w:val="none"/>
              </w:rPr>
            </w:pPr>
            <w:r>
              <w:rPr>
                <w:rFonts w:hint="eastAsia" w:cs="宋体"/>
                <w:color w:val="auto"/>
                <w:sz w:val="21"/>
                <w:szCs w:val="21"/>
                <w:highlight w:val="none"/>
              </w:rPr>
            </w:r>
            <w:r/>
          </w:p>
        </w:tc>
      </w:tr>
      <w:tr>
        <w:trPr/>
        <w:tc>
          <w:tcPr>
            <w:tcW w:w="879" w:type="dxa"/>
            <w:vAlign w:val="top"/>
            <w:textDirection w:val="lrTb"/>
            <w:noWrap w:val="false"/>
          </w:tcPr>
          <w:p>
            <w:pPr>
              <w:pStyle w:val="782"/>
              <w:ind w:left="60" w:right="60"/>
              <w:jc w:val="both"/>
              <w:keepNext/>
              <w:spacing w:line="400" w:lineRule="exact"/>
              <w:rPr>
                <w:rFonts w:hint="eastAsia" w:cs="宋体"/>
                <w:color w:val="auto"/>
                <w:sz w:val="21"/>
                <w:szCs w:val="21"/>
                <w:highlight w:val="none"/>
              </w:rPr>
            </w:pPr>
            <w:r>
              <w:rPr>
                <w:rFonts w:hint="eastAsia" w:cs="宋体"/>
                <w:color w:val="auto"/>
                <w:sz w:val="21"/>
                <w:szCs w:val="21"/>
                <w:highlight w:val="none"/>
              </w:rPr>
            </w:r>
            <w:r/>
          </w:p>
        </w:tc>
        <w:tc>
          <w:tcPr>
            <w:tcW w:w="1984" w:type="dxa"/>
            <w:vAlign w:val="top"/>
            <w:textDirection w:val="lrTb"/>
            <w:noWrap w:val="false"/>
          </w:tcPr>
          <w:p>
            <w:pPr>
              <w:pStyle w:val="782"/>
              <w:ind w:left="60" w:right="60"/>
              <w:jc w:val="both"/>
              <w:keepNext/>
              <w:spacing w:line="400" w:lineRule="exact"/>
              <w:rPr>
                <w:rFonts w:hint="eastAsia" w:cs="宋体"/>
                <w:color w:val="auto"/>
                <w:sz w:val="21"/>
                <w:szCs w:val="21"/>
                <w:highlight w:val="none"/>
              </w:rPr>
            </w:pPr>
            <w:r>
              <w:rPr>
                <w:rFonts w:hint="eastAsia" w:cs="宋体"/>
                <w:color w:val="auto"/>
                <w:sz w:val="21"/>
                <w:szCs w:val="21"/>
                <w:highlight w:val="none"/>
              </w:rPr>
            </w:r>
            <w:r/>
          </w:p>
        </w:tc>
        <w:tc>
          <w:tcPr>
            <w:tcW w:w="4678" w:type="dxa"/>
            <w:vAlign w:val="top"/>
            <w:textDirection w:val="lrTb"/>
            <w:noWrap w:val="false"/>
          </w:tcPr>
          <w:p>
            <w:pPr>
              <w:pStyle w:val="782"/>
              <w:ind w:left="60" w:right="60"/>
              <w:jc w:val="both"/>
              <w:keepNext/>
              <w:spacing w:line="400" w:lineRule="exact"/>
              <w:rPr>
                <w:rFonts w:hint="eastAsia" w:cs="宋体"/>
                <w:color w:val="auto"/>
                <w:sz w:val="21"/>
                <w:szCs w:val="21"/>
                <w:highlight w:val="none"/>
              </w:rPr>
            </w:pPr>
            <w:r>
              <w:rPr>
                <w:rFonts w:hint="eastAsia" w:cs="宋体"/>
                <w:color w:val="auto"/>
                <w:sz w:val="21"/>
                <w:szCs w:val="21"/>
                <w:highlight w:val="none"/>
              </w:rPr>
            </w:r>
            <w:r/>
          </w:p>
        </w:tc>
        <w:tc>
          <w:tcPr>
            <w:tcW w:w="1276" w:type="dxa"/>
            <w:vAlign w:val="top"/>
            <w:textDirection w:val="lrTb"/>
            <w:noWrap w:val="false"/>
          </w:tcPr>
          <w:p>
            <w:pPr>
              <w:pStyle w:val="782"/>
              <w:ind w:left="60" w:right="60"/>
              <w:jc w:val="both"/>
              <w:keepNext/>
              <w:spacing w:line="400" w:lineRule="exact"/>
              <w:rPr>
                <w:rFonts w:hint="eastAsia" w:cs="宋体"/>
                <w:color w:val="auto"/>
                <w:sz w:val="21"/>
                <w:szCs w:val="21"/>
                <w:highlight w:val="none"/>
              </w:rPr>
            </w:pPr>
            <w:r>
              <w:rPr>
                <w:rFonts w:hint="eastAsia" w:cs="宋体"/>
                <w:color w:val="auto"/>
                <w:sz w:val="21"/>
                <w:szCs w:val="21"/>
                <w:highlight w:val="none"/>
              </w:rPr>
            </w:r>
            <w:r/>
          </w:p>
        </w:tc>
      </w:tr>
      <w:tr>
        <w:trPr/>
        <w:tc>
          <w:tcPr>
            <w:tcW w:w="879" w:type="dxa"/>
            <w:vAlign w:val="top"/>
            <w:textDirection w:val="lrTb"/>
            <w:noWrap w:val="false"/>
          </w:tcPr>
          <w:p>
            <w:pPr>
              <w:pStyle w:val="782"/>
              <w:ind w:left="60" w:right="60"/>
              <w:jc w:val="both"/>
              <w:keepNext/>
              <w:spacing w:line="400" w:lineRule="exact"/>
              <w:rPr>
                <w:rFonts w:hint="eastAsia" w:cs="宋体"/>
                <w:color w:val="auto"/>
                <w:sz w:val="21"/>
                <w:szCs w:val="21"/>
                <w:highlight w:val="none"/>
              </w:rPr>
            </w:pPr>
            <w:r>
              <w:rPr>
                <w:rFonts w:hint="eastAsia" w:cs="宋体"/>
                <w:color w:val="auto"/>
                <w:sz w:val="21"/>
                <w:szCs w:val="21"/>
                <w:highlight w:val="none"/>
              </w:rPr>
            </w:r>
            <w:r/>
          </w:p>
        </w:tc>
        <w:tc>
          <w:tcPr>
            <w:tcW w:w="1984" w:type="dxa"/>
            <w:vAlign w:val="top"/>
            <w:textDirection w:val="lrTb"/>
            <w:noWrap w:val="false"/>
          </w:tcPr>
          <w:p>
            <w:pPr>
              <w:pStyle w:val="782"/>
              <w:ind w:left="60" w:right="60"/>
              <w:jc w:val="both"/>
              <w:keepNext/>
              <w:spacing w:line="400" w:lineRule="exact"/>
              <w:rPr>
                <w:rFonts w:hint="eastAsia" w:cs="宋体"/>
                <w:color w:val="auto"/>
                <w:sz w:val="21"/>
                <w:szCs w:val="21"/>
                <w:highlight w:val="none"/>
              </w:rPr>
            </w:pPr>
            <w:r>
              <w:rPr>
                <w:rFonts w:hint="eastAsia" w:cs="宋体"/>
                <w:color w:val="auto"/>
                <w:sz w:val="21"/>
                <w:szCs w:val="21"/>
                <w:highlight w:val="none"/>
              </w:rPr>
            </w:r>
            <w:r/>
          </w:p>
        </w:tc>
        <w:tc>
          <w:tcPr>
            <w:tcW w:w="4678" w:type="dxa"/>
            <w:vAlign w:val="top"/>
            <w:textDirection w:val="lrTb"/>
            <w:noWrap w:val="false"/>
          </w:tcPr>
          <w:p>
            <w:pPr>
              <w:pStyle w:val="782"/>
              <w:ind w:left="60" w:right="60"/>
              <w:jc w:val="both"/>
              <w:keepNext/>
              <w:spacing w:line="400" w:lineRule="exact"/>
              <w:rPr>
                <w:rFonts w:hint="eastAsia" w:cs="宋体"/>
                <w:color w:val="auto"/>
                <w:sz w:val="21"/>
                <w:szCs w:val="21"/>
                <w:highlight w:val="none"/>
              </w:rPr>
            </w:pPr>
            <w:r>
              <w:rPr>
                <w:rFonts w:hint="eastAsia" w:cs="宋体"/>
                <w:color w:val="auto"/>
                <w:sz w:val="21"/>
                <w:szCs w:val="21"/>
                <w:highlight w:val="none"/>
              </w:rPr>
            </w:r>
            <w:r/>
          </w:p>
        </w:tc>
        <w:tc>
          <w:tcPr>
            <w:tcW w:w="1276" w:type="dxa"/>
            <w:vAlign w:val="top"/>
            <w:textDirection w:val="lrTb"/>
            <w:noWrap w:val="false"/>
          </w:tcPr>
          <w:p>
            <w:pPr>
              <w:pStyle w:val="782"/>
              <w:ind w:left="60" w:right="60"/>
              <w:jc w:val="both"/>
              <w:keepNext/>
              <w:spacing w:line="400" w:lineRule="exact"/>
              <w:rPr>
                <w:rFonts w:hint="eastAsia" w:cs="宋体"/>
                <w:color w:val="auto"/>
                <w:sz w:val="21"/>
                <w:szCs w:val="21"/>
                <w:highlight w:val="none"/>
              </w:rPr>
            </w:pPr>
            <w:r>
              <w:rPr>
                <w:rFonts w:hint="eastAsia" w:cs="宋体"/>
                <w:color w:val="auto"/>
                <w:sz w:val="21"/>
                <w:szCs w:val="21"/>
                <w:highlight w:val="none"/>
              </w:rPr>
            </w:r>
            <w:r/>
          </w:p>
        </w:tc>
      </w:tr>
      <w:tr>
        <w:trPr/>
        <w:tc>
          <w:tcPr>
            <w:tcW w:w="879" w:type="dxa"/>
            <w:vAlign w:val="top"/>
            <w:textDirection w:val="lrTb"/>
            <w:noWrap w:val="false"/>
          </w:tcPr>
          <w:p>
            <w:pPr>
              <w:pStyle w:val="782"/>
              <w:ind w:left="60" w:right="60"/>
              <w:jc w:val="both"/>
              <w:keepNext/>
              <w:spacing w:line="400" w:lineRule="exact"/>
              <w:rPr>
                <w:rFonts w:hint="eastAsia" w:cs="宋体"/>
                <w:color w:val="auto"/>
                <w:sz w:val="21"/>
                <w:szCs w:val="21"/>
                <w:highlight w:val="none"/>
              </w:rPr>
            </w:pPr>
            <w:r>
              <w:rPr>
                <w:rFonts w:hint="eastAsia" w:cs="宋体"/>
                <w:color w:val="auto"/>
                <w:sz w:val="21"/>
                <w:szCs w:val="21"/>
                <w:highlight w:val="none"/>
              </w:rPr>
            </w:r>
            <w:r/>
          </w:p>
        </w:tc>
        <w:tc>
          <w:tcPr>
            <w:tcW w:w="1984" w:type="dxa"/>
            <w:vAlign w:val="top"/>
            <w:textDirection w:val="lrTb"/>
            <w:noWrap w:val="false"/>
          </w:tcPr>
          <w:p>
            <w:pPr>
              <w:pStyle w:val="782"/>
              <w:ind w:left="60" w:right="60"/>
              <w:jc w:val="both"/>
              <w:keepNext/>
              <w:spacing w:line="400" w:lineRule="exact"/>
              <w:rPr>
                <w:rFonts w:hint="eastAsia" w:cs="宋体"/>
                <w:color w:val="auto"/>
                <w:sz w:val="21"/>
                <w:szCs w:val="21"/>
                <w:highlight w:val="none"/>
              </w:rPr>
            </w:pPr>
            <w:r>
              <w:rPr>
                <w:rFonts w:hint="eastAsia" w:cs="宋体"/>
                <w:color w:val="auto"/>
                <w:sz w:val="21"/>
                <w:szCs w:val="21"/>
                <w:highlight w:val="none"/>
              </w:rPr>
            </w:r>
            <w:r/>
          </w:p>
        </w:tc>
        <w:tc>
          <w:tcPr>
            <w:tcW w:w="4678" w:type="dxa"/>
            <w:vAlign w:val="top"/>
            <w:textDirection w:val="lrTb"/>
            <w:noWrap w:val="false"/>
          </w:tcPr>
          <w:p>
            <w:pPr>
              <w:pStyle w:val="782"/>
              <w:ind w:left="60" w:right="60"/>
              <w:jc w:val="both"/>
              <w:keepNext/>
              <w:spacing w:line="400" w:lineRule="exact"/>
              <w:rPr>
                <w:rFonts w:hint="eastAsia" w:cs="宋体"/>
                <w:color w:val="auto"/>
                <w:sz w:val="21"/>
                <w:szCs w:val="21"/>
                <w:highlight w:val="none"/>
              </w:rPr>
            </w:pPr>
            <w:r>
              <w:rPr>
                <w:rFonts w:hint="eastAsia" w:cs="宋体"/>
                <w:color w:val="auto"/>
                <w:sz w:val="21"/>
                <w:szCs w:val="21"/>
                <w:highlight w:val="none"/>
              </w:rPr>
            </w:r>
            <w:r/>
          </w:p>
        </w:tc>
        <w:tc>
          <w:tcPr>
            <w:tcW w:w="1276" w:type="dxa"/>
            <w:vAlign w:val="top"/>
            <w:textDirection w:val="lrTb"/>
            <w:noWrap w:val="false"/>
          </w:tcPr>
          <w:p>
            <w:pPr>
              <w:pStyle w:val="782"/>
              <w:ind w:left="60" w:right="60"/>
              <w:jc w:val="both"/>
              <w:keepNext/>
              <w:spacing w:line="400" w:lineRule="exact"/>
              <w:rPr>
                <w:rFonts w:hint="eastAsia" w:cs="宋体"/>
                <w:color w:val="auto"/>
                <w:sz w:val="21"/>
                <w:szCs w:val="21"/>
                <w:highlight w:val="none"/>
              </w:rPr>
            </w:pPr>
            <w:r>
              <w:rPr>
                <w:rFonts w:hint="eastAsia" w:cs="宋体"/>
                <w:color w:val="auto"/>
                <w:sz w:val="21"/>
                <w:szCs w:val="21"/>
                <w:highlight w:val="none"/>
              </w:rPr>
            </w:r>
            <w:r/>
          </w:p>
        </w:tc>
      </w:tr>
      <w:tr>
        <w:trPr/>
        <w:tc>
          <w:tcPr>
            <w:tcW w:w="879" w:type="dxa"/>
            <w:vAlign w:val="top"/>
            <w:textDirection w:val="lrTb"/>
            <w:noWrap w:val="false"/>
          </w:tcPr>
          <w:p>
            <w:pPr>
              <w:pStyle w:val="782"/>
              <w:ind w:left="60" w:right="60"/>
              <w:jc w:val="both"/>
              <w:keepNext/>
              <w:spacing w:line="400" w:lineRule="exact"/>
              <w:rPr>
                <w:rFonts w:hint="eastAsia" w:cs="宋体"/>
                <w:color w:val="auto"/>
                <w:sz w:val="21"/>
                <w:szCs w:val="21"/>
                <w:highlight w:val="none"/>
              </w:rPr>
            </w:pPr>
            <w:r>
              <w:rPr>
                <w:rFonts w:hint="eastAsia" w:cs="宋体"/>
                <w:color w:val="auto"/>
                <w:sz w:val="21"/>
                <w:szCs w:val="21"/>
                <w:highlight w:val="none"/>
              </w:rPr>
            </w:r>
            <w:r/>
          </w:p>
        </w:tc>
        <w:tc>
          <w:tcPr>
            <w:tcW w:w="1984" w:type="dxa"/>
            <w:vAlign w:val="top"/>
            <w:textDirection w:val="lrTb"/>
            <w:noWrap w:val="false"/>
          </w:tcPr>
          <w:p>
            <w:pPr>
              <w:pStyle w:val="782"/>
              <w:ind w:left="60" w:right="60"/>
              <w:jc w:val="both"/>
              <w:keepNext/>
              <w:spacing w:line="400" w:lineRule="exact"/>
              <w:rPr>
                <w:rFonts w:hint="eastAsia" w:cs="宋体"/>
                <w:color w:val="auto"/>
                <w:sz w:val="21"/>
                <w:szCs w:val="21"/>
                <w:highlight w:val="none"/>
              </w:rPr>
            </w:pPr>
            <w:r>
              <w:rPr>
                <w:rFonts w:hint="eastAsia" w:cs="宋体"/>
                <w:color w:val="auto"/>
                <w:sz w:val="21"/>
                <w:szCs w:val="21"/>
                <w:highlight w:val="none"/>
              </w:rPr>
            </w:r>
            <w:r/>
          </w:p>
        </w:tc>
        <w:tc>
          <w:tcPr>
            <w:tcW w:w="4678" w:type="dxa"/>
            <w:vAlign w:val="top"/>
            <w:textDirection w:val="lrTb"/>
            <w:noWrap w:val="false"/>
          </w:tcPr>
          <w:p>
            <w:pPr>
              <w:pStyle w:val="782"/>
              <w:ind w:left="60" w:right="60"/>
              <w:jc w:val="both"/>
              <w:keepNext/>
              <w:spacing w:line="400" w:lineRule="exact"/>
              <w:rPr>
                <w:rFonts w:hint="eastAsia" w:cs="宋体"/>
                <w:color w:val="auto"/>
                <w:sz w:val="21"/>
                <w:szCs w:val="21"/>
                <w:highlight w:val="none"/>
              </w:rPr>
            </w:pPr>
            <w:r>
              <w:rPr>
                <w:rFonts w:hint="eastAsia" w:cs="宋体"/>
                <w:color w:val="auto"/>
                <w:sz w:val="21"/>
                <w:szCs w:val="21"/>
                <w:highlight w:val="none"/>
              </w:rPr>
            </w:r>
            <w:r/>
          </w:p>
        </w:tc>
        <w:tc>
          <w:tcPr>
            <w:tcW w:w="1276" w:type="dxa"/>
            <w:vAlign w:val="top"/>
            <w:textDirection w:val="lrTb"/>
            <w:noWrap w:val="false"/>
          </w:tcPr>
          <w:p>
            <w:pPr>
              <w:pStyle w:val="782"/>
              <w:ind w:left="60" w:right="60"/>
              <w:jc w:val="both"/>
              <w:keepNext/>
              <w:spacing w:line="400" w:lineRule="exact"/>
              <w:rPr>
                <w:rFonts w:hint="eastAsia" w:cs="宋体"/>
                <w:color w:val="auto"/>
                <w:sz w:val="21"/>
                <w:szCs w:val="21"/>
                <w:highlight w:val="none"/>
              </w:rPr>
            </w:pPr>
            <w:r>
              <w:rPr>
                <w:rFonts w:hint="eastAsia" w:cs="宋体"/>
                <w:color w:val="auto"/>
                <w:sz w:val="21"/>
                <w:szCs w:val="21"/>
                <w:highlight w:val="none"/>
              </w:rPr>
            </w:r>
            <w:r/>
          </w:p>
        </w:tc>
      </w:tr>
      <w:tr>
        <w:trPr/>
        <w:tc>
          <w:tcPr>
            <w:tcW w:w="879" w:type="dxa"/>
            <w:vAlign w:val="top"/>
            <w:textDirection w:val="lrTb"/>
            <w:noWrap w:val="false"/>
          </w:tcPr>
          <w:p>
            <w:pPr>
              <w:pStyle w:val="782"/>
              <w:ind w:left="60" w:right="60"/>
              <w:jc w:val="both"/>
              <w:keepNext/>
              <w:spacing w:line="400" w:lineRule="exact"/>
              <w:rPr>
                <w:rFonts w:hint="eastAsia" w:cs="宋体"/>
                <w:color w:val="auto"/>
                <w:sz w:val="21"/>
                <w:szCs w:val="21"/>
                <w:highlight w:val="none"/>
              </w:rPr>
            </w:pPr>
            <w:r>
              <w:rPr>
                <w:rFonts w:hint="eastAsia" w:cs="宋体"/>
                <w:color w:val="auto"/>
                <w:sz w:val="21"/>
                <w:szCs w:val="21"/>
                <w:highlight w:val="none"/>
              </w:rPr>
            </w:r>
            <w:r/>
          </w:p>
        </w:tc>
        <w:tc>
          <w:tcPr>
            <w:tcW w:w="1984" w:type="dxa"/>
            <w:vAlign w:val="top"/>
            <w:textDirection w:val="lrTb"/>
            <w:noWrap w:val="false"/>
          </w:tcPr>
          <w:p>
            <w:pPr>
              <w:pStyle w:val="782"/>
              <w:ind w:left="60" w:right="60"/>
              <w:jc w:val="both"/>
              <w:keepNext/>
              <w:spacing w:line="400" w:lineRule="exact"/>
              <w:rPr>
                <w:rFonts w:hint="eastAsia" w:cs="宋体"/>
                <w:color w:val="auto"/>
                <w:sz w:val="21"/>
                <w:szCs w:val="21"/>
                <w:highlight w:val="none"/>
              </w:rPr>
            </w:pPr>
            <w:r>
              <w:rPr>
                <w:rFonts w:hint="eastAsia" w:cs="宋体"/>
                <w:color w:val="auto"/>
                <w:sz w:val="21"/>
                <w:szCs w:val="21"/>
                <w:highlight w:val="none"/>
              </w:rPr>
            </w:r>
            <w:r/>
          </w:p>
        </w:tc>
        <w:tc>
          <w:tcPr>
            <w:tcW w:w="4678" w:type="dxa"/>
            <w:vAlign w:val="top"/>
            <w:textDirection w:val="lrTb"/>
            <w:noWrap w:val="false"/>
          </w:tcPr>
          <w:p>
            <w:pPr>
              <w:pStyle w:val="782"/>
              <w:ind w:left="60" w:right="60"/>
              <w:jc w:val="both"/>
              <w:keepNext/>
              <w:spacing w:line="400" w:lineRule="exact"/>
              <w:rPr>
                <w:rFonts w:hint="eastAsia" w:cs="宋体"/>
                <w:color w:val="auto"/>
                <w:sz w:val="21"/>
                <w:szCs w:val="21"/>
                <w:highlight w:val="none"/>
              </w:rPr>
            </w:pPr>
            <w:r>
              <w:rPr>
                <w:rFonts w:hint="eastAsia" w:cs="宋体"/>
                <w:color w:val="auto"/>
                <w:sz w:val="21"/>
                <w:szCs w:val="21"/>
                <w:highlight w:val="none"/>
              </w:rPr>
            </w:r>
            <w:r/>
          </w:p>
        </w:tc>
        <w:tc>
          <w:tcPr>
            <w:tcW w:w="1276" w:type="dxa"/>
            <w:vAlign w:val="top"/>
            <w:textDirection w:val="lrTb"/>
            <w:noWrap w:val="false"/>
          </w:tcPr>
          <w:p>
            <w:pPr>
              <w:pStyle w:val="782"/>
              <w:ind w:left="60" w:right="60"/>
              <w:jc w:val="both"/>
              <w:keepNext/>
              <w:spacing w:line="400" w:lineRule="exact"/>
              <w:rPr>
                <w:rFonts w:hint="eastAsia" w:cs="宋体"/>
                <w:color w:val="auto"/>
                <w:sz w:val="21"/>
                <w:szCs w:val="21"/>
                <w:highlight w:val="none"/>
              </w:rPr>
            </w:pPr>
            <w:r>
              <w:rPr>
                <w:rFonts w:hint="eastAsia" w:cs="宋体"/>
                <w:color w:val="auto"/>
                <w:sz w:val="21"/>
                <w:szCs w:val="21"/>
                <w:highlight w:val="none"/>
              </w:rPr>
            </w:r>
            <w:r/>
          </w:p>
        </w:tc>
      </w:tr>
      <w:tr>
        <w:trPr/>
        <w:tc>
          <w:tcPr>
            <w:tcW w:w="879" w:type="dxa"/>
            <w:vAlign w:val="top"/>
            <w:textDirection w:val="lrTb"/>
            <w:noWrap w:val="false"/>
          </w:tcPr>
          <w:p>
            <w:pPr>
              <w:pStyle w:val="782"/>
              <w:ind w:left="60" w:right="60"/>
              <w:jc w:val="both"/>
              <w:keepNext/>
              <w:spacing w:line="400" w:lineRule="exact"/>
              <w:rPr>
                <w:rFonts w:hint="eastAsia" w:cs="宋体"/>
                <w:color w:val="auto"/>
                <w:sz w:val="21"/>
                <w:szCs w:val="21"/>
                <w:highlight w:val="none"/>
              </w:rPr>
            </w:pPr>
            <w:r>
              <w:rPr>
                <w:rFonts w:hint="eastAsia" w:cs="宋体"/>
                <w:color w:val="auto"/>
                <w:sz w:val="21"/>
                <w:szCs w:val="21"/>
                <w:highlight w:val="none"/>
              </w:rPr>
            </w:r>
            <w:r/>
          </w:p>
        </w:tc>
        <w:tc>
          <w:tcPr>
            <w:tcW w:w="1984" w:type="dxa"/>
            <w:vAlign w:val="top"/>
            <w:textDirection w:val="lrTb"/>
            <w:noWrap w:val="false"/>
          </w:tcPr>
          <w:p>
            <w:pPr>
              <w:pStyle w:val="782"/>
              <w:ind w:left="60" w:right="60"/>
              <w:jc w:val="both"/>
              <w:keepNext/>
              <w:spacing w:line="400" w:lineRule="exact"/>
              <w:rPr>
                <w:rFonts w:hint="eastAsia" w:cs="宋体"/>
                <w:color w:val="auto"/>
                <w:sz w:val="21"/>
                <w:szCs w:val="21"/>
                <w:highlight w:val="none"/>
              </w:rPr>
            </w:pPr>
            <w:r>
              <w:rPr>
                <w:rFonts w:hint="eastAsia" w:cs="宋体"/>
                <w:color w:val="auto"/>
                <w:sz w:val="21"/>
                <w:szCs w:val="21"/>
                <w:highlight w:val="none"/>
              </w:rPr>
            </w:r>
            <w:r/>
          </w:p>
        </w:tc>
        <w:tc>
          <w:tcPr>
            <w:tcW w:w="4678" w:type="dxa"/>
            <w:vAlign w:val="top"/>
            <w:textDirection w:val="lrTb"/>
            <w:noWrap w:val="false"/>
          </w:tcPr>
          <w:p>
            <w:pPr>
              <w:pStyle w:val="782"/>
              <w:ind w:left="60" w:right="60"/>
              <w:jc w:val="both"/>
              <w:keepNext/>
              <w:spacing w:line="400" w:lineRule="exact"/>
              <w:rPr>
                <w:rFonts w:hint="eastAsia" w:cs="宋体"/>
                <w:color w:val="auto"/>
                <w:sz w:val="21"/>
                <w:szCs w:val="21"/>
                <w:highlight w:val="none"/>
              </w:rPr>
            </w:pPr>
            <w:r>
              <w:rPr>
                <w:rFonts w:hint="eastAsia" w:cs="宋体"/>
                <w:color w:val="auto"/>
                <w:sz w:val="21"/>
                <w:szCs w:val="21"/>
                <w:highlight w:val="none"/>
              </w:rPr>
            </w:r>
            <w:r/>
          </w:p>
        </w:tc>
        <w:tc>
          <w:tcPr>
            <w:tcW w:w="1276" w:type="dxa"/>
            <w:vAlign w:val="top"/>
            <w:textDirection w:val="lrTb"/>
            <w:noWrap w:val="false"/>
          </w:tcPr>
          <w:p>
            <w:pPr>
              <w:pStyle w:val="782"/>
              <w:ind w:left="60" w:right="60"/>
              <w:jc w:val="both"/>
              <w:keepNext/>
              <w:spacing w:line="400" w:lineRule="exact"/>
              <w:rPr>
                <w:rFonts w:hint="eastAsia" w:cs="宋体"/>
                <w:color w:val="auto"/>
                <w:sz w:val="21"/>
                <w:szCs w:val="21"/>
                <w:highlight w:val="none"/>
              </w:rPr>
            </w:pPr>
            <w:r>
              <w:rPr>
                <w:rFonts w:hint="eastAsia" w:cs="宋体"/>
                <w:color w:val="auto"/>
                <w:sz w:val="21"/>
                <w:szCs w:val="21"/>
                <w:highlight w:val="none"/>
              </w:rPr>
            </w:r>
            <w:r/>
          </w:p>
        </w:tc>
      </w:tr>
      <w:tr>
        <w:trPr/>
        <w:tc>
          <w:tcPr>
            <w:gridSpan w:val="4"/>
            <w:tcW w:w="8817" w:type="dxa"/>
            <w:vAlign w:val="top"/>
            <w:textDirection w:val="lrTb"/>
            <w:noWrap w:val="false"/>
          </w:tcPr>
          <w:p>
            <w:pPr>
              <w:pStyle w:val="782"/>
              <w:ind w:left="60" w:right="60"/>
              <w:jc w:val="both"/>
              <w:keepNext/>
              <w:spacing w:line="400" w:lineRule="exact"/>
              <w:rPr>
                <w:rFonts w:hint="eastAsia" w:cs="宋体"/>
                <w:color w:val="auto"/>
                <w:sz w:val="21"/>
                <w:szCs w:val="21"/>
                <w:highlight w:val="none"/>
              </w:rPr>
            </w:pPr>
            <w:r>
              <w:rPr>
                <w:rFonts w:hint="eastAsia" w:cs="宋体"/>
                <w:color w:val="auto"/>
                <w:sz w:val="21"/>
                <w:szCs w:val="21"/>
                <w:highlight w:val="none"/>
              </w:rPr>
              <w:t xml:space="preserve">小计：</w:t>
            </w:r>
            <w:r/>
          </w:p>
        </w:tc>
      </w:tr>
    </w:tbl>
    <w:p>
      <w:pPr>
        <w:jc w:val="both"/>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r>
      <w:r/>
    </w:p>
    <w:p>
      <w:pPr>
        <w:pStyle w:val="834"/>
        <w:ind w:firstLine="0"/>
        <w:jc w:val="both"/>
        <w:rPr>
          <w:rFonts w:hint="eastAsia" w:cs="宋体"/>
          <w:b/>
          <w:color w:val="auto"/>
          <w:sz w:val="21"/>
          <w:szCs w:val="21"/>
          <w:highlight w:val="none"/>
          <w:lang w:eastAsia="zh-CN"/>
        </w:rPr>
      </w:pPr>
      <w:r>
        <w:rPr>
          <w:rFonts w:hint="eastAsia" w:cs="宋体"/>
          <w:b/>
          <w:color w:val="auto"/>
          <w:sz w:val="21"/>
          <w:szCs w:val="21"/>
          <w:highlight w:val="none"/>
          <w:lang w:eastAsia="zh-CN"/>
        </w:rPr>
        <w:br w:type="page" w:clear="all"/>
      </w:r>
      <w:r>
        <w:rPr>
          <w:rFonts w:hint="eastAsia" w:cs="宋体"/>
          <w:b/>
          <w:color w:val="auto"/>
          <w:sz w:val="21"/>
          <w:szCs w:val="21"/>
          <w:highlight w:val="none"/>
          <w:lang w:eastAsia="zh-CN"/>
        </w:rPr>
        <w:t xml:space="preserve">附件12：</w:t>
      </w:r>
      <w:r/>
    </w:p>
    <w:p>
      <w:pPr>
        <w:pStyle w:val="834"/>
        <w:ind w:firstLine="0"/>
        <w:jc w:val="center"/>
        <w:rPr>
          <w:rFonts w:hint="eastAsia" w:cs="宋体"/>
          <w:b/>
          <w:color w:val="auto"/>
          <w:sz w:val="21"/>
          <w:szCs w:val="21"/>
          <w:highlight w:val="none"/>
          <w:lang w:eastAsia="zh-CN"/>
        </w:rPr>
      </w:pPr>
      <w:r>
        <w:rPr>
          <w:rFonts w:hint="eastAsia" w:cs="宋体"/>
          <w:b/>
          <w:color w:val="auto"/>
          <w:sz w:val="21"/>
          <w:szCs w:val="21"/>
          <w:highlight w:val="none"/>
          <w:lang w:eastAsia="zh-CN"/>
        </w:rPr>
        <w:t xml:space="preserve">廉 洁 协 议    </w:t>
      </w:r>
      <w:r/>
    </w:p>
    <w:p>
      <w:pPr>
        <w:pStyle w:val="834"/>
        <w:ind w:firstLine="420"/>
        <w:jc w:val="both"/>
        <w:rPr>
          <w:rFonts w:hint="eastAsia" w:cs="宋体"/>
          <w:color w:val="auto"/>
          <w:sz w:val="21"/>
          <w:szCs w:val="21"/>
          <w:highlight w:val="none"/>
          <w:lang w:eastAsia="zh-CN"/>
        </w:rPr>
      </w:pPr>
      <w:r>
        <w:rPr>
          <w:rFonts w:hint="eastAsia" w:cs="宋体"/>
          <w:color w:val="auto"/>
          <w:sz w:val="21"/>
          <w:szCs w:val="21"/>
          <w:highlight w:val="none"/>
          <w:lang w:eastAsia="zh-CN"/>
        </w:rPr>
      </w:r>
      <w:r/>
    </w:p>
    <w:p>
      <w:pPr>
        <w:pStyle w:val="834"/>
        <w:ind w:firstLine="420"/>
        <w:jc w:val="both"/>
        <w:rPr>
          <w:rFonts w:hint="eastAsia" w:cs="宋体"/>
          <w:color w:val="auto"/>
          <w:sz w:val="21"/>
          <w:szCs w:val="21"/>
          <w:highlight w:val="none"/>
          <w:lang w:eastAsia="zh-CN"/>
        </w:rPr>
      </w:pPr>
      <w:r>
        <w:rPr>
          <w:rFonts w:hint="eastAsia" w:cs="宋体"/>
          <w:color w:val="auto"/>
          <w:sz w:val="21"/>
          <w:szCs w:val="21"/>
          <w:highlight w:val="none"/>
          <w:lang w:eastAsia="zh-CN"/>
        </w:rPr>
        <w:t xml:space="preserve">发包人（甲方）：</w:t>
      </w:r>
      <w:r>
        <w:rPr>
          <w:rFonts w:hint="eastAsia" w:cs="宋体"/>
          <w:bCs/>
          <w:color w:val="auto"/>
          <w:sz w:val="21"/>
          <w:szCs w:val="21"/>
          <w:highlight w:val="none"/>
          <w:u w:val="single"/>
          <w:lang w:eastAsia="zh-CN"/>
        </w:rPr>
        <w:t xml:space="preserve">                            </w:t>
      </w:r>
      <w:r>
        <w:rPr>
          <w:rFonts w:hint="eastAsia" w:cs="宋体"/>
          <w:color w:val="auto"/>
          <w:sz w:val="21"/>
          <w:szCs w:val="21"/>
          <w:highlight w:val="none"/>
          <w:lang w:eastAsia="zh-CN"/>
        </w:rPr>
        <w:t xml:space="preserve"> （以下简称发包人）</w:t>
      </w:r>
      <w:r/>
    </w:p>
    <w:p>
      <w:pPr>
        <w:pStyle w:val="834"/>
        <w:ind w:firstLine="420"/>
        <w:rPr>
          <w:rFonts w:hint="eastAsia" w:cs="宋体"/>
          <w:color w:val="auto"/>
          <w:sz w:val="21"/>
          <w:szCs w:val="21"/>
          <w:highlight w:val="none"/>
          <w:lang w:eastAsia="zh-CN"/>
        </w:rPr>
      </w:pPr>
      <w:r>
        <w:rPr>
          <w:rFonts w:hint="eastAsia" w:cs="宋体"/>
          <w:color w:val="auto"/>
          <w:sz w:val="21"/>
          <w:szCs w:val="21"/>
          <w:highlight w:val="none"/>
          <w:lang w:eastAsia="zh-CN"/>
        </w:rPr>
        <w:t xml:space="preserve">承包人（乙方）：</w:t>
      </w:r>
      <w:r>
        <w:rPr>
          <w:rFonts w:hint="eastAsia" w:cs="宋体"/>
          <w:bCs/>
          <w:color w:val="auto"/>
          <w:sz w:val="21"/>
          <w:szCs w:val="21"/>
          <w:highlight w:val="none"/>
          <w:u w:val="single"/>
          <w:lang w:eastAsia="zh-CN"/>
        </w:rPr>
        <w:t xml:space="preserve">                            </w:t>
      </w:r>
      <w:r>
        <w:rPr>
          <w:rFonts w:hint="eastAsia" w:cs="宋体"/>
          <w:color w:val="auto"/>
          <w:sz w:val="21"/>
          <w:szCs w:val="21"/>
          <w:highlight w:val="none"/>
          <w:lang w:eastAsia="zh-CN"/>
        </w:rPr>
        <w:t xml:space="preserve"> （以下简称承包人）</w:t>
      </w:r>
      <w:r/>
    </w:p>
    <w:p>
      <w:pPr>
        <w:pStyle w:val="834"/>
        <w:ind w:firstLine="420"/>
        <w:rPr>
          <w:rFonts w:hint="eastAsia" w:cs="宋体"/>
          <w:color w:val="auto"/>
          <w:sz w:val="21"/>
          <w:szCs w:val="21"/>
          <w:highlight w:val="none"/>
          <w:lang w:eastAsia="zh-CN"/>
        </w:rPr>
      </w:pPr>
      <w:r>
        <w:rPr>
          <w:rFonts w:hint="eastAsia" w:cs="宋体"/>
          <w:color w:val="auto"/>
          <w:sz w:val="21"/>
          <w:szCs w:val="21"/>
          <w:highlight w:val="none"/>
          <w:lang w:eastAsia="zh-CN"/>
        </w:rPr>
      </w:r>
      <w:r/>
    </w:p>
    <w:p>
      <w:pPr>
        <w:pStyle w:val="834"/>
        <w:ind w:firstLine="420"/>
        <w:rPr>
          <w:rFonts w:hint="eastAsia" w:cs="宋体"/>
          <w:color w:val="auto"/>
          <w:sz w:val="21"/>
          <w:szCs w:val="21"/>
          <w:highlight w:val="none"/>
          <w:lang w:eastAsia="zh-CN"/>
        </w:rPr>
      </w:pPr>
      <w:r>
        <w:rPr>
          <w:rFonts w:hint="eastAsia" w:cs="宋体"/>
          <w:color w:val="auto"/>
          <w:sz w:val="21"/>
          <w:szCs w:val="21"/>
          <w:highlight w:val="none"/>
          <w:lang w:eastAsia="zh-CN"/>
        </w:rPr>
        <w:t xml:space="preserve">为了在</w:t>
      </w:r>
      <w:r>
        <w:rPr>
          <w:rFonts w:hint="eastAsia" w:cs="宋体"/>
          <w:color w:val="auto"/>
          <w:sz w:val="21"/>
          <w:szCs w:val="21"/>
          <w:highlight w:val="none"/>
          <w:u w:val="single"/>
          <w:lang w:val="zh-TW" w:eastAsia="zh-CN"/>
        </w:rPr>
        <w:t xml:space="preserve">                                     </w:t>
      </w:r>
      <w:r>
        <w:rPr>
          <w:rFonts w:hint="eastAsia" w:cs="宋体"/>
          <w:color w:val="auto"/>
          <w:sz w:val="21"/>
          <w:szCs w:val="21"/>
          <w:highlight w:val="none"/>
          <w:lang w:eastAsia="zh-CN"/>
        </w:rPr>
        <w:t xml:space="preserve">建设中保持廉洁自律的工作作风，防止各种不正当行为的发生，根据廉政建设的各项规定，结合工程项目的特点，特定立本协议如下：</w:t>
      </w:r>
      <w:r/>
    </w:p>
    <w:p>
      <w:pPr>
        <w:pStyle w:val="834"/>
        <w:ind w:firstLine="420"/>
        <w:rPr>
          <w:rFonts w:hint="eastAsia" w:cs="宋体"/>
          <w:color w:val="auto"/>
          <w:sz w:val="21"/>
          <w:szCs w:val="21"/>
          <w:highlight w:val="none"/>
          <w:lang w:eastAsia="zh-CN"/>
        </w:rPr>
      </w:pPr>
      <w:r>
        <w:rPr>
          <w:rFonts w:hint="eastAsia" w:cs="宋体"/>
          <w:color w:val="auto"/>
          <w:sz w:val="21"/>
          <w:szCs w:val="21"/>
          <w:highlight w:val="none"/>
          <w:lang w:eastAsia="zh-CN"/>
        </w:rPr>
        <w:t xml:space="preserve">一、甲乙双方应当自觉遵守国家和所在地区关于工程承发包工作规则和廉政建设的各项规定。</w:t>
      </w:r>
      <w:r/>
    </w:p>
    <w:p>
      <w:pPr>
        <w:pStyle w:val="834"/>
        <w:ind w:firstLine="420"/>
        <w:rPr>
          <w:rFonts w:hint="eastAsia" w:cs="宋体"/>
          <w:color w:val="auto"/>
          <w:sz w:val="21"/>
          <w:szCs w:val="21"/>
          <w:highlight w:val="none"/>
          <w:lang w:eastAsia="zh-CN"/>
        </w:rPr>
      </w:pPr>
      <w:r>
        <w:rPr>
          <w:rFonts w:hint="eastAsia" w:cs="宋体"/>
          <w:color w:val="auto"/>
          <w:sz w:val="21"/>
          <w:szCs w:val="21"/>
          <w:highlight w:val="none"/>
          <w:lang w:eastAsia="zh-CN"/>
        </w:rPr>
        <w:t xml:space="preserve">二、发包人及其工作人员不得以任何形式向承包人索要和收受回扣等好处费。</w:t>
      </w:r>
      <w:r/>
    </w:p>
    <w:p>
      <w:pPr>
        <w:pStyle w:val="834"/>
        <w:ind w:firstLine="420"/>
        <w:rPr>
          <w:rFonts w:hint="eastAsia" w:cs="宋体"/>
          <w:color w:val="auto"/>
          <w:sz w:val="21"/>
          <w:szCs w:val="21"/>
          <w:highlight w:val="none"/>
          <w:lang w:eastAsia="zh-CN"/>
        </w:rPr>
      </w:pPr>
      <w:r>
        <w:rPr>
          <w:rFonts w:hint="eastAsia" w:cs="宋体"/>
          <w:color w:val="auto"/>
          <w:sz w:val="21"/>
          <w:szCs w:val="21"/>
          <w:highlight w:val="none"/>
          <w:lang w:eastAsia="zh-CN"/>
        </w:rPr>
        <w:t xml:space="preserve">三、发包人工作人员应当保持与承包人的正常业务交往，不得接受承包人的礼金、有价证券和贵重物品，不得在承包人报销任何应由个人支付的费用。</w:t>
      </w:r>
      <w:r/>
    </w:p>
    <w:p>
      <w:pPr>
        <w:pStyle w:val="834"/>
        <w:ind w:firstLine="420"/>
        <w:rPr>
          <w:rFonts w:hint="eastAsia" w:cs="宋体"/>
          <w:color w:val="auto"/>
          <w:sz w:val="21"/>
          <w:szCs w:val="21"/>
          <w:highlight w:val="none"/>
          <w:lang w:eastAsia="zh-CN"/>
        </w:rPr>
      </w:pPr>
      <w:r>
        <w:rPr>
          <w:rFonts w:hint="eastAsia" w:cs="宋体"/>
          <w:color w:val="auto"/>
          <w:sz w:val="21"/>
          <w:szCs w:val="21"/>
          <w:highlight w:val="none"/>
          <w:lang w:eastAsia="zh-CN"/>
        </w:rPr>
        <w:t xml:space="preserve">四、发包人工作人员不得参加可能对公正执行公务有影响的宴请和娱乐活动。</w:t>
      </w:r>
      <w:r/>
    </w:p>
    <w:p>
      <w:pPr>
        <w:pStyle w:val="834"/>
        <w:ind w:firstLine="420"/>
        <w:rPr>
          <w:rFonts w:hint="eastAsia" w:cs="宋体"/>
          <w:color w:val="auto"/>
          <w:sz w:val="21"/>
          <w:szCs w:val="21"/>
          <w:highlight w:val="none"/>
          <w:lang w:eastAsia="zh-CN"/>
        </w:rPr>
      </w:pPr>
      <w:r>
        <w:rPr>
          <w:rFonts w:hint="eastAsia" w:cs="宋体"/>
          <w:color w:val="auto"/>
          <w:sz w:val="21"/>
          <w:szCs w:val="21"/>
          <w:highlight w:val="none"/>
          <w:lang w:eastAsia="zh-CN"/>
        </w:rPr>
        <w:t xml:space="preserve">五、发包人工作人员不得要求或者接受承包人为其住房装修、婚丧嫁娶、家属和子女的工作安排以及出国提供方便。</w:t>
      </w:r>
      <w:r/>
    </w:p>
    <w:p>
      <w:pPr>
        <w:pStyle w:val="834"/>
        <w:ind w:firstLine="420"/>
        <w:rPr>
          <w:rFonts w:hint="eastAsia" w:cs="宋体"/>
          <w:color w:val="auto"/>
          <w:sz w:val="21"/>
          <w:szCs w:val="21"/>
          <w:highlight w:val="none"/>
          <w:lang w:eastAsia="zh-CN"/>
        </w:rPr>
      </w:pPr>
      <w:r>
        <w:rPr>
          <w:rFonts w:hint="eastAsia" w:cs="宋体"/>
          <w:color w:val="auto"/>
          <w:sz w:val="21"/>
          <w:szCs w:val="21"/>
          <w:highlight w:val="none"/>
          <w:lang w:eastAsia="zh-CN"/>
        </w:rPr>
        <w:t xml:space="preserve">六、发包人工作人员不得向承包人介绍家属或者亲友从事与发包人工程有关的材料设备供应、工程分包等经济活动。</w:t>
      </w:r>
      <w:r/>
    </w:p>
    <w:p>
      <w:pPr>
        <w:pStyle w:val="834"/>
        <w:ind w:firstLine="420"/>
        <w:rPr>
          <w:rFonts w:hint="eastAsia" w:cs="宋体"/>
          <w:color w:val="auto"/>
          <w:sz w:val="21"/>
          <w:szCs w:val="21"/>
          <w:highlight w:val="none"/>
          <w:lang w:eastAsia="zh-CN"/>
        </w:rPr>
      </w:pPr>
      <w:r>
        <w:rPr>
          <w:rFonts w:hint="eastAsia" w:cs="宋体"/>
          <w:color w:val="auto"/>
          <w:sz w:val="21"/>
          <w:szCs w:val="21"/>
          <w:highlight w:val="none"/>
          <w:lang w:eastAsia="zh-CN"/>
        </w:rPr>
        <w:t xml:space="preserve">七、发包人不得在政策保障、社会扶持、救灾救济款物分配等事项目对承包人及其特定关系人进行倾斜优待。</w:t>
      </w:r>
      <w:r/>
    </w:p>
    <w:p>
      <w:pPr>
        <w:pStyle w:val="834"/>
        <w:ind w:firstLine="420"/>
        <w:rPr>
          <w:rFonts w:hint="eastAsia" w:cs="宋体"/>
          <w:color w:val="auto"/>
          <w:sz w:val="21"/>
          <w:szCs w:val="21"/>
          <w:highlight w:val="none"/>
          <w:lang w:eastAsia="zh-CN"/>
        </w:rPr>
      </w:pPr>
      <w:r>
        <w:rPr>
          <w:rFonts w:hint="eastAsia" w:cs="宋体"/>
          <w:color w:val="auto"/>
          <w:sz w:val="21"/>
          <w:szCs w:val="21"/>
          <w:highlight w:val="none"/>
          <w:lang w:eastAsia="zh-CN"/>
        </w:rPr>
        <w:t xml:space="preserve">八、承包人应当通过正常途径开展相对业务工作，不得为获取某些不正当利益而向发包人工作人员赠送礼金、有价证券和贵重物品等。</w:t>
      </w:r>
      <w:r/>
    </w:p>
    <w:p>
      <w:pPr>
        <w:pStyle w:val="834"/>
        <w:ind w:firstLine="420"/>
        <w:rPr>
          <w:rFonts w:hint="eastAsia" w:cs="宋体"/>
          <w:color w:val="auto"/>
          <w:sz w:val="21"/>
          <w:szCs w:val="21"/>
          <w:highlight w:val="none"/>
          <w:lang w:eastAsia="zh-CN"/>
        </w:rPr>
      </w:pPr>
      <w:r>
        <w:rPr>
          <w:rFonts w:hint="eastAsia" w:cs="宋体"/>
          <w:color w:val="auto"/>
          <w:sz w:val="21"/>
          <w:szCs w:val="21"/>
          <w:highlight w:val="none"/>
          <w:lang w:eastAsia="zh-CN"/>
        </w:rPr>
        <w:t xml:space="preserve">九、承包人不得为谋取私利擅自与发包人工作人员就工程承包、工程费用、材料设备供应、工程量变动、工程验收、工程质量问题等进行私下商谈或者达成默契。</w:t>
      </w:r>
      <w:r/>
    </w:p>
    <w:p>
      <w:pPr>
        <w:pStyle w:val="834"/>
        <w:ind w:firstLine="420"/>
        <w:rPr>
          <w:rFonts w:hint="eastAsia" w:cs="宋体"/>
          <w:color w:val="auto"/>
          <w:sz w:val="21"/>
          <w:szCs w:val="21"/>
          <w:highlight w:val="none"/>
          <w:lang w:eastAsia="zh-CN"/>
        </w:rPr>
      </w:pPr>
      <w:r>
        <w:rPr>
          <w:rFonts w:hint="eastAsia" w:cs="宋体"/>
          <w:color w:val="auto"/>
          <w:sz w:val="21"/>
          <w:szCs w:val="21"/>
          <w:highlight w:val="none"/>
          <w:lang w:eastAsia="zh-CN"/>
        </w:rPr>
        <w:t xml:space="preserve">十、承包人不得以洽谈业务、签订经济合同为借口，邀请发包人工作人员外出旅游和进入营业性高档娱乐场所。</w:t>
      </w:r>
      <w:r/>
    </w:p>
    <w:p>
      <w:pPr>
        <w:pStyle w:val="834"/>
        <w:ind w:firstLine="420"/>
        <w:rPr>
          <w:rFonts w:hint="eastAsia" w:cs="宋体"/>
          <w:color w:val="auto"/>
          <w:sz w:val="21"/>
          <w:szCs w:val="21"/>
          <w:highlight w:val="none"/>
          <w:lang w:eastAsia="zh-CN"/>
        </w:rPr>
      </w:pPr>
      <w:r>
        <w:rPr>
          <w:rFonts w:hint="eastAsia" w:cs="宋体"/>
          <w:color w:val="auto"/>
          <w:sz w:val="21"/>
          <w:szCs w:val="21"/>
          <w:highlight w:val="none"/>
          <w:lang w:eastAsia="zh-CN"/>
        </w:rPr>
        <w:t xml:space="preserve">十一、承包人不得为发包人单位和个人购置或者提供通讯工具、交通工具、家电、高档办公用品等物品。</w:t>
      </w:r>
      <w:r/>
    </w:p>
    <w:p>
      <w:pPr>
        <w:pStyle w:val="834"/>
        <w:ind w:firstLine="420"/>
        <w:rPr>
          <w:rFonts w:hint="eastAsia" w:cs="宋体"/>
          <w:color w:val="auto"/>
          <w:sz w:val="21"/>
          <w:szCs w:val="21"/>
          <w:highlight w:val="none"/>
          <w:lang w:eastAsia="zh-CN"/>
        </w:rPr>
      </w:pPr>
      <w:r>
        <w:rPr>
          <w:rFonts w:hint="eastAsia" w:cs="宋体"/>
          <w:color w:val="auto"/>
          <w:sz w:val="21"/>
          <w:szCs w:val="21"/>
          <w:highlight w:val="none"/>
          <w:lang w:eastAsia="zh-CN"/>
        </w:rPr>
        <w:t xml:space="preserve">十二、承包人不得向发包人家属或者亲友、身边工作人员和其他特定关系人提供可能对公正执行公务有影响的业务往来、严重偏离市场价的大额商品交易等特定利益输送行为。</w:t>
      </w:r>
      <w:r/>
    </w:p>
    <w:p>
      <w:pPr>
        <w:pStyle w:val="834"/>
        <w:ind w:firstLine="420"/>
        <w:rPr>
          <w:rFonts w:hint="eastAsia" w:cs="宋体"/>
          <w:color w:val="auto"/>
          <w:sz w:val="21"/>
          <w:szCs w:val="21"/>
          <w:highlight w:val="none"/>
          <w:lang w:eastAsia="zh-CN"/>
        </w:rPr>
      </w:pPr>
      <w:r>
        <w:rPr>
          <w:rFonts w:hint="eastAsia" w:cs="宋体"/>
          <w:color w:val="auto"/>
          <w:sz w:val="21"/>
          <w:szCs w:val="21"/>
          <w:highlight w:val="none"/>
          <w:lang w:eastAsia="zh-CN"/>
        </w:rPr>
        <w:t xml:space="preserve">十三、承包人如发现发包人工作人员有违反上述协议者，应向发包人领导或者发包人上级单位举报。发包人不得找任何借口对承包人进行报复。发包人对举报属实和严格遵守廉洁协议的一方，在同等条件下给与承接后续工程的优先邀请投标权。</w:t>
      </w:r>
      <w:r/>
    </w:p>
    <w:p>
      <w:pPr>
        <w:pStyle w:val="834"/>
        <w:ind w:firstLine="420"/>
        <w:rPr>
          <w:rFonts w:hint="eastAsia" w:cs="宋体"/>
          <w:color w:val="auto"/>
          <w:sz w:val="21"/>
          <w:szCs w:val="21"/>
          <w:highlight w:val="none"/>
          <w:lang w:eastAsia="zh-CN"/>
        </w:rPr>
      </w:pPr>
      <w:r>
        <w:rPr>
          <w:rFonts w:hint="eastAsia" w:cs="宋体"/>
          <w:color w:val="auto"/>
          <w:sz w:val="21"/>
          <w:szCs w:val="21"/>
          <w:highlight w:val="none"/>
          <w:lang w:eastAsia="zh-CN"/>
        </w:rPr>
        <w:t xml:space="preserve">十四、发包人发现承包人有违反本协议或者采取不正当的手段行贿发包人工作人员，发包人根据具体情节和造成的后果追究承包人工程合同造价 1－5％的违约金。由此给发包人单位造成的损失均有承包人承担，承包人用不正当手段获取的非法所得由发包人单位予以追缴。承包人违约行为将记录在案，情节严重的将记入黑名单并通报政府采购、招投标主管单位及建设工程交易平台。</w:t>
      </w:r>
      <w:r/>
    </w:p>
    <w:p>
      <w:pPr>
        <w:pStyle w:val="834"/>
        <w:ind w:firstLine="420"/>
        <w:rPr>
          <w:rFonts w:hint="eastAsia" w:cs="宋体"/>
          <w:color w:val="auto"/>
          <w:sz w:val="21"/>
          <w:szCs w:val="21"/>
          <w:highlight w:val="none"/>
          <w:lang w:eastAsia="zh-CN"/>
        </w:rPr>
      </w:pPr>
      <w:r>
        <w:rPr>
          <w:rFonts w:hint="eastAsia" w:cs="宋体"/>
          <w:color w:val="auto"/>
          <w:sz w:val="21"/>
          <w:szCs w:val="21"/>
          <w:highlight w:val="none"/>
          <w:lang w:eastAsia="zh-CN"/>
        </w:rPr>
        <w:t xml:space="preserve">十五、本廉洁协议作为 主合同 的附件，与主合同具有同等法律效力。经协议双方签署后立即生效。</w:t>
      </w:r>
      <w:r/>
    </w:p>
    <w:p>
      <w:pPr>
        <w:pStyle w:val="834"/>
        <w:ind w:firstLine="420"/>
        <w:rPr>
          <w:rFonts w:hint="eastAsia" w:cs="宋体"/>
          <w:color w:val="auto"/>
          <w:sz w:val="21"/>
          <w:szCs w:val="21"/>
          <w:highlight w:val="none"/>
          <w:lang w:eastAsia="zh-CN"/>
        </w:rPr>
      </w:pPr>
      <w:r>
        <w:rPr>
          <w:rFonts w:hint="eastAsia" w:cs="宋体"/>
          <w:color w:val="auto"/>
          <w:sz w:val="21"/>
          <w:szCs w:val="21"/>
          <w:highlight w:val="none"/>
          <w:lang w:eastAsia="zh-CN"/>
        </w:rPr>
        <w:t xml:space="preserve">十六、本协议一式 陆 份，发包人执 肆 份，承包人执 贰 份。</w:t>
      </w:r>
      <w:r/>
    </w:p>
    <w:p>
      <w:pPr>
        <w:pStyle w:val="834"/>
        <w:ind w:firstLine="420"/>
        <w:rPr>
          <w:rFonts w:hint="eastAsia" w:cs="宋体"/>
          <w:color w:val="auto"/>
          <w:sz w:val="21"/>
          <w:szCs w:val="21"/>
          <w:highlight w:val="none"/>
          <w:lang w:eastAsia="zh-CN"/>
        </w:rPr>
      </w:pPr>
      <w:r>
        <w:rPr>
          <w:rFonts w:hint="eastAsia" w:cs="宋体"/>
          <w:color w:val="auto"/>
          <w:sz w:val="21"/>
          <w:szCs w:val="21"/>
          <w:highlight w:val="none"/>
          <w:lang w:eastAsia="zh-CN"/>
        </w:rPr>
      </w:r>
      <w:r/>
    </w:p>
    <w:p>
      <w:pPr>
        <w:pStyle w:val="834"/>
        <w:ind w:firstLine="420"/>
        <w:rPr>
          <w:rFonts w:hint="eastAsia" w:cs="宋体"/>
          <w:color w:val="auto"/>
          <w:sz w:val="21"/>
          <w:szCs w:val="21"/>
          <w:highlight w:val="none"/>
          <w:lang w:eastAsia="zh-CN"/>
        </w:rPr>
      </w:pPr>
      <w:r>
        <w:rPr>
          <w:rFonts w:hint="eastAsia" w:cs="宋体"/>
          <w:color w:val="auto"/>
          <w:sz w:val="21"/>
          <w:szCs w:val="21"/>
          <w:highlight w:val="none"/>
          <w:lang w:eastAsia="zh-CN"/>
        </w:rPr>
        <w:t xml:space="preserve">发包人：（盖章）                      承包人：（盖章）</w:t>
      </w:r>
      <w:r/>
    </w:p>
    <w:p>
      <w:pPr>
        <w:pStyle w:val="834"/>
        <w:ind w:firstLine="420"/>
        <w:rPr>
          <w:rFonts w:hint="eastAsia" w:cs="宋体"/>
          <w:color w:val="auto"/>
          <w:sz w:val="21"/>
          <w:szCs w:val="21"/>
          <w:highlight w:val="none"/>
          <w:lang w:eastAsia="zh-CN"/>
        </w:rPr>
      </w:pPr>
      <w:r>
        <w:rPr>
          <w:rFonts w:hint="eastAsia" w:cs="宋体"/>
          <w:color w:val="auto"/>
          <w:sz w:val="21"/>
          <w:szCs w:val="21"/>
          <w:highlight w:val="none"/>
          <w:lang w:eastAsia="zh-CN"/>
        </w:rPr>
        <w:t xml:space="preserve">法定代表人                            法定代表人</w:t>
      </w:r>
      <w:r/>
    </w:p>
    <w:p>
      <w:pPr>
        <w:pStyle w:val="834"/>
        <w:ind w:firstLine="420"/>
        <w:rPr>
          <w:rFonts w:hint="eastAsia" w:cs="宋体"/>
          <w:color w:val="auto"/>
          <w:sz w:val="21"/>
          <w:szCs w:val="21"/>
          <w:highlight w:val="none"/>
          <w:lang w:eastAsia="zh-CN"/>
        </w:rPr>
      </w:pPr>
      <w:r>
        <w:rPr>
          <w:rFonts w:hint="eastAsia" w:cs="宋体"/>
          <w:color w:val="auto"/>
          <w:sz w:val="21"/>
          <w:szCs w:val="21"/>
          <w:highlight w:val="none"/>
          <w:lang w:eastAsia="zh-CN"/>
        </w:rPr>
        <w:t xml:space="preserve">或委托代理人：                        或委托代理人：</w:t>
      </w:r>
      <w:r/>
    </w:p>
    <w:p>
      <w:pPr>
        <w:pStyle w:val="834"/>
        <w:ind w:firstLine="420"/>
        <w:rPr>
          <w:rFonts w:hint="eastAsia" w:cs="宋体"/>
          <w:color w:val="auto"/>
          <w:sz w:val="21"/>
          <w:szCs w:val="21"/>
          <w:highlight w:val="none"/>
          <w:lang w:eastAsia="zh-CN"/>
        </w:rPr>
      </w:pPr>
      <w:r>
        <w:rPr>
          <w:rFonts w:hint="eastAsia" w:cs="宋体"/>
          <w:color w:val="auto"/>
          <w:sz w:val="21"/>
          <w:szCs w:val="21"/>
          <w:highlight w:val="none"/>
          <w:lang w:eastAsia="zh-CN"/>
        </w:rPr>
        <w:t xml:space="preserve">通讯地址：                            通讯地址：</w:t>
      </w:r>
      <w:r/>
    </w:p>
    <w:p>
      <w:pPr>
        <w:pStyle w:val="834"/>
        <w:ind w:firstLine="420"/>
        <w:rPr>
          <w:rFonts w:hint="eastAsia" w:cs="宋体"/>
          <w:color w:val="auto"/>
          <w:sz w:val="21"/>
          <w:szCs w:val="21"/>
          <w:highlight w:val="none"/>
          <w:lang w:eastAsia="zh-CN"/>
        </w:rPr>
      </w:pPr>
      <w:r>
        <w:rPr>
          <w:rFonts w:hint="eastAsia" w:cs="宋体"/>
          <w:color w:val="auto"/>
          <w:sz w:val="21"/>
          <w:szCs w:val="21"/>
          <w:highlight w:val="none"/>
          <w:lang w:eastAsia="zh-CN"/>
        </w:rPr>
        <w:t xml:space="preserve">联系电话：                            联系电话：</w:t>
      </w:r>
      <w:r/>
    </w:p>
    <w:p>
      <w:pPr>
        <w:pStyle w:val="834"/>
        <w:ind w:firstLine="420"/>
        <w:rPr>
          <w:rFonts w:hint="eastAsia" w:cs="宋体"/>
          <w:color w:val="auto"/>
          <w:sz w:val="21"/>
          <w:szCs w:val="21"/>
          <w:highlight w:val="none"/>
          <w:lang w:eastAsia="zh-CN"/>
        </w:rPr>
      </w:pPr>
      <w:r>
        <w:rPr>
          <w:rFonts w:hint="eastAsia" w:cs="宋体"/>
          <w:color w:val="auto"/>
          <w:sz w:val="21"/>
          <w:szCs w:val="21"/>
          <w:highlight w:val="none"/>
          <w:lang w:eastAsia="zh-CN"/>
        </w:rPr>
      </w:r>
      <w:r/>
    </w:p>
    <w:p>
      <w:pPr>
        <w:pStyle w:val="834"/>
        <w:ind w:firstLine="420"/>
        <w:rPr>
          <w:rFonts w:hint="eastAsia" w:cs="宋体"/>
          <w:color w:val="auto"/>
          <w:sz w:val="21"/>
          <w:szCs w:val="21"/>
          <w:highlight w:val="none"/>
          <w:lang w:eastAsia="zh-CN"/>
        </w:rPr>
      </w:pPr>
      <w:r>
        <w:rPr>
          <w:rFonts w:hint="eastAsia" w:cs="宋体"/>
          <w:color w:val="auto"/>
          <w:sz w:val="21"/>
          <w:szCs w:val="21"/>
          <w:highlight w:val="none"/>
          <w:lang w:eastAsia="zh-CN"/>
        </w:rPr>
      </w:r>
      <w:r/>
    </w:p>
    <w:p>
      <w:pPr>
        <w:pStyle w:val="834"/>
        <w:ind w:firstLine="420"/>
        <w:rPr>
          <w:rFonts w:hint="eastAsia" w:cs="宋体"/>
          <w:color w:val="auto"/>
          <w:sz w:val="21"/>
          <w:szCs w:val="21"/>
          <w:highlight w:val="none"/>
          <w:lang w:eastAsia="zh-CN"/>
        </w:rPr>
      </w:pPr>
      <w:r>
        <w:rPr>
          <w:rFonts w:hint="eastAsia" w:cs="宋体"/>
          <w:color w:val="auto"/>
          <w:sz w:val="21"/>
          <w:szCs w:val="21"/>
          <w:highlight w:val="none"/>
          <w:lang w:eastAsia="zh-CN"/>
        </w:rPr>
        <w:t xml:space="preserve">签约日期：2026年  月   日</w:t>
      </w:r>
      <w:r/>
    </w:p>
    <w:p>
      <w:pPr>
        <w:spacing w:line="360" w:lineRule="auto"/>
        <w:rPr>
          <w:rFonts w:hint="eastAsia" w:ascii="宋体" w:hAnsi="宋体" w:eastAsia="宋体" w:cs="宋体"/>
          <w:b/>
          <w:color w:val="auto"/>
          <w:sz w:val="21"/>
          <w:szCs w:val="21"/>
          <w:highlight w:val="none"/>
          <w:lang w:eastAsia="zh-CN"/>
        </w:rPr>
      </w:pPr>
      <w:r>
        <w:rPr>
          <w:rFonts w:hint="eastAsia" w:ascii="宋体" w:hAnsi="宋体" w:eastAsia="宋体" w:cs="宋体"/>
          <w:color w:val="auto"/>
          <w:sz w:val="21"/>
          <w:szCs w:val="21"/>
          <w:highlight w:val="none"/>
          <w:lang w:eastAsia="zh-CN"/>
        </w:rPr>
        <w:br w:type="page" w:clear="all"/>
      </w:r>
      <w:r>
        <w:rPr>
          <w:rFonts w:hint="eastAsia" w:ascii="宋体" w:hAnsi="宋体" w:eastAsia="宋体" w:cs="宋体"/>
          <w:b/>
          <w:color w:val="auto"/>
          <w:sz w:val="21"/>
          <w:szCs w:val="21"/>
          <w:highlight w:val="none"/>
          <w:lang w:eastAsia="zh-CN"/>
        </w:rPr>
        <w:t xml:space="preserve">附件13：</w:t>
      </w:r>
      <w:r/>
    </w:p>
    <w:p>
      <w:pPr>
        <w:jc w:val="center"/>
        <w:spacing w:line="360" w:lineRule="auto"/>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安全生产协议书</w:t>
      </w:r>
      <w:r/>
    </w:p>
    <w:p>
      <w:pPr>
        <w:ind w:firstLine="420"/>
        <w:jc w:val="both"/>
        <w:spacing w:line="360" w:lineRule="auto"/>
        <w:tabs>
          <w:tab w:val="left" w:pos="5023"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ind w:firstLine="420"/>
        <w:jc w:val="both"/>
        <w:spacing w:line="360" w:lineRule="auto"/>
        <w:tabs>
          <w:tab w:val="left" w:pos="5023"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ind w:firstLine="420"/>
        <w:jc w:val="both"/>
        <w:spacing w:line="360" w:lineRule="auto"/>
        <w:tabs>
          <w:tab w:val="left" w:pos="5023"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为在</w:t>
      </w:r>
      <w:r>
        <w:rPr>
          <w:rFonts w:hint="eastAsia" w:ascii="宋体" w:hAnsi="宋体" w:eastAsia="宋体" w:cs="宋体"/>
          <w:color w:val="auto"/>
          <w:sz w:val="21"/>
          <w:szCs w:val="21"/>
          <w:highlight w:val="none"/>
          <w:u w:val="single"/>
          <w:lang w:val="zh-TW" w:eastAsia="zh-CN"/>
        </w:rPr>
        <w:t xml:space="preserve">      </w:t>
      </w:r>
      <w:r>
        <w:rPr>
          <w:rFonts w:hint="eastAsia" w:ascii="宋体" w:hAnsi="宋体" w:eastAsia="宋体" w:cs="宋体"/>
          <w:color w:val="auto"/>
          <w:sz w:val="21"/>
          <w:szCs w:val="21"/>
          <w:highlight w:val="none"/>
          <w:lang w:eastAsia="zh-CN"/>
        </w:rPr>
        <w:t xml:space="preserve">施工合同的实施过程中创造安全、高效的施工环境，切实搞好本项目的安全管理工作，</w:t>
      </w:r>
      <w:r>
        <w:rPr>
          <w:rFonts w:hint="eastAsia" w:ascii="宋体" w:hAnsi="宋体" w:eastAsia="宋体" w:cs="宋体"/>
          <w:color w:val="auto"/>
          <w:spacing w:val="-6"/>
          <w:sz w:val="21"/>
          <w:szCs w:val="21"/>
          <w:highlight w:val="none"/>
          <w:lang w:eastAsia="zh-CN"/>
        </w:rPr>
        <w:t xml:space="preserve">根据《中华人民共和国安全生产法》《江苏省安全生产条例》《南京市安全生产条例》等相关法律法规规定，</w:t>
      </w:r>
      <w:r>
        <w:rPr>
          <w:rFonts w:hint="eastAsia" w:ascii="宋体" w:hAnsi="宋体" w:eastAsia="宋体" w:cs="宋体"/>
          <w:color w:val="auto"/>
          <w:sz w:val="21"/>
          <w:szCs w:val="21"/>
          <w:highlight w:val="none"/>
          <w:lang w:eastAsia="zh-CN"/>
        </w:rPr>
        <w:t xml:space="preserve">本项目发包人</w:t>
      </w:r>
      <w:r>
        <w:rPr>
          <w:rFonts w:hint="eastAsia" w:ascii="宋体" w:hAnsi="宋体" w:eastAsia="宋体" w:cs="宋体"/>
          <w:color w:val="auto"/>
          <w:sz w:val="21"/>
          <w:szCs w:val="21"/>
          <w:highlight w:val="none"/>
          <w:u w:val="single"/>
          <w:shd w:val="clear" w:color="auto" w:fill="ffffff"/>
          <w:lang w:val="zh-TW" w:eastAsia="zh-CN"/>
        </w:rPr>
        <w:t xml:space="preserve">江苏省中国科学院植物研究所</w:t>
      </w:r>
      <w:r>
        <w:rPr>
          <w:rFonts w:hint="eastAsia" w:ascii="宋体" w:hAnsi="宋体" w:eastAsia="宋体" w:cs="宋体"/>
          <w:color w:val="auto"/>
          <w:sz w:val="21"/>
          <w:szCs w:val="21"/>
          <w:highlight w:val="none"/>
          <w:lang w:eastAsia="zh-CN"/>
        </w:rPr>
        <w:t xml:space="preserve">（以下简称“发包人”）与承包人</w:t>
      </w:r>
      <w:r>
        <w:rPr>
          <w:rFonts w:hint="eastAsia" w:ascii="宋体" w:hAnsi="宋体" w:eastAsia="宋体" w:cs="宋体"/>
          <w:color w:val="auto"/>
          <w:sz w:val="21"/>
          <w:szCs w:val="21"/>
          <w:highlight w:val="none"/>
          <w:u w:val="single"/>
          <w:shd w:val="clear" w:color="auto" w:fill="ffffff"/>
          <w:lang w:val="zh-TW" w:eastAsia="zh-CN"/>
        </w:rPr>
        <w:t xml:space="preserve">      </w:t>
      </w:r>
      <w:r>
        <w:rPr>
          <w:rFonts w:hint="eastAsia" w:ascii="宋体" w:hAnsi="宋体" w:eastAsia="宋体" w:cs="宋体"/>
          <w:color w:val="auto"/>
          <w:sz w:val="21"/>
          <w:szCs w:val="21"/>
          <w:highlight w:val="none"/>
          <w:lang w:eastAsia="zh-CN"/>
        </w:rPr>
        <w:t xml:space="preserve">（以下简称“承包人”）特此签订安全生产合同：</w:t>
      </w:r>
      <w:r/>
    </w:p>
    <w:p>
      <w:pPr>
        <w:ind w:firstLine="420"/>
        <w:jc w:val="both"/>
        <w:spacing w:line="360" w:lineRule="auto"/>
        <w:tabs>
          <w:tab w:val="left" w:pos="5023"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一、发包人职责</w:t>
      </w:r>
      <w:r/>
    </w:p>
    <w:p>
      <w:pPr>
        <w:ind w:firstLine="420"/>
        <w:jc w:val="both"/>
        <w:spacing w:line="360" w:lineRule="auto"/>
        <w:tabs>
          <w:tab w:val="left" w:pos="5023"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1、严格遵守国家有关安全生产的法律、认真执行工程承包合同中的有关安全要求。</w:t>
      </w:r>
      <w:r/>
    </w:p>
    <w:p>
      <w:pPr>
        <w:ind w:firstLine="420"/>
        <w:jc w:val="both"/>
        <w:spacing w:line="360" w:lineRule="auto"/>
        <w:tabs>
          <w:tab w:val="left" w:pos="5023"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2、不得对承包人提出不符合建设工程安全生产法律、法规和强制性标准规定要求。</w:t>
      </w:r>
      <w:r/>
    </w:p>
    <w:p>
      <w:pPr>
        <w:ind w:firstLine="420"/>
        <w:jc w:val="both"/>
        <w:spacing w:line="360" w:lineRule="auto"/>
        <w:tabs>
          <w:tab w:val="left" w:pos="5023"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3、不得明示或暗示承包人购买、租赁、使用不符合安全施工要求的安全防护用具、机械设备、施工机具及配件。</w:t>
      </w:r>
      <w:r/>
    </w:p>
    <w:p>
      <w:pPr>
        <w:ind w:firstLine="420"/>
        <w:jc w:val="both"/>
        <w:spacing w:line="360" w:lineRule="auto"/>
        <w:tabs>
          <w:tab w:val="left" w:pos="5023"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二、承包人职责</w:t>
      </w:r>
      <w:r/>
    </w:p>
    <w:p>
      <w:pPr>
        <w:ind w:firstLine="420"/>
        <w:jc w:val="both"/>
        <w:spacing w:line="360" w:lineRule="auto"/>
        <w:tabs>
          <w:tab w:val="left" w:pos="5023"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1、承包人应遵守国家工程建设安全生产有关管理规定，严格按安全标准组织施工，采取一切必要的安全措施，消除事故隐患，确保施工安全，并对施工现场发生的一切安全问题负责。</w:t>
      </w:r>
      <w:r/>
    </w:p>
    <w:p>
      <w:pPr>
        <w:ind w:firstLine="420"/>
        <w:jc w:val="both"/>
        <w:spacing w:line="360" w:lineRule="auto"/>
        <w:tabs>
          <w:tab w:val="left" w:pos="5023"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坚持“安全第一、预防为主”和“管生产必须管安全”的原则，加强安全生产宣传教育，增强全员安全生产意识，建立健全各项安全生产的管理机构和安全生产管理制度，配备专职及兼职安全管理人员，有组织有计划地开展安全生产活动。各级领导、工程技术人员、生产管理人员和具体操作人员，必须熟悉和遵守本条款的各项规定，做到生产与安全工作同时计划、布置、检查、总结和评比。</w:t>
      </w:r>
      <w:r/>
    </w:p>
    <w:p>
      <w:pPr>
        <w:ind w:firstLine="420"/>
        <w:jc w:val="both"/>
        <w:spacing w:line="360" w:lineRule="auto"/>
        <w:tabs>
          <w:tab w:val="left" w:pos="5023"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建立健全安全生产责任制。从派驻项目实施的项目负责人到生产工人（包括临时雇请的民工）的安全生产管理系统必须做到纵向到底，一环不漏；各职能部门、人员的安全生产责任制做到横向到边，人人有责。项目负责人是安全生产的第一责任人。现场设置的安全机构，应按施工人员的1%-3%配备安全员，专职负责所有员工的安全和治安保卫工作及预防事故的发生。安全机构人员，有权按有关规定发布指令，并采取保护性措施防止事故发生。</w:t>
      </w:r>
      <w:r/>
    </w:p>
    <w:p>
      <w:pPr>
        <w:ind w:firstLine="420"/>
        <w:jc w:val="both"/>
        <w:spacing w:line="360" w:lineRule="auto"/>
        <w:tabs>
          <w:tab w:val="left" w:pos="5023"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4、承包人在任何时候都应采取各种合理的预防措施，防止其员工发生任何违法、违禁、暴力或妨碍治安的行为。</w:t>
      </w:r>
      <w:r/>
    </w:p>
    <w:p>
      <w:pPr>
        <w:ind w:firstLine="420"/>
        <w:jc w:val="both"/>
        <w:spacing w:line="360" w:lineRule="auto"/>
        <w:tabs>
          <w:tab w:val="left" w:pos="5023"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5、承包人必须具有安全生产许可证，项目负责人、安全员须取得安全考核合格证，参加施工的人员必须接受三级安全教育，熟知和遵守本工种的各项安全技术操作规程，定期进行安全技术考核，合格者方准上岗操作。对于从事特殊工种作业时，项目负责人必须承担管理责任。</w:t>
      </w:r>
      <w:r/>
    </w:p>
    <w:p>
      <w:pPr>
        <w:ind w:firstLine="420"/>
        <w:jc w:val="both"/>
        <w:spacing w:line="360" w:lineRule="auto"/>
        <w:tabs>
          <w:tab w:val="left" w:pos="5023"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r/>
    </w:p>
    <w:p>
      <w:pPr>
        <w:ind w:firstLine="420"/>
        <w:jc w:val="both"/>
        <w:spacing w:line="360" w:lineRule="auto"/>
        <w:tabs>
          <w:tab w:val="left" w:pos="5023"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7、操作人员上岗，必须按规定穿戴防护用品。施工负责人和安全检查员应随时检查劳动防护用品的穿戴情况，不按规定穿戴防护用品的人员不得上岗。</w:t>
      </w:r>
      <w:r/>
    </w:p>
    <w:p>
      <w:pPr>
        <w:ind w:firstLine="420"/>
        <w:jc w:val="both"/>
        <w:spacing w:line="360" w:lineRule="auto"/>
        <w:tabs>
          <w:tab w:val="left" w:pos="5023"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8、所用施工机具设备均应定期检查，并有安全员的签字记录，保证其经常处于完好状态；不合格的机具、设备和劳动保护用品严禁使用。</w:t>
      </w:r>
      <w:r/>
    </w:p>
    <w:p>
      <w:pPr>
        <w:ind w:firstLine="420"/>
        <w:jc w:val="both"/>
        <w:spacing w:line="360" w:lineRule="auto"/>
        <w:tabs>
          <w:tab w:val="left" w:pos="5023"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9、施工中采用新技术、新工艺、新设备、新材料时，必须制定相应的安全技术措施，技术措施，施工现场必须具有相关的安全标志牌。</w:t>
      </w:r>
      <w:r/>
    </w:p>
    <w:p>
      <w:pPr>
        <w:ind w:firstLine="420"/>
        <w:jc w:val="both"/>
        <w:spacing w:line="360" w:lineRule="auto"/>
        <w:tabs>
          <w:tab w:val="left" w:pos="5023"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10、施工现场必须具有相关的安全技术资料建立档案，并确定专人管理，安全技术资料应当真实、完整齐全。</w:t>
      </w:r>
      <w:r/>
    </w:p>
    <w:p>
      <w:pPr>
        <w:ind w:firstLine="420"/>
        <w:jc w:val="both"/>
        <w:spacing w:line="360" w:lineRule="auto"/>
        <w:tabs>
          <w:tab w:val="left" w:pos="5023"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11、承包人应当接受发包人、监理单位及政府安全监督机构对其安全生产的监督检查。对于检查单位下达的整改意见通知，承包人要立即予以整改，由此发生的费用承包人自负。对于因此而造成工期延误的，承包人还要按合同规定向发包人支付违约金。</w:t>
      </w:r>
      <w:r/>
    </w:p>
    <w:p>
      <w:pPr>
        <w:ind w:firstLine="420"/>
        <w:jc w:val="both"/>
        <w:spacing w:line="360" w:lineRule="auto"/>
        <w:tabs>
          <w:tab w:val="left" w:pos="5023"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12、承包人必须按照本工程项目特点，组织制定本工程实施中的生产安全专项方案和事故应急救援预案；如果发生安全事故，应按照有关规定，及时上报有关部门，并坚持“三不放过”的原则，严肃处理相关责任。</w:t>
      </w:r>
      <w:r/>
    </w:p>
    <w:p>
      <w:pPr>
        <w:ind w:firstLine="420"/>
        <w:jc w:val="both"/>
        <w:spacing w:line="360" w:lineRule="auto"/>
        <w:tabs>
          <w:tab w:val="left" w:pos="5023"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13、承包人应按有关规定在施工现场及周边环境设置必要的道路施工安全标志、警示标志、禁行标志等交通安全设施。必要时实施封闭施工，同时加强雨、雪等恶劣天气及夜间的值班巡查，确保车辆和行人安全。</w:t>
      </w:r>
      <w:r/>
    </w:p>
    <w:p>
      <w:pPr>
        <w:ind w:firstLine="420"/>
        <w:jc w:val="both"/>
        <w:spacing w:line="360" w:lineRule="auto"/>
        <w:tabs>
          <w:tab w:val="left" w:pos="5023"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14、发生重大伤亡及其他安全事故，承包人应按有关规定立即上报有关部门并通知现场工程师，同时按政府有关部门要求处理。</w:t>
      </w:r>
      <w:r/>
    </w:p>
    <w:p>
      <w:pPr>
        <w:ind w:firstLine="420"/>
        <w:jc w:val="both"/>
        <w:spacing w:line="360" w:lineRule="auto"/>
        <w:tabs>
          <w:tab w:val="left" w:pos="5023"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15、本项目用人用工人员如为高风险地区需做好隔离防护措施，确保不发生外来疫情传播。</w:t>
      </w:r>
      <w:r/>
    </w:p>
    <w:p>
      <w:pPr>
        <w:numPr>
          <w:ilvl w:val="0"/>
          <w:numId w:val="6"/>
        </w:numPr>
        <w:ind w:firstLine="420"/>
        <w:jc w:val="both"/>
        <w:spacing w:line="360" w:lineRule="auto"/>
        <w:tabs>
          <w:tab w:val="left" w:pos="5023"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违约责任</w:t>
      </w:r>
      <w:r/>
    </w:p>
    <w:p>
      <w:pPr>
        <w:ind w:firstLine="420"/>
        <w:jc w:val="both"/>
        <w:spacing w:line="360" w:lineRule="auto"/>
        <w:tabs>
          <w:tab w:val="left" w:pos="5023"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1、承包人应对发生在本工程施工段内自开工至竣工交付期间的交通安全、施工安全事故（包括人员）负全部法律责任，并承担由此而发生的一切经济损失。</w:t>
      </w:r>
      <w:r/>
    </w:p>
    <w:p>
      <w:pPr>
        <w:ind w:firstLine="420"/>
        <w:jc w:val="both"/>
        <w:spacing w:line="360" w:lineRule="auto"/>
        <w:tabs>
          <w:tab w:val="left" w:pos="5023"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2、如承包人发生安全事故不及时妥善处理，引起纠纷或诉讼，发包人有权扣留其履约保证金和未付工程款用于支付事故处理费用。</w:t>
      </w:r>
      <w:r/>
    </w:p>
    <w:p>
      <w:pPr>
        <w:ind w:firstLine="420"/>
        <w:jc w:val="both"/>
        <w:spacing w:line="360" w:lineRule="auto"/>
        <w:tabs>
          <w:tab w:val="left" w:pos="5023"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本合同由双方法定代表人或其授权的代理人签署与加盖公章后生效，全部工程竣工验收合格后交付使用后失效。</w:t>
      </w:r>
      <w:r/>
    </w:p>
    <w:p>
      <w:pPr>
        <w:ind w:firstLine="42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ind w:firstLine="42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发包人（盖章）：                     承包人（盖章）： </w:t>
      </w:r>
      <w:r/>
    </w:p>
    <w:p>
      <w:pPr>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江苏省中国科学院植物研究所            </w:t>
      </w:r>
      <w:r/>
    </w:p>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                         法定代表人或</w:t>
      </w:r>
      <w:r/>
    </w:p>
    <w:p>
      <w:pPr>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授权委托人（签名或盖章）             授权委托人（签名或盖章）</w:t>
      </w:r>
      <w:r/>
    </w:p>
    <w:p>
      <w:pPr>
        <w:pStyle w:val="795"/>
        <w:jc w:val="both"/>
        <w:spacing w:before="0" w:beforeAutospacing="0" w:after="0" w:afterAutospacing="0" w:line="360" w:lineRule="auto"/>
        <w:rPr>
          <w:rStyle w:val="913"/>
          <w:rFonts w:hint="eastAsia" w:ascii="宋体" w:hAnsi="宋体" w:cs="宋体"/>
          <w:color w:val="auto"/>
          <w:sz w:val="21"/>
          <w:szCs w:val="21"/>
          <w:highlight w:val="none"/>
        </w:rPr>
      </w:pPr>
      <w:r>
        <w:rPr>
          <w:rStyle w:val="913"/>
          <w:rFonts w:hint="eastAsia" w:ascii="宋体" w:hAnsi="宋体" w:cs="宋体"/>
          <w:color w:val="auto"/>
          <w:sz w:val="21"/>
          <w:szCs w:val="21"/>
          <w:highlight w:val="none"/>
        </w:rPr>
        <w:t xml:space="preserve">日   期：    年   月   日            日   期：    年    月   日</w:t>
      </w:r>
      <w:r/>
    </w:p>
    <w:p>
      <w:pPr>
        <w:pStyle w:val="795"/>
        <w:jc w:val="both"/>
        <w:spacing w:before="0" w:beforeAutospacing="0" w:after="0" w:afterAutospacing="0" w:line="360" w:lineRule="auto"/>
        <w:rPr>
          <w:rStyle w:val="913"/>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both"/>
        <w:spacing w:line="360" w:lineRule="auto"/>
        <w:rPr>
          <w:rFonts w:hint="eastAsia" w:ascii="宋体" w:hAnsi="宋体" w:eastAsia="宋体" w:cs="宋体"/>
          <w:b/>
          <w:bCs/>
          <w:color w:val="auto"/>
          <w:sz w:val="21"/>
          <w:szCs w:val="21"/>
          <w:highlight w:val="none"/>
          <w:lang w:eastAsia="zh-CN"/>
        </w:rPr>
      </w:pPr>
      <w:r>
        <w:rPr>
          <w:rFonts w:hint="eastAsia" w:ascii="宋体" w:hAnsi="宋体" w:eastAsia="宋体" w:cs="宋体"/>
          <w:bCs/>
          <w:color w:val="auto"/>
          <w:sz w:val="21"/>
          <w:szCs w:val="21"/>
          <w:highlight w:val="none"/>
          <w:lang w:eastAsia="zh-CN"/>
        </w:rPr>
        <w:br w:type="page" w:clear="all"/>
      </w:r>
      <w:r>
        <w:rPr>
          <w:rFonts w:hint="eastAsia" w:ascii="宋体" w:hAnsi="宋体" w:eastAsia="宋体" w:cs="宋体"/>
          <w:b/>
          <w:bCs/>
          <w:color w:val="auto"/>
          <w:sz w:val="21"/>
          <w:szCs w:val="21"/>
          <w:highlight w:val="none"/>
          <w:lang w:eastAsia="zh-CN"/>
        </w:rPr>
        <w:t xml:space="preserve">附件14：</w:t>
      </w:r>
      <w:r/>
    </w:p>
    <w:p>
      <w:pPr>
        <w:jc w:val="center"/>
        <w:spacing w:line="360" w:lineRule="auto"/>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r>
      <w:r/>
    </w:p>
    <w:p>
      <w:pPr>
        <w:jc w:val="center"/>
        <w:spacing w:line="360" w:lineRule="auto"/>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文明施工责任协议书</w:t>
      </w:r>
      <w:r/>
    </w:p>
    <w:p>
      <w:pPr>
        <w:ind w:firstLine="42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ind w:firstLine="420"/>
        <w:jc w:val="both"/>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color w:val="auto"/>
          <w:sz w:val="21"/>
          <w:szCs w:val="21"/>
          <w:highlight w:val="none"/>
          <w:lang w:eastAsia="zh-CN"/>
        </w:rPr>
        <w:t xml:space="preserve">甲方：</w:t>
      </w:r>
      <w:r>
        <w:rPr>
          <w:rFonts w:hint="eastAsia" w:ascii="宋体" w:hAnsi="宋体" w:eastAsia="宋体" w:cs="宋体"/>
          <w:color w:val="auto"/>
          <w:sz w:val="21"/>
          <w:szCs w:val="21"/>
          <w:highlight w:val="none"/>
          <w:u w:val="single"/>
          <w:shd w:val="clear" w:color="auto" w:fill="ffffff"/>
          <w:lang w:val="zh-TW" w:eastAsia="zh-CN"/>
        </w:rPr>
        <w:t xml:space="preserve">江苏省中国科学院植物研究所</w:t>
      </w:r>
      <w:r/>
    </w:p>
    <w:p>
      <w:pPr>
        <w:ind w:firstLine="42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乙方：</w:t>
      </w:r>
      <w:bookmarkStart w:id="1095" w:name="_Hlk163554106"/>
      <w:r>
        <w:rPr>
          <w:rFonts w:hint="eastAsia" w:ascii="宋体" w:hAnsi="宋体" w:eastAsia="宋体" w:cs="宋体"/>
          <w:color w:val="auto"/>
          <w:sz w:val="21"/>
          <w:szCs w:val="21"/>
          <w:highlight w:val="none"/>
          <w:u w:val="single"/>
          <w:shd w:val="clear" w:color="auto" w:fill="ffffff"/>
          <w:lang w:val="zh-TW" w:eastAsia="zh-CN"/>
        </w:rPr>
        <w:t xml:space="preserve">                          </w:t>
      </w:r>
      <w:r>
        <w:rPr>
          <w:rFonts w:hint="eastAsia" w:ascii="宋体" w:hAnsi="宋体" w:eastAsia="宋体" w:cs="宋体"/>
          <w:color w:val="auto"/>
          <w:sz w:val="21"/>
          <w:szCs w:val="21"/>
          <w:highlight w:val="none"/>
          <w:lang w:eastAsia="zh-CN"/>
        </w:rPr>
        <w:t xml:space="preserve"> </w:t>
      </w:r>
      <w:bookmarkEnd w:id="1095"/>
      <w:r/>
      <w:r/>
    </w:p>
    <w:p>
      <w:pPr>
        <w:ind w:firstLine="42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为贯彻执行建设部《建设工程施工现场管理规定》和《南京建设工程文明施工管理暂行规定》，认真做好工程建设施工区域内的文明施工，现经甲、乙双方协商同意，就</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u w:val="single"/>
          <w:shd w:val="clear" w:color="auto" w:fill="ffffff"/>
          <w:lang w:val="zh-TW" w:eastAsia="zh-CN"/>
        </w:rPr>
        <w:t xml:space="preserve">                          </w:t>
      </w:r>
      <w:r>
        <w:rPr>
          <w:rFonts w:hint="eastAsia" w:ascii="宋体" w:hAnsi="宋体" w:eastAsia="宋体" w:cs="宋体"/>
          <w:color w:val="auto"/>
          <w:sz w:val="21"/>
          <w:szCs w:val="21"/>
          <w:highlight w:val="none"/>
          <w:lang w:eastAsia="zh-CN"/>
        </w:rPr>
        <w:t xml:space="preserve"> </w:t>
      </w:r>
      <w:r/>
    </w:p>
    <w:p>
      <w:pPr>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u w:val="single"/>
          <w:shd w:val="clear" w:color="auto" w:fill="ffffff"/>
          <w:lang w:val="zh-TW" w:eastAsia="zh-CN"/>
        </w:rPr>
        <w:t xml:space="preserve">                                                              </w:t>
      </w:r>
      <w:r>
        <w:rPr>
          <w:rFonts w:hint="eastAsia" w:ascii="宋体" w:hAnsi="宋体" w:eastAsia="宋体" w:cs="宋体"/>
          <w:color w:val="auto"/>
          <w:sz w:val="21"/>
          <w:szCs w:val="21"/>
          <w:highlight w:val="none"/>
          <w:lang w:eastAsia="zh-CN"/>
        </w:rPr>
        <w:t xml:space="preserve">项目中明确文明施工和文明施工管理的明确各自职责，签订如下协议。</w:t>
      </w:r>
      <w:r/>
    </w:p>
    <w:p>
      <w:pPr>
        <w:ind w:firstLine="42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一、双方同意在工程管理和工程建设中必须坚持社会效益第一，经济效益和社会效益相一致“方便人民生活，有利于发展生产、保护生态环境”的原则，坚持便民、利民、为民服务的宗旨。搞好工程建设中的文明施工。</w:t>
      </w:r>
      <w:r/>
    </w:p>
    <w:p>
      <w:pPr>
        <w:ind w:firstLine="42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二、双方要认真贯彻“建设单位负责，施工单位实施，地方政府监督”的文明施工原则。现场由甲方项目管理组牵头，建立三方共同参与的文明施工管理小组，负责日常管理协调工作，争创文明工地。甲方按市有关创建文明工地的规定，组织、指导、检查、考核和开展选评工作，创建活动的实施由乙方负责。(应明确安全文明施工的目标和乙方对甲方的承诺。)</w:t>
      </w:r>
      <w:r/>
    </w:p>
    <w:p>
      <w:pPr>
        <w:ind w:firstLine="42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三、乙方在其施工大纲中应结合工程实际情况，制订出各项文明施工措施，并落实如下有关要求：</w:t>
      </w:r>
      <w:r/>
    </w:p>
    <w:p>
      <w:pPr>
        <w:ind w:firstLine="42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1、施工现场必须按规定要求设置施工铭牌，所有施工人员应配带胸卡上岗。</w:t>
      </w:r>
      <w:r/>
    </w:p>
    <w:p>
      <w:pPr>
        <w:ind w:firstLine="42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2、施工区域与非施工区域必须按规定设置分隔设施，并做到连续、稳固、整洁、美观和线型和顺。施工区域的围护设施如有损坏要及时修复。</w:t>
      </w:r>
      <w:r/>
    </w:p>
    <w:p>
      <w:pPr>
        <w:ind w:firstLine="42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在施工的路段要有保证车辆通行宽度的车行道、人行道和沿街居民出行的安全便道。凡在施工道路的交叉路口，均应按规定设置交通标志(牌)，夜间设示警灯及照明灯，便于车辆行人通行。如遇台风、暴雨季节要派人值班，确保安全。</w:t>
      </w:r>
      <w:r/>
    </w:p>
    <w:p>
      <w:pPr>
        <w:ind w:firstLine="42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4、要落实切实可行的施工临时排水和防汛措施，禁止向通道上排放，禁止泥浆水、水泥浆水未经沉淀直接排入下水道。</w:t>
      </w:r>
      <w:r/>
    </w:p>
    <w:p>
      <w:pPr>
        <w:ind w:firstLine="42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5、施工现场平面布置合理，各类材料、设备、预制构件等(包括土方)做到有序堆放，不得侵占车行道、人行道。施工中要加强对各种管线的保护。</w:t>
      </w:r>
      <w:r/>
    </w:p>
    <w:p>
      <w:pPr>
        <w:ind w:firstLine="42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6、施工中必须要采取有效措施，防止渣土洒落，泥浆、废水流溢，控制粉尘飞扬，减少施工对城区环境的污染，严格控制噪音。</w:t>
      </w:r>
      <w:r/>
    </w:p>
    <w:p>
      <w:pPr>
        <w:ind w:firstLine="42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7、为配合实施国家和南京开展环境保护和减少污染的要求，乙方必须在每年5-8月委托政府环保监督部门对施工过程中的噪音、粉尘、废水进行一次测试，出具相应的测试报告，并提交甲方备案。</w:t>
      </w:r>
      <w:r/>
    </w:p>
    <w:p>
      <w:pPr>
        <w:ind w:firstLine="42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8、如发现乙方未进行上述环境保护测试工作，此测试工作由甲方代为办理，其费用由乙方加倍承担。</w:t>
      </w:r>
      <w:r/>
    </w:p>
    <w:p>
      <w:pPr>
        <w:ind w:firstLine="42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9、施工中如需夜间(22：00以后)作业，必须办理夜间施工许可证。如未办理有关手续造成恶劣后果或被举报处罚的，甲方对责任单位处罚500元。</w:t>
      </w:r>
      <w:r/>
    </w:p>
    <w:p>
      <w:pPr>
        <w:ind w:firstLine="42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四、乙方负责施工区域及生活区域的环境卫生，建立完善有关规章制度，落实责任制。做到“五小”生活设施齐全，符合规范要求。</w:t>
      </w:r>
      <w:r/>
    </w:p>
    <w:p>
      <w:pPr>
        <w:ind w:firstLine="42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五、甲方可对乙方开展创建文明工地的工作给予指导，定期组织检查，对乙方存在的问题应及时通知乙方进行整改，并有权因乙方责任违约，对责任单位每次处罚500元，并采取强化整改措施，对未按要求限期整改的或整改不力，情节严重的，对责任单位每次处罚1000元，最高上限为1万元。</w:t>
      </w:r>
      <w:r/>
    </w:p>
    <w:p>
      <w:pPr>
        <w:ind w:firstLine="42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六、因乙方违反文明施工管理要求，被地方政府有关部门查获而受到的经济处罚，以及由此而使甲方受到的经济损失，均由乙方承担。本协议作为甲乙双方工程合同的附件，在工程合同正式签约后生效，与工程合同具有同等法律效力。工程合同期满，本协议终止。</w:t>
      </w:r>
      <w:r/>
    </w:p>
    <w:p>
      <w:pPr>
        <w:ind w:firstLine="42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 </w:t>
      </w:r>
      <w:r/>
    </w:p>
    <w:p>
      <w:pPr>
        <w:jc w:val="both"/>
        <w:spacing w:line="360" w:lineRule="auto"/>
        <w:rPr>
          <w:rStyle w:val="913"/>
          <w:rFonts w:hint="eastAsia" w:ascii="宋体" w:hAnsi="宋体" w:eastAsia="宋体" w:cs="宋体"/>
          <w:color w:val="auto"/>
          <w:sz w:val="21"/>
          <w:szCs w:val="21"/>
          <w:highlight w:val="none"/>
          <w:lang w:eastAsia="zh-CN"/>
        </w:rPr>
      </w:pPr>
      <w:r>
        <w:rPr>
          <w:rStyle w:val="913"/>
          <w:rFonts w:hint="eastAsia" w:ascii="宋体" w:hAnsi="宋体" w:eastAsia="宋体" w:cs="宋体"/>
          <w:color w:val="auto"/>
          <w:sz w:val="21"/>
          <w:szCs w:val="21"/>
          <w:highlight w:val="none"/>
          <w:lang w:eastAsia="zh-CN"/>
        </w:rPr>
        <w:t xml:space="preserve">甲方单位：（盖章）                      乙方单位：（盖章）</w:t>
      </w:r>
      <w:r/>
    </w:p>
    <w:p>
      <w:pPr>
        <w:jc w:val="both"/>
        <w:spacing w:line="360" w:lineRule="auto"/>
        <w:rPr>
          <w:rStyle w:val="913"/>
          <w:rFonts w:hint="eastAsia" w:ascii="宋体" w:hAnsi="宋体" w:eastAsia="宋体" w:cs="宋体"/>
          <w:color w:val="auto"/>
          <w:sz w:val="21"/>
          <w:szCs w:val="21"/>
          <w:highlight w:val="none"/>
          <w:lang w:eastAsia="zh-CN"/>
        </w:rPr>
      </w:pPr>
      <w:r>
        <w:rPr>
          <w:rStyle w:val="913"/>
          <w:rFonts w:hint="eastAsia" w:ascii="宋体" w:hAnsi="宋体" w:eastAsia="宋体" w:cs="宋体"/>
          <w:color w:val="auto"/>
          <w:sz w:val="21"/>
          <w:szCs w:val="21"/>
          <w:highlight w:val="none"/>
          <w:lang w:eastAsia="zh-CN"/>
        </w:rPr>
        <w:t xml:space="preserve">         </w:t>
      </w:r>
      <w:r/>
    </w:p>
    <w:p>
      <w:pPr>
        <w:pStyle w:val="795"/>
        <w:jc w:val="both"/>
        <w:spacing w:before="0" w:beforeAutospacing="0" w:after="0" w:afterAutospacing="0" w:line="360" w:lineRule="auto"/>
        <w:rPr>
          <w:rFonts w:hint="eastAsia" w:cs="宋体"/>
          <w:color w:val="auto"/>
          <w:sz w:val="21"/>
          <w:szCs w:val="21"/>
          <w:highlight w:val="none"/>
          <w:lang w:eastAsia="zh-CN"/>
        </w:rPr>
      </w:pPr>
      <w:r>
        <w:rPr>
          <w:rStyle w:val="913"/>
          <w:rFonts w:hint="eastAsia" w:ascii="宋体" w:hAnsi="宋体" w:cs="宋体"/>
          <w:color w:val="auto"/>
          <w:sz w:val="21"/>
          <w:szCs w:val="21"/>
          <w:highlight w:val="none"/>
          <w:lang w:eastAsia="zh-CN"/>
        </w:rPr>
        <w:t xml:space="preserve">法定代表人（或委托代理人）签名：        法定代表人（或委托代理人）签名：</w:t>
      </w:r>
      <w:r/>
    </w:p>
    <w:p>
      <w:pPr>
        <w:pStyle w:val="795"/>
        <w:jc w:val="both"/>
        <w:spacing w:before="0" w:beforeAutospacing="0" w:after="0" w:afterAutospacing="0" w:line="360" w:lineRule="auto"/>
        <w:rPr>
          <w:rStyle w:val="913"/>
          <w:rFonts w:hint="eastAsia" w:ascii="宋体" w:hAnsi="宋体" w:cs="宋体"/>
          <w:color w:val="auto"/>
          <w:sz w:val="21"/>
          <w:szCs w:val="21"/>
          <w:highlight w:val="none"/>
          <w:lang w:eastAsia="zh-CN"/>
        </w:rPr>
      </w:pPr>
      <w:r>
        <w:rPr>
          <w:rStyle w:val="913"/>
          <w:rFonts w:hint="eastAsia" w:ascii="宋体" w:hAnsi="宋体" w:cs="宋体"/>
          <w:color w:val="auto"/>
          <w:sz w:val="21"/>
          <w:szCs w:val="21"/>
          <w:highlight w:val="none"/>
          <w:lang w:eastAsia="zh-CN"/>
        </w:rPr>
        <w:t xml:space="preserve">                             </w:t>
      </w:r>
      <w:r/>
    </w:p>
    <w:p>
      <w:pPr>
        <w:pStyle w:val="795"/>
        <w:jc w:val="both"/>
        <w:spacing w:before="0" w:beforeAutospacing="0" w:after="0" w:afterAutospacing="0" w:line="360" w:lineRule="auto"/>
        <w:rPr>
          <w:rFonts w:hint="eastAsia" w:cs="宋体"/>
          <w:color w:val="auto"/>
          <w:sz w:val="21"/>
          <w:szCs w:val="21"/>
          <w:highlight w:val="none"/>
        </w:rPr>
      </w:pPr>
      <w:r>
        <w:rPr>
          <w:rStyle w:val="913"/>
          <w:rFonts w:hint="eastAsia" w:ascii="宋体" w:hAnsi="宋体" w:cs="宋体"/>
          <w:color w:val="auto"/>
          <w:sz w:val="21"/>
          <w:szCs w:val="21"/>
          <w:highlight w:val="none"/>
        </w:rPr>
        <w:t xml:space="preserve">日   期：   年     月     日              日   期：    年   月   日</w:t>
      </w:r>
      <w:r/>
    </w:p>
    <w:p>
      <w:pPr>
        <w:ind w:firstLine="440"/>
        <w:rPr>
          <w:rFonts w:hint="eastAsia" w:ascii="宋体" w:hAnsi="宋体"/>
          <w:color w:val="auto"/>
          <w:szCs w:val="21"/>
          <w:highlight w:val="none"/>
        </w:rPr>
      </w:pPr>
      <w:r>
        <w:rPr>
          <w:rFonts w:hint="eastAsia" w:ascii="宋体" w:hAnsi="宋体"/>
          <w:color w:val="auto"/>
          <w:szCs w:val="21"/>
          <w:highlight w:val="none"/>
        </w:rPr>
      </w:r>
      <w:r/>
    </w:p>
    <w:p>
      <w:pPr>
        <w:rPr>
          <w:color w:val="auto"/>
          <w:highlight w:val="none"/>
        </w:rPr>
      </w:pPr>
      <w:r>
        <w:rPr>
          <w:color w:val="auto"/>
          <w:highlight w:val="none"/>
        </w:rPr>
      </w:r>
      <w:r/>
    </w:p>
    <w:p>
      <w:pPr>
        <w:jc w:val="center"/>
        <w:spacing w:line="360" w:lineRule="auto"/>
        <w:rPr>
          <w:rFonts w:hint="eastAsia"/>
          <w:color w:val="auto"/>
          <w:sz w:val="36"/>
          <w:szCs w:val="36"/>
          <w:highlight w:val="none"/>
          <w:lang w:eastAsia="zh-CN"/>
        </w:rPr>
      </w:pPr>
      <w:r>
        <w:rPr>
          <w:color w:val="auto"/>
          <w:highlight w:val="none"/>
          <w:lang w:eastAsia="zh-CN"/>
        </w:rPr>
        <w:br w:type="page" w:clear="all"/>
      </w:r>
      <w:bookmarkStart w:id="1096" w:name="_Toc10697"/>
      <w:r>
        <w:rPr>
          <w:rFonts w:hint="eastAsia"/>
          <w:color w:val="auto"/>
          <w:sz w:val="36"/>
          <w:szCs w:val="36"/>
          <w:highlight w:val="none"/>
          <w:lang w:eastAsia="zh-CN"/>
        </w:rPr>
        <w:t xml:space="preserve">第六章  响应文件格式</w:t>
      </w:r>
      <w:bookmarkEnd w:id="1096"/>
      <w:r/>
      <w:r/>
    </w:p>
    <w:p>
      <w:pPr>
        <w:ind w:firstLine="471"/>
        <w:shd w:val="clear" w:color="auto" w:fill="ffffff"/>
        <w:widowControl/>
        <w:rPr>
          <w:rFonts w:ascii="宋体" w:hAnsi="宋体"/>
          <w:b/>
          <w:bCs/>
          <w:color w:val="auto"/>
          <w:sz w:val="24"/>
          <w:highlight w:val="none"/>
          <w:lang w:eastAsia="zh-CN"/>
        </w:rPr>
      </w:pPr>
      <w:r>
        <w:rPr>
          <w:rFonts w:hint="eastAsia" w:ascii="宋体" w:hAnsi="宋体"/>
          <w:b/>
          <w:bCs/>
          <w:color w:val="auto"/>
          <w:sz w:val="24"/>
          <w:highlight w:val="none"/>
          <w:lang w:eastAsia="zh-CN"/>
        </w:rPr>
        <w:t xml:space="preserve">磋商响应文件相应材料请按附件样式进行填写，如附件无明确规定的，由供应商自行编制。</w:t>
      </w:r>
      <w:r/>
    </w:p>
    <w:p>
      <w:pPr>
        <w:spacing w:line="360" w:lineRule="auto"/>
        <w:rPr>
          <w:rFonts w:ascii="宋体" w:hAnsi="宋体" w:cs="宋体"/>
          <w:color w:val="auto"/>
          <w:highlight w:val="none"/>
          <w:lang w:eastAsia="zh-CN"/>
        </w:rPr>
      </w:pPr>
      <w:r>
        <w:rPr>
          <w:rFonts w:ascii="宋体" w:hAnsi="宋体" w:cs="宋体"/>
          <w:color w:val="auto"/>
          <w:highlight w:val="none"/>
          <w:lang w:eastAsia="zh-CN"/>
        </w:rPr>
      </w:r>
      <w:r/>
    </w:p>
    <w:p>
      <w:pPr>
        <w:jc w:val="right"/>
        <w:spacing w:line="360" w:lineRule="auto"/>
        <w:rPr>
          <w:rFonts w:ascii="宋体" w:hAnsi="宋体" w:cs="宋体"/>
          <w:color w:val="auto"/>
          <w:highlight w:val="none"/>
          <w:lang w:eastAsia="zh-CN"/>
        </w:rPr>
      </w:pPr>
      <w:r>
        <w:rPr>
          <w:rFonts w:ascii="宋体" w:hAnsi="宋体" w:cs="宋体"/>
          <w:color w:val="auto"/>
          <w:highlight w:val="none"/>
          <w:lang w:eastAsia="zh-CN"/>
        </w:rPr>
      </w:r>
      <w:r/>
    </w:p>
    <w:p>
      <w:pPr>
        <w:jc w:val="right"/>
        <w:spacing w:line="360" w:lineRule="auto"/>
        <w:rPr>
          <w:rFonts w:ascii="宋体" w:hAnsi="宋体" w:cs="宋体"/>
          <w:b/>
          <w:bCs/>
          <w:color w:val="auto"/>
          <w:sz w:val="28"/>
          <w:szCs w:val="28"/>
          <w:highlight w:val="none"/>
          <w:lang w:eastAsia="zh-CN"/>
        </w:rPr>
      </w:pPr>
      <w:r>
        <w:rPr>
          <w:rFonts w:hint="eastAsia" w:ascii="宋体" w:hAnsi="宋体" w:cs="宋体"/>
          <w:b/>
          <w:bCs/>
          <w:color w:val="auto"/>
          <w:sz w:val="28"/>
          <w:szCs w:val="28"/>
          <w:highlight w:val="none"/>
          <w:lang w:eastAsia="zh-CN"/>
        </w:rPr>
        <w:t xml:space="preserve">正本/副本</w:t>
      </w:r>
      <w:r/>
    </w:p>
    <w:p>
      <w:pPr>
        <w:jc w:val="center"/>
        <w:spacing w:line="360" w:lineRule="auto"/>
        <w:rPr>
          <w:rFonts w:ascii="宋体" w:hAnsi="宋体" w:eastAsia="宋体" w:cs="宋体"/>
          <w:b/>
          <w:bCs/>
          <w:color w:val="auto"/>
          <w:sz w:val="36"/>
          <w:szCs w:val="36"/>
          <w:highlight w:val="none"/>
          <w:lang w:eastAsia="zh-CN"/>
        </w:rPr>
      </w:pPr>
      <w:r>
        <w:rPr>
          <w:rFonts w:ascii="宋体" w:hAnsi="宋体" w:eastAsia="宋体" w:cs="宋体"/>
          <w:b/>
          <w:bCs/>
          <w:color w:val="auto"/>
          <w:sz w:val="36"/>
          <w:szCs w:val="36"/>
          <w:highlight w:val="none"/>
          <w:lang w:eastAsia="zh-CN"/>
        </w:rPr>
      </w:r>
      <w:r/>
    </w:p>
    <w:p>
      <w:pPr>
        <w:jc w:val="center"/>
        <w:spacing w:line="360" w:lineRule="auto"/>
        <w:rPr>
          <w:rFonts w:ascii="宋体" w:hAnsi="宋体" w:eastAsia="宋体" w:cs="宋体"/>
          <w:b/>
          <w:bCs/>
          <w:color w:val="auto"/>
          <w:sz w:val="36"/>
          <w:szCs w:val="36"/>
          <w:highlight w:val="none"/>
          <w:lang w:eastAsia="zh-CN"/>
        </w:rPr>
      </w:pPr>
      <w:r>
        <w:rPr>
          <w:rFonts w:ascii="宋体" w:hAnsi="宋体" w:eastAsia="宋体" w:cs="宋体"/>
          <w:b/>
          <w:bCs/>
          <w:color w:val="auto"/>
          <w:sz w:val="36"/>
          <w:szCs w:val="36"/>
          <w:highlight w:val="none"/>
          <w:lang w:eastAsia="zh-CN"/>
        </w:rPr>
      </w:r>
      <w:r/>
    </w:p>
    <w:p>
      <w:pPr>
        <w:jc w:val="center"/>
        <w:spacing w:line="360" w:lineRule="auto"/>
        <w:rPr>
          <w:color w:val="auto"/>
          <w:highlight w:val="none"/>
          <w:lang w:eastAsia="zh-CN"/>
        </w:rPr>
      </w:pPr>
      <w:r>
        <w:rPr>
          <w:rFonts w:hint="eastAsia" w:ascii="宋体" w:hAnsi="宋体" w:cs="宋体"/>
          <w:b/>
          <w:bCs/>
          <w:color w:val="auto"/>
          <w:sz w:val="44"/>
          <w:szCs w:val="44"/>
          <w:highlight w:val="none"/>
          <w:lang w:eastAsia="zh-CN"/>
        </w:rPr>
        <w:t xml:space="preserve">竞争性磋商响应文件</w:t>
      </w:r>
      <w:r/>
    </w:p>
    <w:p>
      <w:pPr>
        <w:pStyle w:val="901"/>
        <w:rPr>
          <w:rFonts w:ascii="宋体" w:hAnsi="宋体" w:cs="宋体"/>
          <w:b/>
          <w:bCs/>
          <w:color w:val="auto"/>
          <w:sz w:val="44"/>
          <w:szCs w:val="44"/>
          <w:highlight w:val="none"/>
        </w:rPr>
      </w:pPr>
      <w:r>
        <w:rPr>
          <w:rFonts w:hint="eastAsia" w:ascii="宋体" w:hAnsi="宋体" w:cs="宋体"/>
          <w:b/>
          <w:bCs/>
          <w:color w:val="auto"/>
          <w:sz w:val="44"/>
          <w:szCs w:val="44"/>
          <w:highlight w:val="none"/>
        </w:rPr>
        <w:t xml:space="preserve">             </w:t>
      </w:r>
      <w:r/>
    </w:p>
    <w:p>
      <w:pPr>
        <w:pStyle w:val="901"/>
        <w:rPr>
          <w:rFonts w:ascii="宋体" w:hAnsi="宋体" w:cs="宋体"/>
          <w:b/>
          <w:bCs/>
          <w:color w:val="auto"/>
          <w:sz w:val="44"/>
          <w:szCs w:val="44"/>
          <w:highlight w:val="none"/>
        </w:rPr>
      </w:pPr>
      <w:r>
        <w:rPr>
          <w:rFonts w:ascii="宋体" w:hAnsi="宋体" w:cs="宋体"/>
          <w:b/>
          <w:bCs/>
          <w:color w:val="auto"/>
          <w:sz w:val="44"/>
          <w:szCs w:val="44"/>
          <w:highlight w:val="none"/>
        </w:rPr>
      </w:r>
      <w:r/>
    </w:p>
    <w:p>
      <w:pPr>
        <w:pStyle w:val="901"/>
        <w:ind w:firstLine="3534"/>
        <w:rPr>
          <w:color w:val="auto"/>
          <w:highlight w:val="none"/>
        </w:rPr>
      </w:pPr>
      <w:r>
        <w:rPr>
          <w:rFonts w:hint="eastAsia" w:ascii="宋体" w:hAnsi="宋体" w:cs="宋体"/>
          <w:b/>
          <w:bCs/>
          <w:color w:val="auto"/>
          <w:sz w:val="44"/>
          <w:szCs w:val="44"/>
          <w:highlight w:val="none"/>
        </w:rPr>
        <w:t xml:space="preserve">项目编号:</w:t>
      </w:r>
      <w:r/>
    </w:p>
    <w:p>
      <w:pPr>
        <w:spacing w:line="360" w:lineRule="auto"/>
        <w:rPr>
          <w:rFonts w:ascii="宋体" w:hAnsi="宋体" w:cs="宋体"/>
          <w:color w:val="auto"/>
          <w:sz w:val="28"/>
          <w:szCs w:val="28"/>
          <w:highlight w:val="none"/>
          <w:lang w:eastAsia="zh-CN"/>
        </w:rPr>
      </w:pPr>
      <w:r>
        <w:rPr>
          <w:rFonts w:ascii="宋体" w:hAnsi="宋体" w:cs="宋体"/>
          <w:color w:val="auto"/>
          <w:sz w:val="28"/>
          <w:szCs w:val="28"/>
          <w:highlight w:val="none"/>
          <w:lang w:eastAsia="zh-CN"/>
        </w:rPr>
      </w:r>
      <w:r/>
    </w:p>
    <w:p>
      <w:pPr>
        <w:spacing w:line="360" w:lineRule="auto"/>
        <w:rPr>
          <w:rFonts w:ascii="宋体" w:hAnsi="宋体" w:cs="宋体"/>
          <w:color w:val="auto"/>
          <w:sz w:val="28"/>
          <w:szCs w:val="28"/>
          <w:highlight w:val="none"/>
          <w:lang w:eastAsia="zh-CN"/>
        </w:rPr>
      </w:pPr>
      <w:r>
        <w:rPr>
          <w:rFonts w:ascii="宋体" w:hAnsi="宋体" w:cs="宋体"/>
          <w:color w:val="auto"/>
          <w:sz w:val="28"/>
          <w:szCs w:val="28"/>
          <w:highlight w:val="none"/>
          <w:lang w:eastAsia="zh-CN"/>
        </w:rPr>
      </w:r>
      <w:r/>
    </w:p>
    <w:p>
      <w:pPr>
        <w:spacing w:line="360" w:lineRule="auto"/>
        <w:rPr>
          <w:rFonts w:ascii="宋体" w:hAnsi="宋体" w:cs="宋体"/>
          <w:color w:val="auto"/>
          <w:sz w:val="28"/>
          <w:szCs w:val="28"/>
          <w:highlight w:val="none"/>
          <w:lang w:eastAsia="zh-CN"/>
        </w:rPr>
      </w:pPr>
      <w:r>
        <w:rPr>
          <w:rFonts w:ascii="宋体" w:hAnsi="宋体" w:cs="宋体"/>
          <w:color w:val="auto"/>
          <w:sz w:val="28"/>
          <w:szCs w:val="28"/>
          <w:highlight w:val="none"/>
          <w:lang w:eastAsia="zh-CN"/>
        </w:rPr>
      </w:r>
      <w:r/>
    </w:p>
    <w:p>
      <w:pPr>
        <w:spacing w:line="360" w:lineRule="auto"/>
        <w:rPr>
          <w:rFonts w:ascii="宋体" w:hAnsi="宋体" w:eastAsia="宋体" w:cs="宋体"/>
          <w:color w:val="auto"/>
          <w:sz w:val="28"/>
          <w:szCs w:val="28"/>
          <w:highlight w:val="none"/>
          <w:lang w:eastAsia="zh-CN"/>
        </w:rPr>
      </w:pPr>
      <w:r>
        <w:rPr>
          <w:rFonts w:ascii="宋体" w:hAnsi="宋体" w:eastAsia="宋体" w:cs="宋体"/>
          <w:color w:val="auto"/>
          <w:sz w:val="28"/>
          <w:szCs w:val="28"/>
          <w:highlight w:val="none"/>
          <w:lang w:eastAsia="zh-CN"/>
        </w:rPr>
      </w:r>
      <w:r/>
    </w:p>
    <w:p>
      <w:pPr>
        <w:pStyle w:val="834"/>
        <w:rPr>
          <w:rFonts w:eastAsia="宋体"/>
          <w:color w:val="auto"/>
          <w:highlight w:val="none"/>
          <w:lang w:eastAsia="zh-CN"/>
        </w:rPr>
      </w:pPr>
      <w:r>
        <w:rPr>
          <w:rFonts w:eastAsia="宋体"/>
          <w:color w:val="auto"/>
          <w:highlight w:val="none"/>
          <w:lang w:eastAsia="zh-CN"/>
        </w:rPr>
      </w:r>
      <w:r/>
    </w:p>
    <w:p>
      <w:pPr>
        <w:pStyle w:val="834"/>
        <w:rPr>
          <w:rFonts w:eastAsia="宋体"/>
          <w:color w:val="auto"/>
          <w:highlight w:val="none"/>
          <w:lang w:eastAsia="zh-CN"/>
        </w:rPr>
      </w:pPr>
      <w:r>
        <w:rPr>
          <w:rFonts w:eastAsia="宋体"/>
          <w:color w:val="auto"/>
          <w:highlight w:val="none"/>
          <w:lang w:eastAsia="zh-CN"/>
        </w:rPr>
      </w:r>
      <w:r/>
    </w:p>
    <w:p>
      <w:pPr>
        <w:pStyle w:val="834"/>
        <w:rPr>
          <w:rFonts w:eastAsia="宋体"/>
          <w:color w:val="auto"/>
          <w:highlight w:val="none"/>
          <w:lang w:eastAsia="zh-CN"/>
        </w:rPr>
      </w:pPr>
      <w:r>
        <w:rPr>
          <w:rFonts w:eastAsia="宋体"/>
          <w:color w:val="auto"/>
          <w:highlight w:val="none"/>
          <w:lang w:eastAsia="zh-CN"/>
        </w:rPr>
      </w:r>
      <w:r/>
    </w:p>
    <w:p>
      <w:pPr>
        <w:pStyle w:val="834"/>
        <w:rPr>
          <w:rFonts w:eastAsia="宋体"/>
          <w:color w:val="auto"/>
          <w:highlight w:val="none"/>
          <w:lang w:eastAsia="zh-CN"/>
        </w:rPr>
      </w:pPr>
      <w:r>
        <w:rPr>
          <w:rFonts w:eastAsia="宋体"/>
          <w:color w:val="auto"/>
          <w:highlight w:val="none"/>
          <w:lang w:eastAsia="zh-CN"/>
        </w:rPr>
      </w:r>
      <w:r/>
    </w:p>
    <w:p>
      <w:pPr>
        <w:jc w:val="center"/>
        <w:spacing w:line="360" w:lineRule="auto"/>
        <w:rPr>
          <w:rFonts w:ascii="宋体" w:hAnsi="宋体" w:cs="宋体"/>
          <w:color w:val="auto"/>
          <w:sz w:val="28"/>
          <w:szCs w:val="28"/>
          <w:highlight w:val="none"/>
          <w:u w:val="single"/>
          <w:lang w:eastAsia="zh-CN"/>
        </w:rPr>
      </w:pPr>
      <w:r>
        <w:rPr>
          <w:rFonts w:hint="eastAsia" w:ascii="宋体" w:hAnsi="宋体" w:cs="宋体"/>
          <w:color w:val="auto"/>
          <w:sz w:val="28"/>
          <w:szCs w:val="28"/>
          <w:highlight w:val="none"/>
          <w:lang w:eastAsia="zh-CN"/>
        </w:rPr>
        <w:t xml:space="preserve">供应商：（</w:t>
      </w:r>
      <w:r>
        <w:rPr>
          <w:rFonts w:hint="eastAsia" w:ascii="Arial" w:hAnsi="Arial" w:cs="Arial"/>
          <w:color w:val="auto"/>
          <w:sz w:val="28"/>
          <w:szCs w:val="28"/>
          <w:highlight w:val="none"/>
          <w:lang w:eastAsia="zh-CN"/>
        </w:rPr>
        <w:t xml:space="preserve">加盖电子公章</w:t>
      </w:r>
      <w:r>
        <w:rPr>
          <w:rFonts w:hint="eastAsia" w:ascii="宋体" w:hAnsi="宋体" w:cs="宋体"/>
          <w:color w:val="auto"/>
          <w:sz w:val="28"/>
          <w:szCs w:val="28"/>
          <w:highlight w:val="none"/>
          <w:lang w:eastAsia="zh-CN"/>
        </w:rPr>
        <w:t xml:space="preserve">）</w:t>
      </w:r>
      <w:r/>
    </w:p>
    <w:p>
      <w:pPr>
        <w:jc w:val="center"/>
        <w:spacing w:line="360" w:lineRule="auto"/>
        <w:rPr>
          <w:rFonts w:ascii="宋体" w:hAnsi="宋体" w:cs="宋体"/>
          <w:color w:val="auto"/>
          <w:sz w:val="28"/>
          <w:szCs w:val="28"/>
          <w:highlight w:val="none"/>
          <w:lang w:eastAsia="zh-CN"/>
        </w:rPr>
      </w:pPr>
      <w:r>
        <w:rPr>
          <w:rFonts w:hint="eastAsia" w:ascii="宋体" w:hAnsi="宋体" w:cs="宋体"/>
          <w:color w:val="auto"/>
          <w:sz w:val="28"/>
          <w:szCs w:val="28"/>
          <w:highlight w:val="none"/>
          <w:lang w:eastAsia="zh-CN"/>
        </w:rPr>
        <w:t xml:space="preserve">法定代表人或其委托代理人：（签字/签章）</w:t>
      </w:r>
      <w:r/>
    </w:p>
    <w:p>
      <w:pPr>
        <w:jc w:val="center"/>
        <w:spacing w:line="360" w:lineRule="auto"/>
        <w:rPr>
          <w:rFonts w:ascii="宋体" w:hAnsi="宋体" w:cs="宋体"/>
          <w:color w:val="auto"/>
          <w:sz w:val="20"/>
          <w:highlight w:val="none"/>
        </w:rPr>
      </w:pPr>
      <w:r>
        <w:rPr>
          <w:rFonts w:hint="eastAsia" w:ascii="宋体" w:hAnsi="宋体" w:cs="宋体"/>
          <w:color w:val="auto"/>
          <w:sz w:val="28"/>
          <w:szCs w:val="28"/>
          <w:highlight w:val="none"/>
        </w:rPr>
        <w:t xml:space="preserve">年 月 日</w:t>
      </w:r>
      <w:r/>
    </w:p>
    <w:p>
      <w:pPr>
        <w:spacing w:line="360" w:lineRule="auto"/>
        <w:shd w:val="clear" w:color="auto" w:fill="ffffff"/>
        <w:widowControl/>
        <w:rPr>
          <w:rFonts w:ascii="宋体" w:hAnsi="宋体" w:cs="宋体"/>
          <w:color w:val="auto"/>
          <w:highlight w:val="none"/>
        </w:rPr>
      </w:pPr>
      <w:r>
        <w:rPr>
          <w:rFonts w:ascii="宋体" w:hAnsi="宋体" w:cs="宋体"/>
          <w:color w:val="auto"/>
          <w:highlight w:val="none"/>
        </w:rPr>
      </w:r>
      <w:r/>
    </w:p>
    <w:p>
      <w:pPr>
        <w:pStyle w:val="834"/>
        <w:ind w:firstLine="0"/>
        <w:jc w:val="center"/>
        <w:rPr>
          <w:rFonts w:cs="宋体"/>
          <w:b/>
          <w:bCs/>
          <w:color w:val="auto"/>
          <w:sz w:val="36"/>
          <w:szCs w:val="36"/>
          <w:highlight w:val="none"/>
        </w:rPr>
      </w:pPr>
      <w:r>
        <w:rPr>
          <w:rFonts w:hint="eastAsia" w:cs="宋体"/>
          <w:b/>
          <w:bCs/>
          <w:color w:val="auto"/>
          <w:highlight w:val="none"/>
        </w:rPr>
        <w:br w:type="page" w:clear="all"/>
      </w:r>
      <w:r>
        <w:rPr>
          <w:rFonts w:hint="eastAsia" w:cs="宋体"/>
          <w:b/>
          <w:bCs/>
          <w:color w:val="auto"/>
          <w:sz w:val="32"/>
          <w:szCs w:val="32"/>
          <w:highlight w:val="none"/>
        </w:rPr>
        <w:t xml:space="preserve">评分索引表</w:t>
      </w:r>
      <w:r/>
    </w:p>
    <w:p>
      <w:pPr>
        <w:pStyle w:val="894"/>
        <w:jc w:val="center"/>
        <w:spacing w:line="360" w:lineRule="auto"/>
        <w:rPr>
          <w:rFonts w:ascii="宋体" w:hAnsi="宋体" w:cs="宋体"/>
          <w:color w:val="auto"/>
          <w:highlight w:val="none"/>
        </w:rPr>
      </w:pPr>
      <w:r>
        <w:rPr>
          <w:rFonts w:ascii="宋体" w:hAnsi="宋体" w:cs="宋体"/>
          <w:color w:val="auto"/>
          <w:highlight w:val="none"/>
        </w:rPr>
      </w:r>
      <w:r/>
    </w:p>
    <w:tbl>
      <w:tblPr>
        <w:tblStyle w:val="77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67"/>
        <w:gridCol w:w="7851"/>
        <w:gridCol w:w="1118"/>
      </w:tblGrid>
      <w:tr>
        <w:trPr>
          <w:jc w:val="center"/>
          <w:trHeight w:val="949"/>
        </w:trPr>
        <w:tc>
          <w:tcPr>
            <w:tcW w:w="156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评分因素</w:t>
            </w:r>
            <w:r/>
          </w:p>
        </w:tc>
        <w:tc>
          <w:tcPr>
            <w:tcW w:w="785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评分标准</w:t>
            </w:r>
            <w:r/>
          </w:p>
        </w:tc>
        <w:tc>
          <w:tcPr>
            <w:tcW w:w="111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响应文件对应页码</w:t>
            </w:r>
            <w:r/>
          </w:p>
        </w:tc>
      </w:tr>
      <w:tr>
        <w:trPr>
          <w:jc w:val="center"/>
          <w:trHeight w:val="680"/>
        </w:trPr>
        <w:tc>
          <w:tcPr>
            <w:tcW w:w="156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851" w:type="dxa"/>
            <w:vAlign w:val="center"/>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W w:w="1118"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680"/>
        </w:trPr>
        <w:tc>
          <w:tcPr>
            <w:tcW w:w="156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851" w:type="dxa"/>
            <w:vAlign w:val="center"/>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W w:w="1118"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680"/>
        </w:trPr>
        <w:tc>
          <w:tcPr>
            <w:tcW w:w="156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851" w:type="dxa"/>
            <w:vAlign w:val="center"/>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W w:w="1118"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680"/>
        </w:trPr>
        <w:tc>
          <w:tcPr>
            <w:tcW w:w="156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851" w:type="dxa"/>
            <w:vAlign w:val="center"/>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W w:w="1118"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680"/>
        </w:trPr>
        <w:tc>
          <w:tcPr>
            <w:tcW w:w="156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851" w:type="dxa"/>
            <w:vAlign w:val="center"/>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W w:w="1118"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680"/>
        </w:trPr>
        <w:tc>
          <w:tcPr>
            <w:tcW w:w="156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851" w:type="dxa"/>
            <w:vAlign w:val="center"/>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W w:w="1118"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680"/>
        </w:trPr>
        <w:tc>
          <w:tcPr>
            <w:tcW w:w="156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851" w:type="dxa"/>
            <w:vAlign w:val="center"/>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W w:w="1118"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680"/>
        </w:trPr>
        <w:tc>
          <w:tcPr>
            <w:tcW w:w="156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851" w:type="dxa"/>
            <w:vAlign w:val="center"/>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W w:w="1118"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680"/>
        </w:trPr>
        <w:tc>
          <w:tcPr>
            <w:tcW w:w="156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851" w:type="dxa"/>
            <w:vAlign w:val="center"/>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W w:w="1118"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680"/>
        </w:trPr>
        <w:tc>
          <w:tcPr>
            <w:tcW w:w="156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851" w:type="dxa"/>
            <w:vAlign w:val="center"/>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W w:w="1118"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680"/>
        </w:trPr>
        <w:tc>
          <w:tcPr>
            <w:tcW w:w="156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851" w:type="dxa"/>
            <w:vAlign w:val="center"/>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W w:w="1118"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680"/>
        </w:trPr>
        <w:tc>
          <w:tcPr>
            <w:tcW w:w="156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851" w:type="dxa"/>
            <w:vAlign w:val="center"/>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W w:w="1118"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r>
    </w:tbl>
    <w:p>
      <w:pP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spacing w:line="360" w:lineRule="auto"/>
        <w:widowControl/>
        <w:rPr>
          <w:rFonts w:ascii="宋体" w:cs="宋体"/>
          <w:color w:val="auto"/>
          <w:szCs w:val="21"/>
          <w:highlight w:val="none"/>
          <w:lang w:val="zh-CN" w:eastAsia="zh-CN"/>
        </w:rPr>
      </w:pPr>
      <w:r>
        <w:rPr>
          <w:rFonts w:hint="eastAsia" w:ascii="宋体" w:hAnsi="宋体" w:cs="宋体"/>
          <w:color w:val="auto"/>
          <w:szCs w:val="21"/>
          <w:highlight w:val="none"/>
          <w:lang w:val="zh-CN" w:eastAsia="zh-CN"/>
        </w:rPr>
        <w:t xml:space="preserve">供应商名称：</w:t>
      </w:r>
      <w:r>
        <w:rPr>
          <w:rFonts w:ascii="宋体" w:hAnsi="宋体"/>
          <w:color w:val="auto"/>
          <w:szCs w:val="21"/>
          <w:highlight w:val="none"/>
          <w:u w:val="single"/>
          <w:lang w:val="zh-CN" w:eastAsia="zh-CN"/>
        </w:rPr>
        <w:t xml:space="preserve">                                                      </w:t>
      </w:r>
      <w:r>
        <w:rPr>
          <w:rFonts w:hint="eastAsia" w:ascii="宋体" w:hAnsi="宋体"/>
          <w:color w:val="auto"/>
          <w:szCs w:val="21"/>
          <w:highlight w:val="none"/>
          <w:u w:val="single"/>
          <w:lang w:val="zh-CN" w:eastAsia="zh-CN"/>
        </w:rPr>
        <w:t xml:space="preserve">（加盖电子公章）</w:t>
      </w:r>
      <w:r/>
    </w:p>
    <w:p>
      <w:pPr>
        <w:spacing w:line="360" w:lineRule="auto"/>
        <w:widowControl/>
        <w:rPr>
          <w:rFonts w:ascii="宋体" w:cs="宋体"/>
          <w:color w:val="auto"/>
          <w:szCs w:val="21"/>
          <w:highlight w:val="none"/>
          <w:lang w:val="zh-CN" w:eastAsia="zh-CN"/>
        </w:rPr>
      </w:pPr>
      <w:r>
        <w:rPr>
          <w:rFonts w:hint="eastAsia" w:ascii="宋体" w:hAnsi="宋体" w:cs="宋体"/>
          <w:color w:val="auto"/>
          <w:szCs w:val="21"/>
          <w:highlight w:val="none"/>
          <w:lang w:val="zh-CN" w:eastAsia="zh-CN"/>
        </w:rPr>
        <w:t xml:space="preserve">说明：如果行数不够，请自行增加。</w:t>
      </w:r>
      <w:r/>
    </w:p>
    <w:p>
      <w:pPr>
        <w:spacing w:line="360" w:lineRule="auto"/>
        <w:shd w:val="clear" w:color="auto" w:fill="ffffff"/>
        <w:widowControl/>
        <w:rPr>
          <w:rFonts w:ascii="宋体" w:hAnsi="宋体" w:cs="宋体"/>
          <w:b/>
          <w:bCs/>
          <w:color w:val="auto"/>
          <w:sz w:val="24"/>
          <w:highlight w:val="none"/>
          <w:lang w:eastAsia="zh-CN"/>
        </w:rPr>
      </w:pPr>
      <w:r>
        <w:rPr>
          <w:rFonts w:ascii="宋体" w:hAnsi="宋体" w:cs="宋体"/>
          <w:b/>
          <w:bCs/>
          <w:color w:val="auto"/>
          <w:sz w:val="24"/>
          <w:highlight w:val="none"/>
          <w:lang w:eastAsia="zh-CN"/>
        </w:rPr>
      </w:r>
      <w:r/>
    </w:p>
    <w:p>
      <w:pPr>
        <w:jc w:val="center"/>
        <w:spacing w:line="360" w:lineRule="auto"/>
        <w:rPr>
          <w:rFonts w:hint="eastAsia" w:ascii="宋体" w:hAnsi="宋体" w:cs="宋体"/>
          <w:b/>
          <w:bCs/>
          <w:color w:val="auto"/>
          <w:sz w:val="32"/>
          <w:szCs w:val="32"/>
          <w:highlight w:val="none"/>
          <w:lang w:eastAsia="zh-CN"/>
        </w:rPr>
      </w:pPr>
      <w:r>
        <w:rPr>
          <w:rFonts w:hint="eastAsia" w:ascii="宋体" w:hAnsi="宋体" w:cs="宋体"/>
          <w:b/>
          <w:bCs/>
          <w:color w:val="auto"/>
          <w:sz w:val="36"/>
          <w:szCs w:val="36"/>
          <w:highlight w:val="none"/>
          <w:lang w:eastAsia="zh-CN"/>
        </w:rPr>
        <w:br w:type="column"/>
      </w:r>
      <w:r>
        <w:rPr>
          <w:rFonts w:hint="eastAsia" w:ascii="宋体" w:hAnsi="宋体" w:cs="宋体"/>
          <w:b/>
          <w:bCs/>
          <w:color w:val="auto"/>
          <w:sz w:val="32"/>
          <w:szCs w:val="32"/>
          <w:highlight w:val="none"/>
          <w:lang w:eastAsia="zh-CN"/>
        </w:rPr>
        <w:t xml:space="preserve">目录</w:t>
      </w:r>
      <w:r/>
    </w:p>
    <w:p>
      <w:pPr>
        <w:jc w:val="center"/>
        <w:spacing w:line="360" w:lineRule="auto"/>
        <w:rPr>
          <w:rFonts w:ascii="宋体" w:hAnsi="宋体" w:cs="宋体"/>
          <w:b/>
          <w:bCs/>
          <w:color w:val="auto"/>
          <w:sz w:val="32"/>
          <w:szCs w:val="32"/>
          <w:highlight w:val="none"/>
          <w:lang w:eastAsia="zh-CN"/>
        </w:rPr>
      </w:pPr>
      <w:r>
        <w:rPr>
          <w:rFonts w:hint="eastAsia" w:ascii="宋体" w:hAnsi="宋体" w:cs="宋体"/>
          <w:b/>
          <w:bCs/>
          <w:color w:val="auto"/>
          <w:sz w:val="32"/>
          <w:szCs w:val="32"/>
          <w:highlight w:val="none"/>
          <w:lang w:eastAsia="zh-CN"/>
        </w:rPr>
        <w:t xml:space="preserve">（供应商自行编制）</w:t>
      </w:r>
      <w:r/>
    </w:p>
    <w:p>
      <w:pPr>
        <w:spacing w:line="360" w:lineRule="auto"/>
        <w:rPr>
          <w:rFonts w:ascii="宋体" w:hAnsi="宋体" w:cs="宋体"/>
          <w:b/>
          <w:bCs/>
          <w:color w:val="auto"/>
          <w:szCs w:val="21"/>
          <w:highlight w:val="none"/>
          <w:lang w:eastAsia="zh-CN"/>
        </w:rPr>
      </w:pPr>
      <w:r/>
      <w:bookmarkStart w:id="1097" w:name="_Toc504056868"/>
      <w:r/>
      <w:bookmarkStart w:id="1098" w:name="_Toc504573083"/>
      <w:r/>
      <w:bookmarkStart w:id="1099" w:name="_Toc504044380"/>
      <w:r>
        <w:rPr>
          <w:rFonts w:hint="eastAsia" w:ascii="宋体" w:hAnsi="宋体" w:cs="宋体"/>
          <w:b/>
          <w:bCs/>
          <w:color w:val="auto"/>
          <w:szCs w:val="21"/>
          <w:highlight w:val="none"/>
          <w:lang w:eastAsia="zh-CN"/>
        </w:rPr>
        <w:br w:type="page" w:clear="all"/>
      </w:r>
      <w:bookmarkEnd w:id="1097"/>
      <w:r/>
      <w:bookmarkEnd w:id="1098"/>
      <w:r/>
      <w:bookmarkEnd w:id="1099"/>
      <w:r>
        <w:rPr>
          <w:rFonts w:hint="eastAsia" w:ascii="宋体" w:hAnsi="宋体" w:cs="宋体"/>
          <w:b/>
          <w:color w:val="auto"/>
          <w:szCs w:val="21"/>
          <w:highlight w:val="none"/>
          <w:lang w:eastAsia="zh-CN"/>
        </w:rPr>
        <w:t xml:space="preserve">格式</w:t>
      </w:r>
      <w:r>
        <w:rPr>
          <w:rFonts w:hint="eastAsia" w:ascii="宋体" w:hAnsi="宋体" w:cs="宋体"/>
          <w:b/>
          <w:bCs/>
          <w:color w:val="auto"/>
          <w:szCs w:val="21"/>
          <w:highlight w:val="none"/>
          <w:lang w:eastAsia="zh-CN"/>
        </w:rPr>
        <w:t xml:space="preserve">一、</w:t>
      </w:r>
      <w:r>
        <w:rPr>
          <w:rFonts w:hint="eastAsia" w:ascii="宋体" w:hAnsi="宋体" w:cs="宋体"/>
          <w:b/>
          <w:color w:val="auto"/>
          <w:szCs w:val="21"/>
          <w:highlight w:val="none"/>
          <w:lang w:eastAsia="zh-CN"/>
        </w:rPr>
        <w:t xml:space="preserve">竞争性磋商申请及声明</w:t>
      </w:r>
      <w:r>
        <w:rPr>
          <w:rFonts w:hint="eastAsia" w:ascii="宋体" w:hAnsi="宋体" w:cs="宋体"/>
          <w:b/>
          <w:bCs/>
          <w:color w:val="auto"/>
          <w:szCs w:val="21"/>
          <w:highlight w:val="none"/>
          <w:lang w:eastAsia="zh-CN"/>
        </w:rPr>
        <w:t xml:space="preserve">格式</w:t>
      </w:r>
      <w:r/>
    </w:p>
    <w:p>
      <w:pPr>
        <w:jc w:val="center"/>
        <w:spacing w:line="360" w:lineRule="auto"/>
        <w:rPr>
          <w:rFonts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t xml:space="preserve">竞争性磋商申请及声明</w:t>
      </w:r>
      <w:r/>
    </w:p>
    <w:p>
      <w:pPr>
        <w:jc w:val="center"/>
        <w:spacing w:line="360" w:lineRule="auto"/>
        <w:rPr>
          <w:rFonts w:ascii="宋体" w:hAnsi="宋体" w:cs="宋体"/>
          <w:color w:val="auto"/>
          <w:szCs w:val="21"/>
          <w:highlight w:val="none"/>
          <w:lang w:eastAsia="zh-CN"/>
        </w:rPr>
      </w:pPr>
      <w:r>
        <w:rPr>
          <w:rFonts w:ascii="宋体" w:hAnsi="宋体" w:cs="宋体"/>
          <w:color w:val="auto"/>
          <w:szCs w:val="21"/>
          <w:highlight w:val="none"/>
          <w:lang w:eastAsia="zh-CN"/>
        </w:rPr>
      </w:r>
      <w:r/>
    </w:p>
    <w:p>
      <w:pPr>
        <w:spacing w:line="360" w:lineRule="auto"/>
        <w:rPr>
          <w:rFonts w:ascii="宋体" w:hAnsi="宋体" w:cs="宋体"/>
          <w:color w:val="auto"/>
          <w:szCs w:val="21"/>
          <w:highlight w:val="none"/>
          <w:lang w:val="zh-CN" w:eastAsia="zh-CN"/>
        </w:rPr>
      </w:pPr>
      <w:r>
        <w:rPr>
          <w:rFonts w:hint="eastAsia" w:ascii="宋体" w:hAnsi="宋体" w:cs="宋体"/>
          <w:color w:val="auto"/>
          <w:szCs w:val="21"/>
          <w:highlight w:val="none"/>
          <w:lang w:val="zh-CN" w:eastAsia="zh-CN"/>
        </w:rPr>
        <w:t xml:space="preserve">致： </w:t>
      </w:r>
      <w:r/>
    </w:p>
    <w:p>
      <w:pPr>
        <w:ind w:firstLine="42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根据贵方</w:t>
      </w:r>
      <w:r>
        <w:rPr>
          <w:rFonts w:hint="eastAsia" w:ascii="宋体" w:hAnsi="宋体" w:eastAsia="宋体" w:cs="宋体"/>
          <w:color w:val="auto"/>
          <w:sz w:val="24"/>
          <w:szCs w:val="24"/>
          <w:highlight w:val="none"/>
          <w:u w:val="single"/>
          <w:lang w:val="zh-CN" w:eastAsia="zh-CN"/>
        </w:rPr>
        <w:t xml:space="preserve">                   </w:t>
      </w:r>
      <w:r>
        <w:rPr>
          <w:rFonts w:hint="eastAsia" w:ascii="宋体" w:hAnsi="宋体" w:eastAsia="宋体" w:cs="宋体"/>
          <w:color w:val="auto"/>
          <w:sz w:val="24"/>
          <w:szCs w:val="24"/>
          <w:highlight w:val="none"/>
          <w:lang w:val="zh-CN" w:eastAsia="zh-CN"/>
        </w:rPr>
        <w:t xml:space="preserve">（项目名称）</w:t>
      </w:r>
      <w:r>
        <w:rPr>
          <w:rFonts w:hint="eastAsia" w:ascii="宋体" w:hAnsi="宋体" w:eastAsia="宋体" w:cs="宋体"/>
          <w:color w:val="auto"/>
          <w:sz w:val="24"/>
          <w:szCs w:val="24"/>
          <w:highlight w:val="none"/>
          <w:u w:val="single"/>
          <w:lang w:val="zh-CN" w:eastAsia="zh-CN"/>
        </w:rPr>
        <w:t xml:space="preserve">              </w:t>
      </w:r>
      <w:r>
        <w:rPr>
          <w:rFonts w:hint="eastAsia" w:ascii="宋体" w:hAnsi="宋体" w:eastAsia="宋体" w:cs="宋体"/>
          <w:color w:val="auto"/>
          <w:sz w:val="24"/>
          <w:szCs w:val="24"/>
          <w:highlight w:val="none"/>
          <w:lang w:val="zh-CN" w:eastAsia="zh-CN"/>
        </w:rPr>
        <w:t xml:space="preserve">（项目编号）竞争性磋商公告，正式授权下述签字人</w:t>
      </w:r>
      <w:r>
        <w:rPr>
          <w:rFonts w:hint="eastAsia" w:ascii="宋体" w:hAnsi="宋体" w:eastAsia="宋体" w:cs="宋体"/>
          <w:color w:val="auto"/>
          <w:sz w:val="24"/>
          <w:szCs w:val="24"/>
          <w:highlight w:val="none"/>
          <w:u w:val="single"/>
          <w:lang w:val="zh-CN" w:eastAsia="zh-CN"/>
        </w:rPr>
        <w:t xml:space="preserve">           </w:t>
      </w:r>
      <w:r>
        <w:rPr>
          <w:rFonts w:hint="eastAsia" w:ascii="宋体" w:hAnsi="宋体" w:eastAsia="宋体" w:cs="宋体"/>
          <w:color w:val="auto"/>
          <w:sz w:val="24"/>
          <w:szCs w:val="24"/>
          <w:highlight w:val="none"/>
          <w:lang w:val="zh-CN" w:eastAsia="zh-CN"/>
        </w:rPr>
        <w:t xml:space="preserve">（姓名和职务）代表</w:t>
      </w:r>
      <w:r>
        <w:rPr>
          <w:rFonts w:hint="eastAsia" w:ascii="宋体" w:hAnsi="宋体" w:eastAsia="宋体" w:cs="宋体"/>
          <w:color w:val="auto"/>
          <w:sz w:val="24"/>
          <w:szCs w:val="24"/>
          <w:highlight w:val="none"/>
          <w:u w:val="single"/>
          <w:lang w:val="zh-CN" w:eastAsia="zh-CN"/>
        </w:rPr>
        <w:t xml:space="preserve">                        </w:t>
      </w:r>
      <w:r>
        <w:rPr>
          <w:rFonts w:hint="eastAsia" w:ascii="宋体" w:hAnsi="宋体" w:eastAsia="宋体" w:cs="宋体"/>
          <w:color w:val="auto"/>
          <w:sz w:val="24"/>
          <w:szCs w:val="24"/>
          <w:highlight w:val="none"/>
          <w:lang w:val="zh-CN" w:eastAsia="zh-CN"/>
        </w:rPr>
        <w:t xml:space="preserve">（供应商名称），提交磋商响应文件并参加磋商。</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据此函，签字人兹宣布同意如下：</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1.我方完全理解贵方不一定将合同授予最低报价的响应人。</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2.我方已详细审核全部竞争性磋商文件及其有效补充文件，我们知道必须放弃提出含糊不清或误解问题的权利。</w:t>
      </w:r>
      <w:r/>
    </w:p>
    <w:p>
      <w:pPr>
        <w:ind w:firstLine="480"/>
        <w:spacing w:line="360" w:lineRule="auto"/>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3.在充分研究磋商文件的全部内容后，我方兹以</w:t>
      </w:r>
      <w:r>
        <w:rPr>
          <w:rFonts w:hint="eastAsia" w:ascii="宋体" w:hAnsi="宋体" w:eastAsia="宋体" w:cs="宋体"/>
          <w:color w:val="auto"/>
          <w:sz w:val="24"/>
          <w:szCs w:val="24"/>
          <w:highlight w:val="none"/>
          <w:lang w:val="zh-CN" w:eastAsia="zh-CN"/>
        </w:rPr>
        <w:t xml:space="preserve">报价（含增值税）</w:t>
      </w:r>
      <w:r>
        <w:rPr>
          <w:rFonts w:hint="eastAsia" w:ascii="宋体" w:hAnsi="宋体" w:eastAsia="宋体" w:cs="宋体"/>
          <w:color w:val="auto"/>
          <w:sz w:val="24"/>
          <w:szCs w:val="24"/>
          <w:highlight w:val="none"/>
          <w:u w:val="single"/>
          <w:lang w:val="zh-CN" w:eastAsia="zh-CN"/>
        </w:rPr>
        <w:t xml:space="preserve">（</w:t>
      </w:r>
      <w:r>
        <w:rPr>
          <w:rFonts w:hint="eastAsia" w:ascii="宋体" w:hAnsi="宋体" w:eastAsia="宋体" w:cs="宋体"/>
          <w:color w:val="auto"/>
          <w:sz w:val="24"/>
          <w:szCs w:val="24"/>
          <w:highlight w:val="none"/>
          <w:u w:val="single"/>
          <w:lang w:eastAsia="zh-CN"/>
        </w:rPr>
        <w:t xml:space="preserve">大写</w:t>
      </w:r>
      <w:r>
        <w:rPr>
          <w:rFonts w:hint="eastAsia" w:ascii="宋体" w:hAnsi="宋体" w:eastAsia="宋体" w:cs="宋体"/>
          <w:color w:val="auto"/>
          <w:sz w:val="24"/>
          <w:szCs w:val="24"/>
          <w:highlight w:val="none"/>
          <w:u w:val="single"/>
          <w:lang w:val="zh-CN" w:eastAsia="zh-CN"/>
        </w:rPr>
        <w:t xml:space="preserve">）</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进行报价，并严格按照合同约定，施工、竣工和交付本工程并维修其中的任何缺陷。</w:t>
      </w:r>
      <w:r/>
    </w:p>
    <w:p>
      <w:pPr>
        <w:pStyle w:val="901"/>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4.我方拟投入本项目负责人为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5.我方承诺本项目的工期为</w:t>
      </w:r>
      <w:r>
        <w:rPr>
          <w:rFonts w:hint="eastAsia" w:ascii="宋体" w:hAnsi="宋体" w:eastAsia="宋体" w:cs="宋体"/>
          <w:bCs/>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6.我方同意向贵方提供贵方可能另外要求的与磋商有关的任何证据或资料，并保证我方已提供和将要提供的文件是真实的、准确的。</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7.遵守竞争性磋商文件中要求的收费项目和标准。</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8.我方正式通讯方式为：</w:t>
      </w:r>
      <w:r/>
    </w:p>
    <w:p>
      <w:pPr>
        <w:ind w:firstLine="480"/>
        <w:spacing w:line="360" w:lineRule="auto"/>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lang w:eastAsia="zh-CN"/>
        </w:rPr>
        <w:t xml:space="preserve">地   址：</w:t>
      </w:r>
      <w:r>
        <w:rPr>
          <w:rFonts w:hint="eastAsia" w:ascii="宋体" w:hAnsi="宋体" w:eastAsia="宋体" w:cs="宋体"/>
          <w:color w:val="auto"/>
          <w:sz w:val="24"/>
          <w:szCs w:val="24"/>
          <w:highlight w:val="none"/>
          <w:u w:val="single"/>
          <w:lang w:eastAsia="zh-CN"/>
        </w:rPr>
        <w:t xml:space="preserve">                       </w:t>
      </w:r>
      <w:r/>
    </w:p>
    <w:p>
      <w:pPr>
        <w:ind w:firstLine="480"/>
        <w:spacing w:line="360" w:lineRule="auto"/>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lang w:eastAsia="zh-CN"/>
        </w:rPr>
        <w:t xml:space="preserve">电   话：</w:t>
      </w:r>
      <w:r>
        <w:rPr>
          <w:rFonts w:hint="eastAsia" w:ascii="宋体" w:hAnsi="宋体" w:eastAsia="宋体" w:cs="宋体"/>
          <w:color w:val="auto"/>
          <w:sz w:val="24"/>
          <w:szCs w:val="24"/>
          <w:highlight w:val="none"/>
          <w:u w:val="single"/>
          <w:lang w:eastAsia="zh-CN"/>
        </w:rPr>
        <w:t xml:space="preserve">                       </w:t>
      </w:r>
      <w:r/>
    </w:p>
    <w:p>
      <w:pPr>
        <w:ind w:firstLine="480"/>
        <w:spacing w:line="360" w:lineRule="auto"/>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lang w:eastAsia="zh-CN"/>
        </w:rPr>
        <w:t xml:space="preserve">传   真：</w:t>
      </w:r>
      <w:r>
        <w:rPr>
          <w:rFonts w:hint="eastAsia" w:ascii="宋体" w:hAnsi="宋体" w:eastAsia="宋体" w:cs="宋体"/>
          <w:color w:val="auto"/>
          <w:sz w:val="24"/>
          <w:szCs w:val="24"/>
          <w:highlight w:val="none"/>
          <w:u w:val="single"/>
          <w:lang w:eastAsia="zh-CN"/>
        </w:rPr>
        <w:t xml:space="preserve">                       </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9.我方正式开户银行和账号为：</w:t>
      </w:r>
      <w:r/>
    </w:p>
    <w:p>
      <w:pPr>
        <w:ind w:firstLine="480"/>
        <w:spacing w:line="360" w:lineRule="auto"/>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lang w:eastAsia="zh-CN"/>
        </w:rPr>
        <w:t xml:space="preserve">开户银行：</w:t>
      </w:r>
      <w:r>
        <w:rPr>
          <w:rFonts w:hint="eastAsia" w:ascii="宋体" w:hAnsi="宋体" w:eastAsia="宋体" w:cs="宋体"/>
          <w:color w:val="auto"/>
          <w:sz w:val="24"/>
          <w:szCs w:val="24"/>
          <w:highlight w:val="none"/>
          <w:u w:val="single"/>
          <w:lang w:eastAsia="zh-CN"/>
        </w:rPr>
        <w:t xml:space="preserve">                       </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账    号：</w:t>
      </w:r>
      <w:r>
        <w:rPr>
          <w:rFonts w:hint="eastAsia" w:ascii="宋体" w:hAnsi="宋体" w:eastAsia="宋体" w:cs="宋体"/>
          <w:color w:val="auto"/>
          <w:sz w:val="24"/>
          <w:szCs w:val="24"/>
          <w:highlight w:val="none"/>
          <w:u w:val="single"/>
          <w:lang w:eastAsia="zh-CN"/>
        </w:rPr>
        <w:t xml:space="preserve">                       </w:t>
      </w:r>
      <w:r/>
    </w:p>
    <w:p>
      <w:pPr>
        <w:ind w:firstLine="480"/>
        <w:spacing w:line="360" w:lineRule="auto"/>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lang w:eastAsia="zh-CN"/>
        </w:rPr>
        <w:t xml:space="preserve">供应商授权代表姓名（签字或签章）：</w:t>
      </w:r>
      <w:r>
        <w:rPr>
          <w:rFonts w:hint="eastAsia" w:ascii="宋体" w:hAnsi="宋体" w:eastAsia="宋体" w:cs="宋体"/>
          <w:color w:val="auto"/>
          <w:sz w:val="24"/>
          <w:szCs w:val="24"/>
          <w:highlight w:val="none"/>
          <w:u w:val="single"/>
          <w:lang w:eastAsia="zh-CN"/>
        </w:rPr>
        <w:t xml:space="preserve">         </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供应商名称（加盖电子公章）：</w:t>
      </w:r>
      <w:r>
        <w:rPr>
          <w:rFonts w:hint="eastAsia" w:ascii="宋体" w:hAnsi="宋体" w:eastAsia="宋体" w:cs="宋体"/>
          <w:color w:val="auto"/>
          <w:sz w:val="24"/>
          <w:szCs w:val="24"/>
          <w:highlight w:val="none"/>
          <w:u w:val="single"/>
          <w:lang w:eastAsia="zh-CN"/>
        </w:rPr>
        <w:t xml:space="preserve">                 </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日    期：</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年</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月</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日</w:t>
      </w:r>
      <w:r/>
    </w:p>
    <w:p>
      <w:pPr>
        <w:spacing w:line="360" w:lineRule="auto"/>
        <w:rPr>
          <w:rFonts w:hint="eastAsia" w:ascii="宋体" w:hAnsi="宋体" w:cs="宋体"/>
          <w:color w:val="auto"/>
          <w:szCs w:val="21"/>
          <w:highlight w:val="none"/>
          <w:lang w:val="zh-CN" w:eastAsia="zh-CN"/>
        </w:rPr>
      </w:pPr>
      <w:r>
        <w:rPr>
          <w:rFonts w:hint="eastAsia" w:ascii="宋体" w:hAnsi="宋体" w:cs="宋体"/>
          <w:color w:val="auto"/>
          <w:szCs w:val="21"/>
          <w:highlight w:val="none"/>
          <w:lang w:val="zh-CN" w:eastAsia="zh-CN"/>
        </w:rPr>
        <w:br w:type="page" w:clear="all"/>
      </w:r>
      <w:r/>
    </w:p>
    <w:p>
      <w:pPr>
        <w:spacing w:line="360" w:lineRule="auto"/>
        <w:rPr>
          <w:rFonts w:ascii="宋体" w:hAnsi="宋体" w:cs="宋体"/>
          <w:b/>
          <w:bCs/>
          <w:color w:val="auto"/>
          <w:szCs w:val="21"/>
          <w:highlight w:val="none"/>
          <w:lang w:eastAsia="zh-CN"/>
        </w:rPr>
      </w:pPr>
      <w:r>
        <w:rPr>
          <w:rFonts w:hint="eastAsia" w:ascii="宋体" w:hAnsi="宋体" w:cs="宋体"/>
          <w:b/>
          <w:color w:val="auto"/>
          <w:highlight w:val="none"/>
          <w:lang w:eastAsia="zh-CN"/>
        </w:rPr>
        <w:t xml:space="preserve">格式</w:t>
      </w:r>
      <w:r>
        <w:rPr>
          <w:rFonts w:hint="eastAsia" w:ascii="宋体" w:hAnsi="宋体" w:cs="宋体"/>
          <w:b/>
          <w:bCs/>
          <w:color w:val="auto"/>
          <w:szCs w:val="21"/>
          <w:highlight w:val="none"/>
          <w:lang w:eastAsia="zh-CN"/>
        </w:rPr>
        <w:t xml:space="preserve">二、法定代表人授权委托书格式</w:t>
      </w:r>
      <w:r/>
    </w:p>
    <w:p>
      <w:pPr>
        <w:ind w:firstLine="720"/>
        <w:jc w:val="center"/>
        <w:spacing w:line="360" w:lineRule="auto"/>
        <w:shd w:val="clear" w:color="auto" w:fill="ffffff"/>
        <w:widowControl/>
        <w:rPr>
          <w:rFonts w:ascii="宋体" w:hAnsi="宋体" w:cs="宋体"/>
          <w:b/>
          <w:color w:val="auto"/>
          <w:szCs w:val="21"/>
          <w:highlight w:val="none"/>
          <w:lang w:eastAsia="zh-CN"/>
        </w:rPr>
      </w:pPr>
      <w:r/>
      <w:bookmarkStart w:id="1100" w:name="_Toc513029283"/>
      <w:r/>
      <w:bookmarkStart w:id="1101" w:name="_Toc23828485"/>
      <w:r/>
      <w:bookmarkStart w:id="1102" w:name="_Toc22356585"/>
      <w:r/>
      <w:bookmarkStart w:id="1103" w:name="_Toc49090584"/>
      <w:r/>
      <w:bookmarkStart w:id="1104" w:name="_Toc120614292"/>
      <w:r/>
      <w:bookmarkStart w:id="1105" w:name="_Toc26554105"/>
      <w:r>
        <w:rPr>
          <w:rFonts w:hint="eastAsia" w:ascii="宋体" w:hAnsi="宋体" w:cs="宋体"/>
          <w:b/>
          <w:color w:val="auto"/>
          <w:sz w:val="36"/>
          <w:szCs w:val="36"/>
          <w:highlight w:val="none"/>
          <w:lang w:eastAsia="zh-CN"/>
        </w:rPr>
        <w:t xml:space="preserve">法定代表人授权委托书</w:t>
      </w:r>
      <w:r/>
    </w:p>
    <w:p>
      <w:pPr>
        <w:spacing w:line="360" w:lineRule="auto"/>
        <w:shd w:val="clear" w:color="auto" w:fill="ffffff"/>
        <w:widowControl/>
        <w:rPr>
          <w:rFonts w:ascii="宋体" w:hAnsi="宋体" w:cs="宋体"/>
          <w:color w:val="auto"/>
          <w:szCs w:val="21"/>
          <w:highlight w:val="none"/>
          <w:lang w:eastAsia="zh-CN"/>
        </w:rPr>
      </w:pPr>
      <w:r>
        <w:rPr>
          <w:rFonts w:ascii="宋体" w:hAnsi="宋体" w:cs="宋体"/>
          <w:color w:val="auto"/>
          <w:szCs w:val="21"/>
          <w:highlight w:val="none"/>
          <w:lang w:eastAsia="zh-CN"/>
        </w:rPr>
      </w:r>
      <w:r/>
    </w:p>
    <w:p>
      <w:pPr>
        <w:spacing w:line="360" w:lineRule="auto"/>
        <w:shd w:val="clear" w:color="auto" w:fill="ffffff"/>
        <w:widowControl/>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致： </w:t>
      </w:r>
      <w:r/>
    </w:p>
    <w:p>
      <w:pPr>
        <w:ind w:firstLine="420"/>
        <w:spacing w:line="360" w:lineRule="auto"/>
        <w:shd w:val="clear" w:color="auto" w:fill="ffffff"/>
        <w:widowControl/>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本授权书声明：注册于</w:t>
      </w:r>
      <w:r>
        <w:rPr>
          <w:rFonts w:hint="eastAsia" w:ascii="宋体" w:hAnsi="宋体" w:cs="宋体"/>
          <w:color w:val="auto"/>
          <w:szCs w:val="21"/>
          <w:highlight w:val="none"/>
          <w:u w:val="single"/>
          <w:lang w:eastAsia="zh-CN"/>
        </w:rPr>
        <w:t xml:space="preserve">              </w:t>
      </w:r>
      <w:r>
        <w:rPr>
          <w:rFonts w:hint="eastAsia" w:ascii="宋体" w:hAnsi="宋体" w:cs="宋体"/>
          <w:color w:val="auto"/>
          <w:szCs w:val="21"/>
          <w:highlight w:val="none"/>
          <w:lang w:eastAsia="zh-CN"/>
        </w:rPr>
        <w:t xml:space="preserve">（响应人住址）的</w:t>
      </w:r>
      <w:r>
        <w:rPr>
          <w:rFonts w:hint="eastAsia" w:ascii="宋体" w:hAnsi="宋体" w:cs="宋体"/>
          <w:color w:val="auto"/>
          <w:szCs w:val="21"/>
          <w:highlight w:val="none"/>
          <w:u w:val="single"/>
          <w:lang w:eastAsia="zh-CN"/>
        </w:rPr>
        <w:t xml:space="preserve">           </w:t>
      </w:r>
      <w:r>
        <w:rPr>
          <w:rFonts w:hint="eastAsia" w:ascii="宋体" w:hAnsi="宋体" w:cs="宋体"/>
          <w:color w:val="auto"/>
          <w:szCs w:val="21"/>
          <w:highlight w:val="none"/>
          <w:lang w:eastAsia="zh-CN"/>
        </w:rPr>
        <w:t xml:space="preserve">（响应人名称）法定代表人</w:t>
      </w:r>
      <w:r>
        <w:rPr>
          <w:rFonts w:hint="eastAsia" w:ascii="宋体" w:hAnsi="宋体" w:cs="宋体"/>
          <w:color w:val="auto"/>
          <w:szCs w:val="21"/>
          <w:highlight w:val="none"/>
          <w:u w:val="single"/>
          <w:lang w:eastAsia="zh-CN"/>
        </w:rPr>
        <w:t xml:space="preserve">        </w:t>
      </w:r>
      <w:r>
        <w:rPr>
          <w:rFonts w:hint="eastAsia" w:ascii="宋体" w:hAnsi="宋体" w:cs="宋体"/>
          <w:color w:val="auto"/>
          <w:szCs w:val="21"/>
          <w:highlight w:val="none"/>
          <w:lang w:eastAsia="zh-CN"/>
        </w:rPr>
        <w:t xml:space="preserve">（法定代表人姓名、职务）代表本公司授权在下面签字的</w:t>
      </w:r>
      <w:r>
        <w:rPr>
          <w:rFonts w:hint="eastAsia" w:ascii="宋体" w:hAnsi="宋体" w:cs="宋体"/>
          <w:color w:val="auto"/>
          <w:szCs w:val="21"/>
          <w:highlight w:val="none"/>
          <w:u w:val="single"/>
          <w:lang w:eastAsia="zh-CN"/>
        </w:rPr>
        <w:t xml:space="preserve">        </w:t>
      </w:r>
      <w:r>
        <w:rPr>
          <w:rFonts w:hint="eastAsia" w:ascii="宋体" w:hAnsi="宋体" w:cs="宋体"/>
          <w:color w:val="auto"/>
          <w:szCs w:val="21"/>
          <w:highlight w:val="none"/>
          <w:lang w:eastAsia="zh-CN"/>
        </w:rPr>
        <w:t xml:space="preserve">（响应人代表姓名、职务）为本公司的合法代理人，就贵方组织的</w:t>
      </w:r>
      <w:r>
        <w:rPr>
          <w:rFonts w:hint="eastAsia" w:ascii="宋体" w:hAnsi="宋体" w:cs="宋体"/>
          <w:b/>
          <w:bCs/>
          <w:color w:val="auto"/>
          <w:szCs w:val="21"/>
          <w:highlight w:val="none"/>
          <w:u w:val="single"/>
          <w:lang w:eastAsia="zh-CN"/>
        </w:rPr>
        <w:t xml:space="preserve">                   </w:t>
      </w:r>
      <w:r>
        <w:rPr>
          <w:rFonts w:hint="eastAsia" w:ascii="宋体" w:hAnsi="宋体" w:cs="宋体"/>
          <w:color w:val="auto"/>
          <w:szCs w:val="21"/>
          <w:highlight w:val="none"/>
          <w:lang w:eastAsia="zh-CN"/>
        </w:rPr>
        <w:t xml:space="preserve">（项目名称），</w:t>
      </w:r>
      <w:r>
        <w:rPr>
          <w:rFonts w:hint="eastAsia" w:ascii="宋体" w:hAnsi="宋体" w:cs="宋体"/>
          <w:color w:val="auto"/>
          <w:szCs w:val="21"/>
          <w:highlight w:val="none"/>
          <w:u w:val="single"/>
          <w:lang w:eastAsia="zh-CN"/>
        </w:rPr>
        <w:t xml:space="preserve">        </w:t>
      </w:r>
      <w:r>
        <w:rPr>
          <w:rFonts w:hint="eastAsia" w:ascii="宋体" w:hAnsi="宋体" w:cs="宋体"/>
          <w:color w:val="auto"/>
          <w:szCs w:val="21"/>
          <w:highlight w:val="none"/>
          <w:lang w:eastAsia="zh-CN"/>
        </w:rPr>
        <w:t xml:space="preserve">（项目编号）响应，以本公司名义处理一切与之有关的事务。</w:t>
      </w:r>
      <w:r/>
    </w:p>
    <w:p>
      <w:pPr>
        <w:spacing w:line="360" w:lineRule="auto"/>
        <w:shd w:val="clear" w:color="auto" w:fill="ffffff"/>
        <w:widowControl/>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    本授权书于    年  月  日签字生效，特此声明。</w:t>
      </w:r>
      <w:r/>
    </w:p>
    <w:p>
      <w:pPr>
        <w:spacing w:line="360" w:lineRule="auto"/>
        <w:shd w:val="clear" w:color="auto" w:fill="ffffff"/>
        <w:widowControl/>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    法定代表人签字</w:t>
      </w:r>
      <w:r>
        <w:rPr>
          <w:rFonts w:hint="eastAsia" w:ascii="宋体" w:hAnsi="宋体" w:eastAsia="宋体" w:cs="宋体"/>
          <w:color w:val="auto"/>
          <w:sz w:val="24"/>
          <w:szCs w:val="24"/>
          <w:highlight w:val="none"/>
          <w:lang w:eastAsia="zh-CN"/>
        </w:rPr>
        <w:t xml:space="preserve">或签章</w:t>
      </w:r>
      <w:r>
        <w:rPr>
          <w:rFonts w:hint="eastAsia" w:ascii="宋体" w:hAnsi="宋体" w:cs="宋体"/>
          <w:color w:val="auto"/>
          <w:szCs w:val="21"/>
          <w:highlight w:val="none"/>
          <w:lang w:eastAsia="zh-CN"/>
        </w:rPr>
        <w:t xml:space="preserve">：</w:t>
      </w:r>
      <w:r/>
    </w:p>
    <w:p>
      <w:pPr>
        <w:ind w:firstLine="825"/>
        <w:spacing w:line="360" w:lineRule="auto"/>
        <w:shd w:val="clear" w:color="auto" w:fill="ffffff"/>
        <w:widowControl/>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被授权人签字</w:t>
      </w:r>
      <w:r>
        <w:rPr>
          <w:rFonts w:hint="eastAsia" w:ascii="宋体" w:hAnsi="宋体" w:eastAsia="宋体" w:cs="宋体"/>
          <w:color w:val="auto"/>
          <w:sz w:val="24"/>
          <w:szCs w:val="24"/>
          <w:highlight w:val="none"/>
          <w:lang w:eastAsia="zh-CN"/>
        </w:rPr>
        <w:t xml:space="preserve">或签章</w:t>
      </w:r>
      <w:r>
        <w:rPr>
          <w:rFonts w:hint="eastAsia" w:ascii="宋体" w:hAnsi="宋体" w:cs="宋体"/>
          <w:color w:val="auto"/>
          <w:szCs w:val="21"/>
          <w:highlight w:val="none"/>
          <w:lang w:eastAsia="zh-CN"/>
        </w:rPr>
        <w:t xml:space="preserve">：                   </w:t>
      </w:r>
      <w:r/>
    </w:p>
    <w:p>
      <w:pPr>
        <w:ind w:firstLine="880"/>
        <w:spacing w:line="360" w:lineRule="auto"/>
        <w:shd w:val="clear" w:color="auto" w:fill="ffffff"/>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被授权人身份证号码：        被授权人联系电话：（手机）</w:t>
      </w:r>
      <w:r/>
    </w:p>
    <w:p>
      <w:pPr>
        <w:ind w:firstLine="880"/>
        <w:spacing w:line="360" w:lineRule="auto"/>
        <w:shd w:val="clear" w:color="auto" w:fill="ffffff"/>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r>
      <w:r/>
    </w:p>
    <w:p>
      <w:pPr>
        <w:ind w:firstLine="880"/>
        <w:spacing w:line="360" w:lineRule="auto"/>
        <w:shd w:val="clear" w:color="auto" w:fill="ffffff"/>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单位名称：（加盖电子公章）</w:t>
      </w:r>
      <w:r/>
    </w:p>
    <w:p>
      <w:pPr>
        <w:ind w:firstLine="880"/>
        <w:spacing w:line="360" w:lineRule="auto"/>
        <w:shd w:val="clear" w:color="auto" w:fill="ffffff"/>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r>
      <w:r/>
    </w:p>
    <w:p>
      <w:pPr>
        <w:ind w:firstLine="880"/>
        <w:spacing w:line="360" w:lineRule="auto"/>
        <w:shd w:val="clear" w:color="auto" w:fill="ffffff"/>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r>
      <w:r/>
    </w:p>
    <w:p>
      <w:pPr>
        <w:ind w:firstLine="880"/>
        <w:spacing w:line="360" w:lineRule="auto"/>
        <w:shd w:val="clear" w:color="auto" w:fill="ffffff"/>
        <w:widowControl/>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日     期：        年    月    日</w:t>
      </w:r>
      <w:r/>
    </w:p>
    <w:p>
      <w:pPr>
        <w:spacing w:line="360" w:lineRule="auto"/>
        <w:shd w:val="clear" w:color="auto" w:fill="ffffff"/>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spacing w:line="360" w:lineRule="auto"/>
        <w:shd w:val="clear" w:color="auto" w:fill="ffffff"/>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jc w:val="center"/>
        <w:spacing w:line="360" w:lineRule="auto"/>
        <w:shd w:val="clear" w:color="auto" w:fill="ffffff"/>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jc w:val="center"/>
        <w:spacing w:line="360" w:lineRule="auto"/>
        <w:shd w:val="clear" w:color="auto" w:fill="ffffff"/>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法定代表人的身份证正反面扫描件加盖电子公章：</w:t>
      </w:r>
      <w:r/>
    </w:p>
    <w:p>
      <w:pPr>
        <w:jc w:val="center"/>
        <w:spacing w:line="360" w:lineRule="auto"/>
        <w:shd w:val="clear" w:color="auto" w:fill="ffffff"/>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jc w:val="center"/>
        <w:spacing w:line="360" w:lineRule="auto"/>
        <w:shd w:val="clear" w:color="auto" w:fill="ffffff"/>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jc w:val="center"/>
        <w:spacing w:line="360" w:lineRule="auto"/>
        <w:shd w:val="clear" w:color="auto" w:fill="ffffff"/>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jc w:val="center"/>
        <w:spacing w:line="360" w:lineRule="auto"/>
        <w:shd w:val="clear" w:color="auto" w:fill="ffffff"/>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jc w:val="center"/>
        <w:spacing w:line="360" w:lineRule="auto"/>
        <w:shd w:val="clear" w:color="auto" w:fill="ffffff"/>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jc w:val="center"/>
        <w:spacing w:line="360" w:lineRule="auto"/>
        <w:shd w:val="clear" w:color="auto" w:fill="ffffff"/>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委托代理人的身份证正反面扫描件加盖电子公章：</w:t>
      </w:r>
      <w:r/>
    </w:p>
    <w:p>
      <w:pPr>
        <w:ind w:firstLine="420"/>
        <w:spacing w:line="360" w:lineRule="auto"/>
        <w:shd w:val="clear" w:color="auto" w:fill="ffffff"/>
        <w:widowControl/>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 </w:t>
      </w:r>
      <w:r/>
    </w:p>
    <w:p>
      <w:pPr>
        <w:ind w:firstLine="420"/>
        <w:spacing w:line="360" w:lineRule="auto"/>
        <w:shd w:val="clear" w:color="auto" w:fill="ffffff"/>
        <w:widowControl/>
        <w:rPr>
          <w:rFonts w:ascii="宋体" w:hAnsi="宋体" w:cs="宋体"/>
          <w:color w:val="auto"/>
          <w:szCs w:val="21"/>
          <w:highlight w:val="none"/>
          <w:lang w:eastAsia="zh-CN"/>
        </w:rPr>
      </w:pPr>
      <w:r>
        <w:rPr>
          <w:rFonts w:ascii="宋体" w:hAnsi="宋体" w:cs="宋体"/>
          <w:color w:val="auto"/>
          <w:szCs w:val="21"/>
          <w:highlight w:val="none"/>
          <w:lang w:eastAsia="zh-CN"/>
        </w:rPr>
      </w:r>
      <w:r/>
    </w:p>
    <w:p>
      <w:pPr>
        <w:ind w:firstLine="420"/>
        <w:spacing w:line="360" w:lineRule="auto"/>
        <w:shd w:val="clear" w:color="auto" w:fill="ffffff"/>
        <w:widowControl/>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 </w:t>
      </w:r>
      <w:r/>
    </w:p>
    <w:p>
      <w:pPr>
        <w:ind w:firstLine="420"/>
        <w:spacing w:line="360" w:lineRule="auto"/>
        <w:shd w:val="clear" w:color="auto" w:fill="ffffff"/>
        <w:widowControl/>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 </w:t>
      </w:r>
      <w:r/>
    </w:p>
    <w:p>
      <w:pPr>
        <w:spacing w:line="360" w:lineRule="auto"/>
        <w:rPr>
          <w:rFonts w:hint="eastAsia" w:ascii="宋体" w:hAnsi="宋体" w:cs="宋体"/>
          <w:b/>
          <w:bCs/>
          <w:color w:val="auto"/>
          <w:szCs w:val="21"/>
          <w:highlight w:val="none"/>
          <w:lang w:eastAsia="zh-CN"/>
        </w:rPr>
      </w:pPr>
      <w:r/>
      <w:bookmarkStart w:id="1106" w:name="_Toc26810"/>
      <w:r/>
      <w:r/>
    </w:p>
    <w:p>
      <w:pPr>
        <w:spacing w:line="360" w:lineRule="auto"/>
        <w:rPr>
          <w:rFonts w:ascii="宋体" w:hAnsi="宋体" w:cs="宋体"/>
          <w:b/>
          <w:bCs/>
          <w:color w:val="auto"/>
          <w:szCs w:val="21"/>
          <w:highlight w:val="none"/>
          <w:lang w:val="zh-CN" w:eastAsia="zh-CN"/>
        </w:rPr>
      </w:pPr>
      <w:r>
        <w:rPr>
          <w:rFonts w:hint="eastAsia" w:ascii="宋体" w:hAnsi="宋体" w:cs="宋体"/>
          <w:b/>
          <w:color w:val="auto"/>
          <w:szCs w:val="21"/>
          <w:highlight w:val="none"/>
          <w:lang w:eastAsia="zh-CN"/>
        </w:rPr>
        <w:t xml:space="preserve">格式</w:t>
      </w:r>
      <w:r>
        <w:rPr>
          <w:rFonts w:hint="eastAsia" w:ascii="宋体" w:hAnsi="宋体" w:cs="宋体"/>
          <w:b/>
          <w:bCs/>
          <w:color w:val="auto"/>
          <w:szCs w:val="21"/>
          <w:highlight w:val="none"/>
          <w:lang w:val="zh-CN" w:eastAsia="zh-CN"/>
        </w:rPr>
        <w:t xml:space="preserve">三、</w:t>
      </w:r>
      <w:bookmarkEnd w:id="1100"/>
      <w:r/>
      <w:bookmarkEnd w:id="1101"/>
      <w:r/>
      <w:bookmarkEnd w:id="1102"/>
      <w:r/>
      <w:bookmarkEnd w:id="1103"/>
      <w:r/>
      <w:bookmarkEnd w:id="1104"/>
      <w:r/>
      <w:bookmarkEnd w:id="1105"/>
      <w:r/>
      <w:bookmarkEnd w:id="1106"/>
      <w:r>
        <w:rPr>
          <w:rFonts w:hint="eastAsia" w:ascii="宋体" w:hAnsi="宋体" w:cs="宋体"/>
          <w:b/>
          <w:color w:val="auto"/>
          <w:szCs w:val="21"/>
          <w:highlight w:val="none"/>
          <w:lang w:eastAsia="zh-CN"/>
        </w:rPr>
        <w:t xml:space="preserve">响应报价表格式</w:t>
      </w:r>
      <w:r/>
    </w:p>
    <w:p>
      <w:pPr>
        <w:jc w:val="center"/>
        <w:spacing w:line="360" w:lineRule="auto"/>
        <w:rPr>
          <w:rFonts w:ascii="宋体" w:hAnsi="宋体" w:cs="宋体"/>
          <w:b/>
          <w:color w:val="auto"/>
          <w:sz w:val="36"/>
          <w:szCs w:val="36"/>
          <w:highlight w:val="none"/>
          <w:lang w:eastAsia="zh-CN"/>
        </w:rPr>
      </w:pPr>
      <w:r>
        <w:rPr>
          <w:rFonts w:hint="eastAsia" w:ascii="宋体" w:hAnsi="宋体" w:cs="宋体"/>
          <w:b/>
          <w:color w:val="auto"/>
          <w:sz w:val="36"/>
          <w:szCs w:val="36"/>
          <w:highlight w:val="none"/>
          <w:lang w:eastAsia="zh-CN"/>
        </w:rPr>
        <w:t xml:space="preserve">响应报价表</w:t>
      </w:r>
      <w:r>
        <w:rPr>
          <w:rFonts w:hint="eastAsia" w:ascii="宋体" w:hAnsi="宋体" w:eastAsia="宋体" w:cs="宋体"/>
          <w:b/>
          <w:color w:val="auto"/>
          <w:sz w:val="36"/>
          <w:szCs w:val="36"/>
          <w:highlight w:val="none"/>
          <w:lang w:eastAsia="zh-CN"/>
        </w:rPr>
        <w:t xml:space="preserve">（首次报价）</w:t>
      </w:r>
      <w:r/>
    </w:p>
    <w:p>
      <w:pPr>
        <w:pStyle w:val="777"/>
        <w:ind w:firstLine="495"/>
        <w:spacing w:line="440" w:lineRule="exact"/>
        <w:rPr>
          <w:rStyle w:val="840"/>
          <w:rFonts w:ascii="宋体" w:hAnsi="宋体"/>
          <w:b/>
          <w:bCs/>
          <w:color w:val="auto"/>
          <w:szCs w:val="21"/>
          <w:highlight w:val="none"/>
          <w:lang w:val="zh-CN" w:eastAsia="zh-CN"/>
        </w:rPr>
      </w:pPr>
      <w:r>
        <w:rPr>
          <w:rFonts w:hint="eastAsia" w:ascii="宋体" w:hAnsi="宋体" w:cs="宋体"/>
          <w:color w:val="auto"/>
          <w:szCs w:val="21"/>
          <w:highlight w:val="none"/>
          <w:lang w:eastAsia="zh-CN"/>
        </w:rPr>
        <w:t xml:space="preserve">项目名称：                                        项目编号：</w:t>
      </w:r>
      <w:r/>
    </w:p>
    <w:tbl>
      <w:tblPr>
        <w:tblStyle w:val="776"/>
        <w:tblW w:w="9898" w:type="dxa"/>
        <w:tblInd w:w="-116"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164"/>
        <w:gridCol w:w="2275"/>
        <w:gridCol w:w="2765"/>
        <w:gridCol w:w="2268"/>
        <w:gridCol w:w="1426"/>
      </w:tblGrid>
      <w:tr>
        <w:trPr>
          <w:trHeight w:val="284"/>
        </w:trPr>
        <w:tc>
          <w:tcPr>
            <w:tcW w:w="1164"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                        序号</w:t>
            </w:r>
            <w:r/>
          </w:p>
        </w:tc>
        <w:tc>
          <w:tcPr>
            <w:gridSpan w:val="2"/>
            <w:tcW w:w="5040"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名               称</w:t>
            </w:r>
            <w:r/>
          </w:p>
        </w:tc>
        <w:tc>
          <w:tcPr>
            <w:tcW w:w="2268"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rPr>
              <w:t xml:space="preserve">报价（元）</w:t>
            </w:r>
            <w:r/>
          </w:p>
        </w:tc>
        <w:tc>
          <w:tcPr>
            <w:tcW w:w="1426"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其中，</w:t>
            </w:r>
            <w:r>
              <w:rPr>
                <w:rFonts w:hint="eastAsia" w:ascii="宋体" w:hAnsi="宋体" w:eastAsia="宋体" w:cs="宋体"/>
                <w:b/>
                <w:color w:val="auto"/>
                <w:sz w:val="21"/>
                <w:szCs w:val="21"/>
                <w:highlight w:val="none"/>
                <w:lang w:eastAsia="zh-CN"/>
              </w:rPr>
              <w:t xml:space="preserve">小、微型企业报价（元）</w:t>
            </w:r>
            <w:r/>
          </w:p>
        </w:tc>
      </w:tr>
      <w:tr>
        <w:trPr>
          <w:trHeight w:val="284"/>
        </w:trPr>
        <w:tc>
          <w:tcPr>
            <w:tcW w:w="1164" w:type="dxa"/>
            <w:vAlign w:val="center"/>
            <w:textDirection w:val="lrTb"/>
            <w:noWrap w:val="false"/>
          </w:tcPr>
          <w:p>
            <w:pPr>
              <w:jc w:val="center"/>
              <w:spacing w:line="360" w:lineRule="auto"/>
              <w:rPr>
                <w:rFonts w:hint="eastAsia" w:ascii="宋体" w:hAnsi="宋体" w:eastAsia="宋体" w:cs="宋体"/>
                <w:color w:val="auto"/>
                <w:spacing w:val="-2"/>
                <w:sz w:val="21"/>
                <w:szCs w:val="21"/>
                <w:highlight w:val="none"/>
                <w:lang w:eastAsia="zh-CN"/>
              </w:rPr>
            </w:pPr>
            <w:r>
              <w:rPr>
                <w:rFonts w:hint="eastAsia" w:ascii="宋体" w:hAnsi="宋体" w:eastAsia="宋体" w:cs="宋体"/>
                <w:color w:val="auto"/>
                <w:spacing w:val="-2"/>
                <w:sz w:val="21"/>
                <w:szCs w:val="21"/>
                <w:highlight w:val="none"/>
                <w:lang w:eastAsia="zh-CN"/>
              </w:rPr>
            </w:r>
            <w:r/>
          </w:p>
        </w:tc>
        <w:tc>
          <w:tcPr>
            <w:gridSpan w:val="2"/>
            <w:tcW w:w="5040" w:type="dxa"/>
            <w:vAlign w:val="center"/>
            <w:textDirection w:val="lrTb"/>
            <w:noWrap w:val="false"/>
          </w:tcPr>
          <w:p>
            <w:pPr>
              <w:spacing w:line="360" w:lineRule="auto"/>
              <w:rPr>
                <w:rFonts w:hint="eastAsia" w:ascii="宋体" w:hAnsi="宋体" w:eastAsia="宋体" w:cs="宋体"/>
                <w:color w:val="auto"/>
                <w:spacing w:val="-2"/>
                <w:sz w:val="21"/>
                <w:szCs w:val="21"/>
                <w:highlight w:val="none"/>
                <w:lang w:eastAsia="zh-CN"/>
              </w:rPr>
            </w:pPr>
            <w:r>
              <w:rPr>
                <w:rFonts w:hint="eastAsia" w:ascii="宋体" w:hAnsi="宋体" w:eastAsia="宋体" w:cs="宋体"/>
                <w:color w:val="auto"/>
                <w:spacing w:val="-2"/>
                <w:sz w:val="21"/>
                <w:szCs w:val="21"/>
                <w:highlight w:val="none"/>
                <w:lang w:eastAsia="zh-CN"/>
              </w:rPr>
            </w:r>
            <w:r/>
          </w:p>
        </w:tc>
        <w:tc>
          <w:tcPr>
            <w:tcW w:w="2268"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r>
            <w:r/>
          </w:p>
        </w:tc>
        <w:tc>
          <w:tcPr>
            <w:tcW w:w="1426"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r>
            <w:r/>
          </w:p>
        </w:tc>
      </w:tr>
      <w:tr>
        <w:trPr>
          <w:trHeight w:val="284"/>
        </w:trPr>
        <w:tc>
          <w:tcPr>
            <w:tcW w:w="1164" w:type="dxa"/>
            <w:vAlign w:val="center"/>
            <w:textDirection w:val="lrTb"/>
            <w:noWrap w:val="false"/>
          </w:tcPr>
          <w:p>
            <w:pPr>
              <w:jc w:val="center"/>
              <w:spacing w:line="360" w:lineRule="auto"/>
              <w:rPr>
                <w:rFonts w:hint="eastAsia" w:ascii="宋体" w:hAnsi="宋体" w:eastAsia="宋体" w:cs="宋体"/>
                <w:color w:val="auto"/>
                <w:spacing w:val="-2"/>
                <w:sz w:val="21"/>
                <w:szCs w:val="21"/>
                <w:highlight w:val="none"/>
                <w:lang w:eastAsia="zh-CN"/>
              </w:rPr>
            </w:pPr>
            <w:r>
              <w:rPr>
                <w:rFonts w:hint="eastAsia" w:ascii="宋体" w:hAnsi="宋体" w:eastAsia="宋体" w:cs="宋体"/>
                <w:color w:val="auto"/>
                <w:spacing w:val="-2"/>
                <w:sz w:val="21"/>
                <w:szCs w:val="21"/>
                <w:highlight w:val="none"/>
                <w:lang w:eastAsia="zh-CN"/>
              </w:rPr>
            </w:r>
            <w:r/>
          </w:p>
        </w:tc>
        <w:tc>
          <w:tcPr>
            <w:gridSpan w:val="2"/>
            <w:tcW w:w="5040" w:type="dxa"/>
            <w:vAlign w:val="center"/>
            <w:textDirection w:val="lrTb"/>
            <w:noWrap w:val="false"/>
          </w:tcPr>
          <w:p>
            <w:pPr>
              <w:spacing w:line="360" w:lineRule="auto"/>
              <w:rPr>
                <w:rFonts w:hint="eastAsia" w:ascii="宋体" w:hAnsi="宋体" w:eastAsia="宋体" w:cs="宋体"/>
                <w:color w:val="auto"/>
                <w:spacing w:val="-2"/>
                <w:sz w:val="21"/>
                <w:szCs w:val="21"/>
                <w:highlight w:val="none"/>
                <w:lang w:eastAsia="zh-CN"/>
              </w:rPr>
            </w:pPr>
            <w:r>
              <w:rPr>
                <w:rFonts w:hint="eastAsia" w:ascii="宋体" w:hAnsi="宋体" w:eastAsia="宋体" w:cs="宋体"/>
                <w:color w:val="auto"/>
                <w:spacing w:val="-2"/>
                <w:sz w:val="21"/>
                <w:szCs w:val="21"/>
                <w:highlight w:val="none"/>
                <w:lang w:eastAsia="zh-CN"/>
              </w:rPr>
            </w:r>
            <w:r/>
          </w:p>
        </w:tc>
        <w:tc>
          <w:tcPr>
            <w:tcW w:w="2268"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r>
            <w:r/>
          </w:p>
        </w:tc>
        <w:tc>
          <w:tcPr>
            <w:tcW w:w="1426"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r>
            <w:r/>
          </w:p>
        </w:tc>
      </w:tr>
      <w:tr>
        <w:trPr>
          <w:trHeight w:val="284"/>
        </w:trPr>
        <w:tc>
          <w:tcPr>
            <w:tcW w:w="1164" w:type="dxa"/>
            <w:vAlign w:val="center"/>
            <w:textDirection w:val="lrTb"/>
            <w:noWrap w:val="false"/>
          </w:tcPr>
          <w:p>
            <w:pPr>
              <w:jc w:val="center"/>
              <w:spacing w:line="360" w:lineRule="auto"/>
              <w:rPr>
                <w:rFonts w:hint="eastAsia" w:ascii="宋体" w:hAnsi="宋体" w:eastAsia="宋体" w:cs="宋体"/>
                <w:color w:val="auto"/>
                <w:spacing w:val="-2"/>
                <w:sz w:val="21"/>
                <w:szCs w:val="21"/>
                <w:highlight w:val="none"/>
                <w:lang w:eastAsia="zh-CN"/>
              </w:rPr>
            </w:pPr>
            <w:r>
              <w:rPr>
                <w:rFonts w:hint="eastAsia" w:ascii="宋体" w:hAnsi="宋体" w:eastAsia="宋体" w:cs="宋体"/>
                <w:color w:val="auto"/>
                <w:spacing w:val="-2"/>
                <w:sz w:val="21"/>
                <w:szCs w:val="21"/>
                <w:highlight w:val="none"/>
                <w:lang w:eastAsia="zh-CN"/>
              </w:rPr>
            </w:r>
            <w:r/>
          </w:p>
        </w:tc>
        <w:tc>
          <w:tcPr>
            <w:gridSpan w:val="2"/>
            <w:tcW w:w="5040" w:type="dxa"/>
            <w:vAlign w:val="center"/>
            <w:textDirection w:val="lrTb"/>
            <w:noWrap w:val="false"/>
          </w:tcPr>
          <w:p>
            <w:pPr>
              <w:spacing w:line="360" w:lineRule="auto"/>
              <w:rPr>
                <w:rFonts w:hint="eastAsia" w:ascii="宋体" w:hAnsi="宋体" w:eastAsia="宋体" w:cs="宋体"/>
                <w:color w:val="auto"/>
                <w:spacing w:val="-2"/>
                <w:sz w:val="21"/>
                <w:szCs w:val="21"/>
                <w:highlight w:val="none"/>
                <w:lang w:eastAsia="zh-CN"/>
              </w:rPr>
            </w:pPr>
            <w:r>
              <w:rPr>
                <w:rFonts w:hint="eastAsia" w:ascii="宋体" w:hAnsi="宋体" w:eastAsia="宋体" w:cs="宋体"/>
                <w:color w:val="auto"/>
                <w:spacing w:val="-2"/>
                <w:sz w:val="21"/>
                <w:szCs w:val="21"/>
                <w:highlight w:val="none"/>
                <w:lang w:eastAsia="zh-CN"/>
              </w:rPr>
            </w:r>
            <w:r/>
          </w:p>
        </w:tc>
        <w:tc>
          <w:tcPr>
            <w:tcW w:w="2268"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r>
            <w:r/>
          </w:p>
        </w:tc>
        <w:tc>
          <w:tcPr>
            <w:tcW w:w="1426"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r>
            <w:r/>
          </w:p>
        </w:tc>
      </w:tr>
      <w:tr>
        <w:trPr>
          <w:trHeight w:val="284"/>
        </w:trPr>
        <w:tc>
          <w:tcPr>
            <w:tcW w:w="1164" w:type="dxa"/>
            <w:vAlign w:val="center"/>
            <w:textDirection w:val="lrTb"/>
            <w:noWrap w:val="false"/>
          </w:tcPr>
          <w:p>
            <w:pPr>
              <w:jc w:val="center"/>
              <w:spacing w:line="360" w:lineRule="auto"/>
              <w:rPr>
                <w:rFonts w:hint="eastAsia" w:ascii="宋体" w:hAnsi="宋体" w:eastAsia="宋体" w:cs="宋体"/>
                <w:color w:val="auto"/>
                <w:spacing w:val="-2"/>
                <w:sz w:val="21"/>
                <w:szCs w:val="21"/>
                <w:highlight w:val="none"/>
                <w:lang w:eastAsia="zh-CN"/>
              </w:rPr>
            </w:pPr>
            <w:r>
              <w:rPr>
                <w:rFonts w:hint="eastAsia" w:ascii="宋体" w:hAnsi="宋体" w:eastAsia="宋体" w:cs="宋体"/>
                <w:color w:val="auto"/>
                <w:spacing w:val="-2"/>
                <w:sz w:val="21"/>
                <w:szCs w:val="21"/>
                <w:highlight w:val="none"/>
                <w:lang w:eastAsia="zh-CN"/>
              </w:rPr>
            </w:r>
            <w:r/>
          </w:p>
        </w:tc>
        <w:tc>
          <w:tcPr>
            <w:gridSpan w:val="2"/>
            <w:tcW w:w="5040" w:type="dxa"/>
            <w:vAlign w:val="center"/>
            <w:textDirection w:val="lrTb"/>
            <w:noWrap w:val="false"/>
          </w:tcPr>
          <w:p>
            <w:pPr>
              <w:spacing w:line="360" w:lineRule="auto"/>
              <w:rPr>
                <w:rFonts w:hint="eastAsia" w:ascii="宋体" w:hAnsi="宋体" w:eastAsia="宋体" w:cs="宋体"/>
                <w:color w:val="auto"/>
                <w:spacing w:val="-2"/>
                <w:sz w:val="21"/>
                <w:szCs w:val="21"/>
                <w:highlight w:val="none"/>
                <w:lang w:eastAsia="zh-CN"/>
              </w:rPr>
            </w:pPr>
            <w:r>
              <w:rPr>
                <w:rFonts w:hint="eastAsia" w:ascii="宋体" w:hAnsi="宋体" w:eastAsia="宋体" w:cs="宋体"/>
                <w:color w:val="auto"/>
                <w:spacing w:val="-2"/>
                <w:sz w:val="21"/>
                <w:szCs w:val="21"/>
                <w:highlight w:val="none"/>
                <w:lang w:eastAsia="zh-CN"/>
              </w:rPr>
            </w:r>
            <w:r/>
          </w:p>
        </w:tc>
        <w:tc>
          <w:tcPr>
            <w:tcW w:w="2268"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r>
            <w:r/>
          </w:p>
        </w:tc>
        <w:tc>
          <w:tcPr>
            <w:tcW w:w="1426"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r>
            <w:r/>
          </w:p>
        </w:tc>
      </w:tr>
      <w:tr>
        <w:trPr>
          <w:trHeight w:val="284"/>
        </w:trPr>
        <w:tc>
          <w:tcPr>
            <w:tcW w:w="1164" w:type="dxa"/>
            <w:vAlign w:val="center"/>
            <w:textDirection w:val="lrTb"/>
            <w:noWrap w:val="false"/>
          </w:tcPr>
          <w:p>
            <w:pPr>
              <w:jc w:val="center"/>
              <w:spacing w:line="360" w:lineRule="auto"/>
              <w:rPr>
                <w:rFonts w:hint="eastAsia" w:ascii="宋体" w:hAnsi="宋体" w:eastAsia="宋体" w:cs="宋体"/>
                <w:color w:val="auto"/>
                <w:spacing w:val="-2"/>
                <w:sz w:val="21"/>
                <w:szCs w:val="21"/>
                <w:highlight w:val="none"/>
                <w:lang w:eastAsia="zh-CN"/>
              </w:rPr>
            </w:pPr>
            <w:r>
              <w:rPr>
                <w:rFonts w:hint="eastAsia" w:ascii="宋体" w:hAnsi="宋体" w:eastAsia="宋体" w:cs="宋体"/>
                <w:color w:val="auto"/>
                <w:spacing w:val="-2"/>
                <w:sz w:val="21"/>
                <w:szCs w:val="21"/>
                <w:highlight w:val="none"/>
                <w:lang w:eastAsia="zh-CN"/>
              </w:rPr>
            </w:r>
            <w:r/>
          </w:p>
        </w:tc>
        <w:tc>
          <w:tcPr>
            <w:gridSpan w:val="2"/>
            <w:tcW w:w="5040" w:type="dxa"/>
            <w:vAlign w:val="center"/>
            <w:textDirection w:val="lrTb"/>
            <w:noWrap w:val="false"/>
          </w:tcPr>
          <w:p>
            <w:pPr>
              <w:spacing w:line="360" w:lineRule="auto"/>
              <w:rPr>
                <w:rFonts w:hint="eastAsia" w:ascii="宋体" w:hAnsi="宋体" w:eastAsia="宋体" w:cs="宋体"/>
                <w:color w:val="auto"/>
                <w:spacing w:val="-2"/>
                <w:sz w:val="21"/>
                <w:szCs w:val="21"/>
                <w:highlight w:val="none"/>
                <w:lang w:eastAsia="zh-CN"/>
              </w:rPr>
            </w:pPr>
            <w:r>
              <w:rPr>
                <w:rFonts w:hint="eastAsia" w:ascii="宋体" w:hAnsi="宋体" w:eastAsia="宋体" w:cs="宋体"/>
                <w:color w:val="auto"/>
                <w:spacing w:val="-2"/>
                <w:sz w:val="21"/>
                <w:szCs w:val="21"/>
                <w:highlight w:val="none"/>
                <w:lang w:eastAsia="zh-CN"/>
              </w:rPr>
            </w:r>
            <w:r/>
          </w:p>
        </w:tc>
        <w:tc>
          <w:tcPr>
            <w:tcW w:w="2268"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r>
            <w:r/>
          </w:p>
        </w:tc>
        <w:tc>
          <w:tcPr>
            <w:tcW w:w="1426"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r>
            <w:r/>
          </w:p>
        </w:tc>
      </w:tr>
      <w:tr>
        <w:trPr>
          <w:trHeight w:val="284"/>
        </w:trPr>
        <w:tc>
          <w:tcPr>
            <w:gridSpan w:val="2"/>
            <w:tcW w:w="3439"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总价（人民币，大写）</w:t>
            </w:r>
            <w:r/>
          </w:p>
        </w:tc>
        <w:tc>
          <w:tcPr>
            <w:gridSpan w:val="3"/>
            <w:tcW w:w="6459" w:type="dxa"/>
            <w:vAlign w:val="top"/>
            <w:textDirection w:val="lrTb"/>
            <w:noWrap w:val="false"/>
          </w:tcPr>
          <w:p>
            <w:pPr>
              <w:ind w:firstLine="189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元</w:t>
            </w:r>
            <w:r/>
          </w:p>
        </w:tc>
      </w:tr>
      <w:tr>
        <w:trPr>
          <w:trHeight w:val="284"/>
        </w:trPr>
        <w:tc>
          <w:tcPr>
            <w:gridSpan w:val="2"/>
            <w:tcW w:w="3439"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供应商是否属于小微型企业</w:t>
            </w:r>
            <w:r/>
          </w:p>
        </w:tc>
        <w:tc>
          <w:tcPr>
            <w:gridSpan w:val="3"/>
            <w:tcW w:w="6459" w:type="dxa"/>
            <w:vAlign w:val="top"/>
            <w:textDirection w:val="lrTb"/>
            <w:noWrap w:val="false"/>
          </w:tcPr>
          <w:p>
            <w:pPr>
              <w:ind w:firstLine="105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是       否</w:t>
            </w:r>
            <w:r/>
          </w:p>
        </w:tc>
      </w:tr>
    </w:tbl>
    <w:p>
      <w:pPr>
        <w:pStyle w:val="777"/>
        <w:ind w:firstLine="495"/>
        <w:spacing w:line="440" w:lineRule="exact"/>
        <w:rPr>
          <w:rStyle w:val="840"/>
          <w:rFonts w:ascii="宋体" w:hAnsi="宋体"/>
          <w:b/>
          <w:bCs/>
          <w:color w:val="auto"/>
          <w:szCs w:val="21"/>
          <w:highlight w:val="none"/>
          <w:lang w:val="zh-CN" w:eastAsia="zh-CN"/>
        </w:rPr>
      </w:pPr>
      <w:r>
        <w:rPr>
          <w:rFonts w:ascii="宋体" w:hAnsi="宋体"/>
          <w:b/>
          <w:bCs/>
          <w:color w:val="auto"/>
          <w:szCs w:val="21"/>
          <w:highlight w:val="none"/>
          <w:lang w:val="zh-CN" w:eastAsia="zh-CN"/>
        </w:rPr>
      </w:r>
      <w:r/>
    </w:p>
    <w:p>
      <w:pPr>
        <w:spacing w:line="360" w:lineRule="auto"/>
        <w:widowControl/>
        <w:rPr>
          <w:rFonts w:ascii="宋体" w:hAnsi="宋体" w:eastAsia="宋体" w:cs="宋体"/>
          <w:color w:val="auto"/>
          <w:szCs w:val="21"/>
          <w:highlight w:val="none"/>
          <w:lang w:val="zh-CN" w:eastAsia="zh-CN"/>
        </w:rPr>
      </w:pPr>
      <w:r>
        <w:rPr>
          <w:rFonts w:ascii="宋体" w:hAnsi="宋体" w:eastAsia="宋体" w:cs="宋体"/>
          <w:color w:val="auto"/>
          <w:szCs w:val="21"/>
          <w:highlight w:val="none"/>
          <w:lang w:val="zh-CN" w:eastAsia="zh-CN"/>
        </w:rPr>
      </w:r>
      <w:r/>
    </w:p>
    <w:p>
      <w:pPr>
        <w:spacing w:line="360" w:lineRule="auto"/>
        <w:widowControl/>
        <w:rPr>
          <w:rFonts w:ascii="宋体" w:hAnsi="宋体" w:cs="宋体"/>
          <w:color w:val="auto"/>
          <w:szCs w:val="21"/>
          <w:highlight w:val="none"/>
          <w:lang w:val="zh-CN" w:eastAsia="zh-CN"/>
        </w:rPr>
      </w:pPr>
      <w:r>
        <w:rPr>
          <w:rFonts w:hint="eastAsia" w:ascii="宋体" w:hAnsi="宋体" w:cs="宋体"/>
          <w:color w:val="auto"/>
          <w:szCs w:val="21"/>
          <w:highlight w:val="none"/>
          <w:lang w:val="zh-CN" w:eastAsia="zh-CN"/>
        </w:rPr>
        <w:t xml:space="preserve">供应商名称:</w:t>
      </w:r>
      <w:r>
        <w:rPr>
          <w:rFonts w:hint="eastAsia" w:ascii="宋体" w:hAnsi="宋体" w:cs="宋体"/>
          <w:color w:val="auto"/>
          <w:szCs w:val="21"/>
          <w:highlight w:val="none"/>
          <w:u w:val="single"/>
          <w:lang w:val="zh-CN" w:eastAsia="zh-CN"/>
        </w:rPr>
        <w:t xml:space="preserve">                                                  </w:t>
      </w:r>
      <w:r>
        <w:rPr>
          <w:rFonts w:hint="eastAsia" w:ascii="宋体" w:hAnsi="宋体" w:cs="宋体"/>
          <w:color w:val="auto"/>
          <w:szCs w:val="21"/>
          <w:highlight w:val="none"/>
          <w:lang w:val="zh-CN" w:eastAsia="zh-CN"/>
        </w:rPr>
        <w:t xml:space="preserve">（加盖电子公章）</w:t>
      </w:r>
      <w:r/>
    </w:p>
    <w:p>
      <w:pPr>
        <w:spacing w:line="440" w:lineRule="exact"/>
        <w:rPr>
          <w:rFonts w:ascii="宋体" w:hAnsi="宋体" w:eastAsia="宋体" w:cs="宋体"/>
          <w:color w:val="auto"/>
          <w:szCs w:val="21"/>
          <w:highlight w:val="none"/>
          <w:u w:val="single"/>
          <w:lang w:eastAsia="zh-CN"/>
        </w:rPr>
      </w:pPr>
      <w:r>
        <w:rPr>
          <w:rFonts w:hint="eastAsia" w:ascii="宋体" w:hAnsi="宋体" w:cs="宋体"/>
          <w:color w:val="auto"/>
          <w:szCs w:val="21"/>
          <w:highlight w:val="none"/>
          <w:lang w:eastAsia="zh-CN"/>
        </w:rPr>
        <w:t xml:space="preserve">授权代表（签字</w:t>
      </w:r>
      <w:r>
        <w:rPr>
          <w:rFonts w:hint="eastAsia" w:ascii="宋体" w:hAnsi="宋体" w:eastAsia="宋体" w:cs="宋体"/>
          <w:color w:val="auto"/>
          <w:sz w:val="24"/>
          <w:szCs w:val="24"/>
          <w:highlight w:val="none"/>
          <w:lang w:eastAsia="zh-CN"/>
        </w:rPr>
        <w:t xml:space="preserve">或签章</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u w:val="single"/>
          <w:lang w:eastAsia="zh-CN"/>
        </w:rPr>
        <w:t xml:space="preserve">                                 </w:t>
      </w:r>
      <w:r/>
    </w:p>
    <w:p>
      <w:pPr>
        <w:spacing w:line="440" w:lineRule="exact"/>
        <w:rPr>
          <w:rFonts w:ascii="宋体" w:hAnsi="宋体" w:eastAsia="宋体" w:cs="宋体"/>
          <w:color w:val="auto"/>
          <w:szCs w:val="21"/>
          <w:highlight w:val="none"/>
          <w:u w:val="single"/>
          <w:lang w:eastAsia="zh-CN"/>
        </w:rPr>
      </w:pPr>
      <w:r>
        <w:rPr>
          <w:rFonts w:hint="eastAsia" w:ascii="宋体" w:hAnsi="宋体" w:cs="宋体"/>
          <w:color w:val="auto"/>
          <w:szCs w:val="21"/>
          <w:highlight w:val="none"/>
          <w:lang w:eastAsia="zh-CN"/>
        </w:rPr>
        <w:t xml:space="preserve">日期：</w:t>
      </w:r>
      <w:r>
        <w:rPr>
          <w:rFonts w:hint="eastAsia" w:ascii="宋体" w:hAnsi="宋体" w:eastAsia="宋体" w:cs="宋体"/>
          <w:color w:val="auto"/>
          <w:szCs w:val="21"/>
          <w:highlight w:val="none"/>
          <w:u w:val="single"/>
          <w:lang w:eastAsia="zh-CN"/>
        </w:rPr>
        <w:t xml:space="preserve">                          </w:t>
      </w:r>
      <w:r/>
    </w:p>
    <w:p>
      <w:pPr>
        <w:rPr>
          <w:color w:val="auto"/>
          <w:highlight w:val="none"/>
          <w:lang w:eastAsia="zh-CN"/>
        </w:rPr>
      </w:pPr>
      <w:r>
        <w:rPr>
          <w:color w:val="auto"/>
          <w:highlight w:val="none"/>
          <w:lang w:eastAsia="zh-CN"/>
        </w:rPr>
      </w:r>
      <w:r/>
    </w:p>
    <w:p>
      <w:pPr>
        <w:spacing w:line="360" w:lineRule="auto"/>
        <w:widowControl/>
        <w:rPr>
          <w:rFonts w:ascii="宋体" w:hAnsi="宋体" w:cs="宋体"/>
          <w:color w:val="auto"/>
          <w:szCs w:val="21"/>
          <w:highlight w:val="none"/>
          <w:lang w:val="zh-CN" w:eastAsia="zh-CN"/>
        </w:rPr>
      </w:pPr>
      <w:r>
        <w:rPr>
          <w:rFonts w:hint="eastAsia" w:ascii="宋体" w:hAnsi="宋体" w:cs="宋体"/>
          <w:color w:val="auto"/>
          <w:szCs w:val="21"/>
          <w:highlight w:val="none"/>
          <w:lang w:val="zh-CN" w:eastAsia="zh-CN"/>
        </w:rPr>
        <w:t xml:space="preserve">说明：</w:t>
      </w:r>
      <w:r/>
    </w:p>
    <w:p>
      <w:pPr>
        <w:numPr>
          <w:ilvl w:val="0"/>
          <w:numId w:val="7"/>
        </w:numPr>
        <w:spacing w:line="360" w:lineRule="auto"/>
        <w:shd w:val="clear" w:color="auto" w:fill="ffffff"/>
        <w:widowControl/>
        <w:rPr>
          <w:rFonts w:ascii="宋体" w:hAnsi="宋体" w:cs="宋体"/>
          <w:color w:val="auto"/>
          <w:highlight w:val="none"/>
          <w:lang w:eastAsia="zh-CN"/>
        </w:rPr>
      </w:pPr>
      <w:r>
        <w:rPr>
          <w:rFonts w:ascii="宋体" w:hAnsi="宋体" w:cs="宋体"/>
          <w:color w:val="auto"/>
          <w:highlight w:val="none"/>
          <w:lang w:eastAsia="zh-CN"/>
        </w:rPr>
        <w:t xml:space="preserve">如果行数不够，请自行增加。</w:t>
      </w:r>
      <w:r/>
    </w:p>
    <w:p>
      <w:pPr>
        <w:numPr>
          <w:ilvl w:val="0"/>
          <w:numId w:val="7"/>
        </w:numPr>
        <w:spacing w:line="360" w:lineRule="auto"/>
        <w:shd w:val="clear" w:color="auto" w:fill="ffffff"/>
        <w:widowControl/>
        <w:rPr>
          <w:rFonts w:ascii="宋体" w:hAnsi="宋体" w:cs="宋体"/>
          <w:color w:val="auto"/>
          <w:highlight w:val="none"/>
          <w:lang w:eastAsia="zh-CN"/>
        </w:rPr>
      </w:pPr>
      <w:r>
        <w:rPr>
          <w:rFonts w:hint="eastAsia" w:ascii="宋体" w:hAnsi="宋体" w:eastAsia="宋体" w:cs="宋体"/>
          <w:color w:val="auto"/>
          <w:sz w:val="21"/>
          <w:szCs w:val="21"/>
          <w:highlight w:val="none"/>
          <w:lang w:val="zh-CN" w:eastAsia="zh-CN"/>
        </w:rPr>
        <w:t xml:space="preserve">经磋商后，二次报价为最终报价，二次报价原则上不高于首次报价，如果成交价低于供应商在响应文件首次报价的，分项报价（除暂列金额、甲供材料费、材料暂估价、专业工程暂估价以外的所有费用）同比例调整。</w:t>
      </w:r>
      <w:r/>
    </w:p>
    <w:p>
      <w:pPr>
        <w:jc w:val="center"/>
        <w:spacing w:line="360" w:lineRule="auto"/>
        <w:rPr>
          <w:rFonts w:ascii="宋体" w:hAnsi="宋体" w:cs="黑体"/>
          <w:color w:val="auto"/>
          <w:sz w:val="36"/>
          <w:highlight w:val="none"/>
          <w:lang w:eastAsia="zh-CN"/>
        </w:rPr>
      </w:pPr>
      <w:r/>
      <w:bookmarkStart w:id="1107" w:name="_Toc12264"/>
      <w:r>
        <w:rPr>
          <w:rFonts w:hint="eastAsia" w:ascii="宋体" w:hAnsi="宋体" w:cs="宋体"/>
          <w:b/>
          <w:bCs/>
          <w:color w:val="auto"/>
          <w:szCs w:val="21"/>
          <w:highlight w:val="none"/>
          <w:lang w:eastAsia="zh-CN"/>
        </w:rPr>
        <w:br w:type="page" w:clear="all"/>
      </w:r>
      <w:bookmarkEnd w:id="1107"/>
      <w:r>
        <w:rPr>
          <w:rFonts w:ascii="宋体" w:hAnsi="宋体" w:cs="宋体"/>
          <w:b/>
          <w:color w:val="auto"/>
          <w:sz w:val="36"/>
          <w:szCs w:val="36"/>
          <w:highlight w:val="none"/>
          <w:lang w:eastAsia="zh-CN"/>
        </w:rPr>
        <w:t xml:space="preserve">分项报价表</w:t>
      </w:r>
      <w:r/>
    </w:p>
    <w:p>
      <w:pPr>
        <w:jc w:val="center"/>
        <w:spacing w:line="360" w:lineRule="auto"/>
        <w:rPr>
          <w:rFonts w:hint="eastAsia" w:ascii="宋体" w:hAnsi="宋体" w:eastAsia="宋体" w:cs="宋体"/>
          <w:b/>
          <w:color w:val="auto"/>
          <w:sz w:val="36"/>
          <w:szCs w:val="36"/>
          <w:highlight w:val="none"/>
          <w:lang w:eastAsia="zh-CN"/>
        </w:rPr>
      </w:pPr>
      <w:r>
        <w:rPr>
          <w:rFonts w:hint="eastAsia" w:ascii="宋体" w:hAnsi="宋体" w:eastAsia="宋体" w:cs="宋体"/>
          <w:b/>
          <w:color w:val="auto"/>
          <w:sz w:val="36"/>
          <w:szCs w:val="36"/>
          <w:highlight w:val="none"/>
          <w:lang w:eastAsia="zh-CN"/>
        </w:rPr>
        <w:t xml:space="preserve">（根据提供的工程量清单进行报价）</w:t>
      </w:r>
      <w:r/>
    </w:p>
    <w:p>
      <w:pPr>
        <w:jc w:val="center"/>
        <w:spacing w:line="360" w:lineRule="auto"/>
        <w:rPr>
          <w:rFonts w:ascii="宋体" w:hAnsi="宋体" w:cs="宋体"/>
          <w:b/>
          <w:bCs/>
          <w:color w:val="auto"/>
          <w:szCs w:val="21"/>
          <w:highlight w:val="none"/>
          <w:lang w:eastAsia="zh-CN"/>
        </w:rPr>
      </w:pPr>
      <w:r>
        <w:rPr>
          <w:rFonts w:ascii="宋体" w:hAnsi="宋体" w:cs="宋体"/>
          <w:b/>
          <w:bCs/>
          <w:color w:val="auto"/>
          <w:szCs w:val="21"/>
          <w:highlight w:val="none"/>
          <w:lang w:eastAsia="zh-CN"/>
        </w:rPr>
      </w:r>
      <w:r/>
    </w:p>
    <w:p>
      <w:pPr>
        <w:spacing w:line="360" w:lineRule="auto"/>
        <w:rPr>
          <w:rFonts w:ascii="宋体" w:hAnsi="宋体" w:cs="宋体"/>
          <w:b/>
          <w:bCs/>
          <w:color w:val="auto"/>
          <w:szCs w:val="21"/>
          <w:highlight w:val="none"/>
          <w:lang w:eastAsia="zh-CN"/>
        </w:rPr>
      </w:pPr>
      <w:r>
        <w:rPr>
          <w:rFonts w:ascii="宋体" w:hAnsi="宋体" w:cs="宋体"/>
          <w:b/>
          <w:bCs/>
          <w:color w:val="auto"/>
          <w:szCs w:val="21"/>
          <w:highlight w:val="none"/>
          <w:lang w:eastAsia="zh-CN"/>
        </w:rPr>
      </w:r>
      <w:r/>
    </w:p>
    <w:p>
      <w:pPr>
        <w:spacing w:line="360" w:lineRule="auto"/>
        <w:rPr>
          <w:rFonts w:ascii="宋体" w:hAnsi="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注：</w:t>
      </w:r>
      <w:r>
        <w:rPr>
          <w:rFonts w:hint="eastAsia" w:ascii="宋体" w:hAnsi="宋体" w:cs="宋体"/>
          <w:color w:val="auto"/>
          <w:sz w:val="21"/>
          <w:szCs w:val="21"/>
          <w:highlight w:val="none"/>
          <w:lang w:eastAsia="zh-CN"/>
        </w:rPr>
        <w:t xml:space="preserve">1</w:t>
      </w:r>
      <w:r>
        <w:rPr>
          <w:rFonts w:hint="eastAsia" w:ascii="宋体" w:hAnsi="宋体" w:eastAsia="宋体" w:cs="宋体"/>
          <w:color w:val="auto"/>
          <w:sz w:val="21"/>
          <w:szCs w:val="21"/>
          <w:highlight w:val="none"/>
          <w:lang w:eastAsia="zh-CN"/>
        </w:rPr>
        <w:t xml:space="preserve">、响应报价应包括但不限于完成该项目所有的费用及供应商认为需要的其他相关费用等；每一单项均应计算并填写分项的单价和合价及总价。供应商未填单价、合价的项目，在实施后，采购人将不予支付，并视为该项费用已包括在其它有价款的单价或总价内。</w:t>
      </w:r>
      <w:r/>
    </w:p>
    <w:p>
      <w:pPr>
        <w:spacing w:line="360" w:lineRule="auto"/>
        <w:rPr>
          <w:rFonts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2</w:t>
      </w:r>
      <w:r>
        <w:rPr>
          <w:rFonts w:hint="eastAsia" w:ascii="宋体" w:hAnsi="宋体" w:eastAsia="宋体" w:cs="宋体"/>
          <w:color w:val="auto"/>
          <w:sz w:val="21"/>
          <w:szCs w:val="21"/>
          <w:highlight w:val="none"/>
          <w:lang w:eastAsia="zh-CN"/>
        </w:rPr>
        <w:t xml:space="preserve">、经磋商后，二次报价为最终报价，二次报价原则上不高于首次报价，如果成交价低于供应商在响应文件首次报价的，分项报价（除暂列金额、甲供材料费、材料暂估价、专业工程暂估价以外的所有费用）同比例调整。</w:t>
      </w:r>
      <w:r/>
    </w:p>
    <w:p>
      <w:pPr>
        <w:spacing w:line="360" w:lineRule="auto"/>
        <w:rPr>
          <w:rFonts w:ascii="宋体" w:hAnsi="宋体" w:cs="宋体"/>
          <w:b/>
          <w:bCs/>
          <w:color w:val="auto"/>
          <w:szCs w:val="21"/>
          <w:highlight w:val="none"/>
          <w:lang w:eastAsia="zh-CN"/>
        </w:rPr>
      </w:pPr>
      <w:r>
        <w:rPr>
          <w:rFonts w:ascii="宋体" w:hAnsi="宋体" w:cs="宋体"/>
          <w:b/>
          <w:bCs/>
          <w:color w:val="auto"/>
          <w:szCs w:val="21"/>
          <w:highlight w:val="none"/>
          <w:lang w:eastAsia="zh-CN"/>
        </w:rPr>
      </w:r>
      <w:r/>
    </w:p>
    <w:p>
      <w:pPr>
        <w:spacing w:line="360" w:lineRule="auto"/>
        <w:rPr>
          <w:rFonts w:ascii="宋体" w:hAnsi="宋体" w:cs="宋体"/>
          <w:b/>
          <w:bCs/>
          <w:color w:val="auto"/>
          <w:szCs w:val="21"/>
          <w:highlight w:val="none"/>
          <w:lang w:eastAsia="zh-CN"/>
        </w:rPr>
      </w:pPr>
      <w:r>
        <w:rPr>
          <w:rFonts w:ascii="宋体" w:hAnsi="宋体" w:cs="宋体"/>
          <w:b/>
          <w:bCs/>
          <w:color w:val="auto"/>
          <w:szCs w:val="21"/>
          <w:highlight w:val="none"/>
          <w:lang w:eastAsia="zh-CN"/>
        </w:rPr>
      </w:r>
      <w:r/>
    </w:p>
    <w:p>
      <w:pPr>
        <w:spacing w:line="360" w:lineRule="auto"/>
        <w:rPr>
          <w:rFonts w:ascii="宋体" w:hAnsi="宋体" w:cs="宋体"/>
          <w:b/>
          <w:bCs/>
          <w:color w:val="auto"/>
          <w:szCs w:val="21"/>
          <w:highlight w:val="none"/>
          <w:lang w:eastAsia="zh-CN"/>
        </w:rPr>
      </w:pPr>
      <w:r>
        <w:rPr>
          <w:rFonts w:ascii="宋体" w:hAnsi="宋体" w:cs="宋体"/>
          <w:b/>
          <w:bCs/>
          <w:color w:val="auto"/>
          <w:szCs w:val="21"/>
          <w:highlight w:val="none"/>
          <w:lang w:eastAsia="zh-CN"/>
        </w:rPr>
      </w:r>
      <w:r/>
    </w:p>
    <w:p>
      <w:pPr>
        <w:spacing w:line="360" w:lineRule="auto"/>
        <w:rPr>
          <w:rFonts w:ascii="宋体" w:hAnsi="宋体" w:cs="宋体"/>
          <w:b/>
          <w:bCs/>
          <w:color w:val="auto"/>
          <w:szCs w:val="21"/>
          <w:highlight w:val="none"/>
          <w:lang w:eastAsia="zh-CN"/>
        </w:rPr>
      </w:pPr>
      <w:r>
        <w:rPr>
          <w:rFonts w:ascii="宋体" w:hAnsi="宋体" w:cs="宋体"/>
          <w:b/>
          <w:bCs/>
          <w:color w:val="auto"/>
          <w:szCs w:val="21"/>
          <w:highlight w:val="none"/>
          <w:lang w:eastAsia="zh-CN"/>
        </w:rPr>
      </w:r>
      <w:r/>
    </w:p>
    <w:p>
      <w:pPr>
        <w:spacing w:line="360" w:lineRule="auto"/>
        <w:rPr>
          <w:rFonts w:ascii="宋体" w:hAnsi="宋体" w:cs="宋体"/>
          <w:b/>
          <w:bCs/>
          <w:color w:val="auto"/>
          <w:szCs w:val="21"/>
          <w:highlight w:val="none"/>
          <w:lang w:eastAsia="zh-CN"/>
        </w:rPr>
      </w:pPr>
      <w:r>
        <w:rPr>
          <w:rFonts w:ascii="宋体" w:hAnsi="宋体" w:cs="宋体"/>
          <w:b/>
          <w:bCs/>
          <w:color w:val="auto"/>
          <w:szCs w:val="21"/>
          <w:highlight w:val="none"/>
          <w:lang w:eastAsia="zh-CN"/>
        </w:rPr>
      </w:r>
      <w:r/>
    </w:p>
    <w:p>
      <w:pPr>
        <w:spacing w:line="360" w:lineRule="auto"/>
        <w:rPr>
          <w:rFonts w:ascii="宋体" w:hAnsi="宋体" w:cs="宋体"/>
          <w:b/>
          <w:bCs/>
          <w:color w:val="auto"/>
          <w:szCs w:val="21"/>
          <w:highlight w:val="none"/>
          <w:lang w:eastAsia="zh-CN"/>
        </w:rPr>
      </w:pPr>
      <w:r>
        <w:rPr>
          <w:rFonts w:ascii="宋体" w:hAnsi="宋体" w:cs="宋体"/>
          <w:b/>
          <w:bCs/>
          <w:color w:val="auto"/>
          <w:szCs w:val="21"/>
          <w:highlight w:val="none"/>
          <w:lang w:eastAsia="zh-CN"/>
        </w:rPr>
      </w:r>
      <w:r/>
    </w:p>
    <w:p>
      <w:pPr>
        <w:spacing w:line="360" w:lineRule="auto"/>
        <w:rPr>
          <w:rFonts w:ascii="宋体" w:hAnsi="宋体" w:cs="宋体"/>
          <w:b/>
          <w:bCs/>
          <w:color w:val="auto"/>
          <w:szCs w:val="21"/>
          <w:highlight w:val="none"/>
          <w:lang w:eastAsia="zh-CN"/>
        </w:rPr>
      </w:pPr>
      <w:r>
        <w:rPr>
          <w:rFonts w:ascii="宋体" w:hAnsi="宋体" w:cs="宋体"/>
          <w:b/>
          <w:bCs/>
          <w:color w:val="auto"/>
          <w:szCs w:val="21"/>
          <w:highlight w:val="none"/>
          <w:lang w:eastAsia="zh-CN"/>
        </w:rPr>
      </w:r>
      <w:r/>
    </w:p>
    <w:p>
      <w:pPr>
        <w:spacing w:line="360" w:lineRule="auto"/>
        <w:rPr>
          <w:rFonts w:ascii="宋体" w:hAnsi="宋体" w:eastAsia="宋体" w:cs="宋体"/>
          <w:b/>
          <w:color w:val="auto"/>
          <w:highlight w:val="none"/>
          <w:lang w:eastAsia="zh-CN"/>
        </w:rPr>
      </w:pPr>
      <w:r>
        <w:rPr>
          <w:rFonts w:ascii="宋体" w:hAnsi="宋体" w:eastAsia="宋体" w:cs="宋体"/>
          <w:b/>
          <w:color w:val="auto"/>
          <w:highlight w:val="none"/>
          <w:lang w:eastAsia="zh-CN"/>
        </w:rPr>
      </w:r>
      <w:r/>
    </w:p>
    <w:p>
      <w:pPr>
        <w:spacing w:line="360" w:lineRule="auto"/>
        <w:rPr>
          <w:rFonts w:ascii="宋体" w:hAnsi="宋体" w:eastAsia="宋体" w:cs="宋体"/>
          <w:b/>
          <w:color w:val="auto"/>
          <w:highlight w:val="none"/>
          <w:lang w:eastAsia="zh-CN"/>
        </w:rPr>
      </w:pPr>
      <w:r>
        <w:rPr>
          <w:rFonts w:ascii="宋体" w:hAnsi="宋体" w:eastAsia="宋体" w:cs="宋体"/>
          <w:b/>
          <w:color w:val="auto"/>
          <w:highlight w:val="none"/>
          <w:lang w:eastAsia="zh-CN"/>
        </w:rPr>
      </w:r>
      <w:r/>
    </w:p>
    <w:p>
      <w:pPr>
        <w:pStyle w:val="834"/>
        <w:rPr>
          <w:rFonts w:eastAsia="宋体"/>
          <w:color w:val="auto"/>
          <w:highlight w:val="none"/>
          <w:lang w:eastAsia="zh-CN"/>
        </w:rPr>
      </w:pPr>
      <w:r>
        <w:rPr>
          <w:rFonts w:eastAsia="宋体"/>
          <w:color w:val="auto"/>
          <w:highlight w:val="none"/>
          <w:lang w:eastAsia="zh-CN"/>
        </w:rPr>
      </w:r>
      <w:r/>
    </w:p>
    <w:p>
      <w:pPr>
        <w:pStyle w:val="834"/>
        <w:rPr>
          <w:rFonts w:eastAsia="宋体"/>
          <w:color w:val="auto"/>
          <w:highlight w:val="none"/>
          <w:lang w:eastAsia="zh-CN"/>
        </w:rPr>
      </w:pPr>
      <w:r>
        <w:rPr>
          <w:rFonts w:eastAsia="宋体"/>
          <w:color w:val="auto"/>
          <w:highlight w:val="none"/>
          <w:lang w:eastAsia="zh-CN"/>
        </w:rPr>
      </w:r>
      <w:r/>
    </w:p>
    <w:p>
      <w:pPr>
        <w:pStyle w:val="834"/>
        <w:rPr>
          <w:rFonts w:eastAsia="宋体"/>
          <w:color w:val="auto"/>
          <w:highlight w:val="none"/>
          <w:lang w:eastAsia="zh-CN"/>
        </w:rPr>
      </w:pPr>
      <w:r>
        <w:rPr>
          <w:rFonts w:eastAsia="宋体"/>
          <w:color w:val="auto"/>
          <w:highlight w:val="none"/>
          <w:lang w:eastAsia="zh-CN"/>
        </w:rPr>
      </w:r>
      <w:r/>
    </w:p>
    <w:p>
      <w:pPr>
        <w:pStyle w:val="834"/>
        <w:rPr>
          <w:rFonts w:eastAsia="宋体"/>
          <w:color w:val="auto"/>
          <w:highlight w:val="none"/>
          <w:lang w:eastAsia="zh-CN"/>
        </w:rPr>
      </w:pPr>
      <w:r>
        <w:rPr>
          <w:rFonts w:eastAsia="宋体"/>
          <w:color w:val="auto"/>
          <w:highlight w:val="none"/>
          <w:lang w:eastAsia="zh-CN"/>
        </w:rPr>
      </w:r>
      <w:r/>
    </w:p>
    <w:p>
      <w:pPr>
        <w:pStyle w:val="834"/>
        <w:rPr>
          <w:rFonts w:eastAsia="宋体"/>
          <w:color w:val="auto"/>
          <w:highlight w:val="none"/>
          <w:lang w:eastAsia="zh-CN"/>
        </w:rPr>
      </w:pPr>
      <w:r>
        <w:rPr>
          <w:rFonts w:eastAsia="宋体"/>
          <w:color w:val="auto"/>
          <w:highlight w:val="none"/>
          <w:lang w:eastAsia="zh-CN"/>
        </w:rPr>
      </w:r>
      <w:r/>
    </w:p>
    <w:p>
      <w:pPr>
        <w:pStyle w:val="834"/>
        <w:rPr>
          <w:rFonts w:eastAsia="宋体"/>
          <w:color w:val="auto"/>
          <w:highlight w:val="none"/>
          <w:lang w:eastAsia="zh-CN"/>
        </w:rPr>
      </w:pPr>
      <w:r>
        <w:rPr>
          <w:rFonts w:eastAsia="宋体"/>
          <w:color w:val="auto"/>
          <w:highlight w:val="none"/>
          <w:lang w:eastAsia="zh-CN"/>
        </w:rPr>
      </w:r>
      <w:r/>
    </w:p>
    <w:p>
      <w:pPr>
        <w:pStyle w:val="834"/>
        <w:rPr>
          <w:rFonts w:eastAsia="宋体"/>
          <w:color w:val="auto"/>
          <w:highlight w:val="none"/>
          <w:lang w:eastAsia="zh-CN"/>
        </w:rPr>
      </w:pPr>
      <w:r>
        <w:rPr>
          <w:rFonts w:eastAsia="宋体"/>
          <w:color w:val="auto"/>
          <w:highlight w:val="none"/>
          <w:lang w:eastAsia="zh-CN"/>
        </w:rPr>
      </w:r>
      <w:r/>
    </w:p>
    <w:p>
      <w:pPr>
        <w:pStyle w:val="834"/>
        <w:rPr>
          <w:rFonts w:eastAsia="宋体"/>
          <w:color w:val="auto"/>
          <w:highlight w:val="none"/>
          <w:lang w:eastAsia="zh-CN"/>
        </w:rPr>
      </w:pPr>
      <w:r>
        <w:rPr>
          <w:rFonts w:eastAsia="宋体"/>
          <w:color w:val="auto"/>
          <w:highlight w:val="none"/>
          <w:lang w:eastAsia="zh-CN"/>
        </w:rPr>
      </w:r>
      <w:r/>
    </w:p>
    <w:p>
      <w:pPr>
        <w:pStyle w:val="834"/>
        <w:rPr>
          <w:rFonts w:eastAsia="宋体"/>
          <w:color w:val="auto"/>
          <w:highlight w:val="none"/>
          <w:lang w:eastAsia="zh-CN"/>
        </w:rPr>
      </w:pPr>
      <w:r>
        <w:rPr>
          <w:rFonts w:eastAsia="宋体"/>
          <w:color w:val="auto"/>
          <w:highlight w:val="none"/>
          <w:lang w:eastAsia="zh-CN"/>
        </w:rPr>
      </w:r>
      <w:r/>
    </w:p>
    <w:p>
      <w:pPr>
        <w:pStyle w:val="834"/>
        <w:rPr>
          <w:rFonts w:eastAsia="宋体"/>
          <w:color w:val="auto"/>
          <w:highlight w:val="none"/>
          <w:lang w:eastAsia="zh-CN"/>
        </w:rPr>
      </w:pPr>
      <w:r>
        <w:rPr>
          <w:rFonts w:eastAsia="宋体"/>
          <w:color w:val="auto"/>
          <w:highlight w:val="none"/>
          <w:lang w:eastAsia="zh-CN"/>
        </w:rPr>
      </w:r>
      <w:r/>
    </w:p>
    <w:p>
      <w:pPr>
        <w:pStyle w:val="834"/>
        <w:rPr>
          <w:rFonts w:eastAsia="宋体"/>
          <w:color w:val="auto"/>
          <w:highlight w:val="none"/>
          <w:lang w:eastAsia="zh-CN"/>
        </w:rPr>
      </w:pPr>
      <w:r>
        <w:rPr>
          <w:rFonts w:eastAsia="宋体"/>
          <w:color w:val="auto"/>
          <w:highlight w:val="none"/>
          <w:lang w:eastAsia="zh-CN"/>
        </w:rPr>
      </w:r>
      <w:r/>
    </w:p>
    <w:p>
      <w:pPr>
        <w:pStyle w:val="834"/>
        <w:rPr>
          <w:rFonts w:eastAsia="宋体"/>
          <w:color w:val="auto"/>
          <w:highlight w:val="none"/>
          <w:lang w:eastAsia="zh-CN"/>
        </w:rPr>
      </w:pPr>
      <w:r>
        <w:rPr>
          <w:rFonts w:eastAsia="宋体"/>
          <w:color w:val="auto"/>
          <w:highlight w:val="none"/>
          <w:lang w:eastAsia="zh-CN"/>
        </w:rPr>
      </w:r>
      <w:r/>
    </w:p>
    <w:p>
      <w:pPr>
        <w:spacing w:line="360" w:lineRule="auto"/>
        <w:rPr>
          <w:rFonts w:ascii="宋体" w:hAnsi="宋体" w:cs="宋体"/>
          <w:b/>
          <w:color w:val="auto"/>
          <w:szCs w:val="21"/>
          <w:highlight w:val="none"/>
          <w:lang w:eastAsia="zh-CN"/>
        </w:rPr>
      </w:pPr>
      <w:r>
        <w:rPr>
          <w:rFonts w:hint="eastAsia" w:ascii="宋体" w:hAnsi="宋体" w:cs="宋体"/>
          <w:b/>
          <w:color w:val="auto"/>
          <w:highlight w:val="none"/>
          <w:lang w:eastAsia="zh-CN"/>
        </w:rPr>
        <w:t xml:space="preserve">格式四</w:t>
      </w:r>
      <w:r>
        <w:rPr>
          <w:rFonts w:hint="eastAsia" w:ascii="宋体" w:hAnsi="宋体" w:cs="宋体"/>
          <w:b/>
          <w:bCs/>
          <w:color w:val="auto"/>
          <w:highlight w:val="none"/>
          <w:lang w:eastAsia="zh-CN"/>
        </w:rPr>
        <w:t xml:space="preserve">：</w:t>
      </w:r>
      <w:r>
        <w:rPr>
          <w:rFonts w:hint="eastAsia" w:ascii="宋体" w:hAnsi="宋体" w:cs="宋体"/>
          <w:b/>
          <w:color w:val="auto"/>
          <w:szCs w:val="21"/>
          <w:highlight w:val="none"/>
          <w:lang w:eastAsia="zh-CN"/>
        </w:rPr>
        <w:t xml:space="preserve">技术条款偏离表</w:t>
      </w:r>
      <w:r>
        <w:rPr>
          <w:rFonts w:hint="eastAsia" w:ascii="宋体" w:hAnsi="宋体" w:cs="宋体"/>
          <w:b/>
          <w:bCs/>
          <w:color w:val="auto"/>
          <w:szCs w:val="21"/>
          <w:highlight w:val="none"/>
          <w:lang w:eastAsia="zh-CN"/>
        </w:rPr>
        <w:t xml:space="preserve">格式</w:t>
      </w:r>
      <w:r/>
    </w:p>
    <w:p>
      <w:pPr>
        <w:spacing w:line="360" w:lineRule="auto"/>
        <w:rPr>
          <w:rFonts w:ascii="宋体" w:hAnsi="宋体" w:cs="宋体"/>
          <w:b/>
          <w:color w:val="auto"/>
          <w:highlight w:val="none"/>
          <w:lang w:eastAsia="zh-CN"/>
        </w:rPr>
      </w:pPr>
      <w:r>
        <w:rPr>
          <w:rFonts w:ascii="宋体" w:hAnsi="宋体" w:cs="宋体"/>
          <w:b/>
          <w:color w:val="auto"/>
          <w:highlight w:val="none"/>
          <w:lang w:eastAsia="zh-CN"/>
        </w:rPr>
      </w:r>
      <w:r/>
    </w:p>
    <w:p>
      <w:pPr>
        <w:ind w:left="420"/>
        <w:jc w:val="center"/>
        <w:spacing w:line="360" w:lineRule="auto"/>
        <w:rPr>
          <w:rFonts w:ascii="宋体" w:hAnsi="宋体" w:cs="黑体"/>
          <w:color w:val="auto"/>
          <w:sz w:val="36"/>
          <w:highlight w:val="none"/>
        </w:rPr>
      </w:pPr>
      <w:r>
        <w:rPr>
          <w:rFonts w:ascii="宋体" w:hAnsi="宋体" w:cs="黑体"/>
          <w:color w:val="auto"/>
          <w:sz w:val="36"/>
          <w:highlight w:val="none"/>
        </w:rPr>
        <w:t xml:space="preserve">技术条款偏离表</w:t>
      </w:r>
      <w:r/>
    </w:p>
    <w:tbl>
      <w:tblPr>
        <w:tblStyle w:val="776"/>
        <w:tblW w:w="0" w:type="auto"/>
        <w:jc w:val="center"/>
        <w:tblLayout w:type="fixed"/>
        <w:tblCellMar>
          <w:left w:w="10" w:type="dxa"/>
          <w:top w:w="0" w:type="dxa"/>
          <w:right w:w="10" w:type="dxa"/>
          <w:bottom w:w="0" w:type="dxa"/>
        </w:tblCellMar>
        <w:tblLook w:val="04A0" w:firstRow="1" w:lastRow="0" w:firstColumn="1" w:lastColumn="0" w:noHBand="0" w:noVBand="1"/>
      </w:tblPr>
      <w:tblGrid>
        <w:gridCol w:w="765"/>
        <w:gridCol w:w="1620"/>
        <w:gridCol w:w="2700"/>
        <w:gridCol w:w="1411"/>
        <w:gridCol w:w="1829"/>
        <w:gridCol w:w="1110"/>
      </w:tblGrid>
      <w:tr>
        <w:trPr>
          <w:jc w:val="center"/>
        </w:trPr>
        <w:tc>
          <w:tcPr>
            <w:gridSpan w:val="4"/>
            <w:shd w:val="clear" w:color="000000" w:fill="ffffff"/>
            <w:tcMar>
              <w:left w:w="0" w:type="dxa"/>
              <w:right w:w="0" w:type="dxa"/>
            </w:tcMar>
            <w:tcW w:w="6496" w:type="dxa"/>
            <w:vAlign w:val="center"/>
            <w:textDirection w:val="lrTb"/>
            <w:noWrap w:val="false"/>
          </w:tcPr>
          <w:p>
            <w:pPr>
              <w:spacing w:line="360" w:lineRule="auto"/>
              <w:rPr>
                <w:rFonts w:ascii="宋体" w:hAnsi="宋体" w:cs="宋体"/>
                <w:color w:val="auto"/>
                <w:highlight w:val="none"/>
                <w:lang w:eastAsia="zh-CN"/>
              </w:rPr>
            </w:pPr>
            <w:r>
              <w:rPr>
                <w:rFonts w:hint="eastAsia" w:ascii="宋体" w:hAnsi="宋体" w:eastAsia="宋体" w:cs="宋体"/>
                <w:color w:val="auto"/>
                <w:highlight w:val="none"/>
                <w:lang w:eastAsia="zh-CN"/>
              </w:rPr>
              <w:t xml:space="preserve">项目名称：</w:t>
            </w:r>
            <w:r/>
          </w:p>
        </w:tc>
        <w:tc>
          <w:tcPr>
            <w:gridSpan w:val="2"/>
            <w:shd w:val="clear" w:color="000000" w:fill="ffffff"/>
            <w:tcMar>
              <w:left w:w="0" w:type="dxa"/>
              <w:right w:w="0" w:type="dxa"/>
            </w:tcMar>
            <w:tcW w:w="2939" w:type="dxa"/>
            <w:vAlign w:val="center"/>
            <w:textDirection w:val="lrTb"/>
            <w:noWrap w:val="false"/>
          </w:tcPr>
          <w:p>
            <w:pPr>
              <w:spacing w:line="360" w:lineRule="auto"/>
              <w:rPr>
                <w:rFonts w:ascii="宋体" w:hAnsi="宋体" w:cs="宋体"/>
                <w:color w:val="auto"/>
                <w:highlight w:val="none"/>
              </w:rPr>
            </w:pPr>
            <w:r>
              <w:rPr>
                <w:rFonts w:ascii="宋体" w:hAnsi="宋体" w:cs="宋体"/>
                <w:color w:val="auto"/>
                <w:highlight w:val="none"/>
              </w:rPr>
              <w:t xml:space="preserve">项目编号：</w:t>
            </w:r>
            <w:r/>
          </w:p>
        </w:tc>
      </w:tr>
      <w:tr>
        <w:trPr>
          <w:jc w:val="cente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t xml:space="preserve">序号</w:t>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620"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eastAsia="宋体" w:cs="宋体"/>
                <w:color w:val="auto"/>
                <w:highlight w:val="none"/>
                <w:lang w:eastAsia="zh-CN"/>
              </w:rPr>
              <w:t xml:space="preserve">磋商</w:t>
            </w:r>
            <w:r>
              <w:rPr>
                <w:rFonts w:ascii="宋体" w:hAnsi="宋体" w:cs="宋体"/>
                <w:color w:val="auto"/>
                <w:highlight w:val="none"/>
              </w:rPr>
              <w:t xml:space="preserve">文件条目号</w:t>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0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t xml:space="preserve">服务要求</w:t>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eastAsia="宋体" w:cs="宋体"/>
                <w:color w:val="auto"/>
                <w:highlight w:val="none"/>
                <w:lang w:eastAsia="zh-CN"/>
              </w:rPr>
              <w:t xml:space="preserve">磋商</w:t>
            </w:r>
            <w:r>
              <w:rPr>
                <w:rFonts w:ascii="宋体" w:hAnsi="宋体" w:cs="宋体"/>
                <w:color w:val="auto"/>
                <w:highlight w:val="none"/>
              </w:rPr>
              <w:t xml:space="preserve">响应</w:t>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t xml:space="preserve">偏离</w:t>
            </w:r>
            <w:r/>
          </w:p>
        </w:tc>
      </w:tr>
      <w:tr>
        <w:trPr>
          <w:jc w:val="cente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62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00" w:type="dxa"/>
            <w:vAlign w:val="center"/>
            <w:textDirection w:val="lrTb"/>
            <w:noWrap w:val="false"/>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eastAsia="zh-CN"/>
              </w:rPr>
              <w:t xml:space="preserve">项目实施要求</w:t>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r>
      <w:tr>
        <w:trPr>
          <w:jc w:val="cente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62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00" w:type="dxa"/>
            <w:vAlign w:val="center"/>
            <w:textDirection w:val="lrTb"/>
            <w:noWrap w:val="false"/>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实施方案</w:t>
            </w:r>
            <w:r>
              <w:rPr>
                <w:rFonts w:hint="eastAsia" w:ascii="宋体" w:hAnsi="宋体" w:eastAsia="宋体" w:cs="宋体"/>
                <w:color w:val="auto"/>
                <w:sz w:val="21"/>
                <w:szCs w:val="21"/>
                <w:highlight w:val="none"/>
                <w:lang w:eastAsia="zh-CN"/>
              </w:rPr>
              <w:t xml:space="preserve">(如有）</w:t>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r>
      <w:tr>
        <w:trPr>
          <w:jc w:val="cente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62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00" w:type="dxa"/>
            <w:vAlign w:val="center"/>
            <w:textDirection w:val="lrTb"/>
            <w:noWrap w:val="false"/>
          </w:tcPr>
          <w:p>
            <w:pPr>
              <w:jc w:val="center"/>
              <w:spacing w:line="360" w:lineRule="auto"/>
              <w:rPr>
                <w:rFonts w:ascii="宋体" w:hAnsi="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供应商认为需要</w:t>
            </w:r>
            <w:r>
              <w:rPr>
                <w:rFonts w:hint="eastAsia" w:ascii="宋体" w:hAnsi="宋体" w:eastAsia="宋体" w:cs="宋体"/>
                <w:color w:val="auto"/>
                <w:sz w:val="21"/>
                <w:szCs w:val="21"/>
                <w:highlight w:val="none"/>
                <w:lang w:val="zh-CN" w:eastAsia="zh-CN"/>
              </w:rPr>
              <w:t xml:space="preserve">提供的其他技术资料</w:t>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jc w:val="center"/>
              <w:spacing w:line="360" w:lineRule="auto"/>
              <w:rPr>
                <w:rFonts w:ascii="宋体" w:hAnsi="宋体" w:cs="宋体"/>
                <w:color w:val="auto"/>
                <w:highlight w:val="none"/>
                <w:lang w:eastAsia="zh-CN"/>
              </w:rPr>
            </w:pPr>
            <w:r>
              <w:rPr>
                <w:rFonts w:ascii="宋体" w:hAnsi="宋体" w:cs="宋体"/>
                <w:color w:val="auto"/>
                <w:highlight w:val="none"/>
                <w:lang w:eastAsia="zh-CN"/>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jc w:val="center"/>
              <w:spacing w:line="360" w:lineRule="auto"/>
              <w:rPr>
                <w:rFonts w:ascii="宋体" w:hAnsi="宋体" w:cs="宋体"/>
                <w:color w:val="auto"/>
                <w:highlight w:val="none"/>
                <w:lang w:eastAsia="zh-CN"/>
              </w:rPr>
            </w:pPr>
            <w:r>
              <w:rPr>
                <w:rFonts w:ascii="宋体" w:hAnsi="宋体" w:cs="宋体"/>
                <w:color w:val="auto"/>
                <w:highlight w:val="none"/>
                <w:lang w:eastAsia="zh-CN"/>
              </w:rPr>
            </w:r>
            <w:r/>
          </w:p>
        </w:tc>
      </w:tr>
      <w:tr>
        <w:trPr>
          <w:jc w:val="cente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jc w:val="center"/>
              <w:spacing w:line="360" w:lineRule="auto"/>
              <w:rPr>
                <w:rFonts w:ascii="宋体" w:hAnsi="宋体" w:cs="宋体"/>
                <w:color w:val="auto"/>
                <w:highlight w:val="none"/>
                <w:lang w:eastAsia="zh-CN"/>
              </w:rPr>
            </w:pPr>
            <w:r>
              <w:rPr>
                <w:rFonts w:ascii="宋体" w:hAnsi="宋体" w:cs="宋体"/>
                <w:color w:val="auto"/>
                <w:highlight w:val="none"/>
                <w:lang w:eastAsia="zh-CN"/>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620" w:type="dxa"/>
            <w:vAlign w:val="center"/>
            <w:textDirection w:val="lrTb"/>
            <w:noWrap w:val="false"/>
          </w:tcPr>
          <w:p>
            <w:pPr>
              <w:jc w:val="center"/>
              <w:spacing w:line="360" w:lineRule="auto"/>
              <w:rPr>
                <w:rFonts w:ascii="宋体" w:hAnsi="宋体" w:cs="宋体"/>
                <w:color w:val="auto"/>
                <w:highlight w:val="none"/>
                <w:lang w:eastAsia="zh-CN"/>
              </w:rPr>
            </w:pPr>
            <w:r>
              <w:rPr>
                <w:rFonts w:ascii="宋体" w:hAnsi="宋体" w:cs="宋体"/>
                <w:color w:val="auto"/>
                <w:highlight w:val="none"/>
                <w:lang w:eastAsia="zh-CN"/>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00" w:type="dxa"/>
            <w:vAlign w:val="center"/>
            <w:textDirection w:val="lrTb"/>
            <w:noWrap w:val="false"/>
          </w:tcPr>
          <w:p>
            <w:pPr>
              <w:jc w:val="center"/>
              <w:spacing w:line="360" w:lineRule="auto"/>
              <w:rPr>
                <w:rFonts w:ascii="宋体" w:hAnsi="宋体" w:eastAsia="宋体" w:cs="宋体"/>
                <w:color w:val="auto"/>
                <w:sz w:val="21"/>
                <w:szCs w:val="21"/>
                <w:highlight w:val="none"/>
                <w:lang w:eastAsia="zh-CN"/>
              </w:rPr>
            </w:pPr>
            <w:r>
              <w:rPr>
                <w:rFonts w:ascii="宋体" w:hAnsi="宋体" w:eastAsia="宋体" w:cs="宋体"/>
                <w:color w:val="auto"/>
                <w:sz w:val="21"/>
                <w:szCs w:val="21"/>
                <w:highlight w:val="none"/>
                <w:lang w:eastAsia="zh-CN"/>
              </w:rPr>
              <w:t xml:space="preserve">其他要求</w:t>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r>
      <w:tr>
        <w:trPr>
          <w:jc w:val="cente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62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00" w:type="dxa"/>
            <w:vAlign w:val="center"/>
            <w:textDirection w:val="lrTb"/>
            <w:noWrap w:val="false"/>
          </w:tcPr>
          <w:p>
            <w:pPr>
              <w:jc w:val="center"/>
              <w:spacing w:line="360" w:lineRule="auto"/>
              <w:rPr>
                <w:rFonts w:ascii="宋体" w:hAnsi="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r>
      <w:tr>
        <w:trPr>
          <w:jc w:val="cente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62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0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r>
      <w:tr>
        <w:trPr>
          <w:jc w:val="cente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62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0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r>
    </w:tbl>
    <w:p>
      <w:pPr>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color w:val="auto"/>
          <w:highlight w:val="none"/>
          <w:lang w:eastAsia="zh-CN"/>
        </w:rPr>
      </w:pPr>
      <w:r>
        <w:rPr>
          <w:rFonts w:ascii="宋体" w:hAnsi="宋体" w:cs="宋体"/>
          <w:color w:val="auto"/>
          <w:highlight w:val="none"/>
          <w:lang w:eastAsia="zh-CN"/>
        </w:rPr>
        <w:t xml:space="preserve">供应商名称：（</w:t>
      </w:r>
      <w:r>
        <w:rPr>
          <w:rFonts w:hint="eastAsia" w:ascii="宋体" w:hAnsi="宋体" w:cs="宋体"/>
          <w:color w:val="auto"/>
          <w:highlight w:val="none"/>
          <w:lang w:eastAsia="zh-CN"/>
        </w:rPr>
        <w:t xml:space="preserve">加盖电子公章）</w:t>
      </w:r>
      <w:r/>
    </w:p>
    <w:p>
      <w:pPr>
        <w:spacing w:line="360" w:lineRule="auto"/>
        <w:rPr>
          <w:rFonts w:hint="eastAsia" w:ascii="宋体" w:hAnsi="宋体" w:cs="宋体"/>
          <w:color w:val="auto"/>
          <w:highlight w:val="none"/>
          <w:lang w:val="zh-TW" w:eastAsia="zh-CN"/>
        </w:rPr>
      </w:pPr>
      <w:r>
        <w:rPr>
          <w:rFonts w:ascii="宋体" w:hAnsi="宋体" w:cs="宋体"/>
          <w:color w:val="auto"/>
          <w:highlight w:val="none"/>
          <w:lang w:eastAsia="zh-CN"/>
        </w:rPr>
        <w:t xml:space="preserve">说明：</w:t>
      </w:r>
      <w:r>
        <w:rPr>
          <w:rFonts w:hint="eastAsia" w:ascii="宋体" w:hAnsi="宋体" w:cs="宋体"/>
          <w:color w:val="auto"/>
          <w:highlight w:val="none"/>
          <w:lang w:eastAsia="zh-CN"/>
        </w:rPr>
        <w:t xml:space="preserve">1.供应商根据磋商文件技术条款相关要求填写此表，作为响应文件的组成部分。 </w:t>
      </w:r>
      <w:r/>
    </w:p>
    <w:p>
      <w:pPr>
        <w:ind w:firstLine="660"/>
        <w:spacing w:line="360" w:lineRule="auto"/>
        <w:rPr>
          <w:rFonts w:hint="eastAsia" w:ascii="宋体" w:hAnsi="宋体" w:cs="宋体"/>
          <w:color w:val="auto"/>
          <w:highlight w:val="none"/>
          <w:lang w:val="zh-TW" w:eastAsia="zh-CN"/>
        </w:rPr>
      </w:pPr>
      <w:r>
        <w:rPr>
          <w:rFonts w:hint="eastAsia" w:ascii="宋体" w:hAnsi="宋体" w:cs="宋体"/>
          <w:color w:val="auto"/>
          <w:highlight w:val="none"/>
          <w:lang w:eastAsia="zh-CN"/>
        </w:rPr>
        <w:t xml:space="preserve">2.所有偏离必须在本表中列出，未在本偏离表中列出偏离，将视为供应商已完全接受磋商文件要求。如完全无偏离，也无其他说明，可在本表第一行填写“全部无偏离”。 </w:t>
      </w:r>
      <w:r/>
    </w:p>
    <w:p>
      <w:pPr>
        <w:ind w:firstLine="660"/>
        <w:spacing w:line="360" w:lineRule="auto"/>
        <w:rPr>
          <w:rFonts w:hint="eastAsia" w:ascii="宋体" w:hAnsi="宋体" w:cs="宋体"/>
          <w:color w:val="auto"/>
          <w:highlight w:val="none"/>
          <w:lang w:val="zh-TW" w:eastAsia="zh-CN"/>
        </w:rPr>
      </w:pPr>
      <w:r>
        <w:rPr>
          <w:rFonts w:hint="eastAsia" w:ascii="宋体" w:hAnsi="宋体" w:cs="宋体"/>
          <w:color w:val="auto"/>
          <w:highlight w:val="none"/>
          <w:lang w:eastAsia="zh-CN"/>
        </w:rPr>
        <w:t xml:space="preserve">3.偏离包括正、负偏离，正偏离指供应商的响应优于磋商文件要求，负偏离指供应商的响应低于磋商文件要求。 </w:t>
      </w:r>
      <w:r/>
    </w:p>
    <w:p>
      <w:pPr>
        <w:ind w:firstLine="660"/>
        <w:spacing w:line="360" w:lineRule="auto"/>
        <w:rPr>
          <w:rFonts w:hint="eastAsia" w:ascii="宋体" w:hAnsi="宋体" w:cs="宋体"/>
          <w:color w:val="auto"/>
          <w:highlight w:val="none"/>
          <w:lang w:val="zh-TW" w:eastAsia="zh-CN"/>
        </w:rPr>
      </w:pPr>
      <w:r>
        <w:rPr>
          <w:rFonts w:hint="eastAsia" w:ascii="宋体" w:hAnsi="宋体" w:cs="宋体"/>
          <w:color w:val="auto"/>
          <w:highlight w:val="none"/>
          <w:lang w:eastAsia="zh-CN"/>
        </w:rPr>
        <w:t xml:space="preserve">4.如供应商将此表空白，视为供应商无任何偏离。</w:t>
      </w:r>
      <w:r/>
    </w:p>
    <w:p>
      <w:pPr>
        <w:ind w:firstLine="660"/>
        <w:spacing w:line="360" w:lineRule="auto"/>
        <w:rPr>
          <w:rFonts w:ascii="宋体" w:hAnsi="宋体"/>
          <w:color w:val="auto"/>
          <w:highlight w:val="none"/>
          <w:lang w:eastAsia="zh-CN"/>
        </w:rPr>
      </w:pPr>
      <w:r>
        <w:rPr>
          <w:rFonts w:hint="eastAsia" w:ascii="宋体" w:hAnsi="宋体" w:cs="宋体"/>
          <w:color w:val="auto"/>
          <w:highlight w:val="none"/>
          <w:lang w:eastAsia="zh-CN"/>
        </w:rPr>
        <w:t xml:space="preserve">5.</w:t>
      </w:r>
      <w:r>
        <w:rPr>
          <w:rFonts w:ascii="宋体" w:hAnsi="宋体" w:cs="宋体"/>
          <w:color w:val="auto"/>
          <w:highlight w:val="none"/>
          <w:lang w:eastAsia="zh-CN"/>
        </w:rPr>
        <w:t xml:space="preserve">如果行数不够，请自行增加。</w:t>
      </w:r>
      <w:r/>
    </w:p>
    <w:p>
      <w:pPr>
        <w:spacing w:line="360" w:lineRule="auto"/>
        <w:shd w:val="clear" w:color="auto" w:fill="ffffff"/>
        <w:widowControl/>
        <w:rPr>
          <w:rFonts w:ascii="宋体" w:hAnsi="宋体" w:cs="宋体"/>
          <w:color w:val="auto"/>
          <w:szCs w:val="21"/>
          <w:highlight w:val="none"/>
          <w:lang w:eastAsia="zh-CN"/>
        </w:rPr>
      </w:pPr>
      <w:r>
        <w:rPr>
          <w:rFonts w:ascii="宋体" w:hAnsi="宋体" w:cs="宋体"/>
          <w:color w:val="auto"/>
          <w:szCs w:val="21"/>
          <w:highlight w:val="none"/>
          <w:lang w:eastAsia="zh-CN"/>
        </w:rPr>
      </w:r>
      <w:r/>
    </w:p>
    <w:p>
      <w:pPr>
        <w:spacing w:line="360" w:lineRule="auto"/>
        <w:shd w:val="clear" w:color="auto" w:fill="ffffff"/>
        <w:widowControl/>
        <w:rPr>
          <w:rFonts w:ascii="宋体" w:hAnsi="宋体" w:cs="宋体"/>
          <w:b/>
          <w:bCs/>
          <w:color w:val="auto"/>
          <w:szCs w:val="21"/>
          <w:highlight w:val="none"/>
          <w:lang w:eastAsia="zh-CN"/>
        </w:rPr>
      </w:pPr>
      <w:r>
        <w:rPr>
          <w:rFonts w:hint="eastAsia" w:ascii="宋体" w:hAnsi="宋体" w:cs="宋体"/>
          <w:b/>
          <w:color w:val="auto"/>
          <w:szCs w:val="21"/>
          <w:highlight w:val="none"/>
          <w:lang w:eastAsia="zh-CN"/>
        </w:rPr>
        <w:br w:type="page" w:clear="all"/>
      </w:r>
      <w:r>
        <w:rPr>
          <w:rFonts w:hint="eastAsia" w:ascii="宋体" w:hAnsi="宋体" w:cs="宋体"/>
          <w:b/>
          <w:color w:val="auto"/>
          <w:szCs w:val="21"/>
          <w:highlight w:val="none"/>
          <w:lang w:eastAsia="zh-CN"/>
        </w:rPr>
        <w:t xml:space="preserve">格式五</w:t>
      </w:r>
      <w:r>
        <w:rPr>
          <w:rFonts w:hint="eastAsia" w:ascii="宋体" w:hAnsi="宋体" w:cs="宋体"/>
          <w:b/>
          <w:bCs/>
          <w:color w:val="auto"/>
          <w:szCs w:val="21"/>
          <w:highlight w:val="none"/>
          <w:lang w:eastAsia="zh-CN"/>
        </w:rPr>
        <w:t xml:space="preserve">、</w:t>
      </w:r>
      <w:r>
        <w:rPr>
          <w:rFonts w:hint="eastAsia" w:ascii="宋体" w:hAnsi="宋体" w:cs="宋体"/>
          <w:b/>
          <w:color w:val="auto"/>
          <w:szCs w:val="21"/>
          <w:highlight w:val="none"/>
          <w:lang w:eastAsia="zh-CN"/>
        </w:rPr>
        <w:t xml:space="preserve">商务条款偏离表</w:t>
      </w:r>
      <w:r>
        <w:rPr>
          <w:rFonts w:hint="eastAsia" w:ascii="宋体" w:hAnsi="宋体" w:cs="宋体"/>
          <w:b/>
          <w:bCs/>
          <w:color w:val="auto"/>
          <w:szCs w:val="21"/>
          <w:highlight w:val="none"/>
          <w:lang w:eastAsia="zh-CN"/>
        </w:rPr>
        <w:t xml:space="preserve">格式</w:t>
      </w:r>
      <w:r/>
    </w:p>
    <w:p>
      <w:pPr>
        <w:ind w:left="420"/>
        <w:jc w:val="center"/>
        <w:spacing w:line="360" w:lineRule="auto"/>
        <w:rPr>
          <w:rFonts w:ascii="宋体" w:hAnsi="宋体" w:cs="黑体"/>
          <w:color w:val="auto"/>
          <w:sz w:val="36"/>
          <w:highlight w:val="none"/>
        </w:rPr>
      </w:pPr>
      <w:r>
        <w:rPr>
          <w:rFonts w:ascii="宋体" w:hAnsi="宋体" w:cs="黑体"/>
          <w:color w:val="auto"/>
          <w:sz w:val="36"/>
          <w:highlight w:val="none"/>
        </w:rPr>
        <w:t xml:space="preserve">商务条款偏离表</w:t>
      </w:r>
      <w:r/>
    </w:p>
    <w:tbl>
      <w:tblPr>
        <w:tblStyle w:val="776"/>
        <w:tblW w:w="0" w:type="auto"/>
        <w:jc w:val="center"/>
        <w:tblLayout w:type="fixed"/>
        <w:tblCellMar>
          <w:left w:w="10" w:type="dxa"/>
          <w:top w:w="0" w:type="dxa"/>
          <w:right w:w="10" w:type="dxa"/>
          <w:bottom w:w="0" w:type="dxa"/>
        </w:tblCellMar>
        <w:tblLook w:val="04A0" w:firstRow="1" w:lastRow="0" w:firstColumn="1" w:lastColumn="0" w:noHBand="0" w:noVBand="1"/>
      </w:tblPr>
      <w:tblGrid>
        <w:gridCol w:w="673"/>
        <w:gridCol w:w="1676"/>
        <w:gridCol w:w="4261"/>
        <w:gridCol w:w="971"/>
        <w:gridCol w:w="1168"/>
        <w:gridCol w:w="790"/>
      </w:tblGrid>
      <w:tr>
        <w:trPr>
          <w:jc w:val="center"/>
          <w:trHeight w:val="385"/>
        </w:trPr>
        <w:tc>
          <w:tcPr>
            <w:gridSpan w:val="3"/>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610" w:type="dxa"/>
            <w:vAlign w:val="center"/>
            <w:textDirection w:val="lrTb"/>
            <w:noWrap w:val="false"/>
          </w:tcPr>
          <w:p>
            <w:pPr>
              <w:spacing w:line="360" w:lineRule="auto"/>
              <w:rPr>
                <w:rFonts w:ascii="宋体" w:hAnsi="宋体" w:cs="宋体"/>
                <w:color w:val="auto"/>
                <w:highlight w:val="none"/>
              </w:rPr>
            </w:pPr>
            <w:r>
              <w:rPr>
                <w:rFonts w:hint="eastAsia" w:ascii="宋体" w:hAnsi="宋体" w:eastAsia="宋体" w:cs="宋体"/>
                <w:color w:val="auto"/>
                <w:highlight w:val="none"/>
              </w:rPr>
              <w:t xml:space="preserve">项目名称：</w:t>
            </w:r>
            <w:r/>
          </w:p>
        </w:tc>
        <w:tc>
          <w:tcPr>
            <w:gridSpan w:val="3"/>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29" w:type="dxa"/>
            <w:vAlign w:val="center"/>
            <w:textDirection w:val="lrTb"/>
            <w:noWrap w:val="false"/>
          </w:tcPr>
          <w:p>
            <w:pPr>
              <w:spacing w:line="360" w:lineRule="auto"/>
              <w:rPr>
                <w:rFonts w:ascii="宋体" w:hAnsi="宋体" w:cs="宋体"/>
                <w:color w:val="auto"/>
                <w:highlight w:val="none"/>
              </w:rPr>
            </w:pPr>
            <w:r>
              <w:rPr>
                <w:rFonts w:ascii="宋体" w:hAnsi="宋体" w:cs="宋体"/>
                <w:color w:val="auto"/>
                <w:highlight w:val="none"/>
              </w:rPr>
              <w:t xml:space="preserve">项目编号：</w:t>
            </w:r>
            <w:r/>
          </w:p>
        </w:tc>
      </w:tr>
      <w:tr>
        <w:trPr>
          <w:jc w:val="center"/>
          <w:trHeight w:val="385"/>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73"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t xml:space="preserve">序号</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76"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t xml:space="preserve">磋商文件条目号</w:t>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5232" w:type="dxa"/>
            <w:vAlign w:val="center"/>
            <w:textDirection w:val="lrTb"/>
            <w:noWrap w:val="false"/>
          </w:tcPr>
          <w:p>
            <w:pPr>
              <w:jc w:val="center"/>
              <w:spacing w:line="360" w:lineRule="auto"/>
              <w:rPr>
                <w:rFonts w:ascii="宋体" w:hAnsi="宋体" w:cs="宋体"/>
                <w:color w:val="auto"/>
                <w:highlight w:val="none"/>
                <w:lang w:eastAsia="zh-CN"/>
              </w:rPr>
            </w:pPr>
            <w:r>
              <w:rPr>
                <w:rFonts w:hint="eastAsia" w:ascii="宋体" w:hAnsi="宋体" w:eastAsia="宋体" w:cs="宋体"/>
                <w:color w:val="auto"/>
                <w:highlight w:val="none"/>
                <w:lang w:eastAsia="zh-CN"/>
              </w:rPr>
              <w:t xml:space="preserve">磋商</w:t>
            </w:r>
            <w:r>
              <w:rPr>
                <w:rFonts w:ascii="宋体" w:hAnsi="宋体" w:cs="宋体"/>
                <w:color w:val="auto"/>
                <w:highlight w:val="none"/>
                <w:lang w:eastAsia="zh-CN"/>
              </w:rPr>
              <w:t xml:space="preserve">文件要求的商务条款</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168"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eastAsia="宋体" w:cs="宋体"/>
                <w:color w:val="auto"/>
                <w:highlight w:val="none"/>
                <w:lang w:eastAsia="zh-CN"/>
              </w:rPr>
              <w:t xml:space="preserve">磋商</w:t>
            </w:r>
            <w:r>
              <w:rPr>
                <w:rFonts w:ascii="宋体" w:hAnsi="宋体" w:cs="宋体"/>
                <w:color w:val="auto"/>
                <w:highlight w:val="none"/>
              </w:rPr>
              <w:t xml:space="preserve">响应</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79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t xml:space="preserve">偏离</w:t>
            </w:r>
            <w:r/>
          </w:p>
        </w:tc>
      </w:tr>
      <w:tr>
        <w:trPr>
          <w:jc w:val="center"/>
          <w:trHeight w:val="385"/>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73"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76"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5232"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lang w:val="zh-CN" w:eastAsia="zh-CN"/>
              </w:rPr>
              <w:t xml:space="preserve">磋商申请及声明</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168"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79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r>
      <w:tr>
        <w:trPr>
          <w:jc w:val="center"/>
          <w:trHeight w:val="762"/>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73"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76"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5232" w:type="dxa"/>
            <w:vAlign w:val="center"/>
            <w:textDirection w:val="lrTb"/>
            <w:noWrap w:val="false"/>
          </w:tcPr>
          <w:p>
            <w:pPr>
              <w:jc w:val="center"/>
              <w:spacing w:line="360" w:lineRule="auto"/>
              <w:rPr>
                <w:rFonts w:ascii="宋体" w:hAnsi="宋体" w:cs="宋体"/>
                <w:color w:val="auto"/>
                <w:highlight w:val="none"/>
                <w:lang w:eastAsia="zh-CN"/>
              </w:rPr>
            </w:pPr>
            <w:r>
              <w:rPr>
                <w:rFonts w:hint="eastAsia" w:ascii="宋体" w:hAnsi="宋体" w:cs="宋体"/>
                <w:color w:val="auto"/>
                <w:highlight w:val="none"/>
                <w:lang w:val="zh-CN" w:eastAsia="zh-CN"/>
              </w:rPr>
              <w:t xml:space="preserve">法定代表人授权委托书及委托代理人的身份证复印件</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168" w:type="dxa"/>
            <w:vAlign w:val="center"/>
            <w:textDirection w:val="lrTb"/>
            <w:noWrap w:val="false"/>
          </w:tcPr>
          <w:p>
            <w:pPr>
              <w:jc w:val="center"/>
              <w:spacing w:line="360" w:lineRule="auto"/>
              <w:rPr>
                <w:rFonts w:ascii="宋体" w:hAnsi="宋体" w:cs="宋体"/>
                <w:color w:val="auto"/>
                <w:highlight w:val="none"/>
                <w:lang w:eastAsia="zh-CN"/>
              </w:rPr>
            </w:pPr>
            <w:r>
              <w:rPr>
                <w:rFonts w:ascii="宋体" w:hAnsi="宋体" w:cs="宋体"/>
                <w:color w:val="auto"/>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790" w:type="dxa"/>
            <w:vAlign w:val="center"/>
            <w:textDirection w:val="lrTb"/>
            <w:noWrap w:val="false"/>
          </w:tcPr>
          <w:p>
            <w:pPr>
              <w:jc w:val="center"/>
              <w:spacing w:line="360" w:lineRule="auto"/>
              <w:rPr>
                <w:rFonts w:ascii="宋体" w:hAnsi="宋体" w:cs="宋体"/>
                <w:color w:val="auto"/>
                <w:highlight w:val="none"/>
                <w:lang w:eastAsia="zh-CN"/>
              </w:rPr>
            </w:pPr>
            <w:r>
              <w:rPr>
                <w:rFonts w:ascii="宋体" w:hAnsi="宋体" w:cs="宋体"/>
                <w:color w:val="auto"/>
                <w:highlight w:val="none"/>
                <w:lang w:eastAsia="zh-CN"/>
              </w:rPr>
            </w:r>
            <w:r/>
          </w:p>
        </w:tc>
      </w:tr>
      <w:tr>
        <w:trPr>
          <w:jc w:val="center"/>
          <w:trHeight w:val="762"/>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73" w:type="dxa"/>
            <w:vAlign w:val="center"/>
            <w:textDirection w:val="lrTb"/>
            <w:noWrap w:val="false"/>
          </w:tcPr>
          <w:p>
            <w:pPr>
              <w:jc w:val="center"/>
              <w:spacing w:line="360" w:lineRule="auto"/>
              <w:rPr>
                <w:rFonts w:ascii="宋体" w:hAnsi="宋体" w:cs="宋体"/>
                <w:color w:val="auto"/>
                <w:highlight w:val="none"/>
                <w:lang w:eastAsia="zh-CN"/>
              </w:rPr>
            </w:pPr>
            <w:r>
              <w:rPr>
                <w:rFonts w:ascii="宋体" w:hAnsi="宋体" w:cs="宋体"/>
                <w:color w:val="auto"/>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76" w:type="dxa"/>
            <w:vAlign w:val="center"/>
            <w:textDirection w:val="lrTb"/>
            <w:noWrap w:val="false"/>
          </w:tcPr>
          <w:p>
            <w:pPr>
              <w:jc w:val="center"/>
              <w:spacing w:line="360" w:lineRule="auto"/>
              <w:rPr>
                <w:rFonts w:ascii="宋体" w:hAnsi="宋体" w:cs="宋体"/>
                <w:color w:val="auto"/>
                <w:highlight w:val="none"/>
                <w:lang w:eastAsia="zh-CN"/>
              </w:rPr>
            </w:pPr>
            <w:r>
              <w:rPr>
                <w:rFonts w:ascii="宋体" w:hAnsi="宋体" w:cs="宋体"/>
                <w:color w:val="auto"/>
                <w:highlight w:val="none"/>
                <w:lang w:eastAsia="zh-CN"/>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5232" w:type="dxa"/>
            <w:vAlign w:val="center"/>
            <w:textDirection w:val="lrTb"/>
            <w:noWrap w:val="false"/>
          </w:tcPr>
          <w:p>
            <w:pPr>
              <w:jc w:val="center"/>
              <w:spacing w:line="360" w:lineRule="auto"/>
              <w:rPr>
                <w:rFonts w:hint="eastAsia" w:ascii="宋体" w:hAnsi="宋体" w:cs="宋体"/>
                <w:color w:val="auto"/>
                <w:highlight w:val="none"/>
                <w:lang w:val="zh-CN" w:eastAsia="zh-CN"/>
              </w:rPr>
            </w:pPr>
            <w:r>
              <w:rPr>
                <w:rFonts w:hint="eastAsia" w:ascii="宋体" w:hAnsi="宋体" w:cs="宋体"/>
                <w:color w:val="auto"/>
                <w:highlight w:val="none"/>
                <w:lang w:val="zh-CN" w:eastAsia="zh-CN"/>
              </w:rPr>
              <w:t xml:space="preserve">第一章磋商邀请中《中华人民共和国政府采购法》规定的资格条件证明文件</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168" w:type="dxa"/>
            <w:vAlign w:val="center"/>
            <w:textDirection w:val="lrTb"/>
            <w:noWrap w:val="false"/>
          </w:tcPr>
          <w:p>
            <w:pPr>
              <w:jc w:val="center"/>
              <w:spacing w:line="360" w:lineRule="auto"/>
              <w:rPr>
                <w:rFonts w:ascii="宋体" w:hAnsi="宋体" w:cs="宋体"/>
                <w:color w:val="auto"/>
                <w:highlight w:val="none"/>
                <w:lang w:eastAsia="zh-CN"/>
              </w:rPr>
            </w:pPr>
            <w:r>
              <w:rPr>
                <w:rFonts w:ascii="宋体" w:hAnsi="宋体" w:cs="宋体"/>
                <w:color w:val="auto"/>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790" w:type="dxa"/>
            <w:vAlign w:val="center"/>
            <w:textDirection w:val="lrTb"/>
            <w:noWrap w:val="false"/>
          </w:tcPr>
          <w:p>
            <w:pPr>
              <w:jc w:val="center"/>
              <w:spacing w:line="360" w:lineRule="auto"/>
              <w:rPr>
                <w:rFonts w:ascii="宋体" w:hAnsi="宋体" w:cs="宋体"/>
                <w:color w:val="auto"/>
                <w:highlight w:val="none"/>
                <w:lang w:eastAsia="zh-CN"/>
              </w:rPr>
            </w:pPr>
            <w:r>
              <w:rPr>
                <w:rFonts w:ascii="宋体" w:hAnsi="宋体" w:cs="宋体"/>
                <w:color w:val="auto"/>
                <w:highlight w:val="none"/>
                <w:lang w:eastAsia="zh-CN"/>
              </w:rPr>
            </w:r>
            <w:r/>
          </w:p>
        </w:tc>
      </w:tr>
      <w:tr>
        <w:trPr>
          <w:jc w:val="center"/>
          <w:trHeight w:val="762"/>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73" w:type="dxa"/>
            <w:vAlign w:val="center"/>
            <w:textDirection w:val="lrTb"/>
            <w:noWrap w:val="false"/>
          </w:tcPr>
          <w:p>
            <w:pPr>
              <w:jc w:val="center"/>
              <w:spacing w:line="360" w:lineRule="auto"/>
              <w:rPr>
                <w:rFonts w:ascii="宋体" w:hAnsi="宋体" w:cs="宋体"/>
                <w:color w:val="auto"/>
                <w:highlight w:val="none"/>
                <w:lang w:eastAsia="zh-CN"/>
              </w:rPr>
            </w:pPr>
            <w:r>
              <w:rPr>
                <w:rFonts w:ascii="宋体" w:hAnsi="宋体" w:cs="宋体"/>
                <w:color w:val="auto"/>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76" w:type="dxa"/>
            <w:vAlign w:val="center"/>
            <w:textDirection w:val="lrTb"/>
            <w:noWrap w:val="false"/>
          </w:tcPr>
          <w:p>
            <w:pPr>
              <w:jc w:val="center"/>
              <w:spacing w:line="360" w:lineRule="auto"/>
              <w:rPr>
                <w:rFonts w:ascii="宋体" w:hAnsi="宋体" w:cs="宋体"/>
                <w:color w:val="auto"/>
                <w:highlight w:val="none"/>
                <w:lang w:eastAsia="zh-CN"/>
              </w:rPr>
            </w:pPr>
            <w:r>
              <w:rPr>
                <w:rFonts w:ascii="宋体" w:hAnsi="宋体" w:cs="宋体"/>
                <w:color w:val="auto"/>
                <w:highlight w:val="none"/>
                <w:lang w:eastAsia="zh-CN"/>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5232" w:type="dxa"/>
            <w:vAlign w:val="center"/>
            <w:textDirection w:val="lrTb"/>
            <w:noWrap w:val="false"/>
          </w:tcPr>
          <w:p>
            <w:pPr>
              <w:jc w:val="center"/>
              <w:spacing w:line="360" w:lineRule="auto"/>
              <w:rPr>
                <w:rFonts w:hint="eastAsia" w:ascii="宋体" w:hAnsi="宋体" w:cs="宋体"/>
                <w:color w:val="auto"/>
                <w:highlight w:val="none"/>
                <w:lang w:val="zh-CN" w:eastAsia="zh-CN"/>
              </w:rPr>
            </w:pPr>
            <w:r>
              <w:rPr>
                <w:rFonts w:hint="eastAsia" w:ascii="宋体" w:hAnsi="宋体" w:cs="宋体"/>
                <w:color w:val="auto"/>
                <w:highlight w:val="none"/>
                <w:lang w:val="zh-CN" w:eastAsia="zh-CN"/>
              </w:rPr>
              <w:t xml:space="preserve">第一章磋商邀请中采购人根据采购项目的特殊要求规定的特定条件证明文件</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168" w:type="dxa"/>
            <w:vAlign w:val="center"/>
            <w:textDirection w:val="lrTb"/>
            <w:noWrap w:val="false"/>
          </w:tcPr>
          <w:p>
            <w:pPr>
              <w:jc w:val="center"/>
              <w:spacing w:line="360" w:lineRule="auto"/>
              <w:rPr>
                <w:rFonts w:ascii="宋体" w:hAnsi="宋体" w:cs="宋体"/>
                <w:color w:val="auto"/>
                <w:highlight w:val="none"/>
                <w:lang w:eastAsia="zh-CN"/>
              </w:rPr>
            </w:pPr>
            <w:r>
              <w:rPr>
                <w:rFonts w:ascii="宋体" w:hAnsi="宋体" w:cs="宋体"/>
                <w:color w:val="auto"/>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790" w:type="dxa"/>
            <w:vAlign w:val="center"/>
            <w:textDirection w:val="lrTb"/>
            <w:noWrap w:val="false"/>
          </w:tcPr>
          <w:p>
            <w:pPr>
              <w:jc w:val="center"/>
              <w:spacing w:line="360" w:lineRule="auto"/>
              <w:rPr>
                <w:rFonts w:ascii="宋体" w:hAnsi="宋体" w:cs="宋体"/>
                <w:color w:val="auto"/>
                <w:highlight w:val="none"/>
                <w:lang w:eastAsia="zh-CN"/>
              </w:rPr>
            </w:pPr>
            <w:r>
              <w:rPr>
                <w:rFonts w:ascii="宋体" w:hAnsi="宋体" w:cs="宋体"/>
                <w:color w:val="auto"/>
                <w:highlight w:val="none"/>
                <w:lang w:eastAsia="zh-CN"/>
              </w:rPr>
            </w:r>
            <w:r/>
          </w:p>
        </w:tc>
      </w:tr>
      <w:tr>
        <w:trPr>
          <w:jc w:val="center"/>
          <w:trHeight w:val="385"/>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73" w:type="dxa"/>
            <w:vAlign w:val="center"/>
            <w:textDirection w:val="lrTb"/>
            <w:noWrap w:val="false"/>
          </w:tcPr>
          <w:p>
            <w:pPr>
              <w:jc w:val="center"/>
              <w:spacing w:line="360" w:lineRule="auto"/>
              <w:rPr>
                <w:rFonts w:ascii="宋体" w:hAnsi="宋体" w:cs="宋体"/>
                <w:color w:val="auto"/>
                <w:highlight w:val="none"/>
                <w:lang w:eastAsia="zh-CN"/>
              </w:rPr>
            </w:pPr>
            <w:r>
              <w:rPr>
                <w:rFonts w:ascii="宋体" w:hAnsi="宋体" w:cs="宋体"/>
                <w:color w:val="auto"/>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76" w:type="dxa"/>
            <w:vAlign w:val="center"/>
            <w:textDirection w:val="lrTb"/>
            <w:noWrap w:val="false"/>
          </w:tcPr>
          <w:p>
            <w:pPr>
              <w:jc w:val="center"/>
              <w:spacing w:line="360" w:lineRule="auto"/>
              <w:rPr>
                <w:rFonts w:ascii="宋体" w:hAnsi="宋体" w:cs="宋体"/>
                <w:color w:val="auto"/>
                <w:highlight w:val="none"/>
                <w:lang w:eastAsia="zh-CN"/>
              </w:rPr>
            </w:pPr>
            <w:r>
              <w:rPr>
                <w:rFonts w:ascii="宋体" w:hAnsi="宋体" w:cs="宋体"/>
                <w:color w:val="auto"/>
                <w:highlight w:val="none"/>
                <w:lang w:eastAsia="zh-CN"/>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5232"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工程质量要求</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168"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79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r>
      <w:tr>
        <w:trPr>
          <w:jc w:val="center"/>
          <w:trHeight w:val="385"/>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73"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76"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5232"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工期要求</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168"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79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r>
      <w:tr>
        <w:trPr>
          <w:jc w:val="center"/>
          <w:trHeight w:val="385"/>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73"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76"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5232"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lang w:eastAsia="zh-CN"/>
              </w:rPr>
              <w:t xml:space="preserve">付款方式</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168"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79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r>
      <w:tr>
        <w:trPr>
          <w:jc w:val="center"/>
          <w:trHeight w:val="385"/>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73"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76"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5232" w:type="dxa"/>
            <w:vAlign w:val="center"/>
            <w:textDirection w:val="lrTb"/>
            <w:noWrap w:val="false"/>
          </w:tcPr>
          <w:p>
            <w:pPr>
              <w:jc w:val="center"/>
              <w:spacing w:line="360" w:lineRule="auto"/>
              <w:rPr>
                <w:rFonts w:ascii="宋体" w:hAnsi="宋体" w:cs="宋体"/>
                <w:color w:val="auto"/>
                <w:highlight w:val="none"/>
                <w:lang w:eastAsia="zh-CN"/>
              </w:rPr>
            </w:pPr>
            <w:r>
              <w:rPr>
                <w:rFonts w:hint="eastAsia" w:ascii="宋体" w:hAnsi="宋体" w:eastAsia="宋体" w:cs="宋体"/>
                <w:color w:val="auto"/>
                <w:sz w:val="21"/>
                <w:szCs w:val="21"/>
                <w:highlight w:val="none"/>
                <w:lang w:eastAsia="zh-CN"/>
              </w:rPr>
              <w:t xml:space="preserve">供应商认为需要</w:t>
            </w:r>
            <w:r>
              <w:rPr>
                <w:rFonts w:hint="eastAsia" w:ascii="宋体" w:hAnsi="宋体" w:eastAsia="宋体" w:cs="宋体"/>
                <w:color w:val="auto"/>
                <w:sz w:val="21"/>
                <w:szCs w:val="21"/>
                <w:highlight w:val="none"/>
                <w:lang w:val="zh-CN" w:eastAsia="zh-CN"/>
              </w:rPr>
              <w:t xml:space="preserve">提供的其他资格证明文件和商务资料</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168" w:type="dxa"/>
            <w:vAlign w:val="center"/>
            <w:textDirection w:val="lrTb"/>
            <w:noWrap w:val="false"/>
          </w:tcPr>
          <w:p>
            <w:pPr>
              <w:jc w:val="center"/>
              <w:spacing w:line="360" w:lineRule="auto"/>
              <w:rPr>
                <w:rFonts w:ascii="宋体" w:hAnsi="宋体" w:cs="宋体"/>
                <w:color w:val="auto"/>
                <w:highlight w:val="none"/>
                <w:lang w:eastAsia="zh-CN"/>
              </w:rPr>
            </w:pPr>
            <w:r>
              <w:rPr>
                <w:rFonts w:ascii="宋体" w:hAnsi="宋体" w:cs="宋体"/>
                <w:color w:val="auto"/>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790" w:type="dxa"/>
            <w:vAlign w:val="center"/>
            <w:textDirection w:val="lrTb"/>
            <w:noWrap w:val="false"/>
          </w:tcPr>
          <w:p>
            <w:pPr>
              <w:jc w:val="center"/>
              <w:spacing w:line="360" w:lineRule="auto"/>
              <w:rPr>
                <w:rFonts w:ascii="宋体" w:hAnsi="宋体" w:cs="宋体"/>
                <w:color w:val="auto"/>
                <w:highlight w:val="none"/>
                <w:lang w:eastAsia="zh-CN"/>
              </w:rPr>
            </w:pPr>
            <w:r>
              <w:rPr>
                <w:rFonts w:ascii="宋体" w:hAnsi="宋体" w:cs="宋体"/>
                <w:color w:val="auto"/>
                <w:highlight w:val="none"/>
                <w:lang w:eastAsia="zh-CN"/>
              </w:rPr>
            </w:r>
            <w:r/>
          </w:p>
        </w:tc>
      </w:tr>
      <w:tr>
        <w:trPr>
          <w:jc w:val="center"/>
          <w:trHeight w:val="405"/>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73" w:type="dxa"/>
            <w:vAlign w:val="center"/>
            <w:textDirection w:val="lrTb"/>
            <w:noWrap w:val="false"/>
          </w:tcPr>
          <w:p>
            <w:pPr>
              <w:spacing w:line="360" w:lineRule="auto"/>
              <w:rPr>
                <w:rFonts w:ascii="宋体" w:hAnsi="宋体" w:cs="宋体"/>
                <w:color w:val="auto"/>
                <w:highlight w:val="none"/>
                <w:lang w:eastAsia="zh-CN"/>
              </w:rPr>
            </w:pPr>
            <w:r>
              <w:rPr>
                <w:rFonts w:ascii="宋体" w:hAnsi="宋体" w:cs="宋体"/>
                <w:color w:val="auto"/>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76" w:type="dxa"/>
            <w:vAlign w:val="center"/>
            <w:textDirection w:val="lrTb"/>
            <w:noWrap w:val="false"/>
          </w:tcPr>
          <w:p>
            <w:pPr>
              <w:spacing w:line="360" w:lineRule="auto"/>
              <w:rPr>
                <w:rFonts w:ascii="宋体" w:hAnsi="宋体" w:cs="宋体"/>
                <w:color w:val="auto"/>
                <w:highlight w:val="none"/>
                <w:lang w:eastAsia="zh-CN"/>
              </w:rPr>
            </w:pPr>
            <w:r>
              <w:rPr>
                <w:rFonts w:ascii="宋体" w:hAnsi="宋体" w:cs="宋体"/>
                <w:color w:val="auto"/>
                <w:highlight w:val="none"/>
                <w:lang w:eastAsia="zh-CN"/>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5232" w:type="dxa"/>
            <w:vAlign w:val="center"/>
            <w:textDirection w:val="lrTb"/>
            <w:noWrap w:val="false"/>
          </w:tcPr>
          <w:p>
            <w:pPr>
              <w:jc w:val="center"/>
              <w:spacing w:line="360" w:lineRule="auto"/>
              <w:rPr>
                <w:rFonts w:ascii="宋体" w:hAnsi="宋体" w:cs="宋体"/>
                <w:color w:val="auto"/>
                <w:highlight w:val="none"/>
                <w:lang w:eastAsia="zh-CN"/>
              </w:rPr>
            </w:pPr>
            <w:r>
              <w:rPr>
                <w:rFonts w:ascii="宋体" w:hAnsi="宋体" w:cs="宋体"/>
                <w:color w:val="auto"/>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168" w:type="dxa"/>
            <w:vAlign w:val="center"/>
            <w:textDirection w:val="lrTb"/>
            <w:noWrap w:val="false"/>
          </w:tcPr>
          <w:p>
            <w:pPr>
              <w:spacing w:line="360" w:lineRule="auto"/>
              <w:rPr>
                <w:rFonts w:ascii="宋体" w:hAnsi="宋体" w:cs="宋体"/>
                <w:color w:val="auto"/>
                <w:highlight w:val="none"/>
                <w:lang w:eastAsia="zh-CN"/>
              </w:rPr>
            </w:pPr>
            <w:r>
              <w:rPr>
                <w:rFonts w:ascii="宋体" w:hAnsi="宋体" w:cs="宋体"/>
                <w:color w:val="auto"/>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790" w:type="dxa"/>
            <w:vAlign w:val="center"/>
            <w:textDirection w:val="lrTb"/>
            <w:noWrap w:val="false"/>
          </w:tcPr>
          <w:p>
            <w:pPr>
              <w:spacing w:line="360" w:lineRule="auto"/>
              <w:rPr>
                <w:rFonts w:ascii="宋体" w:hAnsi="宋体" w:cs="宋体"/>
                <w:color w:val="auto"/>
                <w:highlight w:val="none"/>
                <w:lang w:eastAsia="zh-CN"/>
              </w:rPr>
            </w:pPr>
            <w:r>
              <w:rPr>
                <w:rFonts w:ascii="宋体" w:hAnsi="宋体" w:cs="宋体"/>
                <w:color w:val="auto"/>
                <w:highlight w:val="none"/>
                <w:lang w:eastAsia="zh-CN"/>
              </w:rPr>
            </w:r>
            <w:r/>
          </w:p>
        </w:tc>
      </w:tr>
      <w:tr>
        <w:trPr>
          <w:jc w:val="center"/>
          <w:trHeight w:val="385"/>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73" w:type="dxa"/>
            <w:vAlign w:val="center"/>
            <w:textDirection w:val="lrTb"/>
            <w:noWrap w:val="false"/>
          </w:tcPr>
          <w:p>
            <w:pPr>
              <w:spacing w:line="360" w:lineRule="auto"/>
              <w:rPr>
                <w:rFonts w:ascii="宋体" w:hAnsi="宋体" w:cs="宋体"/>
                <w:color w:val="auto"/>
                <w:highlight w:val="none"/>
                <w:lang w:eastAsia="zh-CN"/>
              </w:rPr>
            </w:pPr>
            <w:r>
              <w:rPr>
                <w:rFonts w:ascii="宋体" w:hAnsi="宋体" w:cs="宋体"/>
                <w:color w:val="auto"/>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76" w:type="dxa"/>
            <w:vAlign w:val="center"/>
            <w:textDirection w:val="lrTb"/>
            <w:noWrap w:val="false"/>
          </w:tcPr>
          <w:p>
            <w:pPr>
              <w:spacing w:line="360" w:lineRule="auto"/>
              <w:rPr>
                <w:rFonts w:ascii="宋体" w:hAnsi="宋体" w:cs="宋体"/>
                <w:color w:val="auto"/>
                <w:highlight w:val="none"/>
                <w:lang w:eastAsia="zh-CN"/>
              </w:rPr>
            </w:pPr>
            <w:r>
              <w:rPr>
                <w:rFonts w:ascii="宋体" w:hAnsi="宋体" w:cs="宋体"/>
                <w:color w:val="auto"/>
                <w:highlight w:val="none"/>
                <w:lang w:eastAsia="zh-CN"/>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5232" w:type="dxa"/>
            <w:vAlign w:val="center"/>
            <w:textDirection w:val="lrTb"/>
            <w:noWrap w:val="false"/>
          </w:tcPr>
          <w:p>
            <w:pPr>
              <w:jc w:val="center"/>
              <w:spacing w:line="360" w:lineRule="auto"/>
              <w:rPr>
                <w:rFonts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168" w:type="dxa"/>
            <w:vAlign w:val="center"/>
            <w:textDirection w:val="lrTb"/>
            <w:noWrap w:val="false"/>
          </w:tcPr>
          <w:p>
            <w:pP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790" w:type="dxa"/>
            <w:vAlign w:val="center"/>
            <w:textDirection w:val="lrTb"/>
            <w:noWrap w:val="false"/>
          </w:tcPr>
          <w:p>
            <w:pPr>
              <w:spacing w:line="360" w:lineRule="auto"/>
              <w:rPr>
                <w:rFonts w:ascii="宋体" w:hAnsi="宋体" w:cs="宋体"/>
                <w:color w:val="auto"/>
                <w:highlight w:val="none"/>
              </w:rPr>
            </w:pPr>
            <w:r>
              <w:rPr>
                <w:rFonts w:ascii="宋体" w:hAnsi="宋体" w:cs="宋体"/>
                <w:color w:val="auto"/>
                <w:highlight w:val="none"/>
              </w:rPr>
            </w:r>
            <w:r/>
          </w:p>
        </w:tc>
      </w:tr>
      <w:tr>
        <w:trPr>
          <w:jc w:val="center"/>
          <w:trHeight w:val="394"/>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73" w:type="dxa"/>
            <w:vAlign w:val="center"/>
            <w:textDirection w:val="lrTb"/>
            <w:noWrap w:val="false"/>
          </w:tcPr>
          <w:p>
            <w:pP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76" w:type="dxa"/>
            <w:vAlign w:val="center"/>
            <w:textDirection w:val="lrTb"/>
            <w:noWrap w:val="false"/>
          </w:tcPr>
          <w:p>
            <w:pPr>
              <w:spacing w:line="360" w:lineRule="auto"/>
              <w:rPr>
                <w:rFonts w:ascii="宋体" w:hAnsi="宋体" w:cs="宋体"/>
                <w:color w:val="auto"/>
                <w:highlight w:val="none"/>
              </w:rPr>
            </w:pPr>
            <w:r>
              <w:rPr>
                <w:rFonts w:ascii="宋体" w:hAnsi="宋体" w:cs="宋体"/>
                <w:color w:val="auto"/>
                <w:highlight w:val="none"/>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5232" w:type="dxa"/>
            <w:vAlign w:val="center"/>
            <w:textDirection w:val="lrTb"/>
            <w:noWrap w:val="false"/>
          </w:tcPr>
          <w:p>
            <w:pPr>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168" w:type="dxa"/>
            <w:vAlign w:val="center"/>
            <w:textDirection w:val="lrTb"/>
            <w:noWrap w:val="false"/>
          </w:tcPr>
          <w:p>
            <w:pP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790" w:type="dxa"/>
            <w:vAlign w:val="center"/>
            <w:textDirection w:val="lrTb"/>
            <w:noWrap w:val="false"/>
          </w:tcPr>
          <w:p>
            <w:pPr>
              <w:spacing w:line="360" w:lineRule="auto"/>
              <w:rPr>
                <w:rFonts w:ascii="宋体" w:hAnsi="宋体" w:cs="宋体"/>
                <w:color w:val="auto"/>
                <w:highlight w:val="none"/>
              </w:rPr>
            </w:pPr>
            <w:r>
              <w:rPr>
                <w:rFonts w:ascii="宋体" w:hAnsi="宋体" w:cs="宋体"/>
                <w:color w:val="auto"/>
                <w:highlight w:val="none"/>
              </w:rPr>
            </w:r>
            <w:r/>
          </w:p>
        </w:tc>
      </w:tr>
    </w:tbl>
    <w:p>
      <w:pPr>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color w:val="auto"/>
          <w:highlight w:val="none"/>
          <w:lang w:eastAsia="zh-CN"/>
        </w:rPr>
      </w:pPr>
      <w:r>
        <w:rPr>
          <w:rFonts w:ascii="宋体" w:hAnsi="宋体" w:cs="宋体"/>
          <w:color w:val="auto"/>
          <w:highlight w:val="none"/>
          <w:lang w:eastAsia="zh-CN"/>
        </w:rPr>
        <w:t xml:space="preserve">供应商名称：（</w:t>
      </w:r>
      <w:r>
        <w:rPr>
          <w:rFonts w:hint="eastAsia" w:ascii="宋体" w:hAnsi="宋体" w:cs="宋体"/>
          <w:color w:val="auto"/>
          <w:highlight w:val="none"/>
          <w:lang w:eastAsia="zh-CN"/>
        </w:rPr>
        <w:t xml:space="preserve">加盖电子公章）</w:t>
      </w:r>
      <w:r/>
    </w:p>
    <w:p>
      <w:pPr>
        <w:spacing w:line="360" w:lineRule="auto"/>
        <w:rPr>
          <w:rFonts w:hint="eastAsia" w:ascii="宋体" w:hAnsi="宋体" w:cs="宋体"/>
          <w:color w:val="auto"/>
          <w:highlight w:val="none"/>
          <w:lang w:val="zh-TW" w:eastAsia="zh-CN"/>
        </w:rPr>
      </w:pPr>
      <w:r>
        <w:rPr>
          <w:rFonts w:ascii="宋体" w:hAnsi="宋体" w:cs="宋体"/>
          <w:color w:val="auto"/>
          <w:highlight w:val="none"/>
          <w:lang w:eastAsia="zh-CN"/>
        </w:rPr>
        <w:t xml:space="preserve">说明：</w:t>
      </w:r>
      <w:r>
        <w:rPr>
          <w:rFonts w:hint="eastAsia" w:ascii="宋体" w:hAnsi="宋体" w:cs="宋体"/>
          <w:color w:val="auto"/>
          <w:highlight w:val="none"/>
          <w:lang w:eastAsia="zh-CN"/>
        </w:rPr>
        <w:t xml:space="preserve">1.供应商须根据磋商文件商务条款相关要求填写此表，作为响应文件的组成部分。 </w:t>
      </w:r>
      <w:r/>
    </w:p>
    <w:p>
      <w:pPr>
        <w:ind w:firstLine="660"/>
        <w:spacing w:line="360" w:lineRule="auto"/>
        <w:rPr>
          <w:rFonts w:hint="eastAsia" w:ascii="宋体" w:hAnsi="宋体" w:cs="宋体"/>
          <w:color w:val="auto"/>
          <w:highlight w:val="none"/>
          <w:lang w:val="zh-TW" w:eastAsia="zh-CN"/>
        </w:rPr>
      </w:pPr>
      <w:r>
        <w:rPr>
          <w:rFonts w:hint="eastAsia" w:ascii="宋体" w:hAnsi="宋体" w:cs="宋体"/>
          <w:color w:val="auto"/>
          <w:highlight w:val="none"/>
          <w:lang w:eastAsia="zh-CN"/>
        </w:rPr>
        <w:t xml:space="preserve">2.所有偏离必须在本表中列出，未在本偏离表中列出偏离，将视为供应商已完全接受磋商文件要求。如完全无偏离，也无其他说明，可在本表第一行填写“全部无偏离”。 </w:t>
      </w:r>
      <w:r/>
    </w:p>
    <w:p>
      <w:pPr>
        <w:ind w:firstLine="660"/>
        <w:spacing w:line="360" w:lineRule="auto"/>
        <w:rPr>
          <w:rFonts w:hint="eastAsia" w:ascii="宋体" w:hAnsi="宋体" w:cs="宋体"/>
          <w:color w:val="auto"/>
          <w:highlight w:val="none"/>
          <w:lang w:val="zh-TW" w:eastAsia="zh-CN"/>
        </w:rPr>
      </w:pPr>
      <w:r>
        <w:rPr>
          <w:rFonts w:hint="eastAsia" w:ascii="宋体" w:hAnsi="宋体" w:cs="宋体"/>
          <w:color w:val="auto"/>
          <w:highlight w:val="none"/>
          <w:lang w:eastAsia="zh-CN"/>
        </w:rPr>
        <w:t xml:space="preserve">3.偏离包括正、负偏离，正偏离指供应商的响应优于磋商文件要求，负偏离指供应商的响应低于磋商文件要求。 </w:t>
      </w:r>
      <w:r/>
    </w:p>
    <w:p>
      <w:pPr>
        <w:ind w:firstLine="440"/>
        <w:spacing w:line="360" w:lineRule="auto"/>
        <w:rPr>
          <w:rFonts w:hint="eastAsia" w:ascii="宋体" w:hAnsi="宋体" w:cs="宋体"/>
          <w:color w:val="auto"/>
          <w:highlight w:val="none"/>
          <w:lang w:val="zh-TW" w:eastAsia="zh-CN"/>
        </w:rPr>
      </w:pPr>
      <w:r>
        <w:rPr>
          <w:rFonts w:hint="eastAsia" w:ascii="宋体" w:hAnsi="宋体" w:cs="宋体"/>
          <w:color w:val="auto"/>
          <w:highlight w:val="none"/>
          <w:lang w:eastAsia="zh-CN"/>
        </w:rPr>
        <w:t xml:space="preserve">4.如供应商将此表空白，视为供应商无任何偏离。</w:t>
      </w:r>
      <w:r/>
    </w:p>
    <w:p>
      <w:pPr>
        <w:ind w:firstLine="440"/>
        <w:spacing w:line="360" w:lineRule="auto"/>
        <w:rPr>
          <w:rFonts w:ascii="宋体" w:hAnsi="宋体" w:cs="宋体"/>
          <w:color w:val="auto"/>
          <w:highlight w:val="none"/>
          <w:lang w:eastAsia="zh-CN"/>
        </w:rPr>
      </w:pPr>
      <w:r>
        <w:rPr>
          <w:rFonts w:hint="eastAsia" w:ascii="宋体" w:hAnsi="宋体" w:cs="宋体"/>
          <w:color w:val="auto"/>
          <w:highlight w:val="none"/>
          <w:lang w:eastAsia="zh-CN"/>
        </w:rPr>
        <w:t xml:space="preserve">5.</w:t>
      </w:r>
      <w:r>
        <w:rPr>
          <w:rFonts w:ascii="宋体" w:hAnsi="宋体" w:cs="宋体"/>
          <w:color w:val="auto"/>
          <w:highlight w:val="none"/>
          <w:lang w:eastAsia="zh-CN"/>
        </w:rPr>
        <w:t xml:space="preserve">如果行数不够，请自行增加。</w:t>
      </w:r>
      <w:r/>
    </w:p>
    <w:p>
      <w:pPr>
        <w:rPr>
          <w:rFonts w:ascii="宋体" w:hAnsi="宋体" w:cs="宋体"/>
          <w:color w:val="auto"/>
          <w:highlight w:val="none"/>
          <w:lang w:eastAsia="zh-CN"/>
        </w:rPr>
      </w:pPr>
      <w:r>
        <w:rPr>
          <w:rFonts w:ascii="宋体" w:hAnsi="宋体" w:cs="宋体"/>
          <w:color w:val="auto"/>
          <w:highlight w:val="none"/>
          <w:lang w:eastAsia="zh-CN"/>
        </w:rPr>
      </w:r>
      <w:r/>
    </w:p>
    <w:p>
      <w:pPr>
        <w:spacing w:line="360" w:lineRule="auto"/>
        <w:shd w:val="clear" w:color="auto" w:fill="ffffff"/>
        <w:widowControl/>
        <w:rPr>
          <w:rFonts w:ascii="宋体" w:hAnsi="宋体" w:eastAsia="宋体" w:cs="宋体"/>
          <w:b/>
          <w:color w:val="auto"/>
          <w:highlight w:val="none"/>
          <w:lang w:eastAsia="zh-CN"/>
        </w:rPr>
      </w:pPr>
      <w:r>
        <w:rPr>
          <w:rFonts w:ascii="宋体" w:hAnsi="宋体" w:eastAsia="宋体" w:cs="宋体"/>
          <w:b/>
          <w:color w:val="auto"/>
          <w:highlight w:val="none"/>
          <w:lang w:eastAsia="zh-CN"/>
        </w:rPr>
      </w:r>
      <w:r/>
    </w:p>
    <w:p>
      <w:pPr>
        <w:spacing w:line="360" w:lineRule="auto"/>
        <w:shd w:val="clear" w:color="auto" w:fill="ffffff"/>
        <w:widowControl/>
        <w:rPr>
          <w:rFonts w:ascii="宋体" w:hAnsi="宋体" w:cs="宋体"/>
          <w:b/>
          <w:color w:val="auto"/>
          <w:szCs w:val="21"/>
          <w:highlight w:val="none"/>
          <w:lang w:eastAsia="zh-CN"/>
        </w:rPr>
      </w:pPr>
      <w:r>
        <w:rPr>
          <w:rFonts w:hint="eastAsia" w:ascii="宋体" w:hAnsi="宋体" w:cs="宋体"/>
          <w:b/>
          <w:color w:val="auto"/>
          <w:highlight w:val="none"/>
          <w:lang w:eastAsia="zh-CN"/>
        </w:rPr>
        <w:t xml:space="preserve">格式六</w:t>
      </w:r>
      <w:r>
        <w:rPr>
          <w:rFonts w:hint="eastAsia" w:ascii="宋体" w:hAnsi="宋体" w:cs="宋体"/>
          <w:b/>
          <w:bCs/>
          <w:color w:val="auto"/>
          <w:szCs w:val="21"/>
          <w:highlight w:val="none"/>
          <w:lang w:eastAsia="zh-CN"/>
        </w:rPr>
        <w:t xml:space="preserve">、</w:t>
      </w:r>
      <w:r>
        <w:rPr>
          <w:rFonts w:hint="eastAsia" w:ascii="宋体" w:hAnsi="宋体" w:eastAsia="宋体" w:cs="宋体"/>
          <w:b/>
          <w:color w:val="auto"/>
          <w:szCs w:val="21"/>
          <w:highlight w:val="none"/>
          <w:lang w:eastAsia="zh-CN"/>
        </w:rPr>
        <w:t xml:space="preserve">施工组织设计</w:t>
      </w:r>
      <w:r/>
    </w:p>
    <w:p>
      <w:pPr>
        <w:pStyle w:val="889"/>
        <w:ind w:firstLine="525"/>
        <w:rPr>
          <w:rFonts w:ascii="宋体" w:hAnsi="宋体" w:cs="宋体"/>
          <w:color w:val="auto"/>
          <w:szCs w:val="21"/>
          <w:highlight w:val="none"/>
        </w:rPr>
      </w:pPr>
      <w:r>
        <w:rPr>
          <w:rFonts w:hint="eastAsia" w:ascii="宋体" w:hAnsi="宋体" w:cs="宋体"/>
          <w:color w:val="auto"/>
          <w:sz w:val="21"/>
          <w:szCs w:val="21"/>
          <w:highlight w:val="none"/>
        </w:rPr>
        <w:t xml:space="preserve">施工组织设计应根据采购人对项目的要求、评标标准的要求及项目本身的特点编写。</w:t>
      </w:r>
      <w:r/>
    </w:p>
    <w:p>
      <w:pPr>
        <w:spacing w:line="360" w:lineRule="auto"/>
        <w:widowControl/>
        <w:rPr>
          <w:rFonts w:ascii="宋体" w:hAnsi="宋体" w:eastAsia="等线" w:cs="宋体"/>
          <w:b/>
          <w:color w:val="auto"/>
          <w:szCs w:val="21"/>
          <w:highlight w:val="none"/>
          <w:lang w:eastAsia="zh-CN"/>
        </w:rPr>
      </w:pPr>
      <w:r>
        <w:rPr>
          <w:rFonts w:ascii="宋体" w:hAnsi="宋体" w:eastAsia="等线" w:cs="宋体"/>
          <w:b/>
          <w:color w:val="auto"/>
          <w:szCs w:val="21"/>
          <w:highlight w:val="none"/>
          <w:lang w:eastAsia="zh-CN"/>
        </w:rPr>
      </w:r>
      <w:r/>
    </w:p>
    <w:p>
      <w:pPr>
        <w:spacing w:line="360" w:lineRule="auto"/>
        <w:widowControl/>
        <w:rPr>
          <w:rFonts w:ascii="宋体" w:hAnsi="宋体" w:eastAsia="宋体" w:cs="宋体"/>
          <w:b/>
          <w:bCs/>
          <w:color w:val="auto"/>
          <w:szCs w:val="21"/>
          <w:highlight w:val="none"/>
          <w:lang w:eastAsia="zh-CN"/>
        </w:rPr>
      </w:pPr>
      <w:r>
        <w:rPr>
          <w:rFonts w:hint="eastAsia" w:ascii="宋体" w:hAnsi="宋体" w:cs="宋体"/>
          <w:b/>
          <w:color w:val="auto"/>
          <w:szCs w:val="21"/>
          <w:highlight w:val="none"/>
          <w:lang w:eastAsia="zh-CN"/>
        </w:rPr>
        <w:t xml:space="preserve">格式七</w:t>
      </w:r>
      <w:r>
        <w:rPr>
          <w:rFonts w:hint="eastAsia" w:ascii="宋体" w:hAnsi="宋体" w:cs="宋体"/>
          <w:b/>
          <w:bCs/>
          <w:color w:val="auto"/>
          <w:szCs w:val="21"/>
          <w:highlight w:val="none"/>
          <w:lang w:eastAsia="zh-CN"/>
        </w:rPr>
        <w:t xml:space="preserve">、 响应人</w:t>
      </w:r>
      <w:r>
        <w:rPr>
          <w:rFonts w:hint="eastAsia" w:ascii="宋体" w:hAnsi="宋体" w:eastAsia="宋体" w:cs="宋体"/>
          <w:b/>
          <w:bCs/>
          <w:color w:val="auto"/>
          <w:szCs w:val="21"/>
          <w:highlight w:val="none"/>
          <w:lang w:eastAsia="zh-CN"/>
        </w:rPr>
        <w:t xml:space="preserve">、项目负责人</w:t>
      </w:r>
      <w:r>
        <w:rPr>
          <w:rFonts w:hint="eastAsia" w:ascii="宋体" w:hAnsi="宋体" w:cs="宋体"/>
          <w:b/>
          <w:bCs/>
          <w:color w:val="auto"/>
          <w:szCs w:val="21"/>
          <w:highlight w:val="none"/>
          <w:lang w:eastAsia="zh-CN"/>
        </w:rPr>
        <w:t xml:space="preserve">类似业绩情况表格式</w:t>
      </w:r>
      <w:r/>
    </w:p>
    <w:p>
      <w:pPr>
        <w:jc w:val="center"/>
        <w:spacing w:line="360" w:lineRule="auto"/>
        <w:widowControl/>
        <w:rPr>
          <w:rFonts w:ascii="宋体" w:hAnsi="宋体" w:cs="宋体"/>
          <w:b/>
          <w:bCs/>
          <w:color w:val="auto"/>
          <w:sz w:val="24"/>
          <w:highlight w:val="none"/>
          <w:lang w:eastAsia="zh-CN"/>
        </w:rPr>
      </w:pPr>
      <w:r>
        <w:rPr>
          <w:rFonts w:hint="eastAsia" w:ascii="宋体" w:hAnsi="宋体" w:cs="宋体"/>
          <w:b/>
          <w:bCs/>
          <w:color w:val="auto"/>
          <w:sz w:val="24"/>
          <w:highlight w:val="none"/>
          <w:lang w:eastAsia="zh-CN"/>
        </w:rPr>
        <w:t xml:space="preserve">响应人类似业绩情况表</w:t>
      </w:r>
      <w:r/>
    </w:p>
    <w:tbl>
      <w:tblPr>
        <w:tblStyle w:val="776"/>
        <w:tblW w:w="0" w:type="auto"/>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517"/>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项目</w:t>
            </w:r>
            <w:r/>
          </w:p>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规模</w:t>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签约及服务</w:t>
            </w:r>
            <w:r/>
          </w:p>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时间</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ind w:firstLine="120"/>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bl>
    <w:p>
      <w:pPr>
        <w:spacing w:line="440" w:lineRule="exact"/>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供应商名称</w:t>
      </w:r>
      <w:r>
        <w:rPr>
          <w:rFonts w:ascii="宋体" w:hAnsi="宋体" w:cs="宋体"/>
          <w:color w:val="auto"/>
          <w:highlight w:val="none"/>
          <w:lang w:eastAsia="zh-CN"/>
        </w:rPr>
        <w:t xml:space="preserve">（</w:t>
      </w:r>
      <w:r>
        <w:rPr>
          <w:rFonts w:hint="eastAsia" w:ascii="宋体" w:hAnsi="宋体" w:cs="宋体"/>
          <w:color w:val="auto"/>
          <w:highlight w:val="none"/>
          <w:lang w:eastAsia="zh-CN"/>
        </w:rPr>
        <w:t xml:space="preserve">加盖电子公章）</w:t>
      </w:r>
      <w:r>
        <w:rPr>
          <w:rFonts w:hint="eastAsia" w:ascii="宋体" w:hAnsi="宋体" w:cs="宋体"/>
          <w:color w:val="auto"/>
          <w:szCs w:val="21"/>
          <w:highlight w:val="none"/>
          <w:lang w:eastAsia="zh-CN"/>
        </w:rPr>
        <w:t xml:space="preserve">：</w:t>
      </w:r>
      <w:r/>
    </w:p>
    <w:p>
      <w:pPr>
        <w:spacing w:line="440" w:lineRule="exact"/>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授权代表（签字或签章）：</w:t>
      </w:r>
      <w:r/>
    </w:p>
    <w:p>
      <w:pPr>
        <w:spacing w:line="440" w:lineRule="exact"/>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日期：</w:t>
      </w:r>
      <w:r/>
    </w:p>
    <w:p>
      <w:pPr>
        <w:spacing w:line="360" w:lineRule="auto"/>
        <w:widowControl/>
        <w:rPr>
          <w:rFonts w:ascii="宋体" w:hAnsi="宋体" w:cs="宋体"/>
          <w:color w:val="auto"/>
          <w:szCs w:val="21"/>
          <w:highlight w:val="none"/>
          <w:lang w:eastAsia="zh-CN"/>
        </w:rPr>
      </w:pPr>
      <w:r>
        <w:rPr>
          <w:rFonts w:ascii="宋体" w:hAnsi="宋体" w:cs="宋体"/>
          <w:color w:val="auto"/>
          <w:szCs w:val="21"/>
          <w:highlight w:val="none"/>
          <w:lang w:eastAsia="zh-CN"/>
        </w:rPr>
      </w:r>
      <w:r/>
    </w:p>
    <w:p>
      <w:pPr>
        <w:spacing w:line="360" w:lineRule="auto"/>
        <w:widowControl/>
        <w:rPr>
          <w:rFonts w:ascii="宋体" w:hAnsi="宋体" w:eastAsia="等线" w:cs="宋体"/>
          <w:b/>
          <w:bCs/>
          <w:color w:val="auto"/>
          <w:szCs w:val="21"/>
          <w:highlight w:val="none"/>
          <w:lang w:eastAsia="zh-CN"/>
        </w:rPr>
      </w:pPr>
      <w:r>
        <w:rPr>
          <w:rFonts w:hint="eastAsia" w:ascii="宋体" w:hAnsi="宋体" w:cs="宋体"/>
          <w:color w:val="auto"/>
          <w:szCs w:val="21"/>
          <w:highlight w:val="none"/>
          <w:lang w:eastAsia="zh-CN"/>
        </w:rPr>
        <w:t xml:space="preserve">注：具体时间要求及需提交的证明材料见“第三章 评审标准”。</w:t>
      </w:r>
      <w:r/>
    </w:p>
    <w:p>
      <w:pPr>
        <w:jc w:val="center"/>
        <w:spacing w:line="360" w:lineRule="auto"/>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r>
      <w:r/>
    </w:p>
    <w:p>
      <w:pPr>
        <w:jc w:val="center"/>
        <w:spacing w:line="360" w:lineRule="auto"/>
        <w:widowControl/>
        <w:rPr>
          <w:rFonts w:ascii="宋体" w:hAnsi="宋体" w:cs="宋体"/>
          <w:b/>
          <w:bCs/>
          <w:color w:val="auto"/>
          <w:sz w:val="24"/>
          <w:highlight w:val="none"/>
          <w:lang w:eastAsia="zh-CN"/>
        </w:rPr>
      </w:pPr>
      <w:r>
        <w:rPr>
          <w:rFonts w:hint="eastAsia" w:ascii="宋体" w:hAnsi="宋体" w:eastAsia="宋体" w:cs="宋体"/>
          <w:b/>
          <w:bCs/>
          <w:color w:val="auto"/>
          <w:sz w:val="24"/>
          <w:highlight w:val="none"/>
          <w:lang w:eastAsia="zh-CN"/>
        </w:rPr>
        <w:t xml:space="preserve">项目负责人类似业绩情况表</w:t>
      </w:r>
      <w:r/>
    </w:p>
    <w:tbl>
      <w:tblPr>
        <w:tblStyle w:val="776"/>
        <w:tblW w:w="0" w:type="auto"/>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517"/>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eastAsia="宋体" w:cs="宋体"/>
                <w:color w:val="auto"/>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eastAsia="宋体" w:cs="宋体"/>
                <w:color w:val="auto"/>
                <w:szCs w:val="21"/>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eastAsia="宋体" w:cs="宋体"/>
                <w:color w:val="auto"/>
                <w:szCs w:val="21"/>
                <w:highlight w:val="none"/>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eastAsia="宋体" w:cs="宋体"/>
                <w:color w:val="auto"/>
                <w:szCs w:val="21"/>
                <w:highlight w:val="none"/>
              </w:rPr>
              <w:t xml:space="preserve">项目</w:t>
            </w:r>
            <w:r/>
          </w:p>
          <w:p>
            <w:pPr>
              <w:jc w:val="center"/>
              <w:spacing w:line="360" w:lineRule="auto"/>
              <w:widowControl/>
              <w:rPr>
                <w:rFonts w:ascii="宋体" w:hAnsi="宋体" w:cs="宋体"/>
                <w:color w:val="auto"/>
                <w:szCs w:val="21"/>
                <w:highlight w:val="none"/>
              </w:rPr>
            </w:pPr>
            <w:r>
              <w:rPr>
                <w:rFonts w:hint="eastAsia" w:ascii="宋体" w:hAnsi="宋体" w:eastAsia="宋体" w:cs="宋体"/>
                <w:color w:val="auto"/>
                <w:szCs w:val="21"/>
                <w:highlight w:val="none"/>
              </w:rPr>
              <w:t xml:space="preserve">规模</w:t>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eastAsia="宋体" w:cs="宋体"/>
                <w:color w:val="auto"/>
                <w:szCs w:val="21"/>
                <w:highlight w:val="none"/>
              </w:rPr>
              <w:t xml:space="preserve">签约及服务</w:t>
            </w:r>
            <w:r/>
          </w:p>
          <w:p>
            <w:pPr>
              <w:jc w:val="center"/>
              <w:spacing w:line="360" w:lineRule="auto"/>
              <w:widowControl/>
              <w:rPr>
                <w:rFonts w:ascii="宋体" w:hAnsi="宋体" w:cs="宋体"/>
                <w:color w:val="auto"/>
                <w:szCs w:val="21"/>
                <w:highlight w:val="none"/>
              </w:rPr>
            </w:pPr>
            <w:r>
              <w:rPr>
                <w:rFonts w:hint="eastAsia" w:ascii="宋体" w:hAnsi="宋体" w:eastAsia="宋体" w:cs="宋体"/>
                <w:color w:val="auto"/>
                <w:szCs w:val="21"/>
                <w:highlight w:val="none"/>
              </w:rPr>
              <w:t xml:space="preserve">时间</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eastAsia="宋体" w:cs="宋体"/>
                <w:color w:val="auto"/>
                <w:szCs w:val="21"/>
                <w:highlight w:val="none"/>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eastAsia="宋体" w:cs="宋体"/>
                <w:color w:val="auto"/>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ind w:firstLine="120"/>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bl>
    <w:p>
      <w:pPr>
        <w:spacing w:line="440" w:lineRule="exact"/>
        <w:rPr>
          <w:rFonts w:ascii="宋体" w:hAnsi="宋体" w:cs="宋体"/>
          <w:color w:val="auto"/>
          <w:szCs w:val="21"/>
          <w:highlight w:val="none"/>
          <w:lang w:eastAsia="zh-CN"/>
        </w:rPr>
      </w:pPr>
      <w:r>
        <w:rPr>
          <w:rFonts w:hint="eastAsia" w:ascii="宋体" w:hAnsi="宋体" w:eastAsia="宋体" w:cs="宋体"/>
          <w:color w:val="auto"/>
          <w:szCs w:val="21"/>
          <w:highlight w:val="none"/>
          <w:lang w:eastAsia="zh-CN"/>
        </w:rPr>
        <w:t xml:space="preserve">供应商名称</w:t>
      </w:r>
      <w:r>
        <w:rPr>
          <w:rFonts w:ascii="宋体" w:hAnsi="宋体" w:cs="宋体"/>
          <w:color w:val="auto"/>
          <w:highlight w:val="none"/>
          <w:lang w:eastAsia="zh-CN"/>
        </w:rPr>
        <w:t xml:space="preserve">（</w:t>
      </w:r>
      <w:r>
        <w:rPr>
          <w:rFonts w:hint="eastAsia" w:ascii="宋体" w:hAnsi="宋体" w:cs="宋体"/>
          <w:color w:val="auto"/>
          <w:highlight w:val="none"/>
          <w:lang w:eastAsia="zh-CN"/>
        </w:rPr>
        <w:t xml:space="preserve">加盖电子公章）</w:t>
      </w:r>
      <w:r>
        <w:rPr>
          <w:rFonts w:hint="eastAsia" w:ascii="宋体" w:hAnsi="宋体" w:eastAsia="宋体" w:cs="宋体"/>
          <w:color w:val="auto"/>
          <w:szCs w:val="21"/>
          <w:highlight w:val="none"/>
          <w:lang w:eastAsia="zh-CN"/>
        </w:rPr>
        <w:t xml:space="preserve">：</w:t>
      </w:r>
      <w:r/>
    </w:p>
    <w:p>
      <w:pPr>
        <w:spacing w:line="440" w:lineRule="exact"/>
        <w:rPr>
          <w:rFonts w:ascii="宋体" w:hAnsi="宋体" w:cs="宋体"/>
          <w:color w:val="auto"/>
          <w:szCs w:val="21"/>
          <w:highlight w:val="none"/>
          <w:lang w:eastAsia="zh-CN"/>
        </w:rPr>
      </w:pPr>
      <w:r>
        <w:rPr>
          <w:rFonts w:hint="eastAsia" w:ascii="宋体" w:hAnsi="宋体" w:eastAsia="宋体" w:cs="宋体"/>
          <w:color w:val="auto"/>
          <w:szCs w:val="21"/>
          <w:highlight w:val="none"/>
          <w:lang w:eastAsia="zh-CN"/>
        </w:rPr>
        <w:t xml:space="preserve">授权代表（签字或签章）：</w:t>
      </w:r>
      <w:r/>
    </w:p>
    <w:p>
      <w:pPr>
        <w:spacing w:line="440" w:lineRule="exact"/>
        <w:rPr>
          <w:rFonts w:ascii="宋体" w:hAnsi="宋体" w:cs="宋体"/>
          <w:color w:val="auto"/>
          <w:szCs w:val="21"/>
          <w:highlight w:val="none"/>
          <w:lang w:eastAsia="zh-CN"/>
        </w:rPr>
      </w:pPr>
      <w:r>
        <w:rPr>
          <w:rFonts w:hint="eastAsia" w:ascii="宋体" w:hAnsi="宋体" w:eastAsia="宋体" w:cs="宋体"/>
          <w:color w:val="auto"/>
          <w:szCs w:val="21"/>
          <w:highlight w:val="none"/>
          <w:lang w:eastAsia="zh-CN"/>
        </w:rPr>
        <w:t xml:space="preserve">日期：</w:t>
      </w:r>
      <w:r/>
    </w:p>
    <w:p>
      <w:pPr>
        <w:spacing w:line="360" w:lineRule="auto"/>
        <w:widowControl/>
        <w:rPr>
          <w:rFonts w:ascii="宋体" w:hAnsi="宋体" w:cs="宋体"/>
          <w:color w:val="auto"/>
          <w:szCs w:val="21"/>
          <w:highlight w:val="none"/>
          <w:lang w:eastAsia="zh-CN"/>
        </w:rPr>
      </w:pPr>
      <w:r>
        <w:rPr>
          <w:rFonts w:ascii="宋体" w:hAnsi="宋体" w:cs="宋体"/>
          <w:color w:val="auto"/>
          <w:szCs w:val="21"/>
          <w:highlight w:val="none"/>
          <w:lang w:eastAsia="zh-CN"/>
        </w:rPr>
      </w:r>
      <w:r/>
    </w:p>
    <w:p>
      <w:pPr>
        <w:spacing w:line="360" w:lineRule="auto"/>
        <w:widowControl/>
        <w:rPr>
          <w:rFonts w:ascii="宋体" w:hAnsi="宋体" w:cs="宋体"/>
          <w:b/>
          <w:bCs/>
          <w:color w:val="auto"/>
          <w:szCs w:val="21"/>
          <w:highlight w:val="none"/>
          <w:lang w:eastAsia="zh-CN"/>
        </w:rPr>
      </w:pPr>
      <w:r>
        <w:rPr>
          <w:rFonts w:hint="eastAsia" w:ascii="宋体" w:hAnsi="宋体" w:eastAsia="宋体" w:cs="宋体"/>
          <w:color w:val="auto"/>
          <w:szCs w:val="21"/>
          <w:highlight w:val="none"/>
          <w:lang w:eastAsia="zh-CN"/>
        </w:rPr>
        <w:t xml:space="preserve">注：具体时间要求及需提交的证明材料见</w:t>
      </w:r>
      <w:r>
        <w:rPr>
          <w:rFonts w:cs="Calibri"/>
          <w:color w:val="auto"/>
          <w:szCs w:val="21"/>
          <w:highlight w:val="none"/>
          <w:lang w:eastAsia="zh-CN"/>
        </w:rPr>
        <w:t xml:space="preserve">“</w:t>
      </w:r>
      <w:r>
        <w:rPr>
          <w:rFonts w:hint="eastAsia" w:ascii="宋体" w:hAnsi="宋体" w:eastAsia="宋体" w:cs="宋体"/>
          <w:color w:val="auto"/>
          <w:szCs w:val="21"/>
          <w:highlight w:val="none"/>
          <w:lang w:eastAsia="zh-CN"/>
        </w:rPr>
        <w:t xml:space="preserve">第三章</w:t>
      </w:r>
      <w:r>
        <w:rPr>
          <w:rFonts w:hint="eastAsia" w:ascii="宋体" w:hAnsi="宋体" w:cs="宋体"/>
          <w:color w:val="auto"/>
          <w:szCs w:val="21"/>
          <w:highlight w:val="none"/>
          <w:lang w:eastAsia="zh-CN"/>
        </w:rPr>
        <w:t xml:space="preserve"> </w:t>
      </w:r>
      <w:r>
        <w:rPr>
          <w:rFonts w:hint="eastAsia" w:ascii="宋体" w:hAnsi="宋体" w:eastAsia="宋体" w:cs="宋体"/>
          <w:color w:val="auto"/>
          <w:szCs w:val="21"/>
          <w:highlight w:val="none"/>
          <w:lang w:eastAsia="zh-CN"/>
        </w:rPr>
        <w:t xml:space="preserve">评审标准</w:t>
      </w:r>
      <w:r>
        <w:rPr>
          <w:rFonts w:cs="Calibri"/>
          <w:color w:val="auto"/>
          <w:szCs w:val="21"/>
          <w:highlight w:val="none"/>
          <w:lang w:eastAsia="zh-CN"/>
        </w:rPr>
        <w:t xml:space="preserve">”</w:t>
      </w:r>
      <w:r>
        <w:rPr>
          <w:rFonts w:hint="eastAsia" w:ascii="宋体" w:hAnsi="宋体" w:eastAsia="宋体" w:cs="宋体"/>
          <w:color w:val="auto"/>
          <w:szCs w:val="21"/>
          <w:highlight w:val="none"/>
          <w:lang w:eastAsia="zh-CN"/>
        </w:rPr>
        <w:t xml:space="preserve">。</w:t>
      </w:r>
      <w:r>
        <w:rPr>
          <w:rFonts w:hint="eastAsia" w:ascii="宋体" w:hAnsi="宋体" w:cs="宋体"/>
          <w:b/>
          <w:color w:val="auto"/>
          <w:sz w:val="30"/>
          <w:szCs w:val="30"/>
          <w:highlight w:val="none"/>
          <w:lang w:eastAsia="zh-CN"/>
        </w:rPr>
        <w:br w:type="column"/>
      </w:r>
      <w:r>
        <w:rPr>
          <w:rFonts w:hint="eastAsia" w:ascii="宋体" w:hAnsi="宋体" w:cs="宋体"/>
          <w:b/>
          <w:color w:val="auto"/>
          <w:highlight w:val="none"/>
          <w:lang w:eastAsia="zh-CN"/>
        </w:rPr>
        <w:t xml:space="preserve">格式八、资格证明文件</w:t>
      </w:r>
      <w:r/>
    </w:p>
    <w:p>
      <w:pPr>
        <w:pStyle w:val="834"/>
        <w:ind w:firstLine="420"/>
        <w:rPr>
          <w:rFonts w:hint="eastAsia" w:eastAsia="宋体" w:cs="宋体"/>
          <w:bCs/>
          <w:color w:val="auto"/>
          <w:sz w:val="21"/>
          <w:szCs w:val="21"/>
          <w:highlight w:val="none"/>
          <w:lang w:eastAsia="zh-CN"/>
        </w:rPr>
      </w:pPr>
      <w:r>
        <w:rPr>
          <w:rFonts w:hint="eastAsia" w:eastAsia="宋体" w:cs="宋体"/>
          <w:bCs/>
          <w:color w:val="auto"/>
          <w:sz w:val="21"/>
          <w:szCs w:val="21"/>
          <w:highlight w:val="none"/>
          <w:lang w:eastAsia="zh-CN"/>
        </w:rPr>
        <w:t xml:space="preserve">1.满足《中华人民共和国政府采购法》第二十二条规定：</w:t>
      </w:r>
      <w:r/>
    </w:p>
    <w:p>
      <w:pPr>
        <w:pStyle w:val="834"/>
        <w:ind w:firstLine="420"/>
        <w:rPr>
          <w:rFonts w:hint="eastAsia" w:eastAsia="宋体" w:cs="宋体"/>
          <w:bCs/>
          <w:color w:val="auto"/>
          <w:sz w:val="21"/>
          <w:szCs w:val="21"/>
          <w:highlight w:val="none"/>
          <w:lang w:eastAsia="zh-CN"/>
        </w:rPr>
      </w:pPr>
      <w:r>
        <w:rPr>
          <w:rFonts w:hint="eastAsia" w:eastAsia="宋体" w:cs="宋体"/>
          <w:bCs/>
          <w:color w:val="auto"/>
          <w:sz w:val="21"/>
          <w:szCs w:val="21"/>
          <w:highlight w:val="none"/>
          <w:lang w:eastAsia="zh-CN"/>
        </w:rPr>
        <w:t xml:space="preserve">（1）具有独立承担民事责任的能力（提供法人或者其他组织的营业执照，自然人的身份证明扫描件加盖电子公章）；</w:t>
      </w:r>
      <w:r/>
    </w:p>
    <w:p>
      <w:pPr>
        <w:pStyle w:val="834"/>
        <w:ind w:firstLine="420"/>
        <w:rPr>
          <w:rFonts w:hint="eastAsia" w:eastAsia="宋体" w:cs="宋体"/>
          <w:bCs/>
          <w:color w:val="auto"/>
          <w:sz w:val="21"/>
          <w:szCs w:val="21"/>
          <w:highlight w:val="none"/>
          <w:lang w:eastAsia="zh-CN"/>
        </w:rPr>
      </w:pPr>
      <w:r>
        <w:rPr>
          <w:rFonts w:hint="eastAsia" w:eastAsia="宋体" w:cs="宋体"/>
          <w:bCs/>
          <w:color w:val="auto"/>
          <w:sz w:val="21"/>
          <w:szCs w:val="21"/>
          <w:highlight w:val="none"/>
          <w:lang w:eastAsia="zh-CN"/>
        </w:rPr>
        <w:t xml:space="preserve">（2）具有良好的商业信誉和健全的财务会计制度（提供由第三方专业机构出具的2025年度财务审计报告（财务审计报告至少包含资产负债表、利润表、现金流量表、第三方专业机构盖章和注册会计师签章、签字页）或近半年内（2025年12月起至今）任一月的财务报表（至少包括资产负债表和利润表）的扫描件加盖电子公章或近半年内（2025年12月起至今）银行出具的企业资信证明的扫描件加盖电子公章</w:t>
      </w:r>
      <w:r>
        <w:rPr>
          <w:rFonts w:hint="eastAsia" w:eastAsia="宋体" w:cs="宋体"/>
          <w:bCs/>
          <w:color w:val="auto"/>
          <w:sz w:val="21"/>
          <w:szCs w:val="21"/>
          <w:highlight w:val="none"/>
          <w:lang w:val="zh-TW" w:eastAsia="zh-CN"/>
        </w:rPr>
        <w:t xml:space="preserve">，</w:t>
      </w:r>
      <w:r>
        <w:rPr>
          <w:rFonts w:hint="eastAsia" w:eastAsia="宋体" w:cs="宋体"/>
          <w:bCs/>
          <w:color w:val="auto"/>
          <w:sz w:val="21"/>
          <w:szCs w:val="21"/>
          <w:highlight w:val="none"/>
          <w:lang w:eastAsia="zh-CN"/>
        </w:rPr>
        <w:t xml:space="preserve">或财政部门认可的政府采购专业担保机构出具的投标担保函，法人或者其他组织成立未满一年的无需提供）；</w:t>
      </w:r>
      <w:r/>
    </w:p>
    <w:p>
      <w:pPr>
        <w:pStyle w:val="834"/>
        <w:ind w:firstLine="420"/>
        <w:rPr>
          <w:rFonts w:hint="eastAsia" w:eastAsia="宋体" w:cs="宋体"/>
          <w:bCs/>
          <w:color w:val="auto"/>
          <w:sz w:val="21"/>
          <w:szCs w:val="21"/>
          <w:highlight w:val="none"/>
          <w:lang w:eastAsia="zh-CN"/>
        </w:rPr>
      </w:pPr>
      <w:r>
        <w:rPr>
          <w:rFonts w:hint="eastAsia" w:eastAsia="宋体" w:cs="宋体"/>
          <w:bCs/>
          <w:color w:val="auto"/>
          <w:sz w:val="21"/>
          <w:szCs w:val="21"/>
          <w:highlight w:val="none"/>
          <w:lang w:eastAsia="zh-CN"/>
        </w:rPr>
        <w:t xml:space="preserve">（3）具有履行合同所必需的设备和专业技术能力（根据项目需求提供履行合同所必需的设备和专业技术能力的证明材料或书面声明原件）； </w:t>
      </w:r>
      <w:r/>
    </w:p>
    <w:p>
      <w:pPr>
        <w:pStyle w:val="834"/>
        <w:ind w:firstLine="420"/>
        <w:rPr>
          <w:rFonts w:hint="eastAsia" w:eastAsia="宋体" w:cs="宋体"/>
          <w:bCs/>
          <w:color w:val="auto"/>
          <w:sz w:val="21"/>
          <w:szCs w:val="21"/>
          <w:highlight w:val="none"/>
          <w:lang w:eastAsia="zh-CN"/>
        </w:rPr>
      </w:pPr>
      <w:r>
        <w:rPr>
          <w:rFonts w:hint="eastAsia" w:eastAsia="宋体" w:cs="宋体"/>
          <w:bCs/>
          <w:color w:val="auto"/>
          <w:sz w:val="21"/>
          <w:szCs w:val="21"/>
          <w:highlight w:val="none"/>
          <w:lang w:eastAsia="zh-CN"/>
        </w:rPr>
        <w:t xml:space="preserve">（4）有依法缴纳税收和社会保障资金的良好记录（提供参加本次政府采购活动近半年内（2025年12月起至今）任一月的缴纳税收和社会保险的凭据扫描件加盖电子公章，依法享受缓缴、免缴税收、社会保障资金的提供证明材料扫描件加盖电子公章）；</w:t>
      </w:r>
      <w:r/>
    </w:p>
    <w:p>
      <w:pPr>
        <w:pStyle w:val="834"/>
        <w:ind w:firstLine="420"/>
        <w:rPr>
          <w:rFonts w:hint="eastAsia" w:eastAsia="宋体" w:cs="宋体"/>
          <w:bCs/>
          <w:color w:val="auto"/>
          <w:sz w:val="21"/>
          <w:szCs w:val="21"/>
          <w:highlight w:val="none"/>
          <w:lang w:eastAsia="zh-CN"/>
        </w:rPr>
      </w:pPr>
      <w:r>
        <w:rPr>
          <w:rFonts w:hint="eastAsia" w:eastAsia="宋体" w:cs="宋体"/>
          <w:bCs/>
          <w:color w:val="auto"/>
          <w:sz w:val="21"/>
          <w:szCs w:val="21"/>
          <w:highlight w:val="none"/>
          <w:lang w:eastAsia="zh-CN"/>
        </w:rPr>
        <w:t xml:space="preserve">（5）参加政府采购活动前三年内，在经营活动中没有重大违法记录（提供参加本次政府采购活动前3年内在经营活动中没有重大违法记录的书面声明）（格式见后附件）；</w:t>
      </w:r>
      <w:r/>
    </w:p>
    <w:p>
      <w:pPr>
        <w:pStyle w:val="834"/>
        <w:ind w:firstLine="420"/>
        <w:rPr>
          <w:rFonts w:hint="eastAsia" w:eastAsia="宋体" w:cs="宋体"/>
          <w:bCs/>
          <w:color w:val="auto"/>
          <w:sz w:val="21"/>
          <w:szCs w:val="21"/>
          <w:highlight w:val="none"/>
          <w:lang w:eastAsia="zh-CN"/>
        </w:rPr>
      </w:pPr>
      <w:r>
        <w:rPr>
          <w:rFonts w:hint="eastAsia" w:eastAsia="宋体" w:cs="宋体"/>
          <w:bCs/>
          <w:color w:val="auto"/>
          <w:sz w:val="21"/>
          <w:szCs w:val="21"/>
          <w:highlight w:val="none"/>
          <w:lang w:eastAsia="zh-CN"/>
        </w:rPr>
        <w:t xml:space="preserve">（6）法律、行政法规规定的其他条件。</w:t>
      </w:r>
      <w:r/>
    </w:p>
    <w:p>
      <w:pPr>
        <w:pStyle w:val="834"/>
        <w:ind w:firstLine="422"/>
        <w:rPr>
          <w:rFonts w:hint="eastAsia" w:eastAsia="宋体" w:cs="宋体"/>
          <w:bCs/>
          <w:color w:val="auto"/>
          <w:sz w:val="21"/>
          <w:szCs w:val="21"/>
          <w:highlight w:val="none"/>
          <w:lang w:eastAsia="zh-CN"/>
        </w:rPr>
      </w:pPr>
      <w:r>
        <w:rPr>
          <w:rFonts w:hint="eastAsia" w:eastAsia="宋体" w:cs="宋体"/>
          <w:b/>
          <w:color w:val="auto"/>
          <w:sz w:val="21"/>
          <w:szCs w:val="21"/>
          <w:highlight w:val="none"/>
          <w:lang w:eastAsia="zh-CN"/>
        </w:rPr>
        <w:t xml:space="preserve">2.落实政府采购政策需满足的资格要求：/</w:t>
      </w:r>
      <w:r/>
    </w:p>
    <w:p>
      <w:pPr>
        <w:pStyle w:val="834"/>
        <w:ind w:firstLine="422"/>
        <w:rPr>
          <w:rFonts w:hint="eastAsia" w:eastAsia="宋体" w:cs="宋体"/>
          <w:b/>
          <w:color w:val="auto"/>
          <w:sz w:val="21"/>
          <w:szCs w:val="21"/>
          <w:highlight w:val="none"/>
          <w:lang w:eastAsia="zh-CN"/>
        </w:rPr>
      </w:pPr>
      <w:r>
        <w:rPr>
          <w:rFonts w:hint="eastAsia" w:eastAsia="宋体" w:cs="宋体"/>
          <w:b/>
          <w:color w:val="auto"/>
          <w:sz w:val="21"/>
          <w:szCs w:val="21"/>
          <w:highlight w:val="none"/>
          <w:lang w:eastAsia="zh-CN"/>
        </w:rPr>
        <w:t xml:space="preserve">3.本项目的特定资格要求：</w:t>
      </w:r>
      <w:r/>
    </w:p>
    <w:p>
      <w:pPr>
        <w:pStyle w:val="834"/>
        <w:ind w:firstLine="420"/>
        <w:rPr>
          <w:rFonts w:hint="eastAsia" w:eastAsia="宋体" w:cs="宋体"/>
          <w:bCs/>
          <w:color w:val="auto"/>
          <w:sz w:val="21"/>
          <w:szCs w:val="21"/>
          <w:highlight w:val="none"/>
          <w:lang w:eastAsia="zh-CN"/>
        </w:rPr>
      </w:pPr>
      <w:r>
        <w:rPr>
          <w:rFonts w:hint="eastAsia" w:eastAsia="宋体" w:cs="宋体"/>
          <w:bCs/>
          <w:color w:val="auto"/>
          <w:sz w:val="21"/>
          <w:szCs w:val="21"/>
          <w:highlight w:val="none"/>
          <w:lang w:eastAsia="zh-CN"/>
        </w:rPr>
        <w:t xml:space="preserve">（1）供应商资质等级及范围：具有建筑工程施工总承包三级及以上资质，并具有安全生产许可证；（需提供有效的资质证书、安全生产许可证复印件加盖供应商公章）</w:t>
      </w:r>
      <w:r/>
    </w:p>
    <w:p>
      <w:pPr>
        <w:pStyle w:val="834"/>
        <w:ind w:firstLine="420"/>
        <w:rPr>
          <w:rFonts w:hint="eastAsia" w:eastAsia="宋体" w:cs="宋体"/>
          <w:bCs/>
          <w:color w:val="auto"/>
          <w:sz w:val="21"/>
          <w:szCs w:val="21"/>
          <w:highlight w:val="none"/>
          <w:lang w:eastAsia="zh-CN"/>
        </w:rPr>
      </w:pPr>
      <w:r>
        <w:rPr>
          <w:rFonts w:hint="eastAsia" w:eastAsia="宋体" w:cs="宋体"/>
          <w:bCs/>
          <w:color w:val="auto"/>
          <w:sz w:val="21"/>
          <w:szCs w:val="21"/>
          <w:highlight w:val="none"/>
          <w:lang w:eastAsia="zh-CN"/>
        </w:rPr>
        <w:t xml:space="preserve">（2）项目负责人具有注册建造师建筑工程二级(含)以上并且具有有效的安全生产考核合格证书(B证)。（提供建造师证书、安全生产考核证书及供应商为其缴纳的近半年内（2025年12月起至今）任意一个月的社保缴纳证明材料扫描件加盖电子公章）</w:t>
      </w:r>
      <w:r/>
    </w:p>
    <w:p>
      <w:pPr>
        <w:pStyle w:val="834"/>
        <w:ind w:firstLine="420"/>
        <w:rPr>
          <w:rFonts w:hint="eastAsia" w:eastAsia="宋体" w:cs="宋体"/>
          <w:bCs/>
          <w:color w:val="auto"/>
          <w:sz w:val="21"/>
          <w:szCs w:val="21"/>
          <w:highlight w:val="none"/>
          <w:lang w:eastAsia="zh-CN"/>
        </w:rPr>
      </w:pPr>
      <w:r>
        <w:rPr>
          <w:rFonts w:hint="eastAsia" w:eastAsia="宋体" w:cs="宋体"/>
          <w:bCs/>
          <w:color w:val="auto"/>
          <w:sz w:val="21"/>
          <w:szCs w:val="21"/>
          <w:highlight w:val="none"/>
          <w:lang w:eastAsia="zh-CN"/>
        </w:rPr>
        <w:t xml:space="preserve">（3）响应供应商满足以下条件（提供承诺书原件）： </w:t>
      </w:r>
      <w:r/>
    </w:p>
    <w:p>
      <w:pPr>
        <w:pStyle w:val="834"/>
        <w:ind w:firstLine="420"/>
        <w:rPr>
          <w:rFonts w:hint="eastAsia" w:eastAsia="宋体" w:cs="宋体"/>
          <w:bCs/>
          <w:color w:val="auto"/>
          <w:sz w:val="21"/>
          <w:szCs w:val="21"/>
          <w:highlight w:val="none"/>
          <w:lang w:eastAsia="zh-CN"/>
        </w:rPr>
      </w:pPr>
      <w:r>
        <w:rPr>
          <w:rFonts w:hint="eastAsia" w:eastAsia="宋体" w:cs="宋体"/>
          <w:bCs/>
          <w:color w:val="auto"/>
          <w:sz w:val="21"/>
          <w:szCs w:val="21"/>
          <w:highlight w:val="none"/>
          <w:lang w:eastAsia="zh-CN"/>
        </w:rPr>
        <w:t xml:space="preserve">a.未处于被责令停业、投标资格被取消或财产被接管、冻结和破产状态的企业； </w:t>
      </w:r>
      <w:r/>
    </w:p>
    <w:p>
      <w:pPr>
        <w:pStyle w:val="834"/>
        <w:ind w:firstLine="420"/>
        <w:rPr>
          <w:rFonts w:hint="eastAsia" w:eastAsia="宋体" w:cs="宋体"/>
          <w:bCs/>
          <w:color w:val="auto"/>
          <w:sz w:val="21"/>
          <w:szCs w:val="21"/>
          <w:highlight w:val="none"/>
          <w:lang w:eastAsia="zh-CN"/>
        </w:rPr>
      </w:pPr>
      <w:r>
        <w:rPr>
          <w:rFonts w:hint="eastAsia" w:eastAsia="宋体" w:cs="宋体"/>
          <w:bCs/>
          <w:color w:val="auto"/>
          <w:sz w:val="21"/>
          <w:szCs w:val="21"/>
          <w:highlight w:val="none"/>
          <w:lang w:eastAsia="zh-CN"/>
        </w:rPr>
        <w:t xml:space="preserve">b.企业没有因骗取中标、严重违约或者违规用工、拖欠工人工资以及发生重大工程质量、安全生产事故等问题，被有关部门暂停投标资格并在暂停期内的。</w:t>
      </w:r>
      <w:r/>
    </w:p>
    <w:p>
      <w:pPr>
        <w:pStyle w:val="834"/>
        <w:ind w:firstLine="420"/>
        <w:rPr>
          <w:rFonts w:hint="eastAsia" w:eastAsia="宋体" w:cs="宋体"/>
          <w:bCs/>
          <w:color w:val="auto"/>
          <w:sz w:val="21"/>
          <w:szCs w:val="21"/>
          <w:highlight w:val="none"/>
          <w:lang w:eastAsia="zh-CN"/>
        </w:rPr>
      </w:pPr>
      <w:r>
        <w:rPr>
          <w:rFonts w:hint="eastAsia" w:eastAsia="宋体" w:cs="宋体"/>
          <w:bCs/>
          <w:color w:val="auto"/>
          <w:sz w:val="21"/>
          <w:szCs w:val="21"/>
          <w:highlight w:val="none"/>
          <w:lang w:eastAsia="zh-CN"/>
        </w:rPr>
        <w:t xml:space="preserve">4.拒绝下述供应商参加本次采购活动：</w:t>
      </w:r>
      <w:r/>
    </w:p>
    <w:p>
      <w:pPr>
        <w:pStyle w:val="834"/>
        <w:ind w:firstLine="420"/>
        <w:rPr>
          <w:rFonts w:hint="eastAsia" w:eastAsia="宋体" w:cs="宋体"/>
          <w:bCs/>
          <w:color w:val="auto"/>
          <w:sz w:val="21"/>
          <w:szCs w:val="21"/>
          <w:highlight w:val="none"/>
          <w:lang w:eastAsia="zh-CN"/>
        </w:rPr>
      </w:pPr>
      <w:r>
        <w:rPr>
          <w:rFonts w:hint="eastAsia" w:eastAsia="宋体" w:cs="宋体"/>
          <w:bCs/>
          <w:color w:val="auto"/>
          <w:sz w:val="21"/>
          <w:szCs w:val="21"/>
          <w:highlight w:val="none"/>
          <w:lang w:eastAsia="zh-CN"/>
        </w:rPr>
        <w:t xml:space="preserve">（1）供应商单位负责人为同一人或者存在直接控股、管理关系的不同供应商，不得参加同一合同项下的政府采购活动。</w:t>
      </w:r>
      <w:r/>
    </w:p>
    <w:p>
      <w:pPr>
        <w:pStyle w:val="834"/>
        <w:ind w:firstLine="420"/>
        <w:rPr>
          <w:rFonts w:hint="eastAsia" w:eastAsia="宋体" w:cs="宋体"/>
          <w:bCs/>
          <w:color w:val="auto"/>
          <w:sz w:val="21"/>
          <w:szCs w:val="21"/>
          <w:highlight w:val="none"/>
          <w:lang w:eastAsia="zh-CN"/>
        </w:rPr>
      </w:pPr>
      <w:r>
        <w:rPr>
          <w:rFonts w:hint="eastAsia" w:eastAsia="宋体" w:cs="宋体"/>
          <w:bCs/>
          <w:color w:val="auto"/>
          <w:sz w:val="21"/>
          <w:szCs w:val="21"/>
          <w:highlight w:val="none"/>
          <w:lang w:eastAsia="zh-CN"/>
        </w:rPr>
        <w:t xml:space="preserve">（2）凡为采购项目提供整体设计、规范编制或者项目管理、监理、检测等服务的供应商，不得再参加本项目的采购活动。</w:t>
      </w:r>
      <w:r/>
    </w:p>
    <w:p>
      <w:pPr>
        <w:pStyle w:val="834"/>
        <w:ind w:firstLine="420"/>
        <w:rPr>
          <w:rFonts w:hint="eastAsia" w:eastAsia="宋体" w:cs="宋体"/>
          <w:bCs/>
          <w:color w:val="auto"/>
          <w:sz w:val="21"/>
          <w:szCs w:val="21"/>
          <w:highlight w:val="none"/>
          <w:lang w:eastAsia="zh-CN"/>
        </w:rPr>
      </w:pPr>
      <w:r>
        <w:rPr>
          <w:rFonts w:hint="eastAsia" w:eastAsia="宋体" w:cs="宋体"/>
          <w:bCs/>
          <w:color w:val="auto"/>
          <w:sz w:val="21"/>
          <w:szCs w:val="21"/>
          <w:highlight w:val="none"/>
          <w:lang w:eastAsia="zh-CN"/>
        </w:rPr>
        <w:t xml:space="preserve">（3）供应商被“信用中国”网站（www.creditchina.gov.cn）、“中国政府采购网"(www.ccgp.gov.cn)列入失信被执行人、重大税收违法案件当事人名单、政府采购严重违法失信行为记录名单。</w:t>
      </w:r>
      <w:r/>
    </w:p>
    <w:p>
      <w:pPr>
        <w:pStyle w:val="834"/>
        <w:ind w:firstLine="0"/>
        <w:rPr>
          <w:rFonts w:eastAsia="宋体"/>
          <w:bCs/>
          <w:color w:val="auto"/>
          <w:sz w:val="21"/>
          <w:szCs w:val="21"/>
          <w:highlight w:val="none"/>
          <w:lang w:eastAsia="zh-CN"/>
        </w:rPr>
      </w:pPr>
      <w:r>
        <w:rPr>
          <w:rFonts w:eastAsia="宋体"/>
          <w:bCs/>
          <w:color w:val="auto"/>
          <w:sz w:val="21"/>
          <w:szCs w:val="21"/>
          <w:highlight w:val="none"/>
          <w:lang w:eastAsia="zh-CN"/>
        </w:rPr>
      </w:r>
      <w:r/>
    </w:p>
    <w:p>
      <w:pPr>
        <w:jc w:val="center"/>
        <w:spacing w:line="360" w:lineRule="auto"/>
        <w:rPr>
          <w:rFonts w:ascii="宋体" w:hAnsi="宋体" w:cs="宋体"/>
          <w:b/>
          <w:bCs/>
          <w:color w:val="auto"/>
          <w:sz w:val="32"/>
          <w:szCs w:val="32"/>
          <w:highlight w:val="none"/>
          <w:lang w:eastAsia="zh-CN"/>
        </w:rPr>
      </w:pPr>
      <w:r>
        <w:rPr>
          <w:rFonts w:ascii="宋体" w:hAnsi="宋体" w:cs="宋体"/>
          <w:b/>
          <w:bCs/>
          <w:color w:val="auto"/>
          <w:sz w:val="32"/>
          <w:szCs w:val="32"/>
          <w:highlight w:val="none"/>
          <w:lang w:eastAsia="zh-CN"/>
        </w:rPr>
      </w:r>
      <w:r/>
    </w:p>
    <w:p>
      <w:pPr>
        <w:spacing w:line="360" w:lineRule="auto"/>
        <w:rPr>
          <w:rFonts w:hint="eastAsia" w:ascii="宋体" w:hAnsi="宋体" w:cs="宋体"/>
          <w:b/>
          <w:color w:val="auto"/>
          <w:sz w:val="24"/>
          <w:highlight w:val="none"/>
          <w:lang w:eastAsia="zh-CN"/>
        </w:rPr>
      </w:pPr>
      <w:r>
        <w:rPr>
          <w:rFonts w:hint="eastAsia" w:ascii="宋体" w:hAnsi="宋体" w:cs="宋体"/>
          <w:b/>
          <w:color w:val="auto"/>
          <w:sz w:val="24"/>
          <w:highlight w:val="none"/>
          <w:lang w:eastAsia="zh-CN"/>
        </w:rPr>
      </w:r>
      <w:r/>
    </w:p>
    <w:p>
      <w:pPr>
        <w:spacing w:line="360" w:lineRule="auto"/>
        <w:rPr>
          <w:rFonts w:ascii="宋体" w:hAnsi="宋体" w:cs="宋体"/>
          <w:b/>
          <w:color w:val="auto"/>
          <w:sz w:val="24"/>
          <w:highlight w:val="none"/>
          <w:lang w:eastAsia="zh-CN"/>
        </w:rPr>
      </w:pPr>
      <w:r>
        <w:rPr>
          <w:rFonts w:hint="eastAsia" w:ascii="宋体" w:hAnsi="宋体" w:cs="宋体"/>
          <w:b/>
          <w:color w:val="auto"/>
          <w:sz w:val="24"/>
          <w:highlight w:val="none"/>
          <w:lang w:eastAsia="zh-CN"/>
        </w:rPr>
        <w:t xml:space="preserve">附件一：</w:t>
      </w:r>
      <w:r/>
    </w:p>
    <w:p>
      <w:pPr>
        <w:jc w:val="center"/>
        <w:spacing w:line="360" w:lineRule="auto"/>
        <w:rPr>
          <w:rFonts w:ascii="宋体" w:hAnsi="宋体" w:cs="宋体"/>
          <w:b/>
          <w:color w:val="auto"/>
          <w:sz w:val="24"/>
          <w:highlight w:val="none"/>
          <w:lang w:eastAsia="zh-CN"/>
        </w:rPr>
      </w:pPr>
      <w:r>
        <w:rPr>
          <w:rFonts w:hint="eastAsia" w:ascii="宋体" w:hAnsi="宋体" w:cs="宋体"/>
          <w:b/>
          <w:bCs/>
          <w:color w:val="auto"/>
          <w:sz w:val="24"/>
          <w:highlight w:val="none"/>
          <w:lang w:eastAsia="zh-CN"/>
        </w:rPr>
        <w:t xml:space="preserve">具备履行合同所必需的设备和专业技术能力的书面声明</w:t>
      </w:r>
      <w:r/>
    </w:p>
    <w:p>
      <w:pPr>
        <w:spacing w:line="360" w:lineRule="auto"/>
        <w:rPr>
          <w:rFonts w:ascii="宋体" w:hAnsi="宋体" w:cs="宋体"/>
          <w:bCs/>
          <w:color w:val="auto"/>
          <w:sz w:val="24"/>
          <w:highlight w:val="none"/>
          <w:lang w:eastAsia="zh-CN"/>
        </w:rPr>
      </w:pPr>
      <w:r>
        <w:rPr>
          <w:rFonts w:hint="eastAsia" w:ascii="宋体" w:hAnsi="宋体" w:cs="宋体"/>
          <w:bCs/>
          <w:color w:val="auto"/>
          <w:highlight w:val="none"/>
          <w:u w:val="single"/>
          <w:lang w:eastAsia="zh-CN"/>
        </w:rPr>
        <w:t xml:space="preserve">            </w:t>
      </w:r>
      <w:r>
        <w:rPr>
          <w:rFonts w:hint="eastAsia" w:eastAsia="宋体"/>
          <w:bCs/>
          <w:color w:val="auto"/>
          <w:sz w:val="21"/>
          <w:szCs w:val="21"/>
          <w:highlight w:val="none"/>
          <w:lang w:eastAsia="zh-CN"/>
        </w:rPr>
        <w:t xml:space="preserve">（采购人）：</w:t>
      </w:r>
      <w:r/>
    </w:p>
    <w:p>
      <w:pPr>
        <w:ind w:firstLine="492"/>
        <w:spacing w:line="360" w:lineRule="auto"/>
        <w:rPr>
          <w:rFonts w:ascii="宋体" w:hAnsi="宋体" w:cs="宋体"/>
          <w:bCs/>
          <w:color w:val="auto"/>
          <w:highlight w:val="none"/>
          <w:lang w:eastAsia="zh-CN"/>
        </w:rPr>
      </w:pPr>
      <w:r>
        <w:rPr>
          <w:rFonts w:hint="eastAsia" w:ascii="宋体" w:hAnsi="宋体" w:cs="宋体"/>
          <w:bCs/>
          <w:color w:val="auto"/>
          <w:highlight w:val="none"/>
          <w:lang w:eastAsia="zh-CN"/>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ascii="宋体" w:hAnsi="宋体" w:cs="宋体"/>
          <w:bCs/>
          <w:color w:val="auto"/>
          <w:highlight w:val="none"/>
          <w:lang w:eastAsia="zh-CN"/>
        </w:rPr>
      </w:pPr>
      <w:r>
        <w:rPr>
          <w:rFonts w:hint="eastAsia" w:ascii="宋体" w:hAnsi="宋体" w:cs="宋体"/>
          <w:bCs/>
          <w:color w:val="auto"/>
          <w:highlight w:val="none"/>
          <w:lang w:eastAsia="zh-CN"/>
        </w:rPr>
        <w:t xml:space="preserve">主要设备有：</w:t>
      </w:r>
      <w:r>
        <w:rPr>
          <w:rFonts w:hint="eastAsia" w:ascii="宋体" w:hAnsi="宋体" w:cs="宋体"/>
          <w:bCs/>
          <w:color w:val="auto"/>
          <w:highlight w:val="none"/>
          <w:u w:val="single"/>
          <w:lang w:eastAsia="zh-CN"/>
        </w:rPr>
        <w:t xml:space="preserve">                  </w:t>
      </w:r>
      <w:r>
        <w:rPr>
          <w:rFonts w:hint="eastAsia" w:ascii="宋体" w:hAnsi="宋体" w:cs="宋体"/>
          <w:bCs/>
          <w:color w:val="auto"/>
          <w:highlight w:val="none"/>
          <w:lang w:eastAsia="zh-CN"/>
        </w:rPr>
        <w:t xml:space="preserve">。</w:t>
      </w:r>
      <w:r/>
    </w:p>
    <w:p>
      <w:pPr>
        <w:ind w:firstLine="492"/>
        <w:spacing w:line="360" w:lineRule="auto"/>
        <w:rPr>
          <w:rFonts w:ascii="宋体" w:hAnsi="宋体" w:cs="宋体"/>
          <w:bCs/>
          <w:color w:val="auto"/>
          <w:highlight w:val="none"/>
          <w:lang w:eastAsia="zh-CN"/>
        </w:rPr>
      </w:pPr>
      <w:r>
        <w:rPr>
          <w:rFonts w:hint="eastAsia" w:ascii="宋体" w:hAnsi="宋体" w:cs="宋体"/>
          <w:bCs/>
          <w:color w:val="auto"/>
          <w:highlight w:val="none"/>
          <w:lang w:eastAsia="zh-CN"/>
        </w:rPr>
        <w:t xml:space="preserve">主要专业技术能力有：</w:t>
      </w:r>
      <w:r>
        <w:rPr>
          <w:rFonts w:hint="eastAsia" w:ascii="宋体" w:hAnsi="宋体" w:cs="宋体"/>
          <w:bCs/>
          <w:color w:val="auto"/>
          <w:highlight w:val="none"/>
          <w:u w:val="single"/>
          <w:lang w:eastAsia="zh-CN"/>
        </w:rPr>
        <w:t xml:space="preserve">                              </w:t>
      </w:r>
      <w:r>
        <w:rPr>
          <w:rFonts w:hint="eastAsia" w:ascii="宋体" w:hAnsi="宋体" w:cs="宋体"/>
          <w:bCs/>
          <w:color w:val="auto"/>
          <w:highlight w:val="none"/>
          <w:lang w:eastAsia="zh-CN"/>
        </w:rPr>
        <w:t xml:space="preserve">。</w:t>
      </w:r>
      <w:r/>
    </w:p>
    <w:p>
      <w:pPr>
        <w:ind w:firstLine="5720"/>
        <w:spacing w:line="360" w:lineRule="auto"/>
        <w:rPr>
          <w:rFonts w:ascii="宋体" w:hAnsi="宋体" w:cs="宋体"/>
          <w:color w:val="auto"/>
          <w:highlight w:val="none"/>
          <w:lang w:eastAsia="zh-CN"/>
        </w:rPr>
      </w:pPr>
      <w:r>
        <w:rPr>
          <w:rFonts w:hint="eastAsia" w:ascii="宋体" w:hAnsi="宋体" w:cs="宋体"/>
          <w:color w:val="auto"/>
          <w:highlight w:val="none"/>
          <w:lang w:eastAsia="zh-CN"/>
        </w:rPr>
        <w:t xml:space="preserve">声明人：（加盖电子公章）</w:t>
      </w:r>
      <w:r/>
    </w:p>
    <w:p>
      <w:pPr>
        <w:ind w:firstLine="5720"/>
        <w:spacing w:line="360" w:lineRule="auto"/>
        <w:rPr>
          <w:rFonts w:ascii="宋体" w:hAnsi="宋体" w:cs="宋体"/>
          <w:color w:val="auto"/>
          <w:highlight w:val="none"/>
          <w:lang w:eastAsia="zh-CN"/>
        </w:rPr>
      </w:pPr>
      <w:r>
        <w:rPr>
          <w:rFonts w:hint="eastAsia" w:ascii="宋体" w:hAnsi="宋体" w:cs="宋体"/>
          <w:color w:val="auto"/>
          <w:highlight w:val="none"/>
          <w:lang w:eastAsia="zh-CN"/>
        </w:rPr>
        <w:t xml:space="preserve">日期：   年   月   日</w:t>
      </w:r>
      <w:r/>
    </w:p>
    <w:p>
      <w:pPr>
        <w:spacing w:line="360" w:lineRule="auto"/>
        <w:rPr>
          <w:rFonts w:ascii="宋体" w:hAnsi="宋体" w:cs="宋体"/>
          <w:color w:val="auto"/>
          <w:highlight w:val="none"/>
          <w:lang w:eastAsia="zh-CN"/>
        </w:rPr>
      </w:pPr>
      <w:r>
        <w:rPr>
          <w:rFonts w:ascii="宋体" w:hAnsi="宋体" w:cs="宋体"/>
          <w:color w:val="auto"/>
          <w:highlight w:val="none"/>
          <w:lang w:eastAsia="zh-CN"/>
        </w:rPr>
      </w:r>
      <w:r/>
    </w:p>
    <w:p>
      <w:pPr>
        <w:pStyle w:val="834"/>
        <w:rPr>
          <w:rFonts w:cs="宋体"/>
          <w:color w:val="auto"/>
          <w:highlight w:val="none"/>
          <w:lang w:eastAsia="zh-CN"/>
        </w:rPr>
      </w:pPr>
      <w:r>
        <w:rPr>
          <w:rFonts w:cs="宋体"/>
          <w:color w:val="auto"/>
          <w:highlight w:val="none"/>
          <w:lang w:eastAsia="zh-CN"/>
        </w:rPr>
      </w:r>
      <w:r/>
    </w:p>
    <w:p>
      <w:pPr>
        <w:pStyle w:val="834"/>
        <w:rPr>
          <w:rFonts w:cs="宋体"/>
          <w:color w:val="auto"/>
          <w:highlight w:val="none"/>
          <w:lang w:eastAsia="zh-CN"/>
        </w:rPr>
      </w:pPr>
      <w:r>
        <w:rPr>
          <w:rFonts w:cs="宋体"/>
          <w:color w:val="auto"/>
          <w:highlight w:val="none"/>
          <w:lang w:eastAsia="zh-CN"/>
        </w:rPr>
      </w:r>
      <w:r/>
    </w:p>
    <w:p>
      <w:pPr>
        <w:spacing w:line="360" w:lineRule="auto"/>
        <w:rPr>
          <w:rFonts w:ascii="宋体" w:hAnsi="宋体" w:cs="宋体"/>
          <w:color w:val="auto"/>
          <w:sz w:val="24"/>
          <w:highlight w:val="none"/>
          <w:lang w:eastAsia="zh-CN"/>
        </w:rPr>
      </w:pPr>
      <w:r>
        <w:rPr>
          <w:rFonts w:ascii="宋体" w:hAnsi="宋体" w:cs="宋体"/>
          <w:color w:val="auto"/>
          <w:sz w:val="24"/>
          <w:highlight w:val="none"/>
          <w:lang w:eastAsia="zh-CN"/>
        </w:rPr>
      </w:r>
      <w:r/>
    </w:p>
    <w:p>
      <w:pPr>
        <w:spacing w:line="360" w:lineRule="auto"/>
        <w:rPr>
          <w:rFonts w:hint="eastAsia"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br w:type="column"/>
      </w:r>
      <w:r/>
    </w:p>
    <w:p>
      <w:pPr>
        <w:spacing w:line="360" w:lineRule="auto"/>
        <w:rPr>
          <w:rFonts w:ascii="宋体" w:hAnsi="宋体" w:cs="宋体"/>
          <w:b/>
          <w:color w:val="auto"/>
          <w:sz w:val="32"/>
          <w:szCs w:val="32"/>
          <w:highlight w:val="none"/>
          <w:lang w:eastAsia="zh-CN"/>
        </w:rPr>
      </w:pPr>
      <w:r>
        <w:rPr>
          <w:rFonts w:hint="eastAsia" w:ascii="宋体" w:hAnsi="宋体" w:cs="宋体"/>
          <w:b/>
          <w:color w:val="auto"/>
          <w:sz w:val="24"/>
          <w:highlight w:val="none"/>
          <w:lang w:eastAsia="zh-CN"/>
        </w:rPr>
        <w:t xml:space="preserve">附件二：</w:t>
      </w:r>
      <w:r/>
    </w:p>
    <w:p>
      <w:pPr>
        <w:jc w:val="center"/>
        <w:spacing w:line="360" w:lineRule="auto"/>
        <w:rPr>
          <w:rFonts w:ascii="宋体" w:hAnsi="宋体" w:cs="宋体"/>
          <w:b/>
          <w:color w:val="auto"/>
          <w:sz w:val="24"/>
          <w:highlight w:val="none"/>
          <w:lang w:eastAsia="zh-CN"/>
        </w:rPr>
      </w:pPr>
      <w:r>
        <w:rPr>
          <w:rFonts w:hint="eastAsia" w:ascii="宋体" w:hAnsi="宋体" w:cs="宋体"/>
          <w:b/>
          <w:color w:val="auto"/>
          <w:sz w:val="24"/>
          <w:highlight w:val="none"/>
          <w:lang w:eastAsia="zh-CN"/>
        </w:rPr>
        <w:t xml:space="preserve">参加政府采购活动前三年内，在经营活动中没有重大违法记录</w:t>
      </w:r>
      <w:r/>
    </w:p>
    <w:p>
      <w:pPr>
        <w:spacing w:line="360" w:lineRule="auto"/>
        <w:rPr>
          <w:rFonts w:ascii="宋体" w:hAnsi="宋体" w:cs="宋体"/>
          <w:color w:val="auto"/>
          <w:highlight w:val="none"/>
          <w:lang w:eastAsia="zh-CN"/>
        </w:rPr>
      </w:pPr>
      <w:r>
        <w:rPr>
          <w:rFonts w:hint="eastAsia" w:ascii="宋体" w:hAnsi="宋体" w:cs="宋体"/>
          <w:bCs/>
          <w:color w:val="auto"/>
          <w:highlight w:val="none"/>
          <w:u w:val="single"/>
          <w:lang w:eastAsia="zh-CN"/>
        </w:rPr>
        <w:t xml:space="preserve">            </w:t>
      </w:r>
      <w:r>
        <w:rPr>
          <w:rFonts w:hint="eastAsia" w:ascii="宋体" w:hAnsi="宋体" w:cs="宋体"/>
          <w:color w:val="auto"/>
          <w:highlight w:val="none"/>
          <w:lang w:eastAsia="zh-CN"/>
        </w:rPr>
        <w:t xml:space="preserve">（采购人）：</w:t>
      </w:r>
      <w:r/>
    </w:p>
    <w:p>
      <w:pPr>
        <w:spacing w:line="360" w:lineRule="auto"/>
        <w:rPr>
          <w:rFonts w:ascii="宋体" w:hAnsi="宋体" w:cs="宋体"/>
          <w:color w:val="auto"/>
          <w:highlight w:val="none"/>
          <w:lang w:eastAsia="zh-CN"/>
        </w:rPr>
      </w:pPr>
      <w:r>
        <w:rPr>
          <w:rFonts w:ascii="宋体" w:hAnsi="宋体" w:cs="宋体"/>
          <w:color w:val="auto"/>
          <w:highlight w:val="none"/>
          <w:lang w:eastAsia="zh-CN"/>
        </w:rPr>
      </w:r>
      <w:r/>
    </w:p>
    <w:p>
      <w:pPr>
        <w:ind w:firstLine="440"/>
        <w:spacing w:line="360" w:lineRule="auto"/>
        <w:rPr>
          <w:rFonts w:ascii="宋体" w:hAnsi="宋体" w:cs="宋体"/>
          <w:color w:val="auto"/>
          <w:highlight w:val="none"/>
          <w:lang w:eastAsia="zh-CN"/>
        </w:rPr>
      </w:pPr>
      <w:r>
        <w:rPr>
          <w:rFonts w:hint="eastAsia" w:ascii="宋体" w:hAnsi="宋体" w:cs="宋体"/>
          <w:color w:val="auto"/>
          <w:highlight w:val="none"/>
          <w:lang w:eastAsia="zh-CN"/>
        </w:rPr>
        <w:t xml:space="preserve">我单位（响应人名称）郑重声明：</w:t>
      </w:r>
      <w:r/>
    </w:p>
    <w:p>
      <w:pPr>
        <w:ind w:firstLine="440"/>
        <w:spacing w:line="360" w:lineRule="auto"/>
        <w:rPr>
          <w:rFonts w:ascii="宋体" w:hAnsi="宋体" w:cs="宋体"/>
          <w:color w:val="auto"/>
          <w:highlight w:val="none"/>
          <w:lang w:eastAsia="zh-CN"/>
        </w:rPr>
      </w:pPr>
      <w:r>
        <w:rPr>
          <w:rFonts w:hint="eastAsia" w:ascii="宋体" w:hAnsi="宋体" w:cs="宋体"/>
          <w:color w:val="auto"/>
          <w:highlight w:val="none"/>
          <w:lang w:eastAsia="zh-CN"/>
        </w:rPr>
        <w:t xml:space="preserve">参加政府采购活动前三年内在经营活动中</w:t>
      </w:r>
      <w:r>
        <w:rPr>
          <w:rFonts w:hint="eastAsia" w:ascii="宋体" w:hAnsi="宋体" w:cs="宋体"/>
          <w:color w:val="auto"/>
          <w:highlight w:val="none"/>
          <w:u w:val="single"/>
          <w:lang w:eastAsia="zh-CN"/>
        </w:rPr>
        <w:t xml:space="preserve">    </w:t>
      </w:r>
      <w:r>
        <w:rPr>
          <w:rFonts w:hint="eastAsia" w:ascii="宋体" w:hAnsi="宋体" w:cs="宋体"/>
          <w:color w:val="auto"/>
          <w:highlight w:val="none"/>
          <w:lang w:eastAsia="zh-CN"/>
        </w:rPr>
        <w:t xml:space="preserve">（在下划线上如实填写：有或没有）重大违法记录。</w:t>
      </w:r>
      <w:r/>
    </w:p>
    <w:p>
      <w:pPr>
        <w:ind w:firstLine="440"/>
        <w:spacing w:line="360" w:lineRule="auto"/>
        <w:rPr>
          <w:rFonts w:ascii="宋体" w:hAnsi="宋体" w:cs="宋体"/>
          <w:color w:val="auto"/>
          <w:highlight w:val="none"/>
          <w:lang w:eastAsia="zh-CN"/>
        </w:rPr>
      </w:pPr>
      <w:r>
        <w:rPr>
          <w:rFonts w:hint="eastAsia" w:ascii="宋体" w:hAnsi="宋体" w:cs="宋体"/>
          <w:color w:val="auto"/>
          <w:highlight w:val="none"/>
          <w:lang w:eastAsia="zh-CN"/>
        </w:rPr>
        <w:t xml:space="preserve">（说明：政府采购法第二十二条第一款第五项所称重大违法记录，是指响应人因违法经营受到刑事处罚或者责令停产停业、吊销许可证或者执照、较大数额罚款等行政处罚。）</w:t>
      </w:r>
      <w:r/>
    </w:p>
    <w:p>
      <w:pPr>
        <w:ind w:firstLine="5720"/>
        <w:spacing w:line="360" w:lineRule="auto"/>
        <w:rPr>
          <w:rFonts w:ascii="宋体" w:hAnsi="宋体" w:cs="宋体"/>
          <w:color w:val="auto"/>
          <w:highlight w:val="none"/>
          <w:lang w:eastAsia="zh-CN"/>
        </w:rPr>
      </w:pPr>
      <w:r>
        <w:rPr>
          <w:rFonts w:hint="eastAsia" w:ascii="宋体" w:hAnsi="宋体" w:cs="宋体"/>
          <w:color w:val="auto"/>
          <w:highlight w:val="none"/>
          <w:lang w:eastAsia="zh-CN"/>
        </w:rPr>
        <w:t xml:space="preserve">声明人：（加盖电子公章）</w:t>
      </w:r>
      <w:r/>
    </w:p>
    <w:p>
      <w:pPr>
        <w:ind w:firstLine="5720"/>
        <w:spacing w:line="360" w:lineRule="auto"/>
        <w:rPr>
          <w:rFonts w:ascii="宋体" w:hAnsi="宋体" w:cs="宋体"/>
          <w:color w:val="auto"/>
          <w:highlight w:val="none"/>
          <w:lang w:eastAsia="zh-CN"/>
        </w:rPr>
      </w:pPr>
      <w:r>
        <w:rPr>
          <w:rFonts w:hint="eastAsia" w:ascii="宋体" w:hAnsi="宋体" w:cs="宋体"/>
          <w:color w:val="auto"/>
          <w:highlight w:val="none"/>
          <w:lang w:eastAsia="zh-CN"/>
        </w:rPr>
        <w:t xml:space="preserve">日期：   年   月   日</w:t>
      </w:r>
      <w:r/>
    </w:p>
    <w:p>
      <w:pPr>
        <w:pStyle w:val="834"/>
        <w:ind w:firstLine="420"/>
        <w:rPr>
          <w:rFonts w:cs="宋体"/>
          <w:color w:val="auto"/>
          <w:sz w:val="21"/>
          <w:highlight w:val="none"/>
          <w:lang w:eastAsia="zh-CN"/>
        </w:rPr>
      </w:pPr>
      <w:r>
        <w:rPr>
          <w:rFonts w:cs="宋体"/>
          <w:color w:val="auto"/>
          <w:sz w:val="21"/>
          <w:highlight w:val="none"/>
          <w:lang w:eastAsia="zh-CN"/>
        </w:rPr>
      </w:r>
      <w:r/>
    </w:p>
    <w:p>
      <w:pPr>
        <w:pStyle w:val="834"/>
        <w:ind w:firstLine="420"/>
        <w:rPr>
          <w:rFonts w:cs="宋体"/>
          <w:color w:val="auto"/>
          <w:sz w:val="21"/>
          <w:highlight w:val="none"/>
          <w:lang w:eastAsia="zh-CN"/>
        </w:rPr>
      </w:pPr>
      <w:r>
        <w:rPr>
          <w:rFonts w:cs="宋体"/>
          <w:color w:val="auto"/>
          <w:sz w:val="21"/>
          <w:highlight w:val="none"/>
          <w:lang w:eastAsia="zh-CN"/>
        </w:rPr>
      </w:r>
      <w:r/>
    </w:p>
    <w:p>
      <w:pPr>
        <w:spacing w:line="360" w:lineRule="auto"/>
        <w:rPr>
          <w:rFonts w:ascii="宋体" w:hAnsi="宋体" w:cs="宋体"/>
          <w:color w:val="auto"/>
          <w:highlight w:val="none"/>
          <w:lang w:eastAsia="zh-CN"/>
        </w:rPr>
      </w:pPr>
      <w:r>
        <w:rPr>
          <w:rFonts w:ascii="宋体" w:hAnsi="宋体" w:cs="宋体"/>
          <w:color w:val="auto"/>
          <w:highlight w:val="none"/>
          <w:lang w:eastAsia="zh-CN"/>
        </w:rPr>
      </w:r>
      <w:r/>
    </w:p>
    <w:p>
      <w:pPr>
        <w:jc w:val="center"/>
        <w:spacing w:line="360" w:lineRule="auto"/>
        <w:rPr>
          <w:rFonts w:ascii="宋体" w:hAnsi="宋体" w:cs="宋体"/>
          <w:b/>
          <w:color w:val="auto"/>
          <w:sz w:val="30"/>
          <w:szCs w:val="30"/>
          <w:highlight w:val="none"/>
          <w:lang w:eastAsia="zh-CN"/>
        </w:rPr>
      </w:pPr>
      <w:r>
        <w:rPr>
          <w:rFonts w:ascii="宋体" w:hAnsi="宋体" w:cs="宋体"/>
          <w:b/>
          <w:color w:val="auto"/>
          <w:sz w:val="30"/>
          <w:szCs w:val="30"/>
          <w:highlight w:val="none"/>
          <w:lang w:eastAsia="zh-CN"/>
        </w:rPr>
      </w:r>
      <w:r/>
    </w:p>
    <w:p>
      <w:pPr>
        <w:spacing w:line="360" w:lineRule="auto"/>
        <w:rPr>
          <w:rFonts w:ascii="宋体" w:hAnsi="宋体" w:cs="宋体"/>
          <w:b/>
          <w:color w:val="auto"/>
          <w:highlight w:val="none"/>
          <w:lang w:eastAsia="zh-CN"/>
        </w:rPr>
      </w:pPr>
      <w:r>
        <w:rPr>
          <w:rFonts w:hint="eastAsia" w:ascii="宋体" w:hAnsi="宋体" w:cs="宋体"/>
          <w:b/>
          <w:color w:val="auto"/>
          <w:highlight w:val="none"/>
          <w:lang w:eastAsia="zh-CN"/>
        </w:rPr>
        <w:br w:type="page" w:clear="all"/>
      </w:r>
      <w:r>
        <w:rPr>
          <w:rFonts w:hint="eastAsia" w:ascii="宋体" w:hAnsi="宋体" w:cs="宋体"/>
          <w:b/>
          <w:color w:val="auto"/>
          <w:highlight w:val="none"/>
          <w:lang w:eastAsia="zh-CN"/>
        </w:rPr>
        <w:t xml:space="preserve">格式九</w:t>
      </w:r>
      <w:bookmarkStart w:id="1108" w:name="_Toc5441"/>
      <w:r>
        <w:rPr>
          <w:rFonts w:hint="eastAsia" w:ascii="宋体" w:hAnsi="宋体" w:cs="宋体"/>
          <w:b/>
          <w:color w:val="auto"/>
          <w:highlight w:val="none"/>
          <w:lang w:eastAsia="zh-CN"/>
        </w:rPr>
        <w:t xml:space="preserve">、其他</w:t>
      </w:r>
      <w:bookmarkEnd w:id="1108"/>
      <w:r/>
      <w:r/>
    </w:p>
    <w:p>
      <w:pPr>
        <w:pStyle w:val="834"/>
        <w:ind w:firstLine="0"/>
        <w:rPr>
          <w:rFonts w:cs="宋体"/>
          <w:color w:val="auto"/>
          <w:sz w:val="21"/>
          <w:szCs w:val="21"/>
          <w:highlight w:val="none"/>
          <w:lang w:eastAsia="zh-CN"/>
        </w:rPr>
      </w:pPr>
      <w:r>
        <w:rPr>
          <w:rFonts w:cs="宋体"/>
          <w:color w:val="auto"/>
          <w:sz w:val="21"/>
          <w:szCs w:val="21"/>
          <w:highlight w:val="none"/>
          <w:lang w:eastAsia="zh-CN"/>
        </w:rPr>
      </w:r>
      <w:r/>
    </w:p>
    <w:p>
      <w:pPr>
        <w:pStyle w:val="834"/>
        <w:ind w:firstLine="0"/>
        <w:rPr>
          <w:rFonts w:cs="宋体"/>
          <w:color w:val="auto"/>
          <w:szCs w:val="21"/>
          <w:highlight w:val="none"/>
          <w:lang w:eastAsia="zh-CN"/>
        </w:rPr>
      </w:pPr>
      <w:r>
        <w:rPr>
          <w:rFonts w:hint="eastAsia" w:cs="宋体"/>
          <w:color w:val="auto"/>
          <w:sz w:val="21"/>
          <w:szCs w:val="21"/>
          <w:highlight w:val="none"/>
          <w:lang w:eastAsia="zh-CN"/>
        </w:rPr>
        <w:t xml:space="preserve">注释：此处可附“第三章 评审标准”中所要求的材料或供应商认为需要提供的其他材料。</w:t>
      </w:r>
      <w:r/>
    </w:p>
    <w:p>
      <w:pPr>
        <w:pStyle w:val="834"/>
        <w:ind w:firstLine="0"/>
        <w:jc w:val="both"/>
        <w:rPr>
          <w:rFonts w:eastAsia="宋体"/>
          <w:color w:val="auto"/>
          <w:highlight w:val="none"/>
          <w:lang w:eastAsia="zh-CN"/>
        </w:rPr>
      </w:pPr>
      <w:r>
        <w:rPr>
          <w:rFonts w:eastAsia="宋体"/>
          <w:color w:val="auto"/>
          <w:highlight w:val="none"/>
          <w:lang w:eastAsia="zh-CN"/>
        </w:rPr>
      </w:r>
      <w:r/>
    </w:p>
    <w:p>
      <w:pPr>
        <w:pStyle w:val="834"/>
        <w:ind w:firstLine="0"/>
        <w:jc w:val="both"/>
        <w:rPr>
          <w:rFonts w:eastAsia="宋体"/>
          <w:color w:val="auto"/>
          <w:highlight w:val="none"/>
          <w:lang w:eastAsia="zh-CN"/>
        </w:rPr>
      </w:pPr>
      <w:r>
        <w:rPr>
          <w:rFonts w:eastAsia="宋体"/>
          <w:color w:val="auto"/>
          <w:highlight w:val="none"/>
          <w:lang w:eastAsia="zh-CN"/>
        </w:rPr>
      </w:r>
      <w:r/>
    </w:p>
    <w:p>
      <w:pPr>
        <w:pStyle w:val="834"/>
        <w:ind w:firstLine="0"/>
        <w:jc w:val="both"/>
        <w:rPr>
          <w:rFonts w:eastAsia="宋体"/>
          <w:color w:val="auto"/>
          <w:highlight w:val="none"/>
          <w:lang w:eastAsia="zh-CN"/>
        </w:rPr>
      </w:pPr>
      <w:r>
        <w:rPr>
          <w:rFonts w:eastAsia="宋体"/>
          <w:color w:val="auto"/>
          <w:highlight w:val="none"/>
          <w:lang w:eastAsia="zh-CN"/>
        </w:rPr>
      </w:r>
      <w:r/>
    </w:p>
    <w:p>
      <w:pPr>
        <w:rPr>
          <w:rFonts w:eastAsia="宋体"/>
          <w:b/>
          <w:color w:val="auto"/>
          <w:highlight w:val="none"/>
          <w:lang w:eastAsia="zh-CN"/>
        </w:rPr>
      </w:pPr>
      <w:r>
        <w:rPr>
          <w:rFonts w:hint="eastAsia" w:cs="宋体"/>
          <w:b/>
          <w:color w:val="auto"/>
          <w:highlight w:val="none"/>
          <w:lang w:eastAsia="zh-CN"/>
        </w:rPr>
        <w:t xml:space="preserve">格式十、</w:t>
      </w:r>
      <w:r>
        <w:rPr>
          <w:rFonts w:hint="eastAsia" w:eastAsia="宋体"/>
          <w:b/>
          <w:color w:val="auto"/>
          <w:highlight w:val="none"/>
          <w:lang w:eastAsia="zh-CN"/>
        </w:rPr>
        <w:t xml:space="preserve">项目组人员表</w:t>
      </w:r>
      <w:r/>
    </w:p>
    <w:tbl>
      <w:tblPr>
        <w:tblStyle w:val="776"/>
        <w:tblW w:w="0" w:type="auto"/>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850"/>
        <w:gridCol w:w="851"/>
        <w:gridCol w:w="850"/>
        <w:gridCol w:w="993"/>
        <w:gridCol w:w="992"/>
        <w:gridCol w:w="1134"/>
        <w:gridCol w:w="2977"/>
      </w:tblGrid>
      <w:tr>
        <w:trPr/>
        <w:tc>
          <w:tcPr>
            <w:tcW w:w="709" w:type="dxa"/>
            <w:vAlign w:val="center"/>
            <w:textDirection w:val="lrTb"/>
            <w:noWrap w:val="false"/>
          </w:tcPr>
          <w:p>
            <w:pPr>
              <w:pStyle w:val="786"/>
              <w:jc w:val="center"/>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t xml:space="preserve">序号</w:t>
            </w:r>
            <w:r/>
          </w:p>
        </w:tc>
        <w:tc>
          <w:tcPr>
            <w:tcW w:w="850" w:type="dxa"/>
            <w:vAlign w:val="center"/>
            <w:textDirection w:val="lrTb"/>
            <w:noWrap w:val="false"/>
          </w:tcPr>
          <w:p>
            <w:pPr>
              <w:pStyle w:val="786"/>
              <w:jc w:val="center"/>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t xml:space="preserve">姓名</w:t>
            </w:r>
            <w:r/>
          </w:p>
        </w:tc>
        <w:tc>
          <w:tcPr>
            <w:tcW w:w="851" w:type="dxa"/>
            <w:vAlign w:val="center"/>
            <w:textDirection w:val="lrTb"/>
            <w:noWrap w:val="false"/>
          </w:tcPr>
          <w:p>
            <w:pPr>
              <w:pStyle w:val="786"/>
              <w:jc w:val="center"/>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t xml:space="preserve">职务</w:t>
            </w:r>
            <w:r/>
          </w:p>
        </w:tc>
        <w:tc>
          <w:tcPr>
            <w:tcW w:w="850" w:type="dxa"/>
            <w:vAlign w:val="center"/>
            <w:textDirection w:val="lrTb"/>
            <w:noWrap w:val="false"/>
          </w:tcPr>
          <w:p>
            <w:pPr>
              <w:pStyle w:val="786"/>
              <w:jc w:val="center"/>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t xml:space="preserve">职称</w:t>
            </w:r>
            <w:r/>
          </w:p>
        </w:tc>
        <w:tc>
          <w:tcPr>
            <w:tcW w:w="993" w:type="dxa"/>
            <w:vAlign w:val="center"/>
            <w:textDirection w:val="lrTb"/>
            <w:noWrap w:val="false"/>
          </w:tcPr>
          <w:p>
            <w:pPr>
              <w:pStyle w:val="786"/>
              <w:jc w:val="center"/>
              <w:spacing w:line="360" w:lineRule="auto"/>
              <w:rPr>
                <w:rFonts w:hAnsi="宋体" w:eastAsia="Calibri" w:cs="宋体"/>
                <w:color w:val="auto"/>
                <w:sz w:val="22"/>
                <w:szCs w:val="22"/>
                <w:highlight w:val="none"/>
                <w:lang w:eastAsia="zh-CN"/>
              </w:rPr>
            </w:pPr>
            <w:r>
              <w:rPr>
                <w:rFonts w:hint="eastAsia" w:hAnsi="宋体" w:eastAsia="Calibri" w:cs="宋体"/>
                <w:color w:val="auto"/>
                <w:sz w:val="22"/>
                <w:szCs w:val="22"/>
                <w:highlight w:val="none"/>
                <w:lang w:eastAsia="zh-CN"/>
              </w:rPr>
              <w:t xml:space="preserve">注册资格</w:t>
            </w:r>
            <w:r/>
          </w:p>
        </w:tc>
        <w:tc>
          <w:tcPr>
            <w:tcW w:w="992" w:type="dxa"/>
            <w:vAlign w:val="center"/>
            <w:textDirection w:val="lrTb"/>
            <w:noWrap w:val="false"/>
          </w:tcPr>
          <w:p>
            <w:pPr>
              <w:pStyle w:val="786"/>
              <w:jc w:val="center"/>
              <w:spacing w:line="360" w:lineRule="auto"/>
              <w:rPr>
                <w:rFonts w:hAnsi="宋体" w:eastAsia="Calibri" w:cs="宋体"/>
                <w:color w:val="auto"/>
                <w:sz w:val="22"/>
                <w:szCs w:val="22"/>
                <w:highlight w:val="none"/>
                <w:lang w:eastAsia="zh-CN"/>
              </w:rPr>
            </w:pPr>
            <w:r>
              <w:rPr>
                <w:rFonts w:hint="eastAsia" w:hAnsi="宋体" w:eastAsia="Calibri" w:cs="宋体"/>
                <w:color w:val="auto"/>
                <w:sz w:val="22"/>
                <w:szCs w:val="22"/>
                <w:highlight w:val="none"/>
                <w:lang w:eastAsia="zh-CN"/>
              </w:rPr>
              <w:t xml:space="preserve">工作年限</w:t>
            </w:r>
            <w:r/>
          </w:p>
        </w:tc>
        <w:tc>
          <w:tcPr>
            <w:tcW w:w="1134" w:type="dxa"/>
            <w:vAlign w:val="center"/>
            <w:textDirection w:val="lrTb"/>
            <w:noWrap w:val="false"/>
          </w:tcPr>
          <w:p>
            <w:pPr>
              <w:pStyle w:val="786"/>
              <w:jc w:val="center"/>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t xml:space="preserve">拟在本项目承担角色</w:t>
            </w:r>
            <w:r/>
          </w:p>
        </w:tc>
        <w:tc>
          <w:tcPr>
            <w:tcW w:w="2977" w:type="dxa"/>
            <w:vAlign w:val="center"/>
            <w:textDirection w:val="lrTb"/>
            <w:noWrap w:val="false"/>
          </w:tcPr>
          <w:p>
            <w:pPr>
              <w:pStyle w:val="786"/>
              <w:jc w:val="center"/>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t xml:space="preserve">主要资历、经验及承担过的项目</w:t>
            </w:r>
            <w:r/>
          </w:p>
        </w:tc>
      </w:tr>
      <w:tr>
        <w:trPr/>
        <w:tc>
          <w:tcPr>
            <w:tcW w:w="709" w:type="dxa"/>
            <w:vAlign w:val="center"/>
            <w:textDirection w:val="lrTb"/>
            <w:noWrap w:val="false"/>
          </w:tcPr>
          <w:p>
            <w:pPr>
              <w:pStyle w:val="786"/>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t xml:space="preserve">1. </w:t>
            </w:r>
            <w:r/>
          </w:p>
          <w:p>
            <w:pPr>
              <w:pStyle w:val="786"/>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t xml:space="preserve">…</w:t>
            </w:r>
            <w:r/>
          </w:p>
        </w:tc>
        <w:tc>
          <w:tcPr>
            <w:tcW w:w="850" w:type="dxa"/>
            <w:vAlign w:val="center"/>
            <w:textDirection w:val="lrTb"/>
            <w:noWrap w:val="false"/>
          </w:tcPr>
          <w:p>
            <w:pPr>
              <w:pStyle w:val="786"/>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851" w:type="dxa"/>
            <w:vAlign w:val="center"/>
            <w:textDirection w:val="lrTb"/>
            <w:noWrap w:val="false"/>
          </w:tcPr>
          <w:p>
            <w:pPr>
              <w:pStyle w:val="786"/>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850" w:type="dxa"/>
            <w:vAlign w:val="center"/>
            <w:textDirection w:val="lrTb"/>
            <w:noWrap w:val="false"/>
          </w:tcPr>
          <w:p>
            <w:pPr>
              <w:pStyle w:val="786"/>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993" w:type="dxa"/>
            <w:vAlign w:val="top"/>
            <w:textDirection w:val="lrTb"/>
            <w:noWrap w:val="false"/>
          </w:tcPr>
          <w:p>
            <w:pPr>
              <w:pStyle w:val="786"/>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992" w:type="dxa"/>
            <w:vAlign w:val="top"/>
            <w:textDirection w:val="lrTb"/>
            <w:noWrap w:val="false"/>
          </w:tcPr>
          <w:p>
            <w:pPr>
              <w:pStyle w:val="786"/>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1134" w:type="dxa"/>
            <w:vAlign w:val="top"/>
            <w:textDirection w:val="lrTb"/>
            <w:noWrap w:val="false"/>
          </w:tcPr>
          <w:p>
            <w:pPr>
              <w:pStyle w:val="786"/>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2977" w:type="dxa"/>
            <w:vAlign w:val="center"/>
            <w:textDirection w:val="lrTb"/>
            <w:noWrap w:val="false"/>
          </w:tcPr>
          <w:p>
            <w:pPr>
              <w:pStyle w:val="786"/>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r>
      <w:tr>
        <w:trPr/>
        <w:tc>
          <w:tcPr>
            <w:tcW w:w="709" w:type="dxa"/>
            <w:vAlign w:val="center"/>
            <w:textDirection w:val="lrTb"/>
            <w:noWrap w:val="false"/>
          </w:tcPr>
          <w:p>
            <w:pPr>
              <w:pStyle w:val="786"/>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850" w:type="dxa"/>
            <w:vAlign w:val="center"/>
            <w:textDirection w:val="lrTb"/>
            <w:noWrap w:val="false"/>
          </w:tcPr>
          <w:p>
            <w:pPr>
              <w:pStyle w:val="786"/>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851" w:type="dxa"/>
            <w:vAlign w:val="center"/>
            <w:textDirection w:val="lrTb"/>
            <w:noWrap w:val="false"/>
          </w:tcPr>
          <w:p>
            <w:pPr>
              <w:pStyle w:val="786"/>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850" w:type="dxa"/>
            <w:vAlign w:val="center"/>
            <w:textDirection w:val="lrTb"/>
            <w:noWrap w:val="false"/>
          </w:tcPr>
          <w:p>
            <w:pPr>
              <w:pStyle w:val="786"/>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993" w:type="dxa"/>
            <w:vAlign w:val="top"/>
            <w:textDirection w:val="lrTb"/>
            <w:noWrap w:val="false"/>
          </w:tcPr>
          <w:p>
            <w:pPr>
              <w:pStyle w:val="786"/>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992" w:type="dxa"/>
            <w:vAlign w:val="top"/>
            <w:textDirection w:val="lrTb"/>
            <w:noWrap w:val="false"/>
          </w:tcPr>
          <w:p>
            <w:pPr>
              <w:pStyle w:val="786"/>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1134" w:type="dxa"/>
            <w:vAlign w:val="top"/>
            <w:textDirection w:val="lrTb"/>
            <w:noWrap w:val="false"/>
          </w:tcPr>
          <w:p>
            <w:pPr>
              <w:pStyle w:val="786"/>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2977" w:type="dxa"/>
            <w:vAlign w:val="center"/>
            <w:textDirection w:val="lrTb"/>
            <w:noWrap w:val="false"/>
          </w:tcPr>
          <w:p>
            <w:pPr>
              <w:pStyle w:val="786"/>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r>
      <w:tr>
        <w:trPr/>
        <w:tc>
          <w:tcPr>
            <w:tcW w:w="709" w:type="dxa"/>
            <w:vAlign w:val="center"/>
            <w:textDirection w:val="lrTb"/>
            <w:noWrap w:val="false"/>
          </w:tcPr>
          <w:p>
            <w:pPr>
              <w:pStyle w:val="786"/>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850" w:type="dxa"/>
            <w:vAlign w:val="center"/>
            <w:textDirection w:val="lrTb"/>
            <w:noWrap w:val="false"/>
          </w:tcPr>
          <w:p>
            <w:pPr>
              <w:pStyle w:val="786"/>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851" w:type="dxa"/>
            <w:vAlign w:val="center"/>
            <w:textDirection w:val="lrTb"/>
            <w:noWrap w:val="false"/>
          </w:tcPr>
          <w:p>
            <w:pPr>
              <w:pStyle w:val="786"/>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850" w:type="dxa"/>
            <w:vAlign w:val="center"/>
            <w:textDirection w:val="lrTb"/>
            <w:noWrap w:val="false"/>
          </w:tcPr>
          <w:p>
            <w:pPr>
              <w:pStyle w:val="786"/>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993" w:type="dxa"/>
            <w:vAlign w:val="top"/>
            <w:textDirection w:val="lrTb"/>
            <w:noWrap w:val="false"/>
          </w:tcPr>
          <w:p>
            <w:pPr>
              <w:pStyle w:val="786"/>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992" w:type="dxa"/>
            <w:vAlign w:val="top"/>
            <w:textDirection w:val="lrTb"/>
            <w:noWrap w:val="false"/>
          </w:tcPr>
          <w:p>
            <w:pPr>
              <w:pStyle w:val="786"/>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1134" w:type="dxa"/>
            <w:vAlign w:val="top"/>
            <w:textDirection w:val="lrTb"/>
            <w:noWrap w:val="false"/>
          </w:tcPr>
          <w:p>
            <w:pPr>
              <w:pStyle w:val="786"/>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2977" w:type="dxa"/>
            <w:vAlign w:val="center"/>
            <w:textDirection w:val="lrTb"/>
            <w:noWrap w:val="false"/>
          </w:tcPr>
          <w:p>
            <w:pPr>
              <w:pStyle w:val="786"/>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r>
      <w:tr>
        <w:trPr/>
        <w:tc>
          <w:tcPr>
            <w:tcW w:w="709" w:type="dxa"/>
            <w:vAlign w:val="center"/>
            <w:textDirection w:val="lrTb"/>
            <w:noWrap w:val="false"/>
          </w:tcPr>
          <w:p>
            <w:pPr>
              <w:pStyle w:val="786"/>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850" w:type="dxa"/>
            <w:vAlign w:val="center"/>
            <w:textDirection w:val="lrTb"/>
            <w:noWrap w:val="false"/>
          </w:tcPr>
          <w:p>
            <w:pPr>
              <w:pStyle w:val="786"/>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851" w:type="dxa"/>
            <w:vAlign w:val="center"/>
            <w:textDirection w:val="lrTb"/>
            <w:noWrap w:val="false"/>
          </w:tcPr>
          <w:p>
            <w:pPr>
              <w:pStyle w:val="786"/>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850" w:type="dxa"/>
            <w:vAlign w:val="center"/>
            <w:textDirection w:val="lrTb"/>
            <w:noWrap w:val="false"/>
          </w:tcPr>
          <w:p>
            <w:pPr>
              <w:pStyle w:val="786"/>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993" w:type="dxa"/>
            <w:vAlign w:val="top"/>
            <w:textDirection w:val="lrTb"/>
            <w:noWrap w:val="false"/>
          </w:tcPr>
          <w:p>
            <w:pPr>
              <w:pStyle w:val="786"/>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992" w:type="dxa"/>
            <w:vAlign w:val="top"/>
            <w:textDirection w:val="lrTb"/>
            <w:noWrap w:val="false"/>
          </w:tcPr>
          <w:p>
            <w:pPr>
              <w:pStyle w:val="786"/>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1134" w:type="dxa"/>
            <w:vAlign w:val="top"/>
            <w:textDirection w:val="lrTb"/>
            <w:noWrap w:val="false"/>
          </w:tcPr>
          <w:p>
            <w:pPr>
              <w:pStyle w:val="786"/>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2977" w:type="dxa"/>
            <w:vAlign w:val="center"/>
            <w:textDirection w:val="lrTb"/>
            <w:noWrap w:val="false"/>
          </w:tcPr>
          <w:p>
            <w:pPr>
              <w:pStyle w:val="786"/>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r>
      <w:tr>
        <w:trPr/>
        <w:tc>
          <w:tcPr>
            <w:tcW w:w="709" w:type="dxa"/>
            <w:vAlign w:val="center"/>
            <w:textDirection w:val="lrTb"/>
            <w:noWrap w:val="false"/>
          </w:tcPr>
          <w:p>
            <w:pPr>
              <w:pStyle w:val="786"/>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850" w:type="dxa"/>
            <w:vAlign w:val="center"/>
            <w:textDirection w:val="lrTb"/>
            <w:noWrap w:val="false"/>
          </w:tcPr>
          <w:p>
            <w:pPr>
              <w:pStyle w:val="786"/>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851" w:type="dxa"/>
            <w:vAlign w:val="center"/>
            <w:textDirection w:val="lrTb"/>
            <w:noWrap w:val="false"/>
          </w:tcPr>
          <w:p>
            <w:pPr>
              <w:pStyle w:val="786"/>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850" w:type="dxa"/>
            <w:vAlign w:val="center"/>
            <w:textDirection w:val="lrTb"/>
            <w:noWrap w:val="false"/>
          </w:tcPr>
          <w:p>
            <w:pPr>
              <w:pStyle w:val="786"/>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993" w:type="dxa"/>
            <w:vAlign w:val="top"/>
            <w:textDirection w:val="lrTb"/>
            <w:noWrap w:val="false"/>
          </w:tcPr>
          <w:p>
            <w:pPr>
              <w:pStyle w:val="786"/>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992" w:type="dxa"/>
            <w:vAlign w:val="top"/>
            <w:textDirection w:val="lrTb"/>
            <w:noWrap w:val="false"/>
          </w:tcPr>
          <w:p>
            <w:pPr>
              <w:pStyle w:val="786"/>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1134" w:type="dxa"/>
            <w:vAlign w:val="top"/>
            <w:textDirection w:val="lrTb"/>
            <w:noWrap w:val="false"/>
          </w:tcPr>
          <w:p>
            <w:pPr>
              <w:pStyle w:val="786"/>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2977" w:type="dxa"/>
            <w:vAlign w:val="center"/>
            <w:textDirection w:val="lrTb"/>
            <w:noWrap w:val="false"/>
          </w:tcPr>
          <w:p>
            <w:pPr>
              <w:pStyle w:val="786"/>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r>
      <w:tr>
        <w:trPr/>
        <w:tc>
          <w:tcPr>
            <w:tcW w:w="709" w:type="dxa"/>
            <w:vAlign w:val="center"/>
            <w:textDirection w:val="lrTb"/>
            <w:noWrap w:val="false"/>
          </w:tcPr>
          <w:p>
            <w:pPr>
              <w:pStyle w:val="786"/>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850" w:type="dxa"/>
            <w:vAlign w:val="center"/>
            <w:textDirection w:val="lrTb"/>
            <w:noWrap w:val="false"/>
          </w:tcPr>
          <w:p>
            <w:pPr>
              <w:pStyle w:val="786"/>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851" w:type="dxa"/>
            <w:vAlign w:val="center"/>
            <w:textDirection w:val="lrTb"/>
            <w:noWrap w:val="false"/>
          </w:tcPr>
          <w:p>
            <w:pPr>
              <w:pStyle w:val="786"/>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850" w:type="dxa"/>
            <w:vAlign w:val="center"/>
            <w:textDirection w:val="lrTb"/>
            <w:noWrap w:val="false"/>
          </w:tcPr>
          <w:p>
            <w:pPr>
              <w:pStyle w:val="786"/>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993" w:type="dxa"/>
            <w:vAlign w:val="top"/>
            <w:textDirection w:val="lrTb"/>
            <w:noWrap w:val="false"/>
          </w:tcPr>
          <w:p>
            <w:pPr>
              <w:pStyle w:val="786"/>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992" w:type="dxa"/>
            <w:vAlign w:val="top"/>
            <w:textDirection w:val="lrTb"/>
            <w:noWrap w:val="false"/>
          </w:tcPr>
          <w:p>
            <w:pPr>
              <w:pStyle w:val="786"/>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1134" w:type="dxa"/>
            <w:vAlign w:val="top"/>
            <w:textDirection w:val="lrTb"/>
            <w:noWrap w:val="false"/>
          </w:tcPr>
          <w:p>
            <w:pPr>
              <w:pStyle w:val="786"/>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2977" w:type="dxa"/>
            <w:vAlign w:val="center"/>
            <w:textDirection w:val="lrTb"/>
            <w:noWrap w:val="false"/>
          </w:tcPr>
          <w:p>
            <w:pPr>
              <w:pStyle w:val="786"/>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r>
    </w:tbl>
    <w:p>
      <w:pPr>
        <w:pStyle w:val="834"/>
        <w:ind w:firstLine="440"/>
        <w:rPr>
          <w:rFonts w:cs="宋体"/>
          <w:color w:val="auto"/>
          <w:sz w:val="22"/>
          <w:szCs w:val="22"/>
          <w:highlight w:val="none"/>
          <w:lang w:eastAsia="zh-CN"/>
        </w:rPr>
      </w:pPr>
      <w:r>
        <w:rPr>
          <w:rFonts w:cs="宋体"/>
          <w:color w:val="auto"/>
          <w:sz w:val="22"/>
          <w:szCs w:val="22"/>
          <w:highlight w:val="none"/>
          <w:lang w:eastAsia="zh-CN"/>
        </w:rPr>
      </w:r>
      <w:r/>
    </w:p>
    <w:p>
      <w:pPr>
        <w:spacing w:line="360" w:lineRule="auto"/>
        <w:rPr>
          <w:rFonts w:ascii="宋体" w:hAnsi="宋体" w:cs="宋体"/>
          <w:color w:val="auto"/>
          <w:highlight w:val="none"/>
          <w:lang w:eastAsia="zh-CN"/>
        </w:rPr>
      </w:pPr>
      <w:r>
        <w:rPr>
          <w:rFonts w:ascii="宋体" w:hAnsi="宋体" w:cs="宋体"/>
          <w:color w:val="auto"/>
          <w:highlight w:val="none"/>
          <w:lang w:eastAsia="zh-CN"/>
        </w:rPr>
      </w:r>
      <w:r/>
    </w:p>
    <w:p>
      <w:pPr>
        <w:spacing w:line="360" w:lineRule="auto"/>
        <w:rPr>
          <w:rFonts w:ascii="宋体" w:hAnsi="宋体" w:cs="宋体"/>
          <w:color w:val="auto"/>
          <w:highlight w:val="none"/>
          <w:lang w:eastAsia="zh-CN"/>
        </w:rPr>
      </w:pPr>
      <w:r>
        <w:rPr>
          <w:rFonts w:hint="eastAsia" w:ascii="宋体" w:hAnsi="宋体" w:cs="宋体"/>
          <w:color w:val="auto"/>
          <w:highlight w:val="none"/>
          <w:lang w:eastAsia="zh-CN"/>
        </w:rPr>
        <w:t xml:space="preserve">注：具体要求及需提交的证明材料见“第三章</w:t>
      </w:r>
      <w:r>
        <w:rPr>
          <w:rFonts w:ascii="宋体" w:hAnsi="宋体" w:cs="宋体"/>
          <w:color w:val="auto"/>
          <w:highlight w:val="none"/>
          <w:lang w:eastAsia="zh-CN"/>
        </w:rPr>
        <w:t xml:space="preserve"> </w:t>
      </w:r>
      <w:r>
        <w:rPr>
          <w:rFonts w:hint="eastAsia" w:ascii="宋体" w:hAnsi="宋体" w:cs="宋体"/>
          <w:color w:val="auto"/>
          <w:highlight w:val="none"/>
          <w:lang w:eastAsia="zh-CN"/>
        </w:rPr>
        <w:t xml:space="preserve">评审标准”。</w:t>
      </w:r>
      <w:r/>
    </w:p>
    <w:p>
      <w:pPr>
        <w:rPr>
          <w:rFonts w:hint="eastAsia" w:cs="宋体"/>
          <w:b/>
          <w:color w:val="auto"/>
          <w:highlight w:val="none"/>
          <w:lang w:eastAsia="zh-CN"/>
        </w:rPr>
      </w:pPr>
      <w:r>
        <w:rPr>
          <w:rFonts w:hint="eastAsia" w:cs="宋体"/>
          <w:b/>
          <w:color w:val="auto"/>
          <w:highlight w:val="none"/>
          <w:lang w:eastAsia="zh-CN"/>
        </w:rPr>
      </w:r>
      <w:r/>
    </w:p>
    <w:p>
      <w:pPr>
        <w:rPr>
          <w:rFonts w:hint="eastAsia" w:cs="宋体"/>
          <w:b/>
          <w:color w:val="auto"/>
          <w:highlight w:val="none"/>
          <w:lang w:eastAsia="zh-CN"/>
        </w:rPr>
      </w:pPr>
      <w:r>
        <w:rPr>
          <w:rFonts w:hint="eastAsia" w:cs="宋体"/>
          <w:b/>
          <w:color w:val="auto"/>
          <w:highlight w:val="none"/>
          <w:lang w:eastAsia="zh-CN"/>
        </w:rPr>
      </w:r>
      <w:r/>
    </w:p>
    <w:p>
      <w:pPr>
        <w:spacing w:line="360" w:lineRule="auto"/>
        <w:rPr>
          <w:rFonts w:hint="eastAsia" w:cs="宋体"/>
          <w:b/>
          <w:color w:val="auto"/>
          <w:highlight w:val="none"/>
          <w:lang w:eastAsia="zh-CN"/>
        </w:rPr>
      </w:pPr>
      <w:r>
        <w:rPr>
          <w:rFonts w:hint="eastAsia" w:cs="宋体"/>
          <w:b/>
          <w:color w:val="auto"/>
          <w:highlight w:val="none"/>
          <w:lang w:eastAsia="zh-CN"/>
        </w:rPr>
        <w:br w:type="page" w:clear="all"/>
      </w:r>
      <w:r>
        <w:rPr>
          <w:rFonts w:hint="eastAsia" w:cs="宋体"/>
          <w:b/>
          <w:color w:val="auto"/>
          <w:highlight w:val="none"/>
          <w:lang w:eastAsia="zh-CN"/>
        </w:rPr>
        <w:t xml:space="preserve">格式十一、企业声明函格式</w:t>
      </w:r>
      <w:r/>
    </w:p>
    <w:p>
      <w:pPr>
        <w:pStyle w:val="834"/>
        <w:ind w:left="220" w:firstLine="0"/>
        <w:rPr>
          <w:rFonts w:cs="宋体"/>
          <w:b/>
          <w:color w:val="auto"/>
          <w:highlight w:val="none"/>
          <w:lang w:eastAsia="zh-CN"/>
        </w:rPr>
      </w:pPr>
      <w:r>
        <w:rPr>
          <w:rFonts w:cs="宋体"/>
          <w:b/>
          <w:color w:val="auto"/>
          <w:highlight w:val="none"/>
          <w:lang w:eastAsia="zh-CN"/>
        </w:rPr>
      </w:r>
      <w:r/>
    </w:p>
    <w:p>
      <w:pPr>
        <w:pStyle w:val="782"/>
        <w:jc w:val="center"/>
        <w:spacing w:line="360" w:lineRule="auto"/>
        <w:rPr>
          <w:rFonts w:hAnsi="Times New Roman" w:cs="宋体"/>
          <w:color w:val="auto"/>
          <w:sz w:val="36"/>
          <w:szCs w:val="36"/>
          <w:highlight w:val="none"/>
          <w:lang w:eastAsia="zh-CN"/>
        </w:rPr>
      </w:pPr>
      <w:r>
        <w:rPr>
          <w:rFonts w:hint="eastAsia" w:hAnsi="Times New Roman" w:cs="宋体"/>
          <w:b/>
          <w:bCs/>
          <w:color w:val="auto"/>
          <w:spacing w:val="2"/>
          <w:sz w:val="36"/>
          <w:szCs w:val="36"/>
          <w:highlight w:val="none"/>
          <w:lang w:eastAsia="zh-CN"/>
        </w:rPr>
        <w:t xml:space="preserve">中小</w:t>
      </w:r>
      <w:r>
        <w:rPr>
          <w:rFonts w:hint="eastAsia" w:hAnsi="Times New Roman" w:cs="宋体"/>
          <w:b/>
          <w:bCs/>
          <w:color w:val="auto"/>
          <w:sz w:val="36"/>
          <w:szCs w:val="36"/>
          <w:highlight w:val="none"/>
          <w:lang w:eastAsia="zh-CN"/>
        </w:rPr>
        <w:t xml:space="preserve">企</w:t>
      </w:r>
      <w:r>
        <w:rPr>
          <w:rFonts w:hint="eastAsia" w:hAnsi="Times New Roman" w:cs="宋体"/>
          <w:b/>
          <w:bCs/>
          <w:color w:val="auto"/>
          <w:spacing w:val="2"/>
          <w:sz w:val="36"/>
          <w:szCs w:val="36"/>
          <w:highlight w:val="none"/>
          <w:lang w:eastAsia="zh-CN"/>
        </w:rPr>
        <w:t xml:space="preserve">业声</w:t>
      </w:r>
      <w:r>
        <w:rPr>
          <w:rFonts w:hint="eastAsia" w:hAnsi="Times New Roman" w:cs="宋体"/>
          <w:b/>
          <w:bCs/>
          <w:color w:val="auto"/>
          <w:sz w:val="36"/>
          <w:szCs w:val="36"/>
          <w:highlight w:val="none"/>
          <w:lang w:eastAsia="zh-CN"/>
        </w:rPr>
        <w:t xml:space="preserve">明</w:t>
      </w:r>
      <w:r>
        <w:rPr>
          <w:rFonts w:hint="eastAsia" w:hAnsi="Times New Roman" w:cs="宋体"/>
          <w:b/>
          <w:bCs/>
          <w:color w:val="auto"/>
          <w:spacing w:val="2"/>
          <w:sz w:val="36"/>
          <w:szCs w:val="36"/>
          <w:highlight w:val="none"/>
          <w:lang w:eastAsia="zh-CN"/>
        </w:rPr>
        <w:t xml:space="preserve">函（</w:t>
      </w:r>
      <w:r>
        <w:rPr>
          <w:rFonts w:hint="eastAsia" w:hAnsi="Times New Roman" w:cs="宋体"/>
          <w:b/>
          <w:bCs/>
          <w:color w:val="auto"/>
          <w:sz w:val="36"/>
          <w:szCs w:val="36"/>
          <w:highlight w:val="none"/>
          <w:lang w:eastAsia="zh-CN"/>
        </w:rPr>
        <w:t xml:space="preserve">工程）</w:t>
      </w:r>
      <w:r/>
    </w:p>
    <w:p>
      <w:pPr>
        <w:ind w:firstLine="420"/>
        <w:spacing w:line="360" w:lineRule="auto"/>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本公司（联合体）郑重声明，根据《政府采购促进中小企业发展管理办法》（财库﹝</w:t>
      </w:r>
      <w:r>
        <w:rPr>
          <w:rFonts w:ascii="宋体" w:hAnsi="宋体" w:eastAsia="宋体" w:cs="Calibri"/>
          <w:color w:val="auto"/>
          <w:sz w:val="21"/>
          <w:szCs w:val="21"/>
          <w:highlight w:val="none"/>
          <w:lang w:eastAsia="zh-CN"/>
        </w:rPr>
        <w:t xml:space="preserve">2020</w:t>
      </w:r>
      <w:r>
        <w:rPr>
          <w:rFonts w:hint="eastAsia" w:ascii="宋体" w:hAnsi="宋体" w:eastAsia="宋体" w:cs="宋体"/>
          <w:color w:val="auto"/>
          <w:sz w:val="21"/>
          <w:szCs w:val="21"/>
          <w:highlight w:val="none"/>
          <w:lang w:eastAsia="zh-CN"/>
        </w:rPr>
        <w:t xml:space="preserve">﹞</w:t>
      </w:r>
      <w:r>
        <w:rPr>
          <w:rFonts w:ascii="宋体" w:hAnsi="宋体" w:eastAsia="宋体" w:cs="Calibri"/>
          <w:color w:val="auto"/>
          <w:sz w:val="21"/>
          <w:szCs w:val="21"/>
          <w:highlight w:val="none"/>
          <w:lang w:eastAsia="zh-CN"/>
        </w:rPr>
        <w:t xml:space="preserve">46 </w:t>
      </w:r>
      <w:r>
        <w:rPr>
          <w:rFonts w:hint="eastAsia" w:ascii="宋体" w:hAnsi="宋体" w:eastAsia="宋体" w:cs="宋体"/>
          <w:color w:val="auto"/>
          <w:sz w:val="21"/>
          <w:szCs w:val="21"/>
          <w:highlight w:val="none"/>
          <w:lang w:eastAsia="zh-CN"/>
        </w:rPr>
        <w:t xml:space="preserve">号）的规定，本公司（联合体）参加</w:t>
      </w:r>
      <w:r>
        <w:rPr>
          <w:rFonts w:hint="eastAsia" w:ascii="宋体" w:hAnsi="宋体" w:eastAsia="宋体" w:cs="宋体"/>
          <w:color w:val="auto"/>
          <w:sz w:val="21"/>
          <w:szCs w:val="21"/>
          <w:highlight w:val="none"/>
          <w:u w:val="single"/>
          <w:lang w:eastAsia="zh-CN"/>
        </w:rPr>
        <w:t xml:space="preserve">（单位名称）</w:t>
      </w:r>
      <w:r>
        <w:rPr>
          <w:rFonts w:hint="eastAsia" w:ascii="宋体" w:hAnsi="宋体" w:eastAsia="宋体" w:cs="宋体"/>
          <w:color w:val="auto"/>
          <w:sz w:val="21"/>
          <w:szCs w:val="21"/>
          <w:highlight w:val="none"/>
          <w:lang w:eastAsia="zh-CN"/>
        </w:rPr>
        <w:t xml:space="preserve">的</w:t>
      </w:r>
      <w:r>
        <w:rPr>
          <w:rFonts w:hint="eastAsia" w:ascii="宋体" w:hAnsi="宋体" w:eastAsia="宋体" w:cs="宋体"/>
          <w:color w:val="auto"/>
          <w:sz w:val="21"/>
          <w:szCs w:val="21"/>
          <w:highlight w:val="none"/>
          <w:u w:val="single"/>
          <w:lang w:eastAsia="zh-CN"/>
        </w:rPr>
        <w:t xml:space="preserve">（项目名称）</w:t>
      </w:r>
      <w:r>
        <w:rPr>
          <w:rFonts w:hint="eastAsia" w:ascii="宋体" w:hAnsi="宋体" w:eastAsia="宋体" w:cs="宋体"/>
          <w:color w:val="auto"/>
          <w:sz w:val="21"/>
          <w:szCs w:val="21"/>
          <w:highlight w:val="none"/>
          <w:lang w:eastAsia="zh-CN"/>
        </w:rPr>
        <w:t xml:space="preserve">采购活动，工程的施工单位全部为符合政策要求的中小企业。相关企业（含联合体中的中小企业、签订分包意向协议的中小企业）的具体情况如下：</w:t>
      </w:r>
      <w:r/>
    </w:p>
    <w:p>
      <w:pPr>
        <w:ind w:firstLine="420"/>
        <w:spacing w:line="360" w:lineRule="auto"/>
        <w:rPr>
          <w:rFonts w:ascii="宋体" w:hAnsi="宋体" w:eastAsia="宋体" w:cs="宋体"/>
          <w:color w:val="auto"/>
          <w:sz w:val="21"/>
          <w:szCs w:val="21"/>
          <w:highlight w:val="none"/>
          <w:lang w:eastAsia="zh-CN"/>
        </w:rPr>
      </w:pPr>
      <w:r>
        <w:rPr>
          <w:rFonts w:ascii="宋体" w:hAnsi="宋体" w:eastAsia="宋体" w:cs="Calibri"/>
          <w:color w:val="auto"/>
          <w:sz w:val="21"/>
          <w:szCs w:val="21"/>
          <w:highlight w:val="none"/>
          <w:lang w:eastAsia="zh-CN"/>
        </w:rPr>
        <w:t xml:space="preserve">1. </w:t>
      </w:r>
      <w:r>
        <w:rPr>
          <w:rFonts w:hint="eastAsia" w:ascii="宋体" w:hAnsi="宋体" w:eastAsia="宋体" w:cs="宋体"/>
          <w:color w:val="auto"/>
          <w:sz w:val="21"/>
          <w:szCs w:val="21"/>
          <w:highlight w:val="none"/>
          <w:u w:val="single"/>
          <w:lang w:eastAsia="zh-CN"/>
        </w:rPr>
        <w:t xml:space="preserve">（标的名称）</w:t>
      </w:r>
      <w:r>
        <w:rPr>
          <w:rFonts w:hint="eastAsia" w:ascii="宋体" w:hAnsi="宋体" w:eastAsia="宋体" w:cs="宋体"/>
          <w:color w:val="auto"/>
          <w:sz w:val="21"/>
          <w:szCs w:val="21"/>
          <w:highlight w:val="none"/>
          <w:lang w:eastAsia="zh-CN"/>
        </w:rPr>
        <w:t xml:space="preserve">，属于</w:t>
      </w:r>
      <w:r>
        <w:rPr>
          <w:rFonts w:hint="eastAsia" w:ascii="宋体" w:hAnsi="宋体" w:eastAsia="宋体" w:cs="宋体"/>
          <w:color w:val="auto"/>
          <w:sz w:val="21"/>
          <w:szCs w:val="21"/>
          <w:highlight w:val="none"/>
          <w:u w:val="single"/>
          <w:lang w:eastAsia="zh-CN"/>
        </w:rPr>
        <w:t xml:space="preserve">（采购文件中明确的所属行业）</w:t>
      </w:r>
      <w:r>
        <w:rPr>
          <w:rFonts w:hint="eastAsia" w:ascii="宋体" w:hAnsi="宋体" w:eastAsia="宋体" w:cs="宋体"/>
          <w:color w:val="auto"/>
          <w:sz w:val="21"/>
          <w:szCs w:val="21"/>
          <w:highlight w:val="none"/>
          <w:lang w:eastAsia="zh-CN"/>
        </w:rPr>
        <w:t xml:space="preserve">；</w:t>
      </w:r>
      <w:r>
        <w:rPr>
          <w:rFonts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lang w:eastAsia="zh-CN"/>
        </w:rPr>
        <w:t xml:space="preserve">承建（承接）企业为</w:t>
      </w:r>
      <w:r>
        <w:rPr>
          <w:rFonts w:hint="eastAsia" w:ascii="宋体" w:hAnsi="宋体" w:eastAsia="宋体" w:cs="宋体"/>
          <w:color w:val="auto"/>
          <w:sz w:val="21"/>
          <w:szCs w:val="21"/>
          <w:highlight w:val="none"/>
          <w:u w:val="single"/>
          <w:lang w:eastAsia="zh-CN"/>
        </w:rPr>
        <w:t xml:space="preserve">（企业名称）</w:t>
      </w:r>
      <w:r>
        <w:rPr>
          <w:rFonts w:hint="eastAsia" w:ascii="宋体" w:hAnsi="宋体" w:eastAsia="宋体" w:cs="宋体"/>
          <w:color w:val="auto"/>
          <w:sz w:val="21"/>
          <w:szCs w:val="21"/>
          <w:highlight w:val="none"/>
          <w:lang w:eastAsia="zh-CN"/>
        </w:rPr>
        <w:t xml:space="preserve">，从业人员</w:t>
      </w:r>
      <w:r>
        <w:rPr>
          <w:rFonts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人，营业收入为</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万元，资产总额为</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万元</w:t>
      </w:r>
      <w:r>
        <w:rPr>
          <w:rFonts w:hint="eastAsia" w:ascii="宋体" w:hAnsi="宋体" w:eastAsia="宋体" w:cs="Calibri"/>
          <w:color w:val="auto"/>
          <w:sz w:val="21"/>
          <w:szCs w:val="21"/>
          <w:highlight w:val="none"/>
          <w:vertAlign w:val="superscript"/>
          <w:lang w:eastAsia="zh-CN"/>
        </w:rPr>
        <w:t xml:space="preserve">【1】</w:t>
      </w:r>
      <w:r>
        <w:rPr>
          <w:rFonts w:hint="eastAsia" w:ascii="宋体" w:hAnsi="宋体" w:eastAsia="宋体" w:cs="宋体"/>
          <w:color w:val="auto"/>
          <w:sz w:val="21"/>
          <w:szCs w:val="21"/>
          <w:highlight w:val="none"/>
          <w:lang w:eastAsia="zh-CN"/>
        </w:rPr>
        <w:t xml:space="preserve">，属于</w:t>
      </w:r>
      <w:r>
        <w:rPr>
          <w:rFonts w:hint="eastAsia" w:ascii="宋体" w:hAnsi="宋体" w:eastAsia="宋体" w:cs="宋体"/>
          <w:color w:val="auto"/>
          <w:sz w:val="21"/>
          <w:szCs w:val="21"/>
          <w:highlight w:val="none"/>
          <w:u w:val="single"/>
          <w:lang w:eastAsia="zh-CN"/>
        </w:rPr>
        <w:t xml:space="preserve">（中型企业、</w:t>
      </w:r>
      <w:r>
        <w:rPr>
          <w:rFonts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u w:val="single"/>
          <w:lang w:eastAsia="zh-CN"/>
        </w:rPr>
        <w:t xml:space="preserve">小型企业、微型企业）</w:t>
      </w:r>
      <w:r>
        <w:rPr>
          <w:rFonts w:hint="eastAsia" w:ascii="宋体" w:hAnsi="宋体" w:eastAsia="宋体" w:cs="宋体"/>
          <w:color w:val="auto"/>
          <w:sz w:val="21"/>
          <w:szCs w:val="21"/>
          <w:highlight w:val="none"/>
          <w:lang w:eastAsia="zh-CN"/>
        </w:rPr>
        <w:t xml:space="preserve">；</w:t>
      </w:r>
      <w:r/>
    </w:p>
    <w:p>
      <w:pPr>
        <w:ind w:firstLine="420"/>
        <w:spacing w:line="360" w:lineRule="auto"/>
        <w:rPr>
          <w:rFonts w:ascii="宋体" w:hAnsi="宋体" w:eastAsia="宋体" w:cs="宋体"/>
          <w:color w:val="auto"/>
          <w:sz w:val="21"/>
          <w:szCs w:val="21"/>
          <w:highlight w:val="none"/>
          <w:lang w:eastAsia="zh-CN"/>
        </w:rPr>
      </w:pPr>
      <w:r>
        <w:rPr>
          <w:rFonts w:hint="eastAsia" w:ascii="宋体" w:hAnsi="宋体" w:eastAsia="宋体" w:cs="Calibri"/>
          <w:color w:val="auto"/>
          <w:sz w:val="21"/>
          <w:szCs w:val="21"/>
          <w:highlight w:val="none"/>
          <w:lang w:eastAsia="zh-CN"/>
        </w:rPr>
        <w:t xml:space="preserve">2</w:t>
      </w:r>
      <w:r>
        <w:rPr>
          <w:rFonts w:ascii="宋体" w:hAnsi="宋体" w:eastAsia="宋体" w:cs="Calibri"/>
          <w:color w:val="auto"/>
          <w:sz w:val="21"/>
          <w:szCs w:val="21"/>
          <w:highlight w:val="none"/>
          <w:lang w:eastAsia="zh-CN"/>
        </w:rPr>
        <w:t xml:space="preserve">. </w:t>
      </w:r>
      <w:r>
        <w:rPr>
          <w:rFonts w:hint="eastAsia" w:ascii="宋体" w:hAnsi="宋体" w:eastAsia="宋体" w:cs="宋体"/>
          <w:color w:val="auto"/>
          <w:sz w:val="21"/>
          <w:szCs w:val="21"/>
          <w:highlight w:val="none"/>
          <w:u w:val="single"/>
          <w:lang w:eastAsia="zh-CN"/>
        </w:rPr>
        <w:t xml:space="preserve">（标的名称）</w:t>
      </w:r>
      <w:r>
        <w:rPr>
          <w:rFonts w:hint="eastAsia" w:ascii="宋体" w:hAnsi="宋体" w:eastAsia="宋体" w:cs="宋体"/>
          <w:color w:val="auto"/>
          <w:sz w:val="21"/>
          <w:szCs w:val="21"/>
          <w:highlight w:val="none"/>
          <w:lang w:eastAsia="zh-CN"/>
        </w:rPr>
        <w:t xml:space="preserve">，属于</w:t>
      </w:r>
      <w:r>
        <w:rPr>
          <w:rFonts w:hint="eastAsia" w:ascii="宋体" w:hAnsi="宋体" w:eastAsia="宋体" w:cs="宋体"/>
          <w:color w:val="auto"/>
          <w:sz w:val="21"/>
          <w:szCs w:val="21"/>
          <w:highlight w:val="none"/>
          <w:u w:val="single"/>
          <w:lang w:eastAsia="zh-CN"/>
        </w:rPr>
        <w:t xml:space="preserve">（采购文件中明确的所属行业）</w:t>
      </w:r>
      <w:r>
        <w:rPr>
          <w:rFonts w:hint="eastAsia" w:ascii="宋体" w:hAnsi="宋体" w:eastAsia="宋体" w:cs="宋体"/>
          <w:color w:val="auto"/>
          <w:sz w:val="21"/>
          <w:szCs w:val="21"/>
          <w:highlight w:val="none"/>
          <w:lang w:eastAsia="zh-CN"/>
        </w:rPr>
        <w:t xml:space="preserve">；</w:t>
      </w:r>
      <w:r>
        <w:rPr>
          <w:rFonts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lang w:eastAsia="zh-CN"/>
        </w:rPr>
        <w:t xml:space="preserve">承建（承接）企业为</w:t>
      </w:r>
      <w:r>
        <w:rPr>
          <w:rFonts w:hint="eastAsia" w:ascii="宋体" w:hAnsi="宋体" w:eastAsia="宋体" w:cs="宋体"/>
          <w:color w:val="auto"/>
          <w:sz w:val="21"/>
          <w:szCs w:val="21"/>
          <w:highlight w:val="none"/>
          <w:u w:val="single"/>
          <w:lang w:eastAsia="zh-CN"/>
        </w:rPr>
        <w:t xml:space="preserve">（企业名称）</w:t>
      </w:r>
      <w:r>
        <w:rPr>
          <w:rFonts w:hint="eastAsia" w:ascii="宋体" w:hAnsi="宋体" w:eastAsia="宋体" w:cs="宋体"/>
          <w:color w:val="auto"/>
          <w:sz w:val="21"/>
          <w:szCs w:val="21"/>
          <w:highlight w:val="none"/>
          <w:lang w:eastAsia="zh-CN"/>
        </w:rPr>
        <w:t xml:space="preserve">，从业人员</w:t>
      </w:r>
      <w:r>
        <w:rPr>
          <w:rFonts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人，营业收入为</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万元，资产总额为</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万元</w:t>
      </w:r>
      <w:r>
        <w:rPr>
          <w:rFonts w:hint="eastAsia" w:ascii="宋体" w:hAnsi="宋体" w:eastAsia="宋体" w:cs="Calibri"/>
          <w:color w:val="auto"/>
          <w:sz w:val="21"/>
          <w:szCs w:val="21"/>
          <w:highlight w:val="none"/>
          <w:vertAlign w:val="superscript"/>
          <w:lang w:eastAsia="zh-CN"/>
        </w:rPr>
        <w:t xml:space="preserve">【1】</w:t>
      </w:r>
      <w:r>
        <w:rPr>
          <w:rFonts w:hint="eastAsia" w:ascii="宋体" w:hAnsi="宋体" w:eastAsia="宋体" w:cs="宋体"/>
          <w:color w:val="auto"/>
          <w:sz w:val="21"/>
          <w:szCs w:val="21"/>
          <w:highlight w:val="none"/>
          <w:lang w:eastAsia="zh-CN"/>
        </w:rPr>
        <w:t xml:space="preserve">，属于</w:t>
      </w:r>
      <w:r>
        <w:rPr>
          <w:rFonts w:hint="eastAsia" w:ascii="宋体" w:hAnsi="宋体" w:eastAsia="宋体" w:cs="宋体"/>
          <w:color w:val="auto"/>
          <w:sz w:val="21"/>
          <w:szCs w:val="21"/>
          <w:highlight w:val="none"/>
          <w:u w:val="single"/>
          <w:lang w:eastAsia="zh-CN"/>
        </w:rPr>
        <w:t xml:space="preserve">（中型企业、</w:t>
      </w:r>
      <w:r>
        <w:rPr>
          <w:rFonts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u w:val="single"/>
          <w:lang w:eastAsia="zh-CN"/>
        </w:rPr>
        <w:t xml:space="preserve">小型企业、微型企业）</w:t>
      </w:r>
      <w:r>
        <w:rPr>
          <w:rFonts w:hint="eastAsia" w:ascii="宋体" w:hAnsi="宋体" w:eastAsia="宋体" w:cs="宋体"/>
          <w:color w:val="auto"/>
          <w:sz w:val="21"/>
          <w:szCs w:val="21"/>
          <w:highlight w:val="none"/>
          <w:lang w:eastAsia="zh-CN"/>
        </w:rPr>
        <w:t xml:space="preserve">；</w:t>
      </w:r>
      <w:r/>
    </w:p>
    <w:p>
      <w:pPr>
        <w:ind w:firstLine="525"/>
        <w:spacing w:line="360" w:lineRule="auto"/>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p>
    <w:p>
      <w:pPr>
        <w:ind w:firstLine="525"/>
        <w:spacing w:line="360" w:lineRule="auto"/>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以上企业，不属于大企业的分支机构，不存在控股股东为大企业的情形，也不存在与大企业的负责人为同一人的情形。</w:t>
      </w:r>
      <w:r/>
    </w:p>
    <w:p>
      <w:pPr>
        <w:ind w:firstLine="420"/>
        <w:spacing w:line="360" w:lineRule="auto"/>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本企业对上述声明内容的真实性负责。如有虚假，将依法承担相应责任。</w:t>
      </w:r>
      <w:r/>
    </w:p>
    <w:p>
      <w:pPr>
        <w:ind w:right="420"/>
        <w:jc w:val="right"/>
        <w:spacing w:line="360" w:lineRule="auto"/>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企业名称（加盖电子公章）：</w:t>
      </w:r>
      <w:r/>
    </w:p>
    <w:p>
      <w:pPr>
        <w:ind w:right="840" w:firstLine="7140"/>
        <w:spacing w:line="360" w:lineRule="auto"/>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日</w:t>
      </w:r>
      <w:r>
        <w:rPr>
          <w:rFonts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lang w:eastAsia="zh-CN"/>
        </w:rPr>
        <w:t xml:space="preserve">期：</w:t>
      </w:r>
      <w:r/>
    </w:p>
    <w:p>
      <w:pPr>
        <w:pStyle w:val="834"/>
        <w:ind w:left="440"/>
        <w:rPr>
          <w:color w:val="auto"/>
          <w:highlight w:val="none"/>
          <w:u w:val="single"/>
          <w:lang w:eastAsia="zh-CN"/>
        </w:rPr>
      </w:pPr>
      <w:r>
        <w:rPr>
          <w:rFonts w:hint="eastAsia"/>
          <w:color w:val="auto"/>
          <w:highlight w:val="none"/>
          <w:u w:val="single"/>
          <w:lang w:eastAsia="zh-CN"/>
        </w:rPr>
        <w:t xml:space="preserve">                                  </w:t>
      </w:r>
      <w:r/>
    </w:p>
    <w:p>
      <w:pPr>
        <w:pStyle w:val="834"/>
        <w:ind w:firstLine="420"/>
        <w:rPr>
          <w:rFonts w:cs="宋体"/>
          <w:b/>
          <w:bCs/>
          <w:color w:val="auto"/>
          <w:sz w:val="21"/>
          <w:szCs w:val="21"/>
          <w:highlight w:val="none"/>
          <w:lang w:eastAsia="zh-CN"/>
        </w:rPr>
      </w:pPr>
      <w:r>
        <w:rPr>
          <w:rFonts w:hint="eastAsia" w:cs="宋体"/>
          <w:color w:val="auto"/>
          <w:sz w:val="21"/>
          <w:szCs w:val="21"/>
          <w:highlight w:val="none"/>
          <w:lang w:eastAsia="zh-CN"/>
        </w:rPr>
        <w:t xml:space="preserve">注：</w:t>
      </w:r>
      <w:r>
        <w:rPr>
          <w:rFonts w:hint="eastAsia" w:cs="Calibri"/>
          <w:color w:val="auto"/>
          <w:sz w:val="21"/>
          <w:szCs w:val="21"/>
          <w:highlight w:val="none"/>
          <w:lang w:eastAsia="zh-CN"/>
        </w:rPr>
        <w:t xml:space="preserve">【1】</w:t>
      </w:r>
      <w:r>
        <w:rPr>
          <w:rFonts w:cs="Calibri"/>
          <w:color w:val="auto"/>
          <w:sz w:val="21"/>
          <w:szCs w:val="21"/>
          <w:highlight w:val="none"/>
          <w:lang w:eastAsia="zh-CN"/>
        </w:rPr>
        <w:t xml:space="preserve"> </w:t>
      </w:r>
      <w:r>
        <w:rPr>
          <w:rFonts w:hint="eastAsia" w:cs="宋体"/>
          <w:color w:val="auto"/>
          <w:sz w:val="21"/>
          <w:szCs w:val="21"/>
          <w:highlight w:val="none"/>
          <w:lang w:eastAsia="zh-CN"/>
        </w:rPr>
        <w:t xml:space="preserve">从业人员、营业收入、资产总额填报上一年度数据，无上一年度数据的新成立企业可不填报。</w:t>
      </w:r>
      <w:r/>
    </w:p>
    <w:p>
      <w:pPr>
        <w:pStyle w:val="834"/>
        <w:ind w:firstLine="840"/>
        <w:rPr>
          <w:rFonts w:cs="宋体"/>
          <w:bCs/>
          <w:color w:val="auto"/>
          <w:sz w:val="21"/>
          <w:szCs w:val="21"/>
          <w:highlight w:val="none"/>
          <w:lang w:eastAsia="zh-CN"/>
        </w:rPr>
      </w:pPr>
      <w:r/>
      <w:bookmarkStart w:id="1109" w:name="_Hlk78923390"/>
      <w:r>
        <w:rPr>
          <w:rFonts w:hint="eastAsia" w:cs="Calibri"/>
          <w:color w:val="auto"/>
          <w:sz w:val="21"/>
          <w:szCs w:val="21"/>
          <w:highlight w:val="none"/>
          <w:lang w:eastAsia="zh-CN"/>
        </w:rPr>
        <w:t xml:space="preserve">【2】采购标的对应的中小企业划分标准所属行业：建筑业。</w:t>
      </w:r>
      <w:bookmarkEnd w:id="1109"/>
      <w:r/>
    </w:p>
    <w:p>
      <w:pPr>
        <w:pStyle w:val="782"/>
        <w:ind w:left="0" w:firstLine="840"/>
        <w:spacing w:before="0" w:line="324" w:lineRule="auto"/>
        <w:rPr>
          <w:color w:val="auto"/>
          <w:sz w:val="21"/>
          <w:szCs w:val="21"/>
          <w:highlight w:val="none"/>
          <w:lang w:eastAsia="zh-CN"/>
        </w:rPr>
      </w:pPr>
      <w:r>
        <w:rPr>
          <w:rFonts w:hint="eastAsia" w:cs="Calibri"/>
          <w:color w:val="auto"/>
          <w:sz w:val="21"/>
          <w:szCs w:val="21"/>
          <w:highlight w:val="none"/>
          <w:lang w:eastAsia="zh-CN"/>
        </w:rPr>
        <w:t xml:space="preserve">【3】</w:t>
      </w:r>
      <w:r>
        <w:rPr>
          <w:color w:val="auto"/>
          <w:sz w:val="21"/>
          <w:szCs w:val="21"/>
          <w:highlight w:val="none"/>
          <w:lang w:eastAsia="zh-CN"/>
        </w:rPr>
        <w:t xml:space="preserve">建筑业行业划型标准</w:t>
      </w:r>
      <w:r>
        <w:rPr>
          <w:rFonts w:hint="eastAsia"/>
          <w:color w:val="auto"/>
          <w:sz w:val="21"/>
          <w:szCs w:val="21"/>
          <w:highlight w:val="none"/>
          <w:lang w:eastAsia="zh-CN"/>
        </w:rPr>
        <w:t xml:space="preserve">：</w:t>
      </w:r>
      <w:r>
        <w:rPr>
          <w:color w:val="auto"/>
          <w:sz w:val="21"/>
          <w:szCs w:val="21"/>
          <w:highlight w:val="none"/>
          <w:lang w:eastAsia="zh-CN"/>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jc w:val="center"/>
        <w:spacing w:line="360" w:lineRule="auto"/>
        <w:rPr>
          <w:rFonts w:eastAsia="等线" w:cs="宋体"/>
          <w:b/>
          <w:color w:val="auto"/>
          <w:highlight w:val="none"/>
          <w:lang w:eastAsia="zh-CN"/>
        </w:rPr>
      </w:pPr>
      <w:r>
        <w:rPr>
          <w:rFonts w:eastAsia="等线" w:cs="宋体"/>
          <w:b/>
          <w:color w:val="auto"/>
          <w:highlight w:val="none"/>
          <w:lang w:eastAsia="zh-CN"/>
        </w:rPr>
        <w:br w:type="page" w:clear="all"/>
      </w:r>
      <w:r/>
    </w:p>
    <w:p>
      <w:pPr>
        <w:jc w:val="center"/>
        <w:spacing w:line="360" w:lineRule="auto"/>
        <w:rPr>
          <w:rFonts w:eastAsia="等线" w:cs="宋体"/>
          <w:b/>
          <w:color w:val="auto"/>
          <w:highlight w:val="none"/>
          <w:lang w:eastAsia="zh-CN"/>
        </w:rPr>
      </w:pPr>
      <w:r>
        <w:rPr>
          <w:rFonts w:eastAsia="等线" w:cs="宋体"/>
          <w:b/>
          <w:color w:val="auto"/>
          <w:highlight w:val="none"/>
          <w:lang w:eastAsia="zh-CN"/>
        </w:rPr>
      </w:r>
      <w:r/>
    </w:p>
    <w:p>
      <w:pPr>
        <w:jc w:val="center"/>
        <w:spacing w:line="360" w:lineRule="auto"/>
        <w:rPr>
          <w:rFonts w:hint="eastAsia" w:ascii="宋体" w:hAnsi="宋体" w:cs="宋体"/>
          <w:b/>
          <w:bCs/>
          <w:color w:val="auto"/>
          <w:sz w:val="28"/>
          <w:highlight w:val="none"/>
          <w:lang w:eastAsia="zh-CN"/>
        </w:rPr>
      </w:pPr>
      <w:r>
        <w:rPr>
          <w:rFonts w:hint="eastAsia" w:ascii="宋体" w:hAnsi="宋体" w:cs="宋体"/>
          <w:b/>
          <w:bCs/>
          <w:color w:val="auto"/>
          <w:sz w:val="28"/>
          <w:highlight w:val="none"/>
          <w:lang w:eastAsia="zh-CN"/>
        </w:rPr>
        <w:t xml:space="preserve">残疾人福利性单位声明函</w:t>
      </w:r>
      <w:r/>
    </w:p>
    <w:p>
      <w:pPr>
        <w:ind w:firstLine="42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本单位对上述声明的真实性负责。如有虚假，将依法承担相应责任。</w:t>
      </w:r>
      <w:r/>
    </w:p>
    <w:p>
      <w:pPr>
        <w:ind w:firstLine="504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单位名称（加盖电子公章）：</w:t>
      </w:r>
      <w:r/>
    </w:p>
    <w:p>
      <w:pPr>
        <w:ind w:firstLine="5040"/>
        <w:spacing w:line="360" w:lineRule="auto"/>
        <w:widowControl/>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日  期：</w:t>
      </w:r>
      <w:r/>
    </w:p>
    <w:p>
      <w:pPr>
        <w:spacing w:line="360" w:lineRule="auto"/>
        <w:rPr>
          <w:rFonts w:hint="eastAsia" w:eastAsia="宋体"/>
          <w:color w:val="auto"/>
          <w:highlight w:val="none"/>
          <w:lang w:eastAsia="zh-CN"/>
        </w:rPr>
      </w:pPr>
      <w:r>
        <w:rPr>
          <w:rFonts w:hint="eastAsia" w:eastAsia="宋体"/>
          <w:color w:val="auto"/>
          <w:highlight w:val="none"/>
          <w:lang w:eastAsia="zh-CN"/>
        </w:rPr>
      </w:r>
      <w:r/>
    </w:p>
    <w:p>
      <w:pPr>
        <w:jc w:val="center"/>
        <w:spacing w:line="360" w:lineRule="auto"/>
        <w:rPr>
          <w:rFonts w:hint="eastAsia" w:ascii="宋体" w:hAnsi="宋体" w:cs="宋体"/>
          <w:b/>
          <w:bCs/>
          <w:color w:val="auto"/>
          <w:sz w:val="28"/>
          <w:highlight w:val="none"/>
          <w:lang w:eastAsia="zh-CN"/>
        </w:rPr>
      </w:pPr>
      <w:r>
        <w:rPr>
          <w:rFonts w:hint="eastAsia" w:ascii="宋体" w:hAnsi="宋体" w:cs="宋体"/>
          <w:b/>
          <w:bCs/>
          <w:color w:val="auto"/>
          <w:sz w:val="28"/>
          <w:highlight w:val="none"/>
          <w:lang w:eastAsia="zh-CN"/>
        </w:rPr>
      </w:r>
      <w:r/>
    </w:p>
    <w:p>
      <w:pPr>
        <w:jc w:val="center"/>
        <w:spacing w:line="360" w:lineRule="auto"/>
        <w:rPr>
          <w:rFonts w:hint="eastAsia" w:ascii="宋体" w:hAnsi="宋体" w:cs="宋体"/>
          <w:b/>
          <w:bCs/>
          <w:color w:val="auto"/>
          <w:sz w:val="28"/>
          <w:highlight w:val="none"/>
          <w:lang w:eastAsia="zh-CN"/>
        </w:rPr>
      </w:pPr>
      <w:r>
        <w:rPr>
          <w:rFonts w:hint="eastAsia" w:ascii="宋体" w:hAnsi="宋体" w:cs="宋体"/>
          <w:b/>
          <w:bCs/>
          <w:color w:val="auto"/>
          <w:sz w:val="28"/>
          <w:highlight w:val="none"/>
          <w:lang w:eastAsia="zh-CN"/>
        </w:rPr>
      </w:r>
      <w:r/>
    </w:p>
    <w:p>
      <w:pPr>
        <w:jc w:val="center"/>
        <w:spacing w:line="360" w:lineRule="auto"/>
        <w:rPr>
          <w:rFonts w:hint="eastAsia" w:ascii="宋体" w:hAnsi="宋体" w:cs="宋体"/>
          <w:b/>
          <w:bCs/>
          <w:color w:val="auto"/>
          <w:sz w:val="28"/>
          <w:highlight w:val="none"/>
          <w:lang w:eastAsia="zh-CN"/>
        </w:rPr>
      </w:pPr>
      <w:r>
        <w:rPr>
          <w:rFonts w:hint="eastAsia" w:ascii="宋体" w:hAnsi="宋体" w:cs="宋体"/>
          <w:b/>
          <w:bCs/>
          <w:color w:val="auto"/>
          <w:sz w:val="28"/>
          <w:highlight w:val="none"/>
          <w:lang w:eastAsia="zh-CN"/>
        </w:rPr>
        <w:t xml:space="preserve">属于监狱企业的证明文件</w:t>
      </w:r>
      <w:r/>
    </w:p>
    <w:p>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（提供由省级以上监狱管理局、戒毒管理局（含新疆生产建设兵团）出具的属于监狱企业的证明文件）</w:t>
      </w:r>
      <w:r/>
    </w:p>
    <w:p>
      <w:pPr>
        <w:spacing w:line="360" w:lineRule="auto"/>
        <w:rPr>
          <w:rFonts w:ascii="宋体" w:hAnsi="宋体" w:eastAsia="宋体" w:cs="宋体"/>
          <w:b/>
          <w:color w:val="auto"/>
          <w:highlight w:val="none"/>
          <w:lang w:eastAsia="zh-CN"/>
        </w:rPr>
      </w:pPr>
      <w:r>
        <w:rPr>
          <w:rFonts w:ascii="宋体" w:hAnsi="宋体" w:eastAsia="宋体" w:cs="宋体"/>
          <w:b/>
          <w:color w:val="auto"/>
          <w:highlight w:val="none"/>
          <w:lang w:eastAsia="zh-CN"/>
        </w:rPr>
      </w:r>
      <w:r/>
    </w:p>
    <w:p>
      <w:pPr>
        <w:pStyle w:val="834"/>
        <w:ind w:firstLine="0"/>
        <w:jc w:val="both"/>
        <w:rPr>
          <w:rFonts w:eastAsia="等线" w:cs="宋体"/>
          <w:b/>
          <w:color w:val="auto"/>
          <w:sz w:val="22"/>
          <w:szCs w:val="22"/>
          <w:highlight w:val="none"/>
          <w:lang w:eastAsia="zh-CN"/>
        </w:rPr>
      </w:pPr>
      <w:r>
        <w:rPr>
          <w:rFonts w:eastAsia="等线" w:cs="宋体"/>
          <w:b/>
          <w:color w:val="auto"/>
          <w:sz w:val="22"/>
          <w:szCs w:val="22"/>
          <w:highlight w:val="none"/>
          <w:lang w:eastAsia="zh-CN"/>
        </w:rPr>
      </w:r>
      <w:r/>
    </w:p>
    <w:sectPr>
      <w:headerReference w:type="default" r:id="rId11"/>
      <w:footerReference w:type="default" r:id="rId17"/>
      <w:footnotePr/>
      <w:endnotePr/>
      <w:type w:val="nextPage"/>
      <w:pgSz w:w="11910" w:h="16840" w:orient="portrait"/>
      <w:pgMar w:top="1440" w:right="1080" w:bottom="1440" w:left="1080" w:header="880" w:footer="726"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楷体">
    <w:panose1 w:val="02010609060101010101"/>
  </w:font>
  <w:font w:name="Symbol">
    <w:panose1 w:val="05050102010706020507"/>
  </w:font>
  <w:font w:name="Wingdings">
    <w:panose1 w:val="05000000000000000000"/>
  </w:font>
  <w:font w:name="Tahoma">
    <w:panose1 w:val="020B0604030504040204"/>
  </w:font>
  <w:font w:name="KNLe">
    <w:panose1 w:val="020B0503020202020204"/>
  </w:font>
  <w:font w:name="楷体_GB2312">
    <w:panose1 w:val="02010609060101010101"/>
  </w:font>
  <w:font w:name="华文细黑">
    <w:panose1 w:val="02010600040101010101"/>
  </w:font>
  <w:font w:name="Calibri Light">
    <w:panose1 w:val="020F0302020204030204"/>
  </w:font>
  <w:font w:name="Cambria">
    <w:panose1 w:val="02040503050406030204"/>
  </w:font>
  <w:font w:name="Courier New">
    <w:panose1 w:val="02070309020205020404"/>
  </w:font>
  <w:font w:name="仿宋_GB2312">
    <w:panose1 w:val="02010609060101010101"/>
  </w:font>
  <w:font w:name="黑体">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sz w:val="20"/>
        <w:szCs w:val="20"/>
      </w:rPr>
    </w:pPr>
    <w:r>
      <w:rPr>
        <w:sz w:val="20"/>
        <w:szCs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jc w:val="right"/>
    </w:pPr>
    <w:r/>
    <w:r/>
  </w:p>
  <w:p>
    <w:pPr>
      <w:spacing w:line="14" w:lineRule="auto"/>
      <w:rPr>
        <w:sz w:val="20"/>
        <w:szCs w:val="20"/>
      </w:rPr>
    </w:pPr>
    <w:r>
      <w:rPr>
        <w:sz w:val="20"/>
        <w:szCs w:val="20"/>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rPr>
        <w:rFonts w:eastAsia="仿宋_GB2312"/>
        <w:sz w:val="24"/>
      </w:rPr>
    </w:pPr>
    <w:r>
      <w:rPr>
        <w:rFonts w:eastAsia="仿宋_GB2312"/>
        <w:sz w:val="24"/>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文本框 1"/>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57785" cy="131445"/>
                      </a:xfrm>
                      <a:prstGeom prst="rect">
                        <a:avLst/>
                      </a:prstGeom>
                      <a:noFill/>
                      <a:ln>
                        <a:noFill/>
                      </a:ln>
                      <a:effectLst/>
                    </wps:spPr>
                    <wps:txbx>
                      <w:txbxContent>
                        <w:p>
                          <w:pPr>
                            <w:pStyle w:val="789"/>
                          </w:pPr>
                          <w:r>
                            <w:fldChar w:fldCharType="begin"/>
                          </w:r>
                          <w:r>
                            <w:instrText xml:space="preserve"> PAGE  \* MERGEFORMAT </w:instrText>
                          </w:r>
                          <w:r>
                            <w:fldChar w:fldCharType="separate"/>
                          </w:r>
                          <w:r>
                            <w:t xml:space="preserve">94</w:t>
                          </w:r>
                          <w:r>
                            <w:fldChar w:fldCharType="end"/>
                          </w:r>
                          <w:r/>
                        </w:p>
                      </w:txbxContent>
                    </wps:txbx>
                    <wps:bodyPr rot="0" vert="horz" wrap="none" lIns="0" tIns="0" rIns="0" bIns="0" anchor="t" anchorCtr="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text-anchor:top;visibility:visible;" filled="f" stroked="f">
              <v:textbox inset="0,0,0,0">
                <w:txbxContent>
                  <w:p>
                    <w:pPr>
                      <w:pStyle w:val="789"/>
                    </w:pPr>
                    <w:r>
                      <w:fldChar w:fldCharType="begin"/>
                    </w:r>
                    <w:r>
                      <w:instrText xml:space="preserve"> PAGE  \* MERGEFORMAT </w:instrText>
                    </w:r>
                    <w:r>
                      <w:fldChar w:fldCharType="separate"/>
                    </w:r>
                    <w:r>
                      <w:t xml:space="preserve">94</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sz w:val="20"/>
        <w:szCs w:val="20"/>
      </w:rPr>
    </w:pPr>
    <w:r>
      <w:rPr>
        <w:sz w:val="20"/>
        <w:szCs w:val="20"/>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0"/>
      <w:pBdr>
        <w:bottom w:val="single" w:color="auto" w:sz="4" w:space="1"/>
      </w:pBdr>
    </w:pPr>
    <w:r/>
    <w:r/>
  </w:p>
  <w:p>
    <w:pPr>
      <w:pStyle w:val="790"/>
      <w:jc w:val="right"/>
      <w:rPr>
        <w:rFonts w:hint="eastAsia" w:eastAsia="宋体"/>
        <w:lang w:eastAsia="zh-CN"/>
      </w:rPr>
      <w:pBdr>
        <w:bottom w:val="single" w:color="auto" w:sz="4" w:space="1"/>
      </w:pBdr>
    </w:pPr>
    <w:r>
      <w:rPr>
        <w:rFonts w:hint="eastAsia" w:eastAsia="宋体"/>
        <w:lang w:eastAsia="zh-CN"/>
      </w:rPr>
      <w:t xml:space="preserve">科普教育中心提升项目竞争性磋商</w:t>
    </w:r>
    <w:r>
      <w:rPr>
        <w:rFonts w:eastAsia="宋体"/>
        <w:lang w:eastAsia="zh-CN"/>
      </w:rPr>
      <w:t xml:space="preserve">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0"/>
      <w:jc w:val="right"/>
      <w:rPr>
        <w:rFonts w:hint="eastAsia" w:eastAsia="宋体"/>
        <w:lang w:eastAsia="zh-CN"/>
      </w:rPr>
      <w:pBdr>
        <w:bottom w:val="single" w:color="auto" w:sz="4" w:space="1"/>
      </w:pBdr>
    </w:pPr>
    <w:r>
      <w:rPr>
        <w:rFonts w:hint="eastAsia" w:eastAsia="宋体"/>
        <w:lang w:eastAsia="zh-CN"/>
      </w:rPr>
      <w:t xml:space="preserve">科普教育中心提升项目竞争性磋商</w:t>
    </w:r>
    <w:r>
      <w:rPr>
        <w:rFonts w:eastAsia="宋体"/>
        <w:lang w:eastAsia="zh-CN"/>
      </w:rPr>
      <w:t xml:space="preserve">文件</w:t>
    </w:r>
    <w:r/>
  </w:p>
  <w:p>
    <w:pPr>
      <w:jc w:val="center"/>
      <w:spacing w:line="14" w:lineRule="auto"/>
      <w:rPr>
        <w:sz w:val="20"/>
        <w:szCs w:val="20"/>
        <w:lang w:eastAsia="zh-CN"/>
      </w:rPr>
    </w:pPr>
    <w:r>
      <w:rPr>
        <w:sz w:val="20"/>
        <w:szCs w:val="20"/>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0"/>
      <w:jc w:val="right"/>
      <w:rPr>
        <w:rFonts w:hint="eastAsia" w:eastAsia="宋体"/>
        <w:lang w:eastAsia="zh-CN"/>
      </w:rPr>
      <w:pBdr>
        <w:bottom w:val="single" w:color="auto" w:sz="4" w:space="1"/>
      </w:pBdr>
    </w:pPr>
    <w:r>
      <w:rPr>
        <w:rFonts w:hint="eastAsia" w:eastAsia="宋体"/>
        <w:lang w:eastAsia="zh-CN"/>
      </w:rPr>
      <w:t xml:space="preserve">科普教育中心提升项目竞争性磋商</w:t>
    </w:r>
    <w:r>
      <w:rPr>
        <w:rFonts w:eastAsia="宋体"/>
        <w:lang w:eastAsia="zh-CN"/>
      </w:rPr>
      <w:t xml:space="preserve">文件</w:t>
    </w:r>
    <w:r/>
  </w:p>
  <w:p>
    <w:pPr>
      <w:spacing w:line="14" w:lineRule="auto"/>
      <w:rPr>
        <w:sz w:val="20"/>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1608455</wp:posOffset>
              </wp:positionH>
              <wp:positionV relativeFrom="page">
                <wp:posOffset>546735</wp:posOffset>
              </wp:positionV>
              <wp:extent cx="4342765" cy="151765"/>
              <wp:effectExtent l="0" t="0" r="0" b="0"/>
              <wp:wrapNone/>
              <wp:docPr id="1" name="文本框 41"/>
              <wp:cNvGraphicFramePr/>
              <a:graphic xmlns:a="http://schemas.openxmlformats.org/drawingml/2006/main">
                <a:graphicData uri="http://schemas.microsoft.com/office/word/2010/wordprocessingShape">
                  <wps:wsp>
                    <wps:cNvPr id="0" name=""/>
                    <wps:cNvSpPr txBox="1"/>
                    <wps:spPr bwMode="auto">
                      <a:xfrm>
                        <a:off x="0" y="0"/>
                        <a:ext cx="4342765" cy="151765"/>
                      </a:xfrm>
                      <a:prstGeom prst="rect">
                        <a:avLst/>
                      </a:prstGeom>
                      <a:noFill/>
                      <a:ln>
                        <a:noFill/>
                      </a:ln>
                      <a:effectLst/>
                    </wps:spPr>
                    <wps:txbx>
                      <w:txbxContent>
                        <w:p>
                          <w:pPr>
                            <w:ind w:left="20"/>
                            <w:spacing w:line="219" w:lineRule="exact"/>
                            <w:rPr>
                              <w:rFonts w:ascii="楷体" w:hAnsi="楷体" w:eastAsia="楷体" w:cs="楷体"/>
                              <w:sz w:val="20"/>
                              <w:szCs w:val="20"/>
                            </w:rPr>
                          </w:pPr>
                          <w:r>
                            <w:rPr>
                              <w:rFonts w:ascii="楷体" w:hAnsi="楷体" w:eastAsia="楷体" w:cs="楷体"/>
                              <w:sz w:val="20"/>
                              <w:szCs w:val="20"/>
                            </w:rPr>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page;margin-left:126.6pt;mso-position-horizontal:absolute;mso-position-vertical-relative:page;margin-top:43.0pt;mso-position-vertical:absolute;width:341.9pt;height:11.9pt;mso-wrap-distance-left:9.0pt;mso-wrap-distance-top:0.0pt;mso-wrap-distance-right:9.0pt;mso-wrap-distance-bottom:0.0pt;visibility:visible;" filled="f" stroked="f">
              <v:textbox inset="0,0,0,0">
                <w:txbxContent>
                  <w:p>
                    <w:pPr>
                      <w:ind w:left="20"/>
                      <w:spacing w:line="219" w:lineRule="exact"/>
                      <w:rPr>
                        <w:rFonts w:ascii="楷体" w:hAnsi="楷体" w:eastAsia="楷体" w:cs="楷体"/>
                        <w:sz w:val="20"/>
                        <w:szCs w:val="20"/>
                      </w:rPr>
                    </w:pPr>
                    <w:r>
                      <w:rPr>
                        <w:rFonts w:ascii="楷体" w:hAnsi="楷体" w:eastAsia="楷体" w:cs="楷体"/>
                        <w:sz w:val="20"/>
                        <w:szCs w:val="20"/>
                      </w:rPr>
                    </w:r>
                    <w:r/>
                  </w:p>
                </w:txbxContent>
              </v:textbox>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none"/>
      <w:isLgl w:val="false"/>
      <w:suff w:val="nothing"/>
      <w:lvlText w:val=""/>
      <w:lvlJc w:val="left"/>
      <w:pPr>
        <w:ind w:left="0" w:firstLine="0"/>
      </w:pPr>
    </w:lvl>
    <w:lvl w:ilvl="2">
      <w:start w:val="1"/>
      <w:numFmt w:val="none"/>
      <w:isLgl w:val="false"/>
      <w:suff w:val="nothing"/>
      <w:lvlText w:val=""/>
      <w:lvlJc w:val="left"/>
      <w:pPr>
        <w:ind w:left="0" w:firstLine="0"/>
      </w:pPr>
    </w:lvl>
    <w:lvl w:ilvl="3">
      <w:start w:val="1"/>
      <w:numFmt w:val="none"/>
      <w:isLgl w:val="false"/>
      <w:suff w:val="nothing"/>
      <w:lvlText w:val=""/>
      <w:lvlJc w:val="left"/>
      <w:pPr>
        <w:ind w:left="0" w:firstLine="0"/>
      </w:pPr>
    </w:lvl>
    <w:lvl w:ilvl="4">
      <w:start w:val="1"/>
      <w:numFmt w:val="none"/>
      <w:isLgl w:val="false"/>
      <w:suff w:val="nothing"/>
      <w:lvlText w:val=""/>
      <w:lvlJc w:val="left"/>
      <w:pPr>
        <w:ind w:left="0" w:firstLine="0"/>
      </w:pPr>
    </w:lvl>
    <w:lvl w:ilvl="5">
      <w:start w:val="1"/>
      <w:numFmt w:val="none"/>
      <w:isLgl w:val="false"/>
      <w:suff w:val="nothing"/>
      <w:lvlText w:val=""/>
      <w:lvlJc w:val="left"/>
      <w:pPr>
        <w:ind w:left="0" w:firstLine="0"/>
      </w:pPr>
    </w:lvl>
    <w:lvl w:ilvl="6">
      <w:start w:val="1"/>
      <w:numFmt w:val="none"/>
      <w:isLgl w:val="false"/>
      <w:suff w:val="nothing"/>
      <w:lvlText w:val=""/>
      <w:lvlJc w:val="left"/>
      <w:pPr>
        <w:ind w:left="0" w:firstLine="0"/>
      </w:pPr>
    </w:lvl>
    <w:lvl w:ilvl="7">
      <w:start w:val="1"/>
      <w:numFmt w:val="none"/>
      <w:isLgl w:val="false"/>
      <w:suff w:val="nothing"/>
      <w:lvlText w:val=""/>
      <w:lvlJc w:val="left"/>
      <w:pPr>
        <w:ind w:left="0" w:firstLine="0"/>
      </w:pPr>
    </w:lvl>
    <w:lvl w:ilvl="8">
      <w:start w:val="1"/>
      <w:numFmt w:val="none"/>
      <w:isLgl w:val="false"/>
      <w:suff w:val="nothing"/>
      <w:lvlText w:val=""/>
      <w:lvlJc w:val="left"/>
      <w:pPr>
        <w:ind w:left="0" w:firstLine="0"/>
      </w:pPr>
    </w:lvl>
  </w:abstractNum>
  <w:abstractNum w:abstractNumId="2">
    <w:multiLevelType w:val="hybridMultilevel"/>
    <w:lvl w:ilvl="0">
      <w:start w:val="3"/>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44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6"/>
  </w:num>
  <w:num w:numId="3">
    <w:abstractNumId w:val="1"/>
  </w:num>
  <w:num w:numId="4">
    <w:abstractNumId w:val="3"/>
  </w:num>
  <w:num w:numId="5">
    <w:abstractNumId w:val="5"/>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75"/>
    <w:link w:val="899"/>
    <w:uiPriority w:val="9"/>
    <w:rPr>
      <w:rFonts w:ascii="Arial" w:hAnsi="Arial" w:eastAsia="Arial" w:cs="Arial"/>
      <w:sz w:val="40"/>
      <w:szCs w:val="40"/>
    </w:rPr>
  </w:style>
  <w:style w:type="character" w:styleId="15">
    <w:name w:val="Heading 2 Char"/>
    <w:basedOn w:val="775"/>
    <w:link w:val="767"/>
    <w:uiPriority w:val="9"/>
    <w:rPr>
      <w:rFonts w:ascii="Arial" w:hAnsi="Arial" w:eastAsia="Arial" w:cs="Arial"/>
      <w:sz w:val="34"/>
    </w:rPr>
  </w:style>
  <w:style w:type="character" w:styleId="17">
    <w:name w:val="Heading 3 Char"/>
    <w:basedOn w:val="775"/>
    <w:link w:val="768"/>
    <w:uiPriority w:val="9"/>
    <w:rPr>
      <w:rFonts w:ascii="Arial" w:hAnsi="Arial" w:eastAsia="Arial" w:cs="Arial"/>
      <w:sz w:val="30"/>
      <w:szCs w:val="30"/>
    </w:rPr>
  </w:style>
  <w:style w:type="character" w:styleId="19">
    <w:name w:val="Heading 4 Char"/>
    <w:basedOn w:val="775"/>
    <w:link w:val="769"/>
    <w:uiPriority w:val="9"/>
    <w:rPr>
      <w:rFonts w:ascii="Arial" w:hAnsi="Arial" w:eastAsia="Arial" w:cs="Arial"/>
      <w:b/>
      <w:bCs/>
      <w:sz w:val="26"/>
      <w:szCs w:val="26"/>
    </w:rPr>
  </w:style>
  <w:style w:type="character" w:styleId="21">
    <w:name w:val="Heading 5 Char"/>
    <w:basedOn w:val="775"/>
    <w:link w:val="770"/>
    <w:uiPriority w:val="9"/>
    <w:rPr>
      <w:rFonts w:ascii="Arial" w:hAnsi="Arial" w:eastAsia="Arial" w:cs="Arial"/>
      <w:b/>
      <w:bCs/>
      <w:sz w:val="24"/>
      <w:szCs w:val="24"/>
    </w:rPr>
  </w:style>
  <w:style w:type="character" w:styleId="23">
    <w:name w:val="Heading 6 Char"/>
    <w:basedOn w:val="775"/>
    <w:link w:val="771"/>
    <w:uiPriority w:val="9"/>
    <w:rPr>
      <w:rFonts w:ascii="Arial" w:hAnsi="Arial" w:eastAsia="Arial" w:cs="Arial"/>
      <w:b/>
      <w:bCs/>
      <w:sz w:val="22"/>
      <w:szCs w:val="22"/>
    </w:rPr>
  </w:style>
  <w:style w:type="character" w:styleId="25">
    <w:name w:val="Heading 7 Char"/>
    <w:basedOn w:val="775"/>
    <w:link w:val="772"/>
    <w:uiPriority w:val="9"/>
    <w:rPr>
      <w:rFonts w:ascii="Arial" w:hAnsi="Arial" w:eastAsia="Arial" w:cs="Arial"/>
      <w:b/>
      <w:bCs/>
      <w:i/>
      <w:iCs/>
      <w:sz w:val="22"/>
      <w:szCs w:val="22"/>
    </w:rPr>
  </w:style>
  <w:style w:type="character" w:styleId="27">
    <w:name w:val="Heading 8 Char"/>
    <w:basedOn w:val="775"/>
    <w:link w:val="773"/>
    <w:uiPriority w:val="9"/>
    <w:rPr>
      <w:rFonts w:ascii="Arial" w:hAnsi="Arial" w:eastAsia="Arial" w:cs="Arial"/>
      <w:i/>
      <w:iCs/>
      <w:sz w:val="22"/>
      <w:szCs w:val="22"/>
    </w:rPr>
  </w:style>
  <w:style w:type="character" w:styleId="29">
    <w:name w:val="Heading 9 Char"/>
    <w:basedOn w:val="775"/>
    <w:link w:val="774"/>
    <w:uiPriority w:val="9"/>
    <w:rPr>
      <w:rFonts w:ascii="Arial" w:hAnsi="Arial" w:eastAsia="Arial" w:cs="Arial"/>
      <w:i/>
      <w:iCs/>
      <w:sz w:val="21"/>
      <w:szCs w:val="21"/>
    </w:rPr>
  </w:style>
  <w:style w:type="character" w:styleId="34">
    <w:name w:val="Title Char"/>
    <w:basedOn w:val="775"/>
    <w:link w:val="797"/>
    <w:uiPriority w:val="10"/>
    <w:rPr>
      <w:sz w:val="48"/>
      <w:szCs w:val="48"/>
    </w:rPr>
  </w:style>
  <w:style w:type="character" w:styleId="36">
    <w:name w:val="Subtitle Char"/>
    <w:basedOn w:val="775"/>
    <w:link w:val="792"/>
    <w:uiPriority w:val="11"/>
    <w:rPr>
      <w:sz w:val="24"/>
      <w:szCs w:val="24"/>
    </w:rPr>
  </w:style>
  <w:style w:type="character" w:styleId="38">
    <w:name w:val="Quote Char"/>
    <w:link w:val="875"/>
    <w:uiPriority w:val="29"/>
    <w:rPr>
      <w:i/>
    </w:rPr>
  </w:style>
  <w:style w:type="character" w:styleId="40">
    <w:name w:val="Intense Quote Char"/>
    <w:link w:val="851"/>
    <w:uiPriority w:val="30"/>
    <w:rPr>
      <w:i/>
    </w:rPr>
  </w:style>
  <w:style w:type="character" w:styleId="42">
    <w:name w:val="Header Char"/>
    <w:basedOn w:val="775"/>
    <w:link w:val="790"/>
    <w:uiPriority w:val="99"/>
  </w:style>
  <w:style w:type="character" w:styleId="44">
    <w:name w:val="Footer Char"/>
    <w:basedOn w:val="775"/>
    <w:link w:val="789"/>
    <w:uiPriority w:val="99"/>
  </w:style>
  <w:style w:type="paragraph" w:styleId="45">
    <w:name w:val="Caption"/>
    <w:basedOn w:val="765"/>
    <w:next w:val="765"/>
    <w:uiPriority w:val="35"/>
    <w:semiHidden/>
    <w:unhideWhenUsed/>
    <w:qFormat/>
    <w:pPr>
      <w:spacing w:line="276" w:lineRule="auto"/>
    </w:pPr>
    <w:rPr>
      <w:b/>
      <w:bCs/>
      <w:color w:val="4f81bd" w:themeColor="accent1"/>
      <w:sz w:val="18"/>
      <w:szCs w:val="18"/>
    </w:rPr>
  </w:style>
  <w:style w:type="character" w:styleId="46">
    <w:name w:val="Caption Char"/>
    <w:basedOn w:val="45"/>
    <w:link w:val="789"/>
    <w:uiPriority w:val="99"/>
  </w:style>
  <w:style w:type="table" w:styleId="48">
    <w:name w:val="Table Grid Light"/>
    <w:basedOn w:val="77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7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7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7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7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7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7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7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7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7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7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7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7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7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7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7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7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7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7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7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7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7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7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7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7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7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7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7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7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7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7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7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7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7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7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7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7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7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7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7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7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7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7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7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7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7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7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7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7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7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7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7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7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7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7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7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7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7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7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7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7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7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7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7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7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7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7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7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7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7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7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7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7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7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7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7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7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7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7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7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7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7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7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7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7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7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7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7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7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7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7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7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7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7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7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7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7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7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7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7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7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7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7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7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7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7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7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7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6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75"/>
    <w:uiPriority w:val="99"/>
    <w:unhideWhenUsed/>
    <w:rPr>
      <w:vertAlign w:val="superscript"/>
    </w:rPr>
  </w:style>
  <w:style w:type="paragraph" w:styleId="177">
    <w:name w:val="endnote text"/>
    <w:basedOn w:val="76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75"/>
    <w:uiPriority w:val="99"/>
    <w:semiHidden/>
    <w:unhideWhenUsed/>
    <w:rPr>
      <w:vertAlign w:val="superscript"/>
    </w:rPr>
  </w:style>
  <w:style w:type="paragraph" w:styleId="183">
    <w:name w:val="toc 4"/>
    <w:basedOn w:val="765"/>
    <w:next w:val="765"/>
    <w:uiPriority w:val="39"/>
    <w:unhideWhenUsed/>
    <w:pPr>
      <w:ind w:left="850" w:right="0" w:firstLine="0"/>
      <w:spacing w:after="57"/>
    </w:pPr>
  </w:style>
  <w:style w:type="paragraph" w:styleId="184">
    <w:name w:val="toc 5"/>
    <w:basedOn w:val="765"/>
    <w:next w:val="765"/>
    <w:uiPriority w:val="39"/>
    <w:unhideWhenUsed/>
    <w:pPr>
      <w:ind w:left="1134" w:right="0" w:firstLine="0"/>
      <w:spacing w:after="57"/>
    </w:pPr>
  </w:style>
  <w:style w:type="paragraph" w:styleId="185">
    <w:name w:val="toc 6"/>
    <w:basedOn w:val="765"/>
    <w:next w:val="765"/>
    <w:uiPriority w:val="39"/>
    <w:unhideWhenUsed/>
    <w:pPr>
      <w:ind w:left="1417" w:right="0" w:firstLine="0"/>
      <w:spacing w:after="57"/>
    </w:pPr>
  </w:style>
  <w:style w:type="paragraph" w:styleId="187">
    <w:name w:val="toc 8"/>
    <w:basedOn w:val="765"/>
    <w:next w:val="765"/>
    <w:uiPriority w:val="39"/>
    <w:unhideWhenUsed/>
    <w:pPr>
      <w:ind w:left="1984" w:right="0" w:firstLine="0"/>
      <w:spacing w:after="57"/>
    </w:pPr>
  </w:style>
  <w:style w:type="paragraph" w:styleId="188">
    <w:name w:val="toc 9"/>
    <w:basedOn w:val="765"/>
    <w:next w:val="765"/>
    <w:uiPriority w:val="39"/>
    <w:unhideWhenUsed/>
    <w:pPr>
      <w:ind w:left="2268" w:right="0" w:firstLine="0"/>
      <w:spacing w:after="57"/>
    </w:pPr>
  </w:style>
  <w:style w:type="paragraph" w:styleId="189">
    <w:name w:val="TOC Heading"/>
    <w:uiPriority w:val="39"/>
    <w:unhideWhenUsed/>
  </w:style>
  <w:style w:type="paragraph" w:styleId="190">
    <w:name w:val="table of figures"/>
    <w:basedOn w:val="765"/>
    <w:next w:val="765"/>
    <w:uiPriority w:val="99"/>
    <w:unhideWhenUsed/>
    <w:pPr>
      <w:spacing w:after="0" w:afterAutospacing="0"/>
    </w:pPr>
  </w:style>
  <w:style w:type="paragraph" w:styleId="765" w:default="1">
    <w:name w:val="Normal"/>
    <w:next w:val="769"/>
    <w:uiPriority w:val="1"/>
    <w:qFormat/>
    <w:pPr>
      <w:widowControl w:val="off"/>
    </w:pPr>
    <w:rPr>
      <w:rFonts w:ascii="Times New Roman" w:hAnsi="Times New Roman" w:eastAsia="Calibri" w:cs="Times New Roman"/>
      <w:sz w:val="22"/>
      <w:szCs w:val="22"/>
      <w:lang w:val="en-US" w:eastAsia="en-US" w:bidi="ar-SA"/>
    </w:rPr>
  </w:style>
  <w:style w:type="paragraph" w:styleId="766">
    <w:name w:val="Heading 1"/>
    <w:basedOn w:val="765"/>
    <w:next w:val="765"/>
    <w:link w:val="808"/>
    <w:uiPriority w:val="0"/>
    <w:qFormat/>
    <w:pPr>
      <w:outlineLvl w:val="0"/>
    </w:pPr>
    <w:rPr>
      <w:rFonts w:ascii="黑体" w:hAnsi="黑体" w:eastAsia="黑体"/>
      <w:sz w:val="72"/>
      <w:szCs w:val="72"/>
    </w:rPr>
  </w:style>
  <w:style w:type="paragraph" w:styleId="767">
    <w:name w:val="Heading 2"/>
    <w:basedOn w:val="765"/>
    <w:next w:val="765"/>
    <w:link w:val="809"/>
    <w:uiPriority w:val="0"/>
    <w:qFormat/>
    <w:pPr>
      <w:ind w:left="1558"/>
      <w:outlineLvl w:val="1"/>
    </w:pPr>
    <w:rPr>
      <w:rFonts w:ascii="黑体" w:hAnsi="黑体" w:eastAsia="黑体"/>
      <w:b/>
      <w:bCs/>
      <w:sz w:val="36"/>
      <w:szCs w:val="36"/>
    </w:rPr>
  </w:style>
  <w:style w:type="paragraph" w:styleId="768">
    <w:name w:val="Heading 3"/>
    <w:basedOn w:val="765"/>
    <w:next w:val="777"/>
    <w:link w:val="810"/>
    <w:uiPriority w:val="0"/>
    <w:qFormat/>
    <w:pPr>
      <w:outlineLvl w:val="2"/>
    </w:pPr>
    <w:rPr>
      <w:rFonts w:ascii="黑体" w:hAnsi="黑体" w:eastAsia="黑体"/>
      <w:sz w:val="32"/>
      <w:szCs w:val="32"/>
    </w:rPr>
  </w:style>
  <w:style w:type="paragraph" w:styleId="769">
    <w:name w:val="Heading 4"/>
    <w:basedOn w:val="765"/>
    <w:next w:val="777"/>
    <w:link w:val="807"/>
    <w:uiPriority w:val="0"/>
    <w:qFormat/>
    <w:pPr>
      <w:ind w:left="358"/>
      <w:spacing w:before="34"/>
      <w:outlineLvl w:val="3"/>
    </w:pPr>
    <w:rPr>
      <w:rFonts w:ascii="宋体" w:hAnsi="宋体" w:eastAsia="宋体"/>
      <w:b/>
      <w:bCs/>
      <w:sz w:val="24"/>
      <w:szCs w:val="24"/>
    </w:rPr>
  </w:style>
  <w:style w:type="paragraph" w:styleId="770">
    <w:name w:val="Heading 5"/>
    <w:basedOn w:val="765"/>
    <w:next w:val="777"/>
    <w:link w:val="811"/>
    <w:uiPriority w:val="0"/>
    <w:qFormat/>
    <w:pPr>
      <w:jc w:val="both"/>
      <w:keepLines/>
      <w:keepNext/>
      <w:spacing w:before="280" w:after="290" w:line="372" w:lineRule="auto"/>
      <w:outlineLvl w:val="4"/>
    </w:pPr>
    <w:rPr>
      <w:rFonts w:eastAsia="宋体"/>
      <w:b/>
      <w:bCs/>
      <w:sz w:val="28"/>
      <w:szCs w:val="28"/>
    </w:rPr>
  </w:style>
  <w:style w:type="paragraph" w:styleId="771">
    <w:name w:val="Heading 6"/>
    <w:basedOn w:val="765"/>
    <w:next w:val="765"/>
    <w:link w:val="812"/>
    <w:uiPriority w:val="0"/>
    <w:qFormat/>
    <w:pPr>
      <w:ind w:left="1152" w:hanging="1152"/>
      <w:keepLines/>
      <w:keepNext/>
      <w:spacing w:before="240" w:after="64" w:line="317" w:lineRule="auto"/>
      <w:widowControl/>
      <w:tabs>
        <w:tab w:val="left" w:pos="1440" w:leader="none"/>
      </w:tabs>
      <w:outlineLvl w:val="5"/>
    </w:pPr>
    <w:rPr>
      <w:rFonts w:ascii="Arial" w:hAnsi="Arial" w:eastAsia="黑体"/>
      <w:b/>
      <w:sz w:val="24"/>
      <w:szCs w:val="20"/>
    </w:rPr>
  </w:style>
  <w:style w:type="paragraph" w:styleId="772">
    <w:name w:val="Heading 7"/>
    <w:basedOn w:val="765"/>
    <w:next w:val="765"/>
    <w:link w:val="813"/>
    <w:uiPriority w:val="0"/>
    <w:qFormat/>
    <w:pPr>
      <w:ind w:left="1296" w:hanging="1296"/>
      <w:keepLines/>
      <w:keepNext/>
      <w:spacing w:before="240" w:after="64" w:line="317" w:lineRule="auto"/>
      <w:widowControl/>
      <w:tabs>
        <w:tab w:val="left" w:pos="2520" w:leader="none"/>
      </w:tabs>
      <w:outlineLvl w:val="6"/>
    </w:pPr>
    <w:rPr>
      <w:rFonts w:eastAsia="宋体"/>
      <w:b/>
      <w:sz w:val="24"/>
      <w:szCs w:val="20"/>
    </w:rPr>
  </w:style>
  <w:style w:type="paragraph" w:styleId="773">
    <w:name w:val="Heading 8"/>
    <w:basedOn w:val="765"/>
    <w:next w:val="765"/>
    <w:link w:val="814"/>
    <w:uiPriority w:val="0"/>
    <w:qFormat/>
    <w:pPr>
      <w:ind w:left="1440" w:hanging="1440"/>
      <w:keepLines/>
      <w:keepNext/>
      <w:spacing w:before="240" w:after="64" w:line="317" w:lineRule="auto"/>
      <w:widowControl/>
      <w:tabs>
        <w:tab w:val="left" w:pos="1440" w:leader="none"/>
      </w:tabs>
      <w:outlineLvl w:val="7"/>
    </w:pPr>
    <w:rPr>
      <w:rFonts w:ascii="Arial" w:hAnsi="Arial" w:eastAsia="黑体"/>
      <w:sz w:val="24"/>
      <w:szCs w:val="20"/>
    </w:rPr>
  </w:style>
  <w:style w:type="paragraph" w:styleId="774">
    <w:name w:val="Heading 9"/>
    <w:basedOn w:val="765"/>
    <w:next w:val="765"/>
    <w:link w:val="815"/>
    <w:uiPriority w:val="0"/>
    <w:qFormat/>
    <w:pPr>
      <w:ind w:left="1584" w:hanging="1584"/>
      <w:keepLines/>
      <w:keepNext/>
      <w:spacing w:before="240" w:after="64" w:line="317" w:lineRule="auto"/>
      <w:widowControl/>
      <w:tabs>
        <w:tab w:val="left" w:pos="1584" w:leader="none"/>
      </w:tabs>
      <w:outlineLvl w:val="8"/>
    </w:pPr>
    <w:rPr>
      <w:rFonts w:ascii="Arial" w:hAnsi="Arial" w:eastAsia="黑体"/>
      <w:sz w:val="21"/>
      <w:szCs w:val="20"/>
    </w:rPr>
  </w:style>
  <w:style w:type="character" w:styleId="775" w:default="1">
    <w:name w:val="Default Paragraph Font"/>
    <w:uiPriority w:val="1"/>
    <w:unhideWhenUsed/>
    <w:qFormat/>
  </w:style>
  <w:style w:type="table" w:styleId="776" w:default="1">
    <w:name w:val="Normal Table"/>
    <w:uiPriority w:val="99"/>
    <w:unhideWhenUsed/>
    <w:qFormat/>
    <w:tblPr>
      <w:tblCellMar>
        <w:left w:w="108" w:type="dxa"/>
        <w:top w:w="0" w:type="dxa"/>
        <w:right w:w="108" w:type="dxa"/>
        <w:bottom w:w="0" w:type="dxa"/>
      </w:tblCellMar>
    </w:tblPr>
  </w:style>
  <w:style w:type="paragraph" w:styleId="777">
    <w:name w:val="Normal Indent"/>
    <w:basedOn w:val="765"/>
    <w:uiPriority w:val="0"/>
    <w:qFormat/>
    <w:pPr>
      <w:ind w:firstLine="420"/>
    </w:pPr>
  </w:style>
  <w:style w:type="paragraph" w:styleId="778">
    <w:name w:val="toc 7"/>
    <w:basedOn w:val="765"/>
    <w:next w:val="765"/>
    <w:uiPriority w:val="39"/>
    <w:unhideWhenUsed/>
    <w:qFormat/>
    <w:pPr>
      <w:ind w:left="2520"/>
      <w:jc w:val="both"/>
    </w:pPr>
    <w:rPr>
      <w:rFonts w:ascii="Calibri" w:hAnsi="Calibri" w:eastAsia="宋体"/>
      <w:sz w:val="21"/>
      <w:lang w:eastAsia="zh-CN"/>
    </w:rPr>
  </w:style>
  <w:style w:type="paragraph" w:styleId="779">
    <w:name w:val="Document Map"/>
    <w:basedOn w:val="765"/>
    <w:link w:val="816"/>
    <w:uiPriority w:val="0"/>
    <w:qFormat/>
    <w:pPr>
      <w:jc w:val="both"/>
      <w:shd w:val="clear" w:color="auto" w:fill="000080"/>
    </w:pPr>
    <w:rPr>
      <w:rFonts w:eastAsia="宋体"/>
      <w:sz w:val="21"/>
      <w:szCs w:val="20"/>
    </w:rPr>
  </w:style>
  <w:style w:type="paragraph" w:styleId="780">
    <w:name w:val="annotation text"/>
    <w:basedOn w:val="765"/>
    <w:link w:val="817"/>
    <w:uiPriority w:val="0"/>
    <w:qFormat/>
    <w:rPr>
      <w:sz w:val="20"/>
    </w:rPr>
  </w:style>
  <w:style w:type="paragraph" w:styleId="781">
    <w:name w:val="Body Text 3"/>
    <w:basedOn w:val="765"/>
    <w:link w:val="818"/>
    <w:uiPriority w:val="0"/>
    <w:qFormat/>
    <w:pPr>
      <w:jc w:val="both"/>
    </w:pPr>
    <w:rPr>
      <w:rFonts w:ascii="宋体" w:eastAsia="宋体"/>
      <w:sz w:val="24"/>
      <w:szCs w:val="20"/>
    </w:rPr>
  </w:style>
  <w:style w:type="paragraph" w:styleId="782">
    <w:name w:val="Body Text"/>
    <w:basedOn w:val="765"/>
    <w:link w:val="819"/>
    <w:uiPriority w:val="0"/>
    <w:qFormat/>
    <w:pPr>
      <w:ind w:left="118"/>
      <w:spacing w:before="34"/>
    </w:pPr>
    <w:rPr>
      <w:rFonts w:ascii="宋体" w:hAnsi="宋体" w:eastAsia="宋体"/>
      <w:sz w:val="24"/>
      <w:szCs w:val="24"/>
    </w:rPr>
  </w:style>
  <w:style w:type="paragraph" w:styleId="783">
    <w:name w:val="Body Text Indent"/>
    <w:basedOn w:val="765"/>
    <w:link w:val="820"/>
    <w:uiPriority w:val="0"/>
    <w:qFormat/>
    <w:pPr>
      <w:ind w:left="420"/>
      <w:jc w:val="both"/>
      <w:spacing w:after="120"/>
    </w:pPr>
    <w:rPr>
      <w:rFonts w:ascii="Calibri" w:hAnsi="Calibri" w:eastAsia="宋体"/>
      <w:sz w:val="21"/>
    </w:rPr>
  </w:style>
  <w:style w:type="paragraph" w:styleId="784">
    <w:name w:val="index 4"/>
    <w:basedOn w:val="765"/>
    <w:next w:val="765"/>
    <w:uiPriority w:val="0"/>
    <w:qFormat/>
    <w:pPr>
      <w:ind w:left="600"/>
      <w:jc w:val="both"/>
    </w:pPr>
    <w:rPr>
      <w:rFonts w:eastAsia="宋体"/>
      <w:sz w:val="21"/>
      <w:szCs w:val="24"/>
      <w:lang w:eastAsia="zh-CN"/>
    </w:rPr>
  </w:style>
  <w:style w:type="paragraph" w:styleId="785">
    <w:name w:val="toc 3"/>
    <w:basedOn w:val="765"/>
    <w:next w:val="765"/>
    <w:uiPriority w:val="39"/>
    <w:qFormat/>
    <w:pPr>
      <w:ind w:left="840"/>
      <w:jc w:val="both"/>
    </w:pPr>
    <w:rPr>
      <w:rFonts w:eastAsia="宋体"/>
      <w:sz w:val="21"/>
      <w:szCs w:val="20"/>
      <w:lang w:eastAsia="zh-CN"/>
    </w:rPr>
  </w:style>
  <w:style w:type="paragraph" w:styleId="786">
    <w:name w:val="Plain Text"/>
    <w:basedOn w:val="765"/>
    <w:link w:val="821"/>
    <w:uiPriority w:val="0"/>
    <w:qFormat/>
    <w:pPr>
      <w:jc w:val="both"/>
    </w:pPr>
    <w:rPr>
      <w:rFonts w:ascii="宋体" w:hAnsi="Courier New" w:eastAsia="宋体"/>
      <w:sz w:val="20"/>
      <w:szCs w:val="20"/>
    </w:rPr>
  </w:style>
  <w:style w:type="paragraph" w:styleId="787">
    <w:name w:val="Date"/>
    <w:basedOn w:val="765"/>
    <w:next w:val="765"/>
    <w:link w:val="822"/>
    <w:uiPriority w:val="0"/>
    <w:qFormat/>
    <w:pPr>
      <w:jc w:val="both"/>
    </w:pPr>
    <w:rPr>
      <w:rFonts w:eastAsia="宋体"/>
      <w:sz w:val="24"/>
      <w:szCs w:val="20"/>
    </w:rPr>
  </w:style>
  <w:style w:type="paragraph" w:styleId="788">
    <w:name w:val="Balloon Text"/>
    <w:basedOn w:val="765"/>
    <w:link w:val="823"/>
    <w:uiPriority w:val="0"/>
    <w:qFormat/>
    <w:rPr>
      <w:sz w:val="18"/>
      <w:szCs w:val="18"/>
    </w:rPr>
  </w:style>
  <w:style w:type="paragraph" w:styleId="789">
    <w:name w:val="Footer"/>
    <w:basedOn w:val="765"/>
    <w:link w:val="824"/>
    <w:uiPriority w:val="99"/>
    <w:qFormat/>
    <w:pPr>
      <w:tabs>
        <w:tab w:val="center" w:pos="4153" w:leader="none"/>
        <w:tab w:val="right" w:pos="8306" w:leader="none"/>
      </w:tabs>
    </w:pPr>
    <w:rPr>
      <w:sz w:val="18"/>
    </w:rPr>
  </w:style>
  <w:style w:type="paragraph" w:styleId="790">
    <w:name w:val="Header"/>
    <w:basedOn w:val="765"/>
    <w:link w:val="825"/>
    <w:uiPriority w:val="0"/>
    <w:qFormat/>
    <w:pPr>
      <w:jc w:val="both"/>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791">
    <w:name w:val="toc 1"/>
    <w:basedOn w:val="765"/>
    <w:next w:val="765"/>
    <w:uiPriority w:val="39"/>
    <w:qFormat/>
    <w:pPr>
      <w:spacing w:before="271"/>
    </w:pPr>
    <w:rPr>
      <w:rFonts w:ascii="宋体" w:hAnsi="宋体" w:eastAsia="宋体"/>
      <w:b/>
      <w:bCs/>
      <w:sz w:val="24"/>
      <w:szCs w:val="24"/>
    </w:rPr>
  </w:style>
  <w:style w:type="paragraph" w:styleId="792">
    <w:name w:val="Subtitle"/>
    <w:basedOn w:val="765"/>
    <w:next w:val="765"/>
    <w:link w:val="826"/>
    <w:uiPriority w:val="0"/>
    <w:qFormat/>
    <w:pPr>
      <w:jc w:val="center"/>
      <w:spacing w:before="240" w:after="60" w:line="312" w:lineRule="auto"/>
      <w:outlineLvl w:val="1"/>
    </w:pPr>
    <w:rPr>
      <w:rFonts w:ascii="Cambria" w:hAnsi="Cambria" w:eastAsia="宋体"/>
      <w:b/>
      <w:bCs/>
      <w:sz w:val="32"/>
      <w:szCs w:val="32"/>
    </w:rPr>
  </w:style>
  <w:style w:type="paragraph" w:styleId="793">
    <w:name w:val="Body Text Indent 3"/>
    <w:basedOn w:val="765"/>
    <w:link w:val="827"/>
    <w:uiPriority w:val="0"/>
    <w:qFormat/>
    <w:pPr>
      <w:ind w:left="420"/>
      <w:jc w:val="both"/>
      <w:spacing w:after="120"/>
    </w:pPr>
    <w:rPr>
      <w:rFonts w:eastAsia="宋体"/>
      <w:sz w:val="16"/>
      <w:szCs w:val="20"/>
    </w:rPr>
  </w:style>
  <w:style w:type="paragraph" w:styleId="794">
    <w:name w:val="toc 2"/>
    <w:basedOn w:val="765"/>
    <w:next w:val="765"/>
    <w:uiPriority w:val="39"/>
    <w:qFormat/>
    <w:pPr>
      <w:ind w:left="327"/>
      <w:spacing w:before="151"/>
    </w:pPr>
    <w:rPr>
      <w:rFonts w:ascii="宋体" w:hAnsi="宋体" w:eastAsia="宋体"/>
      <w:sz w:val="24"/>
      <w:szCs w:val="24"/>
    </w:rPr>
  </w:style>
  <w:style w:type="paragraph" w:styleId="795">
    <w:name w:val="Normal (Web)"/>
    <w:basedOn w:val="765"/>
    <w:uiPriority w:val="0"/>
    <w:qFormat/>
    <w:pPr>
      <w:jc w:val="left"/>
      <w:spacing w:before="100" w:beforeAutospacing="1" w:after="100" w:afterAutospacing="1"/>
      <w:widowControl/>
    </w:pPr>
    <w:rPr>
      <w:rFonts w:ascii="宋体" w:hAnsi="宋体"/>
      <w:sz w:val="24"/>
    </w:rPr>
  </w:style>
  <w:style w:type="paragraph" w:styleId="796">
    <w:name w:val="index 1"/>
    <w:basedOn w:val="765"/>
    <w:next w:val="765"/>
    <w:uiPriority w:val="0"/>
    <w:qFormat/>
    <w:pPr>
      <w:jc w:val="center"/>
      <w:spacing w:line="220" w:lineRule="exact"/>
    </w:pPr>
    <w:rPr>
      <w:rFonts w:ascii="仿宋_GB2312" w:eastAsia="仿宋_GB2312"/>
      <w:sz w:val="21"/>
      <w:szCs w:val="20"/>
      <w:lang w:eastAsia="zh-CN"/>
    </w:rPr>
  </w:style>
  <w:style w:type="paragraph" w:styleId="797">
    <w:name w:val="Title"/>
    <w:basedOn w:val="765"/>
    <w:next w:val="765"/>
    <w:link w:val="828"/>
    <w:uiPriority w:val="0"/>
    <w:qFormat/>
    <w:pPr>
      <w:jc w:val="center"/>
      <w:spacing w:before="240" w:after="60"/>
      <w:outlineLvl w:val="0"/>
    </w:pPr>
    <w:rPr>
      <w:rFonts w:ascii="Cambria" w:hAnsi="Cambria" w:eastAsia="宋体"/>
      <w:b/>
      <w:bCs/>
      <w:sz w:val="32"/>
      <w:szCs w:val="32"/>
    </w:rPr>
  </w:style>
  <w:style w:type="paragraph" w:styleId="798">
    <w:name w:val="annotation subject"/>
    <w:basedOn w:val="780"/>
    <w:next w:val="780"/>
    <w:link w:val="829"/>
    <w:uiPriority w:val="0"/>
    <w:qFormat/>
    <w:rPr>
      <w:rFonts w:ascii="宋体" w:eastAsia="宋体"/>
      <w:b/>
      <w:bCs/>
      <w:sz w:val="28"/>
      <w:szCs w:val="20"/>
    </w:rPr>
  </w:style>
  <w:style w:type="paragraph" w:styleId="799">
    <w:name w:val="Body Text First Indent"/>
    <w:basedOn w:val="782"/>
    <w:link w:val="830"/>
    <w:uiPriority w:val="0"/>
    <w:qFormat/>
    <w:pPr>
      <w:ind w:left="0" w:firstLine="420"/>
      <w:spacing w:before="0" w:after="120"/>
    </w:pPr>
    <w:rPr>
      <w:rFonts w:eastAsia="Calibri"/>
      <w:sz w:val="22"/>
      <w:szCs w:val="22"/>
    </w:rPr>
  </w:style>
  <w:style w:type="table" w:styleId="800">
    <w:name w:val="Table Grid"/>
    <w:basedOn w:val="77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1">
    <w:name w:val="Strong"/>
    <w:uiPriority w:val="0"/>
    <w:qFormat/>
    <w:rPr>
      <w:b/>
      <w:bCs/>
    </w:rPr>
  </w:style>
  <w:style w:type="character" w:styleId="802">
    <w:name w:val="page number"/>
    <w:uiPriority w:val="0"/>
    <w:qFormat/>
  </w:style>
  <w:style w:type="character" w:styleId="803">
    <w:name w:val="FollowedHyperlink"/>
    <w:uiPriority w:val="99"/>
    <w:unhideWhenUsed/>
    <w:qFormat/>
    <w:rPr>
      <w:color w:val="800080"/>
      <w:u w:val="single"/>
    </w:rPr>
  </w:style>
  <w:style w:type="character" w:styleId="804">
    <w:name w:val="Emphasis"/>
    <w:uiPriority w:val="0"/>
    <w:qFormat/>
    <w:rPr>
      <w:i/>
      <w:iCs/>
    </w:rPr>
  </w:style>
  <w:style w:type="character" w:styleId="805">
    <w:name w:val="Hyperlink"/>
    <w:uiPriority w:val="99"/>
    <w:qFormat/>
    <w:rPr>
      <w:color w:val="0000ff"/>
      <w:u w:val="single"/>
    </w:rPr>
  </w:style>
  <w:style w:type="character" w:styleId="806">
    <w:name w:val="annotation reference"/>
    <w:uiPriority w:val="0"/>
    <w:qFormat/>
    <w:rPr>
      <w:sz w:val="21"/>
    </w:rPr>
  </w:style>
  <w:style w:type="character" w:styleId="807" w:customStyle="1">
    <w:name w:val="标题 4 字符"/>
    <w:link w:val="769"/>
    <w:uiPriority w:val="0"/>
    <w:qFormat/>
    <w:rPr>
      <w:rFonts w:ascii="宋体" w:hAnsi="宋体"/>
      <w:b/>
      <w:bCs/>
      <w:sz w:val="24"/>
      <w:szCs w:val="24"/>
      <w:lang w:eastAsia="en-US"/>
    </w:rPr>
  </w:style>
  <w:style w:type="character" w:styleId="808" w:customStyle="1">
    <w:name w:val="标题 1 字符"/>
    <w:link w:val="766"/>
    <w:uiPriority w:val="0"/>
    <w:qFormat/>
    <w:rPr>
      <w:rFonts w:ascii="黑体" w:hAnsi="黑体" w:eastAsia="黑体"/>
      <w:sz w:val="72"/>
      <w:szCs w:val="72"/>
      <w:lang w:eastAsia="en-US"/>
    </w:rPr>
  </w:style>
  <w:style w:type="character" w:styleId="809" w:customStyle="1">
    <w:name w:val="标题 2 字符"/>
    <w:link w:val="767"/>
    <w:uiPriority w:val="0"/>
    <w:qFormat/>
    <w:rPr>
      <w:rFonts w:ascii="黑体" w:hAnsi="黑体" w:eastAsia="黑体"/>
      <w:b/>
      <w:bCs/>
      <w:sz w:val="36"/>
      <w:szCs w:val="36"/>
      <w:lang w:eastAsia="en-US"/>
    </w:rPr>
  </w:style>
  <w:style w:type="character" w:styleId="810" w:customStyle="1">
    <w:name w:val="标题 3 字符"/>
    <w:link w:val="768"/>
    <w:uiPriority w:val="0"/>
    <w:qFormat/>
    <w:rPr>
      <w:rFonts w:ascii="黑体" w:hAnsi="黑体" w:eastAsia="黑体"/>
      <w:sz w:val="32"/>
      <w:szCs w:val="32"/>
      <w:lang w:eastAsia="en-US"/>
    </w:rPr>
  </w:style>
  <w:style w:type="character" w:styleId="811" w:customStyle="1">
    <w:name w:val="标题 5 字符"/>
    <w:link w:val="770"/>
    <w:uiPriority w:val="0"/>
    <w:qFormat/>
    <w:rPr>
      <w:b/>
      <w:bCs/>
      <w:sz w:val="28"/>
      <w:szCs w:val="28"/>
    </w:rPr>
  </w:style>
  <w:style w:type="character" w:styleId="812" w:customStyle="1">
    <w:name w:val="标题 6 字符"/>
    <w:link w:val="771"/>
    <w:uiPriority w:val="0"/>
    <w:qFormat/>
    <w:rPr>
      <w:rFonts w:ascii="Arial" w:hAnsi="Arial" w:eastAsia="黑体"/>
      <w:b/>
      <w:sz w:val="24"/>
    </w:rPr>
  </w:style>
  <w:style w:type="character" w:styleId="813" w:customStyle="1">
    <w:name w:val="标题 7 字符"/>
    <w:link w:val="772"/>
    <w:uiPriority w:val="0"/>
    <w:qFormat/>
    <w:rPr>
      <w:rFonts w:ascii="Times New Roman" w:hAnsi="Times New Roman"/>
      <w:b/>
      <w:sz w:val="24"/>
    </w:rPr>
  </w:style>
  <w:style w:type="character" w:styleId="814" w:customStyle="1">
    <w:name w:val="标题 8 字符"/>
    <w:link w:val="773"/>
    <w:uiPriority w:val="0"/>
    <w:qFormat/>
    <w:rPr>
      <w:rFonts w:ascii="Arial" w:hAnsi="Arial" w:eastAsia="黑体"/>
      <w:sz w:val="24"/>
    </w:rPr>
  </w:style>
  <w:style w:type="character" w:styleId="815" w:customStyle="1">
    <w:name w:val="标题 9 字符"/>
    <w:link w:val="774"/>
    <w:uiPriority w:val="0"/>
    <w:qFormat/>
    <w:rPr>
      <w:rFonts w:ascii="Arial" w:hAnsi="Arial" w:eastAsia="黑体"/>
      <w:sz w:val="21"/>
    </w:rPr>
  </w:style>
  <w:style w:type="character" w:styleId="816" w:customStyle="1">
    <w:name w:val="文档结构图 字符"/>
    <w:link w:val="779"/>
    <w:uiPriority w:val="0"/>
    <w:qFormat/>
    <w:rPr>
      <w:rFonts w:ascii="Times New Roman" w:hAnsi="Times New Roman"/>
      <w:sz w:val="21"/>
      <w:shd w:val="clear" w:color="auto" w:fill="000080"/>
    </w:rPr>
  </w:style>
  <w:style w:type="character" w:styleId="817" w:customStyle="1">
    <w:name w:val="批注文字 字符"/>
    <w:link w:val="780"/>
    <w:uiPriority w:val="0"/>
    <w:qFormat/>
    <w:rPr>
      <w:rFonts w:eastAsia="Calibri"/>
      <w:szCs w:val="22"/>
      <w:lang w:eastAsia="en-US"/>
    </w:rPr>
  </w:style>
  <w:style w:type="character" w:styleId="818" w:customStyle="1">
    <w:name w:val="正文文本 3 字符"/>
    <w:link w:val="781"/>
    <w:uiPriority w:val="0"/>
    <w:qFormat/>
    <w:rPr>
      <w:rFonts w:ascii="宋体"/>
      <w:sz w:val="24"/>
    </w:rPr>
  </w:style>
  <w:style w:type="character" w:styleId="819" w:customStyle="1">
    <w:name w:val="正文文本 字符"/>
    <w:link w:val="782"/>
    <w:uiPriority w:val="0"/>
    <w:qFormat/>
    <w:rPr>
      <w:rFonts w:ascii="宋体" w:hAnsi="宋体"/>
      <w:sz w:val="24"/>
      <w:szCs w:val="24"/>
      <w:lang w:eastAsia="en-US"/>
    </w:rPr>
  </w:style>
  <w:style w:type="character" w:styleId="820" w:customStyle="1">
    <w:name w:val="正文文本缩进 字符"/>
    <w:link w:val="783"/>
    <w:uiPriority w:val="0"/>
    <w:qFormat/>
    <w:rPr>
      <w:rFonts w:ascii="Calibri" w:hAnsi="Calibri" w:eastAsia="宋体" w:cs="Times New Roman"/>
      <w:sz w:val="21"/>
      <w:szCs w:val="22"/>
    </w:rPr>
  </w:style>
  <w:style w:type="character" w:styleId="821" w:customStyle="1">
    <w:name w:val="纯文本 字符"/>
    <w:link w:val="786"/>
    <w:uiPriority w:val="0"/>
    <w:qFormat/>
    <w:rPr>
      <w:rFonts w:ascii="宋体" w:hAnsi="Courier New"/>
    </w:rPr>
  </w:style>
  <w:style w:type="character" w:styleId="822" w:customStyle="1">
    <w:name w:val="日期 字符"/>
    <w:link w:val="787"/>
    <w:uiPriority w:val="0"/>
    <w:qFormat/>
    <w:rPr>
      <w:rFonts w:ascii="Times New Roman" w:hAnsi="Times New Roman"/>
      <w:sz w:val="24"/>
    </w:rPr>
  </w:style>
  <w:style w:type="character" w:styleId="823" w:customStyle="1">
    <w:name w:val="批注框文本 字符"/>
    <w:link w:val="788"/>
    <w:uiPriority w:val="0"/>
    <w:qFormat/>
    <w:rPr>
      <w:rFonts w:eastAsia="Calibri"/>
      <w:sz w:val="18"/>
      <w:szCs w:val="18"/>
      <w:lang w:eastAsia="en-US"/>
    </w:rPr>
  </w:style>
  <w:style w:type="character" w:styleId="824" w:customStyle="1">
    <w:name w:val="页脚 字符"/>
    <w:link w:val="789"/>
    <w:uiPriority w:val="99"/>
    <w:qFormat/>
    <w:rPr>
      <w:rFonts w:eastAsia="Calibri"/>
      <w:sz w:val="18"/>
      <w:szCs w:val="22"/>
      <w:lang w:eastAsia="en-US"/>
    </w:rPr>
  </w:style>
  <w:style w:type="character" w:styleId="825" w:customStyle="1">
    <w:name w:val="页眉 字符"/>
    <w:link w:val="790"/>
    <w:uiPriority w:val="0"/>
    <w:qFormat/>
    <w:rPr>
      <w:rFonts w:eastAsia="Calibri"/>
      <w:sz w:val="18"/>
      <w:szCs w:val="22"/>
      <w:lang w:eastAsia="en-US"/>
    </w:rPr>
  </w:style>
  <w:style w:type="character" w:styleId="826" w:customStyle="1">
    <w:name w:val="副标题 字符"/>
    <w:link w:val="792"/>
    <w:uiPriority w:val="0"/>
    <w:qFormat/>
    <w:rPr>
      <w:rFonts w:ascii="Cambria" w:hAnsi="Cambria"/>
      <w:b/>
      <w:bCs/>
      <w:sz w:val="32"/>
      <w:szCs w:val="32"/>
    </w:rPr>
  </w:style>
  <w:style w:type="character" w:styleId="827" w:customStyle="1">
    <w:name w:val="正文文本缩进 3 字符"/>
    <w:link w:val="793"/>
    <w:uiPriority w:val="0"/>
    <w:qFormat/>
    <w:rPr>
      <w:rFonts w:ascii="Times New Roman" w:hAnsi="Times New Roman"/>
      <w:sz w:val="16"/>
    </w:rPr>
  </w:style>
  <w:style w:type="character" w:styleId="828" w:customStyle="1">
    <w:name w:val="标题 字符"/>
    <w:link w:val="797"/>
    <w:uiPriority w:val="0"/>
    <w:qFormat/>
    <w:rPr>
      <w:rFonts w:ascii="Cambria" w:hAnsi="Cambria"/>
      <w:b/>
      <w:bCs/>
      <w:sz w:val="32"/>
      <w:szCs w:val="32"/>
      <w:lang w:eastAsia="en-US"/>
    </w:rPr>
  </w:style>
  <w:style w:type="character" w:styleId="829" w:customStyle="1">
    <w:name w:val="批注主题 字符"/>
    <w:link w:val="798"/>
    <w:uiPriority w:val="0"/>
    <w:qFormat/>
    <w:rPr>
      <w:rFonts w:ascii="宋体"/>
      <w:b/>
      <w:bCs/>
      <w:sz w:val="28"/>
    </w:rPr>
  </w:style>
  <w:style w:type="character" w:styleId="830" w:customStyle="1">
    <w:name w:val="正文文本首行缩进 字符"/>
    <w:link w:val="799"/>
    <w:uiPriority w:val="0"/>
    <w:qFormat/>
    <w:rPr>
      <w:rFonts w:ascii="宋体" w:hAnsi="宋体" w:eastAsia="Calibri"/>
      <w:sz w:val="22"/>
      <w:szCs w:val="22"/>
      <w:lang w:eastAsia="en-US"/>
    </w:rPr>
  </w:style>
  <w:style w:type="character" w:styleId="831" w:customStyle="1">
    <w:name w:val="NormalCharacter1"/>
    <w:uiPriority w:val="0"/>
    <w:qFormat/>
    <w:rPr>
      <w:rFonts w:eastAsia="Calibri"/>
      <w:sz w:val="22"/>
      <w:szCs w:val="22"/>
      <w:lang w:val="en-US" w:eastAsia="en-US" w:bidi="ar-SA"/>
    </w:rPr>
  </w:style>
  <w:style w:type="paragraph" w:styleId="832" w:customStyle="1">
    <w:name w:val="Default"/>
    <w:next w:val="765"/>
    <w:uiPriority w:val="0"/>
    <w:qFormat/>
    <w:pPr>
      <w:widowControl w:val="off"/>
    </w:pPr>
    <w:rPr>
      <w:rFonts w:ascii="宋体" w:hAnsi="Times New Roman" w:eastAsia="宋体" w:cs="宋体"/>
      <w:color w:val="000000"/>
      <w:sz w:val="24"/>
      <w:szCs w:val="24"/>
      <w:lang w:val="en-US" w:eastAsia="zh-CN" w:bidi="ar-SA"/>
    </w:rPr>
  </w:style>
  <w:style w:type="paragraph" w:styleId="833" w:customStyle="1">
    <w:name w:val="列出段落1"/>
    <w:uiPriority w:val="99"/>
    <w:qFormat/>
    <w:pPr>
      <w:widowControl w:val="off"/>
      <w:pBdr>
        <w:top w:val="none" w:color="FFFFFF" w:sz="0" w:space="31"/>
        <w:left w:val="none" w:color="FFFFFF" w:sz="0" w:space="31"/>
        <w:bottom w:val="none" w:color="FFFFFF" w:sz="0" w:space="31"/>
        <w:right w:val="none" w:color="FFFFFF" w:sz="0" w:space="31"/>
      </w:pBdr>
    </w:pPr>
    <w:rPr>
      <w:rFonts w:ascii="Arial Unicode MS" w:hAnsi="Arial Unicode MS" w:eastAsia="宋体" w:cs="Arial Unicode MS"/>
      <w:color w:val="000000"/>
      <w:sz w:val="22"/>
      <w:szCs w:val="22"/>
      <w:shd w:val="clear" w:color="ffffff" w:fill="ffffff"/>
      <w:lang w:val="en-US" w:eastAsia="zh-CN" w:bidi="ar-SA"/>
    </w:rPr>
  </w:style>
  <w:style w:type="paragraph" w:styleId="834" w:customStyle="1">
    <w:name w:val="首行缩进"/>
    <w:basedOn w:val="765"/>
    <w:uiPriority w:val="99"/>
    <w:qFormat/>
    <w:pPr>
      <w:ind w:firstLine="480"/>
      <w:spacing w:line="360" w:lineRule="auto"/>
    </w:pPr>
    <w:rPr>
      <w:rFonts w:ascii="宋体" w:hAnsi="宋体"/>
      <w:sz w:val="24"/>
      <w:szCs w:val="24"/>
    </w:rPr>
  </w:style>
  <w:style w:type="character" w:styleId="835" w:customStyle="1">
    <w:name w:val="批注文字 Char3"/>
    <w:uiPriority w:val="0"/>
    <w:qFormat/>
    <w:rPr>
      <w:rFonts w:ascii="Times New Roman" w:hAnsi="Times New Roman" w:eastAsia="宋体" w:cs="Times New Roman"/>
      <w:szCs w:val="20"/>
    </w:rPr>
  </w:style>
  <w:style w:type="character" w:styleId="836" w:customStyle="1">
    <w:name w:val="标题4 Char Char"/>
    <w:link w:val="837"/>
    <w:uiPriority w:val="0"/>
    <w:qFormat/>
    <w:rPr>
      <w:rFonts w:ascii="Arial" w:hAnsi="Arial"/>
      <w:b/>
      <w:bCs/>
      <w:sz w:val="24"/>
      <w:szCs w:val="32"/>
    </w:rPr>
  </w:style>
  <w:style w:type="paragraph" w:styleId="837" w:customStyle="1">
    <w:name w:val="标题4"/>
    <w:basedOn w:val="767"/>
    <w:next w:val="784"/>
    <w:link w:val="836"/>
    <w:uiPriority w:val="0"/>
    <w:qFormat/>
    <w:pPr>
      <w:ind w:left="0"/>
      <w:jc w:val="both"/>
      <w:keepLines/>
      <w:keepNext/>
      <w:spacing w:before="260" w:after="260" w:line="413" w:lineRule="auto"/>
    </w:pPr>
    <w:rPr>
      <w:rFonts w:ascii="Arial" w:hAnsi="Arial" w:eastAsia="宋体"/>
      <w:sz w:val="24"/>
      <w:szCs w:val="32"/>
    </w:rPr>
  </w:style>
  <w:style w:type="character" w:styleId="838" w:customStyle="1">
    <w:name w:val="批注主题 Char1"/>
    <w:uiPriority w:val="0"/>
    <w:qFormat/>
    <w:rPr>
      <w:rFonts w:eastAsia="Calibri"/>
      <w:b/>
      <w:bCs/>
      <w:sz w:val="22"/>
      <w:szCs w:val="22"/>
      <w:lang w:eastAsia="en-US"/>
    </w:rPr>
  </w:style>
  <w:style w:type="character" w:styleId="839" w:customStyle="1">
    <w:name w:val="纯文本 Char1"/>
    <w:uiPriority w:val="0"/>
    <w:qFormat/>
    <w:rPr>
      <w:rFonts w:ascii="宋体" w:hAnsi="Courier New" w:cs="Courier New"/>
      <w:sz w:val="21"/>
      <w:szCs w:val="21"/>
      <w:lang w:eastAsia="en-US"/>
    </w:rPr>
  </w:style>
  <w:style w:type="character" w:styleId="840" w:customStyle="1">
    <w:name w:val="NormalCharacter"/>
    <w:uiPriority w:val="0"/>
    <w:qFormat/>
  </w:style>
  <w:style w:type="character" w:styleId="841" w:customStyle="1">
    <w:name w:val="_Style 76"/>
    <w:uiPriority w:val="99"/>
    <w:unhideWhenUsed/>
    <w:qFormat/>
    <w:rPr>
      <w:color w:val="605e5c"/>
      <w:shd w:val="clear" w:color="auto" w:fill="e1dfdd"/>
    </w:rPr>
  </w:style>
  <w:style w:type="character" w:styleId="842" w:customStyle="1">
    <w:name w:val="Subtle Reference"/>
    <w:uiPriority w:val="0"/>
    <w:qFormat/>
    <w:rPr>
      <w:smallCaps/>
      <w:color w:val="c0504d"/>
      <w:u w:val="single"/>
    </w:rPr>
  </w:style>
  <w:style w:type="character" w:styleId="843" w:customStyle="1">
    <w:name w:val="明显引用 Char2"/>
    <w:uiPriority w:val="30"/>
    <w:qFormat/>
    <w:rPr>
      <w:b/>
      <w:bCs/>
      <w:i/>
      <w:iCs/>
      <w:color w:val="4f81bd"/>
      <w:sz w:val="21"/>
    </w:rPr>
  </w:style>
  <w:style w:type="character" w:styleId="844" w:customStyle="1">
    <w:name w:val="明显引用 Char1"/>
    <w:uiPriority w:val="30"/>
    <w:qFormat/>
    <w:rPr>
      <w:rFonts w:eastAsia="Calibri"/>
      <w:b/>
      <w:bCs/>
      <w:i/>
      <w:iCs/>
      <w:color w:val="4f81bd"/>
      <w:sz w:val="22"/>
      <w:szCs w:val="22"/>
      <w:lang w:eastAsia="en-US"/>
    </w:rPr>
  </w:style>
  <w:style w:type="character" w:styleId="845" w:customStyle="1">
    <w:name w:val="文档结构图 Char1"/>
    <w:uiPriority w:val="99"/>
    <w:qFormat/>
    <w:rPr>
      <w:rFonts w:ascii="宋体"/>
      <w:sz w:val="18"/>
      <w:szCs w:val="18"/>
    </w:rPr>
  </w:style>
  <w:style w:type="character" w:styleId="846" w:customStyle="1">
    <w:name w:val="标题 3 Char Char Char"/>
    <w:uiPriority w:val="0"/>
    <w:qFormat/>
    <w:rPr>
      <w:rFonts w:eastAsia="宋体"/>
      <w:b/>
      <w:sz w:val="32"/>
      <w:lang w:val="en-US" w:eastAsia="zh-CN" w:bidi="ar-SA"/>
    </w:rPr>
  </w:style>
  <w:style w:type="character" w:styleId="847" w:customStyle="1">
    <w:name w:val="副标题 Char2"/>
    <w:uiPriority w:val="11"/>
    <w:qFormat/>
    <w:rPr>
      <w:rFonts w:ascii="Cambria" w:hAnsi="Cambria" w:cs="Times New Roman"/>
      <w:b/>
      <w:bCs/>
      <w:sz w:val="32"/>
      <w:szCs w:val="32"/>
      <w:lang w:eastAsia="en-US"/>
    </w:rPr>
  </w:style>
  <w:style w:type="character" w:styleId="848" w:customStyle="1">
    <w:name w:val="批注主题 Char3"/>
    <w:uiPriority w:val="99"/>
    <w:qFormat/>
  </w:style>
  <w:style w:type="character" w:styleId="849" w:customStyle="1">
    <w:name w:val="正文文本 Char2"/>
    <w:uiPriority w:val="99"/>
    <w:semiHidden/>
    <w:qFormat/>
    <w:rPr>
      <w:rFonts w:ascii="Calibri" w:hAnsi="Calibri" w:eastAsia="宋体" w:cs="Times New Roman"/>
    </w:rPr>
  </w:style>
  <w:style w:type="character" w:styleId="850" w:customStyle="1">
    <w:name w:val="明显引用 字符"/>
    <w:link w:val="851"/>
    <w:uiPriority w:val="0"/>
    <w:qFormat/>
    <w:rPr>
      <w:b/>
      <w:bCs/>
      <w:i/>
      <w:iCs/>
      <w:color w:val="4f81bd"/>
    </w:rPr>
  </w:style>
  <w:style w:type="paragraph" w:styleId="851">
    <w:name w:val="Intense Quote"/>
    <w:basedOn w:val="765"/>
    <w:next w:val="765"/>
    <w:link w:val="850"/>
    <w:uiPriority w:val="0"/>
    <w:qFormat/>
    <w:pPr>
      <w:ind w:left="936" w:right="936"/>
      <w:jc w:val="both"/>
      <w:spacing w:before="200" w:after="280"/>
      <w:pBdr>
        <w:bottom w:val="single" w:color="4F81BD" w:sz="4" w:space="4"/>
      </w:pBdr>
    </w:pPr>
    <w:rPr>
      <w:rFonts w:eastAsia="宋体"/>
      <w:b/>
      <w:bCs/>
      <w:i/>
      <w:iCs/>
      <w:color w:val="4f81bd"/>
      <w:sz w:val="20"/>
      <w:szCs w:val="20"/>
    </w:rPr>
  </w:style>
  <w:style w:type="character" w:styleId="852" w:customStyle="1">
    <w:name w:val="正文文本缩进 Char1"/>
    <w:uiPriority w:val="99"/>
    <w:qFormat/>
    <w:rPr>
      <w:rFonts w:eastAsia="Calibri"/>
      <w:sz w:val="22"/>
      <w:szCs w:val="22"/>
      <w:lang w:eastAsia="en-US"/>
    </w:rPr>
  </w:style>
  <w:style w:type="character" w:styleId="853" w:customStyle="1">
    <w:name w:val="文档结构图 Char2"/>
    <w:uiPriority w:val="99"/>
    <w:semiHidden/>
    <w:qFormat/>
    <w:rPr>
      <w:rFonts w:ascii="宋体" w:hAnsi="Calibri" w:eastAsia="宋体" w:cs="Times New Roman"/>
      <w:sz w:val="18"/>
      <w:szCs w:val="18"/>
    </w:rPr>
  </w:style>
  <w:style w:type="character" w:styleId="854" w:customStyle="1">
    <w:name w:val="Intense Emphasis"/>
    <w:uiPriority w:val="0"/>
    <w:qFormat/>
    <w:rPr>
      <w:b/>
      <w:bCs/>
      <w:i/>
      <w:iCs/>
      <w:color w:val="4f81bd"/>
    </w:rPr>
  </w:style>
  <w:style w:type="character" w:styleId="855" w:customStyle="1">
    <w:name w:val="正文文本 Char1"/>
    <w:uiPriority w:val="99"/>
    <w:qFormat/>
    <w:rPr>
      <w:sz w:val="21"/>
      <w:szCs w:val="22"/>
    </w:rPr>
  </w:style>
  <w:style w:type="character" w:styleId="856" w:customStyle="1">
    <w:name w:val="批注主题 Char2"/>
    <w:uiPriority w:val="99"/>
    <w:qFormat/>
    <w:rPr>
      <w:b/>
      <w:bCs/>
      <w:sz w:val="21"/>
    </w:rPr>
  </w:style>
  <w:style w:type="character" w:styleId="857" w:customStyle="1">
    <w:name w:val="批注框文本 Char1"/>
    <w:uiPriority w:val="99"/>
    <w:qFormat/>
    <w:rPr>
      <w:sz w:val="18"/>
      <w:szCs w:val="18"/>
    </w:rPr>
  </w:style>
  <w:style w:type="character" w:styleId="858" w:customStyle="1">
    <w:name w:val="日期 Char1"/>
    <w:uiPriority w:val="99"/>
    <w:qFormat/>
    <w:rPr>
      <w:sz w:val="21"/>
      <w:szCs w:val="22"/>
    </w:rPr>
  </w:style>
  <w:style w:type="character" w:styleId="859" w:customStyle="1">
    <w:name w:val="日期 Char2"/>
    <w:uiPriority w:val="99"/>
    <w:semiHidden/>
    <w:qFormat/>
    <w:rPr>
      <w:rFonts w:ascii="Calibri" w:hAnsi="Calibri" w:eastAsia="宋体" w:cs="Times New Roman"/>
    </w:rPr>
  </w:style>
  <w:style w:type="character" w:styleId="860" w:customStyle="1">
    <w:name w:val="textcontents"/>
    <w:uiPriority w:val="0"/>
    <w:qFormat/>
    <w:rPr>
      <w:rFonts w:cs="Times New Roman"/>
    </w:rPr>
  </w:style>
  <w:style w:type="character" w:styleId="861" w:customStyle="1">
    <w:name w:val="标题5 Char Char"/>
    <w:link w:val="862"/>
    <w:uiPriority w:val="0"/>
    <w:qFormat/>
    <w:rPr>
      <w:rFonts w:ascii="Arial" w:hAnsi="Arial"/>
      <w:b/>
      <w:bCs/>
      <w:sz w:val="24"/>
      <w:szCs w:val="32"/>
    </w:rPr>
  </w:style>
  <w:style w:type="paragraph" w:styleId="862" w:customStyle="1">
    <w:name w:val="标题5"/>
    <w:basedOn w:val="768"/>
    <w:link w:val="861"/>
    <w:uiPriority w:val="0"/>
    <w:qFormat/>
    <w:pPr>
      <w:jc w:val="both"/>
      <w:keepLines/>
      <w:keepNext/>
      <w:spacing w:before="260" w:after="260" w:line="413" w:lineRule="auto"/>
    </w:pPr>
    <w:rPr>
      <w:rFonts w:ascii="Arial" w:hAnsi="Arial" w:eastAsia="宋体"/>
      <w:b/>
      <w:bCs/>
      <w:sz w:val="24"/>
    </w:rPr>
  </w:style>
  <w:style w:type="character" w:styleId="863" w:customStyle="1">
    <w:name w:val="副标题 Char1"/>
    <w:uiPriority w:val="11"/>
    <w:qFormat/>
    <w:rPr>
      <w:rFonts w:ascii="Calibri Light" w:hAnsi="Calibri Light" w:cs="Times New Roman"/>
      <w:b/>
      <w:bCs/>
      <w:sz w:val="32"/>
      <w:szCs w:val="32"/>
    </w:rPr>
  </w:style>
  <w:style w:type="character" w:styleId="864" w:customStyle="1">
    <w:name w:val="bookmark"/>
    <w:uiPriority w:val="0"/>
    <w:qFormat/>
  </w:style>
  <w:style w:type="character" w:styleId="865" w:customStyle="1">
    <w:name w:val="正文文本 3 Char1"/>
    <w:uiPriority w:val="99"/>
    <w:qFormat/>
    <w:rPr>
      <w:rFonts w:eastAsia="Calibri"/>
      <w:sz w:val="16"/>
      <w:szCs w:val="16"/>
      <w:lang w:eastAsia="en-US"/>
    </w:rPr>
  </w:style>
  <w:style w:type="character" w:styleId="866" w:customStyle="1">
    <w:name w:val="正文文本 Char_0"/>
    <w:link w:val="867"/>
    <w:uiPriority w:val="0"/>
    <w:qFormat/>
    <w:rPr>
      <w:rFonts w:ascii="宋体"/>
      <w:sz w:val="24"/>
    </w:rPr>
  </w:style>
  <w:style w:type="paragraph" w:styleId="867" w:customStyle="1">
    <w:name w:val="正文文本_0"/>
    <w:basedOn w:val="868"/>
    <w:link w:val="866"/>
    <w:uiPriority w:val="0"/>
    <w:qFormat/>
    <w:pPr>
      <w:spacing w:line="360" w:lineRule="auto"/>
    </w:pPr>
    <w:rPr>
      <w:rFonts w:ascii="宋体"/>
      <w:sz w:val="24"/>
    </w:rPr>
  </w:style>
  <w:style w:type="paragraph" w:styleId="868" w:customStyle="1">
    <w:name w:val="正文_0"/>
    <w:uiPriority w:val="0"/>
    <w:qFormat/>
    <w:pPr>
      <w:jc w:val="both"/>
      <w:widowControl w:val="off"/>
    </w:pPr>
    <w:rPr>
      <w:rFonts w:ascii="Times New Roman" w:hAnsi="Times New Roman" w:eastAsia="宋体" w:cs="Times New Roman"/>
      <w:sz w:val="21"/>
      <w:lang w:val="en-US" w:eastAsia="zh-CN" w:bidi="ar-SA"/>
    </w:rPr>
  </w:style>
  <w:style w:type="character" w:styleId="869" w:customStyle="1">
    <w:name w:val="引用 Char1"/>
    <w:uiPriority w:val="29"/>
    <w:qFormat/>
    <w:rPr>
      <w:i/>
      <w:iCs/>
      <w:color w:val="404040"/>
      <w:sz w:val="21"/>
    </w:rPr>
  </w:style>
  <w:style w:type="character" w:styleId="870" w:customStyle="1">
    <w:name w:val="批注文字 Char2"/>
    <w:uiPriority w:val="0"/>
    <w:qFormat/>
    <w:rPr>
      <w:sz w:val="21"/>
    </w:rPr>
  </w:style>
  <w:style w:type="character" w:styleId="871" w:customStyle="1">
    <w:name w:val="批注文字 Char Char"/>
    <w:uiPriority w:val="0"/>
    <w:qFormat/>
    <w:rPr>
      <w:rFonts w:ascii="宋体" w:hAnsi="Times New Roman" w:eastAsia="宋体" w:cs="Times New Roman"/>
      <w:sz w:val="28"/>
      <w:szCs w:val="20"/>
    </w:rPr>
  </w:style>
  <w:style w:type="character" w:styleId="872" w:customStyle="1">
    <w:name w:val="标题 Char1"/>
    <w:uiPriority w:val="10"/>
    <w:qFormat/>
    <w:rPr>
      <w:rFonts w:ascii="Cambria" w:hAnsi="Cambria" w:eastAsia="宋体" w:cs="Times New Roman"/>
      <w:b/>
      <w:bCs/>
      <w:sz w:val="32"/>
      <w:szCs w:val="32"/>
    </w:rPr>
  </w:style>
  <w:style w:type="character" w:styleId="873" w:customStyle="1">
    <w:name w:val="批注框文本 Char2"/>
    <w:uiPriority w:val="99"/>
    <w:semiHidden/>
    <w:qFormat/>
    <w:rPr>
      <w:rFonts w:ascii="Calibri" w:hAnsi="Calibri" w:eastAsia="宋体" w:cs="Times New Roman"/>
      <w:sz w:val="18"/>
      <w:szCs w:val="18"/>
    </w:rPr>
  </w:style>
  <w:style w:type="character" w:styleId="874" w:customStyle="1">
    <w:name w:val="引用 字符"/>
    <w:link w:val="875"/>
    <w:uiPriority w:val="0"/>
    <w:qFormat/>
    <w:rPr>
      <w:i/>
      <w:iCs/>
      <w:color w:val="000000"/>
    </w:rPr>
  </w:style>
  <w:style w:type="paragraph" w:styleId="875">
    <w:name w:val="Quote"/>
    <w:basedOn w:val="765"/>
    <w:next w:val="765"/>
    <w:link w:val="874"/>
    <w:uiPriority w:val="0"/>
    <w:qFormat/>
    <w:pPr>
      <w:jc w:val="both"/>
    </w:pPr>
    <w:rPr>
      <w:rFonts w:eastAsia="宋体"/>
      <w:i/>
      <w:iCs/>
      <w:color w:val="000000"/>
      <w:sz w:val="20"/>
      <w:szCs w:val="20"/>
    </w:rPr>
  </w:style>
  <w:style w:type="character" w:styleId="876" w:customStyle="1">
    <w:name w:val="UserStyle_1"/>
    <w:link w:val="877"/>
    <w:uiPriority w:val="0"/>
    <w:qFormat/>
    <w:rPr>
      <w:sz w:val="21"/>
      <w:szCs w:val="24"/>
    </w:rPr>
  </w:style>
  <w:style w:type="paragraph" w:styleId="877" w:customStyle="1">
    <w:name w:val="NormalIndent"/>
    <w:basedOn w:val="765"/>
    <w:link w:val="876"/>
    <w:uiPriority w:val="0"/>
    <w:qFormat/>
    <w:pPr>
      <w:ind w:firstLine="420"/>
      <w:jc w:val="both"/>
      <w:widowControl/>
    </w:pPr>
    <w:rPr>
      <w:rFonts w:eastAsia="宋体"/>
      <w:sz w:val="21"/>
      <w:szCs w:val="24"/>
    </w:rPr>
  </w:style>
  <w:style w:type="character" w:styleId="878" w:customStyle="1">
    <w:name w:val="引用 Char2"/>
    <w:uiPriority w:val="29"/>
    <w:qFormat/>
    <w:rPr>
      <w:rFonts w:eastAsia="Calibri"/>
      <w:i/>
      <w:iCs/>
      <w:color w:val="000000"/>
      <w:sz w:val="22"/>
      <w:szCs w:val="22"/>
      <w:lang w:eastAsia="en-US"/>
    </w:rPr>
  </w:style>
  <w:style w:type="character" w:styleId="879" w:customStyle="1">
    <w:name w:val="无"/>
    <w:uiPriority w:val="99"/>
    <w:qFormat/>
  </w:style>
  <w:style w:type="character" w:styleId="880" w:customStyle="1">
    <w:name w:val="font161"/>
    <w:uiPriority w:val="0"/>
    <w:qFormat/>
    <w:rPr>
      <w:b/>
      <w:sz w:val="32"/>
    </w:rPr>
  </w:style>
  <w:style w:type="character" w:styleId="881" w:customStyle="1">
    <w:name w:val="Subtle Emphasis"/>
    <w:uiPriority w:val="0"/>
    <w:qFormat/>
    <w:rPr>
      <w:i/>
      <w:iCs/>
      <w:color w:val="808080"/>
    </w:rPr>
  </w:style>
  <w:style w:type="character" w:styleId="882" w:customStyle="1">
    <w:name w:val="页脚 Char1"/>
    <w:uiPriority w:val="99"/>
    <w:semiHidden/>
    <w:qFormat/>
    <w:rPr>
      <w:rFonts w:ascii="Calibri" w:hAnsi="Calibri" w:eastAsia="宋体" w:cs="Times New Roman"/>
      <w:sz w:val="18"/>
      <w:szCs w:val="18"/>
    </w:rPr>
  </w:style>
  <w:style w:type="character" w:styleId="883" w:customStyle="1">
    <w:name w:val="Book Title"/>
    <w:uiPriority w:val="0"/>
    <w:qFormat/>
    <w:rPr>
      <w:b/>
      <w:bCs/>
      <w:smallCaps/>
      <w:spacing w:val="5"/>
    </w:rPr>
  </w:style>
  <w:style w:type="character" w:styleId="884" w:customStyle="1">
    <w:name w:val="批注文字 Char1"/>
    <w:uiPriority w:val="99"/>
    <w:semiHidden/>
    <w:qFormat/>
    <w:rPr>
      <w:rFonts w:ascii="Calibri" w:hAnsi="Calibri" w:eastAsia="宋体" w:cs="Times New Roman"/>
    </w:rPr>
  </w:style>
  <w:style w:type="character" w:styleId="885" w:customStyle="1">
    <w:name w:val="Intense Reference"/>
    <w:uiPriority w:val="0"/>
    <w:qFormat/>
    <w:rPr>
      <w:b/>
      <w:bCs/>
      <w:smallCaps/>
      <w:color w:val="c0504d"/>
      <w:spacing w:val="5"/>
      <w:u w:val="single"/>
    </w:rPr>
  </w:style>
  <w:style w:type="character" w:styleId="886" w:customStyle="1">
    <w:name w:val="页眉 Char1"/>
    <w:uiPriority w:val="99"/>
    <w:semiHidden/>
    <w:qFormat/>
    <w:rPr>
      <w:rFonts w:ascii="Calibri" w:hAnsi="Calibri" w:eastAsia="宋体" w:cs="Times New Roman"/>
      <w:sz w:val="18"/>
      <w:szCs w:val="18"/>
    </w:rPr>
  </w:style>
  <w:style w:type="paragraph" w:styleId="887" w:customStyle="1">
    <w:name w:val="样式 标题 3 + (中文) 黑体 小四 非加粗 段前: 7.8 磅 段后: 0 磅 行距: 固定值 20 磅"/>
    <w:basedOn w:val="768"/>
    <w:uiPriority w:val="0"/>
    <w:qFormat/>
    <w:pPr>
      <w:jc w:val="both"/>
      <w:keepLines/>
      <w:keepNext/>
      <w:spacing w:line="400" w:lineRule="exact"/>
    </w:pPr>
    <w:rPr>
      <w:rFonts w:ascii="Times New Roman" w:hAnsi="Times New Roman"/>
      <w:sz w:val="24"/>
      <w:szCs w:val="20"/>
      <w:lang w:eastAsia="zh-CN"/>
    </w:rPr>
  </w:style>
  <w:style w:type="paragraph" w:styleId="888" w:customStyle="1">
    <w:name w:val="正文 A"/>
    <w:next w:val="834"/>
    <w:uiPriority w:val="99"/>
    <w:qFormat/>
    <w:pPr>
      <w:widowControl w:val="off"/>
      <w:pBdr>
        <w:top w:val="none" w:color="FFFFFF" w:sz="0" w:space="31"/>
        <w:left w:val="none" w:color="FFFFFF" w:sz="0" w:space="31"/>
        <w:bottom w:val="none" w:color="FFFFFF" w:sz="0" w:space="31"/>
        <w:right w:val="none" w:color="FFFFFF" w:sz="0" w:space="31"/>
      </w:pBdr>
    </w:pPr>
    <w:rPr>
      <w:rFonts w:ascii="Times New Roman" w:hAnsi="Times New Roman" w:eastAsia="宋体" w:cs="Arial Unicode MS"/>
      <w:color w:val="000000"/>
      <w:sz w:val="22"/>
      <w:szCs w:val="22"/>
      <w:shd w:val="clear" w:color="ffffff" w:fill="ffffff"/>
      <w:lang w:val="en-US" w:eastAsia="zh-CN" w:bidi="ar-SA"/>
    </w:rPr>
  </w:style>
  <w:style w:type="paragraph" w:styleId="889" w:customStyle="1">
    <w:name w:val="普通正文"/>
    <w:basedOn w:val="765"/>
    <w:uiPriority w:val="0"/>
    <w:qFormat/>
    <w:pPr>
      <w:ind w:firstLine="480"/>
      <w:spacing w:before="120" w:after="120" w:line="360" w:lineRule="auto"/>
    </w:pPr>
    <w:rPr>
      <w:rFonts w:ascii="Arial" w:hAnsi="Arial" w:eastAsia="宋体"/>
      <w:sz w:val="24"/>
      <w:szCs w:val="24"/>
      <w:lang w:eastAsia="zh-CN"/>
    </w:rPr>
  </w:style>
  <w:style w:type="paragraph" w:styleId="890" w:customStyle="1">
    <w:name w:val="1"/>
    <w:basedOn w:val="765"/>
    <w:next w:val="765"/>
    <w:uiPriority w:val="0"/>
    <w:qFormat/>
    <w:pPr>
      <w:jc w:val="both"/>
    </w:pPr>
    <w:rPr>
      <w:rFonts w:eastAsia="宋体"/>
      <w:sz w:val="21"/>
      <w:szCs w:val="20"/>
      <w:lang w:eastAsia="zh-CN"/>
    </w:rPr>
  </w:style>
  <w:style w:type="paragraph" w:styleId="891" w:customStyle="1">
    <w:name w:val="ѹʽ ꌢ 2 + Times New Roman ˄ŠǼӴ֠·: 5 󜺠0 ܺ ̶ֵ 20..."/>
    <w:basedOn w:val="765"/>
    <w:uiPriority w:val="0"/>
    <w:qFormat/>
    <w:pPr>
      <w:jc w:val="both"/>
      <w:keepNext/>
      <w:spacing w:before="100" w:line="400" w:lineRule="atLeast"/>
      <w:widowControl/>
    </w:pPr>
    <w:rPr>
      <w:rFonts w:eastAsia="宋体"/>
      <w:sz w:val="28"/>
      <w:szCs w:val="28"/>
      <w:lang w:eastAsia="zh-CN"/>
    </w:rPr>
  </w:style>
  <w:style w:type="paragraph" w:styleId="892" w:customStyle="1">
    <w:name w:val="表格文字"/>
    <w:basedOn w:val="765"/>
    <w:uiPriority w:val="0"/>
    <w:qFormat/>
    <w:pPr>
      <w:spacing w:line="420" w:lineRule="atLeast"/>
    </w:pPr>
    <w:rPr>
      <w:rFonts w:eastAsia="宋体"/>
      <w:sz w:val="21"/>
      <w:szCs w:val="20"/>
      <w:lang w:eastAsia="zh-CN"/>
    </w:rPr>
  </w:style>
  <w:style w:type="paragraph" w:styleId="893" w:customStyle="1">
    <w:name w:val="表格"/>
    <w:basedOn w:val="765"/>
    <w:uiPriority w:val="0"/>
    <w:qFormat/>
    <w:pPr>
      <w:jc w:val="center"/>
    </w:pPr>
    <w:rPr>
      <w:rFonts w:ascii="华文细黑" w:hAnsi="华文细黑" w:eastAsia="宋体"/>
      <w:sz w:val="21"/>
      <w:szCs w:val="20"/>
      <w:lang w:eastAsia="zh-CN"/>
    </w:rPr>
  </w:style>
  <w:style w:type="paragraph" w:styleId="894" w:customStyle="1">
    <w:name w:val="正文_0_1"/>
    <w:uiPriority w:val="0"/>
    <w:qFormat/>
    <w:pPr>
      <w:jc w:val="both"/>
      <w:widowControl w:val="off"/>
    </w:pPr>
    <w:rPr>
      <w:rFonts w:ascii="Times New Roman" w:hAnsi="Times New Roman" w:eastAsia="宋体" w:cs="Times New Roman"/>
      <w:sz w:val="21"/>
      <w:szCs w:val="22"/>
      <w:lang w:val="en-US" w:eastAsia="zh-CN" w:bidi="ar-SA"/>
    </w:rPr>
  </w:style>
  <w:style w:type="paragraph" w:styleId="895" w:customStyle="1">
    <w:name w:val="Blockquote"/>
    <w:basedOn w:val="765"/>
    <w:uiPriority w:val="0"/>
    <w:qFormat/>
    <w:pPr>
      <w:ind w:left="360" w:right="360"/>
      <w:spacing w:before="100" w:after="100"/>
    </w:pPr>
    <w:rPr>
      <w:rFonts w:eastAsia="宋体"/>
      <w:sz w:val="24"/>
      <w:szCs w:val="20"/>
      <w:lang w:eastAsia="zh-CN"/>
    </w:rPr>
  </w:style>
  <w:style w:type="paragraph" w:styleId="896">
    <w:name w:val="List Paragraph"/>
    <w:basedOn w:val="765"/>
    <w:uiPriority w:val="99"/>
    <w:qFormat/>
  </w:style>
  <w:style w:type="paragraph" w:styleId="897" w:customStyle="1">
    <w:name w:val="Table Paragraph"/>
    <w:basedOn w:val="765"/>
    <w:uiPriority w:val="1"/>
    <w:qFormat/>
  </w:style>
  <w:style w:type="paragraph" w:styleId="898" w:customStyle="1">
    <w:name w:val="样式 标题 2 + Times New Roman 四号 非加粗 段前: 5 磅 段后: 0 磅 行距: 固定值 20..."/>
    <w:basedOn w:val="767"/>
    <w:uiPriority w:val="0"/>
    <w:qFormat/>
    <w:pPr>
      <w:ind w:left="0"/>
      <w:jc w:val="both"/>
      <w:keepLines/>
      <w:keepNext/>
      <w:spacing w:before="100" w:line="400" w:lineRule="exact"/>
    </w:pPr>
    <w:rPr>
      <w:rFonts w:ascii="Times New Roman" w:hAnsi="Times New Roman"/>
      <w:b w:val="0"/>
      <w:bCs w:val="0"/>
      <w:sz w:val="28"/>
      <w:szCs w:val="20"/>
      <w:lang w:eastAsia="zh-CN"/>
    </w:rPr>
  </w:style>
  <w:style w:type="paragraph" w:styleId="899" w:customStyle="1">
    <w:name w:val="Heading 1"/>
    <w:basedOn w:val="765"/>
    <w:uiPriority w:val="1"/>
    <w:qFormat/>
    <w:pPr>
      <w:ind w:left="39"/>
      <w:outlineLvl w:val="0"/>
    </w:pPr>
    <w:rPr>
      <w:rFonts w:ascii="宋体" w:eastAsia="宋体" w:cs="宋体"/>
      <w:b/>
      <w:bCs/>
      <w:sz w:val="21"/>
      <w:szCs w:val="21"/>
      <w:lang w:eastAsia="zh-CN"/>
    </w:rPr>
  </w:style>
  <w:style w:type="paragraph" w:styleId="900" w:customStyle="1">
    <w:name w:val="样式 标题 1 + 黑体 三号 非加粗 居中 段前: 6 磅 段后: 6 磅 行距: 固定值 20 磅"/>
    <w:basedOn w:val="766"/>
    <w:uiPriority w:val="0"/>
    <w:qFormat/>
    <w:pPr>
      <w:jc w:val="center"/>
      <w:keepLines/>
      <w:keepNext/>
      <w:spacing w:before="120" w:after="120" w:line="400" w:lineRule="exact"/>
    </w:pPr>
    <w:rPr>
      <w:sz w:val="32"/>
      <w:szCs w:val="20"/>
      <w:lang w:eastAsia="zh-CN"/>
    </w:rPr>
  </w:style>
  <w:style w:type="paragraph" w:styleId="901" w:customStyle="1">
    <w:name w:val="正文（绿盟科技）"/>
    <w:uiPriority w:val="0"/>
    <w:qFormat/>
    <w:pPr>
      <w:spacing w:line="300" w:lineRule="auto"/>
    </w:pPr>
    <w:rPr>
      <w:rFonts w:ascii="Arial" w:hAnsi="Arial" w:eastAsia="宋体" w:cs="黑体"/>
      <w:sz w:val="21"/>
      <w:szCs w:val="21"/>
      <w:lang w:val="en-US" w:eastAsia="zh-CN" w:bidi="ar-SA"/>
    </w:rPr>
  </w:style>
  <w:style w:type="paragraph" w:styleId="902" w:customStyle="1">
    <w:name w:val="6'"/>
    <w:basedOn w:val="765"/>
    <w:uiPriority w:val="0"/>
    <w:qFormat/>
    <w:pPr>
      <w:jc w:val="center"/>
      <w:spacing w:line="320" w:lineRule="exact"/>
    </w:pPr>
    <w:rPr>
      <w:rFonts w:eastAsia="宋体"/>
      <w:spacing w:val="20"/>
      <w:sz w:val="21"/>
      <w:szCs w:val="20"/>
      <w:lang w:eastAsia="zh-CN"/>
    </w:rPr>
  </w:style>
  <w:style w:type="paragraph" w:styleId="903" w:customStyle="1">
    <w:name w:val="Revision"/>
    <w:uiPriority w:val="0"/>
    <w:qFormat/>
    <w:rPr>
      <w:rFonts w:ascii="Times New Roman" w:hAnsi="Times New Roman" w:eastAsia="宋体" w:cs="Times New Roman"/>
      <w:sz w:val="21"/>
      <w:szCs w:val="24"/>
      <w:lang w:val="en-US" w:eastAsia="zh-CN" w:bidi="ar-SA"/>
    </w:rPr>
  </w:style>
  <w:style w:type="paragraph" w:styleId="904">
    <w:name w:val="No Spacing"/>
    <w:uiPriority w:val="0"/>
    <w:qFormat/>
    <w:pPr>
      <w:jc w:val="both"/>
      <w:widowControl w:val="off"/>
    </w:pPr>
    <w:rPr>
      <w:rFonts w:ascii="Times New Roman" w:hAnsi="Times New Roman" w:eastAsia="宋体" w:cs="Times New Roman"/>
      <w:sz w:val="21"/>
      <w:szCs w:val="22"/>
      <w:lang w:val="en-US" w:eastAsia="zh-CN" w:bidi="ar-SA"/>
    </w:rPr>
  </w:style>
  <w:style w:type="table" w:styleId="905" w:customStyle="1">
    <w:name w:val="Table Normal"/>
    <w:uiPriority w:val="2"/>
    <w:unhideWhenUsed/>
    <w:qFormat/>
    <w:rPr>
      <w:lang w:val="en-US" w:eastAsia="zh-CN" w:bidi="ar-SA"/>
    </w:rPr>
    <w:tblPr>
      <w:tblCellMar>
        <w:left w:w="0" w:type="dxa"/>
        <w:top w:w="0" w:type="dxa"/>
        <w:right w:w="0" w:type="dxa"/>
        <w:bottom w:w="0" w:type="dxa"/>
      </w:tblCellMar>
    </w:tblPr>
  </w:style>
  <w:style w:type="character" w:styleId="906" w:customStyle="1">
    <w:name w:val="UserStyle_32"/>
    <w:uiPriority w:val="0"/>
    <w:qFormat/>
    <w:rPr>
      <w:rFonts w:ascii="Cambria" w:hAnsi="Cambria" w:cs="Times New Roman"/>
      <w:b/>
      <w:bCs/>
      <w:sz w:val="32"/>
      <w:szCs w:val="32"/>
    </w:rPr>
  </w:style>
  <w:style w:type="paragraph" w:styleId="907" w:customStyle="1">
    <w:name w:val="标书正文格式"/>
    <w:uiPriority w:val="0"/>
    <w:qFormat/>
    <w:pPr>
      <w:ind w:firstLine="200"/>
    </w:pPr>
    <w:rPr>
      <w:rFonts w:ascii="Arial" w:hAnsi="Arial" w:eastAsia="Times New Roman" w:cs="Times New Roman"/>
      <w:sz w:val="21"/>
      <w:szCs w:val="22"/>
      <w:lang w:val="en-US" w:eastAsia="zh-CN" w:bidi="ar-SA"/>
    </w:rPr>
  </w:style>
  <w:style w:type="paragraph" w:styleId="908" w:customStyle="1">
    <w:name w:val="*正文"/>
    <w:basedOn w:val="765"/>
    <w:uiPriority w:val="0"/>
    <w:qFormat/>
    <w:pPr>
      <w:ind w:firstLine="200"/>
      <w:spacing w:line="360" w:lineRule="auto"/>
    </w:pPr>
    <w:rPr>
      <w:rFonts w:ascii="宋体" w:hAnsi="宋体"/>
      <w:sz w:val="24"/>
      <w:szCs w:val="24"/>
    </w:rPr>
  </w:style>
  <w:style w:type="character" w:styleId="909" w:customStyle="1">
    <w:name w:val="明显参考1"/>
    <w:uiPriority w:val="0"/>
    <w:qFormat/>
    <w:rPr>
      <w:b/>
      <w:bCs/>
      <w:smallCaps/>
      <w:color w:val="c0504d"/>
      <w:spacing w:val="5"/>
      <w:u w:val="single"/>
    </w:rPr>
  </w:style>
  <w:style w:type="paragraph" w:styleId="910" w:customStyle="1">
    <w:name w:val="纯文本1"/>
    <w:basedOn w:val="765"/>
    <w:uiPriority w:val="0"/>
    <w:qFormat/>
    <w:rPr>
      <w:rFonts w:ascii="宋体" w:hAnsi="Courier New" w:eastAsia="楷体_GB2312" w:cs="Times New Roman"/>
      <w:sz w:val="26"/>
      <w:szCs w:val="20"/>
    </w:rPr>
  </w:style>
  <w:style w:type="paragraph" w:styleId="911" w:customStyle="1">
    <w:name w:val="列表 21"/>
    <w:basedOn w:val="765"/>
    <w:uiPriority w:val="0"/>
    <w:qFormat/>
    <w:pPr>
      <w:ind w:left="100" w:hanging="200"/>
    </w:pPr>
  </w:style>
  <w:style w:type="paragraph" w:styleId="912" w:customStyle="1">
    <w:name w:val="List Paragraph1"/>
    <w:basedOn w:val="765"/>
    <w:uiPriority w:val="0"/>
    <w:qFormat/>
    <w:pPr>
      <w:ind w:firstLine="420"/>
      <w:jc w:val="left"/>
    </w:pPr>
    <w:rPr>
      <w:sz w:val="20"/>
      <w:szCs w:val="20"/>
    </w:rPr>
  </w:style>
  <w:style w:type="character" w:styleId="913" w:customStyle="1">
    <w:name w:val="rvts20"/>
    <w:uiPriority w:val="0"/>
    <w:qFormat/>
    <w:rPr>
      <w:rFonts w:hint="default" w:ascii="KNLe" w:hAnsi="KNLe"/>
    </w:rPr>
  </w:style>
  <w:style w:type="paragraph" w:styleId="914" w:customStyle="1">
    <w:name w:val="标题 41"/>
    <w:basedOn w:val="765"/>
    <w:next w:val="915"/>
    <w:uiPriority w:val="0"/>
    <w:qFormat/>
    <w:pPr>
      <w:ind w:left="358"/>
      <w:spacing w:before="34"/>
      <w:outlineLvl w:val="3"/>
    </w:pPr>
    <w:rPr>
      <w:rFonts w:ascii="宋体" w:hAnsi="宋体" w:eastAsia="宋体" w:cs="Times New Roman"/>
      <w:b/>
      <w:bCs/>
      <w:sz w:val="24"/>
      <w:szCs w:val="24"/>
    </w:rPr>
  </w:style>
  <w:style w:type="paragraph" w:styleId="915" w:customStyle="1">
    <w:name w:val="正文缩进1"/>
    <w:basedOn w:val="765"/>
    <w:uiPriority w:val="99"/>
    <w:qFormat/>
    <w:pPr>
      <w:ind w:firstLine="420"/>
    </w:pPr>
    <w:rPr>
      <w:rFonts w:ascii="Calibri" w:hAnsi="Calibri" w:eastAsia="宋体" w:cs="Times New Roman"/>
    </w:rPr>
  </w:style>
  <w:style w:type="paragraph" w:styleId="916" w:customStyle="1">
    <w:name w:val="_Style 151"/>
    <w:uiPriority w:val="99"/>
    <w:unhideWhenUsed/>
    <w:qFormat/>
    <w:rPr>
      <w:rFonts w:ascii="Times New Roman" w:hAnsi="Times New Roman" w:eastAsia="Calibri" w:cs="Times New Roman"/>
      <w:sz w:val="22"/>
      <w:szCs w:val="22"/>
      <w:lang w:val="en-US" w:eastAsia="en-US" w:bidi="ar-SA"/>
    </w:rPr>
  </w:style>
  <w:style w:type="paragraph" w:styleId="917" w:customStyle="1">
    <w:name w:val="Char"/>
    <w:basedOn w:val="765"/>
    <w:uiPriority w:val="0"/>
    <w:qFormat/>
    <w:rPr>
      <w:rFonts w:ascii="Tahoma" w:hAnsi="Tahoma" w:cs="仿宋_GB2312"/>
      <w:sz w:val="24"/>
      <w:szCs w:val="28"/>
    </w:rPr>
  </w:style>
  <w:style w:type="numbering" w:styleId="3122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 Id="rId19" Type="http://schemas.openxmlformats.org/officeDocument/2006/relationships/image" Target="media/image1.wmf"/><Relationship Id="rId20" Type="http://schemas.openxmlformats.org/officeDocument/2006/relationships/oleObject" Target="embeddings/oleObject1.bin"/><Relationship Id="rId21" Type="http://schemas.openxmlformats.org/officeDocument/2006/relationships/image" Target="media/image2.wmf"/><Relationship Id="rId22" Type="http://schemas.openxmlformats.org/officeDocument/2006/relationships/oleObject" Target="embeddings/oleObject2.bin"/><Relationship Id="rId23" Type="http://schemas.openxmlformats.org/officeDocument/2006/relationships/image" Target="media/image3.wmf"/><Relationship Id="rId24" Type="http://schemas.openxmlformats.org/officeDocument/2006/relationships/oleObject" Target="embeddings/oleObject3.bin"/><Relationship Id="rId25" Type="http://schemas.openxmlformats.org/officeDocument/2006/relationships/image" Target="media/image4.wmf"/><Relationship Id="rId26" Type="http://schemas.openxmlformats.org/officeDocument/2006/relationships/oleObject" Target="embeddings/oleObject4.bin"/><Relationship Id="rId27" Type="http://schemas.openxmlformats.org/officeDocument/2006/relationships/image" Target="media/image5.wmf"/><Relationship Id="rId28" Type="http://schemas.openxmlformats.org/officeDocument/2006/relationships/oleObject" Target="embeddings/oleObject5.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大洲设计咨询集团有限公司南京分公司</cp:lastModifiedBy>
  <cp:revision>4</cp:revision>
  <dcterms:created xsi:type="dcterms:W3CDTF">2026-05-07T03:18:00Z</dcterms:created>
  <dcterms:modified xsi:type="dcterms:W3CDTF">2026-06-23T09:57:11Z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2020-03-12T16:00:00Z</vt:filetime>
  </property>
  <property fmtid="{D5CDD505-2E9C-101B-9397-08002B2CF9AE}" pid="3" name="Creator">
    <vt:lpwstr>WPS 文字</vt:lpwstr>
  </property>
  <property fmtid="{D5CDD505-2E9C-101B-9397-08002B2CF9AE}" pid="4" name="LastSaved">
    <vt:filetime>2020-04-21T16:00:00Z</vt:filetime>
  </property>
  <property fmtid="{D5CDD505-2E9C-101B-9397-08002B2CF9AE}" pid="5" name="KSOProductBuildVer">
    <vt:lpwstr>2052-12.1.0.26895</vt:lpwstr>
  </property>
  <property fmtid="{D5CDD505-2E9C-101B-9397-08002B2CF9AE}" pid="6" name="ICV">
    <vt:lpwstr>613A6C77CF7E4C8E95E1A9940215BC00_13</vt:lpwstr>
  </property>
  <property fmtid="{D5CDD505-2E9C-101B-9397-08002B2CF9AE}" pid="7" name="KSOTemplateDocerSaveRecord">
    <vt:lpwstr>eyJoZGlkIjoiOWFhMDIxOWIzMjAwNTA4NGZhMzljYWFlZDcwN2E4MGYiLCJ1c2VySWQiOiIxMzQxMTY0NTg2In0=</vt:lpwstr>
  </property>
</Properties>
</file>