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p>
      <w:pPr>
        <w:jc w:val="center"/>
        <w:spacing w:before="120" w:after="120" w:line="360" w:lineRule="auto"/>
        <w:rPr>
          <w:rFonts w:hint="eastAsia" w:eastAsia="黑体"/>
          <w:b/>
          <w:bCs/>
          <w:sz w:val="84"/>
          <w:szCs w:val="24"/>
          <w:highlight w:val="none"/>
        </w:rPr>
      </w:pPr>
      <w:r>
        <w:rPr>
          <w:rFonts w:hint="eastAsia" w:eastAsia="黑体"/>
          <w:b/>
          <w:bCs/>
          <w:sz w:val="84"/>
          <w:szCs w:val="24"/>
          <w:highlight w:val="none"/>
        </w:rPr>
      </w:r>
      <w:r/>
    </w:p>
    <w:p>
      <w:pPr>
        <w:jc w:val="center"/>
        <w:spacing w:before="120" w:after="120" w:line="360" w:lineRule="auto"/>
        <w:rPr>
          <w:rFonts w:eastAsia="黑体"/>
          <w:b/>
          <w:bCs/>
          <w:sz w:val="84"/>
          <w:szCs w:val="24"/>
          <w:highlight w:val="none"/>
        </w:rPr>
      </w:pPr>
      <w:r>
        <w:rPr>
          <w:rFonts w:hint="eastAsia" w:eastAsia="黑体"/>
          <w:b/>
          <w:bCs/>
          <w:sz w:val="84"/>
          <w:szCs w:val="24"/>
          <w:highlight w:val="none"/>
        </w:rPr>
        <w:t xml:space="preserve">竞争性磋商文件</w:t>
      </w:r>
      <w:r/>
    </w:p>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tbl>
      <w:tblPr>
        <w:tblStyle w:val="682"/>
        <w:tblW w:w="0" w:type="auto"/>
        <w:tblInd w:w="284" w:type="dxa"/>
        <w:tblLayout w:type="fixed"/>
        <w:tblCellMar>
          <w:left w:w="108" w:type="dxa"/>
          <w:top w:w="0" w:type="dxa"/>
          <w:right w:w="108" w:type="dxa"/>
          <w:bottom w:w="0" w:type="dxa"/>
        </w:tblCellMar>
        <w:tblLook w:val="04A0" w:firstRow="1" w:lastRow="0" w:firstColumn="1" w:lastColumn="0" w:noHBand="0" w:noVBand="1"/>
      </w:tblPr>
      <w:tblGrid>
        <w:gridCol w:w="2518"/>
        <w:gridCol w:w="6129"/>
      </w:tblGrid>
      <w:tr>
        <w:trPr>
          <w:trHeight w:val="624"/>
        </w:trPr>
        <w:tc>
          <w:tcPr>
            <w:tcBorders>
              <w:top w:val="none" w:color="000000" w:sz="4" w:space="0"/>
              <w:left w:val="none" w:color="000000" w:sz="4" w:space="0"/>
              <w:bottom w:val="none" w:color="000000" w:sz="4" w:space="0"/>
              <w:right w:val="none" w:color="000000" w:sz="4" w:space="0"/>
            </w:tcBorders>
            <w:tcW w:w="2518" w:type="dxa"/>
            <w:textDirection w:val="lrTb"/>
            <w:noWrap w:val="false"/>
          </w:tcPr>
          <w:p>
            <w:pPr>
              <w:spacing w:line="500" w:lineRule="exact"/>
              <w:rPr>
                <w:rFonts w:ascii="宋体" w:hAnsi="宋体" w:cs="宋体"/>
                <w:b/>
                <w:sz w:val="32"/>
                <w:szCs w:val="36"/>
                <w:highlight w:val="none"/>
              </w:rPr>
            </w:pPr>
            <w:r>
              <w:rPr>
                <w:rFonts w:hint="eastAsia" w:ascii="宋体" w:hAnsi="宋体" w:cs="宋体"/>
                <w:b/>
                <w:sz w:val="32"/>
                <w:szCs w:val="36"/>
                <w:highlight w:val="none"/>
              </w:rPr>
              <w:t xml:space="preserve">项目名称：</w:t>
            </w:r>
            <w:r/>
          </w:p>
        </w:tc>
        <w:tc>
          <w:tcPr>
            <w:tcBorders>
              <w:top w:val="none" w:color="000000" w:sz="4" w:space="0"/>
              <w:left w:val="none" w:color="000000" w:sz="4" w:space="0"/>
              <w:bottom w:val="none" w:color="000000" w:sz="4" w:space="0"/>
              <w:right w:val="none" w:color="000000" w:sz="4" w:space="0"/>
            </w:tcBorders>
            <w:tcW w:w="6129" w:type="dxa"/>
            <w:textDirection w:val="lrTb"/>
            <w:noWrap w:val="false"/>
          </w:tcPr>
          <w:p>
            <w:pPr>
              <w:spacing w:line="500" w:lineRule="exact"/>
              <w:rPr>
                <w:rFonts w:hint="eastAsia" w:ascii="宋体" w:hAnsi="宋体" w:eastAsia="宋体" w:cs="宋体"/>
                <w:sz w:val="32"/>
                <w:szCs w:val="36"/>
                <w:highlight w:val="none"/>
                <w:lang w:eastAsia="zh-CN"/>
              </w:rPr>
            </w:pPr>
            <w:r>
              <w:rPr>
                <w:rFonts w:hint="eastAsia" w:ascii="宋体" w:hAnsi="宋体" w:cs="宋体"/>
                <w:sz w:val="32"/>
                <w:szCs w:val="36"/>
                <w:highlight w:val="none"/>
                <w:lang w:eastAsia="zh-CN"/>
              </w:rPr>
              <w:t xml:space="preserve">湖滨新区晓店学校运动场改造工程</w:t>
            </w:r>
            <w:r/>
          </w:p>
        </w:tc>
      </w:tr>
      <w:tr>
        <w:trPr>
          <w:trHeight w:val="624"/>
        </w:trPr>
        <w:tc>
          <w:tcPr>
            <w:tcBorders>
              <w:top w:val="none" w:color="000000" w:sz="4" w:space="0"/>
              <w:left w:val="none" w:color="000000" w:sz="4" w:space="0"/>
              <w:bottom w:val="none" w:color="000000" w:sz="4" w:space="0"/>
              <w:right w:val="none" w:color="000000" w:sz="4" w:space="0"/>
            </w:tcBorders>
            <w:tcW w:w="2518" w:type="dxa"/>
            <w:textDirection w:val="lrTb"/>
            <w:noWrap w:val="false"/>
          </w:tcPr>
          <w:p>
            <w:pPr>
              <w:spacing w:line="500" w:lineRule="exact"/>
              <w:rPr>
                <w:rFonts w:ascii="宋体" w:hAnsi="宋体" w:cs="宋体"/>
                <w:b/>
                <w:sz w:val="32"/>
                <w:szCs w:val="36"/>
                <w:highlight w:val="none"/>
              </w:rPr>
            </w:pPr>
            <w:r>
              <w:rPr>
                <w:rFonts w:hint="eastAsia" w:ascii="宋体" w:hAnsi="宋体" w:cs="宋体"/>
                <w:b/>
                <w:sz w:val="32"/>
                <w:szCs w:val="36"/>
                <w:highlight w:val="none"/>
              </w:rPr>
              <w:t xml:space="preserve">项目编号：</w:t>
            </w:r>
            <w:r/>
          </w:p>
        </w:tc>
        <w:tc>
          <w:tcPr>
            <w:tcBorders>
              <w:top w:val="none" w:color="000000" w:sz="4" w:space="0"/>
              <w:left w:val="none" w:color="000000" w:sz="4" w:space="0"/>
              <w:bottom w:val="none" w:color="000000" w:sz="4" w:space="0"/>
              <w:right w:val="none" w:color="000000" w:sz="4" w:space="0"/>
            </w:tcBorders>
            <w:tcW w:w="6129" w:type="dxa"/>
            <w:textDirection w:val="lrTb"/>
            <w:noWrap w:val="false"/>
          </w:tcPr>
          <w:p>
            <w:pPr>
              <w:spacing w:line="500" w:lineRule="exact"/>
              <w:rPr>
                <w:rFonts w:ascii="宋体" w:hAnsi="宋体" w:cs="宋体"/>
                <w:sz w:val="32"/>
                <w:szCs w:val="36"/>
                <w:highlight w:val="none"/>
              </w:rPr>
            </w:pPr>
            <w:r>
              <w:rPr>
                <w:rFonts w:ascii="宋体" w:hAnsi="宋体" w:cs="宋体"/>
                <w:sz w:val="32"/>
                <w:szCs w:val="36"/>
                <w:highlight w:val="none"/>
              </w:rPr>
              <w:t xml:space="preserve">JSZC-321392-ZJJS-C2026-0001</w:t>
            </w:r>
            <w:r/>
          </w:p>
        </w:tc>
      </w:tr>
      <w:tr>
        <w:trPr>
          <w:trHeight w:val="624"/>
        </w:trPr>
        <w:tc>
          <w:tcPr>
            <w:gridSpan w:val="2"/>
            <w:tcBorders>
              <w:top w:val="none" w:color="000000" w:sz="4" w:space="0"/>
              <w:left w:val="none" w:color="000000" w:sz="4" w:space="0"/>
              <w:bottom w:val="none" w:color="000000" w:sz="4" w:space="0"/>
              <w:right w:val="none" w:color="000000" w:sz="4" w:space="0"/>
            </w:tcBorders>
            <w:tcW w:w="8647" w:type="dxa"/>
            <w:vAlign w:val="center"/>
            <w:textDirection w:val="lrTb"/>
            <w:noWrap w:val="false"/>
          </w:tcPr>
          <w:p>
            <w:pPr>
              <w:ind w:firstLine="643"/>
              <w:jc w:val="center"/>
              <w:spacing w:line="500" w:lineRule="exact"/>
              <w:rPr>
                <w:b/>
                <w:bCs/>
                <w:sz w:val="32"/>
                <w:szCs w:val="24"/>
                <w:highlight w:val="none"/>
              </w:rPr>
            </w:pPr>
            <w:r>
              <w:rPr>
                <w:rFonts w:hint="eastAsia"/>
                <w:b/>
                <w:bCs/>
                <w:sz w:val="32"/>
                <w:szCs w:val="24"/>
                <w:highlight w:val="none"/>
              </w:rPr>
              <w:t xml:space="preserve">（</w:t>
            </w:r>
            <w:r>
              <w:rPr>
                <w:rFonts w:hint="eastAsia"/>
                <w:b/>
                <w:bCs/>
                <w:sz w:val="32"/>
                <w:szCs w:val="24"/>
                <w:highlight w:val="none"/>
                <w:u w:val="single"/>
              </w:rPr>
              <w:t xml:space="preserve">工程</w:t>
            </w:r>
            <w:r>
              <w:rPr>
                <w:rFonts w:hint="eastAsia"/>
                <w:b/>
                <w:bCs/>
                <w:sz w:val="32"/>
                <w:szCs w:val="24"/>
                <w:highlight w:val="none"/>
              </w:rPr>
              <w:t xml:space="preserve">类项目，</w:t>
            </w:r>
            <w:r>
              <w:rPr>
                <w:rFonts w:hint="eastAsia"/>
                <w:b/>
                <w:bCs/>
                <w:sz w:val="32"/>
                <w:szCs w:val="24"/>
                <w:highlight w:val="none"/>
                <w:u w:val="single"/>
              </w:rPr>
              <w:t xml:space="preserve">是</w:t>
            </w:r>
            <w:r>
              <w:rPr>
                <w:rFonts w:hint="eastAsia"/>
                <w:b/>
                <w:bCs/>
                <w:sz w:val="32"/>
                <w:szCs w:val="24"/>
                <w:highlight w:val="none"/>
              </w:rPr>
              <w:t xml:space="preserve">专门面向中小企业）</w:t>
            </w:r>
            <w:r/>
          </w:p>
        </w:tc>
      </w:tr>
    </w:tbl>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tbl>
      <w:tblPr>
        <w:tblStyle w:val="682"/>
        <w:tblW w:w="0" w:type="auto"/>
        <w:tblInd w:w="284" w:type="dxa"/>
        <w:tblLayout w:type="fixed"/>
        <w:tblCellMar>
          <w:left w:w="108" w:type="dxa"/>
          <w:top w:w="0" w:type="dxa"/>
          <w:right w:w="108" w:type="dxa"/>
          <w:bottom w:w="0" w:type="dxa"/>
        </w:tblCellMar>
        <w:tblLook w:val="04A0" w:firstRow="1" w:lastRow="0" w:firstColumn="1" w:lastColumn="0" w:noHBand="0" w:noVBand="1"/>
      </w:tblPr>
      <w:tblGrid>
        <w:gridCol w:w="2518"/>
        <w:gridCol w:w="6095"/>
      </w:tblGrid>
      <w:tr>
        <w:trPr>
          <w:trHeight w:val="624"/>
        </w:trPr>
        <w:tc>
          <w:tcPr>
            <w:tcBorders>
              <w:top w:val="none" w:color="000000" w:sz="4" w:space="0"/>
              <w:left w:val="none" w:color="000000" w:sz="4" w:space="0"/>
              <w:bottom w:val="none" w:color="000000" w:sz="4" w:space="0"/>
              <w:right w:val="none" w:color="000000" w:sz="4" w:space="0"/>
            </w:tcBorders>
            <w:tcW w:w="2518" w:type="dxa"/>
            <w:textDirection w:val="lrTb"/>
            <w:noWrap w:val="false"/>
          </w:tcPr>
          <w:p>
            <w:pPr>
              <w:spacing w:line="500" w:lineRule="exact"/>
              <w:rPr>
                <w:rFonts w:ascii="宋体" w:hAnsi="宋体" w:cs="宋体"/>
                <w:b/>
                <w:sz w:val="32"/>
                <w:szCs w:val="36"/>
                <w:highlight w:val="none"/>
              </w:rPr>
            </w:pPr>
            <w:r>
              <w:rPr>
                <w:rFonts w:hint="eastAsia" w:ascii="宋体" w:hAnsi="宋体" w:cs="宋体"/>
                <w:b/>
                <w:sz w:val="32"/>
                <w:szCs w:val="36"/>
                <w:highlight w:val="none"/>
              </w:rPr>
              <w:t xml:space="preserve">采购人：</w:t>
            </w:r>
            <w:r/>
          </w:p>
        </w:tc>
        <w:tc>
          <w:tcPr>
            <w:tcBorders>
              <w:top w:val="none" w:color="000000" w:sz="4" w:space="0"/>
              <w:left w:val="none" w:color="000000" w:sz="4" w:space="0"/>
              <w:bottom w:val="none" w:color="000000" w:sz="4" w:space="0"/>
              <w:right w:val="none" w:color="000000" w:sz="4" w:space="0"/>
            </w:tcBorders>
            <w:tcW w:w="6095" w:type="dxa"/>
            <w:textDirection w:val="lrTb"/>
            <w:noWrap w:val="false"/>
          </w:tcPr>
          <w:p>
            <w:pPr>
              <w:spacing w:line="500" w:lineRule="exact"/>
              <w:rPr>
                <w:rFonts w:hint="eastAsia" w:ascii="宋体" w:hAnsi="宋体" w:eastAsia="宋体" w:cs="宋体"/>
                <w:sz w:val="32"/>
                <w:szCs w:val="36"/>
                <w:highlight w:val="none"/>
                <w:lang w:eastAsia="zh-CN"/>
              </w:rPr>
            </w:pPr>
            <w:r>
              <w:rPr>
                <w:rFonts w:hint="eastAsia" w:ascii="宋体" w:hAnsi="宋体" w:cs="宋体"/>
                <w:sz w:val="32"/>
                <w:szCs w:val="36"/>
                <w:highlight w:val="none"/>
                <w:lang w:eastAsia="zh-CN"/>
              </w:rPr>
              <w:t xml:space="preserve">宿迁市湖滨新区晓店学校</w:t>
            </w:r>
            <w:r/>
          </w:p>
        </w:tc>
      </w:tr>
      <w:tr>
        <w:trPr>
          <w:trHeight w:val="624"/>
        </w:trPr>
        <w:tc>
          <w:tcPr>
            <w:tcBorders>
              <w:top w:val="none" w:color="000000" w:sz="4" w:space="0"/>
              <w:left w:val="none" w:color="000000" w:sz="4" w:space="0"/>
              <w:bottom w:val="none" w:color="000000" w:sz="4" w:space="0"/>
              <w:right w:val="none" w:color="000000" w:sz="4" w:space="0"/>
            </w:tcBorders>
            <w:tcW w:w="2518" w:type="dxa"/>
            <w:textDirection w:val="lrTb"/>
            <w:noWrap w:val="false"/>
          </w:tcPr>
          <w:p>
            <w:pPr>
              <w:spacing w:line="500" w:lineRule="exact"/>
              <w:rPr>
                <w:rFonts w:ascii="宋体" w:hAnsi="宋体" w:cs="宋体"/>
                <w:b/>
                <w:sz w:val="32"/>
                <w:szCs w:val="36"/>
                <w:highlight w:val="none"/>
              </w:rPr>
            </w:pPr>
            <w:r>
              <w:rPr>
                <w:rFonts w:hint="eastAsia" w:ascii="宋体" w:hAnsi="宋体" w:cs="宋体"/>
                <w:b/>
                <w:sz w:val="32"/>
                <w:szCs w:val="36"/>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6095" w:type="dxa"/>
            <w:textDirection w:val="lrTb"/>
            <w:noWrap w:val="false"/>
          </w:tcPr>
          <w:p>
            <w:pPr>
              <w:spacing w:line="500" w:lineRule="exact"/>
              <w:rPr>
                <w:rFonts w:hint="eastAsia" w:ascii="宋体" w:hAnsi="宋体" w:eastAsia="宋体" w:cs="宋体"/>
                <w:sz w:val="32"/>
                <w:szCs w:val="36"/>
                <w:highlight w:val="none"/>
                <w:lang w:eastAsia="zh-CN"/>
              </w:rPr>
            </w:pPr>
            <w:r>
              <w:rPr>
                <w:rFonts w:hint="eastAsia" w:ascii="宋体" w:hAnsi="宋体" w:cs="宋体"/>
                <w:sz w:val="32"/>
                <w:szCs w:val="36"/>
                <w:highlight w:val="none"/>
                <w:lang w:eastAsia="zh-CN"/>
              </w:rPr>
              <w:t xml:space="preserve">江苏志杰建设项目管理有限公司</w:t>
            </w:r>
            <w:r/>
          </w:p>
        </w:tc>
      </w:tr>
      <w:tr>
        <w:trPr>
          <w:trHeight w:val="624"/>
        </w:trPr>
        <w:tc>
          <w:tcPr>
            <w:tcBorders>
              <w:top w:val="none" w:color="000000" w:sz="4" w:space="0"/>
              <w:left w:val="none" w:color="000000" w:sz="4" w:space="0"/>
              <w:bottom w:val="none" w:color="000000" w:sz="4" w:space="0"/>
              <w:right w:val="none" w:color="000000" w:sz="4" w:space="0"/>
            </w:tcBorders>
            <w:tcW w:w="2518" w:type="dxa"/>
            <w:textDirection w:val="lrTb"/>
            <w:noWrap w:val="false"/>
          </w:tcPr>
          <w:p>
            <w:pPr>
              <w:spacing w:line="500" w:lineRule="exact"/>
              <w:rPr>
                <w:rFonts w:ascii="宋体" w:hAnsi="宋体" w:cs="宋体"/>
                <w:b/>
                <w:sz w:val="32"/>
                <w:szCs w:val="36"/>
                <w:highlight w:val="none"/>
              </w:rPr>
            </w:pPr>
            <w:r>
              <w:rPr>
                <w:rFonts w:hint="eastAsia" w:ascii="宋体" w:hAnsi="宋体" w:cs="宋体"/>
                <w:b/>
                <w:sz w:val="32"/>
                <w:szCs w:val="36"/>
                <w:highlight w:val="none"/>
              </w:rPr>
              <w:t xml:space="preserve">日  期：</w:t>
            </w:r>
            <w:r/>
          </w:p>
        </w:tc>
        <w:tc>
          <w:tcPr>
            <w:tcBorders>
              <w:top w:val="none" w:color="000000" w:sz="4" w:space="0"/>
              <w:left w:val="none" w:color="000000" w:sz="4" w:space="0"/>
              <w:bottom w:val="none" w:color="000000" w:sz="4" w:space="0"/>
              <w:right w:val="none" w:color="000000" w:sz="4" w:space="0"/>
            </w:tcBorders>
            <w:tcW w:w="6095" w:type="dxa"/>
            <w:textDirection w:val="lrTb"/>
            <w:noWrap w:val="false"/>
          </w:tcPr>
          <w:p>
            <w:pPr>
              <w:spacing w:line="500" w:lineRule="exact"/>
              <w:rPr>
                <w:rFonts w:ascii="宋体" w:hAnsi="宋体" w:cs="宋体"/>
                <w:sz w:val="32"/>
                <w:szCs w:val="36"/>
                <w:highlight w:val="none"/>
              </w:rPr>
            </w:pPr>
            <w:r/>
            <w:bookmarkStart w:id="0" w:name="EB19ac746bdc40483fb38331d24be336f4"/>
            <w:r>
              <w:rPr>
                <w:rFonts w:hint="eastAsia" w:ascii="宋体" w:hAnsi="宋体" w:cs="宋体"/>
                <w:sz w:val="32"/>
                <w:szCs w:val="36"/>
                <w:highlight w:val="none"/>
              </w:rPr>
              <w:t xml:space="preserve">202</w:t>
            </w:r>
            <w:r>
              <w:rPr>
                <w:rFonts w:hint="eastAsia" w:ascii="宋体" w:hAnsi="宋体" w:cs="宋体"/>
                <w:sz w:val="32"/>
                <w:szCs w:val="36"/>
                <w:highlight w:val="none"/>
                <w:lang w:val="en-US" w:eastAsia="zh-CN"/>
              </w:rPr>
              <w:t xml:space="preserve">6</w:t>
            </w:r>
            <w:r>
              <w:rPr>
                <w:rFonts w:hint="eastAsia" w:ascii="宋体" w:hAnsi="宋体" w:cs="宋体"/>
                <w:sz w:val="32"/>
                <w:szCs w:val="36"/>
                <w:highlight w:val="none"/>
              </w:rPr>
              <w:t xml:space="preserve">年</w:t>
            </w:r>
            <w:r>
              <w:rPr>
                <w:rFonts w:hint="eastAsia" w:ascii="宋体" w:hAnsi="宋体" w:cs="宋体"/>
                <w:sz w:val="32"/>
                <w:szCs w:val="36"/>
                <w:highlight w:val="none"/>
                <w:lang w:val="en-US" w:eastAsia="zh-CN"/>
              </w:rPr>
              <w:t xml:space="preserve">07</w:t>
            </w:r>
            <w:r>
              <w:rPr>
                <w:rFonts w:hint="eastAsia" w:ascii="宋体" w:hAnsi="宋体" w:cs="宋体"/>
                <w:sz w:val="32"/>
                <w:szCs w:val="36"/>
                <w:highlight w:val="none"/>
              </w:rPr>
              <w:t xml:space="preserve">月</w:t>
            </w:r>
            <w:bookmarkEnd w:id="0"/>
            <w:r>
              <w:rPr>
                <w:rFonts w:hint="eastAsia" w:ascii="宋体" w:hAnsi="宋体" w:cs="宋体"/>
                <w:sz w:val="32"/>
                <w:szCs w:val="36"/>
                <w:highlight w:val="none"/>
                <w:lang w:val="en-US" w:eastAsia="zh-CN"/>
              </w:rPr>
              <w:t xml:space="preserve">07</w:t>
            </w:r>
            <w:r>
              <w:rPr>
                <w:rFonts w:hint="eastAsia" w:ascii="宋体" w:hAnsi="宋体" w:cs="宋体"/>
                <w:sz w:val="32"/>
                <w:szCs w:val="36"/>
                <w:highlight w:val="none"/>
              </w:rPr>
              <w:t xml:space="preserve">日</w:t>
            </w:r>
            <w:r/>
          </w:p>
        </w:tc>
      </w:tr>
    </w:tbl>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p>
      <w:pPr>
        <w:jc w:val="left"/>
        <w:spacing w:line="360" w:lineRule="auto"/>
        <w:rPr>
          <w:sz w:val="24"/>
          <w:szCs w:val="24"/>
          <w:highlight w:val="none"/>
        </w:rPr>
      </w:pPr>
      <w:r>
        <w:rPr>
          <w:sz w:val="24"/>
          <w:szCs w:val="24"/>
          <w:highlight w:val="none"/>
        </w:rPr>
      </w:r>
      <w:r/>
    </w:p>
    <w:p>
      <w:pPr>
        <w:pStyle w:val="731"/>
        <w:rPr>
          <w:sz w:val="24"/>
          <w:szCs w:val="24"/>
          <w:highlight w:val="none"/>
        </w:rPr>
      </w:pPr>
      <w:r>
        <w:rPr>
          <w:sz w:val="24"/>
          <w:szCs w:val="24"/>
          <w:highlight w:val="none"/>
        </w:rPr>
      </w:r>
      <w:r/>
    </w:p>
    <w:p>
      <w:pPr>
        <w:rPr>
          <w:sz w:val="24"/>
          <w:szCs w:val="24"/>
          <w:highlight w:val="none"/>
        </w:rPr>
      </w:pPr>
      <w:r>
        <w:rPr>
          <w:sz w:val="24"/>
          <w:szCs w:val="24"/>
          <w:highlight w:val="none"/>
        </w:rPr>
      </w:r>
      <w:r/>
    </w:p>
    <w:p>
      <w:pPr>
        <w:pStyle w:val="731"/>
        <w:rPr>
          <w:sz w:val="24"/>
          <w:szCs w:val="24"/>
          <w:highlight w:val="none"/>
        </w:rPr>
      </w:pPr>
      <w:r>
        <w:rPr>
          <w:sz w:val="24"/>
          <w:szCs w:val="24"/>
          <w:highlight w:val="none"/>
        </w:rPr>
      </w:r>
      <w:r/>
    </w:p>
    <w:p>
      <w:r/>
      <w:r/>
    </w:p>
    <w:p>
      <w:pPr>
        <w:jc w:val="center"/>
        <w:spacing w:line="500" w:lineRule="exact"/>
        <w:rPr>
          <w:rFonts w:ascii="黑体" w:hAnsi="黑体" w:eastAsia="黑体" w:cs="黑体"/>
          <w:b/>
          <w:bCs/>
          <w:sz w:val="40"/>
          <w:szCs w:val="40"/>
          <w:highlight w:val="none"/>
        </w:rPr>
      </w:pPr>
      <w:r/>
      <w:bookmarkStart w:id="1" w:name="_Toc120614210"/>
      <w:r/>
      <w:bookmarkStart w:id="2" w:name="_Toc523127445"/>
      <w:r/>
      <w:bookmarkStart w:id="3" w:name="_Toc479757206"/>
      <w:r/>
      <w:bookmarkStart w:id="4" w:name="_Toc16938516"/>
      <w:r/>
      <w:bookmarkStart w:id="5" w:name="_Toc20823272"/>
      <w:r/>
      <w:bookmarkStart w:id="6" w:name="_Toc513029200"/>
      <w:r>
        <w:rPr>
          <w:rFonts w:hint="eastAsia" w:ascii="黑体" w:hAnsi="黑体" w:eastAsia="黑体" w:cs="黑体"/>
          <w:b/>
          <w:bCs/>
          <w:sz w:val="40"/>
          <w:szCs w:val="40"/>
          <w:highlight w:val="none"/>
        </w:rPr>
        <w:t xml:space="preserve">总目录</w:t>
      </w:r>
      <w:r/>
    </w:p>
    <w:p>
      <w:pPr>
        <w:pStyle w:val="716"/>
        <w:rPr>
          <w:rFonts w:asciiTheme="minorHAnsi" w:hAnsiTheme="minorHAnsi" w:eastAsiaTheme="minorEastAsia" w:cstheme="minorBidi"/>
          <w:caps w:val="0"/>
          <w:sz w:val="21"/>
          <w:szCs w:val="22"/>
          <w:highlight w:val="none"/>
        </w:rPr>
      </w:pPr>
      <w:r>
        <w:rPr>
          <w:sz w:val="32"/>
          <w:szCs w:val="32"/>
          <w:highlight w:val="none"/>
        </w:rPr>
        <w:fldChar w:fldCharType="begin"/>
      </w:r>
      <w:r>
        <w:rPr>
          <w:sz w:val="32"/>
          <w:szCs w:val="32"/>
          <w:highlight w:val="none"/>
        </w:rPr>
        <w:instrText xml:space="preserve"> </w:instrText>
      </w:r>
      <w:r>
        <w:rPr>
          <w:rFonts w:hint="eastAsia"/>
          <w:sz w:val="32"/>
          <w:szCs w:val="32"/>
          <w:highlight w:val="none"/>
        </w:rPr>
        <w:instrText xml:space="preserve">TOC \o "1-3" \h \z \u</w:instrText>
      </w:r>
      <w:r>
        <w:rPr>
          <w:sz w:val="32"/>
          <w:szCs w:val="32"/>
          <w:highlight w:val="none"/>
        </w:rPr>
        <w:instrText xml:space="preserve"> </w:instrText>
      </w:r>
      <w:r>
        <w:rPr>
          <w:sz w:val="32"/>
          <w:szCs w:val="32"/>
          <w:highlight w:val="none"/>
        </w:rPr>
        <w:fldChar w:fldCharType="separate"/>
      </w:r>
      <w:r>
        <w:rPr>
          <w:highlight w:val="none"/>
        </w:rPr>
        <w:fldChar w:fldCharType="begin"/>
      </w:r>
      <w:r>
        <w:rPr>
          <w:highlight w:val="none"/>
        </w:rPr>
        <w:instrText xml:space="preserve"> HYPERLINK \l "_Toc196817272" </w:instrText>
      </w:r>
      <w:r>
        <w:rPr>
          <w:highlight w:val="none"/>
        </w:rPr>
        <w:fldChar w:fldCharType="separate"/>
      </w:r>
      <w:r>
        <w:rPr>
          <w:rStyle w:val="746"/>
          <w:rFonts w:hint="eastAsia" w:ascii="黑体" w:hAnsi="黑体" w:eastAsia="黑体" w:cs="黑体"/>
          <w:b/>
          <w:highlight w:val="none"/>
        </w:rPr>
        <w:t xml:space="preserve">第一章</w:t>
      </w:r>
      <w:r>
        <w:rPr>
          <w:rStyle w:val="746"/>
          <w:rFonts w:ascii="黑体" w:hAnsi="黑体" w:eastAsia="黑体" w:cs="黑体"/>
          <w:b/>
          <w:highlight w:val="none"/>
        </w:rPr>
        <w:t xml:space="preserve"> </w:t>
      </w:r>
      <w:r>
        <w:rPr>
          <w:rStyle w:val="746"/>
          <w:rFonts w:hint="eastAsia" w:ascii="黑体" w:hAnsi="黑体" w:eastAsia="黑体" w:cs="黑体"/>
          <w:b/>
          <w:highlight w:val="none"/>
        </w:rPr>
        <w:t xml:space="preserve">磋商邀请</w:t>
      </w:r>
      <w:r>
        <w:rPr>
          <w:highlight w:val="none"/>
        </w:rPr>
        <w:tab/>
      </w:r>
      <w:r>
        <w:rPr>
          <w:highlight w:val="none"/>
        </w:rPr>
        <w:fldChar w:fldCharType="begin"/>
      </w:r>
      <w:r>
        <w:rPr>
          <w:highlight w:val="none"/>
        </w:rPr>
        <w:instrText xml:space="preserve"> PAGEREF _Toc196817272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716"/>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"_Toc196817273" </w:instrText>
      </w:r>
      <w:r>
        <w:rPr>
          <w:highlight w:val="none"/>
        </w:rPr>
        <w:fldChar w:fldCharType="separate"/>
      </w:r>
      <w:r>
        <w:rPr>
          <w:rStyle w:val="746"/>
          <w:rFonts w:hint="eastAsia" w:ascii="黑体" w:hAnsi="黑体" w:eastAsia="黑体" w:cs="黑体"/>
          <w:b/>
          <w:highlight w:val="none"/>
        </w:rPr>
        <w:t xml:space="preserve">第二章</w:t>
      </w:r>
      <w:r>
        <w:rPr>
          <w:rStyle w:val="746"/>
          <w:rFonts w:ascii="黑体" w:hAnsi="黑体" w:eastAsia="黑体" w:cs="黑体"/>
          <w:b/>
          <w:highlight w:val="none"/>
        </w:rPr>
        <w:t xml:space="preserve"> </w:t>
      </w:r>
      <w:r>
        <w:rPr>
          <w:rStyle w:val="746"/>
          <w:rFonts w:hint="eastAsia" w:ascii="黑体" w:hAnsi="黑体" w:eastAsia="黑体" w:cs="黑体"/>
          <w:b/>
          <w:highlight w:val="none"/>
        </w:rPr>
        <w:t xml:space="preserve">供应商须知</w:t>
      </w:r>
      <w:r>
        <w:rPr>
          <w:highlight w:val="none"/>
        </w:rPr>
        <w:tab/>
      </w:r>
      <w:r>
        <w:rPr>
          <w:highlight w:val="none"/>
        </w:rPr>
        <w:fldChar w:fldCharType="begin"/>
      </w:r>
      <w:r>
        <w:rPr>
          <w:highlight w:val="none"/>
        </w:rPr>
        <w:instrText xml:space="preserve"> PAGEREF _Toc196817273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716"/>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"_Toc196817274" </w:instrText>
      </w:r>
      <w:r>
        <w:rPr>
          <w:highlight w:val="none"/>
        </w:rPr>
        <w:fldChar w:fldCharType="separate"/>
      </w:r>
      <w:r>
        <w:rPr>
          <w:rStyle w:val="746"/>
          <w:rFonts w:hint="eastAsia" w:ascii="黑体" w:hAnsi="黑体" w:eastAsia="黑体" w:cs="黑体"/>
          <w:b/>
          <w:highlight w:val="none"/>
        </w:rPr>
        <w:t xml:space="preserve">第三章</w:t>
      </w:r>
      <w:r>
        <w:rPr>
          <w:rStyle w:val="746"/>
          <w:rFonts w:ascii="黑体" w:hAnsi="黑体" w:eastAsia="黑体" w:cs="黑体"/>
          <w:b/>
          <w:highlight w:val="none"/>
        </w:rPr>
        <w:t xml:space="preserve"> </w:t>
      </w:r>
      <w:r>
        <w:rPr>
          <w:rStyle w:val="746"/>
          <w:rFonts w:hint="eastAsia" w:ascii="黑体" w:hAnsi="黑体" w:eastAsia="黑体" w:cs="黑体"/>
          <w:b/>
          <w:highlight w:val="none"/>
        </w:rPr>
        <w:t xml:space="preserve">合同文本</w:t>
      </w:r>
      <w:r>
        <w:rPr>
          <w:highlight w:val="none"/>
        </w:rPr>
        <w:tab/>
      </w:r>
      <w:r>
        <w:rPr>
          <w:highlight w:val="none"/>
        </w:rPr>
        <w:fldChar w:fldCharType="begin"/>
      </w:r>
      <w:r>
        <w:rPr>
          <w:highlight w:val="none"/>
        </w:rPr>
        <w:instrText xml:space="preserve"> PAGEREF _Toc196817274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716"/>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"_Toc196817275" </w:instrText>
      </w:r>
      <w:r>
        <w:rPr>
          <w:highlight w:val="none"/>
        </w:rPr>
        <w:fldChar w:fldCharType="separate"/>
      </w:r>
      <w:r>
        <w:rPr>
          <w:rStyle w:val="746"/>
          <w:rFonts w:hint="eastAsia" w:ascii="黑体" w:hAnsi="黑体" w:eastAsia="黑体" w:cs="黑体"/>
          <w:b/>
          <w:highlight w:val="none"/>
        </w:rPr>
        <w:t xml:space="preserve">第四章</w:t>
      </w:r>
      <w:r>
        <w:rPr>
          <w:rStyle w:val="746"/>
          <w:rFonts w:ascii="黑体" w:hAnsi="黑体" w:eastAsia="黑体" w:cs="黑体"/>
          <w:b/>
          <w:highlight w:val="none"/>
        </w:rPr>
        <w:t xml:space="preserve"> </w:t>
      </w:r>
      <w:r>
        <w:rPr>
          <w:rStyle w:val="746"/>
          <w:rFonts w:hint="eastAsia" w:ascii="黑体" w:hAnsi="黑体" w:eastAsia="黑体" w:cs="黑体"/>
          <w:b/>
          <w:highlight w:val="none"/>
        </w:rPr>
        <w:t xml:space="preserve">采购需求</w:t>
      </w:r>
      <w:r>
        <w:rPr>
          <w:highlight w:val="none"/>
        </w:rPr>
        <w:tab/>
      </w:r>
      <w:r>
        <w:rPr>
          <w:highlight w:val="none"/>
        </w:rPr>
        <w:fldChar w:fldCharType="begin"/>
      </w:r>
      <w:r>
        <w:rPr>
          <w:highlight w:val="none"/>
        </w:rPr>
        <w:instrText xml:space="preserve"> PAGEREF _Toc196817275 \h </w:instrText>
      </w:r>
      <w:r>
        <w:rPr>
          <w:highlight w:val="none"/>
        </w:rPr>
        <w:fldChar w:fldCharType="separate"/>
      </w:r>
      <w:r>
        <w:rPr>
          <w:highlight w:val="none"/>
        </w:rPr>
        <w:t xml:space="preserve">49</w:t>
      </w:r>
      <w:r>
        <w:rPr>
          <w:highlight w:val="none"/>
        </w:rPr>
        <w:fldChar w:fldCharType="end"/>
      </w:r>
      <w:r>
        <w:rPr>
          <w:highlight w:val="none"/>
        </w:rPr>
        <w:fldChar w:fldCharType="end"/>
      </w:r>
      <w:r/>
    </w:p>
    <w:p>
      <w:pPr>
        <w:pStyle w:val="716"/>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"_Toc196817276" </w:instrText>
      </w:r>
      <w:r>
        <w:rPr>
          <w:highlight w:val="none"/>
        </w:rPr>
        <w:fldChar w:fldCharType="separate"/>
      </w:r>
      <w:r>
        <w:rPr>
          <w:rStyle w:val="746"/>
          <w:rFonts w:hint="eastAsia" w:ascii="黑体" w:hAnsi="黑体" w:eastAsia="黑体" w:cs="黑体"/>
          <w:b/>
          <w:highlight w:val="none"/>
        </w:rPr>
        <w:t xml:space="preserve">第五章</w:t>
      </w:r>
      <w:r>
        <w:rPr>
          <w:rStyle w:val="746"/>
          <w:rFonts w:ascii="黑体" w:hAnsi="黑体" w:eastAsia="黑体" w:cs="黑体"/>
          <w:b/>
          <w:highlight w:val="none"/>
        </w:rPr>
        <w:t xml:space="preserve"> </w:t>
      </w:r>
      <w:r>
        <w:rPr>
          <w:rStyle w:val="746"/>
          <w:rFonts w:hint="eastAsia" w:ascii="黑体" w:hAnsi="黑体" w:eastAsia="黑体" w:cs="黑体"/>
          <w:b/>
          <w:highlight w:val="none"/>
        </w:rPr>
        <w:t xml:space="preserve">评审方法与评审标准</w:t>
      </w:r>
      <w:r>
        <w:rPr>
          <w:highlight w:val="none"/>
        </w:rPr>
        <w:tab/>
      </w:r>
      <w:r>
        <w:rPr>
          <w:highlight w:val="none"/>
        </w:rPr>
        <w:fldChar w:fldCharType="begin"/>
      </w:r>
      <w:r>
        <w:rPr>
          <w:highlight w:val="none"/>
        </w:rPr>
        <w:instrText xml:space="preserve"> PAGEREF _Toc196817276 \h </w:instrText>
      </w:r>
      <w:r>
        <w:rPr>
          <w:highlight w:val="none"/>
        </w:rPr>
        <w:fldChar w:fldCharType="separate"/>
      </w:r>
      <w:r>
        <w:rPr>
          <w:highlight w:val="none"/>
        </w:rPr>
        <w:t xml:space="preserve">53</w:t>
      </w:r>
      <w:r>
        <w:rPr>
          <w:highlight w:val="none"/>
        </w:rPr>
        <w:fldChar w:fldCharType="end"/>
      </w:r>
      <w:r>
        <w:rPr>
          <w:highlight w:val="none"/>
        </w:rPr>
        <w:fldChar w:fldCharType="end"/>
      </w:r>
      <w:r/>
    </w:p>
    <w:p>
      <w:pPr>
        <w:pStyle w:val="716"/>
        <w:rPr>
          <w:rFonts w:asciiTheme="minorHAnsi" w:hAnsiTheme="minorHAnsi" w:eastAsiaTheme="minorEastAsia" w:cstheme="minorBidi"/>
          <w:caps w:val="0"/>
          <w:sz w:val="21"/>
          <w:szCs w:val="22"/>
          <w:highlight w:val="none"/>
        </w:rPr>
      </w:pPr>
      <w:r>
        <w:rPr>
          <w:highlight w:val="none"/>
        </w:rPr>
        <w:fldChar w:fldCharType="begin"/>
      </w:r>
      <w:r>
        <w:rPr>
          <w:highlight w:val="none"/>
        </w:rPr>
        <w:instrText xml:space="preserve"> HYPERLINK \l "_Toc196817277" </w:instrText>
      </w:r>
      <w:r>
        <w:rPr>
          <w:highlight w:val="none"/>
        </w:rPr>
        <w:fldChar w:fldCharType="separate"/>
      </w:r>
      <w:r>
        <w:rPr>
          <w:rStyle w:val="746"/>
          <w:rFonts w:hint="eastAsia" w:ascii="黑体" w:hAnsi="黑体" w:eastAsia="黑体" w:cs="黑体"/>
          <w:b/>
          <w:highlight w:val="none"/>
        </w:rPr>
        <w:t xml:space="preserve">第六章</w:t>
      </w:r>
      <w:r>
        <w:rPr>
          <w:rStyle w:val="746"/>
          <w:rFonts w:ascii="黑体" w:hAnsi="黑体" w:eastAsia="黑体" w:cs="黑体"/>
          <w:b/>
          <w:highlight w:val="none"/>
        </w:rPr>
        <w:t xml:space="preserve"> </w:t>
      </w:r>
      <w:r>
        <w:rPr>
          <w:rStyle w:val="746"/>
          <w:rFonts w:hint="eastAsia" w:ascii="黑体" w:hAnsi="黑体" w:eastAsia="黑体" w:cs="黑体"/>
          <w:b/>
          <w:highlight w:val="none"/>
        </w:rPr>
        <w:t xml:space="preserve">响应文件格式</w:t>
      </w:r>
      <w:r>
        <w:rPr>
          <w:highlight w:val="none"/>
        </w:rPr>
        <w:tab/>
      </w:r>
      <w:r>
        <w:rPr>
          <w:highlight w:val="none"/>
        </w:rPr>
        <w:fldChar w:fldCharType="begin"/>
      </w:r>
      <w:r>
        <w:rPr>
          <w:highlight w:val="none"/>
        </w:rPr>
        <w:instrText xml:space="preserve"> PAGEREF _Toc196817277 \h </w:instrText>
      </w:r>
      <w:r>
        <w:rPr>
          <w:highlight w:val="none"/>
        </w:rPr>
        <w:fldChar w:fldCharType="separate"/>
      </w:r>
      <w:r>
        <w:rPr>
          <w:highlight w:val="none"/>
        </w:rPr>
        <w:t xml:space="preserve">57</w:t>
      </w:r>
      <w:r>
        <w:rPr>
          <w:highlight w:val="none"/>
        </w:rPr>
        <w:fldChar w:fldCharType="end"/>
      </w:r>
      <w:r>
        <w:rPr>
          <w:highlight w:val="none"/>
        </w:rPr>
        <w:fldChar w:fldCharType="end"/>
      </w:r>
      <w:r/>
    </w:p>
    <w:p>
      <w:pPr>
        <w:spacing w:before="290" w:after="290" w:line="480" w:lineRule="auto"/>
        <w:tabs>
          <w:tab w:val="right" w:pos="8834" w:leader="dot"/>
        </w:tabs>
        <w:rPr>
          <w:rFonts w:ascii="宋体"/>
          <w:highlight w:val="none"/>
        </w:rPr>
        <w:outlineLvl w:val="0"/>
      </w:pPr>
      <w:r>
        <w:rPr>
          <w:rFonts w:ascii="宋体"/>
          <w:highlight w:val="none"/>
        </w:rPr>
        <w:fldChar w:fldCharType="end"/>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spacing w:before="290" w:after="290" w:line="480" w:lineRule="auto"/>
        <w:tabs>
          <w:tab w:val="right" w:pos="8834" w:leader="dot"/>
        </w:tabs>
        <w:rPr>
          <w:rFonts w:ascii="宋体"/>
          <w:highlight w:val="none"/>
        </w:rPr>
        <w:outlineLvl w:val="0"/>
      </w:pPr>
      <w:r>
        <w:rPr>
          <w:rFonts w:ascii="宋体"/>
          <w:highlight w:val="none"/>
        </w:rPr>
      </w:r>
      <w:r/>
    </w:p>
    <w:p>
      <w:pPr>
        <w:pStyle w:val="672"/>
        <w:keepLines/>
        <w:spacing w:before="145" w:after="145"/>
        <w:rPr>
          <w:rFonts w:ascii="黑体" w:hAnsi="黑体" w:eastAsia="黑体" w:cs="黑体"/>
          <w:b/>
          <w:sz w:val="40"/>
          <w:szCs w:val="18"/>
          <w:highlight w:val="none"/>
        </w:rPr>
      </w:pPr>
      <w:r/>
      <w:bookmarkStart w:id="7" w:name="_Toc196817272"/>
      <w:r>
        <w:rPr>
          <w:rFonts w:hint="eastAsia" w:ascii="黑体" w:hAnsi="黑体" w:eastAsia="黑体" w:cs="黑体"/>
          <w:b/>
          <w:sz w:val="40"/>
          <w:szCs w:val="18"/>
          <w:highlight w:val="none"/>
        </w:rPr>
        <w:t xml:space="preserve">第一章 </w:t>
      </w:r>
      <w:bookmarkEnd w:id="1"/>
      <w:r>
        <w:rPr>
          <w:rFonts w:hint="eastAsia" w:ascii="黑体" w:hAnsi="黑体" w:eastAsia="黑体" w:cs="黑体"/>
          <w:b/>
          <w:sz w:val="40"/>
          <w:szCs w:val="18"/>
          <w:highlight w:val="none"/>
        </w:rPr>
        <w:t xml:space="preserve">磋商邀请</w:t>
      </w:r>
      <w:bookmarkEnd w:id="7"/>
      <w:r/>
      <w:r/>
    </w:p>
    <w:p>
      <w:pPr>
        <w:ind w:firstLine="480"/>
        <w:spacing w:line="440" w:lineRule="exact"/>
        <w:rPr>
          <w:rFonts w:ascii="宋体" w:hAnsi="宋体"/>
          <w:b w:val="0"/>
          <w:bCs w:val="0"/>
          <w:szCs w:val="21"/>
          <w:highlight w:val="none"/>
        </w:rPr>
      </w:pPr>
      <w:r>
        <w:rPr>
          <w:rFonts w:hint="eastAsia" w:ascii="宋体" w:hAnsi="宋体"/>
          <w:b w:val="0"/>
          <w:bCs w:val="0"/>
          <w:szCs w:val="21"/>
          <w:highlight w:val="none"/>
        </w:rPr>
        <w:t xml:space="preserve">受</w:t>
      </w:r>
      <w:r>
        <w:rPr>
          <w:rFonts w:hint="eastAsia" w:ascii="宋体" w:hAnsi="宋体"/>
          <w:b w:val="0"/>
          <w:bCs w:val="0"/>
          <w:szCs w:val="21"/>
          <w:highlight w:val="none"/>
          <w:lang w:eastAsia="zh-CN"/>
        </w:rPr>
        <w:t xml:space="preserve">宿迁市湖滨新区晓店学校</w:t>
      </w:r>
      <w:r>
        <w:rPr>
          <w:rFonts w:hint="eastAsia" w:ascii="宋体" w:hAnsi="宋体"/>
          <w:b w:val="0"/>
          <w:bCs w:val="0"/>
          <w:szCs w:val="21"/>
          <w:highlight w:val="none"/>
        </w:rPr>
        <w:t xml:space="preserve">的委托，</w:t>
      </w:r>
      <w:r>
        <w:rPr>
          <w:rFonts w:hint="eastAsia" w:ascii="宋体" w:hAnsi="宋体"/>
          <w:b w:val="0"/>
          <w:bCs w:val="0"/>
          <w:szCs w:val="21"/>
          <w:highlight w:val="none"/>
          <w:lang w:eastAsia="zh-CN"/>
        </w:rPr>
        <w:t xml:space="preserve">江苏志杰建设项目管理有限公司</w:t>
      </w:r>
      <w:r>
        <w:rPr>
          <w:rFonts w:hint="eastAsia" w:ascii="宋体" w:hAnsi="宋体"/>
          <w:b w:val="0"/>
          <w:bCs w:val="0"/>
          <w:szCs w:val="21"/>
          <w:highlight w:val="none"/>
        </w:rPr>
        <w:t xml:space="preserve">就</w:t>
      </w:r>
      <w:r>
        <w:rPr>
          <w:rFonts w:hint="eastAsia" w:ascii="宋体" w:hAnsi="宋体"/>
          <w:b w:val="0"/>
          <w:bCs w:val="0"/>
          <w:szCs w:val="21"/>
          <w:highlight w:val="none"/>
          <w:lang w:eastAsia="zh-CN"/>
        </w:rPr>
        <w:t xml:space="preserve">湖滨新区晓店学校运动场改造工程</w:t>
      </w:r>
      <w:r>
        <w:rPr>
          <w:rFonts w:hint="eastAsia" w:ascii="宋体" w:hAnsi="宋体"/>
          <w:b w:val="0"/>
          <w:bCs w:val="0"/>
          <w:szCs w:val="21"/>
          <w:highlight w:val="none"/>
        </w:rPr>
        <w:t xml:space="preserve">（JSZC-321392-ZJJS-C2026-0001）进行竞争性磋商采购，欢迎符合条件的供应商参加磋商。</w:t>
      </w:r>
      <w:r/>
    </w:p>
    <w:p>
      <w:pPr>
        <w:ind w:firstLine="480"/>
        <w:spacing w:line="440" w:lineRule="exact"/>
        <w:rPr>
          <w:rFonts w:ascii="宋体" w:hAnsi="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szCs w:val="21"/>
          <w:highlight w:val="none"/>
        </w:rPr>
        <w:t xml:space="preserve">项目概况</w:t>
      </w:r>
      <w:r/>
    </w:p>
    <w:p>
      <w:pPr>
        <w:ind w:firstLine="482"/>
        <w:spacing w:line="440" w:lineRule="exact"/>
        <w:rPr>
          <w:rFonts w:ascii="宋体" w:hAnsi="宋体"/>
          <w:b w:val="0"/>
          <w:bCs/>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b w:val="0"/>
          <w:bCs/>
          <w:szCs w:val="21"/>
          <w:highlight w:val="none"/>
          <w:lang w:eastAsia="zh-CN"/>
        </w:rPr>
        <w:t xml:space="preserve">湖滨新区晓店学校运动场改造工程</w:t>
      </w:r>
      <w:r>
        <w:rPr>
          <w:rFonts w:hint="eastAsia" w:ascii="宋体" w:hAnsi="宋体"/>
          <w:b w:val="0"/>
          <w:bCs/>
          <w:szCs w:val="21"/>
          <w:highlight w:val="none"/>
        </w:rPr>
        <w:t xml:space="preserve">（</w:t>
      </w:r>
      <w:r>
        <w:rPr>
          <w:rFonts w:hint="eastAsia" w:ascii="宋体" w:hAnsi="宋体"/>
          <w:b w:val="0"/>
          <w:bCs w:val="0"/>
          <w:szCs w:val="21"/>
          <w:highlight w:val="none"/>
        </w:rPr>
        <w:t xml:space="preserve">JSZC-321392-ZJJS-C2026-0001</w:t>
      </w:r>
      <w:r>
        <w:rPr>
          <w:rFonts w:hint="eastAsia" w:ascii="宋体" w:hAnsi="宋体"/>
          <w:b w:val="0"/>
          <w:bCs/>
          <w:szCs w:val="21"/>
          <w:highlight w:val="none"/>
        </w:rPr>
        <w:t xml:space="preserve">）竞争性磋商项目的潜在供应商可在“宿迁市政府采购网”自行免费下载磋商文件，并于202</w:t>
      </w:r>
      <w:r>
        <w:rPr>
          <w:rFonts w:hint="eastAsia" w:ascii="宋体" w:hAnsi="宋体"/>
          <w:b w:val="0"/>
          <w:bCs/>
          <w:szCs w:val="21"/>
          <w:highlight w:val="none"/>
          <w:lang w:val="en-US" w:eastAsia="zh-CN"/>
        </w:rPr>
        <w:t xml:space="preserve">6</w:t>
      </w:r>
      <w:r>
        <w:rPr>
          <w:rFonts w:hint="eastAsia" w:ascii="宋体" w:hAnsi="宋体"/>
          <w:b w:val="0"/>
          <w:bCs/>
          <w:szCs w:val="21"/>
          <w:highlight w:val="none"/>
        </w:rPr>
        <w:t xml:space="preserve">年</w:t>
      </w:r>
      <w:r>
        <w:rPr>
          <w:rFonts w:hint="eastAsia" w:ascii="宋体" w:hAnsi="宋体"/>
          <w:b w:val="0"/>
          <w:bCs/>
          <w:szCs w:val="21"/>
          <w:highlight w:val="none"/>
          <w:lang w:val="en-US" w:eastAsia="zh-CN"/>
        </w:rPr>
        <w:t xml:space="preserve">07</w:t>
      </w:r>
      <w:r>
        <w:rPr>
          <w:rFonts w:hint="eastAsia" w:ascii="宋体" w:hAnsi="宋体"/>
          <w:b w:val="0"/>
          <w:bCs/>
          <w:szCs w:val="21"/>
          <w:highlight w:val="none"/>
        </w:rPr>
        <w:t xml:space="preserve">月</w:t>
      </w:r>
      <w:r>
        <w:rPr>
          <w:rFonts w:hint="eastAsia" w:ascii="宋体" w:hAnsi="宋体"/>
          <w:b w:val="0"/>
          <w:bCs/>
          <w:szCs w:val="21"/>
          <w:highlight w:val="none"/>
        </w:rPr>
        <w:t xml:space="preserve">24日09点30分（北京时间）前递交响应文件。</w:t>
      </w:r>
      <w:r/>
    </w:p>
    <w:p>
      <w:pPr>
        <w:ind w:firstLine="482"/>
        <w:spacing w:line="440" w:lineRule="exact"/>
        <w:rPr>
          <w:rFonts w:ascii="宋体" w:hAnsi="宋体" w:cs="仿宋_GB2312"/>
          <w:b/>
          <w:szCs w:val="21"/>
          <w:highlight w:val="none"/>
        </w:rPr>
      </w:pPr>
      <w:r/>
      <w:bookmarkStart w:id="8" w:name="_Toc28359002"/>
      <w:r/>
      <w:bookmarkStart w:id="9" w:name="_Toc38985263"/>
      <w:r/>
      <w:bookmarkStart w:id="10" w:name="_Toc35393790"/>
      <w:r/>
      <w:bookmarkStart w:id="11" w:name="_Toc28359079"/>
      <w:r/>
      <w:bookmarkStart w:id="12" w:name="_Toc35393621"/>
      <w:r/>
      <w:bookmarkStart w:id="13" w:name="_Hlk24379207"/>
      <w:r>
        <w:rPr>
          <w:rFonts w:hint="eastAsia" w:ascii="宋体" w:hAnsi="宋体" w:cs="仿宋_GB2312"/>
          <w:b/>
          <w:szCs w:val="21"/>
          <w:highlight w:val="none"/>
        </w:rPr>
        <w:t xml:space="preserve">一、项目基本情况</w:t>
      </w:r>
      <w:bookmarkEnd w:id="8"/>
      <w:r/>
      <w:bookmarkEnd w:id="9"/>
      <w:r/>
      <w:bookmarkEnd w:id="10"/>
      <w:r/>
      <w:bookmarkEnd w:id="11"/>
      <w:r/>
      <w:bookmarkEnd w:id="12"/>
      <w:r/>
      <w:r/>
    </w:p>
    <w:p>
      <w:pPr>
        <w:ind w:firstLine="480"/>
        <w:spacing w:line="440" w:lineRule="exact"/>
        <w:rPr>
          <w:rFonts w:ascii="宋体" w:hAnsi="宋体"/>
          <w:szCs w:val="21"/>
          <w:highlight w:val="none"/>
        </w:rPr>
      </w:pPr>
      <w:r>
        <w:rPr>
          <w:rFonts w:hint="eastAsia" w:ascii="宋体" w:hAnsi="宋体"/>
          <w:szCs w:val="21"/>
          <w:highlight w:val="none"/>
        </w:rPr>
        <w:t xml:space="preserve">1.项目编号：</w:t>
      </w:r>
      <w:r>
        <w:rPr>
          <w:rFonts w:hint="eastAsia" w:ascii="宋体" w:hAnsi="宋体"/>
          <w:b w:val="0"/>
          <w:bCs w:val="0"/>
          <w:szCs w:val="21"/>
          <w:highlight w:val="none"/>
        </w:rPr>
        <w:t xml:space="preserve">JSZC-321392-ZJJS-C2026-0001</w:t>
      </w:r>
      <w:r/>
    </w:p>
    <w:p>
      <w:pPr>
        <w:ind w:firstLine="480"/>
        <w:spacing w:line="440" w:lineRule="exact"/>
        <w:rPr>
          <w:rFonts w:hint="eastAsia" w:ascii="宋体" w:hAnsi="宋体" w:eastAsia="宋体"/>
          <w:szCs w:val="21"/>
          <w:highlight w:val="none"/>
          <w:lang w:eastAsia="zh-CN"/>
        </w:rPr>
      </w:pPr>
      <w:r>
        <w:rPr>
          <w:rFonts w:hint="eastAsia" w:ascii="宋体" w:hAnsi="宋体"/>
          <w:szCs w:val="21"/>
          <w:highlight w:val="none"/>
        </w:rPr>
        <w:t xml:space="preserve">2.项目名称：</w:t>
      </w:r>
      <w:bookmarkEnd w:id="13"/>
      <w:r>
        <w:rPr>
          <w:rFonts w:hint="eastAsia" w:ascii="宋体" w:hAnsi="宋体"/>
          <w:szCs w:val="21"/>
          <w:highlight w:val="none"/>
          <w:lang w:eastAsia="zh-CN"/>
        </w:rPr>
        <w:t xml:space="preserve">湖滨新区晓店学校运动场改造工程</w:t>
      </w:r>
      <w:r/>
    </w:p>
    <w:p>
      <w:pPr>
        <w:ind w:firstLine="480"/>
        <w:spacing w:line="440" w:lineRule="exact"/>
        <w:rPr>
          <w:rFonts w:ascii="宋体" w:hAnsi="宋体" w:cs="宋体"/>
          <w:szCs w:val="21"/>
          <w:highlight w:val="none"/>
        </w:rPr>
      </w:pPr>
      <w:r>
        <w:rPr>
          <w:rFonts w:hint="eastAsia" w:ascii="宋体" w:hAnsi="宋体"/>
          <w:szCs w:val="21"/>
          <w:highlight w:val="none"/>
        </w:rPr>
        <w:t xml:space="preserve">3.预算金额：</w:t>
      </w:r>
      <w:r>
        <w:rPr>
          <w:rFonts w:hint="eastAsia" w:ascii="宋体" w:hAnsi="宋体"/>
          <w:szCs w:val="21"/>
          <w:highlight w:val="none"/>
          <w:lang w:val="en-US" w:eastAsia="zh-CN"/>
        </w:rPr>
        <w:t xml:space="preserve">380</w:t>
      </w:r>
      <w:r>
        <w:rPr>
          <w:rFonts w:hint="eastAsia" w:ascii="宋体" w:hAnsi="宋体"/>
          <w:szCs w:val="21"/>
          <w:highlight w:val="none"/>
        </w:rPr>
        <w:t xml:space="preserve">万元</w:t>
      </w:r>
      <w:r/>
    </w:p>
    <w:p>
      <w:pPr>
        <w:ind w:firstLine="480"/>
        <w:spacing w:line="440" w:lineRule="exact"/>
        <w:rPr>
          <w:rFonts w:ascii="宋体" w:hAnsi="宋体"/>
          <w:b/>
          <w:bCs/>
          <w:szCs w:val="21"/>
          <w:highlight w:val="none"/>
        </w:rPr>
      </w:pPr>
      <w:r>
        <w:rPr>
          <w:rFonts w:hint="eastAsia" w:ascii="宋体" w:hAnsi="宋体"/>
          <w:szCs w:val="21"/>
          <w:highlight w:val="none"/>
        </w:rPr>
        <w:t xml:space="preserve">4.最高限价：</w:t>
      </w:r>
      <w:r>
        <w:rPr>
          <w:rFonts w:hint="eastAsia" w:ascii="宋体" w:hAnsi="宋体"/>
          <w:bCs/>
          <w:szCs w:val="21"/>
          <w:highlight w:val="none"/>
        </w:rPr>
        <w:t xml:space="preserve">本项目设定最高限价，最高限价</w:t>
      </w:r>
      <w:r>
        <w:rPr>
          <w:rFonts w:hint="eastAsia" w:ascii="宋体" w:hAnsi="宋体"/>
          <w:bCs/>
          <w:szCs w:val="21"/>
          <w:highlight w:val="none"/>
          <w:u w:val="single"/>
          <w:lang w:val="en-US" w:eastAsia="zh-CN"/>
        </w:rPr>
        <w:t xml:space="preserve"> 3717127.14 </w:t>
      </w:r>
      <w:r>
        <w:rPr>
          <w:rFonts w:hint="eastAsia" w:ascii="宋体" w:hAnsi="宋体"/>
          <w:bCs/>
          <w:szCs w:val="21"/>
          <w:highlight w:val="none"/>
        </w:rPr>
        <w:t xml:space="preserve">元。</w:t>
      </w:r>
      <w:r/>
    </w:p>
    <w:p>
      <w:pPr>
        <w:ind w:firstLine="480"/>
        <w:spacing w:line="440" w:lineRule="exact"/>
        <w:rPr>
          <w:rFonts w:ascii="宋体" w:hAnsi="宋体"/>
          <w:szCs w:val="21"/>
          <w:highlight w:val="none"/>
          <w:u w:val="single"/>
        </w:rPr>
      </w:pPr>
      <w:r>
        <w:rPr>
          <w:rFonts w:hint="eastAsia" w:ascii="宋体" w:hAnsi="宋体"/>
          <w:szCs w:val="21"/>
          <w:highlight w:val="none"/>
        </w:rPr>
        <w:t xml:space="preserve">5.采购需求（简介）：</w:t>
      </w:r>
      <w:r>
        <w:rPr>
          <w:rFonts w:hint="eastAsia" w:ascii="宋体" w:hAnsi="宋体"/>
          <w:szCs w:val="21"/>
          <w:highlight w:val="none"/>
          <w:lang w:eastAsia="zh-CN"/>
        </w:rPr>
        <w:t xml:space="preserve">湖滨新区晓店学校运动场改造工程</w:t>
      </w:r>
      <w:r>
        <w:rPr>
          <w:rFonts w:hint="eastAsia" w:ascii="宋体" w:hAnsi="宋体"/>
          <w:szCs w:val="21"/>
          <w:highlight w:val="none"/>
        </w:rPr>
        <w:t xml:space="preserve">施工，</w:t>
      </w:r>
      <w:r>
        <w:rPr>
          <w:rFonts w:hint="eastAsia" w:ascii="宋体" w:hAnsi="宋体"/>
          <w:szCs w:val="21"/>
          <w:highlight w:val="none"/>
          <w:lang w:val="en-US" w:eastAsia="zh-CN"/>
        </w:rPr>
        <w:t xml:space="preserve">具体详见工程量清单及图纸</w:t>
      </w:r>
      <w:r>
        <w:rPr>
          <w:rFonts w:hint="eastAsia" w:ascii="宋体" w:hAnsi="宋体" w:cs="宋体"/>
          <w:szCs w:val="21"/>
          <w:highlight w:val="none"/>
        </w:rPr>
        <w:t xml:space="preserve">。</w:t>
      </w:r>
      <w:r/>
    </w:p>
    <w:p>
      <w:pPr>
        <w:ind w:firstLine="480"/>
        <w:spacing w:line="440" w:lineRule="exact"/>
        <w:rPr>
          <w:rFonts w:ascii="宋体" w:hAnsi="宋体"/>
          <w:szCs w:val="21"/>
          <w:highlight w:val="none"/>
        </w:rPr>
      </w:pPr>
      <w:r>
        <w:rPr>
          <w:rFonts w:hint="eastAsia" w:ascii="宋体" w:hAnsi="宋体"/>
          <w:szCs w:val="21"/>
          <w:highlight w:val="none"/>
        </w:rPr>
        <w:t xml:space="preserve">6.合同履行期限：</w:t>
      </w:r>
      <w:r>
        <w:rPr>
          <w:rFonts w:hint="eastAsia" w:ascii="宋体" w:hAnsi="宋体"/>
          <w:szCs w:val="21"/>
          <w:highlight w:val="none"/>
          <w:lang w:val="en-US" w:eastAsia="zh-CN"/>
        </w:rPr>
        <w:t xml:space="preserve">60</w:t>
      </w:r>
      <w:r>
        <w:rPr>
          <w:rFonts w:hint="eastAsia" w:ascii="宋体" w:hAnsi="宋体"/>
          <w:szCs w:val="21"/>
          <w:highlight w:val="none"/>
        </w:rPr>
        <w:t xml:space="preserve">日历天。</w:t>
      </w:r>
      <w:r/>
    </w:p>
    <w:p>
      <w:pPr>
        <w:ind w:firstLine="480"/>
        <w:spacing w:line="440" w:lineRule="exact"/>
        <w:rPr>
          <w:rFonts w:ascii="宋体" w:hAnsi="宋体"/>
          <w:szCs w:val="21"/>
          <w:highlight w:val="none"/>
          <w:u w:val="single"/>
        </w:rPr>
      </w:pPr>
      <w:r>
        <w:rPr>
          <w:rFonts w:hint="eastAsia" w:ascii="宋体" w:hAnsi="宋体"/>
          <w:szCs w:val="21"/>
          <w:highlight w:val="none"/>
        </w:rPr>
        <w:t xml:space="preserve">7.本项目不接受联合体参与磋商。</w:t>
      </w:r>
      <w:r/>
    </w:p>
    <w:p>
      <w:pPr>
        <w:ind w:firstLine="482"/>
        <w:spacing w:line="440" w:lineRule="exact"/>
        <w:rPr>
          <w:rFonts w:ascii="宋体" w:hAnsi="宋体" w:cs="仿宋_GB2312"/>
          <w:b/>
          <w:szCs w:val="21"/>
          <w:highlight w:val="none"/>
        </w:rPr>
      </w:pPr>
      <w:r/>
      <w:bookmarkStart w:id="14" w:name="_Toc38985264"/>
      <w:r/>
      <w:bookmarkStart w:id="15" w:name="_Toc35393622"/>
      <w:r/>
      <w:bookmarkStart w:id="16" w:name="_Toc28359003"/>
      <w:r/>
      <w:bookmarkStart w:id="17" w:name="_Toc28359080"/>
      <w:r/>
      <w:bookmarkStart w:id="18" w:name="_Toc35393791"/>
      <w:r>
        <w:rPr>
          <w:rFonts w:hint="eastAsia" w:ascii="宋体" w:hAnsi="宋体" w:cs="仿宋_GB2312"/>
          <w:b/>
          <w:szCs w:val="21"/>
          <w:highlight w:val="none"/>
        </w:rPr>
        <w:t xml:space="preserve">二、申请人的资格要求：</w:t>
      </w:r>
      <w:bookmarkEnd w:id="14"/>
      <w:r/>
      <w:bookmarkEnd w:id="15"/>
      <w:r/>
      <w:bookmarkEnd w:id="16"/>
      <w:r/>
      <w:bookmarkEnd w:id="17"/>
      <w:r/>
      <w:bookmarkEnd w:id="18"/>
      <w:r/>
      <w:r/>
    </w:p>
    <w:p>
      <w:pPr>
        <w:ind w:firstLine="480"/>
        <w:spacing w:line="440" w:lineRule="exact"/>
        <w:rPr>
          <w:rFonts w:ascii="宋体" w:hAnsi="宋体"/>
          <w:szCs w:val="21"/>
          <w:highlight w:val="none"/>
        </w:rPr>
      </w:pPr>
      <w:r/>
      <w:bookmarkStart w:id="19" w:name="_Toc35393792"/>
      <w:r/>
      <w:bookmarkStart w:id="20" w:name="_Toc28359004"/>
      <w:r/>
      <w:bookmarkStart w:id="21" w:name="_Toc38985265"/>
      <w:r/>
      <w:bookmarkStart w:id="22" w:name="_Toc28359081"/>
      <w:r/>
      <w:bookmarkStart w:id="23" w:name="_Toc35393623"/>
      <w:r>
        <w:rPr>
          <w:rFonts w:hint="eastAsia" w:ascii="宋体" w:hAnsi="宋体"/>
          <w:szCs w:val="21"/>
          <w:highlight w:val="none"/>
        </w:rPr>
        <w:t xml:space="preserve">（一</w:t>
      </w:r>
      <w:r>
        <w:rPr>
          <w:rFonts w:ascii="宋体" w:hAnsi="宋体"/>
          <w:szCs w:val="21"/>
          <w:highlight w:val="none"/>
        </w:rPr>
        <w:t xml:space="preserve">）</w:t>
      </w:r>
      <w:r>
        <w:rPr>
          <w:rFonts w:hint="eastAsia" w:ascii="宋体" w:hAnsi="宋体"/>
          <w:szCs w:val="21"/>
          <w:highlight w:val="none"/>
        </w:rPr>
        <w:t xml:space="preserve">通用</w:t>
      </w:r>
      <w:r>
        <w:rPr>
          <w:rFonts w:ascii="宋体" w:hAnsi="宋体"/>
          <w:szCs w:val="21"/>
          <w:highlight w:val="none"/>
        </w:rPr>
        <w:t xml:space="preserve">资格要求</w:t>
      </w:r>
      <w:r/>
    </w:p>
    <w:p>
      <w:pPr>
        <w:ind w:firstLine="480"/>
        <w:spacing w:line="440" w:lineRule="exact"/>
        <w:rPr>
          <w:rFonts w:ascii="宋体" w:hAnsi="宋体"/>
          <w:szCs w:val="21"/>
          <w:highlight w:val="none"/>
        </w:rPr>
      </w:pPr>
      <w:r>
        <w:rPr>
          <w:rFonts w:hint="eastAsia" w:ascii="宋体" w:hAnsi="宋体"/>
          <w:szCs w:val="21"/>
          <w:highlight w:val="none"/>
        </w:rPr>
        <w:t xml:space="preserve">1.具备《中华人民共和国政府采购法》第二十二条第一款规定的6项条件（按要求提供声明及信用承诺）；</w:t>
      </w:r>
      <w:r/>
    </w:p>
    <w:p>
      <w:pPr>
        <w:ind w:firstLine="480"/>
        <w:spacing w:line="440" w:lineRule="exact"/>
        <w:rPr>
          <w:rFonts w:ascii="宋体" w:hAnsi="宋体"/>
          <w:szCs w:val="21"/>
          <w:highlight w:val="none"/>
        </w:rPr>
      </w:pPr>
      <w:r>
        <w:rPr>
          <w:rFonts w:hint="eastAsia" w:ascii="宋体" w:hAnsi="宋体"/>
          <w:szCs w:val="21"/>
          <w:highlight w:val="none"/>
        </w:rPr>
        <w:t xml:space="preserve">2.信用信息。信用信息的使用规则：在“信用中国”网（www.creditchina.gov.cn）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440" w:lineRule="exact"/>
        <w:rPr>
          <w:rFonts w:ascii="宋体" w:hAnsi="宋体" w:cs="宋体"/>
          <w:szCs w:val="21"/>
          <w:highlight w:val="none"/>
        </w:rPr>
      </w:pPr>
      <w:r>
        <w:rPr>
          <w:rFonts w:hint="eastAsia" w:ascii="宋体" w:hAnsi="宋体"/>
          <w:szCs w:val="21"/>
          <w:highlight w:val="none"/>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p>
    <w:p>
      <w:pPr>
        <w:ind w:firstLine="480"/>
        <w:spacing w:line="440" w:lineRule="exact"/>
        <w:rPr>
          <w:rFonts w:ascii="宋体" w:hAnsi="宋体"/>
          <w:szCs w:val="21"/>
          <w:highlight w:val="none"/>
        </w:rPr>
      </w:pPr>
      <w:r>
        <w:rPr>
          <w:rFonts w:hint="eastAsia" w:ascii="宋体" w:hAnsi="宋体"/>
          <w:szCs w:val="21"/>
          <w:highlight w:val="none"/>
        </w:rPr>
        <w:t xml:space="preserve">（二）本项目的特定资格要求</w:t>
      </w:r>
      <w:r/>
    </w:p>
    <w:p>
      <w:pPr>
        <w:ind w:firstLine="480"/>
        <w:spacing w:line="440" w:lineRule="exact"/>
        <w:rPr>
          <w:rFonts w:hint="eastAsia" w:ascii="宋体" w:hAnsi="宋体" w:eastAsia="宋体"/>
          <w:szCs w:val="21"/>
          <w:highlight w:val="none"/>
          <w:lang w:eastAsia="zh-CN"/>
        </w:rPr>
      </w:pPr>
      <w:r>
        <w:rPr>
          <w:rFonts w:hint="eastAsia" w:ascii="宋体" w:hAnsi="宋体"/>
          <w:szCs w:val="21"/>
          <w:highlight w:val="none"/>
        </w:rPr>
        <w:t xml:space="preserve">1.供应商须具有市政公用工程施工总承包三级及以上企业资质</w:t>
      </w:r>
      <w:r>
        <w:rPr>
          <w:rFonts w:hint="eastAsia" w:ascii="宋体" w:hAnsi="宋体"/>
          <w:szCs w:val="21"/>
          <w:highlight w:val="none"/>
          <w:lang w:eastAsia="zh-CN"/>
        </w:rPr>
        <w:t xml:space="preserve">；</w:t>
      </w:r>
      <w:r/>
    </w:p>
    <w:p>
      <w:pPr>
        <w:ind w:firstLine="480"/>
        <w:spacing w:line="440" w:lineRule="exact"/>
        <w:rPr>
          <w:rFonts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.拟选派的项目负责人具备市政公用工程专业二级及以上注册建造师资格，且同时具备建筑施工企业项目负责人安全生产考核合格证书(B类证)；</w:t>
      </w:r>
      <w:r/>
    </w:p>
    <w:p>
      <w:pPr>
        <w:ind w:firstLine="480"/>
        <w:spacing w:line="440" w:lineRule="exact"/>
        <w:rPr>
          <w:rFonts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.供应商须具备安全生产条件，并取得安全生产许可证；</w:t>
      </w:r>
      <w:r/>
    </w:p>
    <w:p>
      <w:pPr>
        <w:ind w:firstLine="480"/>
        <w:spacing w:line="44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4</w:t>
      </w:r>
      <w:r>
        <w:rPr>
          <w:rFonts w:hint="eastAsia" w:ascii="宋体" w:hAnsi="宋体"/>
          <w:szCs w:val="21"/>
          <w:highlight w:val="none"/>
        </w:rPr>
        <w:t xml:space="preserve">.供应商拟选派的项目负责人须为本单位人员，且须在响应文件中提供磋商前6个月内本单位为其办理的任意一个月社会养老保险或医疗保险缴纳证明。</w:t>
      </w:r>
      <w:r/>
    </w:p>
    <w:p>
      <w:pPr>
        <w:ind w:firstLine="482"/>
        <w:spacing w:line="440" w:lineRule="exact"/>
        <w:rPr>
          <w:rFonts w:ascii="宋体" w:hAnsi="宋体" w:cs="仿宋_GB2312"/>
          <w:b/>
          <w:szCs w:val="21"/>
          <w:highlight w:val="none"/>
        </w:rPr>
      </w:pPr>
      <w:r>
        <w:rPr>
          <w:rFonts w:hint="eastAsia" w:ascii="宋体" w:hAnsi="宋体" w:cs="仿宋_GB2312"/>
          <w:b/>
          <w:szCs w:val="21"/>
          <w:highlight w:val="none"/>
        </w:rPr>
        <w:t xml:space="preserve">三、获取</w:t>
      </w:r>
      <w:bookmarkEnd w:id="19"/>
      <w:r/>
      <w:bookmarkEnd w:id="20"/>
      <w:r/>
      <w:bookmarkEnd w:id="21"/>
      <w:r/>
      <w:bookmarkEnd w:id="22"/>
      <w:r/>
      <w:bookmarkEnd w:id="23"/>
      <w:r>
        <w:rPr>
          <w:rFonts w:hint="eastAsia" w:ascii="宋体" w:hAnsi="宋体" w:cs="仿宋_GB2312"/>
          <w:b/>
          <w:szCs w:val="21"/>
          <w:highlight w:val="none"/>
        </w:rPr>
        <w:t xml:space="preserve">磋商文件</w:t>
      </w:r>
      <w:r/>
    </w:p>
    <w:p>
      <w:pPr>
        <w:ind w:firstLine="480"/>
        <w:spacing w:line="440" w:lineRule="exact"/>
        <w:rPr>
          <w:rFonts w:ascii="宋体" w:hAnsi="宋体"/>
          <w:bCs/>
          <w:szCs w:val="21"/>
          <w:highlight w:val="none"/>
        </w:rPr>
      </w:pPr>
      <w:r/>
      <w:bookmarkStart w:id="24" w:name="_Toc28359082"/>
      <w:r/>
      <w:bookmarkStart w:id="25" w:name="_Toc28359005"/>
      <w:r/>
      <w:bookmarkStart w:id="26" w:name="_Toc38985266"/>
      <w:r/>
      <w:bookmarkStart w:id="27" w:name="_Toc35393793"/>
      <w:r/>
      <w:bookmarkStart w:id="28" w:name="_Toc35393624"/>
      <w:r>
        <w:rPr>
          <w:rFonts w:hint="eastAsia" w:ascii="宋体" w:hAnsi="宋体" w:cs="宋体"/>
          <w:szCs w:val="21"/>
          <w:highlight w:val="none"/>
        </w:rPr>
        <w:t xml:space="preserve">1.时间：自磋商文件公告发布之日起5个工作日。</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40" w:lineRule="exact"/>
        <w:rPr>
          <w:rFonts w:ascii="宋体" w:hAnsi="宋体" w:cs="宋体"/>
          <w:szCs w:val="21"/>
          <w:highlight w:val="none"/>
          <w:u w:val="single"/>
        </w:rPr>
      </w:pPr>
      <w:r/>
      <w:bookmarkStart w:id="29" w:name="EB0c44ff4da61f4af989d119fe214be450"/>
      <w:r>
        <w:rPr>
          <w:rFonts w:hint="eastAsia" w:ascii="宋体" w:hAnsi="宋体" w:cs="仿宋_GB2312"/>
          <w:szCs w:val="21"/>
          <w:highlight w:val="none"/>
        </w:rPr>
        <w:t xml:space="preserve">3.本项目共分一个包。供应商参与多个包磋商的，应按包分别获取磋商文件。供应商未按要求获取竞争性磋商文件导致无法磋商的，后果自负（其响应文件不予接受）。</w:t>
      </w:r>
      <w:bookmarkEnd w:id="29"/>
      <w:r/>
      <w:r/>
    </w:p>
    <w:p>
      <w:pPr>
        <w:ind w:firstLine="482"/>
        <w:spacing w:line="440" w:lineRule="exact"/>
        <w:rPr>
          <w:rFonts w:ascii="宋体" w:hAnsi="宋体" w:cs="仿宋_GB2312"/>
          <w:b/>
          <w:szCs w:val="21"/>
          <w:highlight w:val="none"/>
        </w:rPr>
      </w:pPr>
      <w:r>
        <w:rPr>
          <w:rFonts w:hint="eastAsia" w:ascii="宋体" w:hAnsi="宋体" w:cs="仿宋_GB2312"/>
          <w:b/>
          <w:szCs w:val="21"/>
          <w:highlight w:val="none"/>
        </w:rPr>
        <w:t xml:space="preserve">四、提交</w:t>
      </w:r>
      <w:bookmarkEnd w:id="24"/>
      <w:r/>
      <w:bookmarkEnd w:id="25"/>
      <w:r>
        <w:rPr>
          <w:rFonts w:hint="eastAsia" w:ascii="宋体" w:hAnsi="宋体" w:cs="仿宋_GB2312"/>
          <w:b/>
          <w:szCs w:val="21"/>
          <w:highlight w:val="none"/>
        </w:rPr>
        <w:t xml:space="preserve">响应文件截止时间</w:t>
      </w:r>
      <w:bookmarkEnd w:id="26"/>
      <w:r/>
      <w:bookmarkEnd w:id="27"/>
      <w:r/>
      <w:bookmarkEnd w:id="28"/>
      <w:r/>
      <w:r/>
    </w:p>
    <w:p>
      <w:pPr>
        <w:ind w:firstLine="480"/>
        <w:spacing w:line="440" w:lineRule="exact"/>
        <w:rPr>
          <w:rFonts w:ascii="宋体" w:hAnsi="宋体" w:cs="宋体"/>
          <w:szCs w:val="21"/>
          <w:highlight w:val="none"/>
        </w:rPr>
      </w:pPr>
      <w:r>
        <w:rPr>
          <w:rFonts w:hint="eastAsia" w:ascii="宋体" w:hAnsi="宋体"/>
          <w:bCs/>
          <w:szCs w:val="21"/>
          <w:highlight w:val="none"/>
        </w:rPr>
        <w:t xml:space="preserve">1.提交响应文件截止时间、磋商时间：202</w:t>
      </w:r>
      <w:r>
        <w:rPr>
          <w:rFonts w:hint="eastAsia" w:ascii="宋体" w:hAnsi="宋体"/>
          <w:bCs/>
          <w:szCs w:val="21"/>
          <w:highlight w:val="none"/>
          <w:lang w:val="en-US" w:eastAsia="zh-CN"/>
        </w:rPr>
        <w:t xml:space="preserve">6</w:t>
      </w:r>
      <w:r>
        <w:rPr>
          <w:rFonts w:hint="eastAsia" w:ascii="宋体" w:hAnsi="宋体"/>
          <w:bCs/>
          <w:szCs w:val="21"/>
          <w:highlight w:val="none"/>
        </w:rPr>
        <w:t xml:space="preserve">年</w:t>
      </w:r>
      <w:r>
        <w:rPr>
          <w:rFonts w:hint="eastAsia" w:ascii="宋体" w:hAnsi="宋体"/>
          <w:bCs/>
          <w:szCs w:val="21"/>
          <w:highlight w:val="none"/>
          <w:lang w:val="en-US" w:eastAsia="zh-CN"/>
        </w:rPr>
        <w:t xml:space="preserve">07</w:t>
      </w:r>
      <w:r>
        <w:rPr>
          <w:rFonts w:hint="eastAsia" w:ascii="宋体" w:hAnsi="宋体"/>
          <w:bCs/>
          <w:szCs w:val="21"/>
          <w:highlight w:val="none"/>
        </w:rPr>
        <w:t xml:space="preserve">月</w:t>
      </w:r>
      <w:r>
        <w:rPr>
          <w:rFonts w:hint="eastAsia" w:ascii="宋体" w:hAnsi="宋体"/>
          <w:bCs/>
          <w:szCs w:val="21"/>
          <w:highlight w:val="none"/>
        </w:rPr>
        <w:t xml:space="preserve">24日09点30分（北京时间）。</w:t>
      </w:r>
      <w:r/>
    </w:p>
    <w:p>
      <w:pPr>
        <w:ind w:firstLine="480"/>
        <w:spacing w:line="440" w:lineRule="exact"/>
        <w:rPr>
          <w:rFonts w:ascii="宋体" w:hAnsi="宋体" w:cs="宋体"/>
          <w:szCs w:val="21"/>
          <w:highlight w:val="none"/>
        </w:rPr>
      </w:pPr>
      <w:r>
        <w:rPr>
          <w:rFonts w:hint="eastAsia" w:ascii="宋体" w:hAnsi="宋体" w:cs="仿宋_GB2312"/>
          <w:szCs w:val="21"/>
          <w:highlight w:val="none"/>
        </w:rPr>
        <w:t xml:space="preserve">2.地点：“苏采云”政府采购交易系统网上开标大厅。</w:t>
      </w:r>
      <w:r/>
    </w:p>
    <w:p>
      <w:pPr>
        <w:ind w:firstLine="482"/>
        <w:spacing w:line="440" w:lineRule="exact"/>
        <w:rPr>
          <w:rFonts w:ascii="宋体" w:hAnsi="宋体" w:cs="仿宋_GB2312"/>
          <w:b/>
          <w:szCs w:val="21"/>
          <w:highlight w:val="none"/>
        </w:rPr>
      </w:pPr>
      <w:r/>
      <w:bookmarkStart w:id="30" w:name="_Toc28359007"/>
      <w:r/>
      <w:bookmarkStart w:id="31" w:name="_Toc38985267"/>
      <w:r/>
      <w:bookmarkStart w:id="32" w:name="_Toc35393625"/>
      <w:r/>
      <w:bookmarkStart w:id="33" w:name="_Toc28359084"/>
      <w:r/>
      <w:bookmarkStart w:id="34" w:name="_Toc35393794"/>
      <w:r>
        <w:rPr>
          <w:rFonts w:hint="eastAsia" w:ascii="宋体" w:hAnsi="宋体" w:cs="仿宋_GB2312"/>
          <w:b/>
          <w:szCs w:val="21"/>
          <w:highlight w:val="none"/>
        </w:rPr>
        <w:t xml:space="preserve">五、公告期限</w:t>
      </w:r>
      <w:bookmarkEnd w:id="30"/>
      <w:r/>
      <w:bookmarkEnd w:id="31"/>
      <w:r/>
      <w:bookmarkEnd w:id="32"/>
      <w:r/>
      <w:bookmarkEnd w:id="33"/>
      <w:r/>
      <w:bookmarkEnd w:id="34"/>
      <w:r/>
      <w:r/>
    </w:p>
    <w:p>
      <w:pPr>
        <w:ind w:firstLine="480"/>
        <w:spacing w:line="440" w:lineRule="exact"/>
        <w:rPr>
          <w:rFonts w:ascii="宋体" w:hAnsi="宋体" w:cs="仿宋_GB2312"/>
          <w:szCs w:val="21"/>
          <w:highlight w:val="none"/>
        </w:rPr>
      </w:pPr>
      <w:r/>
      <w:bookmarkStart w:id="35" w:name="_Toc38985268"/>
      <w:r/>
      <w:bookmarkStart w:id="36" w:name="_Toc35393795"/>
      <w:r/>
      <w:bookmarkStart w:id="37" w:name="_Toc35393626"/>
      <w:r>
        <w:rPr>
          <w:rFonts w:hint="eastAsia" w:ascii="宋体" w:hAnsi="宋体" w:cs="仿宋_GB2312"/>
          <w:szCs w:val="21"/>
          <w:highlight w:val="none"/>
          <w:lang w:val="en"/>
        </w:rPr>
        <w:t xml:space="preserve">自本公告发布之日起3个工作日</w:t>
      </w:r>
      <w:r>
        <w:rPr>
          <w:rFonts w:hint="eastAsia" w:ascii="宋体" w:hAnsi="宋体" w:cs="仿宋_GB2312"/>
          <w:szCs w:val="21"/>
          <w:highlight w:val="none"/>
        </w:rPr>
        <w:t xml:space="preserve">。</w:t>
      </w:r>
      <w:r/>
    </w:p>
    <w:p>
      <w:pPr>
        <w:ind w:firstLine="482"/>
        <w:spacing w:line="440" w:lineRule="exact"/>
        <w:rPr>
          <w:rFonts w:ascii="宋体" w:hAnsi="宋体" w:cs="仿宋_GB2312"/>
          <w:b/>
          <w:szCs w:val="21"/>
          <w:highlight w:val="none"/>
        </w:rPr>
      </w:pPr>
      <w:r>
        <w:rPr>
          <w:rFonts w:hint="eastAsia" w:ascii="宋体" w:hAnsi="宋体" w:cs="仿宋_GB2312"/>
          <w:b/>
          <w:szCs w:val="21"/>
          <w:highlight w:val="none"/>
        </w:rPr>
        <w:t xml:space="preserve">六、其他补充事宜</w:t>
      </w:r>
      <w:bookmarkEnd w:id="35"/>
      <w:r/>
      <w:bookmarkEnd w:id="36"/>
      <w:r/>
      <w:bookmarkEnd w:id="37"/>
      <w:r/>
      <w:r/>
    </w:p>
    <w:p>
      <w:pPr>
        <w:ind w:firstLine="480"/>
        <w:spacing w:line="440" w:lineRule="exact"/>
        <w:rPr>
          <w:rFonts w:ascii="宋体" w:hAnsi="宋体"/>
          <w:szCs w:val="21"/>
          <w:highlight w:val="none"/>
        </w:rPr>
      </w:pPr>
      <w:r/>
      <w:bookmarkStart w:id="38" w:name="EB64e1f522fd8c43fcb4d3ba471386b3e7"/>
      <w:r>
        <w:rPr>
          <w:rFonts w:hint="eastAsia" w:ascii="宋体" w:hAnsi="宋体"/>
          <w:szCs w:val="21"/>
          <w:highlight w:val="none"/>
        </w:rPr>
        <w:t xml:space="preserve">1.财政部门监督电话：0527-84837919。</w:t>
      </w:r>
      <w:r/>
    </w:p>
    <w:p>
      <w:pPr>
        <w:ind w:firstLine="480"/>
        <w:spacing w:line="440" w:lineRule="exact"/>
        <w:rPr>
          <w:rFonts w:ascii="宋体" w:hAnsi="宋体"/>
          <w:szCs w:val="21"/>
          <w:highlight w:val="none"/>
        </w:rPr>
      </w:pPr>
      <w:r>
        <w:rPr>
          <w:rFonts w:hint="eastAsia" w:ascii="宋体" w:hAnsi="宋体"/>
          <w:szCs w:val="21"/>
          <w:highlight w:val="none"/>
        </w:rPr>
        <w:t xml:space="preserve">2.“CA”数字证书办理：“苏采云”系统目前仅支持“苏采云”系统下的政务CA。省内各地区办理的“苏采云”系统下的政务CA全省通用。宿迁地区CA数字证书办理联系方式：</w:t>
      </w:r>
      <w:r>
        <w:rPr>
          <w:rFonts w:ascii="SimSun" w:hAnsi="SimSun" w:eastAsia="SimSun" w:cs="SimSun"/>
          <w:color w:val="000000"/>
          <w:sz w:val="21"/>
        </w:rPr>
        <w:t xml:space="preserve">18351098172</w:t>
      </w:r>
      <w:r>
        <w:rPr>
          <w:rFonts w:hint="eastAsia" w:ascii="宋体" w:hAnsi="宋体"/>
          <w:szCs w:val="21"/>
          <w:highlight w:val="none"/>
        </w:rPr>
        <w:t xml:space="preserve">。</w:t>
      </w:r>
      <w:r/>
    </w:p>
    <w:p>
      <w:pPr>
        <w:pStyle w:val="825"/>
        <w:ind w:firstLine="480"/>
        <w:jc w:val="both"/>
        <w:spacing w:line="440" w:lineRule="exact"/>
        <w:rPr>
          <w:rFonts w:ascii="宋体" w:hAnsi="宋体" w:eastAsia="宋体" w:cs="Times New Roman"/>
          <w:sz w:val="21"/>
          <w:szCs w:val="21"/>
          <w:highlight w:val="none"/>
          <w:lang w:val="en-US"/>
        </w:rPr>
      </w:pPr>
      <w:r>
        <w:rPr>
          <w:rFonts w:hint="eastAsia" w:ascii="宋体" w:hAnsi="宋体" w:eastAsia="宋体" w:cs="Times New Roman"/>
          <w:sz w:val="21"/>
          <w:szCs w:val="21"/>
          <w:highlight w:val="none"/>
          <w:lang w:val="en-US"/>
        </w:rPr>
        <w:t xml:space="preserve">3.宿迁地区“苏采云”技术支持客服电话：0527-84363067、0519-86722806。</w:t>
      </w:r>
      <w:r/>
    </w:p>
    <w:p>
      <w:pPr>
        <w:pStyle w:val="825"/>
        <w:ind w:firstLine="480"/>
        <w:jc w:val="both"/>
        <w:spacing w:line="440" w:lineRule="exact"/>
        <w:rPr>
          <w:rFonts w:ascii="宋体" w:hAnsi="宋体" w:eastAsia="宋体" w:cs="Times New Roman"/>
          <w:sz w:val="21"/>
          <w:szCs w:val="21"/>
          <w:highlight w:val="none"/>
          <w:lang w:val="en-US"/>
        </w:rPr>
      </w:pPr>
      <w:r>
        <w:rPr>
          <w:rFonts w:hint="eastAsia" w:ascii="宋体" w:hAnsi="宋体" w:eastAsia="宋体" w:cs="Times New Roman"/>
          <w:sz w:val="21"/>
          <w:szCs w:val="21"/>
          <w:highlight w:val="none"/>
          <w:lang w:val="en-US"/>
        </w:rPr>
        <w:t xml:space="preserve">4.如果供应商通过苏采云系统参与政府采购项目，相关操作手册详见链接：</w:t>
      </w:r>
      <w:r>
        <w:rPr>
          <w:rFonts w:hint="eastAsia" w:ascii="宋体" w:hAnsi="宋体" w:eastAsia="宋体" w:cs="Times New Roman"/>
          <w:spacing w:val="-6"/>
          <w:sz w:val="21"/>
          <w:szCs w:val="21"/>
          <w:highlight w:val="none"/>
          <w:lang w:val="en-US"/>
        </w:rPr>
        <w:t xml:space="preserve">http://www.ccgp-jiangsu.gov.cn/jiangsu/zlxz/ee/ee3a4bc5a3454aa2b0d9312230633ce9.html。</w:t>
      </w:r>
      <w:bookmarkEnd w:id="38"/>
      <w:r/>
      <w:r/>
    </w:p>
    <w:p>
      <w:pPr>
        <w:ind w:firstLine="480"/>
        <w:spacing w:line="440" w:lineRule="exact"/>
        <w:rPr>
          <w:rFonts w:ascii="宋体" w:hAnsi="宋体" w:cs="宋体"/>
          <w:szCs w:val="21"/>
          <w:highlight w:val="none"/>
        </w:rPr>
      </w:pPr>
      <w:r>
        <w:rPr>
          <w:rFonts w:hint="eastAsia" w:ascii="宋体" w:hAnsi="宋体"/>
          <w:szCs w:val="21"/>
          <w:highlight w:val="none"/>
        </w:rPr>
        <w:t xml:space="preserve">5.现场勘察及答疑：本项目不组织集中勘察及答疑，供应商如对采购需求有疑问，请咨询采购单位联系人。</w:t>
      </w:r>
      <w:r/>
    </w:p>
    <w:p>
      <w:pPr>
        <w:ind w:firstLine="482"/>
        <w:spacing w:line="440" w:lineRule="exact"/>
        <w:rPr>
          <w:rFonts w:ascii="宋体" w:hAnsi="宋体" w:cs="仿宋_GB2312"/>
          <w:b/>
          <w:szCs w:val="21"/>
          <w:highlight w:val="none"/>
        </w:rPr>
      </w:pPr>
      <w:r/>
      <w:bookmarkStart w:id="39" w:name="_Toc35393627"/>
      <w:r/>
      <w:bookmarkStart w:id="40" w:name="_Toc28359008"/>
      <w:r/>
      <w:bookmarkStart w:id="41" w:name="_Toc35393796"/>
      <w:r/>
      <w:bookmarkStart w:id="42" w:name="_Toc28359085"/>
      <w:r/>
      <w:bookmarkStart w:id="43" w:name="_Toc38985269"/>
      <w:r>
        <w:rPr>
          <w:rFonts w:hint="eastAsia" w:ascii="宋体" w:hAnsi="宋体" w:cs="仿宋_GB2312"/>
          <w:b/>
          <w:szCs w:val="21"/>
          <w:highlight w:val="none"/>
        </w:rPr>
        <w:t xml:space="preserve">七、本次磋商联系方式</w:t>
      </w:r>
      <w:bookmarkEnd w:id="39"/>
      <w:r/>
      <w:bookmarkEnd w:id="40"/>
      <w:r/>
      <w:bookmarkEnd w:id="41"/>
      <w:r/>
      <w:bookmarkEnd w:id="42"/>
      <w:r/>
      <w:bookmarkEnd w:id="43"/>
      <w:r/>
      <w:r/>
    </w:p>
    <w:p>
      <w:pPr>
        <w:ind w:firstLine="480"/>
        <w:spacing w:line="440" w:lineRule="exact"/>
        <w:widowControl/>
        <w:rPr>
          <w:rFonts w:ascii="宋体" w:hAnsi="宋体" w:cs="宋体"/>
          <w:szCs w:val="21"/>
          <w:highlight w:val="none"/>
        </w:rPr>
      </w:pPr>
      <w:r>
        <w:rPr>
          <w:rFonts w:hint="eastAsia" w:ascii="宋体" w:hAnsi="宋体" w:cs="宋体"/>
          <w:szCs w:val="21"/>
          <w:highlight w:val="none"/>
        </w:rPr>
        <w:t xml:space="preserve">1.采购人信息</w:t>
      </w:r>
      <w:r/>
    </w:p>
    <w:p>
      <w:pPr>
        <w:ind w:firstLine="480"/>
        <w:spacing w:line="440" w:lineRule="exact"/>
        <w:tabs>
          <w:tab w:val="left" w:pos="900" w:leader="none"/>
        </w:tabs>
        <w:rPr>
          <w:rFonts w:hint="eastAsia" w:ascii="宋体" w:hAnsi="宋体" w:eastAsia="宋体"/>
          <w:bCs/>
          <w:szCs w:val="21"/>
          <w:highlight w:val="none"/>
          <w:lang w:eastAsia="zh-CN"/>
        </w:rPr>
      </w:pPr>
      <w:r>
        <w:rPr>
          <w:rFonts w:hint="eastAsia" w:ascii="宋体" w:hAnsi="宋体"/>
          <w:bCs/>
          <w:szCs w:val="21"/>
          <w:highlight w:val="none"/>
        </w:rPr>
        <w:t xml:space="preserve">名 称：</w:t>
      </w:r>
      <w:r>
        <w:rPr>
          <w:rFonts w:hint="eastAsia" w:ascii="宋体" w:hAnsi="宋体"/>
          <w:bCs/>
          <w:szCs w:val="21"/>
          <w:highlight w:val="none"/>
          <w:lang w:eastAsia="zh-CN"/>
        </w:rPr>
        <w:t xml:space="preserve">宿迁市湖滨新区晓店学校</w:t>
      </w:r>
      <w:r/>
    </w:p>
    <w:p>
      <w:pPr>
        <w:ind w:firstLine="480"/>
        <w:spacing w:line="440" w:lineRule="exact"/>
        <w:tabs>
          <w:tab w:val="left" w:pos="900" w:leader="none"/>
        </w:tabs>
        <w:rPr>
          <w:rFonts w:ascii="宋体" w:hAnsi="宋体"/>
          <w:bCs/>
          <w:szCs w:val="21"/>
          <w:highlight w:val="none"/>
        </w:rPr>
      </w:pPr>
      <w:r>
        <w:rPr>
          <w:rFonts w:hint="eastAsia" w:ascii="宋体" w:hAnsi="宋体"/>
          <w:bCs/>
          <w:szCs w:val="21"/>
          <w:highlight w:val="none"/>
        </w:rPr>
        <w:t xml:space="preserve">地址：宿迁市湖滨新区</w:t>
      </w:r>
      <w:r/>
    </w:p>
    <w:p>
      <w:pPr>
        <w:ind w:firstLine="480"/>
        <w:spacing w:line="440" w:lineRule="exact"/>
        <w:tabs>
          <w:tab w:val="left" w:pos="900" w:leader="none"/>
        </w:tabs>
        <w:rPr>
          <w:rFonts w:hint="eastAsia" w:ascii="宋体" w:hAnsi="宋体" w:eastAsia="宋体"/>
          <w:bCs/>
          <w:szCs w:val="21"/>
          <w:highlight w:val="none"/>
          <w:lang w:val="en-US" w:eastAsia="zh-CN"/>
        </w:rPr>
      </w:pPr>
      <w:r>
        <w:rPr>
          <w:rFonts w:hint="eastAsia" w:ascii="宋体" w:hAnsi="宋体"/>
          <w:bCs/>
          <w:szCs w:val="21"/>
          <w:highlight w:val="none"/>
        </w:rPr>
        <w:t xml:space="preserve">联系人：</w:t>
      </w:r>
      <w:r>
        <w:rPr>
          <w:rFonts w:hint="eastAsia" w:ascii="宋体" w:hAnsi="宋体"/>
          <w:bCs/>
          <w:szCs w:val="21"/>
          <w:highlight w:val="none"/>
          <w:lang w:val="en-US" w:eastAsia="zh-CN"/>
        </w:rPr>
        <w:t xml:space="preserve">王主任</w:t>
      </w:r>
      <w:r/>
    </w:p>
    <w:p>
      <w:pPr>
        <w:ind w:firstLine="480"/>
        <w:spacing w:line="440" w:lineRule="exact"/>
        <w:tabs>
          <w:tab w:val="left" w:pos="900" w:leader="none"/>
        </w:tabs>
        <w:rPr>
          <w:rFonts w:ascii="宋体" w:hAnsi="宋体"/>
          <w:bCs/>
          <w:szCs w:val="21"/>
          <w:highlight w:val="none"/>
        </w:rPr>
      </w:pPr>
      <w:r>
        <w:rPr>
          <w:rFonts w:hint="eastAsia" w:ascii="宋体" w:hAnsi="宋体"/>
          <w:bCs/>
          <w:szCs w:val="21"/>
          <w:highlight w:val="none"/>
        </w:rPr>
        <w:t xml:space="preserve">联系方式：</w:t>
      </w:r>
      <w:bookmarkStart w:id="44" w:name="_Toc28359009"/>
      <w:r/>
      <w:bookmarkStart w:id="45" w:name="_Toc28359086"/>
      <w:r>
        <w:rPr>
          <w:rFonts w:hint="eastAsia" w:ascii="宋体" w:hAnsi="宋体"/>
          <w:bCs/>
          <w:szCs w:val="21"/>
          <w:highlight w:val="none"/>
        </w:rPr>
        <w:t xml:space="preserve">13812307858</w:t>
      </w:r>
      <w:r/>
    </w:p>
    <w:p>
      <w:pPr>
        <w:ind w:firstLine="480"/>
        <w:spacing w:line="440" w:lineRule="exact"/>
        <w:widowControl/>
        <w:rPr>
          <w:rFonts w:ascii="宋体" w:hAnsi="宋体" w:cs="宋体"/>
          <w:szCs w:val="21"/>
          <w:highlight w:val="none"/>
        </w:rPr>
      </w:pPr>
      <w:r>
        <w:rPr>
          <w:rFonts w:hint="eastAsia" w:ascii="宋体" w:hAnsi="宋体" w:cs="宋体"/>
          <w:szCs w:val="21"/>
          <w:highlight w:val="none"/>
        </w:rPr>
        <w:t xml:space="preserve">2.采购代理机构信息</w:t>
      </w:r>
      <w:bookmarkEnd w:id="44"/>
      <w:r/>
      <w:bookmarkEnd w:id="45"/>
      <w:r/>
      <w:r/>
    </w:p>
    <w:p>
      <w:pPr>
        <w:ind w:firstLine="480"/>
        <w:spacing w:line="440" w:lineRule="exact"/>
        <w:tabs>
          <w:tab w:val="left" w:pos="900" w:leader="none"/>
        </w:tabs>
        <w:rPr>
          <w:rFonts w:hint="eastAsia" w:ascii="宋体" w:hAnsi="宋体" w:eastAsia="宋体"/>
          <w:bCs/>
          <w:szCs w:val="21"/>
          <w:highlight w:val="none"/>
          <w:lang w:eastAsia="zh-CN"/>
        </w:rPr>
      </w:pPr>
      <w:r/>
      <w:bookmarkStart w:id="46" w:name="_Toc28359010"/>
      <w:r/>
      <w:bookmarkStart w:id="47" w:name="_Toc28359087"/>
      <w:r>
        <w:rPr>
          <w:rFonts w:hint="eastAsia" w:ascii="宋体" w:hAnsi="宋体"/>
          <w:bCs/>
          <w:szCs w:val="21"/>
          <w:highlight w:val="none"/>
        </w:rPr>
        <w:t xml:space="preserve">名称：</w:t>
      </w:r>
      <w:r>
        <w:rPr>
          <w:rFonts w:hint="eastAsia" w:ascii="宋体" w:hAnsi="宋体"/>
          <w:bCs/>
          <w:szCs w:val="21"/>
          <w:highlight w:val="none"/>
          <w:lang w:eastAsia="zh-CN"/>
        </w:rPr>
        <w:t xml:space="preserve">江苏志杰建设项目管理有限公司</w:t>
      </w:r>
      <w:r/>
    </w:p>
    <w:p>
      <w:pPr>
        <w:ind w:firstLine="480"/>
        <w:spacing w:line="440" w:lineRule="exact"/>
        <w:tabs>
          <w:tab w:val="left" w:pos="900" w:leader="none"/>
        </w:tabs>
        <w:rPr>
          <w:rFonts w:ascii="宋体" w:hAnsi="宋体"/>
          <w:bCs/>
          <w:szCs w:val="21"/>
          <w:highlight w:val="none"/>
        </w:rPr>
      </w:pPr>
      <w:r>
        <w:rPr>
          <w:rFonts w:hint="eastAsia" w:ascii="宋体" w:hAnsi="宋体"/>
          <w:bCs/>
          <w:szCs w:val="21"/>
          <w:highlight w:val="none"/>
        </w:rPr>
        <w:t xml:space="preserve">地址：</w:t>
      </w:r>
      <w:r>
        <w:rPr>
          <w:rFonts w:hint="eastAsia" w:ascii="宋体" w:hAnsi="宋体"/>
          <w:bCs/>
          <w:szCs w:val="21"/>
          <w:highlight w:val="none"/>
          <w:lang w:val="en-US" w:eastAsia="zh-CN"/>
        </w:rPr>
        <w:t xml:space="preserve">宿迁市君临国际A座7层东侧</w:t>
      </w:r>
      <w:r/>
    </w:p>
    <w:p>
      <w:pPr>
        <w:ind w:firstLine="480"/>
        <w:spacing w:line="440" w:lineRule="exact"/>
        <w:tabs>
          <w:tab w:val="left" w:pos="900" w:leader="none"/>
        </w:tabs>
        <w:rPr>
          <w:rFonts w:hint="default" w:ascii="宋体" w:hAnsi="宋体" w:eastAsia="宋体"/>
          <w:bCs/>
          <w:szCs w:val="21"/>
          <w:highlight w:val="none"/>
          <w:lang w:val="en-US" w:eastAsia="zh-CN"/>
        </w:rPr>
      </w:pPr>
      <w:r>
        <w:rPr>
          <w:rFonts w:hint="eastAsia" w:ascii="宋体" w:hAnsi="宋体"/>
          <w:bCs/>
          <w:szCs w:val="21"/>
          <w:highlight w:val="none"/>
        </w:rPr>
        <w:t xml:space="preserve">联系人：</w:t>
      </w:r>
      <w:r>
        <w:rPr>
          <w:rFonts w:hint="eastAsia" w:ascii="宋体" w:hAnsi="宋体"/>
          <w:bCs/>
          <w:szCs w:val="21"/>
          <w:highlight w:val="none"/>
          <w:lang w:val="en-US" w:eastAsia="zh-CN"/>
        </w:rPr>
        <w:t xml:space="preserve">陈俊达</w:t>
      </w:r>
      <w:r/>
    </w:p>
    <w:p>
      <w:pPr>
        <w:ind w:firstLine="480"/>
        <w:spacing w:line="440" w:lineRule="exact"/>
        <w:tabs>
          <w:tab w:val="left" w:pos="900" w:leader="none"/>
        </w:tabs>
        <w:rPr>
          <w:rFonts w:hint="default" w:ascii="宋体" w:hAnsi="宋体" w:eastAsia="宋体"/>
          <w:bCs/>
          <w:szCs w:val="21"/>
          <w:highlight w:val="none"/>
          <w:lang w:val="en-US" w:eastAsia="zh-CN"/>
        </w:rPr>
      </w:pPr>
      <w:r>
        <w:rPr>
          <w:rFonts w:hint="eastAsia" w:ascii="宋体" w:hAnsi="宋体"/>
          <w:bCs/>
          <w:szCs w:val="21"/>
          <w:highlight w:val="none"/>
        </w:rPr>
        <w:t xml:space="preserve">联系</w:t>
      </w:r>
      <w:r>
        <w:rPr>
          <w:rFonts w:hint="eastAsia" w:ascii="宋体" w:hAnsi="宋体"/>
          <w:szCs w:val="21"/>
          <w:highlight w:val="none"/>
        </w:rPr>
        <w:t xml:space="preserve">方式</w:t>
      </w:r>
      <w:r>
        <w:rPr>
          <w:rFonts w:hint="eastAsia" w:ascii="宋体" w:hAnsi="宋体"/>
          <w:bCs/>
          <w:szCs w:val="21"/>
          <w:highlight w:val="none"/>
        </w:rPr>
        <w:t xml:space="preserve">：</w:t>
      </w:r>
      <w:bookmarkEnd w:id="46"/>
      <w:r/>
      <w:bookmarkEnd w:id="47"/>
      <w:r>
        <w:rPr>
          <w:rFonts w:hint="eastAsia" w:ascii="宋体" w:hAnsi="宋体"/>
          <w:bCs/>
          <w:szCs w:val="21"/>
          <w:highlight w:val="none"/>
          <w:lang w:val="en-US" w:eastAsia="zh-CN"/>
        </w:rPr>
        <w:t xml:space="preserve">15370022750</w:t>
      </w:r>
      <w:r/>
    </w:p>
    <w:p>
      <w:pPr>
        <w:ind w:firstLine="482"/>
        <w:spacing w:line="440" w:lineRule="exact"/>
        <w:rPr>
          <w:rFonts w:ascii="宋体" w:hAnsi="宋体" w:cs="仿宋_GB2312"/>
          <w:b/>
          <w:szCs w:val="21"/>
          <w:highlight w:val="none"/>
        </w:rPr>
      </w:pPr>
      <w:r>
        <w:rPr>
          <w:rFonts w:hint="eastAsia" w:ascii="宋体" w:hAnsi="宋体" w:cs="仿宋_GB2312"/>
          <w:b/>
          <w:szCs w:val="21"/>
          <w:highlight w:val="none"/>
        </w:rPr>
        <w:t xml:space="preserve">八、其他</w:t>
      </w:r>
      <w:r/>
    </w:p>
    <w:p>
      <w:pPr>
        <w:ind w:firstLine="480"/>
        <w:spacing w:line="440" w:lineRule="exact"/>
        <w:tabs>
          <w:tab w:val="left" w:pos="900" w:leader="none"/>
        </w:tabs>
        <w:rPr>
          <w:rFonts w:ascii="宋体" w:hAnsi="宋体"/>
          <w:bCs/>
          <w:szCs w:val="21"/>
          <w:highlight w:val="none"/>
        </w:rPr>
      </w:pPr>
      <w:r>
        <w:rPr>
          <w:rFonts w:ascii="宋体" w:hAnsi="宋体"/>
          <w:bCs/>
          <w:szCs w:val="21"/>
          <w:highlight w:val="none"/>
        </w:rPr>
        <w:t xml:space="preserve">1</w:t>
      </w:r>
      <w:r>
        <w:rPr>
          <w:rFonts w:hint="eastAsia" w:ascii="宋体" w:hAnsi="宋体"/>
          <w:bCs/>
          <w:szCs w:val="21"/>
          <w:highlight w:val="none"/>
        </w:rPr>
        <w:t xml:space="preserve">.有关本次采购的事项若存在变动或修改，敬请及时关注“宿迁市政府采购网”等平台更正公告。</w:t>
      </w:r>
      <w:r/>
    </w:p>
    <w:p>
      <w:pPr>
        <w:ind w:firstLine="480"/>
        <w:spacing w:line="440" w:lineRule="exact"/>
        <w:tabs>
          <w:tab w:val="left" w:pos="900" w:leader="none"/>
        </w:tabs>
        <w:rPr>
          <w:rFonts w:ascii="宋体" w:hAnsi="宋体"/>
          <w:bCs/>
          <w:szCs w:val="21"/>
          <w:highlight w:val="none"/>
        </w:rPr>
      </w:pPr>
      <w:r>
        <w:rPr>
          <w:rFonts w:hint="eastAsia" w:ascii="宋体" w:hAnsi="宋体"/>
          <w:bCs/>
          <w:szCs w:val="21"/>
          <w:highlight w:val="none"/>
        </w:rPr>
        <w:t xml:space="preserve">2.本次磋商不收取磋商保证金。</w:t>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spacing w:line="440" w:lineRule="exact"/>
        <w:tabs>
          <w:tab w:val="left" w:pos="900" w:leader="none"/>
        </w:tabs>
        <w:rPr>
          <w:rFonts w:ascii="宋体" w:hAnsi="宋体"/>
          <w:bCs/>
          <w:szCs w:val="21"/>
          <w:highlight w:val="none"/>
        </w:rPr>
      </w:pPr>
      <w:r>
        <w:rPr>
          <w:rFonts w:ascii="宋体" w:hAnsi="宋体"/>
          <w:bCs/>
          <w:szCs w:val="21"/>
          <w:highlight w:val="none"/>
        </w:rPr>
      </w:r>
      <w:r/>
    </w:p>
    <w:p>
      <w:pPr>
        <w:pStyle w:val="672"/>
        <w:keepLines/>
        <w:spacing w:before="145" w:after="145"/>
        <w:rPr>
          <w:rFonts w:hint="eastAsia" w:ascii="黑体" w:hAnsi="黑体" w:eastAsia="黑体" w:cs="黑体"/>
          <w:b/>
          <w:sz w:val="40"/>
          <w:szCs w:val="18"/>
          <w:highlight w:val="none"/>
        </w:rPr>
      </w:pPr>
      <w:r/>
      <w:bookmarkStart w:id="48" w:name="_Toc120614211"/>
      <w:r/>
      <w:bookmarkStart w:id="49" w:name="_Toc196817273"/>
      <w:r/>
      <w:r/>
    </w:p>
    <w:p>
      <w:pPr>
        <w:pStyle w:val="672"/>
        <w:keepLines/>
        <w:spacing w:before="145" w:after="145"/>
        <w:rPr>
          <w:rFonts w:ascii="黑体" w:hAnsi="黑体" w:eastAsia="黑体" w:cs="黑体"/>
          <w:b/>
          <w:sz w:val="40"/>
          <w:szCs w:val="18"/>
          <w:highlight w:val="none"/>
        </w:rPr>
      </w:pPr>
      <w:r>
        <w:rPr>
          <w:rFonts w:hint="eastAsia" w:ascii="黑体" w:hAnsi="黑体" w:eastAsia="黑体" w:cs="黑体"/>
          <w:b/>
          <w:sz w:val="40"/>
          <w:szCs w:val="18"/>
          <w:highlight w:val="none"/>
        </w:rPr>
        <w:t xml:space="preserve">第二章 </w:t>
      </w:r>
      <w:bookmarkEnd w:id="2"/>
      <w:r/>
      <w:bookmarkEnd w:id="3"/>
      <w:r/>
      <w:bookmarkEnd w:id="4"/>
      <w:r/>
      <w:bookmarkEnd w:id="5"/>
      <w:r/>
      <w:bookmarkEnd w:id="6"/>
      <w:r/>
      <w:bookmarkEnd w:id="48"/>
      <w:r>
        <w:rPr>
          <w:rFonts w:hint="eastAsia" w:ascii="黑体" w:hAnsi="黑体" w:eastAsia="黑体" w:cs="黑体"/>
          <w:b/>
          <w:sz w:val="40"/>
          <w:szCs w:val="18"/>
          <w:highlight w:val="none"/>
        </w:rPr>
        <w:t xml:space="preserve">供应商须知</w:t>
      </w:r>
      <w:bookmarkEnd w:id="49"/>
      <w:r/>
      <w:r/>
    </w:p>
    <w:p>
      <w:pPr>
        <w:spacing w:line="440" w:lineRule="exact"/>
        <w:rPr>
          <w:rFonts w:ascii="宋体" w:hAnsi="宋体" w:cs="宋体"/>
          <w:b/>
          <w:bCs/>
          <w:szCs w:val="21"/>
          <w:highlight w:val="none"/>
        </w:rPr>
      </w:pPr>
      <w:r/>
      <w:bookmarkStart w:id="50" w:name="_Toc16938519"/>
      <w:r/>
      <w:bookmarkStart w:id="51" w:name="_Toc513029203"/>
      <w:r/>
      <w:bookmarkStart w:id="52" w:name="_Toc120614214"/>
      <w:r/>
      <w:bookmarkStart w:id="53" w:name="_Toc20823275"/>
      <w:r>
        <w:rPr>
          <w:rFonts w:hint="eastAsia" w:ascii="宋体" w:hAnsi="宋体" w:cs="宋体"/>
          <w:b/>
          <w:bCs/>
          <w:szCs w:val="21"/>
          <w:highlight w:val="none"/>
        </w:rPr>
        <w:t xml:space="preserve">一、总则</w:t>
      </w:r>
      <w:bookmarkEnd w:id="50"/>
      <w:r/>
      <w:bookmarkEnd w:id="51"/>
      <w:r/>
      <w:bookmarkEnd w:id="52"/>
      <w:r/>
      <w:bookmarkEnd w:id="53"/>
      <w:r/>
      <w:r/>
    </w:p>
    <w:p>
      <w:pPr>
        <w:ind w:firstLine="482"/>
        <w:spacing w:line="440" w:lineRule="exact"/>
        <w:rPr>
          <w:rFonts w:ascii="宋体" w:hAnsi="宋体" w:cs="宋体"/>
          <w:b/>
          <w:bCs/>
          <w:szCs w:val="21"/>
          <w:highlight w:val="none"/>
        </w:rPr>
      </w:pPr>
      <w:r/>
      <w:bookmarkStart w:id="54" w:name="_Hlt16619475"/>
      <w:r/>
      <w:bookmarkEnd w:id="54"/>
      <w:r/>
      <w:bookmarkStart w:id="55" w:name="_Toc458694821"/>
      <w:r/>
      <w:bookmarkStart w:id="56" w:name="_Toc16938520"/>
      <w:r/>
      <w:bookmarkStart w:id="57" w:name="_Toc513029204"/>
      <w:r/>
      <w:bookmarkStart w:id="58" w:name="_Toc20823276"/>
      <w:r>
        <w:rPr>
          <w:rFonts w:hint="eastAsia" w:ascii="宋体" w:hAnsi="宋体" w:cs="宋体"/>
          <w:b/>
          <w:bCs/>
          <w:szCs w:val="21"/>
          <w:highlight w:val="none"/>
        </w:rPr>
        <w:t xml:space="preserve">1</w:t>
      </w:r>
      <w:bookmarkEnd w:id="55"/>
      <w:r>
        <w:rPr>
          <w:rFonts w:hint="eastAsia" w:ascii="宋体" w:hAnsi="宋体" w:cs="宋体"/>
          <w:b/>
          <w:bCs/>
          <w:szCs w:val="21"/>
          <w:highlight w:val="none"/>
        </w:rPr>
        <w:t xml:space="preserve">、采购方式</w:t>
      </w:r>
      <w:bookmarkEnd w:id="56"/>
      <w:r/>
      <w:bookmarkEnd w:id="57"/>
      <w:r/>
      <w:bookmarkEnd w:id="58"/>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1.1本次政府采购活动采取竞争性磋商(以下简称磋商)方式，本磋商文件仅适用于磋商公告中所述项目。</w:t>
      </w:r>
      <w:r/>
    </w:p>
    <w:p>
      <w:pPr>
        <w:ind w:firstLine="482"/>
        <w:spacing w:line="440" w:lineRule="exact"/>
        <w:rPr>
          <w:rFonts w:ascii="宋体" w:hAnsi="宋体" w:cs="宋体"/>
          <w:b/>
          <w:bCs/>
          <w:szCs w:val="21"/>
          <w:highlight w:val="none"/>
        </w:rPr>
      </w:pPr>
      <w:r/>
      <w:bookmarkStart w:id="59" w:name="_Toc20823277"/>
      <w:r/>
      <w:bookmarkStart w:id="60" w:name="_Toc513029205"/>
      <w:r/>
      <w:bookmarkStart w:id="61" w:name="_Toc16938521"/>
      <w:r>
        <w:rPr>
          <w:rFonts w:hint="eastAsia" w:ascii="宋体" w:hAnsi="宋体" w:cs="宋体"/>
          <w:b/>
          <w:bCs/>
          <w:szCs w:val="21"/>
          <w:highlight w:val="none"/>
        </w:rPr>
        <w:t xml:space="preserve">2、合格的</w:t>
      </w:r>
      <w:bookmarkEnd w:id="59"/>
      <w:r/>
      <w:bookmarkEnd w:id="60"/>
      <w:r/>
      <w:bookmarkEnd w:id="61"/>
      <w:r>
        <w:rPr>
          <w:rFonts w:hint="eastAsia" w:ascii="宋体" w:hAnsi="宋体" w:cs="宋体"/>
          <w:b/>
          <w:bCs/>
          <w:szCs w:val="21"/>
          <w:highlight w:val="none"/>
        </w:rPr>
        <w:t xml:space="preserve">供应商</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2.1满足磋商公告中供应商资格要求的规定。</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2.2满足本磋商文件实质性要求和条件的规定。</w:t>
      </w:r>
      <w:r/>
    </w:p>
    <w:p>
      <w:pPr>
        <w:ind w:firstLine="482"/>
        <w:spacing w:line="440" w:lineRule="exact"/>
        <w:rPr>
          <w:rFonts w:ascii="宋体" w:hAnsi="宋体" w:cs="宋体"/>
          <w:b/>
          <w:bCs/>
          <w:szCs w:val="21"/>
          <w:highlight w:val="none"/>
        </w:rPr>
      </w:pPr>
      <w:r/>
      <w:bookmarkStart w:id="62" w:name="_Toc513029206"/>
      <w:r/>
      <w:bookmarkStart w:id="63" w:name="_Toc16938522"/>
      <w:r/>
      <w:bookmarkStart w:id="64" w:name="_Toc20823278"/>
      <w:r>
        <w:rPr>
          <w:rFonts w:hint="eastAsia" w:ascii="宋体" w:hAnsi="宋体" w:cs="宋体"/>
          <w:b/>
          <w:bCs/>
          <w:szCs w:val="21"/>
          <w:highlight w:val="none"/>
        </w:rPr>
        <w:t xml:space="preserve">3、适用法律</w:t>
      </w:r>
      <w:bookmarkEnd w:id="62"/>
      <w:r/>
      <w:bookmarkEnd w:id="63"/>
      <w:r/>
      <w:bookmarkEnd w:id="64"/>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3.1本次磋商及由此产生的合同受中华人民共和国有关的法律法规制约和保护。</w:t>
      </w:r>
      <w:r/>
    </w:p>
    <w:p>
      <w:pPr>
        <w:ind w:firstLine="482"/>
        <w:spacing w:line="440" w:lineRule="exact"/>
        <w:rPr>
          <w:rFonts w:ascii="宋体" w:hAnsi="宋体" w:cs="宋体"/>
          <w:b/>
          <w:bCs/>
          <w:szCs w:val="21"/>
          <w:highlight w:val="none"/>
        </w:rPr>
      </w:pPr>
      <w:r/>
      <w:bookmarkStart w:id="65" w:name="_Toc513029207"/>
      <w:r/>
      <w:bookmarkStart w:id="66" w:name="_Toc20823279"/>
      <w:r/>
      <w:bookmarkStart w:id="67" w:name="_Toc462564067"/>
      <w:r/>
      <w:bookmarkStart w:id="68" w:name="_Toc16938523"/>
      <w:r>
        <w:rPr>
          <w:rFonts w:hint="eastAsia" w:ascii="宋体" w:hAnsi="宋体" w:cs="宋体"/>
          <w:b/>
          <w:bCs/>
          <w:szCs w:val="21"/>
          <w:highlight w:val="none"/>
        </w:rPr>
        <w:t xml:space="preserve">4、磋商费用</w:t>
      </w:r>
      <w:bookmarkEnd w:id="65"/>
      <w:r/>
      <w:bookmarkEnd w:id="66"/>
      <w:r/>
      <w:bookmarkEnd w:id="67"/>
      <w:r/>
      <w:bookmarkEnd w:id="68"/>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4.2代理费用收取方式及标准：按以下第</w:t>
      </w:r>
      <w:r>
        <w:rPr>
          <w:rFonts w:hint="eastAsia" w:ascii="宋体" w:hAnsi="宋体" w:cs="宋体"/>
          <w:szCs w:val="21"/>
          <w:highlight w:val="none"/>
          <w:u w:val="single"/>
        </w:rPr>
        <w:t xml:space="preserve"> 4.2.2 </w:t>
      </w:r>
      <w:r>
        <w:rPr>
          <w:rFonts w:hint="eastAsia" w:ascii="宋体" w:hAnsi="宋体" w:cs="宋体"/>
          <w:szCs w:val="21"/>
          <w:highlight w:val="none"/>
        </w:rPr>
        <w:t xml:space="preserve">种方式执行</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4.2.1无需支付；</w:t>
      </w:r>
      <w:r/>
    </w:p>
    <w:p>
      <w:pPr>
        <w:ind w:firstLine="480"/>
        <w:spacing w:line="440" w:lineRule="exact"/>
        <w:rPr>
          <w:rFonts w:ascii="宋体" w:hAnsi="宋体" w:cs="宋体"/>
          <w:szCs w:val="21"/>
          <w:highlight w:val="none"/>
        </w:rPr>
      </w:pPr>
      <w:r>
        <w:rPr>
          <w:rFonts w:hint="eastAsia" w:ascii="宋体" w:hAnsi="宋体" w:cs="宋体"/>
          <w:szCs w:val="21"/>
          <w:highlight w:val="none"/>
          <w:lang w:val="zh-CN"/>
        </w:rPr>
        <w:t xml:space="preserve">4.2.2采购人支付，具体方式及标准为：</w:t>
      </w:r>
      <w:r>
        <w:rPr>
          <w:rFonts w:hint="eastAsia" w:ascii="宋体" w:hAnsi="宋体" w:cs="宋体"/>
          <w:szCs w:val="21"/>
          <w:highlight w:val="none"/>
          <w:u w:val="single"/>
          <w:lang w:val="zh-CN"/>
        </w:rPr>
        <w:t xml:space="preserve">按照《江苏省招标代理服务收费的指导意见》苏招协〔2022〕002号文件</w:t>
      </w:r>
      <w:r>
        <w:rPr>
          <w:rFonts w:hint="eastAsia" w:ascii="宋体" w:hAnsi="宋体" w:cs="宋体"/>
          <w:szCs w:val="21"/>
          <w:highlight w:val="none"/>
          <w:u w:val="single"/>
          <w:lang w:val="en-US" w:eastAsia="zh-CN"/>
        </w:rPr>
        <w:t xml:space="preserve">*79%</w:t>
      </w:r>
      <w:r>
        <w:rPr>
          <w:rFonts w:hint="eastAsia" w:ascii="宋体" w:hAnsi="宋体" w:cs="宋体"/>
          <w:szCs w:val="21"/>
          <w:highlight w:val="none"/>
          <w:u w:val="single"/>
        </w:rPr>
        <w:t xml:space="preserve">向代理机构支付代理服务费。支付方式可以通过转账或数字人民币等方式。</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5、磋商文件的约束力</w:t>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5.1</w:t>
      </w:r>
      <w:r>
        <w:rPr>
          <w:rFonts w:hint="eastAsia" w:ascii="宋体" w:hAnsi="宋体" w:cs="宋体"/>
          <w:szCs w:val="21"/>
          <w:highlight w:val="none"/>
        </w:rPr>
        <w:t xml:space="preserve">供应商一旦参加本项目采购活动，即被认为接受了本磋商文件的规定和约束。</w:t>
      </w:r>
      <w:r/>
    </w:p>
    <w:p>
      <w:pPr>
        <w:spacing w:line="440" w:lineRule="exact"/>
        <w:rPr>
          <w:rFonts w:ascii="宋体" w:hAnsi="宋体" w:cs="宋体"/>
          <w:b/>
          <w:bCs/>
          <w:szCs w:val="21"/>
          <w:highlight w:val="none"/>
        </w:rPr>
      </w:pPr>
      <w:r/>
      <w:bookmarkStart w:id="69" w:name="_Toc120614215"/>
      <w:r/>
      <w:bookmarkStart w:id="70" w:name="_Toc16938525"/>
      <w:r/>
      <w:bookmarkStart w:id="71" w:name="_Toc513029209"/>
      <w:r/>
      <w:bookmarkStart w:id="72" w:name="_Toc20823281"/>
      <w:r>
        <w:rPr>
          <w:rFonts w:hint="eastAsia" w:ascii="宋体" w:hAnsi="宋体" w:cs="宋体"/>
          <w:b/>
          <w:bCs/>
          <w:szCs w:val="21"/>
          <w:highlight w:val="none"/>
        </w:rPr>
        <w:t xml:space="preserve">二、</w:t>
      </w:r>
      <w:bookmarkEnd w:id="69"/>
      <w:r/>
      <w:bookmarkEnd w:id="70"/>
      <w:r/>
      <w:bookmarkEnd w:id="71"/>
      <w:r/>
      <w:bookmarkEnd w:id="72"/>
      <w:r>
        <w:rPr>
          <w:rFonts w:hint="eastAsia" w:ascii="宋体" w:hAnsi="宋体" w:cs="宋体"/>
          <w:b/>
          <w:bCs/>
          <w:szCs w:val="21"/>
          <w:highlight w:val="none"/>
        </w:rPr>
        <w:t xml:space="preserve">磋商文件</w:t>
      </w:r>
      <w:r/>
    </w:p>
    <w:p>
      <w:pPr>
        <w:ind w:firstLine="482"/>
        <w:spacing w:line="440" w:lineRule="exact"/>
        <w:rPr>
          <w:rFonts w:ascii="宋体" w:hAnsi="宋体" w:cs="宋体"/>
          <w:b/>
          <w:bCs/>
          <w:szCs w:val="21"/>
          <w:highlight w:val="none"/>
        </w:rPr>
      </w:pPr>
      <w:r/>
      <w:bookmarkStart w:id="73" w:name="_Toc20823282"/>
      <w:r/>
      <w:bookmarkStart w:id="74" w:name="_Toc513029210"/>
      <w:r/>
      <w:bookmarkStart w:id="75" w:name="_Toc16938526"/>
      <w:r>
        <w:rPr>
          <w:rFonts w:hint="eastAsia" w:ascii="宋体" w:hAnsi="宋体" w:cs="宋体"/>
          <w:b/>
          <w:bCs/>
          <w:szCs w:val="21"/>
          <w:highlight w:val="none"/>
        </w:rPr>
        <w:t xml:space="preserve">6、磋商文件构成</w:t>
      </w:r>
      <w:bookmarkEnd w:id="73"/>
      <w:r/>
      <w:bookmarkEnd w:id="74"/>
      <w:r/>
      <w:bookmarkEnd w:id="75"/>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6.1磋商文件由以下部分组成：</w:t>
      </w:r>
      <w:bookmarkStart w:id="798" w:name="_GoBack"/>
      <w:r/>
      <w:bookmarkEnd w:id="798"/>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（1）磋商邀请</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（2）供应商须知</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（3）合同文本</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（4）采购需求</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（5）评审方法与评审标准</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（6）响应文件格式</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请仔细检查磋商文件是否齐全，如有缺漏请立即与采购代理机构联系解决。</w:t>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6.2</w:t>
      </w:r>
      <w:r>
        <w:rPr>
          <w:rFonts w:hint="eastAsia" w:ascii="宋体" w:hAnsi="宋体" w:cs="宋体"/>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440" w:lineRule="exact"/>
        <w:rPr>
          <w:rFonts w:ascii="宋体" w:hAnsi="宋体" w:cs="宋体"/>
          <w:b/>
          <w:bCs/>
          <w:szCs w:val="21"/>
          <w:highlight w:val="none"/>
        </w:rPr>
      </w:pPr>
      <w:r/>
      <w:bookmarkStart w:id="76" w:name="_Toc16938527"/>
      <w:r/>
      <w:bookmarkStart w:id="77" w:name="_Toc20823283"/>
      <w:r/>
      <w:bookmarkStart w:id="78" w:name="_Toc462564070"/>
      <w:r/>
      <w:bookmarkStart w:id="79" w:name="_Toc513029211"/>
      <w:r>
        <w:rPr>
          <w:rFonts w:hint="eastAsia" w:ascii="宋体" w:hAnsi="宋体" w:cs="宋体"/>
          <w:b/>
          <w:bCs/>
          <w:szCs w:val="21"/>
          <w:highlight w:val="none"/>
        </w:rPr>
        <w:t xml:space="preserve">7、磋商文件的澄清</w:t>
      </w:r>
      <w:bookmarkEnd w:id="76"/>
      <w:r/>
      <w:bookmarkEnd w:id="77"/>
      <w:r/>
      <w:bookmarkEnd w:id="78"/>
      <w:r/>
      <w:bookmarkEnd w:id="79"/>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7.1</w:t>
      </w:r>
      <w:r>
        <w:rPr>
          <w:rFonts w:hint="eastAsia" w:ascii="宋体" w:hAnsi="宋体" w:cs="宋体"/>
          <w:szCs w:val="21"/>
          <w:highlight w:val="none"/>
        </w:rPr>
        <w:t xml:space="preserve">任何要求对磋商文件进行澄清的供应商，应在磋商截止期5日前按磋商公告中的通讯地址，以书面形式通知采购代理机构。</w:t>
      </w:r>
      <w:r/>
    </w:p>
    <w:p>
      <w:pPr>
        <w:ind w:firstLine="482"/>
        <w:spacing w:line="440" w:lineRule="exact"/>
        <w:rPr>
          <w:rFonts w:ascii="宋体" w:hAnsi="宋体" w:cs="宋体"/>
          <w:b/>
          <w:bCs/>
          <w:szCs w:val="21"/>
          <w:highlight w:val="none"/>
        </w:rPr>
      </w:pPr>
      <w:r/>
      <w:bookmarkStart w:id="80" w:name="_Toc513029212"/>
      <w:r/>
      <w:bookmarkStart w:id="81" w:name="_Toc462564071"/>
      <w:r/>
      <w:bookmarkStart w:id="82" w:name="_Toc16938528"/>
      <w:r/>
      <w:bookmarkStart w:id="83" w:name="_Toc20823284"/>
      <w:r>
        <w:rPr>
          <w:rFonts w:hint="eastAsia" w:ascii="宋体" w:hAnsi="宋体" w:cs="宋体"/>
          <w:b/>
          <w:bCs/>
          <w:szCs w:val="21"/>
          <w:highlight w:val="none"/>
        </w:rPr>
        <w:t xml:space="preserve">8、磋商文件的澄清和修改</w:t>
      </w:r>
      <w:bookmarkEnd w:id="80"/>
      <w:r/>
      <w:bookmarkEnd w:id="81"/>
      <w:r/>
      <w:bookmarkEnd w:id="82"/>
      <w:r/>
      <w:bookmarkEnd w:id="83"/>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8.1采购代理机构可以以更正公告的形式，对已发出的磋商文件进行必要的澄清或者修改。澄清或者修改的内容可能影响响应文件编制的，更正公告应在</w:t>
      </w:r>
      <w:r>
        <w:rPr>
          <w:rFonts w:hint="eastAsia" w:ascii="宋体" w:hAnsi="宋体" w:cs="宋体"/>
          <w:szCs w:val="21"/>
          <w:highlight w:val="none"/>
        </w:rPr>
        <w:t xml:space="preserve">提交首次响应文件截止时间</w:t>
      </w:r>
      <w:r>
        <w:rPr>
          <w:rFonts w:hint="eastAsia" w:ascii="宋体" w:hAnsi="宋体" w:cs="宋体"/>
          <w:bCs/>
          <w:szCs w:val="21"/>
          <w:highlight w:val="none"/>
        </w:rPr>
        <w:t xml:space="preserve">至少5日前发出；不足5日的，采购代理机构应当顺延</w:t>
      </w:r>
      <w:r>
        <w:rPr>
          <w:rFonts w:hint="eastAsia" w:ascii="宋体" w:hAnsi="宋体" w:cs="宋体"/>
          <w:szCs w:val="21"/>
          <w:highlight w:val="none"/>
        </w:rPr>
        <w:t xml:space="preserve">提交首次响应文件截止时间</w:t>
      </w:r>
      <w:r>
        <w:rPr>
          <w:rFonts w:hint="eastAsia" w:ascii="宋体" w:hAnsi="宋体" w:cs="宋体"/>
          <w:bCs/>
          <w:szCs w:val="21"/>
          <w:highlight w:val="none"/>
        </w:rPr>
        <w:t xml:space="preserve">。</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8.2</w:t>
      </w:r>
      <w:r>
        <w:rPr>
          <w:rFonts w:hint="eastAsia" w:ascii="宋体" w:hAnsi="宋体" w:cs="宋体"/>
          <w:szCs w:val="21"/>
          <w:highlight w:val="none"/>
        </w:rPr>
        <w:t xml:space="preserve">在响应文件提交截止时间前</w:t>
      </w:r>
      <w:r>
        <w:rPr>
          <w:rFonts w:hint="eastAsia" w:ascii="宋体" w:hAnsi="宋体" w:cs="宋体"/>
          <w:bCs/>
          <w:szCs w:val="21"/>
          <w:highlight w:val="none"/>
        </w:rPr>
        <w:t xml:space="preserve">，采购代理机构可以对磋商文件进行修改。</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8.3采购代理机构有权按照法定的要求推迟响应文件递交截止日期和磋商日期。</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8.4磋商文件的修改将在原公告媒体上发布更正公告，</w:t>
      </w:r>
      <w:r>
        <w:rPr>
          <w:rFonts w:hint="eastAsia" w:ascii="宋体" w:hAnsi="宋体" w:cs="宋体"/>
          <w:szCs w:val="21"/>
          <w:highlight w:val="none"/>
        </w:rPr>
        <w:t xml:space="preserve">更正公告内容将作为磋商文件的组成部分</w:t>
      </w:r>
      <w:r>
        <w:rPr>
          <w:rFonts w:hint="eastAsia" w:ascii="宋体" w:hAnsi="宋体" w:cs="宋体"/>
          <w:bCs/>
          <w:szCs w:val="21"/>
          <w:highlight w:val="none"/>
        </w:rPr>
        <w:t xml:space="preserve">，并对供应商具有约束力，发布的更正公告视同为以书面形式通知所有获取招标文件的潜在供应商。</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8.5供应商应及时登录“苏采云”系统获取澄清答疑文件（修改后磋商文件），如因供应商原因未能及时下载澄清和修改后的磋商文件，由此造成的相关责任，由供应商承担。</w:t>
      </w:r>
      <w:r/>
    </w:p>
    <w:p>
      <w:pPr>
        <w:spacing w:line="440" w:lineRule="exact"/>
        <w:rPr>
          <w:rFonts w:ascii="宋体" w:hAnsi="宋体" w:cs="宋体"/>
          <w:b/>
          <w:bCs/>
          <w:szCs w:val="21"/>
          <w:highlight w:val="none"/>
        </w:rPr>
      </w:pPr>
      <w:r/>
      <w:bookmarkStart w:id="84" w:name="_Toc120614216"/>
      <w:r/>
      <w:bookmarkStart w:id="85" w:name="_Toc462564072"/>
      <w:r/>
      <w:bookmarkStart w:id="86" w:name="_Toc513029213"/>
      <w:r/>
      <w:bookmarkStart w:id="87" w:name="_Toc16938529"/>
      <w:r/>
      <w:bookmarkStart w:id="88" w:name="_Toc20823285"/>
      <w:r>
        <w:rPr>
          <w:rFonts w:hint="eastAsia" w:ascii="宋体" w:hAnsi="宋体" w:cs="宋体"/>
          <w:b/>
          <w:bCs/>
          <w:szCs w:val="21"/>
          <w:highlight w:val="none"/>
        </w:rPr>
        <w:t xml:space="preserve">三、响应文件的编制</w:t>
      </w:r>
      <w:bookmarkEnd w:id="84"/>
      <w:r/>
      <w:bookmarkEnd w:id="85"/>
      <w:r/>
      <w:bookmarkEnd w:id="86"/>
      <w:r/>
      <w:bookmarkEnd w:id="87"/>
      <w:r/>
      <w:bookmarkEnd w:id="88"/>
      <w:r/>
      <w:r/>
    </w:p>
    <w:p>
      <w:pPr>
        <w:ind w:firstLine="482"/>
        <w:spacing w:line="440" w:lineRule="exact"/>
        <w:rPr>
          <w:rFonts w:ascii="宋体" w:hAnsi="宋体" w:cs="宋体"/>
          <w:b/>
          <w:bCs/>
          <w:szCs w:val="21"/>
          <w:highlight w:val="none"/>
        </w:rPr>
      </w:pPr>
      <w:r/>
      <w:bookmarkStart w:id="89" w:name="_Toc20823286"/>
      <w:r/>
      <w:bookmarkStart w:id="90" w:name="_Toc462564073"/>
      <w:r/>
      <w:bookmarkStart w:id="91" w:name="_Toc16938530"/>
      <w:r/>
      <w:bookmarkStart w:id="92" w:name="_Toc513029214"/>
      <w:r>
        <w:rPr>
          <w:rFonts w:hint="eastAsia" w:ascii="宋体" w:hAnsi="宋体" w:cs="宋体"/>
          <w:b/>
          <w:bCs/>
          <w:szCs w:val="21"/>
          <w:highlight w:val="none"/>
        </w:rPr>
        <w:t xml:space="preserve">9、响应文件的语言及度量衡单位</w:t>
      </w:r>
      <w:bookmarkEnd w:id="89"/>
      <w:r/>
      <w:bookmarkEnd w:id="90"/>
      <w:r/>
      <w:bookmarkEnd w:id="91"/>
      <w:r/>
      <w:bookmarkEnd w:id="92"/>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9.1</w:t>
      </w:r>
      <w:r>
        <w:rPr>
          <w:rFonts w:hint="eastAsia" w:ascii="宋体" w:hAnsi="宋体" w:cs="宋体"/>
          <w:szCs w:val="21"/>
          <w:highlight w:val="none"/>
        </w:rPr>
        <w:t xml:space="preserve">供应商提交的响应文件以及供应商与采购代理机构就有关磋商的所有来往通知、函件和文件均应使用</w:t>
      </w:r>
      <w:r>
        <w:rPr>
          <w:rFonts w:hint="eastAsia" w:ascii="宋体" w:hAnsi="宋体" w:cs="宋体"/>
          <w:b/>
          <w:bCs/>
          <w:szCs w:val="21"/>
          <w:highlight w:val="none"/>
        </w:rPr>
        <w:t xml:space="preserve">简体中文</w:t>
      </w:r>
      <w:r>
        <w:rPr>
          <w:rFonts w:hint="eastAsia" w:ascii="宋体" w:hAnsi="宋体" w:cs="宋体"/>
          <w:szCs w:val="21"/>
          <w:highlight w:val="none"/>
        </w:rPr>
        <w:t xml:space="preserve">。</w:t>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9.2</w:t>
      </w:r>
      <w:r>
        <w:rPr>
          <w:rFonts w:hint="eastAsia" w:ascii="宋体" w:hAnsi="宋体" w:cs="宋体"/>
          <w:szCs w:val="21"/>
          <w:highlight w:val="none"/>
        </w:rPr>
        <w:t xml:space="preserve"> 除技术性能另有规定外，响应文件所使用的度量衡单位，均须采用国家法定计量单位。</w:t>
      </w:r>
      <w:r/>
    </w:p>
    <w:p>
      <w:pPr>
        <w:ind w:firstLine="482"/>
        <w:spacing w:line="440" w:lineRule="exact"/>
        <w:rPr>
          <w:rFonts w:ascii="宋体" w:hAnsi="宋体" w:cs="宋体"/>
          <w:b/>
          <w:bCs/>
          <w:szCs w:val="21"/>
          <w:highlight w:val="none"/>
        </w:rPr>
      </w:pPr>
      <w:r/>
      <w:bookmarkStart w:id="93" w:name="_Toc20823287"/>
      <w:r/>
      <w:bookmarkStart w:id="94" w:name="_Toc513029215"/>
      <w:r/>
      <w:bookmarkStart w:id="95" w:name="_Toc462564074"/>
      <w:r/>
      <w:bookmarkStart w:id="96" w:name="_Toc16938531"/>
      <w:r>
        <w:rPr>
          <w:rFonts w:hint="eastAsia" w:ascii="宋体" w:hAnsi="宋体" w:cs="宋体"/>
          <w:b/>
          <w:bCs/>
          <w:szCs w:val="21"/>
          <w:highlight w:val="none"/>
        </w:rPr>
        <w:t xml:space="preserve">10、响应文件构成</w:t>
      </w:r>
      <w:bookmarkEnd w:id="93"/>
      <w:r/>
      <w:bookmarkEnd w:id="94"/>
      <w:r/>
      <w:bookmarkEnd w:id="95"/>
      <w:r/>
      <w:bookmarkEnd w:id="96"/>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440" w:lineRule="exact"/>
        <w:rPr>
          <w:rFonts w:ascii="宋体" w:hAnsi="宋体" w:cs="宋体"/>
          <w:szCs w:val="21"/>
          <w:highlight w:val="none"/>
        </w:rPr>
      </w:pPr>
      <w:r>
        <w:rPr>
          <w:rFonts w:hint="eastAsia" w:ascii="宋体" w:hAnsi="宋体" w:cs="宋体"/>
          <w:bCs/>
          <w:szCs w:val="21"/>
          <w:highlight w:val="none"/>
          <w:lang w:val="zh-CN"/>
        </w:rPr>
        <w:t xml:space="preserve">各供应商在编制</w:t>
      </w:r>
      <w:r>
        <w:rPr>
          <w:rFonts w:hint="eastAsia" w:ascii="宋体" w:hAnsi="宋体" w:cs="宋体"/>
          <w:bCs/>
          <w:szCs w:val="21"/>
          <w:highlight w:val="none"/>
        </w:rPr>
        <w:t xml:space="preserve">响应文件</w:t>
      </w:r>
      <w:r>
        <w:rPr>
          <w:rFonts w:hint="eastAsia" w:ascii="宋体" w:hAnsi="宋体" w:cs="宋体"/>
          <w:bCs/>
          <w:szCs w:val="21"/>
          <w:highlight w:val="none"/>
          <w:lang w:val="zh-CN"/>
        </w:rPr>
        <w:t xml:space="preserve">时请按照磋商文件第六</w:t>
      </w:r>
      <w:r>
        <w:rPr>
          <w:rFonts w:hint="eastAsia" w:ascii="宋体" w:hAnsi="宋体" w:cs="宋体"/>
          <w:bCs/>
          <w:szCs w:val="21"/>
          <w:highlight w:val="none"/>
        </w:rPr>
        <w:t xml:space="preserve">章</w:t>
      </w:r>
      <w:r>
        <w:rPr>
          <w:rFonts w:hint="eastAsia" w:ascii="宋体" w:hAnsi="宋体" w:cs="宋体"/>
          <w:bCs/>
          <w:szCs w:val="21"/>
          <w:highlight w:val="none"/>
          <w:lang w:val="zh-CN"/>
        </w:rPr>
        <w:t xml:space="preserve">规定的格式进行，混乱的编排导致</w:t>
      </w:r>
      <w:r>
        <w:rPr>
          <w:rFonts w:hint="eastAsia" w:ascii="宋体" w:hAnsi="宋体" w:cs="宋体"/>
          <w:bCs/>
          <w:szCs w:val="21"/>
          <w:highlight w:val="none"/>
        </w:rPr>
        <w:t xml:space="preserve">响应</w:t>
      </w:r>
      <w:r>
        <w:rPr>
          <w:rFonts w:hint="eastAsia" w:ascii="宋体" w:hAnsi="宋体" w:cs="宋体"/>
          <w:bCs/>
          <w:szCs w:val="21"/>
          <w:highlight w:val="none"/>
          <w:lang w:val="zh-CN"/>
        </w:rPr>
        <w:t xml:space="preserve">文件被误读或磋商小组查找不到有效文件是供应商的风险。</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10.2供应商编写的响应文件应包括资格证明文件、分项报价表、响应及偏离表、其他证明文件、磋商申请及声明函、开标一览表等部分。</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10.3响应文件须加盖电子签章之处，应按要求加盖</w:t>
      </w:r>
      <w:r>
        <w:rPr>
          <w:rFonts w:hint="eastAsia" w:ascii="宋体" w:hAnsi="宋体" w:cs="宋体"/>
          <w:bCs/>
          <w:szCs w:val="21"/>
          <w:highlight w:val="none"/>
          <w:lang w:val="zh-CN"/>
        </w:rPr>
        <w:t xml:space="preserve">供应商</w:t>
      </w:r>
      <w:r>
        <w:rPr>
          <w:rFonts w:hint="eastAsia" w:ascii="宋体" w:hAnsi="宋体" w:cs="宋体"/>
          <w:bCs/>
          <w:szCs w:val="21"/>
          <w:highlight w:val="none"/>
        </w:rPr>
        <w:t xml:space="preserve">数字证书的电子签章。其他需要盖章但未明确要求电子签章的，</w:t>
      </w:r>
      <w:r>
        <w:rPr>
          <w:rFonts w:hint="eastAsia" w:ascii="宋体" w:hAnsi="宋体" w:cs="宋体"/>
          <w:bCs/>
          <w:szCs w:val="21"/>
          <w:highlight w:val="none"/>
          <w:lang w:val="zh-CN"/>
        </w:rPr>
        <w:t xml:space="preserve">供应商</w:t>
      </w:r>
      <w:r>
        <w:rPr>
          <w:rFonts w:hint="eastAsia" w:ascii="宋体" w:hAnsi="宋体" w:cs="宋体"/>
          <w:bCs/>
          <w:szCs w:val="21"/>
          <w:highlight w:val="none"/>
        </w:rPr>
        <w:t xml:space="preserve">可按要求加盖公章后上传材料电子件或直接加盖电子签章。 </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10.4本项目通过“苏采云”系统进行电子招标投标，即</w:t>
      </w:r>
      <w:r>
        <w:rPr>
          <w:rFonts w:hint="eastAsia" w:ascii="宋体" w:hAnsi="宋体" w:cs="宋体"/>
          <w:bCs/>
          <w:szCs w:val="21"/>
          <w:highlight w:val="none"/>
          <w:lang w:val="zh-CN"/>
        </w:rPr>
        <w:t xml:space="preserve">供应商</w:t>
      </w:r>
      <w:r>
        <w:rPr>
          <w:rFonts w:hint="eastAsia" w:ascii="宋体" w:hAnsi="宋体" w:cs="宋体"/>
          <w:bCs/>
          <w:szCs w:val="21"/>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cs="宋体"/>
          <w:bCs/>
          <w:szCs w:val="21"/>
          <w:highlight w:val="none"/>
          <w:lang w:val="zh-CN"/>
        </w:rPr>
        <w:t xml:space="preserve">供应商</w:t>
      </w:r>
      <w:r>
        <w:rPr>
          <w:rFonts w:hint="eastAsia" w:ascii="宋体" w:hAnsi="宋体" w:cs="宋体"/>
          <w:bCs/>
          <w:szCs w:val="21"/>
          <w:highlight w:val="none"/>
        </w:rPr>
        <w:t xml:space="preserve">，按照无效响应处理(因“苏采云”系统导致解密失败的除外)。</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10.5如标书制作工具中格式和内容与“宿迁市政府采购网”发布的磋商文件不一致，请以“宿迁市政府采购网”发布的磋商文件为准。</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10.6成交后按相关要求提供与电子响应文件一致的纸质打印响应文件4份。 </w:t>
      </w:r>
      <w:r/>
    </w:p>
    <w:p>
      <w:pPr>
        <w:ind w:firstLine="480"/>
        <w:spacing w:line="440" w:lineRule="exact"/>
        <w:rPr>
          <w:rFonts w:ascii="宋体" w:hAnsi="宋体" w:cs="宋体"/>
          <w:szCs w:val="21"/>
          <w:highlight w:val="none"/>
        </w:rPr>
      </w:pPr>
      <w:r/>
      <w:bookmarkStart w:id="97" w:name="EBc50e2bb832bb43068403b10c1cce6141"/>
      <w:r>
        <w:rPr>
          <w:rFonts w:hint="eastAsia" w:ascii="宋体" w:hAnsi="宋体" w:cs="宋体"/>
          <w:bCs/>
          <w:szCs w:val="21"/>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7"/>
      <w:r/>
      <w:r/>
    </w:p>
    <w:p>
      <w:pPr>
        <w:ind w:firstLine="482"/>
        <w:spacing w:line="440" w:lineRule="exact"/>
        <w:rPr>
          <w:rFonts w:ascii="宋体" w:hAnsi="宋体" w:cs="宋体"/>
          <w:b/>
          <w:bCs/>
          <w:szCs w:val="21"/>
          <w:highlight w:val="none"/>
        </w:rPr>
      </w:pPr>
      <w:r/>
      <w:bookmarkStart w:id="98" w:name="_Hlt26668975"/>
      <w:r/>
      <w:bookmarkEnd w:id="98"/>
      <w:r/>
      <w:bookmarkStart w:id="99" w:name="_Hlt26670360"/>
      <w:r/>
      <w:bookmarkEnd w:id="99"/>
      <w:r/>
      <w:bookmarkStart w:id="100" w:name="_Hlt26954838"/>
      <w:r/>
      <w:bookmarkEnd w:id="100"/>
      <w:r/>
      <w:bookmarkStart w:id="101" w:name="_Toc14577354"/>
      <w:r/>
      <w:bookmarkStart w:id="102" w:name="_Toc49090507"/>
      <w:r/>
      <w:bookmarkStart w:id="103" w:name="_Toc49090509"/>
      <w:r/>
      <w:bookmarkStart w:id="104" w:name="_Toc14577357"/>
      <w:r/>
      <w:bookmarkStart w:id="105" w:name="_Toc513029216"/>
      <w:r/>
      <w:bookmarkStart w:id="106" w:name="_Toc513029219"/>
      <w:r/>
      <w:bookmarkStart w:id="107" w:name="_Toc49090508"/>
      <w:r/>
      <w:bookmarkStart w:id="108" w:name="_Toc14577355"/>
      <w:r>
        <w:rPr>
          <w:rFonts w:hint="eastAsia" w:ascii="宋体" w:hAnsi="宋体" w:cs="宋体"/>
          <w:b/>
          <w:bCs/>
          <w:szCs w:val="21"/>
          <w:highlight w:val="none"/>
        </w:rPr>
        <w:t xml:space="preserve">11、证明磋商响应标的符合磋商文件规定的文件</w:t>
      </w:r>
      <w:bookmarkEnd w:id="101"/>
      <w:r/>
      <w:bookmarkEnd w:id="102"/>
      <w:r/>
      <w:bookmarkEnd w:id="103"/>
      <w:r/>
      <w:bookmarkEnd w:id="104"/>
      <w:r/>
      <w:bookmarkEnd w:id="105"/>
      <w:r/>
      <w:bookmarkEnd w:id="106"/>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11.1供应商应按照磋商文件要求提交证明文件，证明其及磋商响应标的符合磋商文件规定。</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11.2磋商文件对证明文件无明确形式要求的，证明文件可以以文字资料、图纸和数据等形式提交。</w:t>
      </w:r>
      <w:bookmarkEnd w:id="107"/>
      <w:r/>
      <w:bookmarkEnd w:id="108"/>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12、分项报价表</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12.1</w:t>
      </w:r>
      <w:r>
        <w:rPr>
          <w:rFonts w:hint="eastAsia" w:ascii="宋体" w:hAnsi="宋体" w:cs="宋体"/>
          <w:szCs w:val="21"/>
          <w:highlight w:val="none"/>
        </w:rPr>
        <w:t xml:space="preserve">供应商应按照磋商文件规定格式填报已标价的工程量清单。</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12.2</w:t>
      </w:r>
      <w:r>
        <w:rPr>
          <w:rFonts w:hint="eastAsia" w:ascii="宋体" w:hAnsi="宋体" w:cs="宋体"/>
          <w:bCs/>
          <w:szCs w:val="21"/>
          <w:highlight w:val="none"/>
        </w:rPr>
        <w:t xml:space="preserve">磋商货币。响应文件中的单价和总价无特殊规定的采用人民币报价，以元为单位标注。</w:t>
      </w:r>
      <w:r>
        <w:rPr>
          <w:rFonts w:hint="eastAsia" w:ascii="宋体" w:hAnsi="宋体" w:cs="宋体"/>
          <w:szCs w:val="21"/>
          <w:highlight w:val="none"/>
        </w:rPr>
        <w:t xml:space="preserve">磋商文件中另有规定的按规定执行。</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12.3本项目不接受备选的投标方案或有选择的报价，只允许有一个报价。供应商响应文件中的报价作为首次报价，不公开；以最后报价作为评审价。投标报价内容包括：竞争性磋商文</w:t>
      </w:r>
      <w:r>
        <w:rPr>
          <w:rFonts w:hint="eastAsia" w:ascii="宋体" w:hAnsi="宋体" w:cs="宋体"/>
          <w:bCs/>
          <w:szCs w:val="21"/>
          <w:highlight w:val="none"/>
        </w:rPr>
        <w:t xml:space="preserve">件所确定的招标范围内的全部内容，包括工程量清单和相应的内容的价格体现，以及为完成上述内容所必须的包装、运输、附属工程、临时工程、开办费、技术措施费、材料、劳务、机械设备、安装、维护、管理、利润、税金及政策性文件规定费用、检测、竣工测绘费用、档案整理及移交等完成本项目所涉及到的一切相关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投标报价中。</w:t>
      </w:r>
      <w:r/>
    </w:p>
    <w:p>
      <w:pPr>
        <w:ind w:firstLine="482"/>
        <w:spacing w:line="440" w:lineRule="exact"/>
        <w:rPr>
          <w:rFonts w:ascii="宋体" w:hAnsi="宋体" w:cs="宋体"/>
          <w:b/>
          <w:bCs/>
          <w:szCs w:val="21"/>
          <w:highlight w:val="none"/>
        </w:rPr>
      </w:pPr>
      <w:r/>
      <w:bookmarkStart w:id="109" w:name="_Hlt26670486"/>
      <w:r/>
      <w:bookmarkEnd w:id="109"/>
      <w:r/>
      <w:bookmarkStart w:id="110" w:name="_Hlt26954848"/>
      <w:r/>
      <w:bookmarkEnd w:id="110"/>
      <w:r/>
      <w:bookmarkStart w:id="111" w:name="_Hlt26670482"/>
      <w:r/>
      <w:bookmarkEnd w:id="111"/>
      <w:r/>
      <w:bookmarkStart w:id="112" w:name="_Hlt26954731"/>
      <w:r/>
      <w:bookmarkEnd w:id="112"/>
      <w:r/>
      <w:bookmarkStart w:id="113" w:name="_Hlt26954846"/>
      <w:r/>
      <w:bookmarkEnd w:id="113"/>
      <w:r>
        <w:rPr>
          <w:rFonts w:hint="eastAsia" w:ascii="宋体" w:hAnsi="宋体" w:cs="宋体"/>
          <w:b/>
          <w:bCs/>
          <w:szCs w:val="21"/>
          <w:highlight w:val="none"/>
        </w:rPr>
        <w:t xml:space="preserve">13、技术要求响应及偏离表、商务要求响应及偏离表</w:t>
      </w:r>
      <w:r/>
    </w:p>
    <w:p>
      <w:pPr>
        <w:ind w:firstLine="480"/>
        <w:spacing w:line="440" w:lineRule="exact"/>
        <w:rPr>
          <w:rFonts w:ascii="宋体" w:hAnsi="宋体" w:cs="宋体"/>
          <w:szCs w:val="21"/>
          <w:highlight w:val="none"/>
          <w:lang w:val="zh-CN"/>
        </w:rPr>
      </w:pPr>
      <w:r>
        <w:rPr>
          <w:rFonts w:hint="eastAsia" w:ascii="宋体" w:hAnsi="宋体" w:cs="宋体"/>
          <w:bCs/>
          <w:szCs w:val="21"/>
          <w:highlight w:val="none"/>
          <w:lang w:val="zh-CN"/>
        </w:rPr>
        <w:t xml:space="preserve">/</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14、服务承诺、培训计划、人员安排及其他</w:t>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w:t>
      </w:r>
      <w:r/>
    </w:p>
    <w:p>
      <w:pPr>
        <w:ind w:firstLine="482"/>
        <w:spacing w:line="440" w:lineRule="exact"/>
        <w:rPr>
          <w:rFonts w:ascii="宋体" w:hAnsi="宋体" w:cs="宋体"/>
          <w:b/>
          <w:bCs/>
          <w:szCs w:val="21"/>
          <w:highlight w:val="none"/>
        </w:rPr>
      </w:pPr>
      <w:r/>
      <w:bookmarkStart w:id="114" w:name="_Toc49090510"/>
      <w:r/>
      <w:bookmarkStart w:id="115" w:name="_Toc14577359"/>
      <w:r>
        <w:rPr>
          <w:rFonts w:hint="eastAsia" w:ascii="宋体" w:hAnsi="宋体" w:cs="宋体"/>
          <w:b/>
          <w:bCs/>
          <w:szCs w:val="21"/>
          <w:highlight w:val="none"/>
        </w:rPr>
        <w:t xml:space="preserve">15、磋商响应函</w:t>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15.1</w:t>
      </w:r>
      <w:r>
        <w:rPr>
          <w:rFonts w:hint="eastAsia" w:ascii="宋体" w:hAnsi="宋体" w:cs="宋体"/>
          <w:szCs w:val="21"/>
          <w:highlight w:val="none"/>
        </w:rPr>
        <w:t xml:space="preserve">供应商应按照磋商文件中提供的格式完整、正确填写磋商响应函。</w:t>
      </w:r>
      <w:bookmarkEnd w:id="114"/>
      <w:r/>
      <w:bookmarkEnd w:id="115"/>
      <w:r/>
      <w:r/>
    </w:p>
    <w:p>
      <w:pPr>
        <w:ind w:firstLine="482"/>
        <w:spacing w:line="440" w:lineRule="exact"/>
        <w:rPr>
          <w:rFonts w:ascii="宋体" w:hAnsi="宋体" w:cs="宋体"/>
          <w:b/>
          <w:bCs/>
          <w:szCs w:val="21"/>
          <w:highlight w:val="none"/>
        </w:rPr>
      </w:pPr>
      <w:r/>
      <w:bookmarkStart w:id="116" w:name="_Toc14577360"/>
      <w:r/>
      <w:bookmarkStart w:id="117" w:name="_Toc49090511"/>
      <w:r>
        <w:rPr>
          <w:rFonts w:hint="eastAsia" w:ascii="宋体" w:hAnsi="宋体" w:cs="宋体"/>
          <w:b/>
          <w:bCs/>
          <w:szCs w:val="21"/>
          <w:highlight w:val="none"/>
        </w:rPr>
        <w:t xml:space="preserve">16、磋商有效期</w:t>
      </w:r>
      <w:bookmarkEnd w:id="116"/>
      <w:r/>
      <w:bookmarkEnd w:id="117"/>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16.1磋商有效期为提交响应文件截止之日后</w:t>
      </w:r>
      <w:r>
        <w:rPr>
          <w:rFonts w:hint="eastAsia" w:ascii="宋体" w:hAnsi="宋体" w:cs="宋体"/>
          <w:b/>
          <w:szCs w:val="21"/>
          <w:highlight w:val="none"/>
          <w:u w:val="single"/>
        </w:rPr>
        <w:t xml:space="preserve">六十（60）天</w:t>
      </w:r>
      <w:r>
        <w:rPr>
          <w:rFonts w:hint="eastAsia" w:ascii="宋体" w:hAnsi="宋体" w:cs="宋体"/>
          <w:bCs/>
          <w:szCs w:val="21"/>
          <w:highlight w:val="none"/>
        </w:rPr>
        <w:t xml:space="preserve">。磋商有效期比规定短的将被视为非实质性响应磋商文件而予以拒绝。</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17、磋商有效期的延长</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17.1在特殊情况下，</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于原磋商有效期满之前，可向供应商提出延长磋商有效期的要求。这种要求与答复均应采用书面形式。供应商可以拒绝</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的这一要求而放弃磋商，同意延长磋商有效期的供应商既不能要求也不允许修改其响应文件。</w:t>
      </w:r>
      <w:r>
        <w:rPr>
          <w:rFonts w:hint="eastAsia" w:ascii="宋体" w:hAnsi="宋体" w:cs="宋体"/>
          <w:szCs w:val="21"/>
          <w:highlight w:val="none"/>
        </w:rPr>
        <w:t xml:space="preserve">受磋商有效期约束的所有权利与义务均延长至新的有效期</w:t>
      </w:r>
      <w:r>
        <w:rPr>
          <w:rFonts w:hint="eastAsia" w:ascii="宋体" w:hAnsi="宋体" w:cs="宋体"/>
          <w:bCs/>
          <w:szCs w:val="21"/>
          <w:highlight w:val="none"/>
        </w:rPr>
        <w:t xml:space="preserve">。</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17.2</w:t>
      </w:r>
      <w:r>
        <w:rPr>
          <w:rFonts w:hint="eastAsia" w:ascii="宋体" w:hAnsi="宋体" w:cs="宋体"/>
          <w:szCs w:val="21"/>
          <w:highlight w:val="none"/>
        </w:rPr>
        <w:t xml:space="preserve">成交人的响应文件作为项目合同的附件，其有效期至成交人全部合同义务履行完毕为止。</w:t>
      </w:r>
      <w:r/>
    </w:p>
    <w:p>
      <w:pPr>
        <w:ind w:firstLine="482"/>
        <w:spacing w:line="440" w:lineRule="exact"/>
        <w:rPr>
          <w:rFonts w:ascii="宋体" w:hAnsi="宋体" w:cs="宋体"/>
          <w:b/>
          <w:bCs/>
          <w:szCs w:val="21"/>
          <w:highlight w:val="none"/>
        </w:rPr>
      </w:pPr>
      <w:r/>
      <w:bookmarkStart w:id="118" w:name="_Hlt26954739"/>
      <w:r/>
      <w:bookmarkEnd w:id="118"/>
      <w:r/>
      <w:bookmarkStart w:id="119" w:name="_Hlt26954852"/>
      <w:r/>
      <w:bookmarkEnd w:id="119"/>
      <w:r/>
      <w:bookmarkStart w:id="120" w:name="_Toc513029224"/>
      <w:r/>
      <w:bookmarkStart w:id="121" w:name="_Toc120614217"/>
      <w:r/>
      <w:bookmarkStart w:id="122" w:name="_Toc20823296"/>
      <w:r/>
      <w:bookmarkStart w:id="123" w:name="_Toc16938540"/>
      <w:r>
        <w:rPr>
          <w:rFonts w:hint="eastAsia" w:ascii="宋体" w:hAnsi="宋体" w:cs="宋体"/>
          <w:b/>
          <w:bCs/>
          <w:szCs w:val="21"/>
          <w:highlight w:val="none"/>
        </w:rPr>
        <w:t xml:space="preserve">四、响应文件的递交</w:t>
      </w:r>
      <w:bookmarkEnd w:id="120"/>
      <w:r/>
      <w:bookmarkEnd w:id="121"/>
      <w:r/>
      <w:bookmarkEnd w:id="122"/>
      <w:r/>
      <w:bookmarkEnd w:id="123"/>
      <w:r/>
      <w:r/>
    </w:p>
    <w:p>
      <w:pPr>
        <w:ind w:firstLine="482"/>
        <w:spacing w:line="440" w:lineRule="exact"/>
        <w:rPr>
          <w:rFonts w:ascii="宋体" w:hAnsi="宋体" w:cs="宋体"/>
          <w:b/>
          <w:bCs/>
          <w:szCs w:val="21"/>
          <w:highlight w:val="none"/>
        </w:rPr>
      </w:pPr>
      <w:r/>
      <w:bookmarkStart w:id="124" w:name="_Toc16938541"/>
      <w:r/>
      <w:bookmarkStart w:id="125" w:name="_Toc462564084"/>
      <w:r/>
      <w:bookmarkStart w:id="126" w:name="_Toc513029225"/>
      <w:r/>
      <w:bookmarkStart w:id="127" w:name="_Toc20823297"/>
      <w:r>
        <w:rPr>
          <w:rFonts w:hint="eastAsia" w:ascii="宋体" w:hAnsi="宋体" w:cs="宋体"/>
          <w:b/>
          <w:bCs/>
          <w:szCs w:val="21"/>
          <w:highlight w:val="none"/>
        </w:rPr>
        <w:t xml:space="preserve">18、电子磋商</w:t>
      </w:r>
      <w:bookmarkEnd w:id="124"/>
      <w:r/>
      <w:bookmarkEnd w:id="125"/>
      <w:r/>
      <w:bookmarkEnd w:id="126"/>
      <w:r/>
      <w:bookmarkEnd w:id="127"/>
      <w:r>
        <w:rPr>
          <w:rFonts w:hint="eastAsia" w:ascii="宋体" w:hAnsi="宋体" w:cs="宋体"/>
          <w:b/>
          <w:bCs/>
          <w:szCs w:val="21"/>
          <w:highlight w:val="none"/>
        </w:rPr>
        <w:t xml:space="preserve">响应文件的递交</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18.1供应商应当按照《操作手册》规定，在提交响应文件截止时间前制作并上传电子响应文件。</w:t>
      </w:r>
      <w:bookmarkStart w:id="128" w:name="_Toc16938542"/>
      <w:r/>
      <w:bookmarkStart w:id="129" w:name="_Toc20823298"/>
      <w:r/>
      <w:bookmarkStart w:id="130" w:name="_Toc513029226"/>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19、提交响应文件截止时间</w:t>
      </w:r>
      <w:bookmarkEnd w:id="128"/>
      <w:r/>
      <w:bookmarkEnd w:id="129"/>
      <w:r/>
      <w:bookmarkEnd w:id="130"/>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19.1供应商上传电子响应文件的时间不得迟于磋商公告中规定的提交响应文件截止时间。</w:t>
      </w:r>
      <w:r/>
    </w:p>
    <w:p>
      <w:pPr>
        <w:ind w:firstLine="480"/>
        <w:spacing w:line="440" w:lineRule="exact"/>
        <w:rPr>
          <w:rFonts w:ascii="宋体" w:hAnsi="宋体" w:cs="宋体"/>
          <w:bCs/>
          <w:szCs w:val="21"/>
          <w:highlight w:val="none"/>
        </w:rPr>
      </w:pPr>
      <w:r>
        <w:rPr>
          <w:rFonts w:hint="eastAsia" w:ascii="宋体" w:hAnsi="宋体" w:cs="宋体"/>
          <w:szCs w:val="21"/>
          <w:highlight w:val="none"/>
        </w:rPr>
        <w:t xml:space="preserve">19.2采购代理机构</w:t>
      </w:r>
      <w:r>
        <w:rPr>
          <w:rFonts w:hint="eastAsia" w:ascii="宋体" w:hAnsi="宋体" w:cs="宋体"/>
          <w:bCs/>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440" w:lineRule="exact"/>
        <w:rPr>
          <w:rFonts w:ascii="宋体" w:hAnsi="宋体" w:cs="宋体"/>
          <w:b/>
          <w:bCs/>
          <w:szCs w:val="21"/>
          <w:highlight w:val="none"/>
        </w:rPr>
      </w:pPr>
      <w:r/>
      <w:bookmarkStart w:id="131" w:name="_Toc513029227"/>
      <w:r/>
      <w:bookmarkStart w:id="132" w:name="_Toc16938543"/>
      <w:r/>
      <w:bookmarkStart w:id="133" w:name="_Toc20823299"/>
      <w:r>
        <w:rPr>
          <w:rFonts w:hint="eastAsia" w:ascii="宋体" w:hAnsi="宋体" w:cs="宋体"/>
          <w:b/>
          <w:bCs/>
          <w:szCs w:val="21"/>
          <w:highlight w:val="none"/>
        </w:rPr>
        <w:t xml:space="preserve">20、响应文件</w:t>
      </w:r>
      <w:bookmarkEnd w:id="131"/>
      <w:r/>
      <w:bookmarkEnd w:id="132"/>
      <w:r/>
      <w:bookmarkEnd w:id="133"/>
      <w:r>
        <w:rPr>
          <w:rFonts w:hint="eastAsia" w:ascii="宋体" w:hAnsi="宋体" w:cs="宋体"/>
          <w:b/>
          <w:bCs/>
          <w:szCs w:val="21"/>
          <w:highlight w:val="none"/>
        </w:rPr>
        <w:t xml:space="preserve">的拒收</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20.1 </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2"/>
        <w:spacing w:line="440" w:lineRule="exact"/>
        <w:rPr>
          <w:rFonts w:ascii="宋体" w:hAnsi="宋体" w:cs="宋体"/>
          <w:b/>
          <w:bCs/>
          <w:szCs w:val="21"/>
          <w:highlight w:val="none"/>
        </w:rPr>
      </w:pPr>
      <w:r/>
      <w:bookmarkStart w:id="134" w:name="_Toc16938544"/>
      <w:r/>
      <w:bookmarkStart w:id="135" w:name="_Toc513029228"/>
      <w:r/>
      <w:bookmarkStart w:id="136" w:name="_Toc20823300"/>
      <w:r>
        <w:rPr>
          <w:rFonts w:hint="eastAsia" w:ascii="宋体" w:hAnsi="宋体" w:cs="宋体"/>
          <w:b/>
          <w:bCs/>
          <w:szCs w:val="21"/>
          <w:highlight w:val="none"/>
        </w:rPr>
        <w:t xml:space="preserve">21、响应文件的撤回和修改</w:t>
      </w:r>
      <w:bookmarkEnd w:id="134"/>
      <w:r/>
      <w:bookmarkEnd w:id="135"/>
      <w:r/>
      <w:bookmarkEnd w:id="136"/>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21.1响应文件的撤回</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21.1.1电子响应文件的撤回</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供应商可在</w:t>
      </w:r>
      <w:r>
        <w:rPr>
          <w:rFonts w:hint="eastAsia" w:ascii="宋体" w:hAnsi="宋体" w:cs="宋体"/>
          <w:bCs/>
          <w:szCs w:val="21"/>
          <w:highlight w:val="none"/>
        </w:rPr>
        <w:t xml:space="preserve">提交响应文件</w:t>
      </w:r>
      <w:r>
        <w:rPr>
          <w:rFonts w:hint="eastAsia" w:ascii="宋体" w:hAnsi="宋体" w:cs="宋体"/>
          <w:szCs w:val="21"/>
          <w:highlight w:val="none"/>
        </w:rPr>
        <w:t xml:space="preserve">截止时间前，撤回其电子响应文件，具体操作方法见《操作手册》。</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21.1.2供应商撤回电子响应文件，则认为其不再参与本项目磋商活动。</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21.2响应文件的修改</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21.2.1供应商可在</w:t>
      </w:r>
      <w:r>
        <w:rPr>
          <w:rFonts w:hint="eastAsia" w:ascii="宋体" w:hAnsi="宋体" w:cs="宋体"/>
          <w:bCs/>
          <w:szCs w:val="21"/>
          <w:highlight w:val="none"/>
        </w:rPr>
        <w:t xml:space="preserve">提交响应文件</w:t>
      </w:r>
      <w:r>
        <w:rPr>
          <w:rFonts w:hint="eastAsia" w:ascii="宋体" w:hAnsi="宋体" w:cs="宋体"/>
          <w:szCs w:val="21"/>
          <w:highlight w:val="none"/>
        </w:rPr>
        <w:t xml:space="preserve">截止时间前，对其电子响应文件进行修改，具体操作方法见《操作手册》。</w:t>
      </w:r>
      <w:r/>
    </w:p>
    <w:p>
      <w:pPr>
        <w:ind w:firstLine="480"/>
        <w:spacing w:line="440" w:lineRule="exact"/>
        <w:rPr>
          <w:rFonts w:ascii="宋体" w:hAnsi="宋体" w:cs="宋体"/>
          <w:bCs/>
          <w:szCs w:val="21"/>
          <w:highlight w:val="none"/>
        </w:rPr>
      </w:pPr>
      <w:r>
        <w:rPr>
          <w:rFonts w:hint="eastAsia" w:ascii="宋体" w:hAnsi="宋体" w:cs="宋体"/>
          <w:szCs w:val="21"/>
          <w:highlight w:val="none"/>
        </w:rPr>
        <w:t xml:space="preserve">21.2.2</w:t>
      </w:r>
      <w:r>
        <w:rPr>
          <w:rFonts w:hint="eastAsia" w:ascii="宋体" w:hAnsi="宋体" w:cs="宋体"/>
          <w:bCs/>
          <w:szCs w:val="21"/>
          <w:highlight w:val="none"/>
        </w:rPr>
        <w:t xml:space="preserve">在提交响应文件截止时间之后，供应商不得对其电子响应文件作任何修改。</w:t>
      </w:r>
      <w:r/>
    </w:p>
    <w:p>
      <w:pPr>
        <w:ind w:firstLine="480"/>
        <w:spacing w:line="440" w:lineRule="exact"/>
        <w:rPr>
          <w:rFonts w:ascii="宋体" w:hAnsi="宋体" w:cs="宋体"/>
          <w:bCs/>
          <w:szCs w:val="21"/>
          <w:highlight w:val="none"/>
        </w:rPr>
      </w:pPr>
      <w:r>
        <w:rPr>
          <w:rFonts w:hint="eastAsia" w:ascii="宋体" w:hAnsi="宋体" w:cs="宋体"/>
          <w:szCs w:val="21"/>
          <w:highlight w:val="none"/>
        </w:rPr>
        <w:t xml:space="preserve">21.3</w:t>
      </w:r>
      <w:r>
        <w:rPr>
          <w:rFonts w:hint="eastAsia" w:ascii="宋体" w:hAnsi="宋体" w:cs="宋体"/>
          <w:bCs/>
          <w:szCs w:val="21"/>
          <w:highlight w:val="none"/>
        </w:rPr>
        <w:t xml:space="preserve">在提交响应文件截止时间至磋商文件中规定的磋商有效期满之间的这段时间内，供应商不得撤回其响应文件。</w:t>
      </w:r>
      <w:r/>
    </w:p>
    <w:p>
      <w:pPr>
        <w:ind w:firstLine="482"/>
        <w:spacing w:line="440" w:lineRule="exact"/>
        <w:rPr>
          <w:rFonts w:ascii="宋体" w:hAnsi="宋体" w:cs="宋体"/>
          <w:b/>
          <w:bCs/>
          <w:szCs w:val="21"/>
          <w:highlight w:val="none"/>
        </w:rPr>
      </w:pPr>
      <w:r/>
      <w:bookmarkStart w:id="137" w:name="_Toc16938545"/>
      <w:r/>
      <w:bookmarkStart w:id="138" w:name="_Toc513029229"/>
      <w:r/>
      <w:bookmarkStart w:id="139" w:name="_Toc120614218"/>
      <w:r/>
      <w:bookmarkStart w:id="140" w:name="_Toc20823301"/>
      <w:r>
        <w:rPr>
          <w:rFonts w:hint="eastAsia" w:ascii="宋体" w:hAnsi="宋体" w:cs="宋体"/>
          <w:b/>
          <w:bCs/>
          <w:szCs w:val="21"/>
          <w:highlight w:val="none"/>
        </w:rPr>
        <w:t xml:space="preserve">五、响应文件的解密与评审</w:t>
      </w:r>
      <w:bookmarkEnd w:id="137"/>
      <w:r/>
      <w:bookmarkEnd w:id="138"/>
      <w:r/>
      <w:bookmarkEnd w:id="139"/>
      <w:r/>
      <w:bookmarkEnd w:id="140"/>
      <w:r/>
      <w:r/>
    </w:p>
    <w:p>
      <w:pPr>
        <w:ind w:firstLine="482"/>
        <w:spacing w:line="440" w:lineRule="exact"/>
        <w:rPr>
          <w:rFonts w:ascii="宋体" w:hAnsi="宋体" w:cs="宋体"/>
          <w:b/>
          <w:bCs/>
          <w:szCs w:val="21"/>
          <w:highlight w:val="none"/>
        </w:rPr>
      </w:pPr>
      <w:r/>
      <w:bookmarkStart w:id="141" w:name="_Toc513029230"/>
      <w:r/>
      <w:bookmarkStart w:id="142" w:name="_Toc20823302"/>
      <w:r/>
      <w:bookmarkStart w:id="143" w:name="_Toc16938546"/>
      <w:r>
        <w:rPr>
          <w:rFonts w:hint="eastAsia" w:ascii="宋体" w:hAnsi="宋体" w:cs="宋体"/>
          <w:b/>
          <w:bCs/>
          <w:szCs w:val="21"/>
          <w:highlight w:val="none"/>
        </w:rPr>
        <w:t xml:space="preserve">22、</w:t>
      </w:r>
      <w:bookmarkEnd w:id="141"/>
      <w:r/>
      <w:bookmarkEnd w:id="142"/>
      <w:r/>
      <w:bookmarkEnd w:id="143"/>
      <w:r>
        <w:rPr>
          <w:rFonts w:hint="eastAsia" w:ascii="宋体" w:hAnsi="宋体" w:cs="宋体"/>
          <w:b/>
          <w:bCs/>
          <w:szCs w:val="21"/>
          <w:highlight w:val="none"/>
        </w:rPr>
        <w:t xml:space="preserve">响应文件解密</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22.1供应商应当按照《“苏采云”系统供应商操作手册》规定，参加磋商活动和在苏采云系统规定的时间内对磋商响应文件进行解密。</w:t>
      </w:r>
      <w:r/>
    </w:p>
    <w:p>
      <w:pPr>
        <w:ind w:firstLine="482"/>
        <w:spacing w:line="440" w:lineRule="exact"/>
        <w:rPr>
          <w:rFonts w:ascii="宋体" w:hAnsi="宋体" w:cs="宋体"/>
          <w:b/>
          <w:bCs/>
          <w:szCs w:val="21"/>
          <w:highlight w:val="none"/>
        </w:rPr>
      </w:pPr>
      <w:r/>
      <w:bookmarkStart w:id="144" w:name="_Toc16938547"/>
      <w:r/>
      <w:bookmarkStart w:id="145" w:name="_Toc20823303"/>
      <w:r/>
      <w:bookmarkStart w:id="146" w:name="_Toc513029231"/>
      <w:r>
        <w:rPr>
          <w:rFonts w:hint="eastAsia" w:ascii="宋体" w:hAnsi="宋体" w:cs="宋体"/>
          <w:b/>
          <w:bCs/>
          <w:szCs w:val="21"/>
          <w:highlight w:val="none"/>
        </w:rPr>
        <w:t xml:space="preserve">23、磋商小组</w:t>
      </w:r>
      <w:r/>
    </w:p>
    <w:p>
      <w:pPr>
        <w:ind w:firstLine="480"/>
        <w:spacing w:line="440" w:lineRule="exact"/>
        <w:rPr>
          <w:rFonts w:ascii="宋体" w:hAnsi="宋体" w:cs="宋体"/>
          <w:b/>
          <w:szCs w:val="21"/>
          <w:highlight w:val="none"/>
        </w:rPr>
      </w:pPr>
      <w:r>
        <w:rPr>
          <w:rFonts w:hint="eastAsia" w:ascii="宋体" w:hAnsi="宋体" w:cs="宋体"/>
          <w:szCs w:val="21"/>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23.2磋商小组独立工作，负责评审所有响应文件并确定成交侯选人。</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24、评审过程的保密与公正</w:t>
      </w:r>
      <w:bookmarkEnd w:id="144"/>
      <w:r/>
      <w:bookmarkEnd w:id="145"/>
      <w:r/>
      <w:bookmarkEnd w:id="146"/>
      <w:r/>
      <w:r/>
    </w:p>
    <w:p>
      <w:pPr>
        <w:ind w:firstLine="480"/>
        <w:spacing w:line="440" w:lineRule="exact"/>
        <w:rPr>
          <w:rFonts w:ascii="宋体" w:hAnsi="宋体" w:cs="宋体"/>
          <w:bCs/>
          <w:szCs w:val="21"/>
          <w:highlight w:val="none"/>
        </w:rPr>
      </w:pPr>
      <w:r>
        <w:rPr>
          <w:rFonts w:hint="eastAsia" w:ascii="宋体" w:hAnsi="宋体" w:cs="宋体"/>
          <w:szCs w:val="21"/>
          <w:highlight w:val="none"/>
        </w:rPr>
        <w:t xml:space="preserve">24.1</w:t>
      </w:r>
      <w:r>
        <w:rPr>
          <w:rFonts w:hint="eastAsia" w:ascii="宋体" w:hAnsi="宋体" w:cs="宋体"/>
          <w:bCs/>
          <w:szCs w:val="21"/>
          <w:highlight w:val="none"/>
        </w:rPr>
        <w:t xml:space="preserve">磋商小组、采购人和</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工作人员、相关监督人员等与评审工作有关的人员，对评审情况以及在评审过程中获悉的国家秘密、商业秘密负有保密责任。</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24.2在评审过程中，供应商不得以任何行为影响磋商评审过程，否则其响应文件将被作为无效响应文件。</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24.3在项目评审期间，采购代理机构将设专门人员与供应商联系。</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24.4采购代理机构和磋商小组不向未成交的供应商解释未成交原因，也不公布评审过程中的相关细节。</w:t>
      </w:r>
      <w:r/>
    </w:p>
    <w:p>
      <w:pPr>
        <w:ind w:firstLine="482"/>
        <w:spacing w:line="440" w:lineRule="exact"/>
        <w:rPr>
          <w:rFonts w:ascii="宋体" w:hAnsi="宋体" w:cs="宋体"/>
          <w:b/>
          <w:bCs/>
          <w:szCs w:val="21"/>
          <w:highlight w:val="none"/>
        </w:rPr>
      </w:pPr>
      <w:r/>
      <w:bookmarkStart w:id="147" w:name="_Toc20823304"/>
      <w:r/>
      <w:bookmarkStart w:id="148" w:name="_Toc16938548"/>
      <w:r/>
      <w:bookmarkStart w:id="149" w:name="_Toc513029232"/>
      <w:r>
        <w:rPr>
          <w:rFonts w:hint="eastAsia" w:ascii="宋体" w:hAnsi="宋体" w:cs="宋体"/>
          <w:b/>
          <w:bCs/>
          <w:szCs w:val="21"/>
          <w:highlight w:val="none"/>
        </w:rPr>
        <w:t xml:space="preserve">25、评审过程中的的澄清</w:t>
      </w:r>
      <w:bookmarkEnd w:id="147"/>
      <w:r/>
      <w:bookmarkEnd w:id="148"/>
      <w:r/>
      <w:bookmarkEnd w:id="149"/>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磋商小组并非对每个供应商都作澄清要求。</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25.3接到磋商小组澄清、说明和更正要求的供应商如未按规定做出澄清、说明和 更正，其风险由供应商自行承担。</w:t>
      </w:r>
      <w:r/>
    </w:p>
    <w:p>
      <w:pPr>
        <w:ind w:firstLine="482"/>
        <w:spacing w:line="440" w:lineRule="exact"/>
        <w:rPr>
          <w:rFonts w:ascii="宋体" w:hAnsi="宋体" w:cs="宋体"/>
          <w:b/>
          <w:bCs/>
          <w:szCs w:val="21"/>
          <w:highlight w:val="none"/>
        </w:rPr>
      </w:pPr>
      <w:r/>
      <w:bookmarkStart w:id="150" w:name="_Toc20823305"/>
      <w:r/>
      <w:bookmarkStart w:id="151" w:name="_Toc16938549"/>
      <w:r/>
      <w:bookmarkStart w:id="152" w:name="_Toc513029233"/>
      <w:r>
        <w:rPr>
          <w:rFonts w:hint="eastAsia" w:ascii="宋体" w:hAnsi="宋体" w:cs="宋体"/>
          <w:b/>
          <w:bCs/>
          <w:szCs w:val="21"/>
          <w:highlight w:val="none"/>
        </w:rPr>
        <w:t xml:space="preserve">26、对响应文件的审</w:t>
      </w:r>
      <w:bookmarkEnd w:id="150"/>
      <w:r/>
      <w:bookmarkEnd w:id="151"/>
      <w:r/>
      <w:bookmarkEnd w:id="152"/>
      <w:r>
        <w:rPr>
          <w:rFonts w:hint="eastAsia" w:ascii="宋体" w:hAnsi="宋体" w:cs="宋体"/>
          <w:b/>
          <w:bCs/>
          <w:szCs w:val="21"/>
          <w:highlight w:val="none"/>
        </w:rPr>
        <w:t xml:space="preserve">查</w:t>
      </w:r>
      <w:r/>
    </w:p>
    <w:p>
      <w:pPr>
        <w:ind w:firstLine="480"/>
        <w:spacing w:line="440" w:lineRule="exact"/>
        <w:rPr>
          <w:rFonts w:ascii="宋体" w:hAnsi="宋体" w:cs="宋体"/>
          <w:bCs/>
          <w:szCs w:val="21"/>
          <w:highlight w:val="none"/>
        </w:rPr>
      </w:pPr>
      <w:r>
        <w:rPr>
          <w:rFonts w:hint="eastAsia" w:ascii="宋体" w:hAnsi="宋体" w:cs="宋体"/>
          <w:szCs w:val="21"/>
          <w:highlight w:val="none"/>
        </w:rPr>
        <w:t xml:space="preserve">26.1</w:t>
      </w:r>
      <w:r>
        <w:rPr>
          <w:rFonts w:hint="eastAsia" w:ascii="宋体" w:hAnsi="宋体" w:cs="宋体"/>
          <w:bCs/>
          <w:szCs w:val="21"/>
          <w:highlight w:val="none"/>
        </w:rPr>
        <w:t xml:space="preserve">响应文件审查分为资格审查和符合性审查。</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26.1.1资格审查：由磋商小组依据法律法规和磋商文件的规定，对响应文件中的资格证明文件进行审查，以确定供应商是否具备参加磋商的资格。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26.1.3 未通过资格审查或符合性审查的供应商，磋商小组将在</w:t>
      </w:r>
      <w:r>
        <w:rPr>
          <w:rFonts w:hint="eastAsia" w:ascii="宋体" w:hAnsi="宋体" w:cs="宋体"/>
          <w:szCs w:val="21"/>
          <w:highlight w:val="none"/>
        </w:rPr>
        <w:t xml:space="preserve">苏采云系统</w:t>
      </w:r>
      <w:r>
        <w:rPr>
          <w:rFonts w:hint="eastAsia" w:ascii="宋体" w:hAnsi="宋体" w:cs="宋体"/>
          <w:bCs/>
          <w:szCs w:val="21"/>
          <w:highlight w:val="none"/>
        </w:rPr>
        <w:t xml:space="preserve">中告知未通过资格审查或符合性审查的原因，评审结束后，磋商小组将不再告知未通过资格审查或符合性审查的原因。</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26.3未实质性响应磋商文件的情形</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26.3.1供应商在</w:t>
      </w:r>
      <w:r>
        <w:rPr>
          <w:rFonts w:hint="eastAsia" w:ascii="宋体" w:hAnsi="宋体" w:cs="宋体"/>
          <w:szCs w:val="21"/>
          <w:highlight w:val="none"/>
        </w:rPr>
        <w:t xml:space="preserve">苏采云系统</w:t>
      </w:r>
      <w:r>
        <w:rPr>
          <w:rFonts w:hint="eastAsia" w:ascii="宋体" w:hAnsi="宋体" w:cs="宋体"/>
          <w:bCs/>
          <w:szCs w:val="21"/>
          <w:highlight w:val="none"/>
        </w:rPr>
        <w:t xml:space="preserve">规定的时间内未成功解密电子响应文件的。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26.3.2供应商未按照磋商文件要求上传电子响应文件的。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26.3.3同一供应商提交两个（含两个）以上不同的响应文件或者最后报价的。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26.3.4供应商不具备磋商文件中规定资格要求的。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26.3.5供应商的最后报价超过了采购预算。</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26.3.6不符合磋商文件中规定的实质性要求和条件的（</w:t>
      </w:r>
      <w:r>
        <w:rPr>
          <w:rFonts w:hint="eastAsia" w:ascii="宋体" w:hAnsi="宋体" w:cs="宋体"/>
          <w:bCs/>
          <w:i/>
          <w:szCs w:val="21"/>
          <w:highlight w:val="none"/>
          <w:u w:val="single"/>
        </w:rPr>
        <w:t xml:space="preserve">加斜体下划线内容或打“★”内容为实质性要求和条件）。</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26.3.8响应文件含有采购人不能接受的附加条件的。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26.3.10响应文件未按照磋商文件要求加盖CA电子公章的。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26.4未实质性响应磋商文件的响应文件按无效响应处理。</w:t>
      </w:r>
      <w:r/>
    </w:p>
    <w:p>
      <w:pPr>
        <w:ind w:firstLine="480"/>
        <w:spacing w:line="440" w:lineRule="exact"/>
        <w:rPr>
          <w:rFonts w:ascii="宋体" w:hAnsi="宋体" w:cs="宋体"/>
          <w:bCs/>
          <w:szCs w:val="21"/>
          <w:highlight w:val="none"/>
        </w:rPr>
      </w:pPr>
      <w:r>
        <w:rPr>
          <w:rFonts w:hint="eastAsia" w:ascii="宋体" w:hAnsi="宋体" w:cs="宋体"/>
          <w:szCs w:val="21"/>
          <w:highlight w:val="none"/>
        </w:rPr>
        <w:t xml:space="preserve">26.5</w:t>
      </w:r>
      <w:r>
        <w:rPr>
          <w:rFonts w:hint="eastAsia" w:ascii="宋体" w:hAnsi="宋体" w:cs="宋体"/>
          <w:bCs/>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40" w:lineRule="exact"/>
        <w:rPr>
          <w:rFonts w:ascii="宋体" w:hAnsi="宋体" w:cs="宋体"/>
          <w:szCs w:val="21"/>
          <w:highlight w:val="none"/>
        </w:rPr>
      </w:pPr>
      <w:r/>
      <w:bookmarkStart w:id="153" w:name="_Toc513029234"/>
      <w:r/>
      <w:bookmarkStart w:id="154" w:name="_Toc16938550"/>
      <w:r/>
      <w:bookmarkStart w:id="155" w:name="_Toc20823306"/>
      <w:r>
        <w:rPr>
          <w:rFonts w:hint="eastAsia" w:ascii="宋体" w:hAnsi="宋体" w:cs="宋体"/>
          <w:szCs w:val="21"/>
          <w:highlight w:val="none"/>
        </w:rPr>
        <w:t xml:space="preserve">26.6供应商在项目评审全过程中应保持通讯畅通，并安排专人与采购代理机构及磋商小组联系。</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27、</w:t>
      </w:r>
      <w:bookmarkEnd w:id="153"/>
      <w:r/>
      <w:bookmarkEnd w:id="154"/>
      <w:r/>
      <w:bookmarkEnd w:id="155"/>
      <w:r>
        <w:rPr>
          <w:rFonts w:hint="eastAsia" w:ascii="宋体" w:hAnsi="宋体" w:cs="宋体"/>
          <w:b/>
          <w:bCs/>
          <w:szCs w:val="21"/>
          <w:highlight w:val="none"/>
        </w:rPr>
        <w:t xml:space="preserve">磋商程序及评审方法和评审标准</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27.1磋商程序</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27.2评审方法和评审标准</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27.2.2评审标准</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见本磋商文件第五章规定。</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27.3采购活动终止的情况</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出现下列情形之一的，本次竞争性磋商采购活动将被终止：</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27.3.1因情况变化，不再符合规定的竞争性磋商采购方式适用情形的。</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27.3.2出现影响采购公正的违法、违规行为的。</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27.3.3除本磋商文件第二章第27.1.2条第三款规定的情形外，在采购过程中符合要求的供应商或者最后报价未超过采购预算的供应商不足3家的。</w:t>
      </w:r>
      <w:r/>
    </w:p>
    <w:p>
      <w:pPr>
        <w:ind w:firstLine="480"/>
        <w:spacing w:line="440" w:lineRule="exact"/>
        <w:tabs>
          <w:tab w:val="left" w:pos="900" w:leader="none"/>
        </w:tabs>
        <w:rPr>
          <w:rFonts w:ascii="宋体" w:hAnsi="宋体" w:cs="宋体"/>
          <w:szCs w:val="21"/>
          <w:highlight w:val="none"/>
        </w:rPr>
      </w:pPr>
      <w:r>
        <w:rPr>
          <w:rFonts w:hint="eastAsia" w:ascii="宋体" w:hAnsi="宋体" w:cs="宋体"/>
          <w:szCs w:val="21"/>
          <w:highlight w:val="none"/>
        </w:rPr>
        <w:t xml:space="preserve">27.3.4在苏采云系统规定时间内成功解密电子响应文件的供应商不足3家的。</w:t>
      </w:r>
      <w:r/>
    </w:p>
    <w:p>
      <w:pPr>
        <w:ind w:firstLine="482"/>
        <w:spacing w:line="440" w:lineRule="exact"/>
        <w:rPr>
          <w:rFonts w:ascii="宋体" w:hAnsi="宋体" w:cs="宋体"/>
          <w:b/>
          <w:bCs/>
          <w:szCs w:val="21"/>
          <w:highlight w:val="none"/>
        </w:rPr>
      </w:pPr>
      <w:r/>
      <w:bookmarkStart w:id="156" w:name="_Toc120614219"/>
      <w:r/>
      <w:bookmarkStart w:id="157" w:name="_Toc20823307"/>
      <w:r/>
      <w:bookmarkStart w:id="158" w:name="_Toc16938551"/>
      <w:r/>
      <w:bookmarkStart w:id="159" w:name="_Toc513029235"/>
      <w:r>
        <w:rPr>
          <w:rFonts w:hint="eastAsia" w:ascii="宋体" w:hAnsi="宋体" w:cs="宋体"/>
          <w:b/>
          <w:bCs/>
          <w:szCs w:val="21"/>
          <w:highlight w:val="none"/>
        </w:rPr>
        <w:t xml:space="preserve">六、</w:t>
      </w:r>
      <w:bookmarkEnd w:id="156"/>
      <w:r/>
      <w:bookmarkEnd w:id="157"/>
      <w:r/>
      <w:bookmarkEnd w:id="158"/>
      <w:r/>
      <w:bookmarkEnd w:id="159"/>
      <w:r>
        <w:rPr>
          <w:rFonts w:hint="eastAsia" w:ascii="宋体" w:hAnsi="宋体" w:cs="宋体"/>
          <w:b/>
          <w:bCs/>
          <w:szCs w:val="21"/>
          <w:highlight w:val="none"/>
        </w:rPr>
        <w:t xml:space="preserve">成交</w:t>
      </w:r>
      <w:r/>
    </w:p>
    <w:p>
      <w:pPr>
        <w:ind w:firstLine="482"/>
        <w:spacing w:line="440" w:lineRule="exact"/>
        <w:rPr>
          <w:rFonts w:ascii="宋体" w:hAnsi="宋体" w:cs="宋体"/>
          <w:b/>
          <w:bCs/>
          <w:szCs w:val="21"/>
          <w:highlight w:val="none"/>
        </w:rPr>
      </w:pPr>
      <w:r/>
      <w:bookmarkStart w:id="160" w:name="_Toc513029238"/>
      <w:r/>
      <w:bookmarkStart w:id="161" w:name="_Toc20823310"/>
      <w:r/>
      <w:bookmarkStart w:id="162" w:name="_Toc16938554"/>
      <w:r>
        <w:rPr>
          <w:rFonts w:hint="eastAsia" w:ascii="宋体" w:hAnsi="宋体" w:cs="宋体"/>
          <w:b/>
          <w:bCs/>
          <w:szCs w:val="21"/>
          <w:highlight w:val="none"/>
        </w:rPr>
        <w:t xml:space="preserve">28、</w:t>
      </w:r>
      <w:bookmarkEnd w:id="160"/>
      <w:r>
        <w:rPr>
          <w:rFonts w:hint="eastAsia" w:ascii="宋体" w:hAnsi="宋体" w:cs="宋体"/>
          <w:b/>
          <w:bCs/>
          <w:szCs w:val="21"/>
          <w:highlight w:val="none"/>
        </w:rPr>
        <w:t xml:space="preserve">确定</w:t>
      </w:r>
      <w:bookmarkEnd w:id="161"/>
      <w:r/>
      <w:bookmarkEnd w:id="162"/>
      <w:r>
        <w:rPr>
          <w:rFonts w:hint="eastAsia" w:ascii="宋体" w:hAnsi="宋体" w:cs="宋体"/>
          <w:b/>
          <w:bCs/>
          <w:szCs w:val="21"/>
          <w:highlight w:val="none"/>
        </w:rPr>
        <w:t xml:space="preserve">成交单位</w:t>
      </w:r>
      <w:r/>
    </w:p>
    <w:p>
      <w:pPr>
        <w:ind w:firstLine="480"/>
        <w:spacing w:line="440" w:lineRule="exact"/>
        <w:tabs>
          <w:tab w:val="left" w:pos="900" w:leader="none"/>
        </w:tabs>
        <w:rPr>
          <w:rFonts w:ascii="宋体" w:hAnsi="宋体" w:cs="宋体"/>
          <w:szCs w:val="21"/>
          <w:highlight w:val="none"/>
        </w:rPr>
      </w:pPr>
      <w:r>
        <w:rPr>
          <w:rFonts w:hint="eastAsia" w:ascii="宋体" w:hAnsi="宋体" w:cs="宋体"/>
          <w:bCs/>
          <w:szCs w:val="21"/>
          <w:highlight w:val="none"/>
        </w:rPr>
        <w:t xml:space="preserve">28.1</w:t>
      </w:r>
      <w:r>
        <w:rPr>
          <w:rFonts w:hint="eastAsia" w:ascii="宋体" w:hAnsi="宋体" w:cs="宋体"/>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tabs>
          <w:tab w:val="left" w:pos="900" w:leader="none"/>
        </w:tabs>
        <w:rPr>
          <w:rFonts w:ascii="宋体" w:hAnsi="宋体" w:cs="宋体"/>
          <w:bCs/>
          <w:szCs w:val="21"/>
          <w:highlight w:val="none"/>
        </w:rPr>
      </w:pPr>
      <w:r>
        <w:rPr>
          <w:rFonts w:hint="eastAsia" w:ascii="宋体" w:hAnsi="宋体" w:cs="宋体"/>
          <w:bCs/>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tabs>
          <w:tab w:val="left" w:pos="900" w:leader="none"/>
        </w:tabs>
        <w:rPr>
          <w:rFonts w:ascii="宋体" w:hAnsi="宋体" w:cs="宋体"/>
          <w:bCs/>
          <w:szCs w:val="21"/>
          <w:highlight w:val="none"/>
        </w:rPr>
      </w:pPr>
      <w:r>
        <w:rPr>
          <w:rFonts w:hint="eastAsia" w:ascii="宋体" w:hAnsi="宋体" w:cs="宋体"/>
          <w:bCs/>
          <w:szCs w:val="21"/>
          <w:highlight w:val="none"/>
        </w:rPr>
        <w:t xml:space="preserve">28.2采购人从评审报告提出的成交候选供应商中，按照排序由高到低的原则确定成交供应商。</w:t>
      </w:r>
      <w:r/>
    </w:p>
    <w:p>
      <w:pPr>
        <w:ind w:firstLine="480"/>
        <w:spacing w:line="440" w:lineRule="exact"/>
        <w:rPr>
          <w:rFonts w:ascii="宋体" w:hAnsi="宋体" w:cs="宋体"/>
          <w:b/>
          <w:bCs/>
          <w:szCs w:val="21"/>
          <w:highlight w:val="none"/>
          <w:lang w:val="zh-CN"/>
        </w:rPr>
      </w:pPr>
      <w:r>
        <w:rPr>
          <w:rFonts w:hint="eastAsia" w:ascii="宋体" w:hAnsi="宋体" w:cs="宋体"/>
          <w:b/>
          <w:bCs/>
          <w:szCs w:val="21"/>
          <w:highlight w:val="none"/>
          <w:lang w:val="zh-CN"/>
        </w:rPr>
        <w:t xml:space="preserve">按以下第</w:t>
      </w:r>
      <w:r>
        <w:rPr>
          <w:rFonts w:hint="eastAsia" w:ascii="宋体" w:hAnsi="宋体" w:cs="宋体"/>
          <w:b/>
          <w:bCs/>
          <w:szCs w:val="21"/>
          <w:highlight w:val="none"/>
          <w:u w:val="single"/>
          <w:lang w:val="zh-CN"/>
        </w:rPr>
        <w:t xml:space="preserve">（</w:t>
      </w:r>
      <w:r>
        <w:rPr>
          <w:rFonts w:hint="eastAsia" w:ascii="宋体" w:hAnsi="宋体" w:cs="宋体"/>
          <w:b/>
          <w:bCs/>
          <w:szCs w:val="21"/>
          <w:highlight w:val="none"/>
          <w:u w:val="single"/>
        </w:rPr>
        <w:t xml:space="preserve">1</w:t>
      </w:r>
      <w:r>
        <w:rPr>
          <w:rFonts w:hint="eastAsia" w:ascii="宋体" w:hAnsi="宋体" w:cs="宋体"/>
          <w:b/>
          <w:bCs/>
          <w:szCs w:val="21"/>
          <w:highlight w:val="none"/>
          <w:u w:val="single"/>
          <w:lang w:val="zh-CN"/>
        </w:rPr>
        <w:t xml:space="preserve">）</w:t>
      </w:r>
      <w:r>
        <w:rPr>
          <w:rFonts w:hint="eastAsia" w:ascii="宋体" w:hAnsi="宋体" w:cs="宋体"/>
          <w:b/>
          <w:bCs/>
          <w:szCs w:val="21"/>
          <w:highlight w:val="none"/>
          <w:lang w:val="zh-CN"/>
        </w:rPr>
        <w:t xml:space="preserve">种方式确定成交供应商：</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（1）磋商小组直接确定排名第一的</w:t>
      </w:r>
      <w:r>
        <w:rPr>
          <w:rFonts w:hint="eastAsia" w:ascii="宋体" w:hAnsi="宋体" w:cs="宋体"/>
          <w:bCs/>
          <w:szCs w:val="21"/>
          <w:highlight w:val="none"/>
        </w:rPr>
        <w:t xml:space="preserve">成交候选供应商</w:t>
      </w:r>
      <w:r>
        <w:rPr>
          <w:rFonts w:hint="eastAsia" w:ascii="宋体" w:hAnsi="宋体" w:cs="宋体"/>
          <w:bCs/>
          <w:szCs w:val="21"/>
          <w:highlight w:val="none"/>
          <w:lang w:val="zh-CN"/>
        </w:rPr>
        <w:t xml:space="preserve">为成交供应商；</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（2）采购人</w:t>
      </w:r>
      <w:r>
        <w:rPr>
          <w:rFonts w:hint="eastAsia" w:ascii="宋体" w:hAnsi="宋体" w:cs="宋体"/>
          <w:bCs/>
          <w:szCs w:val="21"/>
          <w:highlight w:val="none"/>
        </w:rPr>
        <w:t xml:space="preserve">从评审报告提出</w:t>
      </w:r>
      <w:r>
        <w:rPr>
          <w:rFonts w:hint="eastAsia" w:ascii="宋体" w:hAnsi="宋体" w:cs="宋体"/>
          <w:bCs/>
          <w:szCs w:val="21"/>
          <w:highlight w:val="none"/>
          <w:lang w:val="zh-CN"/>
        </w:rPr>
        <w:t xml:space="preserve">的</w:t>
      </w:r>
      <w:r>
        <w:rPr>
          <w:rFonts w:hint="eastAsia" w:ascii="宋体" w:hAnsi="宋体" w:cs="宋体"/>
          <w:bCs/>
          <w:szCs w:val="21"/>
          <w:highlight w:val="none"/>
        </w:rPr>
        <w:t xml:space="preserve">成交候选供应商</w:t>
      </w:r>
      <w:r>
        <w:rPr>
          <w:rFonts w:hint="eastAsia" w:ascii="宋体" w:hAnsi="宋体" w:cs="宋体"/>
          <w:bCs/>
          <w:szCs w:val="21"/>
          <w:highlight w:val="none"/>
          <w:lang w:val="zh-CN"/>
        </w:rPr>
        <w:t xml:space="preserve">中按顺序确定成交供应商。</w:t>
      </w:r>
      <w:r/>
    </w:p>
    <w:p>
      <w:pPr>
        <w:ind w:firstLine="480"/>
        <w:spacing w:line="440" w:lineRule="exact"/>
        <w:tabs>
          <w:tab w:val="left" w:pos="900" w:leader="none"/>
        </w:tabs>
        <w:rPr>
          <w:rFonts w:ascii="宋体" w:hAnsi="宋体" w:cs="宋体"/>
          <w:bCs/>
          <w:szCs w:val="21"/>
          <w:highlight w:val="none"/>
        </w:rPr>
      </w:pPr>
      <w:r>
        <w:rPr>
          <w:rFonts w:hint="eastAsia" w:ascii="宋体" w:hAnsi="宋体" w:cs="宋体"/>
          <w:bCs/>
          <w:szCs w:val="21"/>
          <w:highlight w:val="none"/>
          <w:lang w:val="zh-CN"/>
        </w:rPr>
        <w:t xml:space="preserve">按第</w:t>
      </w:r>
      <w:r>
        <w:rPr>
          <w:rFonts w:hint="eastAsia" w:ascii="宋体" w:hAnsi="宋体" w:cs="宋体"/>
          <w:bCs/>
          <w:szCs w:val="21"/>
          <w:highlight w:val="none"/>
        </w:rPr>
        <w:t xml:space="preserve">2</w:t>
      </w:r>
      <w:r>
        <w:rPr>
          <w:rFonts w:hint="eastAsia" w:ascii="宋体" w:hAnsi="宋体" w:cs="宋体"/>
          <w:bCs/>
          <w:szCs w:val="21"/>
          <w:highlight w:val="none"/>
          <w:lang w:val="zh-CN"/>
        </w:rPr>
        <w:t xml:space="preserve">种方式确定成交供应商的，</w:t>
      </w:r>
      <w:r>
        <w:rPr>
          <w:rFonts w:hint="eastAsia" w:ascii="宋体" w:hAnsi="宋体" w:cs="宋体"/>
          <w:bCs/>
          <w:szCs w:val="21"/>
          <w:highlight w:val="none"/>
        </w:rPr>
        <w:t xml:space="preserve">采购代理机构</w:t>
      </w:r>
      <w:r>
        <w:rPr>
          <w:rFonts w:hint="eastAsia" w:ascii="宋体" w:hAnsi="宋体" w:cs="宋体"/>
          <w:bCs/>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cs="宋体"/>
          <w:bCs/>
          <w:szCs w:val="21"/>
          <w:highlight w:val="none"/>
        </w:rPr>
        <w:t xml:space="preserve">成交候选供应商</w:t>
      </w:r>
      <w:r>
        <w:rPr>
          <w:rFonts w:hint="eastAsia" w:ascii="宋体" w:hAnsi="宋体" w:cs="宋体"/>
          <w:bCs/>
          <w:szCs w:val="21"/>
          <w:highlight w:val="none"/>
          <w:lang w:val="zh-CN"/>
        </w:rPr>
        <w:t xml:space="preserve">中按顺序确定成交供应商。</w:t>
      </w:r>
      <w:r/>
    </w:p>
    <w:p>
      <w:pPr>
        <w:ind w:firstLine="480"/>
        <w:spacing w:line="440" w:lineRule="exact"/>
        <w:tabs>
          <w:tab w:val="left" w:pos="900" w:leader="none"/>
        </w:tabs>
        <w:rPr>
          <w:rFonts w:ascii="宋体" w:hAnsi="宋体" w:cs="宋体"/>
          <w:bCs/>
          <w:szCs w:val="21"/>
          <w:highlight w:val="none"/>
        </w:rPr>
      </w:pPr>
      <w:r>
        <w:rPr>
          <w:rFonts w:hint="eastAsia" w:ascii="宋体" w:hAnsi="宋体" w:cs="宋体"/>
          <w:bCs/>
          <w:szCs w:val="21"/>
          <w:highlight w:val="none"/>
        </w:rPr>
        <w:t xml:space="preserve">28.3成交供应商确定后，采购代理机构将在“宿迁市政府采购网”发布成交结果公告，公告期限为1个工作日。</w:t>
      </w:r>
      <w:r/>
    </w:p>
    <w:p>
      <w:pPr>
        <w:ind w:firstLine="480"/>
        <w:spacing w:line="440" w:lineRule="exact"/>
        <w:tabs>
          <w:tab w:val="left" w:pos="900" w:leader="none"/>
        </w:tabs>
        <w:rPr>
          <w:rFonts w:ascii="宋体" w:hAnsi="宋体" w:cs="宋体"/>
          <w:bCs/>
          <w:szCs w:val="21"/>
          <w:highlight w:val="none"/>
        </w:rPr>
      </w:pPr>
      <w:r>
        <w:rPr>
          <w:rFonts w:hint="eastAsia" w:ascii="宋体" w:hAnsi="宋体" w:cs="宋体"/>
          <w:bCs/>
          <w:szCs w:val="21"/>
          <w:highlight w:val="none"/>
        </w:rPr>
        <w:t xml:space="preserve">28.4若有充分证据证明，成交供应商出现下列情况之一的，一经查实，将被取消成交资格：</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28.4.1提供虚假材料谋取成交的。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28.4.2与评审专家、采购人、其他供应商或者</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工作人员恶意串通的。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28.4.3向评审专家、采购人或</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工作人员行贿或者提供其他不正当利益的。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28.4.4恶意竞争，最后报价明显低于其自身合理成本且又无法提供证明的。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28.4.5不满足本磋商文件规定的实质性要求，但在评审过程中又未被磋商小组发现的。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28.4.6成交后无正当理由拒不与采购人签订政府采购合同或者未按照磋商文件确定的事项签订政府采购合同的。</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28.4.7将政府采购合同转包的。</w:t>
      </w:r>
      <w:r/>
    </w:p>
    <w:p>
      <w:pPr>
        <w:ind w:firstLine="482"/>
        <w:spacing w:line="440" w:lineRule="exact"/>
        <w:rPr>
          <w:rFonts w:ascii="宋体" w:hAnsi="宋体" w:cs="宋体"/>
          <w:b/>
          <w:bCs/>
          <w:szCs w:val="21"/>
          <w:highlight w:val="none"/>
        </w:rPr>
      </w:pPr>
      <w:r/>
      <w:bookmarkStart w:id="163" w:name="_Toc200451960"/>
      <w:r>
        <w:rPr>
          <w:rFonts w:hint="eastAsia" w:ascii="宋体" w:hAnsi="宋体" w:cs="宋体"/>
          <w:b/>
          <w:bCs/>
          <w:szCs w:val="21"/>
          <w:highlight w:val="none"/>
        </w:rPr>
        <w:t xml:space="preserve">29、质疑处理</w:t>
      </w:r>
      <w:bookmarkEnd w:id="163"/>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29.2.1对可以质疑的采购文件提出质疑的，为收到采购文件之日或者采购文件公告期限届满之日。</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29.2.2对采购过程提出质疑的，为各采购程序环节结束之日。</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29.2.3对成交结果提出质疑的，为成交结果公告期限届满之日。</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29.4 供应商应以书面形式向采购人或者其委托的采购代理机构提出质疑。质疑超出采购机构代理范围的，供应商应当向采购人提出。</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接收质疑函的方式：现场接收或邮寄接收。</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联系部门：采购人（</w:t>
      </w:r>
      <w:r>
        <w:rPr>
          <w:rFonts w:hint="eastAsia" w:ascii="宋体" w:hAnsi="宋体" w:cs="宋体"/>
          <w:szCs w:val="21"/>
          <w:highlight w:val="none"/>
          <w:lang w:eastAsia="zh-CN"/>
        </w:rPr>
        <w:t xml:space="preserve">宿迁市湖滨新区晓店学校</w:t>
      </w:r>
      <w:r>
        <w:rPr>
          <w:rFonts w:hint="eastAsia" w:ascii="宋体" w:hAnsi="宋体" w:cs="宋体"/>
          <w:szCs w:val="21"/>
          <w:highlight w:val="none"/>
        </w:rPr>
        <w:t xml:space="preserve">）或采购代理机构（</w:t>
      </w:r>
      <w:r>
        <w:rPr>
          <w:rFonts w:hint="eastAsia" w:ascii="宋体" w:hAnsi="宋体" w:cs="宋体"/>
          <w:szCs w:val="21"/>
          <w:highlight w:val="none"/>
          <w:lang w:eastAsia="zh-CN"/>
        </w:rPr>
        <w:t xml:space="preserve">江苏志杰建设项目管理有限公司</w:t>
      </w:r>
      <w:r>
        <w:rPr>
          <w:rFonts w:hint="eastAsia" w:ascii="宋体" w:hAnsi="宋体" w:cs="宋体"/>
          <w:szCs w:val="21"/>
          <w:highlight w:val="none"/>
        </w:rPr>
        <w:t xml:space="preserve">）。</w:t>
      </w:r>
      <w:r/>
    </w:p>
    <w:p>
      <w:pPr>
        <w:ind w:firstLine="480"/>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联系电话：13812307858</w:t>
      </w:r>
      <w:r>
        <w:rPr>
          <w:rFonts w:hint="eastAsia" w:ascii="宋体" w:hAnsi="宋体" w:cs="宋体"/>
          <w:szCs w:val="21"/>
          <w:highlight w:val="none"/>
          <w:lang w:val="en-US" w:eastAsia="zh-CN"/>
        </w:rPr>
        <w:t xml:space="preserve">/15370022750</w:t>
      </w:r>
      <w:r/>
    </w:p>
    <w:p>
      <w:pPr>
        <w:ind w:firstLine="480"/>
        <w:spacing w:line="440" w:lineRule="exact"/>
        <w:rPr>
          <w:rFonts w:hint="default" w:ascii="宋体" w:hAnsi="宋体" w:cs="宋体"/>
          <w:szCs w:val="21"/>
          <w:highlight w:val="yellow"/>
          <w:lang w:val="en-US"/>
        </w:rPr>
      </w:pPr>
      <w:r>
        <w:rPr>
          <w:rFonts w:hint="eastAsia" w:ascii="宋体" w:hAnsi="宋体" w:cs="宋体"/>
          <w:szCs w:val="21"/>
          <w:highlight w:val="none"/>
        </w:rPr>
        <w:t xml:space="preserve">通讯地址：</w:t>
      </w:r>
      <w:r>
        <w:rPr>
          <w:rFonts w:hint="eastAsia" w:ascii="宋体" w:hAnsi="宋体" w:cs="宋体"/>
          <w:szCs w:val="21"/>
          <w:highlight w:val="none"/>
          <w:lang w:eastAsia="zh-CN"/>
        </w:rPr>
        <w:t xml:space="preserve">宿迁市湖滨新区晓店学校</w:t>
      </w:r>
      <w:r>
        <w:rPr>
          <w:rFonts w:hint="eastAsia" w:ascii="宋体" w:hAnsi="宋体" w:cs="宋体"/>
          <w:szCs w:val="21"/>
          <w:highlight w:val="none"/>
          <w:lang w:val="en-US" w:eastAsia="zh-CN"/>
        </w:rPr>
        <w:t xml:space="preserve">/</w:t>
      </w:r>
      <w:r>
        <w:rPr>
          <w:rFonts w:hint="eastAsia" w:ascii="宋体" w:hAnsi="宋体"/>
          <w:bCs/>
          <w:szCs w:val="21"/>
          <w:highlight w:val="none"/>
          <w:lang w:val="en-US" w:eastAsia="zh-CN"/>
        </w:rPr>
        <w:t xml:space="preserve">宿迁市君临国际A座7层东侧</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29.5以下情形的质疑不予受理</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29.5.1内容不符合《政府采购质疑和投诉办法》第十二条规定的质疑。</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29.5.2超出政府采购法定期限的质疑。</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29.5.3以传真、电子邮件等方式递交的非原件形式的质疑。</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29.5.4未参加磋商活动的供应商或在磋商活动中自身权益未受到损害的供应商所提出的质疑。</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29.5.5供应商组成联合体参加磋商，联合体中任何一方或多方未按要求签字、盖章、加盖公章的质疑。</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30、成交通知书</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spacing w:line="440" w:lineRule="exact"/>
        <w:rPr>
          <w:rFonts w:ascii="宋体" w:hAnsi="宋体" w:cs="宋体"/>
          <w:b/>
          <w:bCs/>
          <w:szCs w:val="21"/>
          <w:highlight w:val="none"/>
        </w:rPr>
      </w:pPr>
      <w:r/>
      <w:bookmarkStart w:id="164" w:name="_Toc120614220"/>
      <w:r/>
      <w:bookmarkStart w:id="165" w:name="_Toc513029236"/>
      <w:r/>
      <w:bookmarkStart w:id="166" w:name="_Toc16938552"/>
      <w:r/>
      <w:bookmarkStart w:id="167" w:name="_Toc20823308"/>
      <w:r>
        <w:rPr>
          <w:rFonts w:hint="eastAsia" w:ascii="宋体" w:hAnsi="宋体" w:cs="宋体"/>
          <w:b/>
          <w:bCs/>
          <w:szCs w:val="21"/>
          <w:highlight w:val="none"/>
        </w:rPr>
        <w:t xml:space="preserve">七、授予合同</w:t>
      </w:r>
      <w:bookmarkEnd w:id="164"/>
      <w:r/>
      <w:bookmarkEnd w:id="165"/>
      <w:r/>
      <w:bookmarkEnd w:id="166"/>
      <w:r/>
      <w:bookmarkEnd w:id="167"/>
      <w:r/>
      <w:r/>
    </w:p>
    <w:p>
      <w:pPr>
        <w:ind w:firstLine="482"/>
        <w:spacing w:line="440" w:lineRule="exact"/>
        <w:rPr>
          <w:rFonts w:ascii="宋体" w:hAnsi="宋体" w:cs="宋体"/>
          <w:b/>
          <w:bCs/>
          <w:szCs w:val="21"/>
          <w:highlight w:val="none"/>
        </w:rPr>
      </w:pPr>
      <w:r/>
      <w:bookmarkStart w:id="168" w:name="_Toc513029237"/>
      <w:r/>
      <w:bookmarkStart w:id="169" w:name="_Toc16938553"/>
      <w:r/>
      <w:bookmarkStart w:id="170" w:name="_Toc20823309"/>
      <w:r>
        <w:rPr>
          <w:rFonts w:hint="eastAsia" w:ascii="宋体" w:hAnsi="宋体" w:cs="宋体"/>
          <w:b/>
          <w:bCs/>
          <w:szCs w:val="21"/>
          <w:highlight w:val="none"/>
        </w:rPr>
        <w:t xml:space="preserve">31.签订合同</w:t>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31</w:t>
      </w:r>
      <w:r>
        <w:rPr>
          <w:rFonts w:hint="eastAsia" w:ascii="宋体" w:hAnsi="宋体" w:cs="宋体"/>
          <w:szCs w:val="21"/>
          <w:highlight w:val="none"/>
        </w:rPr>
        <w:t xml:space="preserve">.l成交供应商应当在成交通知书发出之日起15日内，按照磋商文件确定的事项与采购人签订政府采购合同。</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31.2磋商文件、成交供应商的响应文件及磋商过程中有关澄清、承诺文件均应作为合同附件。</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31.4本项目的非主体、非关键性工作是否允许分包按以下第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种方式确定：</w:t>
      </w:r>
      <w:r/>
    </w:p>
    <w:p>
      <w:pPr>
        <w:ind w:firstLine="480"/>
        <w:spacing w:line="440" w:lineRule="exact"/>
        <w:rPr>
          <w:rFonts w:ascii="宋体" w:hAnsi="宋体" w:cs="宋体"/>
          <w:szCs w:val="21"/>
          <w:highlight w:val="none"/>
          <w:u w:val="single"/>
        </w:rPr>
      </w:pPr>
      <w:r>
        <w:rPr>
          <w:rFonts w:hint="eastAsia" w:ascii="宋体" w:hAnsi="宋体" w:cs="宋体"/>
          <w:szCs w:val="21"/>
          <w:highlight w:val="none"/>
        </w:rPr>
        <w:t xml:space="preserve">1.允许分包，允许大中型企业向一家或者多家小微企业分包，分包具体内容、金额或比例：</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440" w:lineRule="exact"/>
        <w:rPr>
          <w:rFonts w:ascii="宋体" w:hAnsi="宋体" w:cs="宋体"/>
          <w:bCs/>
          <w:szCs w:val="21"/>
          <w:highlight w:val="none"/>
        </w:rPr>
      </w:pPr>
      <w:r>
        <w:rPr>
          <w:rFonts w:hint="eastAsia" w:ascii="宋体" w:hAnsi="宋体" w:cs="宋体"/>
          <w:bCs/>
          <w:szCs w:val="21"/>
          <w:highlight w:val="none"/>
        </w:rPr>
        <w:t xml:space="preserve">31.5履约保证金</w:t>
      </w:r>
      <w:r/>
    </w:p>
    <w:p>
      <w:pPr>
        <w:ind w:firstLine="480"/>
        <w:spacing w:line="440" w:lineRule="exact"/>
        <w:rPr>
          <w:rFonts w:ascii="宋体" w:hAnsi="宋体" w:cs="宋体"/>
          <w:b/>
          <w:bCs/>
          <w:szCs w:val="21"/>
          <w:highlight w:val="none"/>
          <w:lang w:val="zh-CN"/>
        </w:rPr>
      </w:pPr>
      <w:r>
        <w:rPr>
          <w:rFonts w:hint="eastAsia" w:ascii="宋体" w:hAnsi="宋体" w:cs="宋体"/>
          <w:b/>
          <w:bCs/>
          <w:szCs w:val="21"/>
          <w:highlight w:val="none"/>
          <w:lang w:val="zh-CN"/>
        </w:rPr>
        <w:t xml:space="preserve">按照以下第</w:t>
      </w:r>
      <w:r>
        <w:rPr>
          <w:rFonts w:hint="eastAsia" w:ascii="宋体" w:hAnsi="宋体" w:cs="宋体"/>
          <w:b/>
          <w:bCs/>
          <w:szCs w:val="21"/>
          <w:highlight w:val="none"/>
          <w:u w:val="single"/>
        </w:rPr>
        <w:t xml:space="preserve">  (</w:t>
      </w:r>
      <w:r>
        <w:rPr>
          <w:rFonts w:hint="eastAsia" w:ascii="宋体" w:hAnsi="宋体" w:cs="宋体"/>
          <w:b/>
          <w:bCs/>
          <w:szCs w:val="21"/>
          <w:highlight w:val="none"/>
          <w:u w:val="single"/>
          <w:lang w:val="en-US" w:eastAsia="zh-CN"/>
        </w:rPr>
        <w:t xml:space="preserve">2</w:t>
      </w:r>
      <w:r>
        <w:rPr>
          <w:rFonts w:hint="eastAsia" w:ascii="宋体" w:hAnsi="宋体" w:cs="宋体"/>
          <w:b/>
          <w:bCs/>
          <w:szCs w:val="21"/>
          <w:highlight w:val="none"/>
          <w:u w:val="single"/>
        </w:rPr>
        <w:t xml:space="preserve">)  </w:t>
      </w:r>
      <w:r>
        <w:rPr>
          <w:rFonts w:hint="eastAsia" w:ascii="宋体" w:hAnsi="宋体" w:cs="宋体"/>
          <w:b/>
          <w:bCs/>
          <w:szCs w:val="21"/>
          <w:highlight w:val="none"/>
          <w:lang w:val="zh-CN"/>
        </w:rPr>
        <w:t xml:space="preserve">方式确定履约保证收取方式。</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(1)不收取履约保证金。</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(2)履约保证金应在采购合同签订前提交，履约保证金的金额：按采购合同总价的</w:t>
      </w:r>
      <w:r>
        <w:rPr>
          <w:rFonts w:hint="eastAsia" w:ascii="宋体" w:hAnsi="宋体" w:cs="宋体"/>
          <w:bCs/>
          <w:szCs w:val="21"/>
          <w:highlight w:val="none"/>
          <w:u w:val="single"/>
          <w:lang w:val="en-US" w:eastAsia="zh-CN"/>
        </w:rPr>
        <w:t xml:space="preserve">5</w:t>
      </w:r>
      <w:r>
        <w:rPr>
          <w:rFonts w:hint="eastAsia" w:ascii="宋体" w:hAnsi="宋体" w:cs="宋体"/>
          <w:bCs/>
          <w:szCs w:val="21"/>
          <w:highlight w:val="none"/>
          <w:lang w:val="zh-CN"/>
        </w:rPr>
        <w:t xml:space="preserve">%计取。除银行电汇、网上银行、数字人民币外，供应商还可选用银行保函、担保公司的保证担保或保险公司的保证保险等多种形式向采购人缴纳；</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履约保证金退还的条件：按以下第</w:t>
      </w:r>
      <w:r>
        <w:rPr>
          <w:rFonts w:hint="eastAsia" w:ascii="宋体" w:hAnsi="宋体" w:cs="宋体"/>
          <w:bCs/>
          <w:szCs w:val="21"/>
          <w:highlight w:val="none"/>
          <w:u w:val="single"/>
          <w:lang w:val="zh-CN"/>
        </w:rPr>
        <w:t xml:space="preserve"> </w:t>
      </w:r>
      <w:r>
        <w:rPr>
          <w:rFonts w:hint="eastAsia" w:ascii="宋体" w:hAnsi="宋体" w:cs="宋体"/>
          <w:bCs/>
          <w:szCs w:val="21"/>
          <w:highlight w:val="none"/>
          <w:u w:val="single"/>
        </w:rPr>
        <w:t xml:space="preserve"> c </w:t>
      </w:r>
      <w:r>
        <w:rPr>
          <w:rFonts w:hint="eastAsia" w:ascii="宋体" w:hAnsi="宋体" w:cs="宋体"/>
          <w:bCs/>
          <w:szCs w:val="21"/>
          <w:highlight w:val="none"/>
          <w:u w:val="single"/>
          <w:lang w:val="zh-CN"/>
        </w:rPr>
        <w:t xml:space="preserve"> </w:t>
      </w:r>
      <w:r>
        <w:rPr>
          <w:rFonts w:hint="eastAsia" w:ascii="宋体" w:hAnsi="宋体" w:cs="宋体"/>
          <w:bCs/>
          <w:szCs w:val="21"/>
          <w:highlight w:val="none"/>
          <w:lang w:val="zh-CN"/>
        </w:rPr>
        <w:t xml:space="preserve">种方式实行：</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a、货物类项目，项目验收合格，出具验收报告及履约保证金收据申请退付；</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b、服务类项目，项目履约期满评价合格，出具履约评价报告及履约保证金收据申请退付；</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c、工程类项目，项目完工验收合格，出具完工证明及履约保证金收据申请退付；</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履约保证金退还时间：采购单位收到供应商退付申请后5个工作日内退还；</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40" w:lineRule="exact"/>
        <w:rPr>
          <w:rFonts w:ascii="宋体" w:hAnsi="宋体" w:cs="宋体"/>
          <w:bCs/>
          <w:szCs w:val="21"/>
          <w:highlight w:val="none"/>
          <w:lang w:val="zh-CN"/>
        </w:rPr>
      </w:pPr>
      <w:r>
        <w:rPr>
          <w:rFonts w:hint="eastAsia" w:ascii="宋体" w:hAnsi="宋体" w:cs="宋体"/>
          <w:bCs/>
          <w:szCs w:val="21"/>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440" w:lineRule="exact"/>
        <w:rPr>
          <w:rFonts w:ascii="宋体" w:hAnsi="宋体" w:cs="宋体"/>
          <w:szCs w:val="21"/>
          <w:highlight w:val="none"/>
        </w:rPr>
      </w:pPr>
      <w:r>
        <w:rPr>
          <w:rFonts w:hint="eastAsia" w:ascii="宋体" w:hAnsi="宋体" w:cs="宋体"/>
          <w:bCs/>
          <w:szCs w:val="21"/>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如使用江苏政府采购电子履约保函（保险）代替缴纳履约保证金的，按采购合同总价的3%计取。</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32、标的物的追加</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32.1政府采购合同履行中，采购人需追加与合同标的相同的货物、工程及服务（包含与货物相关的工程、服务，与工程相关的货物、服务及与服务相关的货物、工程）的，在不改变合同其他条款的前提下，可以与成交供应商协商签订补充合同，但所有补充合同的采购金额不超过原合同金额10%。</w:t>
      </w:r>
      <w:bookmarkEnd w:id="168"/>
      <w:r/>
      <w:bookmarkEnd w:id="169"/>
      <w:r/>
      <w:bookmarkEnd w:id="170"/>
      <w:r/>
      <w:r/>
    </w:p>
    <w:p>
      <w:pPr>
        <w:ind w:firstLine="482"/>
        <w:spacing w:line="440" w:lineRule="exact"/>
        <w:rPr>
          <w:rFonts w:ascii="宋体" w:hAnsi="宋体" w:cs="宋体"/>
          <w:b/>
          <w:bCs/>
          <w:szCs w:val="21"/>
          <w:highlight w:val="none"/>
        </w:rPr>
      </w:pPr>
      <w:r/>
      <w:bookmarkStart w:id="171" w:name="_Toc513029242"/>
      <w:r/>
      <w:bookmarkStart w:id="172" w:name="_Toc120614221"/>
      <w:r/>
      <w:bookmarkStart w:id="173" w:name="_Toc20823314"/>
      <w:r/>
      <w:bookmarkStart w:id="174" w:name="_Toc479757207"/>
      <w:r/>
      <w:bookmarkStart w:id="175" w:name="_Toc16938558"/>
      <w:r>
        <w:rPr>
          <w:rFonts w:hint="eastAsia" w:ascii="宋体" w:hAnsi="宋体" w:cs="宋体"/>
          <w:b/>
          <w:bCs/>
          <w:szCs w:val="21"/>
          <w:highlight w:val="none"/>
        </w:rPr>
        <w:t xml:space="preserve">33、政府采购履约资金扶持政策</w:t>
      </w:r>
      <w:r/>
    </w:p>
    <w:p>
      <w:pPr>
        <w:ind w:firstLine="480"/>
        <w:spacing w:line="440" w:lineRule="exact"/>
        <w:rPr>
          <w:rFonts w:ascii="宋体" w:hAnsi="宋体" w:cs="宋体"/>
          <w:szCs w:val="21"/>
          <w:highlight w:val="none"/>
        </w:rPr>
      </w:pPr>
      <w:r>
        <w:rPr>
          <w:rFonts w:hint="eastAsia" w:ascii="宋体" w:hAnsi="宋体" w:cs="宋体"/>
          <w:szCs w:val="21"/>
          <w:highlight w:val="none"/>
        </w:rPr>
        <w:t xml:space="preserve">33.1依</w:t>
      </w:r>
      <w:r>
        <w:rPr>
          <w:rFonts w:hint="eastAsia" w:ascii="宋体" w:hAnsi="宋体" w:cs="宋体"/>
          <w:szCs w:val="21"/>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2"/>
        <w:spacing w:line="440" w:lineRule="exact"/>
        <w:rPr>
          <w:rFonts w:ascii="宋体" w:hAnsi="宋体" w:cs="宋体"/>
          <w:b/>
          <w:bCs/>
          <w:szCs w:val="21"/>
          <w:highlight w:val="none"/>
        </w:rPr>
      </w:pPr>
      <w:r>
        <w:rPr>
          <w:rFonts w:hint="eastAsia" w:ascii="宋体" w:hAnsi="宋体" w:cs="宋体"/>
          <w:b/>
          <w:bCs/>
          <w:szCs w:val="21"/>
          <w:highlight w:val="none"/>
        </w:rPr>
        <w:t xml:space="preserve">34、验收及付款</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34.2采购人可以邀请参加本项目的其他供应商或者第三方机构参与验收。参与验收的供应商或者第三方机构的意见作为验收书的参考资料一并存档。</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440" w:lineRule="exact"/>
        <w:rPr>
          <w:rFonts w:ascii="宋体" w:hAnsi="宋体" w:cs="宋体"/>
          <w:b/>
          <w:bCs/>
          <w:szCs w:val="21"/>
          <w:highlight w:val="none"/>
          <w:lang w:val="zh-CN"/>
        </w:rPr>
      </w:pPr>
      <w:r>
        <w:rPr>
          <w:rFonts w:hint="eastAsia" w:ascii="宋体" w:hAnsi="宋体" w:cs="宋体"/>
          <w:b/>
          <w:bCs/>
          <w:szCs w:val="21"/>
          <w:highlight w:val="none"/>
          <w:lang w:val="zh-CN"/>
        </w:rPr>
        <w:t xml:space="preserve">35、付款</w:t>
      </w:r>
      <w:r/>
    </w:p>
    <w:p>
      <w:pPr>
        <w:ind w:firstLine="480"/>
        <w:spacing w:line="440" w:lineRule="exact"/>
        <w:rPr>
          <w:rFonts w:ascii="宋体" w:hAnsi="宋体" w:cs="宋体"/>
          <w:szCs w:val="21"/>
          <w:highlight w:val="none"/>
          <w:lang w:val="zh-CN"/>
        </w:rPr>
      </w:pPr>
      <w:r/>
      <w:bookmarkStart w:id="176" w:name="EBec7f529f50594afd871ea9378869e456"/>
      <w:r>
        <w:rPr>
          <w:rFonts w:hint="eastAsia" w:ascii="宋体" w:hAnsi="宋体" w:cs="宋体"/>
          <w:szCs w:val="21"/>
          <w:highlight w:val="none"/>
          <w:lang w:val="zh-CN"/>
        </w:rPr>
        <w:t xml:space="preserve">按照以下</w:t>
      </w:r>
      <w:r>
        <w:rPr>
          <w:rFonts w:hint="eastAsia" w:ascii="宋体" w:hAnsi="宋体" w:cs="宋体"/>
          <w:szCs w:val="21"/>
          <w:highlight w:val="none"/>
          <w:u w:val="single"/>
          <w:lang w:val="zh-CN"/>
        </w:rPr>
        <w:t xml:space="preserve"> （3）工程 </w:t>
      </w:r>
      <w:r>
        <w:rPr>
          <w:rFonts w:hint="eastAsia" w:ascii="宋体" w:hAnsi="宋体" w:cs="宋体"/>
          <w:szCs w:val="21"/>
          <w:highlight w:val="none"/>
          <w:lang w:val="zh-CN"/>
        </w:rPr>
        <w:t xml:space="preserve">类项目确定的付款方式，采购人及时办理付款手续。对于满足合同约定支付条件的，自收到发票后10个工作日内将资金支付到合同约定的供应商账户或供应商数字人民币账户。</w:t>
      </w:r>
      <w:bookmarkEnd w:id="176"/>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（1）货物类项目</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预付款：合同金额的</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%，合同签订后按规定支付；</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进度款：</w:t>
      </w:r>
      <w:bookmarkStart w:id="177" w:name="EBf1f8b954f7504a2cb44cef25707c76a6"/>
      <w:r/>
      <w:bookmarkEnd w:id="177"/>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（2）服务类项目</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预付款：合同金额的</w:t>
      </w:r>
      <w:bookmarkStart w:id="178" w:name="EBe373fd05aa034cc3a1a41aadf8509e01"/>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w:t>
      </w:r>
      <w:bookmarkEnd w:id="178"/>
      <w:r>
        <w:rPr>
          <w:rFonts w:hint="eastAsia" w:ascii="宋体" w:hAnsi="宋体" w:cs="宋体"/>
          <w:szCs w:val="21"/>
          <w:highlight w:val="none"/>
          <w:lang w:val="zh-CN"/>
        </w:rPr>
        <w:t xml:space="preserve">，合同签订后按规定支付；</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进度款：</w:t>
      </w:r>
      <w:bookmarkStart w:id="179" w:name="EB5e42c1c1be704ecfa15d9f8f317e8f12"/>
      <w:r/>
      <w:bookmarkEnd w:id="179"/>
      <w:r>
        <w:rPr>
          <w:rFonts w:hint="eastAsia" w:ascii="宋体" w:hAnsi="宋体" w:cs="宋体"/>
          <w:szCs w:val="21"/>
          <w:highlight w:val="none"/>
          <w:u w:val="single"/>
          <w:lang w:val="zh-CN"/>
        </w:rPr>
        <w:t xml:space="preserve">            /                   </w:t>
      </w:r>
      <w:r>
        <w:rPr>
          <w:rFonts w:hint="eastAsia" w:ascii="宋体" w:hAnsi="宋体" w:cs="宋体"/>
          <w:szCs w:val="21"/>
          <w:highlight w:val="none"/>
          <w:lang w:val="zh-CN"/>
        </w:rPr>
        <w:t xml:space="preserve">。</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（3）工程类项目</w:t>
      </w:r>
      <w:r/>
    </w:p>
    <w:p>
      <w:pPr>
        <w:ind w:firstLine="480"/>
        <w:spacing w:line="440" w:lineRule="exact"/>
        <w:rPr>
          <w:rFonts w:ascii="宋体" w:hAnsi="宋体" w:cs="宋体"/>
          <w:b/>
          <w:szCs w:val="21"/>
          <w:highlight w:val="none"/>
          <w:lang w:val="zh-CN"/>
        </w:rPr>
      </w:pPr>
      <w:r>
        <w:rPr>
          <w:rFonts w:hint="eastAsia" w:ascii="宋体" w:hAnsi="宋体" w:cs="宋体"/>
          <w:b/>
          <w:szCs w:val="21"/>
          <w:highlight w:val="none"/>
          <w:lang w:val="zh-CN"/>
        </w:rPr>
        <w:t xml:space="preserve">预付款：合同金额的</w:t>
      </w:r>
      <w:r>
        <w:rPr>
          <w:rFonts w:hint="eastAsia" w:ascii="宋体" w:hAnsi="宋体" w:cs="宋体"/>
          <w:b/>
          <w:szCs w:val="21"/>
          <w:highlight w:val="none"/>
          <w:u w:val="single"/>
        </w:rPr>
        <w:t xml:space="preserve">10</w:t>
      </w:r>
      <w:r>
        <w:rPr>
          <w:rFonts w:hint="eastAsia" w:ascii="宋体" w:hAnsi="宋体" w:cs="宋体"/>
          <w:b/>
          <w:szCs w:val="21"/>
          <w:highlight w:val="none"/>
          <w:lang w:val="zh-CN"/>
        </w:rPr>
        <w:t xml:space="preserve">%，合同签订后按规定支付；</w:t>
      </w:r>
      <w:r/>
    </w:p>
    <w:p>
      <w:pPr>
        <w:ind w:firstLine="480"/>
        <w:spacing w:line="440" w:lineRule="exact"/>
        <w:rPr>
          <w:rFonts w:ascii="宋体" w:hAnsi="宋体" w:cs="宋体"/>
          <w:b/>
          <w:szCs w:val="21"/>
          <w:highlight w:val="none"/>
          <w:lang w:val="zh-CN"/>
        </w:rPr>
      </w:pPr>
      <w:r>
        <w:rPr>
          <w:rFonts w:hint="eastAsia" w:ascii="宋体" w:hAnsi="宋体" w:cs="宋体"/>
          <w:b/>
          <w:szCs w:val="21"/>
          <w:highlight w:val="none"/>
          <w:lang w:val="zh-CN"/>
        </w:rPr>
        <w:t xml:space="preserve">进度款：工程完工后付至已完成工程价款的80%，工程竣工验收合格且审计结束后付至审定价的97%，余款待缺陷责任期满后付清（无息）。</w:t>
      </w:r>
      <w:r/>
    </w:p>
    <w:p>
      <w:pPr>
        <w:ind w:firstLine="480"/>
        <w:spacing w:line="440" w:lineRule="exact"/>
        <w:rPr>
          <w:rFonts w:ascii="宋体" w:hAnsi="宋体" w:cs="宋体"/>
          <w:szCs w:val="21"/>
          <w:highlight w:val="none"/>
          <w:lang w:val="zh-CN"/>
        </w:rPr>
      </w:pPr>
      <w:r/>
      <w:bookmarkStart w:id="180" w:name="EB11398ec6946f4019bc4c35221e27b04f"/>
      <w:r>
        <w:rPr>
          <w:rFonts w:hint="eastAsia" w:ascii="宋体" w:hAnsi="宋体" w:cs="宋体"/>
          <w:szCs w:val="21"/>
          <w:highlight w:val="none"/>
          <w:lang w:val="zh-CN"/>
        </w:rPr>
        <w:t xml:space="preserve">注：在签订合同时，成交人明确表示无需预付款或者主动要求降低预付款比例的金额，采购人可不适用预付款规定。</w:t>
      </w:r>
      <w:bookmarkEnd w:id="180"/>
      <w:r/>
      <w:r/>
    </w:p>
    <w:p>
      <w:pPr>
        <w:ind w:firstLine="482"/>
        <w:spacing w:line="440" w:lineRule="exact"/>
        <w:rPr>
          <w:rFonts w:ascii="宋体" w:hAnsi="宋体" w:cs="宋体"/>
          <w:b/>
          <w:szCs w:val="21"/>
          <w:highlight w:val="none"/>
          <w:lang w:val="zh-CN"/>
        </w:rPr>
      </w:pPr>
      <w:r>
        <w:rPr>
          <w:rFonts w:hint="eastAsia" w:ascii="宋体" w:hAnsi="宋体" w:cs="宋体"/>
          <w:b/>
          <w:szCs w:val="21"/>
          <w:highlight w:val="none"/>
          <w:lang w:val="zh-CN"/>
        </w:rPr>
        <w:t xml:space="preserve">36、供应商合法权益补偿救济机制</w:t>
      </w:r>
      <w:r/>
    </w:p>
    <w:p>
      <w:pPr>
        <w:ind w:firstLine="480"/>
        <w:spacing w:line="440" w:lineRule="exact"/>
        <w:rPr>
          <w:rFonts w:ascii="宋体" w:hAnsi="宋体" w:cs="宋体"/>
          <w:szCs w:val="21"/>
          <w:highlight w:val="none"/>
          <w:lang w:val="zh-CN"/>
        </w:rPr>
      </w:pPr>
      <w:r>
        <w:rPr>
          <w:rFonts w:hint="eastAsia" w:ascii="宋体" w:hAnsi="宋体" w:cs="宋体"/>
          <w:szCs w:val="21"/>
          <w:highlight w:val="none"/>
          <w:lang w:val="zh-CN"/>
        </w:rPr>
        <w:t xml:space="preserve">在履约过程因政策变化、规划调整而无法履行合同约定，造成企业合法权益受损的，采购人依据实际情况对供应商进行补偿救济。</w:t>
      </w:r>
      <w:r/>
    </w:p>
    <w:p>
      <w:pPr>
        <w:spacing w:line="440" w:lineRule="exact"/>
        <w:rPr>
          <w:rFonts w:ascii="宋体" w:hAnsi="宋体" w:cs="宋体"/>
          <w:szCs w:val="21"/>
          <w:highlight w:val="none"/>
          <w:lang w:val="zh-CN"/>
        </w:rPr>
      </w:pPr>
      <w:r>
        <w:rPr>
          <w:rFonts w:ascii="宋体" w:hAnsi="宋体" w:cs="宋体"/>
          <w:szCs w:val="21"/>
          <w:highlight w:val="none"/>
          <w:lang w:val="zh-CN"/>
        </w:rPr>
      </w:r>
      <w:r/>
    </w:p>
    <w:p>
      <w:pPr>
        <w:spacing w:line="440" w:lineRule="exact"/>
        <w:rPr>
          <w:rFonts w:ascii="宋体" w:hAnsi="宋体" w:cs="宋体"/>
          <w:szCs w:val="21"/>
          <w:highlight w:val="none"/>
          <w:lang w:val="zh-CN"/>
        </w:rPr>
      </w:pPr>
      <w:r>
        <w:rPr>
          <w:rFonts w:ascii="宋体" w:hAnsi="宋体" w:cs="宋体"/>
          <w:szCs w:val="21"/>
          <w:highlight w:val="none"/>
          <w:lang w:val="zh-CN"/>
        </w:rPr>
      </w:r>
      <w:r/>
    </w:p>
    <w:p>
      <w:pPr>
        <w:spacing w:line="440" w:lineRule="exact"/>
        <w:rPr>
          <w:rFonts w:ascii="宋体" w:hAnsi="宋体" w:cs="宋体"/>
          <w:szCs w:val="21"/>
          <w:highlight w:val="none"/>
          <w:lang w:val="zh-CN"/>
        </w:rPr>
      </w:pPr>
      <w:r>
        <w:rPr>
          <w:rFonts w:ascii="宋体" w:hAnsi="宋体" w:cs="宋体"/>
          <w:szCs w:val="21"/>
          <w:highlight w:val="none"/>
          <w:lang w:val="zh-CN"/>
        </w:rPr>
      </w:r>
      <w:r/>
    </w:p>
    <w:p>
      <w:pPr>
        <w:jc w:val="center"/>
        <w:keepNext/>
        <w:rPr>
          <w:rFonts w:ascii="Times New Roman" w:hAnsi="Times New Roman" w:eastAsia="黑体"/>
          <w:bCs/>
          <w:sz w:val="44"/>
          <w:szCs w:val="28"/>
          <w:highlight w:val="none"/>
        </w:rPr>
        <w:outlineLvl w:val="0"/>
      </w:pPr>
      <w:r/>
      <w:bookmarkStart w:id="181" w:name="_Toc196817274"/>
      <w:r>
        <w:rPr>
          <w:rFonts w:hint="eastAsia" w:ascii="黑体" w:hAnsi="黑体" w:eastAsia="黑体" w:cs="黑体"/>
          <w:b/>
          <w:sz w:val="40"/>
          <w:szCs w:val="18"/>
          <w:highlight w:val="none"/>
        </w:rPr>
        <w:t xml:space="preserve">第三章 合同</w:t>
      </w:r>
      <w:bookmarkEnd w:id="171"/>
      <w:r/>
      <w:bookmarkEnd w:id="172"/>
      <w:r/>
      <w:bookmarkEnd w:id="173"/>
      <w:r/>
      <w:bookmarkEnd w:id="174"/>
      <w:r/>
      <w:bookmarkEnd w:id="175"/>
      <w:r>
        <w:rPr>
          <w:rFonts w:hint="eastAsia" w:ascii="黑体" w:hAnsi="黑体" w:eastAsia="黑体" w:cs="黑体"/>
          <w:b/>
          <w:sz w:val="40"/>
          <w:szCs w:val="18"/>
          <w:highlight w:val="none"/>
        </w:rPr>
        <w:t xml:space="preserve">文本</w:t>
      </w:r>
      <w:bookmarkEnd w:id="181"/>
      <w:r/>
      <w:r/>
    </w:p>
    <w:p>
      <w:pPr>
        <w:pStyle w:val="1388"/>
        <w:spacing w:line="360" w:lineRule="exact"/>
        <w:rPr>
          <w:rFonts w:ascii="宋体" w:hAnsi="宋体"/>
          <w:sz w:val="21"/>
          <w:szCs w:val="22"/>
          <w:highlight w:val="none"/>
        </w:rPr>
      </w:pPr>
      <w:r/>
      <w:bookmarkStart w:id="182" w:name="_Toc513029243"/>
      <w:r/>
      <w:bookmarkStart w:id="183" w:name="_Toc16938559"/>
      <w:r/>
      <w:bookmarkStart w:id="184" w:name="_Toc20823315"/>
      <w:r/>
      <w:r/>
    </w:p>
    <w:p>
      <w:pPr>
        <w:pStyle w:val="1388"/>
        <w:jc w:val="left"/>
        <w:spacing w:line="360" w:lineRule="exact"/>
        <w:rPr>
          <w:rFonts w:ascii="宋体" w:hAnsi="宋体"/>
          <w:bCs/>
          <w:sz w:val="32"/>
          <w:szCs w:val="32"/>
          <w:highlight w:val="none"/>
        </w:rPr>
      </w:pPr>
      <w:r>
        <w:rPr>
          <w:rFonts w:hint="eastAsia" w:ascii="宋体" w:hAnsi="宋体"/>
          <w:bCs/>
          <w:sz w:val="32"/>
          <w:szCs w:val="32"/>
          <w:highlight w:val="none"/>
        </w:rPr>
        <w:t xml:space="preserve">（</w:t>
      </w:r>
      <w:r>
        <w:rPr>
          <w:rFonts w:ascii="宋体" w:hAnsi="宋体"/>
          <w:bCs/>
          <w:sz w:val="32"/>
          <w:szCs w:val="32"/>
          <w:highlight w:val="none"/>
        </w:rPr>
        <w:t xml:space="preserve">GF—2017—0201</w:t>
      </w:r>
      <w:r>
        <w:rPr>
          <w:rFonts w:hint="eastAsia" w:ascii="宋体" w:hAnsi="宋体"/>
          <w:bCs/>
          <w:sz w:val="32"/>
          <w:szCs w:val="32"/>
          <w:highlight w:val="none"/>
        </w:rPr>
        <w:t xml:space="preserve">）</w:t>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rPr>
          <w:rFonts w:ascii="宋体" w:hAnsi="宋体"/>
          <w:b/>
          <w:sz w:val="52"/>
          <w:szCs w:val="52"/>
          <w:highlight w:val="none"/>
        </w:rPr>
      </w:pPr>
      <w:r>
        <w:rPr>
          <w:rFonts w:hint="eastAsia" w:ascii="宋体" w:hAnsi="宋体"/>
          <w:b/>
          <w:sz w:val="72"/>
          <w:szCs w:val="52"/>
          <w:highlight w:val="none"/>
        </w:rPr>
        <w:t xml:space="preserve">建设工程施工合同</w:t>
      </w:r>
      <w:r>
        <w:rPr>
          <w:rFonts w:ascii="宋体" w:hAnsi="宋体"/>
          <w:b/>
          <w:sz w:val="52"/>
          <w:szCs w:val="52"/>
          <w:highlight w:val="none"/>
        </w:rPr>
        <w:br/>
      </w:r>
      <w:r>
        <w:rPr>
          <w:rFonts w:hint="eastAsia" w:ascii="宋体" w:hAnsi="宋体"/>
          <w:b/>
          <w:sz w:val="52"/>
          <w:szCs w:val="52"/>
          <w:highlight w:val="none"/>
        </w:rPr>
        <w:t xml:space="preserve">（示范文本）</w:t>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left"/>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p>
      <w:pPr>
        <w:pStyle w:val="1388"/>
        <w:jc w:val="center"/>
        <w:spacing w:line="360" w:lineRule="auto"/>
        <w:rPr>
          <w:rFonts w:ascii="宋体" w:hAnsi="宋体"/>
          <w:b/>
          <w:sz w:val="24"/>
          <w:szCs w:val="24"/>
          <w:highlight w:val="none"/>
        </w:rPr>
      </w:pPr>
      <w:r>
        <w:rPr>
          <w:rFonts w:ascii="宋体" w:hAnsi="宋体"/>
          <w:b/>
          <w:sz w:val="24"/>
          <w:szCs w:val="24"/>
          <w:highlight w:val="none"/>
        </w:rPr>
      </w:r>
      <w:r/>
    </w:p>
    <w:tbl>
      <w:tblPr>
        <w:tblStyle w:val="682"/>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shd w:val="clear" w:color="auto" w:fill="auto"/>
            <w:tcW w:w="3518" w:type="dxa"/>
            <w:textDirection w:val="lrTb"/>
            <w:noWrap w:val="false"/>
          </w:tcPr>
          <w:p>
            <w:pPr>
              <w:pStyle w:val="1388"/>
              <w:rPr>
                <w:rFonts w:ascii="宋体" w:hAnsi="宋体"/>
                <w:b/>
                <w:sz w:val="32"/>
                <w:szCs w:val="32"/>
                <w:highlight w:val="none"/>
              </w:rPr>
            </w:pPr>
            <w:r>
              <w:rPr>
                <w:rFonts w:hint="eastAsia" w:ascii="宋体" w:hAnsi="宋体"/>
                <w:b/>
                <w:sz w:val="32"/>
                <w:szCs w:val="32"/>
                <w:highlight w:val="none"/>
              </w:rPr>
              <w:t xml:space="preserve">住 房 城 乡 建 设 部</w:t>
            </w:r>
            <w:r/>
          </w:p>
        </w:tc>
        <w:tc>
          <w:tcPr>
            <w:shd w:val="clear" w:color="auto" w:fill="auto"/>
            <w:tcW w:w="1276" w:type="dxa"/>
            <w:vAlign w:val="center"/>
            <w:vMerge w:val="restart"/>
            <w:textDirection w:val="lrTb"/>
            <w:noWrap w:val="false"/>
          </w:tcPr>
          <w:p>
            <w:pPr>
              <w:pStyle w:val="1388"/>
              <w:jc w:val="center"/>
              <w:rPr>
                <w:rFonts w:ascii="宋体" w:hAnsi="宋体"/>
                <w:b/>
                <w:sz w:val="32"/>
                <w:szCs w:val="32"/>
                <w:highlight w:val="none"/>
              </w:rPr>
            </w:pPr>
            <w:r>
              <w:rPr>
                <w:rFonts w:hint="eastAsia" w:ascii="宋体" w:hAnsi="宋体"/>
                <w:b/>
                <w:sz w:val="32"/>
                <w:szCs w:val="32"/>
                <w:highlight w:val="none"/>
              </w:rPr>
              <w:t xml:space="preserve">制定</w:t>
            </w:r>
            <w:r/>
          </w:p>
        </w:tc>
      </w:tr>
      <w:tr>
        <w:trPr>
          <w:jc w:val="center"/>
        </w:trPr>
        <w:tc>
          <w:tcPr>
            <w:shd w:val="clear" w:color="auto" w:fill="auto"/>
            <w:tcW w:w="3518" w:type="dxa"/>
            <w:textDirection w:val="lrTb"/>
            <w:noWrap w:val="false"/>
          </w:tcPr>
          <w:p>
            <w:pPr>
              <w:pStyle w:val="1388"/>
              <w:rPr>
                <w:rFonts w:ascii="宋体" w:hAnsi="宋体"/>
                <w:b/>
                <w:sz w:val="32"/>
                <w:szCs w:val="32"/>
                <w:highlight w:val="none"/>
              </w:rPr>
            </w:pPr>
            <w:r>
              <w:rPr>
                <w:rFonts w:hint="eastAsia" w:ascii="宋体" w:hAnsi="宋体"/>
                <w:b/>
                <w:sz w:val="32"/>
                <w:szCs w:val="32"/>
                <w:highlight w:val="none"/>
              </w:rPr>
              <w:t xml:space="preserve">国家工商行政管理总局</w:t>
            </w:r>
            <w:r/>
          </w:p>
        </w:tc>
        <w:tc>
          <w:tcPr>
            <w:shd w:val="clear" w:color="auto" w:fill="auto"/>
            <w:tcW w:w="1276" w:type="dxa"/>
            <w:vMerge w:val="continue"/>
            <w:textDirection w:val="lrTb"/>
            <w:noWrap w:val="false"/>
          </w:tcPr>
          <w:p>
            <w:pPr>
              <w:pStyle w:val="1388"/>
              <w:rPr>
                <w:rFonts w:ascii="宋体" w:hAnsi="宋体"/>
                <w:b/>
                <w:sz w:val="32"/>
                <w:szCs w:val="32"/>
                <w:highlight w:val="none"/>
              </w:rPr>
            </w:pPr>
            <w:r>
              <w:rPr>
                <w:rFonts w:ascii="宋体" w:hAnsi="宋体"/>
                <w:b/>
                <w:sz w:val="32"/>
                <w:szCs w:val="32"/>
                <w:highlight w:val="none"/>
              </w:rPr>
            </w:r>
            <w:r/>
          </w:p>
        </w:tc>
      </w:tr>
    </w:tbl>
    <w:p>
      <w:pPr>
        <w:pStyle w:val="1388"/>
        <w:jc w:val="center"/>
        <w:spacing w:line="360" w:lineRule="auto"/>
        <w:rPr>
          <w:rFonts w:ascii="宋体" w:hAnsi="宋体"/>
          <w:b/>
          <w:sz w:val="21"/>
          <w:szCs w:val="22"/>
          <w:highlight w:val="none"/>
        </w:rPr>
      </w:pPr>
      <w:r>
        <w:rPr>
          <w:rFonts w:ascii="宋体" w:hAnsi="宋体"/>
          <w:b/>
          <w:sz w:val="21"/>
          <w:szCs w:val="22"/>
          <w:highlight w:val="none"/>
        </w:rPr>
      </w:r>
      <w:r/>
    </w:p>
    <w:p>
      <w:pPr>
        <w:pStyle w:val="1388"/>
        <w:jc w:val="center"/>
        <w:spacing w:line="360" w:lineRule="auto"/>
        <w:rPr>
          <w:rFonts w:ascii="宋体" w:hAnsi="宋体"/>
          <w:b/>
          <w:sz w:val="21"/>
          <w:szCs w:val="22"/>
          <w:highlight w:val="none"/>
        </w:rPr>
      </w:pPr>
      <w:r>
        <w:rPr>
          <w:rFonts w:ascii="宋体" w:hAnsi="宋体"/>
          <w:b/>
          <w:sz w:val="21"/>
          <w:szCs w:val="22"/>
          <w:highlight w:val="none"/>
        </w:rPr>
      </w:r>
      <w:r/>
    </w:p>
    <w:p>
      <w:pPr>
        <w:pStyle w:val="1388"/>
        <w:jc w:val="center"/>
        <w:spacing w:line="360" w:lineRule="auto"/>
        <w:rPr>
          <w:rFonts w:ascii="宋体" w:hAnsi="宋体"/>
          <w:b/>
          <w:sz w:val="21"/>
          <w:szCs w:val="22"/>
          <w:highlight w:val="none"/>
        </w:rPr>
      </w:pPr>
      <w:r>
        <w:rPr>
          <w:rFonts w:ascii="宋体" w:hAnsi="宋体"/>
          <w:b/>
          <w:sz w:val="21"/>
          <w:szCs w:val="22"/>
          <w:highlight w:val="none"/>
        </w:rPr>
      </w:r>
      <w:r/>
    </w:p>
    <w:p>
      <w:pPr>
        <w:pStyle w:val="1388"/>
        <w:jc w:val="center"/>
        <w:spacing w:line="360" w:lineRule="auto"/>
        <w:rPr>
          <w:rFonts w:ascii="宋体" w:hAnsi="宋体"/>
          <w:b/>
          <w:bCs/>
          <w:sz w:val="21"/>
          <w:szCs w:val="21"/>
          <w:highlight w:val="none"/>
        </w:rPr>
      </w:pPr>
      <w:r>
        <w:rPr>
          <w:rFonts w:ascii="宋体" w:hAnsi="宋体"/>
          <w:b/>
          <w:sz w:val="21"/>
          <w:szCs w:val="22"/>
          <w:highlight w:val="none"/>
        </w:rPr>
      </w:r>
      <w:r>
        <w:rPr>
          <w:rFonts w:ascii="宋体" w:hAnsi="宋体"/>
          <w:b/>
          <w:sz w:val="21"/>
          <w:szCs w:val="22"/>
          <w:highlight w:val="none"/>
        </w:rPr>
      </w:r>
      <w:r/>
    </w:p>
    <w:p>
      <w:pPr>
        <w:pStyle w:val="1388"/>
        <w:jc w:val="center"/>
        <w:spacing w:line="360" w:lineRule="auto"/>
        <w:rPr>
          <w:rFonts w:ascii="宋体" w:hAnsi="宋体"/>
          <w:b/>
          <w:bCs/>
          <w:sz w:val="21"/>
          <w:szCs w:val="21"/>
          <w:highlight w:val="none"/>
        </w:rPr>
      </w:pPr>
      <w:r>
        <w:rPr>
          <w:rFonts w:ascii="宋体" w:hAnsi="宋体"/>
          <w:b/>
          <w:bCs/>
          <w:sz w:val="21"/>
          <w:szCs w:val="21"/>
          <w:highlight w:val="none"/>
        </w:rPr>
      </w:r>
      <w:r>
        <w:rPr>
          <w:rFonts w:ascii="宋体" w:hAnsi="宋体"/>
          <w:b/>
          <w:bCs/>
          <w:sz w:val="21"/>
          <w:szCs w:val="21"/>
          <w:highlight w:val="none"/>
        </w:rPr>
      </w:r>
      <w:r/>
    </w:p>
    <w:p>
      <w:pPr>
        <w:pStyle w:val="1388"/>
        <w:jc w:val="center"/>
        <w:spacing w:line="360" w:lineRule="auto"/>
        <w:rPr>
          <w:rFonts w:ascii="宋体" w:hAnsi="宋体"/>
          <w:b/>
          <w:bCs/>
          <w:sz w:val="21"/>
          <w:szCs w:val="21"/>
          <w:highlight w:val="none"/>
        </w:rPr>
      </w:pPr>
      <w:r>
        <w:rPr>
          <w:rFonts w:ascii="宋体" w:hAnsi="宋体"/>
          <w:b/>
          <w:bCs/>
          <w:sz w:val="21"/>
          <w:szCs w:val="21"/>
          <w:highlight w:val="none"/>
        </w:rPr>
      </w:r>
      <w:r>
        <w:rPr>
          <w:rFonts w:ascii="宋体" w:hAnsi="宋体"/>
          <w:b/>
          <w:bCs/>
          <w:sz w:val="21"/>
          <w:szCs w:val="21"/>
          <w:highlight w:val="none"/>
        </w:rPr>
      </w:r>
      <w:r/>
    </w:p>
    <w:p>
      <w:pPr>
        <w:pStyle w:val="1388"/>
        <w:jc w:val="center"/>
        <w:spacing w:line="360" w:lineRule="auto"/>
        <w:rPr>
          <w:rFonts w:ascii="宋体" w:hAnsi="宋体"/>
          <w:b/>
          <w:bCs/>
          <w:sz w:val="21"/>
          <w:szCs w:val="21"/>
          <w:highlight w:val="none"/>
        </w:rPr>
      </w:pPr>
      <w:r>
        <w:rPr>
          <w:rFonts w:ascii="宋体" w:hAnsi="宋体"/>
          <w:b/>
          <w:sz w:val="21"/>
          <w:szCs w:val="22"/>
          <w:highlight w:val="none"/>
        </w:rPr>
      </w:r>
      <w:r/>
    </w:p>
    <w:p>
      <w:pPr>
        <w:pStyle w:val="1388"/>
        <w:jc w:val="center"/>
        <w:spacing w:line="360" w:lineRule="auto"/>
        <w:rPr>
          <w:rFonts w:ascii="宋体" w:hAnsi="宋体"/>
          <w:b/>
          <w:sz w:val="21"/>
          <w:szCs w:val="22"/>
          <w:highlight w:val="none"/>
        </w:rPr>
      </w:pPr>
      <w:r>
        <w:rPr>
          <w:rFonts w:ascii="宋体" w:hAnsi="宋体"/>
          <w:b/>
          <w:sz w:val="21"/>
          <w:szCs w:val="22"/>
          <w:highlight w:val="none"/>
        </w:rPr>
      </w:r>
      <w:r/>
    </w:p>
    <w:p>
      <w:pPr>
        <w:pStyle w:val="1388"/>
        <w:jc w:val="center"/>
        <w:spacing w:line="360" w:lineRule="auto"/>
        <w:rPr>
          <w:rFonts w:ascii="宋体" w:hAnsi="宋体"/>
          <w:b/>
          <w:sz w:val="32"/>
          <w:szCs w:val="22"/>
          <w:highlight w:val="none"/>
        </w:rPr>
      </w:pPr>
      <w:r/>
      <w:bookmarkStart w:id="185" w:name="_Toc296890982"/>
      <w:r/>
      <w:bookmarkStart w:id="186" w:name="_Toc256000052"/>
      <w:r/>
      <w:bookmarkStart w:id="187" w:name="_Toc256000055"/>
      <w:r/>
      <w:bookmarkStart w:id="188" w:name="_Toc296503025"/>
      <w:r/>
      <w:bookmarkStart w:id="189" w:name="_Toc351203480"/>
      <w:r>
        <w:rPr>
          <w:rFonts w:hint="eastAsia" w:ascii="宋体" w:hAnsi="宋体"/>
          <w:b/>
          <w:sz w:val="32"/>
          <w:szCs w:val="22"/>
          <w:highlight w:val="none"/>
        </w:rPr>
        <w:t xml:space="preserve">第一部分 合同协议书</w:t>
      </w:r>
      <w:bookmarkEnd w:id="185"/>
      <w:r/>
      <w:bookmarkEnd w:id="186"/>
      <w:r/>
      <w:bookmarkEnd w:id="187"/>
      <w:r/>
      <w:bookmarkEnd w:id="188"/>
      <w:r/>
      <w:bookmarkEnd w:id="189"/>
      <w:r/>
      <w:r/>
    </w:p>
    <w:p>
      <w:pPr>
        <w:pStyle w:val="1388"/>
        <w:ind w:firstLine="422"/>
        <w:spacing w:line="360" w:lineRule="auto"/>
        <w:rPr>
          <w:rFonts w:hint="default" w:ascii="宋体" w:hAnsi="宋体" w:eastAsia="宋体"/>
          <w:b/>
          <w:sz w:val="21"/>
          <w:szCs w:val="22"/>
          <w:highlight w:val="none"/>
          <w:u w:val="single"/>
          <w:lang w:val="en-US" w:eastAsia="zh-CN"/>
        </w:rPr>
      </w:pPr>
      <w:r>
        <w:rPr>
          <w:rFonts w:hint="eastAsia" w:ascii="宋体" w:hAnsi="宋体"/>
          <w:b/>
          <w:sz w:val="21"/>
          <w:szCs w:val="22"/>
          <w:highlight w:val="none"/>
        </w:rPr>
        <w:t xml:space="preserve">发包人（全称）：</w:t>
      </w:r>
      <w:r>
        <w:rPr>
          <w:rFonts w:hint="eastAsia" w:ascii="宋体" w:hAnsi="宋体"/>
          <w:b/>
          <w:sz w:val="21"/>
          <w:szCs w:val="22"/>
          <w:highlight w:val="none"/>
          <w:u w:val="single"/>
        </w:rPr>
        <w:t xml:space="preserve">                            </w:t>
      </w:r>
      <w:r/>
    </w:p>
    <w:p>
      <w:pPr>
        <w:pStyle w:val="1388"/>
        <w:ind w:firstLine="422"/>
        <w:spacing w:line="360" w:lineRule="auto"/>
        <w:rPr>
          <w:rFonts w:ascii="宋体" w:hAnsi="宋体"/>
          <w:sz w:val="21"/>
          <w:szCs w:val="22"/>
          <w:highlight w:val="none"/>
          <w:u w:val="single"/>
        </w:rPr>
      </w:pPr>
      <w:r>
        <w:rPr>
          <w:rFonts w:hint="eastAsia" w:ascii="宋体" w:hAnsi="宋体"/>
          <w:b/>
          <w:sz w:val="21"/>
          <w:szCs w:val="22"/>
          <w:highlight w:val="none"/>
        </w:rPr>
        <w:t xml:space="preserve">承包人（全称）：</w:t>
      </w:r>
      <w:r>
        <w:rPr>
          <w:rFonts w:hint="eastAsia" w:ascii="宋体" w:hAnsi="宋体"/>
          <w:b/>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根据《中华人民共和国民法典》、《中华人民共和国建筑法》及有关法律规定，遵循平等、自愿、公平和诚实信用的原则，双方就</w:t>
      </w:r>
      <w:r>
        <w:rPr>
          <w:rFonts w:hint="eastAsia" w:ascii="宋体" w:hAnsi="宋体"/>
          <w:sz w:val="21"/>
          <w:szCs w:val="22"/>
          <w:highlight w:val="none"/>
          <w:u w:val="single"/>
        </w:rPr>
        <w:t xml:space="preserve"> </w:t>
      </w:r>
      <w:r>
        <w:rPr>
          <w:rFonts w:hint="eastAsia" w:ascii="宋体" w:hAnsi="宋体"/>
          <w:b/>
          <w:sz w:val="21"/>
          <w:szCs w:val="22"/>
          <w:highlight w:val="none"/>
          <w:u w:val="single"/>
        </w:rPr>
        <w:t xml:space="preserve">                            </w:t>
      </w:r>
      <w:r>
        <w:rPr>
          <w:rFonts w:hint="eastAsia" w:ascii="宋体" w:hAnsi="宋体"/>
          <w:sz w:val="21"/>
          <w:szCs w:val="22"/>
          <w:highlight w:val="none"/>
          <w:u w:val="single"/>
        </w:rPr>
        <w:t xml:space="preserve"> </w:t>
      </w:r>
      <w:r>
        <w:rPr>
          <w:rFonts w:hint="eastAsia" w:ascii="宋体" w:hAnsi="宋体"/>
          <w:sz w:val="21"/>
          <w:szCs w:val="22"/>
          <w:highlight w:val="none"/>
        </w:rPr>
        <w:t xml:space="preserve">施工及有关事项协商一致，共同达成如下协议：</w:t>
      </w:r>
      <w:r/>
    </w:p>
    <w:p>
      <w:pPr>
        <w:pStyle w:val="1388"/>
        <w:ind w:firstLine="422"/>
        <w:spacing w:line="360" w:lineRule="auto"/>
        <w:rPr>
          <w:rFonts w:ascii="宋体" w:hAnsi="宋体"/>
          <w:b/>
          <w:sz w:val="21"/>
          <w:szCs w:val="22"/>
          <w:highlight w:val="none"/>
        </w:rPr>
      </w:pPr>
      <w:r/>
      <w:bookmarkStart w:id="190" w:name="_Toc351203481"/>
      <w:r>
        <w:rPr>
          <w:rFonts w:hint="eastAsia" w:ascii="宋体" w:hAnsi="宋体"/>
          <w:b/>
          <w:sz w:val="21"/>
          <w:szCs w:val="22"/>
          <w:highlight w:val="none"/>
        </w:rPr>
        <w:t xml:space="preserve">一、 工程概况</w:t>
      </w:r>
      <w:bookmarkEnd w:id="190"/>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1.</w:t>
      </w:r>
      <w:r>
        <w:rPr>
          <w:rFonts w:hint="eastAsia" w:ascii="宋体" w:hAnsi="宋体"/>
          <w:sz w:val="21"/>
          <w:szCs w:val="22"/>
          <w:highlight w:val="none"/>
        </w:rPr>
        <w:t xml:space="preserve">工程名称：</w:t>
      </w:r>
      <w:r>
        <w:rPr>
          <w:rFonts w:hint="eastAsia" w:ascii="宋体" w:hAnsi="宋体"/>
          <w:b/>
          <w:sz w:val="21"/>
          <w:szCs w:val="22"/>
          <w:highlight w:val="none"/>
          <w:u w:val="single"/>
        </w:rPr>
        <w:t xml:space="preserve">                            </w:t>
      </w:r>
      <w:r>
        <w:rPr>
          <w:rFonts w:hint="eastAsia" w:ascii="宋体" w:hAnsi="宋体"/>
          <w:sz w:val="21"/>
          <w:szCs w:val="22"/>
          <w:highlight w:val="none"/>
        </w:rPr>
        <w:t xml:space="preserve">；</w:t>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2.</w:t>
      </w:r>
      <w:r>
        <w:rPr>
          <w:rFonts w:hint="eastAsia" w:ascii="宋体" w:hAnsi="宋体"/>
          <w:sz w:val="21"/>
          <w:szCs w:val="22"/>
          <w:highlight w:val="none"/>
        </w:rPr>
        <w:t xml:space="preserve">工程地点：</w:t>
      </w:r>
      <w:r>
        <w:rPr>
          <w:rFonts w:hint="eastAsia" w:ascii="宋体" w:hAnsi="宋体"/>
          <w:b/>
          <w:sz w:val="21"/>
          <w:szCs w:val="22"/>
          <w:highlight w:val="none"/>
          <w:u w:val="single"/>
        </w:rPr>
        <w:t xml:space="preserve">                            </w:t>
      </w:r>
      <w:r>
        <w:rPr>
          <w:rFonts w:hint="eastAsia" w:ascii="宋体" w:hAnsi="宋体"/>
          <w:sz w:val="21"/>
          <w:szCs w:val="22"/>
          <w:highlight w:val="none"/>
        </w:rPr>
        <w:t xml:space="preserve">；</w:t>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3.</w:t>
      </w:r>
      <w:r>
        <w:rPr>
          <w:rFonts w:hint="eastAsia" w:ascii="宋体" w:hAnsi="宋体"/>
          <w:sz w:val="21"/>
          <w:szCs w:val="22"/>
          <w:highlight w:val="none"/>
        </w:rPr>
        <w:t xml:space="preserve">工程立项批准文号：</w:t>
      </w:r>
      <w:r>
        <w:rPr>
          <w:rFonts w:hint="eastAsia" w:ascii="宋体" w:hAnsi="宋体"/>
          <w:sz w:val="21"/>
          <w:szCs w:val="22"/>
          <w:highlight w:val="none"/>
          <w:u w:val="single"/>
        </w:rPr>
        <w:t xml:space="preserve">    </w:t>
      </w:r>
      <w:r>
        <w:rPr>
          <w:rFonts w:hint="eastAsia" w:ascii="宋体" w:hAnsi="宋体"/>
          <w:b/>
          <w:sz w:val="21"/>
          <w:szCs w:val="22"/>
          <w:highlight w:val="none"/>
          <w:u w:val="single"/>
        </w:rPr>
        <w:t xml:space="preserve">            </w:t>
      </w:r>
      <w:r>
        <w:rPr>
          <w:rFonts w:hint="eastAsia" w:ascii="宋体" w:hAnsi="宋体"/>
          <w:sz w:val="21"/>
          <w:szCs w:val="22"/>
          <w:highlight w:val="none"/>
          <w:u w:val="single"/>
        </w:rPr>
        <w:t xml:space="preserve">    </w:t>
      </w:r>
      <w:r>
        <w:rPr>
          <w:rFonts w:hint="eastAsia" w:ascii="宋体" w:hAnsi="宋体"/>
          <w:sz w:val="21"/>
          <w:szCs w:val="22"/>
          <w:highlight w:val="none"/>
        </w:rPr>
        <w:t xml:space="preserve">；</w:t>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4.</w:t>
      </w:r>
      <w:r>
        <w:rPr>
          <w:rFonts w:hint="eastAsia" w:ascii="宋体" w:hAnsi="宋体"/>
          <w:sz w:val="21"/>
          <w:szCs w:val="22"/>
          <w:highlight w:val="none"/>
        </w:rPr>
        <w:t xml:space="preserve">资金来源：</w:t>
      </w:r>
      <w:r>
        <w:rPr>
          <w:rFonts w:hint="eastAsia" w:ascii="宋体" w:hAnsi="宋体"/>
          <w:b/>
          <w:sz w:val="21"/>
          <w:szCs w:val="22"/>
          <w:highlight w:val="none"/>
          <w:u w:val="single"/>
        </w:rPr>
        <w:t xml:space="preserve">                            </w:t>
      </w:r>
      <w:r>
        <w:rPr>
          <w:rFonts w:hint="eastAsia" w:ascii="宋体" w:hAnsi="宋体"/>
          <w:sz w:val="21"/>
          <w:szCs w:val="22"/>
          <w:highlight w:val="none"/>
        </w:rPr>
        <w:t xml:space="preserve">；</w:t>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5.</w:t>
      </w:r>
      <w:r>
        <w:rPr>
          <w:rFonts w:hint="eastAsia" w:ascii="宋体" w:hAnsi="宋体"/>
          <w:sz w:val="21"/>
          <w:szCs w:val="22"/>
          <w:highlight w:val="none"/>
        </w:rPr>
        <w:t xml:space="preserve">工程内容：</w:t>
      </w:r>
      <w:r>
        <w:rPr>
          <w:rFonts w:hint="eastAsia" w:ascii="宋体" w:hAnsi="宋体"/>
          <w:b/>
          <w:sz w:val="21"/>
          <w:szCs w:val="22"/>
          <w:highlight w:val="none"/>
          <w:u w:val="single"/>
        </w:rPr>
        <w:t xml:space="preserve">                            </w:t>
      </w:r>
      <w:r>
        <w:rPr>
          <w:rFonts w:hint="eastAsia" w:ascii="宋体" w:hAnsi="宋体"/>
          <w:sz w:val="21"/>
          <w:szCs w:val="22"/>
          <w:highlight w:val="none"/>
        </w:rPr>
        <w:t xml:space="preserve">；</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群体工程应附《承包人承揽工程项目一览表》（附件</w:t>
      </w:r>
      <w:r>
        <w:rPr>
          <w:rFonts w:ascii="宋体" w:hAnsi="宋体"/>
          <w:sz w:val="21"/>
          <w:szCs w:val="22"/>
          <w:highlight w:val="none"/>
        </w:rPr>
        <w:t xml:space="preserve">1</w:t>
      </w:r>
      <w:r>
        <w:rPr>
          <w:rFonts w:hint="eastAsia" w:ascii="宋体" w:hAnsi="宋体"/>
          <w:sz w:val="21"/>
          <w:szCs w:val="22"/>
          <w:highlight w:val="none"/>
        </w:rPr>
        <w:t xml:space="preserve">）。</w:t>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6.</w:t>
      </w:r>
      <w:r>
        <w:rPr>
          <w:rFonts w:hint="eastAsia" w:ascii="宋体" w:hAnsi="宋体"/>
          <w:sz w:val="21"/>
          <w:szCs w:val="22"/>
          <w:highlight w:val="none"/>
        </w:rPr>
        <w:t xml:space="preserve">工程承包范围：</w:t>
      </w:r>
      <w:r>
        <w:rPr>
          <w:rFonts w:hint="eastAsia" w:ascii="宋体" w:hAnsi="宋体"/>
          <w:sz w:val="21"/>
          <w:szCs w:val="22"/>
          <w:highlight w:val="none"/>
          <w:u w:val="single"/>
          <w:lang w:eastAsia="zh-CN"/>
        </w:rPr>
        <w:t xml:space="preserve">湖滨新区晓店学校运动场改造工程</w:t>
      </w:r>
      <w:r>
        <w:rPr>
          <w:rFonts w:hint="eastAsia" w:ascii="宋体" w:hAnsi="宋体"/>
          <w:sz w:val="21"/>
          <w:szCs w:val="22"/>
          <w:highlight w:val="none"/>
          <w:u w:val="single"/>
        </w:rPr>
        <w:t xml:space="preserve">施工，详见工程量清单所有内容</w:t>
      </w:r>
      <w:r>
        <w:rPr>
          <w:rFonts w:hint="eastAsia" w:ascii="宋体" w:hAnsi="宋体"/>
          <w:sz w:val="21"/>
          <w:szCs w:val="22"/>
          <w:highlight w:val="none"/>
        </w:rPr>
        <w:t xml:space="preserve">。</w:t>
      </w:r>
      <w:r/>
    </w:p>
    <w:p>
      <w:pPr>
        <w:pStyle w:val="1388"/>
        <w:ind w:firstLine="422"/>
        <w:spacing w:line="360" w:lineRule="auto"/>
        <w:rPr>
          <w:rFonts w:ascii="宋体" w:hAnsi="宋体"/>
          <w:b/>
          <w:sz w:val="21"/>
          <w:szCs w:val="21"/>
          <w:highlight w:val="none"/>
        </w:rPr>
      </w:pPr>
      <w:r/>
      <w:bookmarkStart w:id="191" w:name="_Toc351203482"/>
      <w:r>
        <w:rPr>
          <w:rFonts w:hint="eastAsia" w:ascii="宋体" w:hAnsi="宋体"/>
          <w:b/>
          <w:sz w:val="21"/>
          <w:szCs w:val="22"/>
          <w:highlight w:val="none"/>
        </w:rPr>
        <w:t xml:space="preserve">二、合同工期</w:t>
      </w:r>
      <w:bookmarkEnd w:id="191"/>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计划开工日期：</w:t>
      </w:r>
      <w:r>
        <w:rPr>
          <w:rFonts w:hint="eastAsia" w:ascii="宋体" w:hAnsi="宋体"/>
          <w:sz w:val="21"/>
          <w:szCs w:val="22"/>
          <w:highlight w:val="none"/>
          <w:u w:val="single"/>
        </w:rPr>
        <w:t xml:space="preserve">           </w:t>
      </w:r>
      <w:r>
        <w:rPr>
          <w:rFonts w:hint="eastAsia" w:ascii="宋体" w:hAnsi="宋体"/>
          <w:sz w:val="21"/>
          <w:szCs w:val="22"/>
          <w:highlight w:val="none"/>
        </w:rPr>
        <w:t xml:space="preserve">年</w:t>
      </w:r>
      <w:r>
        <w:rPr>
          <w:rFonts w:hint="eastAsia" w:ascii="宋体" w:hAnsi="宋体"/>
          <w:sz w:val="21"/>
          <w:szCs w:val="22"/>
          <w:highlight w:val="none"/>
          <w:u w:val="single"/>
        </w:rPr>
        <w:t xml:space="preserve">           </w:t>
      </w:r>
      <w:r>
        <w:rPr>
          <w:rFonts w:hint="eastAsia" w:ascii="宋体" w:hAnsi="宋体"/>
          <w:sz w:val="21"/>
          <w:szCs w:val="22"/>
          <w:highlight w:val="none"/>
        </w:rPr>
        <w:t xml:space="preserve">月</w:t>
      </w:r>
      <w:r>
        <w:rPr>
          <w:rFonts w:hint="eastAsia" w:ascii="宋体" w:hAnsi="宋体"/>
          <w:sz w:val="21"/>
          <w:szCs w:val="22"/>
          <w:highlight w:val="none"/>
          <w:u w:val="single"/>
        </w:rPr>
        <w:t xml:space="preserve">           </w:t>
      </w:r>
      <w:r>
        <w:rPr>
          <w:rFonts w:hint="eastAsia" w:ascii="宋体" w:hAnsi="宋体"/>
          <w:sz w:val="21"/>
          <w:szCs w:val="22"/>
          <w:highlight w:val="none"/>
        </w:rPr>
        <w:t xml:space="preserve">日。</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计划竣工日期：</w:t>
      </w:r>
      <w:r>
        <w:rPr>
          <w:rFonts w:hint="eastAsia" w:ascii="宋体" w:hAnsi="宋体"/>
          <w:sz w:val="21"/>
          <w:szCs w:val="22"/>
          <w:highlight w:val="none"/>
          <w:u w:val="single"/>
        </w:rPr>
        <w:t xml:space="preserve">           </w:t>
      </w:r>
      <w:r>
        <w:rPr>
          <w:rFonts w:hint="eastAsia" w:ascii="宋体" w:hAnsi="宋体"/>
          <w:sz w:val="21"/>
          <w:szCs w:val="22"/>
          <w:highlight w:val="none"/>
        </w:rPr>
        <w:t xml:space="preserve">年</w:t>
      </w:r>
      <w:r>
        <w:rPr>
          <w:rFonts w:hint="eastAsia" w:ascii="宋体" w:hAnsi="宋体"/>
          <w:sz w:val="21"/>
          <w:szCs w:val="22"/>
          <w:highlight w:val="none"/>
          <w:u w:val="single"/>
        </w:rPr>
        <w:t xml:space="preserve">           </w:t>
      </w:r>
      <w:r>
        <w:rPr>
          <w:rFonts w:hint="eastAsia" w:ascii="宋体" w:hAnsi="宋体"/>
          <w:sz w:val="21"/>
          <w:szCs w:val="22"/>
          <w:highlight w:val="none"/>
        </w:rPr>
        <w:t xml:space="preserve">月</w:t>
      </w:r>
      <w:r>
        <w:rPr>
          <w:rFonts w:hint="eastAsia" w:ascii="宋体" w:hAnsi="宋体"/>
          <w:sz w:val="21"/>
          <w:szCs w:val="22"/>
          <w:highlight w:val="none"/>
          <w:u w:val="single"/>
        </w:rPr>
        <w:t xml:space="preserve">           </w:t>
      </w:r>
      <w:r>
        <w:rPr>
          <w:rFonts w:hint="eastAsia" w:ascii="宋体" w:hAnsi="宋体"/>
          <w:sz w:val="21"/>
          <w:szCs w:val="22"/>
          <w:highlight w:val="none"/>
        </w:rPr>
        <w:t xml:space="preserve">日。</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工期总日历天数：</w:t>
      </w:r>
      <w:r>
        <w:rPr>
          <w:rFonts w:hint="eastAsia" w:ascii="宋体" w:hAnsi="宋体"/>
          <w:sz w:val="21"/>
          <w:szCs w:val="22"/>
          <w:highlight w:val="none"/>
          <w:u w:val="single"/>
        </w:rPr>
        <w:t xml:space="preserve">       </w:t>
      </w:r>
      <w:r>
        <w:rPr>
          <w:rFonts w:hint="eastAsia" w:ascii="宋体" w:hAnsi="宋体"/>
          <w:sz w:val="21"/>
          <w:szCs w:val="22"/>
          <w:highlight w:val="none"/>
        </w:rPr>
        <w:t xml:space="preserve">天。工期总日历天数与根据前述计划开竣工日期计算的工期天数不一致的，以工期总日历天数为准。</w:t>
      </w:r>
      <w:bookmarkStart w:id="192" w:name="_Toc351203483"/>
      <w:r/>
      <w:r/>
    </w:p>
    <w:p>
      <w:pPr>
        <w:pStyle w:val="1388"/>
        <w:ind w:firstLine="422"/>
        <w:spacing w:line="360" w:lineRule="auto"/>
        <w:rPr>
          <w:rFonts w:ascii="宋体" w:hAnsi="宋体"/>
          <w:sz w:val="21"/>
          <w:szCs w:val="21"/>
          <w:highlight w:val="none"/>
        </w:rPr>
      </w:pPr>
      <w:r>
        <w:rPr>
          <w:rFonts w:hint="eastAsia" w:ascii="宋体" w:hAnsi="宋体"/>
          <w:b/>
          <w:sz w:val="21"/>
          <w:szCs w:val="22"/>
          <w:highlight w:val="none"/>
        </w:rPr>
        <w:t xml:space="preserve">三、质量标准</w:t>
      </w:r>
      <w:bookmarkEnd w:id="192"/>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工程质量符合</w:t>
      </w:r>
      <w:r>
        <w:rPr>
          <w:rFonts w:hint="eastAsia" w:ascii="宋体" w:hAnsi="宋体"/>
          <w:sz w:val="21"/>
          <w:szCs w:val="22"/>
          <w:highlight w:val="none"/>
          <w:u w:val="single"/>
        </w:rPr>
        <w:t xml:space="preserve">         合格          </w:t>
      </w:r>
      <w:r>
        <w:rPr>
          <w:rFonts w:hint="eastAsia" w:ascii="宋体" w:hAnsi="宋体"/>
          <w:sz w:val="21"/>
          <w:szCs w:val="22"/>
          <w:highlight w:val="none"/>
        </w:rPr>
        <w:t xml:space="preserve">标准。</w:t>
      </w:r>
      <w:r/>
    </w:p>
    <w:p>
      <w:pPr>
        <w:pStyle w:val="1388"/>
        <w:ind w:firstLine="422"/>
        <w:spacing w:line="360" w:lineRule="auto"/>
        <w:rPr>
          <w:rFonts w:ascii="宋体" w:hAnsi="宋体"/>
          <w:b/>
          <w:sz w:val="21"/>
          <w:szCs w:val="22"/>
          <w:highlight w:val="none"/>
        </w:rPr>
      </w:pPr>
      <w:r/>
      <w:bookmarkStart w:id="193" w:name="_Toc351203484"/>
      <w:r>
        <w:rPr>
          <w:rFonts w:hint="eastAsia" w:ascii="宋体" w:hAnsi="宋体"/>
          <w:b/>
          <w:sz w:val="21"/>
          <w:szCs w:val="22"/>
          <w:highlight w:val="none"/>
        </w:rPr>
        <w:t xml:space="preserve">四、签约合同价与合同价格形式</w:t>
      </w:r>
      <w:bookmarkEnd w:id="193"/>
      <w:r>
        <w:rPr>
          <w:rFonts w:ascii="宋体" w:hAnsi="宋体"/>
          <w:b/>
          <w:sz w:val="21"/>
          <w:szCs w:val="22"/>
          <w:highlight w:val="none"/>
        </w:rPr>
        <w:tab/>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签约合同价为：</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人民币（大写）</w:t>
      </w:r>
      <w:r>
        <w:rPr>
          <w:rFonts w:ascii="宋体" w:hAnsi="宋体"/>
          <w:sz w:val="21"/>
          <w:szCs w:val="21"/>
          <w:highlight w:val="none"/>
          <w:u w:val="single"/>
        </w:rPr>
        <w:t xml:space="preserve">                 </w:t>
      </w:r>
      <w:r>
        <w:rPr>
          <w:rFonts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元</w:t>
      </w:r>
      <w:r>
        <w:rPr>
          <w:rFonts w:ascii="宋体" w:hAnsi="宋体"/>
          <w:sz w:val="21"/>
          <w:szCs w:val="21"/>
          <w:highlight w:val="none"/>
        </w:rPr>
        <w:t xml:space="preserve">)</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其中：</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）安全文明施工费：</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人民币（大写）</w:t>
      </w:r>
      <w:r>
        <w:rPr>
          <w:rFonts w:ascii="宋体" w:hAnsi="宋体"/>
          <w:sz w:val="21"/>
          <w:szCs w:val="21"/>
          <w:highlight w:val="none"/>
          <w:u w:val="single"/>
        </w:rPr>
        <w:t xml:space="preserve">              </w:t>
      </w:r>
      <w:r>
        <w:rPr>
          <w:rFonts w:ascii="宋体" w:hAnsi="宋体"/>
          <w:sz w:val="21"/>
          <w:szCs w:val="21"/>
          <w:highlight w:val="non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w:t>
      </w:r>
      <w:r>
        <w:rPr>
          <w:rFonts w:ascii="宋体" w:hAnsi="宋体"/>
          <w:sz w:val="21"/>
          <w:szCs w:val="21"/>
          <w:highlight w:val="none"/>
        </w:rPr>
        <w:t xml:space="preserve">)</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）材料和工程设备暂估价金额：</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人民币（大写）</w:t>
      </w:r>
      <w:r>
        <w:rPr>
          <w:rFonts w:ascii="宋体" w:hAnsi="宋体"/>
          <w:sz w:val="21"/>
          <w:szCs w:val="21"/>
          <w:highlight w:val="none"/>
          <w:u w:val="single"/>
        </w:rPr>
        <w:t xml:space="preserve">              </w:t>
      </w:r>
      <w:r>
        <w:rPr>
          <w:rFonts w:ascii="宋体" w:hAnsi="宋体"/>
          <w:sz w:val="21"/>
          <w:szCs w:val="21"/>
          <w:highlight w:val="non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w:t>
      </w:r>
      <w:r>
        <w:rPr>
          <w:rFonts w:ascii="宋体" w:hAnsi="宋体"/>
          <w:sz w:val="21"/>
          <w:szCs w:val="21"/>
          <w:highlight w:val="none"/>
        </w:rPr>
        <w:t xml:space="preserve">)</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）专业工程暂估价金额：</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人民币（大写）</w:t>
      </w:r>
      <w:r>
        <w:rPr>
          <w:rFonts w:ascii="宋体" w:hAnsi="宋体"/>
          <w:sz w:val="21"/>
          <w:szCs w:val="21"/>
          <w:highlight w:val="none"/>
          <w:u w:val="single"/>
        </w:rPr>
        <w:t xml:space="preserve">              </w:t>
      </w:r>
      <w:r>
        <w:rPr>
          <w:rFonts w:ascii="宋体" w:hAnsi="宋体"/>
          <w:sz w:val="21"/>
          <w:szCs w:val="21"/>
          <w:highlight w:val="non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w:t>
      </w:r>
      <w:r>
        <w:rPr>
          <w:rFonts w:ascii="宋体" w:hAnsi="宋体"/>
          <w:sz w:val="21"/>
          <w:szCs w:val="21"/>
          <w:highlight w:val="none"/>
        </w:rPr>
        <w:t xml:space="preserve">)</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4</w:t>
      </w:r>
      <w:r>
        <w:rPr>
          <w:rFonts w:hint="eastAsia" w:ascii="宋体" w:hAnsi="宋体"/>
          <w:sz w:val="21"/>
          <w:szCs w:val="21"/>
          <w:highlight w:val="none"/>
        </w:rPr>
        <w:t xml:space="preserve">）暂列金额：</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人民币（大写）</w:t>
      </w:r>
      <w:r>
        <w:rPr>
          <w:rFonts w:ascii="宋体" w:hAnsi="宋体"/>
          <w:sz w:val="21"/>
          <w:szCs w:val="21"/>
          <w:highlight w:val="none"/>
          <w:u w:val="single"/>
        </w:rPr>
        <w:t xml:space="preserve">              </w:t>
      </w:r>
      <w:r>
        <w:rPr>
          <w:rFonts w:ascii="宋体" w:hAnsi="宋体"/>
          <w:sz w:val="21"/>
          <w:szCs w:val="21"/>
          <w:highlight w:val="non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w:t>
      </w:r>
      <w:r>
        <w:rPr>
          <w:rFonts w:ascii="宋体" w:hAnsi="宋体"/>
          <w:sz w:val="21"/>
          <w:szCs w:val="21"/>
          <w:highlight w:val="none"/>
        </w:rPr>
        <w:t xml:space="preserve">)</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合同价格形式：</w:t>
      </w:r>
      <w:r>
        <w:rPr>
          <w:rFonts w:ascii="宋体" w:hAnsi="宋体"/>
          <w:sz w:val="21"/>
          <w:szCs w:val="21"/>
          <w:highlight w:val="none"/>
          <w:u w:val="single"/>
        </w:rPr>
        <w:t xml:space="preserve"> </w:t>
      </w:r>
      <w:r>
        <w:rPr>
          <w:rFonts w:hint="eastAsia" w:ascii="宋体" w:hAnsi="宋体"/>
          <w:sz w:val="21"/>
          <w:szCs w:val="21"/>
          <w:highlight w:val="none"/>
          <w:u w:val="single"/>
        </w:rPr>
        <w:t xml:space="preserve">  固定单价合同</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2"/>
          <w:highlight w:val="none"/>
        </w:rPr>
      </w:pPr>
      <w:r/>
      <w:bookmarkStart w:id="194" w:name="_Toc351203485"/>
      <w:r>
        <w:rPr>
          <w:rFonts w:hint="eastAsia" w:ascii="宋体" w:hAnsi="宋体"/>
          <w:b/>
          <w:sz w:val="21"/>
          <w:szCs w:val="22"/>
          <w:highlight w:val="none"/>
        </w:rPr>
        <w:t xml:space="preserve">五、</w:t>
      </w:r>
      <w:bookmarkEnd w:id="194"/>
      <w:r>
        <w:rPr>
          <w:rFonts w:hint="eastAsia" w:ascii="宋体" w:hAnsi="宋体"/>
          <w:b/>
          <w:sz w:val="21"/>
          <w:szCs w:val="22"/>
          <w:highlight w:val="none"/>
        </w:rPr>
        <w:t xml:space="preserve">项目经理</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承包人项目经理：</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2"/>
          <w:highlight w:val="none"/>
        </w:rPr>
      </w:pPr>
      <w:r/>
      <w:bookmarkStart w:id="195" w:name="_Toc351203486"/>
      <w:r>
        <w:rPr>
          <w:rFonts w:hint="eastAsia" w:ascii="宋体" w:hAnsi="宋体"/>
          <w:b/>
          <w:sz w:val="21"/>
          <w:szCs w:val="22"/>
          <w:highlight w:val="none"/>
        </w:rPr>
        <w:t xml:space="preserve">六、合同文件构成</w:t>
      </w:r>
      <w:bookmarkEnd w:id="195"/>
      <w:r/>
      <w:r/>
    </w:p>
    <w:p>
      <w:pPr>
        <w:pStyle w:val="1388"/>
        <w:ind w:firstLine="420"/>
        <w:spacing w:line="360" w:lineRule="auto"/>
        <w:rPr>
          <w:rFonts w:ascii="宋体" w:hAnsi="宋体"/>
          <w:bCs/>
          <w:sz w:val="21"/>
          <w:szCs w:val="21"/>
          <w:highlight w:val="none"/>
        </w:rPr>
      </w:pPr>
      <w:r>
        <w:rPr>
          <w:rFonts w:hint="eastAsia" w:ascii="宋体" w:hAnsi="宋体"/>
          <w:bCs/>
          <w:sz w:val="21"/>
          <w:szCs w:val="21"/>
          <w:highlight w:val="none"/>
        </w:rPr>
        <w:t xml:space="preserve">本协议书与下列文件一起构成合同文件：</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）中标通知书（如果有）；</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）投标函及其附录（如果有）；</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）专用合同条款及其附件；</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4</w:t>
      </w:r>
      <w:r>
        <w:rPr>
          <w:rFonts w:hint="eastAsia" w:ascii="宋体" w:hAnsi="宋体"/>
          <w:sz w:val="21"/>
          <w:szCs w:val="21"/>
          <w:highlight w:val="none"/>
        </w:rPr>
        <w:t xml:space="preserve">）通用合同条款；</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）技术标准和要求；</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6</w:t>
      </w:r>
      <w:r>
        <w:rPr>
          <w:rFonts w:hint="eastAsia" w:ascii="宋体" w:hAnsi="宋体"/>
          <w:sz w:val="21"/>
          <w:szCs w:val="21"/>
          <w:highlight w:val="none"/>
        </w:rPr>
        <w:t xml:space="preserve">）已标价工程量清单或预算书；</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7</w:t>
      </w:r>
      <w:r>
        <w:rPr>
          <w:rFonts w:hint="eastAsia" w:ascii="宋体" w:hAnsi="宋体"/>
          <w:sz w:val="21"/>
          <w:szCs w:val="21"/>
          <w:highlight w:val="none"/>
        </w:rPr>
        <w:t xml:space="preserve">）其他合同文件。</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在合同订立及履行过程中形成的与合同有关的文件均构成合同文件组成部分。</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196" w:name="_Toc351203487"/>
      <w:r/>
      <w:r/>
    </w:p>
    <w:p>
      <w:pPr>
        <w:pStyle w:val="1388"/>
        <w:ind w:firstLine="422"/>
        <w:spacing w:line="360" w:lineRule="auto"/>
        <w:rPr>
          <w:rFonts w:ascii="宋体" w:hAnsi="宋体"/>
          <w:b/>
          <w:sz w:val="21"/>
          <w:szCs w:val="21"/>
          <w:highlight w:val="none"/>
        </w:rPr>
      </w:pPr>
      <w:r>
        <w:rPr>
          <w:rFonts w:hint="eastAsia" w:ascii="宋体" w:hAnsi="宋体"/>
          <w:b/>
          <w:sz w:val="21"/>
          <w:szCs w:val="22"/>
          <w:highlight w:val="none"/>
        </w:rPr>
        <w:t xml:space="preserve">七、承诺</w:t>
      </w:r>
      <w:bookmarkEnd w:id="196"/>
      <w:r/>
      <w:r/>
    </w:p>
    <w:p>
      <w:pPr>
        <w:pStyle w:val="1388"/>
        <w:ind w:firstLine="420"/>
        <w:spacing w:line="360" w:lineRule="auto"/>
        <w:rPr>
          <w:rFonts w:ascii="宋体" w:hAnsi="宋体"/>
          <w:bCs/>
          <w:sz w:val="21"/>
          <w:szCs w:val="21"/>
          <w:highlight w:val="none"/>
        </w:rPr>
      </w:pPr>
      <w:r>
        <w:rPr>
          <w:rFonts w:ascii="宋体" w:hAnsi="宋体"/>
          <w:bCs/>
          <w:sz w:val="21"/>
          <w:szCs w:val="21"/>
          <w:highlight w:val="none"/>
        </w:rPr>
        <w:t xml:space="preserve">1.</w:t>
      </w:r>
      <w:r>
        <w:rPr>
          <w:rFonts w:hint="eastAsia" w:ascii="宋体" w:hAnsi="宋体"/>
          <w:bCs/>
          <w:sz w:val="21"/>
          <w:szCs w:val="21"/>
          <w:highlight w:val="none"/>
        </w:rPr>
        <w:t xml:space="preserve">发包人承诺按照法律规定履行项目审批手续、筹集工程建设资金并按照合同约定的期限和方式支付合同价款。</w:t>
      </w:r>
      <w:r/>
    </w:p>
    <w:p>
      <w:pPr>
        <w:pStyle w:val="1388"/>
        <w:ind w:firstLine="420"/>
        <w:spacing w:line="360" w:lineRule="auto"/>
        <w:rPr>
          <w:rFonts w:ascii="宋体" w:hAnsi="宋体"/>
          <w:bCs/>
          <w:sz w:val="21"/>
          <w:szCs w:val="21"/>
          <w:highlight w:val="none"/>
        </w:rPr>
      </w:pPr>
      <w:r>
        <w:rPr>
          <w:rFonts w:ascii="宋体" w:hAnsi="宋体"/>
          <w:bCs/>
          <w:sz w:val="21"/>
          <w:szCs w:val="21"/>
          <w:highlight w:val="none"/>
        </w:rPr>
        <w:t xml:space="preserve">2.</w:t>
      </w:r>
      <w:r>
        <w:rPr>
          <w:rFonts w:hint="eastAsia" w:ascii="宋体" w:hAnsi="宋体"/>
          <w:bCs/>
          <w:sz w:val="21"/>
          <w:szCs w:val="21"/>
          <w:highlight w:val="none"/>
        </w:rPr>
        <w:t xml:space="preserve">承包人承诺按照法律规定及合同约定组织完成工程施工，确保工程质量和安全，不进行转包及违法分包，并在缺陷责任期及保修期内承担相应的工程维修责任。</w:t>
      </w:r>
      <w:r/>
    </w:p>
    <w:p>
      <w:pPr>
        <w:pStyle w:val="1388"/>
        <w:ind w:firstLine="420"/>
        <w:spacing w:line="360" w:lineRule="auto"/>
        <w:rPr>
          <w:rFonts w:ascii="宋体" w:hAnsi="宋体"/>
          <w:bCs/>
          <w:sz w:val="21"/>
          <w:szCs w:val="21"/>
          <w:highlight w:val="none"/>
        </w:rPr>
      </w:pPr>
      <w:r>
        <w:rPr>
          <w:rFonts w:ascii="宋体" w:hAnsi="宋体"/>
          <w:bCs/>
          <w:sz w:val="21"/>
          <w:szCs w:val="21"/>
          <w:highlight w:val="none"/>
        </w:rPr>
        <w:t xml:space="preserve">3.</w:t>
      </w:r>
      <w:r>
        <w:rPr>
          <w:rFonts w:hint="eastAsia" w:ascii="宋体" w:hAnsi="宋体"/>
          <w:bCs/>
          <w:sz w:val="21"/>
          <w:szCs w:val="21"/>
          <w:highlight w:val="none"/>
        </w:rPr>
        <w:t xml:space="preserve">发包人和承包人通过招投标形式签订合同的，双方理解并承诺不再就同一工程另行签订与合同实质性内容相背离的协议。</w:t>
      </w:r>
      <w:bookmarkStart w:id="197" w:name="_Toc351203488"/>
      <w:r/>
      <w:r/>
    </w:p>
    <w:p>
      <w:pPr>
        <w:pStyle w:val="1388"/>
        <w:ind w:firstLine="422"/>
        <w:spacing w:line="360" w:lineRule="auto"/>
        <w:rPr>
          <w:rFonts w:ascii="宋体" w:hAnsi="宋体"/>
          <w:bCs/>
          <w:sz w:val="21"/>
          <w:szCs w:val="21"/>
          <w:highlight w:val="none"/>
        </w:rPr>
      </w:pPr>
      <w:r>
        <w:rPr>
          <w:rFonts w:hint="eastAsia" w:ascii="宋体" w:hAnsi="宋体"/>
          <w:b/>
          <w:sz w:val="21"/>
          <w:szCs w:val="22"/>
          <w:highlight w:val="none"/>
        </w:rPr>
        <w:t xml:space="preserve">八、词语含义</w:t>
      </w:r>
      <w:bookmarkEnd w:id="197"/>
      <w:r/>
      <w:r/>
    </w:p>
    <w:p>
      <w:pPr>
        <w:pStyle w:val="1388"/>
        <w:ind w:firstLine="420"/>
        <w:spacing w:line="360" w:lineRule="auto"/>
        <w:rPr>
          <w:rFonts w:ascii="宋体" w:hAnsi="宋体"/>
          <w:bCs/>
          <w:sz w:val="21"/>
          <w:szCs w:val="21"/>
          <w:highlight w:val="none"/>
        </w:rPr>
      </w:pPr>
      <w:r>
        <w:rPr>
          <w:rFonts w:hint="eastAsia" w:ascii="宋体" w:hAnsi="宋体"/>
          <w:bCs/>
          <w:sz w:val="21"/>
          <w:szCs w:val="21"/>
          <w:highlight w:val="none"/>
        </w:rPr>
        <w:t xml:space="preserve">本协议书中词语含义与第二部分通用合同条款中赋予的含义相同。</w:t>
      </w:r>
      <w:r/>
    </w:p>
    <w:p>
      <w:pPr>
        <w:pStyle w:val="1388"/>
        <w:ind w:firstLine="422"/>
        <w:spacing w:line="360" w:lineRule="auto"/>
        <w:rPr>
          <w:rFonts w:ascii="宋体" w:hAnsi="宋体"/>
          <w:b/>
          <w:sz w:val="21"/>
          <w:szCs w:val="22"/>
          <w:highlight w:val="none"/>
        </w:rPr>
      </w:pPr>
      <w:r/>
      <w:bookmarkStart w:id="198" w:name="_Toc351203489"/>
      <w:r>
        <w:rPr>
          <w:rFonts w:hint="eastAsia" w:ascii="宋体" w:hAnsi="宋体"/>
          <w:b/>
          <w:sz w:val="21"/>
          <w:szCs w:val="22"/>
          <w:highlight w:val="none"/>
        </w:rPr>
        <w:t xml:space="preserve">九、签订时间</w:t>
      </w:r>
      <w:bookmarkEnd w:id="198"/>
      <w:r/>
      <w:r/>
    </w:p>
    <w:p>
      <w:pPr>
        <w:pStyle w:val="1388"/>
        <w:ind w:firstLine="420"/>
        <w:spacing w:line="360" w:lineRule="auto"/>
        <w:rPr>
          <w:rFonts w:ascii="宋体" w:hAnsi="宋体"/>
          <w:bCs/>
          <w:sz w:val="21"/>
          <w:szCs w:val="21"/>
          <w:highlight w:val="none"/>
        </w:rPr>
      </w:pPr>
      <w:r>
        <w:rPr>
          <w:rFonts w:hint="eastAsia" w:ascii="宋体" w:hAnsi="宋体"/>
          <w:bCs/>
          <w:sz w:val="21"/>
          <w:szCs w:val="21"/>
          <w:highlight w:val="none"/>
        </w:rPr>
        <w:t xml:space="preserve">本合同于</w:t>
      </w:r>
      <w:r>
        <w:rPr>
          <w:rFonts w:ascii="宋体" w:hAnsi="宋体"/>
          <w:bCs/>
          <w:sz w:val="21"/>
          <w:szCs w:val="21"/>
          <w:highlight w:val="none"/>
          <w:u w:val="single"/>
        </w:rPr>
        <w:t xml:space="preserve">         </w:t>
      </w:r>
      <w:r>
        <w:rPr>
          <w:rFonts w:hint="eastAsia" w:ascii="宋体" w:hAnsi="宋体"/>
          <w:bCs/>
          <w:sz w:val="21"/>
          <w:szCs w:val="21"/>
          <w:highlight w:val="none"/>
        </w:rPr>
        <w:t xml:space="preserve">年</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rPr>
        <w:t xml:space="preserve">月</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rPr>
        <w:t xml:space="preserve">日签订。</w:t>
      </w:r>
      <w:r/>
    </w:p>
    <w:p>
      <w:pPr>
        <w:pStyle w:val="1388"/>
        <w:ind w:firstLine="422"/>
        <w:spacing w:line="360" w:lineRule="auto"/>
        <w:rPr>
          <w:rFonts w:ascii="宋体" w:hAnsi="宋体"/>
          <w:b/>
          <w:sz w:val="21"/>
          <w:szCs w:val="22"/>
          <w:highlight w:val="none"/>
        </w:rPr>
      </w:pPr>
      <w:r/>
      <w:bookmarkStart w:id="199" w:name="_Toc351203490"/>
      <w:r>
        <w:rPr>
          <w:rFonts w:hint="eastAsia" w:ascii="宋体" w:hAnsi="宋体"/>
          <w:b/>
          <w:sz w:val="21"/>
          <w:szCs w:val="22"/>
          <w:highlight w:val="none"/>
        </w:rPr>
        <w:t xml:space="preserve">十、签订地点</w:t>
      </w:r>
      <w:bookmarkEnd w:id="199"/>
      <w:r/>
      <w:r/>
    </w:p>
    <w:p>
      <w:pPr>
        <w:pStyle w:val="1388"/>
        <w:ind w:firstLine="420"/>
        <w:spacing w:line="360" w:lineRule="auto"/>
        <w:rPr>
          <w:rFonts w:ascii="宋体" w:hAnsi="宋体"/>
          <w:bCs/>
          <w:sz w:val="21"/>
          <w:szCs w:val="21"/>
          <w:highlight w:val="none"/>
        </w:rPr>
      </w:pPr>
      <w:r>
        <w:rPr>
          <w:rFonts w:hint="eastAsia" w:ascii="宋体" w:hAnsi="宋体"/>
          <w:bCs/>
          <w:sz w:val="21"/>
          <w:szCs w:val="21"/>
          <w:highlight w:val="none"/>
        </w:rPr>
        <w:t xml:space="preserve">本合同在</w:t>
      </w:r>
      <w:r>
        <w:rPr>
          <w:rFonts w:ascii="宋体" w:hAnsi="宋体"/>
          <w:bCs/>
          <w:sz w:val="21"/>
          <w:szCs w:val="21"/>
          <w:highlight w:val="none"/>
          <w:u w:val="single"/>
        </w:rPr>
        <w:t xml:space="preserve">      </w:t>
      </w:r>
      <w:r>
        <w:rPr>
          <w:rFonts w:hint="eastAsia" w:ascii="宋体" w:hAnsi="宋体"/>
          <w:b/>
          <w:sz w:val="21"/>
          <w:szCs w:val="22"/>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rPr>
        <w:t xml:space="preserve">签订。</w:t>
      </w:r>
      <w:r/>
    </w:p>
    <w:p>
      <w:pPr>
        <w:pStyle w:val="1388"/>
        <w:ind w:firstLine="422"/>
        <w:spacing w:line="360" w:lineRule="auto"/>
        <w:rPr>
          <w:rFonts w:ascii="宋体" w:hAnsi="宋体"/>
          <w:b/>
          <w:sz w:val="21"/>
          <w:szCs w:val="22"/>
          <w:highlight w:val="none"/>
        </w:rPr>
      </w:pPr>
      <w:r/>
      <w:bookmarkStart w:id="200" w:name="_Toc351203491"/>
      <w:r>
        <w:rPr>
          <w:rFonts w:hint="eastAsia" w:ascii="宋体" w:hAnsi="宋体"/>
          <w:b/>
          <w:sz w:val="21"/>
          <w:szCs w:val="22"/>
          <w:highlight w:val="none"/>
        </w:rPr>
        <w:t xml:space="preserve">十一、补充协议</w:t>
      </w:r>
      <w:bookmarkEnd w:id="200"/>
      <w:r/>
      <w:r/>
    </w:p>
    <w:p>
      <w:pPr>
        <w:pStyle w:val="1388"/>
        <w:ind w:firstLine="420"/>
        <w:spacing w:line="360" w:lineRule="auto"/>
        <w:rPr>
          <w:rFonts w:ascii="宋体" w:hAnsi="宋体"/>
          <w:b/>
          <w:bCs/>
          <w:sz w:val="21"/>
          <w:szCs w:val="21"/>
          <w:highlight w:val="none"/>
        </w:rPr>
      </w:pPr>
      <w:r>
        <w:rPr>
          <w:rFonts w:hint="eastAsia" w:ascii="宋体" w:hAnsi="宋体"/>
          <w:bCs/>
          <w:sz w:val="21"/>
          <w:szCs w:val="21"/>
          <w:highlight w:val="none"/>
        </w:rPr>
        <w:t xml:space="preserve">合同未尽事宜，合同当事人另行签订补充协议，补充协议是合同的组成部分。</w:t>
      </w:r>
      <w:r/>
    </w:p>
    <w:p>
      <w:pPr>
        <w:pStyle w:val="1388"/>
        <w:ind w:firstLine="422"/>
        <w:spacing w:line="360" w:lineRule="auto"/>
        <w:rPr>
          <w:rFonts w:ascii="宋体" w:hAnsi="宋体"/>
          <w:b/>
          <w:sz w:val="21"/>
          <w:szCs w:val="22"/>
          <w:highlight w:val="none"/>
        </w:rPr>
      </w:pPr>
      <w:r/>
      <w:bookmarkStart w:id="201" w:name="_Toc351203492"/>
      <w:r>
        <w:rPr>
          <w:rFonts w:hint="eastAsia" w:ascii="宋体" w:hAnsi="宋体"/>
          <w:b/>
          <w:sz w:val="21"/>
          <w:szCs w:val="22"/>
          <w:highlight w:val="none"/>
        </w:rPr>
        <w:t xml:space="preserve">十二、合同生效</w:t>
      </w:r>
      <w:bookmarkEnd w:id="201"/>
      <w:r/>
      <w:r/>
    </w:p>
    <w:p>
      <w:pPr>
        <w:pStyle w:val="1388"/>
        <w:ind w:firstLine="420"/>
        <w:spacing w:line="360" w:lineRule="auto"/>
        <w:rPr>
          <w:rFonts w:ascii="宋体" w:hAnsi="宋体"/>
          <w:bCs/>
          <w:sz w:val="21"/>
          <w:szCs w:val="21"/>
          <w:highlight w:val="none"/>
        </w:rPr>
      </w:pPr>
      <w:r>
        <w:rPr>
          <w:rFonts w:hint="eastAsia" w:ascii="宋体" w:hAnsi="宋体"/>
          <w:bCs/>
          <w:sz w:val="21"/>
          <w:szCs w:val="21"/>
          <w:highlight w:val="none"/>
        </w:rPr>
        <w:t xml:space="preserve">本合同自</w:t>
      </w:r>
      <w:r>
        <w:rPr>
          <w:rFonts w:ascii="宋体" w:hAnsi="宋体"/>
          <w:sz w:val="21"/>
          <w:szCs w:val="22"/>
          <w:highlight w:val="none"/>
          <w:u w:val="single"/>
        </w:rPr>
        <w:t xml:space="preserve">     </w:t>
      </w:r>
      <w:r>
        <w:rPr>
          <w:rFonts w:hint="eastAsia" w:ascii="宋体" w:hAnsi="宋体"/>
          <w:sz w:val="21"/>
          <w:szCs w:val="22"/>
          <w:highlight w:val="none"/>
          <w:u w:val="single"/>
        </w:rPr>
        <w:t xml:space="preserve">  </w:t>
      </w:r>
      <w:r>
        <w:rPr>
          <w:rFonts w:ascii="宋体" w:hAnsi="宋体"/>
          <w:sz w:val="21"/>
          <w:szCs w:val="22"/>
          <w:highlight w:val="none"/>
          <w:u w:val="single"/>
        </w:rPr>
        <w:t xml:space="preserve"> </w:t>
      </w:r>
      <w:r>
        <w:rPr>
          <w:rFonts w:hint="eastAsia" w:ascii="宋体" w:hAnsi="宋体"/>
          <w:sz w:val="21"/>
          <w:szCs w:val="22"/>
          <w:highlight w:val="none"/>
          <w:u w:val="single"/>
        </w:rPr>
        <w:t xml:space="preserve">双方签字并盖章后</w:t>
      </w:r>
      <w:r>
        <w:rPr>
          <w:rFonts w:ascii="宋体" w:hAnsi="宋体"/>
          <w:sz w:val="21"/>
          <w:szCs w:val="22"/>
          <w:highlight w:val="none"/>
          <w:u w:val="single"/>
        </w:rPr>
        <w:t xml:space="preserve">          </w:t>
      </w:r>
      <w:r>
        <w:rPr>
          <w:rFonts w:hint="eastAsia" w:ascii="宋体" w:hAnsi="宋体"/>
          <w:bCs/>
          <w:sz w:val="21"/>
          <w:szCs w:val="21"/>
          <w:highlight w:val="none"/>
        </w:rPr>
        <w:t xml:space="preserve">生效。</w:t>
      </w:r>
      <w:r/>
    </w:p>
    <w:p>
      <w:pPr>
        <w:pStyle w:val="1388"/>
        <w:ind w:firstLine="422"/>
        <w:spacing w:line="360" w:lineRule="auto"/>
        <w:rPr>
          <w:rFonts w:ascii="宋体" w:hAnsi="宋体"/>
          <w:b/>
          <w:sz w:val="21"/>
          <w:szCs w:val="22"/>
          <w:highlight w:val="none"/>
        </w:rPr>
      </w:pPr>
      <w:r/>
      <w:bookmarkStart w:id="202" w:name="_Toc351203493"/>
      <w:r>
        <w:rPr>
          <w:rFonts w:hint="eastAsia" w:ascii="宋体" w:hAnsi="宋体"/>
          <w:b/>
          <w:sz w:val="21"/>
          <w:szCs w:val="22"/>
          <w:highlight w:val="none"/>
        </w:rPr>
        <w:t xml:space="preserve">十三、合同份数</w:t>
      </w:r>
      <w:bookmarkEnd w:id="202"/>
      <w:r/>
      <w:r/>
    </w:p>
    <w:p>
      <w:pPr>
        <w:pStyle w:val="1388"/>
        <w:ind w:firstLine="420"/>
        <w:spacing w:line="360" w:lineRule="auto"/>
        <w:rPr>
          <w:rFonts w:ascii="宋体" w:hAnsi="宋体"/>
          <w:bCs/>
          <w:sz w:val="21"/>
          <w:szCs w:val="21"/>
          <w:highlight w:val="none"/>
        </w:rPr>
      </w:pPr>
      <w:r>
        <w:rPr>
          <w:rFonts w:hint="eastAsia" w:ascii="宋体" w:hAnsi="宋体"/>
          <w:bCs/>
          <w:sz w:val="21"/>
          <w:szCs w:val="21"/>
          <w:highlight w:val="none"/>
        </w:rPr>
        <w:t xml:space="preserve">本合同一式</w:t>
      </w:r>
      <w:r>
        <w:rPr>
          <w:rFonts w:ascii="宋体" w:hAnsi="宋体"/>
          <w:bCs/>
          <w:sz w:val="21"/>
          <w:szCs w:val="21"/>
          <w:highlight w:val="none"/>
          <w:u w:val="single"/>
        </w:rPr>
        <w:t xml:space="preserve">    </w:t>
      </w:r>
      <w:r>
        <w:rPr>
          <w:rFonts w:hint="eastAsia" w:ascii="宋体" w:hAnsi="宋体"/>
          <w:bCs/>
          <w:sz w:val="21"/>
          <w:szCs w:val="21"/>
          <w:highlight w:val="none"/>
        </w:rPr>
        <w:t xml:space="preserve">份，均具有同等法律效力，发包人执</w:t>
      </w:r>
      <w:r>
        <w:rPr>
          <w:rFonts w:ascii="宋体" w:hAnsi="宋体"/>
          <w:bCs/>
          <w:sz w:val="21"/>
          <w:szCs w:val="21"/>
          <w:highlight w:val="none"/>
          <w:u w:val="single"/>
        </w:rPr>
        <w:t xml:space="preserve">    </w:t>
      </w:r>
      <w:r>
        <w:rPr>
          <w:rFonts w:hint="eastAsia" w:ascii="宋体" w:hAnsi="宋体"/>
          <w:bCs/>
          <w:sz w:val="21"/>
          <w:szCs w:val="21"/>
          <w:highlight w:val="none"/>
        </w:rPr>
        <w:t xml:space="preserve">份，承包人执</w:t>
      </w:r>
      <w:r>
        <w:rPr>
          <w:rFonts w:ascii="宋体" w:hAnsi="宋体"/>
          <w:bCs/>
          <w:sz w:val="21"/>
          <w:szCs w:val="21"/>
          <w:highlight w:val="none"/>
          <w:u w:val="single"/>
        </w:rPr>
        <w:t xml:space="preserve">    </w:t>
      </w:r>
      <w:r>
        <w:rPr>
          <w:rFonts w:hint="eastAsia" w:ascii="宋体" w:hAnsi="宋体"/>
          <w:bCs/>
          <w:sz w:val="21"/>
          <w:szCs w:val="21"/>
          <w:highlight w:val="none"/>
        </w:rPr>
        <w:t xml:space="preserve">份。</w:t>
      </w:r>
      <w:r/>
    </w:p>
    <w:p>
      <w:pPr>
        <w:pStyle w:val="1388"/>
        <w:ind w:firstLine="420"/>
        <w:spacing w:line="360" w:lineRule="auto"/>
        <w:rPr>
          <w:rFonts w:ascii="宋体" w:hAnsi="宋体"/>
          <w:bCs/>
          <w:sz w:val="21"/>
          <w:szCs w:val="21"/>
          <w:highlight w:val="none"/>
        </w:rPr>
      </w:pPr>
      <w:r>
        <w:rPr>
          <w:rFonts w:ascii="宋体" w:hAnsi="宋体"/>
          <w:bCs/>
          <w:sz w:val="21"/>
          <w:szCs w:val="21"/>
          <w:highlight w:val="none"/>
        </w:rPr>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w:t>
      </w:r>
      <w:r>
        <w:rPr>
          <w:rFonts w:ascii="宋体" w:hAnsi="宋体"/>
          <w:sz w:val="21"/>
          <w:szCs w:val="21"/>
          <w:highlight w:val="none"/>
        </w:rPr>
        <w:t xml:space="preserve">  (</w:t>
      </w:r>
      <w:r>
        <w:rPr>
          <w:rFonts w:hint="eastAsia" w:ascii="宋体" w:hAnsi="宋体"/>
          <w:sz w:val="21"/>
          <w:szCs w:val="21"/>
          <w:highlight w:val="none"/>
        </w:rPr>
        <w:t xml:space="preserve">公章</w:t>
      </w:r>
      <w:r>
        <w:rPr>
          <w:rFonts w:ascii="宋体" w:hAnsi="宋体"/>
          <w:sz w:val="21"/>
          <w:szCs w:val="21"/>
          <w:highlight w:val="none"/>
        </w:rPr>
        <w:t xml:space="preserve">)             </w:t>
      </w:r>
      <w:r>
        <w:rPr>
          <w:rFonts w:hint="eastAsia" w:ascii="宋体" w:hAnsi="宋体"/>
          <w:sz w:val="21"/>
          <w:szCs w:val="21"/>
          <w:highlight w:val="none"/>
        </w:rPr>
        <w:t xml:space="preserve">            承包人：</w:t>
      </w:r>
      <w:r>
        <w:rPr>
          <w:rFonts w:ascii="宋体" w:hAnsi="宋体"/>
          <w:sz w:val="21"/>
          <w:szCs w:val="21"/>
          <w:highlight w:val="none"/>
        </w:rPr>
        <w:t xml:space="preserve">  (</w:t>
      </w:r>
      <w:r>
        <w:rPr>
          <w:rFonts w:hint="eastAsia" w:ascii="宋体" w:hAnsi="宋体"/>
          <w:sz w:val="21"/>
          <w:szCs w:val="21"/>
          <w:highlight w:val="none"/>
        </w:rPr>
        <w:t xml:space="preserve">公章</w:t>
      </w:r>
      <w:r>
        <w:rPr>
          <w:rFonts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法定代表人或其委托代理人：</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法定代表人或其委托代理人：</w:t>
      </w:r>
      <w:r/>
    </w:p>
    <w:p>
      <w:pPr>
        <w:pStyle w:val="1388"/>
        <w:ind w:firstLine="2310"/>
        <w:spacing w:line="360" w:lineRule="auto"/>
        <w:rPr>
          <w:rFonts w:ascii="宋体" w:hAnsi="宋体"/>
          <w:sz w:val="21"/>
          <w:szCs w:val="21"/>
          <w:highlight w:val="none"/>
        </w:rPr>
      </w:pPr>
      <w:r>
        <w:rPr>
          <w:rFonts w:hint="eastAsia" w:ascii="宋体" w:hAnsi="宋体"/>
          <w:sz w:val="21"/>
          <w:szCs w:val="21"/>
          <w:highlight w:val="none"/>
        </w:rPr>
        <w:t xml:space="preserve">（签字）</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（签字）</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组织机构代码：</w:t>
      </w:r>
      <w:r>
        <w:rPr>
          <w:rFonts w:hint="eastAsia" w:ascii="宋体" w:hAnsi="宋体"/>
          <w:sz w:val="21"/>
          <w:szCs w:val="22"/>
          <w:highlight w:val="none"/>
          <w:u w:val="single"/>
        </w:rPr>
        <w:t xml:space="preserve">                     </w:t>
      </w:r>
      <w:r>
        <w:rPr>
          <w:rFonts w:hint="eastAsia" w:ascii="宋体" w:hAnsi="宋体"/>
          <w:sz w:val="21"/>
          <w:szCs w:val="22"/>
          <w:highlight w:val="none"/>
        </w:rPr>
        <w:t xml:space="preserve">     组织机构代码：</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地</w:t>
      </w:r>
      <w:r>
        <w:rPr>
          <w:rFonts w:ascii="宋体" w:hAnsi="宋体"/>
          <w:sz w:val="21"/>
          <w:szCs w:val="22"/>
          <w:highlight w:val="none"/>
        </w:rPr>
        <w:t xml:space="preserve"> </w:t>
      </w:r>
      <w:r>
        <w:rPr>
          <w:rFonts w:hint="eastAsia" w:ascii="宋体" w:hAnsi="宋体"/>
          <w:sz w:val="21"/>
          <w:szCs w:val="22"/>
          <w:highlight w:val="none"/>
        </w:rPr>
        <w:t xml:space="preserve">  </w:t>
      </w:r>
      <w:r>
        <w:rPr>
          <w:rFonts w:ascii="宋体" w:hAnsi="宋体"/>
          <w:sz w:val="21"/>
          <w:szCs w:val="22"/>
          <w:highlight w:val="none"/>
        </w:rPr>
        <w:t xml:space="preserve"> </w:t>
      </w:r>
      <w:r>
        <w:rPr>
          <w:rFonts w:hint="eastAsia" w:ascii="宋体" w:hAnsi="宋体"/>
          <w:sz w:val="21"/>
          <w:szCs w:val="22"/>
          <w:highlight w:val="none"/>
        </w:rPr>
        <w:t xml:space="preserve">址：</w:t>
      </w:r>
      <w:r>
        <w:rPr>
          <w:rFonts w:hint="eastAsia" w:ascii="宋体" w:hAnsi="宋体"/>
          <w:sz w:val="21"/>
          <w:szCs w:val="22"/>
          <w:highlight w:val="none"/>
          <w:u w:val="single"/>
        </w:rPr>
        <w:t xml:space="preserve">                         </w:t>
      </w:r>
      <w:r>
        <w:rPr>
          <w:rFonts w:hint="eastAsia" w:ascii="宋体" w:hAnsi="宋体"/>
          <w:sz w:val="21"/>
          <w:szCs w:val="22"/>
          <w:highlight w:val="none"/>
        </w:rPr>
        <w:t xml:space="preserve">     地</w:t>
      </w:r>
      <w:r>
        <w:rPr>
          <w:rFonts w:ascii="宋体" w:hAnsi="宋体"/>
          <w:sz w:val="21"/>
          <w:szCs w:val="22"/>
          <w:highlight w:val="none"/>
        </w:rPr>
        <w:t xml:space="preserve"> </w:t>
      </w:r>
      <w:r>
        <w:rPr>
          <w:rFonts w:hint="eastAsia" w:ascii="宋体" w:hAnsi="宋体"/>
          <w:sz w:val="21"/>
          <w:szCs w:val="22"/>
          <w:highlight w:val="none"/>
        </w:rPr>
        <w:t xml:space="preserve">  </w:t>
      </w:r>
      <w:r>
        <w:rPr>
          <w:rFonts w:ascii="宋体" w:hAnsi="宋体"/>
          <w:sz w:val="21"/>
          <w:szCs w:val="22"/>
          <w:highlight w:val="none"/>
        </w:rPr>
        <w:t xml:space="preserve"> </w:t>
      </w:r>
      <w:r>
        <w:rPr>
          <w:rFonts w:hint="eastAsia" w:ascii="宋体" w:hAnsi="宋体"/>
          <w:sz w:val="21"/>
          <w:szCs w:val="22"/>
          <w:highlight w:val="none"/>
        </w:rPr>
        <w:t xml:space="preserve">址：</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邮政编码：</w:t>
      </w:r>
      <w:r>
        <w:rPr>
          <w:rFonts w:hint="eastAsia" w:ascii="宋体" w:hAnsi="宋体"/>
          <w:sz w:val="21"/>
          <w:szCs w:val="22"/>
          <w:highlight w:val="none"/>
          <w:u w:val="single"/>
        </w:rPr>
        <w:t xml:space="preserve">                         </w:t>
      </w:r>
      <w:r>
        <w:rPr>
          <w:rFonts w:hint="eastAsia" w:ascii="宋体" w:hAnsi="宋体"/>
          <w:sz w:val="21"/>
          <w:szCs w:val="22"/>
          <w:highlight w:val="none"/>
        </w:rPr>
        <w:t xml:space="preserve">     邮政编码：</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法定代表人：</w:t>
      </w:r>
      <w:r>
        <w:rPr>
          <w:rFonts w:hint="eastAsia" w:ascii="宋体" w:hAnsi="宋体"/>
          <w:sz w:val="21"/>
          <w:szCs w:val="22"/>
          <w:highlight w:val="none"/>
          <w:u w:val="single"/>
        </w:rPr>
        <w:t xml:space="preserve">                       </w:t>
      </w:r>
      <w:r>
        <w:rPr>
          <w:rFonts w:hint="eastAsia" w:ascii="宋体" w:hAnsi="宋体"/>
          <w:sz w:val="21"/>
          <w:szCs w:val="22"/>
          <w:highlight w:val="none"/>
        </w:rPr>
        <w:t xml:space="preserve">     法定代表人：</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委托代理人：</w:t>
      </w:r>
      <w:r>
        <w:rPr>
          <w:rFonts w:hint="eastAsia" w:ascii="宋体" w:hAnsi="宋体"/>
          <w:sz w:val="21"/>
          <w:szCs w:val="22"/>
          <w:highlight w:val="none"/>
          <w:u w:val="single"/>
        </w:rPr>
        <w:t xml:space="preserve">                       </w:t>
      </w:r>
      <w:r>
        <w:rPr>
          <w:rFonts w:hint="eastAsia" w:ascii="宋体" w:hAnsi="宋体"/>
          <w:sz w:val="21"/>
          <w:szCs w:val="22"/>
          <w:highlight w:val="none"/>
        </w:rPr>
        <w:t xml:space="preserve">     委托代理人：</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电</w:t>
      </w:r>
      <w:r>
        <w:rPr>
          <w:rFonts w:ascii="宋体" w:hAnsi="宋体"/>
          <w:sz w:val="21"/>
          <w:szCs w:val="22"/>
          <w:highlight w:val="none"/>
        </w:rPr>
        <w:t xml:space="preserve"> </w:t>
      </w:r>
      <w:r>
        <w:rPr>
          <w:rFonts w:hint="eastAsia" w:ascii="宋体" w:hAnsi="宋体"/>
          <w:sz w:val="21"/>
          <w:szCs w:val="22"/>
          <w:highlight w:val="none"/>
        </w:rPr>
        <w:t xml:space="preserve">  </w:t>
      </w:r>
      <w:r>
        <w:rPr>
          <w:rFonts w:ascii="宋体" w:hAnsi="宋体"/>
          <w:sz w:val="21"/>
          <w:szCs w:val="22"/>
          <w:highlight w:val="none"/>
        </w:rPr>
        <w:t xml:space="preserve"> </w:t>
      </w:r>
      <w:r>
        <w:rPr>
          <w:rFonts w:hint="eastAsia" w:ascii="宋体" w:hAnsi="宋体"/>
          <w:sz w:val="21"/>
          <w:szCs w:val="22"/>
          <w:highlight w:val="none"/>
        </w:rPr>
        <w:t xml:space="preserve">话：</w:t>
      </w:r>
      <w:r>
        <w:rPr>
          <w:rFonts w:hint="eastAsia" w:ascii="宋体" w:hAnsi="宋体"/>
          <w:sz w:val="21"/>
          <w:szCs w:val="22"/>
          <w:highlight w:val="none"/>
          <w:u w:val="single"/>
        </w:rPr>
        <w:t xml:space="preserve">                         </w:t>
      </w:r>
      <w:r>
        <w:rPr>
          <w:rFonts w:hint="eastAsia" w:ascii="宋体" w:hAnsi="宋体"/>
          <w:sz w:val="21"/>
          <w:szCs w:val="22"/>
          <w:highlight w:val="none"/>
        </w:rPr>
        <w:t xml:space="preserve">     电</w:t>
      </w:r>
      <w:r>
        <w:rPr>
          <w:rFonts w:ascii="宋体" w:hAnsi="宋体"/>
          <w:sz w:val="21"/>
          <w:szCs w:val="22"/>
          <w:highlight w:val="none"/>
        </w:rPr>
        <w:t xml:space="preserve"> </w:t>
      </w:r>
      <w:r>
        <w:rPr>
          <w:rFonts w:hint="eastAsia" w:ascii="宋体" w:hAnsi="宋体"/>
          <w:sz w:val="21"/>
          <w:szCs w:val="22"/>
          <w:highlight w:val="none"/>
        </w:rPr>
        <w:t xml:space="preserve">  </w:t>
      </w:r>
      <w:r>
        <w:rPr>
          <w:rFonts w:ascii="宋体" w:hAnsi="宋体"/>
          <w:sz w:val="21"/>
          <w:szCs w:val="22"/>
          <w:highlight w:val="none"/>
        </w:rPr>
        <w:t xml:space="preserve"> </w:t>
      </w:r>
      <w:r>
        <w:rPr>
          <w:rFonts w:hint="eastAsia" w:ascii="宋体" w:hAnsi="宋体"/>
          <w:sz w:val="21"/>
          <w:szCs w:val="22"/>
          <w:highlight w:val="none"/>
        </w:rPr>
        <w:t xml:space="preserve">话：</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传</w:t>
      </w:r>
      <w:r>
        <w:rPr>
          <w:rFonts w:ascii="宋体" w:hAnsi="宋体"/>
          <w:sz w:val="21"/>
          <w:szCs w:val="22"/>
          <w:highlight w:val="none"/>
        </w:rPr>
        <w:t xml:space="preserve"> </w:t>
      </w:r>
      <w:r>
        <w:rPr>
          <w:rFonts w:hint="eastAsia" w:ascii="宋体" w:hAnsi="宋体"/>
          <w:sz w:val="21"/>
          <w:szCs w:val="22"/>
          <w:highlight w:val="none"/>
        </w:rPr>
        <w:t xml:space="preserve">  </w:t>
      </w:r>
      <w:r>
        <w:rPr>
          <w:rFonts w:ascii="宋体" w:hAnsi="宋体"/>
          <w:sz w:val="21"/>
          <w:szCs w:val="22"/>
          <w:highlight w:val="none"/>
        </w:rPr>
        <w:t xml:space="preserve"> </w:t>
      </w:r>
      <w:r>
        <w:rPr>
          <w:rFonts w:hint="eastAsia" w:ascii="宋体" w:hAnsi="宋体"/>
          <w:sz w:val="21"/>
          <w:szCs w:val="22"/>
          <w:highlight w:val="none"/>
        </w:rPr>
        <w:t xml:space="preserve">真：</w:t>
      </w:r>
      <w:r>
        <w:rPr>
          <w:rFonts w:hint="eastAsia" w:ascii="宋体" w:hAnsi="宋体"/>
          <w:sz w:val="21"/>
          <w:szCs w:val="22"/>
          <w:highlight w:val="none"/>
          <w:u w:val="single"/>
        </w:rPr>
        <w:t xml:space="preserve">                         </w:t>
      </w:r>
      <w:r>
        <w:rPr>
          <w:rFonts w:hint="eastAsia" w:ascii="宋体" w:hAnsi="宋体"/>
          <w:sz w:val="21"/>
          <w:szCs w:val="22"/>
          <w:highlight w:val="none"/>
        </w:rPr>
        <w:t xml:space="preserve">     传</w:t>
      </w:r>
      <w:r>
        <w:rPr>
          <w:rFonts w:ascii="宋体" w:hAnsi="宋体"/>
          <w:sz w:val="21"/>
          <w:szCs w:val="22"/>
          <w:highlight w:val="none"/>
        </w:rPr>
        <w:t xml:space="preserve">  </w:t>
      </w:r>
      <w:r>
        <w:rPr>
          <w:rFonts w:hint="eastAsia" w:ascii="宋体" w:hAnsi="宋体"/>
          <w:sz w:val="21"/>
          <w:szCs w:val="22"/>
          <w:highlight w:val="none"/>
        </w:rPr>
        <w:t xml:space="preserve">  真：</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电子信箱：</w:t>
      </w:r>
      <w:r>
        <w:rPr>
          <w:rFonts w:hint="eastAsia" w:ascii="宋体" w:hAnsi="宋体"/>
          <w:sz w:val="21"/>
          <w:szCs w:val="22"/>
          <w:highlight w:val="none"/>
          <w:u w:val="single"/>
        </w:rPr>
        <w:t xml:space="preserve">                         </w:t>
      </w:r>
      <w:r>
        <w:rPr>
          <w:rFonts w:hint="eastAsia" w:ascii="宋体" w:hAnsi="宋体"/>
          <w:sz w:val="21"/>
          <w:szCs w:val="22"/>
          <w:highlight w:val="none"/>
        </w:rPr>
        <w:t xml:space="preserve">     电子信箱：</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u w:val="single"/>
        </w:rPr>
      </w:pPr>
      <w:r>
        <w:rPr>
          <w:rFonts w:hint="eastAsia" w:ascii="宋体" w:hAnsi="宋体"/>
          <w:sz w:val="21"/>
          <w:szCs w:val="22"/>
          <w:highlight w:val="none"/>
        </w:rPr>
        <w:t xml:space="preserve">开户银行：</w:t>
      </w:r>
      <w:r>
        <w:rPr>
          <w:rFonts w:hint="eastAsia" w:ascii="宋体" w:hAnsi="宋体"/>
          <w:sz w:val="21"/>
          <w:szCs w:val="22"/>
          <w:highlight w:val="none"/>
          <w:u w:val="single"/>
        </w:rPr>
        <w:t xml:space="preserve">                         </w:t>
      </w:r>
      <w:r>
        <w:rPr>
          <w:rFonts w:hint="eastAsia" w:ascii="宋体" w:hAnsi="宋体"/>
          <w:sz w:val="21"/>
          <w:szCs w:val="22"/>
          <w:highlight w:val="none"/>
        </w:rPr>
        <w:t xml:space="preserve">     开户银行：</w:t>
      </w:r>
      <w:r>
        <w:rPr>
          <w:rFonts w:hint="eastAsia" w:ascii="宋体" w:hAnsi="宋体"/>
          <w:sz w:val="21"/>
          <w:szCs w:val="22"/>
          <w:highlight w:val="none"/>
          <w:u w:val="single"/>
        </w:rPr>
        <w:t xml:space="preserve">                          </w:t>
      </w:r>
      <w:r/>
    </w:p>
    <w:p>
      <w:pPr>
        <w:pStyle w:val="1388"/>
        <w:ind w:firstLine="420"/>
        <w:spacing w:line="360" w:lineRule="auto"/>
        <w:rPr>
          <w:rFonts w:ascii="宋体" w:hAnsi="宋体"/>
          <w:sz w:val="21"/>
          <w:szCs w:val="22"/>
          <w:highlight w:val="none"/>
          <w:u w:val="single"/>
        </w:rPr>
      </w:pPr>
      <w:r>
        <w:rPr>
          <w:rFonts w:hint="eastAsia" w:ascii="宋体" w:hAnsi="宋体"/>
          <w:sz w:val="21"/>
          <w:szCs w:val="22"/>
          <w:highlight w:val="none"/>
        </w:rPr>
        <w:t xml:space="preserve">账    号：</w:t>
      </w:r>
      <w:r>
        <w:rPr>
          <w:rFonts w:hint="eastAsia" w:ascii="宋体" w:hAnsi="宋体"/>
          <w:sz w:val="21"/>
          <w:szCs w:val="22"/>
          <w:highlight w:val="none"/>
          <w:u w:val="single"/>
        </w:rPr>
        <w:t xml:space="preserve">                         </w:t>
      </w:r>
      <w:r>
        <w:rPr>
          <w:rFonts w:hint="eastAsia" w:ascii="宋体" w:hAnsi="宋体"/>
          <w:sz w:val="21"/>
          <w:szCs w:val="22"/>
          <w:highlight w:val="none"/>
        </w:rPr>
        <w:t xml:space="preserve">     账    号：</w:t>
      </w:r>
      <w:r>
        <w:rPr>
          <w:rFonts w:hint="eastAsia" w:ascii="宋体" w:hAnsi="宋体"/>
          <w:sz w:val="21"/>
          <w:szCs w:val="22"/>
          <w:highlight w:val="none"/>
          <w:u w:val="single"/>
        </w:rPr>
        <w:t xml:space="preserve">                          </w:t>
      </w:r>
      <w:r/>
    </w:p>
    <w:p>
      <w:pPr>
        <w:pStyle w:val="1388"/>
        <w:spacing w:line="360" w:lineRule="auto"/>
        <w:rPr>
          <w:rFonts w:ascii="宋体" w:hAnsi="宋体"/>
          <w:sz w:val="21"/>
          <w:szCs w:val="22"/>
          <w:highlight w:val="none"/>
          <w:u w:val="single"/>
        </w:rPr>
      </w:pPr>
      <w:r>
        <w:rPr>
          <w:rFonts w:ascii="宋体" w:hAnsi="宋体"/>
          <w:sz w:val="21"/>
          <w:szCs w:val="22"/>
          <w:highlight w:val="none"/>
          <w:u w:val="single"/>
        </w:rPr>
      </w:r>
      <w:r/>
    </w:p>
    <w:p>
      <w:pPr>
        <w:pStyle w:val="1388"/>
        <w:spacing w:line="360" w:lineRule="auto"/>
        <w:rPr>
          <w:rFonts w:ascii="宋体" w:hAnsi="宋体"/>
          <w:sz w:val="21"/>
          <w:szCs w:val="22"/>
          <w:highlight w:val="none"/>
          <w:u w:val="single"/>
        </w:rPr>
      </w:pPr>
      <w:r>
        <w:rPr>
          <w:rFonts w:ascii="宋体" w:hAnsi="宋体"/>
          <w:sz w:val="21"/>
          <w:szCs w:val="22"/>
          <w:highlight w:val="none"/>
          <w:u w:val="single"/>
        </w:rPr>
      </w:r>
      <w:r/>
    </w:p>
    <w:p>
      <w:pPr>
        <w:pStyle w:val="1388"/>
        <w:spacing w:line="360" w:lineRule="auto"/>
        <w:rPr>
          <w:rFonts w:ascii="宋体" w:hAnsi="宋体"/>
          <w:sz w:val="21"/>
          <w:szCs w:val="22"/>
          <w:highlight w:val="none"/>
          <w:u w:val="single"/>
        </w:rPr>
      </w:pPr>
      <w:r>
        <w:rPr>
          <w:rFonts w:ascii="宋体" w:hAnsi="宋体"/>
          <w:sz w:val="21"/>
          <w:szCs w:val="22"/>
          <w:highlight w:val="none"/>
          <w:u w:val="single"/>
        </w:rPr>
      </w:r>
      <w:r/>
    </w:p>
    <w:p>
      <w:pPr>
        <w:pStyle w:val="1388"/>
        <w:spacing w:line="360" w:lineRule="auto"/>
        <w:rPr>
          <w:rFonts w:ascii="宋体" w:hAnsi="宋体"/>
          <w:sz w:val="21"/>
          <w:szCs w:val="22"/>
          <w:highlight w:val="none"/>
          <w:u w:val="single"/>
        </w:rPr>
      </w:pPr>
      <w:r>
        <w:rPr>
          <w:rFonts w:ascii="宋体" w:hAnsi="宋体"/>
          <w:sz w:val="21"/>
          <w:szCs w:val="22"/>
          <w:highlight w:val="none"/>
          <w:u w:val="single"/>
        </w:rPr>
      </w:r>
      <w:r/>
    </w:p>
    <w:p>
      <w:pPr>
        <w:pStyle w:val="1388"/>
        <w:spacing w:line="360" w:lineRule="auto"/>
        <w:rPr>
          <w:rFonts w:ascii="宋体" w:hAnsi="宋体"/>
          <w:sz w:val="21"/>
          <w:szCs w:val="22"/>
          <w:highlight w:val="none"/>
          <w:u w:val="single"/>
        </w:rPr>
      </w:pPr>
      <w:r>
        <w:rPr>
          <w:rFonts w:ascii="宋体" w:hAnsi="宋体"/>
          <w:sz w:val="21"/>
          <w:szCs w:val="22"/>
          <w:highlight w:val="none"/>
          <w:u w:val="single"/>
        </w:rPr>
      </w:r>
      <w:r/>
    </w:p>
    <w:p>
      <w:pPr>
        <w:pStyle w:val="1388"/>
        <w:spacing w:line="360" w:lineRule="auto"/>
        <w:rPr>
          <w:rFonts w:ascii="宋体" w:hAnsi="宋体"/>
          <w:sz w:val="21"/>
          <w:szCs w:val="21"/>
          <w:highlight w:val="none"/>
          <w:u w:val="single"/>
        </w:rPr>
      </w:pPr>
      <w:r>
        <w:rPr>
          <w:rFonts w:ascii="宋体" w:hAnsi="宋体"/>
          <w:sz w:val="21"/>
          <w:szCs w:val="22"/>
          <w:highlight w:val="none"/>
          <w:u w:val="single"/>
        </w:rPr>
      </w:r>
      <w:r>
        <w:rPr>
          <w:rFonts w:ascii="宋体" w:hAnsi="宋体"/>
          <w:sz w:val="21"/>
          <w:szCs w:val="22"/>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1"/>
          <w:highlight w:val="none"/>
          <w:u w:val="single"/>
        </w:rPr>
      </w:r>
      <w:r>
        <w:rPr>
          <w:rFonts w:ascii="宋体" w:hAnsi="宋体"/>
          <w:sz w:val="21"/>
          <w:szCs w:val="21"/>
          <w:highlight w:val="none"/>
          <w:u w:val="single"/>
        </w:rPr>
      </w:r>
      <w:r/>
    </w:p>
    <w:p>
      <w:pPr>
        <w:pStyle w:val="1388"/>
        <w:spacing w:line="360" w:lineRule="auto"/>
        <w:rPr>
          <w:rFonts w:ascii="宋体" w:hAnsi="宋体"/>
          <w:sz w:val="21"/>
          <w:szCs w:val="21"/>
          <w:highlight w:val="none"/>
          <w:u w:val="single"/>
        </w:rPr>
      </w:pPr>
      <w:r>
        <w:rPr>
          <w:rFonts w:ascii="宋体" w:hAnsi="宋体"/>
          <w:sz w:val="21"/>
          <w:szCs w:val="22"/>
          <w:highlight w:val="none"/>
          <w:u w:val="single"/>
        </w:rPr>
      </w:r>
      <w:r/>
    </w:p>
    <w:p>
      <w:pPr>
        <w:pStyle w:val="1388"/>
        <w:spacing w:line="360" w:lineRule="auto"/>
        <w:rPr>
          <w:rFonts w:ascii="宋体" w:hAnsi="宋体"/>
          <w:sz w:val="21"/>
          <w:szCs w:val="22"/>
          <w:highlight w:val="none"/>
          <w:u w:val="single"/>
        </w:rPr>
      </w:pPr>
      <w:r>
        <w:rPr>
          <w:rFonts w:ascii="宋体" w:hAnsi="宋体"/>
          <w:sz w:val="21"/>
          <w:szCs w:val="22"/>
          <w:highlight w:val="none"/>
          <w:u w:val="single"/>
        </w:rPr>
      </w:r>
      <w:r/>
    </w:p>
    <w:p>
      <w:pPr>
        <w:pStyle w:val="1388"/>
        <w:spacing w:line="360" w:lineRule="auto"/>
        <w:rPr>
          <w:rFonts w:ascii="宋体" w:hAnsi="宋体"/>
          <w:sz w:val="21"/>
          <w:szCs w:val="22"/>
          <w:highlight w:val="none"/>
          <w:u w:val="single"/>
        </w:rPr>
      </w:pPr>
      <w:r>
        <w:rPr>
          <w:rFonts w:ascii="宋体" w:hAnsi="宋体"/>
          <w:sz w:val="21"/>
          <w:szCs w:val="22"/>
          <w:highlight w:val="none"/>
          <w:u w:val="single"/>
        </w:rPr>
      </w:r>
      <w:r/>
    </w:p>
    <w:p>
      <w:pPr>
        <w:pStyle w:val="1388"/>
        <w:jc w:val="center"/>
        <w:spacing w:line="360" w:lineRule="auto"/>
        <w:rPr>
          <w:rFonts w:ascii="宋体" w:hAnsi="宋体"/>
          <w:b/>
          <w:sz w:val="32"/>
          <w:szCs w:val="22"/>
          <w:highlight w:val="none"/>
        </w:rPr>
      </w:pPr>
      <w:r/>
      <w:bookmarkStart w:id="203" w:name="_Toc351203494"/>
      <w:r/>
      <w:bookmarkStart w:id="204" w:name="_Toc256000056"/>
      <w:r/>
      <w:bookmarkStart w:id="205" w:name="_Toc256000053"/>
      <w:r>
        <w:rPr>
          <w:rFonts w:hint="eastAsia" w:ascii="宋体" w:hAnsi="宋体"/>
          <w:b/>
          <w:sz w:val="32"/>
          <w:szCs w:val="22"/>
          <w:highlight w:val="none"/>
        </w:rPr>
        <w:t xml:space="preserve">第二部分 通用合同条款</w:t>
      </w:r>
      <w:bookmarkEnd w:id="203"/>
      <w:r/>
      <w:bookmarkEnd w:id="204"/>
      <w:r/>
      <w:bookmarkEnd w:id="205"/>
      <w:r/>
      <w:bookmarkStart w:id="206" w:name="_Toc337558727"/>
      <w:r/>
      <w:r/>
    </w:p>
    <w:p>
      <w:pPr>
        <w:pStyle w:val="1388"/>
        <w:ind w:firstLine="420"/>
        <w:spacing w:line="360" w:lineRule="auto"/>
        <w:rPr>
          <w:rFonts w:ascii="宋体" w:hAnsi="宋体"/>
          <w:bCs/>
          <w:sz w:val="21"/>
          <w:szCs w:val="21"/>
          <w:highlight w:val="none"/>
        </w:rPr>
      </w:pPr>
      <w:r/>
      <w:bookmarkStart w:id="207" w:name="_Toc351203495"/>
      <w:r>
        <w:rPr>
          <w:rFonts w:hint="eastAsia" w:ascii="宋体" w:hAnsi="宋体"/>
          <w:bCs/>
          <w:sz w:val="21"/>
          <w:szCs w:val="21"/>
          <w:highlight w:val="none"/>
        </w:rPr>
        <w:t xml:space="preserve">执行《建设工程施工合同（示范文本）》（</w:t>
      </w:r>
      <w:r>
        <w:rPr>
          <w:rFonts w:ascii="宋体" w:hAnsi="宋体"/>
          <w:bCs/>
          <w:sz w:val="21"/>
          <w:szCs w:val="21"/>
          <w:highlight w:val="none"/>
        </w:rPr>
        <w:t xml:space="preserve">GF-2017-0201</w:t>
      </w:r>
      <w:r>
        <w:rPr>
          <w:rFonts w:hint="eastAsia" w:ascii="宋体" w:hAnsi="宋体"/>
          <w:bCs/>
          <w:sz w:val="21"/>
          <w:szCs w:val="21"/>
          <w:highlight w:val="none"/>
        </w:rPr>
        <w:t xml:space="preserve">）第二部分通用合同条款。</w:t>
      </w:r>
      <w:bookmarkEnd w:id="206"/>
      <w:r/>
      <w:bookmarkEnd w:id="207"/>
      <w:r/>
      <w:r/>
    </w:p>
    <w:p>
      <w:pPr>
        <w:pStyle w:val="1388"/>
        <w:jc w:val="center"/>
        <w:spacing w:line="360" w:lineRule="auto"/>
        <w:rPr>
          <w:rFonts w:ascii="宋体" w:hAnsi="宋体"/>
          <w:b/>
          <w:sz w:val="32"/>
          <w:szCs w:val="22"/>
          <w:highlight w:val="none"/>
        </w:rPr>
      </w:pPr>
      <w:r/>
      <w:bookmarkStart w:id="208" w:name="_Toc256000057"/>
      <w:r/>
      <w:bookmarkStart w:id="209" w:name="_Toc256000054"/>
      <w:r/>
      <w:bookmarkStart w:id="210" w:name="_Toc351203632"/>
      <w:r>
        <w:rPr>
          <w:rFonts w:hint="eastAsia" w:ascii="宋体" w:hAnsi="宋体"/>
          <w:b/>
          <w:sz w:val="32"/>
          <w:szCs w:val="22"/>
          <w:highlight w:val="none"/>
        </w:rPr>
        <w:t xml:space="preserve">第三部分 专用合同条款</w:t>
      </w:r>
      <w:bookmarkEnd w:id="208"/>
      <w:r/>
      <w:bookmarkEnd w:id="209"/>
      <w:r/>
      <w:bookmarkEnd w:id="210"/>
      <w:r/>
      <w:r/>
    </w:p>
    <w:p>
      <w:pPr>
        <w:pStyle w:val="1388"/>
        <w:spacing w:line="360" w:lineRule="auto"/>
        <w:rPr>
          <w:rFonts w:ascii="宋体" w:hAnsi="宋体"/>
          <w:b/>
          <w:sz w:val="21"/>
          <w:szCs w:val="21"/>
          <w:highlight w:val="none"/>
        </w:rPr>
      </w:pPr>
      <w:r/>
      <w:bookmarkStart w:id="211" w:name="_Toc351203633"/>
      <w:r>
        <w:rPr>
          <w:rFonts w:ascii="宋体" w:hAnsi="宋体"/>
          <w:b/>
          <w:sz w:val="21"/>
          <w:szCs w:val="21"/>
          <w:highlight w:val="none"/>
        </w:rPr>
        <w:t xml:space="preserve">1</w:t>
      </w:r>
      <w:bookmarkStart w:id="212" w:name="_Toc296346657"/>
      <w:r/>
      <w:bookmarkStart w:id="213" w:name="_Toc297120456"/>
      <w:r/>
      <w:bookmarkStart w:id="214" w:name="_Toc297048342"/>
      <w:r/>
      <w:bookmarkStart w:id="215" w:name="_Toc296347155"/>
      <w:r/>
      <w:bookmarkStart w:id="216" w:name="_Toc292559361"/>
      <w:r/>
      <w:bookmarkStart w:id="217" w:name="_Toc296944495"/>
      <w:r/>
      <w:bookmarkStart w:id="218" w:name="_Toc296891196"/>
      <w:r/>
      <w:bookmarkStart w:id="219" w:name="_Toc296890984"/>
      <w:r/>
      <w:bookmarkStart w:id="220" w:name="_Toc296503156"/>
      <w:r/>
      <w:bookmarkStart w:id="221" w:name="_Toc292559866"/>
      <w:r>
        <w:rPr>
          <w:rFonts w:ascii="宋体" w:hAnsi="宋体"/>
          <w:b/>
          <w:sz w:val="21"/>
          <w:szCs w:val="21"/>
          <w:highlight w:val="none"/>
        </w:rPr>
        <w:t xml:space="preserve">. </w:t>
      </w:r>
      <w:r>
        <w:rPr>
          <w:rFonts w:hint="eastAsia" w:ascii="宋体" w:hAnsi="宋体"/>
          <w:b/>
          <w:sz w:val="21"/>
          <w:szCs w:val="21"/>
          <w:highlight w:val="none"/>
        </w:rPr>
        <w:t xml:space="preserve">一般约定</w:t>
      </w:r>
      <w:bookmarkEnd w:id="211"/>
      <w:r/>
      <w:bookmarkEnd w:id="212"/>
      <w:r/>
      <w:bookmarkEnd w:id="213"/>
      <w:r/>
      <w:bookmarkEnd w:id="214"/>
      <w:r/>
      <w:bookmarkEnd w:id="215"/>
      <w:r/>
      <w:bookmarkEnd w:id="216"/>
      <w:r/>
      <w:bookmarkEnd w:id="217"/>
      <w:r/>
      <w:bookmarkEnd w:id="218"/>
      <w:r/>
      <w:bookmarkEnd w:id="219"/>
      <w:r/>
      <w:bookmarkEnd w:id="220"/>
      <w:r/>
      <w:bookmarkEnd w:id="221"/>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1.1 </w:t>
      </w:r>
      <w:r>
        <w:rPr>
          <w:rFonts w:hint="eastAsia" w:ascii="宋体" w:hAnsi="宋体"/>
          <w:b/>
          <w:sz w:val="21"/>
          <w:szCs w:val="21"/>
          <w:highlight w:val="none"/>
        </w:rPr>
        <w:t xml:space="preserve">词语定义</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1.1.1</w:t>
      </w:r>
      <w:r>
        <w:rPr>
          <w:rFonts w:hint="eastAsia" w:ascii="宋体" w:hAnsi="宋体"/>
          <w:sz w:val="21"/>
          <w:szCs w:val="21"/>
          <w:highlight w:val="none"/>
        </w:rPr>
        <w:t xml:space="preserve">合同</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1.1.1.10</w:t>
      </w:r>
      <w:r>
        <w:rPr>
          <w:rFonts w:hint="eastAsia" w:ascii="宋体" w:hAnsi="宋体"/>
          <w:sz w:val="21"/>
          <w:szCs w:val="21"/>
          <w:highlight w:val="none"/>
        </w:rPr>
        <w:t xml:space="preserve">其他合同文件包括：</w:t>
      </w:r>
      <w:r>
        <w:rPr>
          <w:rFonts w:hint="eastAsia" w:ascii="宋体" w:hAnsi="宋体"/>
          <w:sz w:val="21"/>
          <w:szCs w:val="21"/>
          <w:highlight w:val="none"/>
          <w:u w:val="single"/>
        </w:rPr>
        <w:t xml:space="preserve">(1) 施工招标文件（包括修改澄清通知）及答疑、投标文件及附件；(2)明确双方权利、义务的纪要、协议；（3）双方有关工程的合同洽商、变更等书面协议或文件等</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1.1.2 </w:t>
      </w:r>
      <w:r>
        <w:rPr>
          <w:rFonts w:hint="eastAsia" w:ascii="宋体" w:hAnsi="宋体"/>
          <w:sz w:val="21"/>
          <w:szCs w:val="21"/>
          <w:highlight w:val="none"/>
        </w:rPr>
        <w:t xml:space="preserve">合同当事人及其他相关方</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1.1.2.4</w:t>
      </w:r>
      <w:r>
        <w:rPr>
          <w:rFonts w:hint="eastAsia" w:ascii="宋体" w:hAnsi="宋体"/>
          <w:sz w:val="21"/>
          <w:szCs w:val="21"/>
          <w:highlight w:val="none"/>
        </w:rPr>
        <w:t xml:space="preserve">监理人：</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名</w:t>
      </w:r>
      <w:r>
        <w:rPr>
          <w:rFonts w:ascii="宋体" w:hAnsi="宋体"/>
          <w:sz w:val="21"/>
          <w:szCs w:val="21"/>
          <w:highlight w:val="none"/>
        </w:rPr>
        <w:t xml:space="preserve">    </w:t>
      </w:r>
      <w:r>
        <w:rPr>
          <w:rFonts w:hint="eastAsia" w:ascii="宋体" w:hAnsi="宋体"/>
          <w:sz w:val="21"/>
          <w:szCs w:val="21"/>
          <w:highlight w:val="none"/>
        </w:rPr>
        <w:t xml:space="preserve">称：</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资质类别和等级：</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联系电话：</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电子信箱：</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通信地址：</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1.1.2.5 </w:t>
      </w:r>
      <w:r>
        <w:rPr>
          <w:rFonts w:hint="eastAsia" w:ascii="宋体" w:hAnsi="宋体"/>
          <w:sz w:val="21"/>
          <w:szCs w:val="21"/>
          <w:highlight w:val="none"/>
        </w:rPr>
        <w:t xml:space="preserve">设计人：</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名</w:t>
      </w:r>
      <w:r>
        <w:rPr>
          <w:rFonts w:ascii="宋体" w:hAnsi="宋体"/>
          <w:sz w:val="21"/>
          <w:szCs w:val="21"/>
          <w:highlight w:val="none"/>
        </w:rPr>
        <w:t xml:space="preserve">    </w:t>
      </w:r>
      <w:r>
        <w:rPr>
          <w:rFonts w:hint="eastAsia" w:ascii="宋体" w:hAnsi="宋体"/>
          <w:sz w:val="21"/>
          <w:szCs w:val="21"/>
          <w:highlight w:val="none"/>
        </w:rPr>
        <w:t xml:space="preserve">称：</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资质类别和等级：</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联系电话：</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电子信箱：</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通信地址：</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1.1.3 </w:t>
      </w:r>
      <w:r>
        <w:rPr>
          <w:rFonts w:hint="eastAsia" w:ascii="宋体" w:hAnsi="宋体"/>
          <w:sz w:val="21"/>
          <w:szCs w:val="21"/>
          <w:highlight w:val="none"/>
        </w:rPr>
        <w:t xml:space="preserve">工程和设备</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1.1.3.7 </w:t>
      </w:r>
      <w:r>
        <w:rPr>
          <w:rFonts w:hint="eastAsia" w:ascii="宋体" w:hAnsi="宋体"/>
          <w:sz w:val="21"/>
          <w:szCs w:val="21"/>
          <w:highlight w:val="none"/>
        </w:rPr>
        <w:t xml:space="preserve">作为施工现场组成部分的其他场所包括：</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1.1.3.9 </w:t>
      </w:r>
      <w:r>
        <w:rPr>
          <w:rFonts w:hint="eastAsia" w:ascii="宋体" w:hAnsi="宋体"/>
          <w:sz w:val="21"/>
          <w:szCs w:val="21"/>
          <w:highlight w:val="none"/>
        </w:rPr>
        <w:t xml:space="preserve">永久占地包括：</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1.1.3.10 </w:t>
      </w:r>
      <w:r>
        <w:rPr>
          <w:rFonts w:hint="eastAsia" w:ascii="宋体" w:hAnsi="宋体"/>
          <w:sz w:val="21"/>
          <w:szCs w:val="21"/>
          <w:highlight w:val="none"/>
        </w:rPr>
        <w:t xml:space="preserve">临时占地包括：</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1.2</w:t>
      </w:r>
      <w:r>
        <w:rPr>
          <w:rFonts w:hint="eastAsia" w:ascii="宋体" w:hAnsi="宋体"/>
          <w:b/>
          <w:sz w:val="21"/>
          <w:szCs w:val="21"/>
          <w:highlight w:val="none"/>
        </w:rPr>
        <w:t xml:space="preserve">法律</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适用于合同的其他规范性文件：</w:t>
      </w:r>
      <w:r>
        <w:rPr>
          <w:rFonts w:hint="eastAsia" w:ascii="宋体" w:hAnsi="宋体"/>
          <w:sz w:val="21"/>
          <w:szCs w:val="21"/>
          <w:highlight w:val="none"/>
          <w:u w:val="single"/>
        </w:rPr>
        <w:t xml:space="preserve">中国人民共和国现行的法律、行政法规</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1.3 </w:t>
      </w:r>
      <w:r>
        <w:rPr>
          <w:rFonts w:hint="eastAsia" w:ascii="宋体" w:hAnsi="宋体"/>
          <w:b/>
          <w:sz w:val="21"/>
          <w:szCs w:val="21"/>
          <w:highlight w:val="none"/>
        </w:rPr>
        <w:t xml:space="preserve">标准和规范</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1.3.1</w:t>
      </w:r>
      <w:r>
        <w:rPr>
          <w:rFonts w:hint="eastAsia" w:ascii="宋体" w:hAnsi="宋体"/>
          <w:sz w:val="21"/>
          <w:szCs w:val="21"/>
          <w:highlight w:val="none"/>
        </w:rPr>
        <w:t xml:space="preserve">适用于工程的标准规范包括：</w:t>
      </w:r>
      <w:r>
        <w:rPr>
          <w:rFonts w:hint="eastAsia" w:ascii="宋体" w:hAnsi="宋体"/>
          <w:sz w:val="21"/>
          <w:szCs w:val="21"/>
          <w:highlight w:val="none"/>
          <w:u w:val="single"/>
        </w:rPr>
        <w:t xml:space="preserve">《建筑工程施工质量检查与验收手册》等现行的与本工程有关的国家标准、行业标准、规范及省、市有关规定</w:t>
      </w:r>
      <w:r>
        <w:rPr>
          <w:rFonts w:hint="eastAsia" w:ascii="宋体" w:hAnsi="宋体"/>
          <w:sz w:val="21"/>
          <w:szCs w:val="21"/>
          <w:highlight w:val="none"/>
        </w:rPr>
        <w:t xml:space="preserve">。</w:t>
      </w:r>
      <w:r/>
    </w:p>
    <w:p>
      <w:pPr>
        <w:pStyle w:val="1389"/>
        <w:ind w:firstLine="420"/>
        <w:spacing w:line="360" w:lineRule="auto"/>
        <w:rPr>
          <w:rFonts w:ascii="宋体" w:hAnsi="宋体"/>
          <w:sz w:val="21"/>
          <w:szCs w:val="21"/>
          <w:highlight w:val="none"/>
        </w:rPr>
      </w:pPr>
      <w:r>
        <w:rPr>
          <w:rFonts w:ascii="宋体" w:hAnsi="宋体"/>
          <w:sz w:val="21"/>
          <w:szCs w:val="21"/>
          <w:highlight w:val="none"/>
        </w:rPr>
        <w:t xml:space="preserve">1.3.2 </w:t>
      </w:r>
      <w:r>
        <w:rPr>
          <w:rFonts w:hint="eastAsia" w:ascii="宋体" w:hAnsi="宋体"/>
          <w:sz w:val="21"/>
          <w:szCs w:val="21"/>
          <w:highlight w:val="none"/>
        </w:rPr>
        <w:t xml:space="preserve">发包人提供国外标准、规范的名称：</w:t>
      </w:r>
      <w:r>
        <w:rPr>
          <w:rFonts w:hint="eastAsia" w:ascii="宋体" w:hAnsi="宋体" w:eastAsia="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eastAsia="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发包人提供国外标准、规范的份数：</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发包人提供国外标准、规范的名称：</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1.3.3</w:t>
      </w:r>
      <w:r>
        <w:rPr>
          <w:rFonts w:hint="eastAsia" w:ascii="宋体" w:hAnsi="宋体"/>
          <w:sz w:val="21"/>
          <w:szCs w:val="21"/>
          <w:highlight w:val="none"/>
        </w:rPr>
        <w:t xml:space="preserve">发包人对工程的技术标准和功能要求的特殊要求：</w:t>
      </w:r>
      <w:r>
        <w:rPr>
          <w:rFonts w:hint="eastAsia" w:ascii="宋体" w:hAnsi="宋体"/>
          <w:sz w:val="21"/>
          <w:szCs w:val="21"/>
          <w:highlight w:val="none"/>
          <w:u w:val="single"/>
        </w:rPr>
        <w:t xml:space="preserve">承包人自备国内现行适用的标准、规范、规程及配套图集</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1.4 </w:t>
      </w:r>
      <w:r>
        <w:rPr>
          <w:rFonts w:hint="eastAsia" w:ascii="宋体" w:hAnsi="宋体"/>
          <w:b/>
          <w:sz w:val="21"/>
          <w:szCs w:val="21"/>
          <w:highlight w:val="none"/>
        </w:rPr>
        <w:t xml:space="preserve">合同文件的优先顺序</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合同文件组成及优先顺序为：</w:t>
      </w:r>
      <w:r>
        <w:rPr>
          <w:rFonts w:hint="eastAsia" w:ascii="宋体" w:hAnsi="宋体"/>
          <w:sz w:val="21"/>
          <w:szCs w:val="21"/>
          <w:highlight w:val="none"/>
          <w:u w:val="single"/>
        </w:rPr>
        <w:t xml:space="preserve">（1）本合同协议书；（2）中标通知书；（3）投标函及投标函附录；（4）本合同专用条款；（5）本合同通用条款；（6）技术标准和要求；（7）已标价工程量清单；（8）其他合同文件</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1.5 </w:t>
      </w:r>
      <w:r>
        <w:rPr>
          <w:rFonts w:hint="eastAsia" w:ascii="宋体" w:hAnsi="宋体"/>
          <w:b/>
          <w:sz w:val="21"/>
          <w:szCs w:val="21"/>
          <w:highlight w:val="none"/>
        </w:rPr>
        <w:t xml:space="preserve">图纸和承包人文件</w:t>
      </w:r>
      <w:r>
        <w:rPr>
          <w:rFonts w:ascii="宋体" w:hAnsi="宋体"/>
          <w:b/>
          <w:sz w:val="21"/>
          <w:szCs w:val="21"/>
          <w:highlight w:val="none"/>
        </w:rPr>
        <w:tab/>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1.5.1 </w:t>
      </w:r>
      <w:r>
        <w:rPr>
          <w:rFonts w:hint="eastAsia" w:ascii="宋体" w:hAnsi="宋体"/>
          <w:sz w:val="21"/>
          <w:szCs w:val="21"/>
          <w:highlight w:val="none"/>
        </w:rPr>
        <w:t xml:space="preserve">图纸的提供</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发包人向承包人提供图纸的期限：</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发包人向承包人提供图纸的数量：</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发包人向承包人提供图纸的内容：</w:t>
      </w:r>
      <w:r>
        <w:rPr>
          <w:rFonts w:hint="eastAsia" w:ascii="宋体" w:hAnsi="宋体"/>
          <w:sz w:val="21"/>
          <w:szCs w:val="21"/>
          <w:highlight w:val="none"/>
          <w:u w:val="single"/>
        </w:rPr>
        <w:t xml:space="preserve">与本合同工程内容相关的图纸，承包人收到图纸后应认真核对，如发现有明显错误或遗漏，应立即以书面形式报告发包人，否则应承担全部责任</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15.4 </w:t>
      </w:r>
      <w:r>
        <w:rPr>
          <w:rFonts w:hint="eastAsia" w:ascii="宋体" w:hAnsi="宋体"/>
          <w:sz w:val="21"/>
          <w:szCs w:val="21"/>
          <w:highlight w:val="none"/>
        </w:rPr>
        <w:t xml:space="preserve">承包人文件</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需要由承包人提供的文件，包括：</w:t>
      </w:r>
      <w:r>
        <w:rPr>
          <w:rFonts w:hint="eastAsia" w:ascii="宋体" w:hAnsi="宋体"/>
          <w:sz w:val="21"/>
          <w:szCs w:val="21"/>
          <w:highlight w:val="none"/>
          <w:u w:val="single"/>
        </w:rPr>
        <w:t xml:space="preserve">工程进度计划、材料进场总计划。进场施工前提供材料计划，材料投标品牌，按发包方及监理方要求提供详细的施工进度计划、已完工程量报表（含工程变更及签证预算、发包人供材料清单、承包人购材料清单、材料进场计划等资料）。分项的施工组织设计在开工前向发包人提供</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承包人提供的文件的期限为：</w:t>
      </w:r>
      <w:r>
        <w:rPr>
          <w:rFonts w:hint="eastAsia" w:ascii="宋体" w:hAnsi="宋体"/>
          <w:sz w:val="21"/>
          <w:szCs w:val="21"/>
          <w:highlight w:val="none"/>
          <w:u w:val="single"/>
        </w:rPr>
        <w:t xml:space="preserve">承包人在开工前 7 日内，向监理工程师提交 4 份其格式和内容符合监理工程师规定的主体工程施工组织设计；对于工程关键部位和环节，施工前至少 7 日内应按监理工程师要求提交专项施工方案，以备审查批准。每月 25 日前应按监理工程师要求提供本月月报及下月计划各 4 份，每周例会前一天应按监理工程师要求提供本周周报及下周计划各 4 份及电子文档，必要时应按监理工程师要求提供日报及日计划各 4 份</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承包人提供的文件的数量为：</w:t>
      </w:r>
      <w:r>
        <w:rPr>
          <w:rFonts w:hint="eastAsia" w:ascii="宋体" w:hAnsi="宋体"/>
          <w:sz w:val="21"/>
          <w:szCs w:val="21"/>
          <w:highlight w:val="none"/>
          <w:u w:val="single"/>
        </w:rPr>
        <w:t xml:space="preserve">上述文件资料不少于一式四份，如提供的份数无法满足需求，承包人需无偿另行提供，承包人需一并提供上述资料的电子版文件</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承包人提供的文件的形式为：</w:t>
      </w:r>
      <w:r>
        <w:rPr>
          <w:rFonts w:hint="eastAsia" w:ascii="宋体" w:hAnsi="宋体"/>
          <w:sz w:val="21"/>
          <w:szCs w:val="21"/>
          <w:highlight w:val="none"/>
          <w:u w:val="single"/>
        </w:rPr>
        <w:t xml:space="preserve">纸质文件（按要求签字、盖章）</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发包人审批承包人文件的期限：</w:t>
      </w:r>
      <w:r>
        <w:rPr>
          <w:rFonts w:hint="eastAsia" w:ascii="宋体" w:hAnsi="宋体"/>
          <w:sz w:val="21"/>
          <w:szCs w:val="21"/>
          <w:highlight w:val="none"/>
          <w:u w:val="single"/>
        </w:rPr>
        <w:t xml:space="preserve">承包人提交文件（文件需齐全、有效）后7日内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1.5.5 </w:t>
      </w:r>
      <w:r>
        <w:rPr>
          <w:rFonts w:hint="eastAsia" w:ascii="宋体" w:hAnsi="宋体"/>
          <w:sz w:val="21"/>
          <w:szCs w:val="21"/>
          <w:highlight w:val="none"/>
        </w:rPr>
        <w:t xml:space="preserve">现场图纸准备</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关于现场图纸准备的约定：</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1.6 </w:t>
      </w:r>
      <w:r>
        <w:rPr>
          <w:rFonts w:hint="eastAsia" w:ascii="宋体" w:hAnsi="宋体"/>
          <w:b/>
          <w:sz w:val="21"/>
          <w:szCs w:val="21"/>
          <w:highlight w:val="none"/>
        </w:rPr>
        <w:t xml:space="preserve">联络</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1.6.1</w:t>
      </w:r>
      <w:r>
        <w:rPr>
          <w:rFonts w:hint="eastAsia" w:ascii="宋体" w:hAnsi="宋体"/>
          <w:sz w:val="21"/>
          <w:szCs w:val="21"/>
          <w:highlight w:val="none"/>
        </w:rPr>
        <w:t xml:space="preserve">发包人和承包人应当在</w:t>
      </w:r>
      <w:r>
        <w:rPr>
          <w:rFonts w:ascii="宋体" w:hAnsi="宋体"/>
          <w:sz w:val="21"/>
          <w:szCs w:val="21"/>
          <w:highlight w:val="none"/>
          <w:u w:val="single"/>
        </w:rPr>
        <w:t xml:space="preserve"> </w:t>
      </w:r>
      <w:r>
        <w:rPr>
          <w:rFonts w:hint="eastAsia" w:ascii="宋体" w:hAnsi="宋体"/>
          <w:sz w:val="21"/>
          <w:szCs w:val="21"/>
          <w:highlight w:val="none"/>
          <w:u w:val="single"/>
        </w:rPr>
        <w:t xml:space="preserve">5</w:t>
      </w:r>
      <w:r>
        <w:rPr>
          <w:rFonts w:ascii="宋体" w:hAnsi="宋体"/>
          <w:sz w:val="21"/>
          <w:szCs w:val="21"/>
          <w:highlight w:val="none"/>
          <w:u w:val="single"/>
        </w:rPr>
        <w:t xml:space="preserve"> </w:t>
      </w:r>
      <w:r>
        <w:rPr>
          <w:rFonts w:hint="eastAsia" w:ascii="宋体" w:hAnsi="宋体"/>
          <w:sz w:val="21"/>
          <w:szCs w:val="21"/>
          <w:highlight w:val="none"/>
        </w:rPr>
        <w:t xml:space="preserve">天内将与合同有关的通知、批准、证明、证书、指示、指令、要求、请求、同意、意见、确定和决定等书面函件送达对方当事人。</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1.6.2 </w:t>
      </w:r>
      <w:r>
        <w:rPr>
          <w:rFonts w:hint="eastAsia" w:ascii="宋体" w:hAnsi="宋体"/>
          <w:sz w:val="21"/>
          <w:szCs w:val="21"/>
          <w:highlight w:val="none"/>
        </w:rPr>
        <w:t xml:space="preserve">发包人接收文件的地点：</w:t>
      </w:r>
      <w:r>
        <w:rPr>
          <w:rFonts w:hint="eastAsia" w:ascii="宋体" w:hAnsi="宋体"/>
          <w:sz w:val="21"/>
          <w:szCs w:val="21"/>
          <w:highlight w:val="none"/>
          <w:u w:val="single"/>
        </w:rPr>
        <w:t xml:space="preserve">发包人办公室</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发包人指定的接收人为：</w:t>
      </w:r>
      <w:r>
        <w:rPr>
          <w:rFonts w:hint="eastAsia" w:ascii="宋体" w:hAnsi="宋体"/>
          <w:sz w:val="21"/>
          <w:szCs w:val="21"/>
          <w:highlight w:val="none"/>
          <w:u w:val="single"/>
        </w:rPr>
        <w:t xml:space="preserve">发包人代表及其授权人</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承包人接收文件的地点：</w:t>
      </w:r>
      <w:r>
        <w:rPr>
          <w:rFonts w:hint="eastAsia" w:ascii="宋体" w:hAnsi="宋体"/>
          <w:sz w:val="21"/>
          <w:szCs w:val="21"/>
          <w:highlight w:val="none"/>
          <w:u w:val="single"/>
        </w:rPr>
        <w:t xml:space="preserve">承包人项目经理或项目部主要人员办公室</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承包人指定的接收人为：</w:t>
      </w:r>
      <w:r>
        <w:rPr>
          <w:rFonts w:hint="eastAsia" w:ascii="宋体" w:hAnsi="宋体"/>
          <w:sz w:val="21"/>
          <w:szCs w:val="21"/>
          <w:highlight w:val="none"/>
          <w:u w:val="single"/>
        </w:rPr>
        <w:t xml:space="preserve">承包人项目经理或其授权人</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监理人接收文件的地点：</w:t>
      </w:r>
      <w:r>
        <w:rPr>
          <w:rFonts w:hint="eastAsia" w:ascii="宋体" w:hAnsi="宋体"/>
          <w:sz w:val="21"/>
          <w:szCs w:val="21"/>
          <w:highlight w:val="none"/>
          <w:u w:val="single"/>
        </w:rPr>
        <w:t xml:space="preserve">监理人现场办公室</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监理人指定的接收人为：</w:t>
      </w:r>
      <w:r>
        <w:rPr>
          <w:rFonts w:hint="eastAsia" w:ascii="宋体" w:hAnsi="宋体"/>
          <w:sz w:val="21"/>
          <w:szCs w:val="21"/>
          <w:highlight w:val="none"/>
          <w:u w:val="single"/>
        </w:rPr>
        <w:t xml:space="preserve">总监理工程师或其授权人</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1.7 </w:t>
      </w:r>
      <w:r>
        <w:rPr>
          <w:rFonts w:hint="eastAsia" w:ascii="宋体" w:hAnsi="宋体"/>
          <w:b/>
          <w:sz w:val="21"/>
          <w:szCs w:val="21"/>
          <w:highlight w:val="none"/>
        </w:rPr>
        <w:t xml:space="preserve">交通运输</w:t>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1</w:t>
      </w:r>
      <w:bookmarkStart w:id="222" w:name="_Toc303539100"/>
      <w:r/>
      <w:bookmarkStart w:id="223" w:name="_Toc318581155"/>
      <w:r/>
      <w:bookmarkStart w:id="224" w:name="_Toc304295521"/>
      <w:r/>
      <w:bookmarkStart w:id="225" w:name="_Toc312677986"/>
      <w:r/>
      <w:bookmarkStart w:id="226" w:name="_Toc300934943"/>
      <w:r>
        <w:rPr>
          <w:rFonts w:ascii="宋体" w:hAnsi="宋体"/>
          <w:sz w:val="21"/>
          <w:szCs w:val="22"/>
          <w:highlight w:val="none"/>
        </w:rPr>
        <w:t xml:space="preserve">.7.1 </w:t>
      </w:r>
      <w:r>
        <w:rPr>
          <w:rFonts w:hint="eastAsia" w:ascii="宋体" w:hAnsi="宋体"/>
          <w:sz w:val="21"/>
          <w:szCs w:val="22"/>
          <w:highlight w:val="none"/>
        </w:rPr>
        <w:t xml:space="preserve">出入现场的权利</w:t>
      </w:r>
      <w:r/>
    </w:p>
    <w:p>
      <w:pPr>
        <w:pStyle w:val="1388"/>
        <w:ind w:firstLine="420"/>
        <w:spacing w:line="360" w:lineRule="auto"/>
        <w:rPr>
          <w:rFonts w:ascii="宋体" w:hAnsi="宋体"/>
          <w:sz w:val="21"/>
          <w:szCs w:val="22"/>
          <w:highlight w:val="none"/>
        </w:rPr>
      </w:pPr>
      <w:r>
        <w:rPr>
          <w:rFonts w:hint="eastAsia" w:ascii="宋体" w:hAnsi="宋体"/>
          <w:sz w:val="21"/>
          <w:szCs w:val="22"/>
          <w:highlight w:val="none"/>
        </w:rPr>
        <w:t xml:space="preserve">关于出入现场的权利的约定</w:t>
      </w:r>
      <w:bookmarkEnd w:id="222"/>
      <w:r/>
      <w:bookmarkEnd w:id="223"/>
      <w:r/>
      <w:bookmarkEnd w:id="224"/>
      <w:r/>
      <w:bookmarkEnd w:id="225"/>
      <w:r/>
      <w:bookmarkEnd w:id="226"/>
      <w:r>
        <w:rPr>
          <w:rFonts w:hint="eastAsia" w:ascii="宋体" w:hAnsi="宋体"/>
          <w:sz w:val="21"/>
          <w:szCs w:val="22"/>
          <w:highlight w:val="none"/>
        </w:rPr>
        <w:t xml:space="preserve">：</w:t>
      </w:r>
      <w:r>
        <w:rPr>
          <w:rFonts w:hint="eastAsia" w:ascii="宋体" w:hAnsi="宋体"/>
          <w:sz w:val="21"/>
          <w:szCs w:val="21"/>
          <w:highlight w:val="none"/>
          <w:u w:val="single"/>
        </w:rPr>
        <w:t xml:space="preserve">只有项目施工人员办理许可证才能进入施工现场，其他无关人员一律不能进入施工现场，如果擅自进入现场，由此而产生的后果以及造成的一切损失由承包人承担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w:t>
      </w:r>
      <w:bookmarkStart w:id="227" w:name="_Toc303539101"/>
      <w:r/>
      <w:bookmarkStart w:id="228" w:name="_Toc304295522"/>
      <w:r/>
      <w:bookmarkStart w:id="229" w:name="_Toc318581156"/>
      <w:r/>
      <w:bookmarkStart w:id="230" w:name="_Toc312677987"/>
      <w:r/>
      <w:bookmarkStart w:id="231" w:name="_Toc300934944"/>
      <w:r>
        <w:rPr>
          <w:rFonts w:ascii="宋体" w:hAnsi="宋体"/>
          <w:sz w:val="21"/>
          <w:szCs w:val="21"/>
          <w:highlight w:val="none"/>
        </w:rPr>
        <w:t xml:space="preserve">.7.2 </w:t>
      </w:r>
      <w:r>
        <w:rPr>
          <w:rFonts w:hint="eastAsia" w:ascii="宋体" w:hAnsi="宋体"/>
          <w:sz w:val="21"/>
          <w:szCs w:val="21"/>
          <w:highlight w:val="none"/>
        </w:rPr>
        <w:t xml:space="preserve">场内交通</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关于场外交通和场内交通的边界的约定：</w:t>
      </w:r>
      <w:r>
        <w:rPr>
          <w:rFonts w:hint="eastAsia" w:ascii="宋体" w:hAnsi="宋体"/>
          <w:sz w:val="21"/>
          <w:szCs w:val="21"/>
          <w:highlight w:val="none"/>
          <w:u w:val="single"/>
        </w:rPr>
        <w:t xml:space="preserve">施工场地内和本项目有关的道路</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关于发包人向承包人免费提供满足工程施工需要的场内道路和交通设施的约定：</w:t>
      </w:r>
      <w:r>
        <w:rPr>
          <w:rFonts w:hint="eastAsia" w:ascii="宋体" w:hAnsi="宋体"/>
          <w:sz w:val="21"/>
          <w:szCs w:val="21"/>
          <w:highlight w:val="none"/>
          <w:u w:val="single"/>
        </w:rPr>
        <w:t xml:space="preserve">由承包人自行解决</w:t>
      </w:r>
      <w:r>
        <w:rPr>
          <w:rFonts w:hint="eastAsia" w:ascii="宋体" w:hAnsi="宋体"/>
          <w:sz w:val="21"/>
          <w:szCs w:val="21"/>
          <w:highlight w:val="none"/>
        </w:rPr>
        <w:t xml:space="preserve">。</w:t>
      </w:r>
      <w:bookmarkEnd w:id="227"/>
      <w:r/>
      <w:bookmarkEnd w:id="228"/>
      <w:r/>
      <w:bookmarkEnd w:id="229"/>
      <w:r/>
      <w:bookmarkEnd w:id="230"/>
      <w:r/>
      <w:bookmarkEnd w:id="231"/>
      <w:r/>
      <w:bookmarkStart w:id="232" w:name="_Toc318581157"/>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1.7.3</w:t>
      </w:r>
      <w:r>
        <w:rPr>
          <w:rFonts w:hint="eastAsia" w:ascii="宋体" w:hAnsi="宋体"/>
          <w:sz w:val="21"/>
          <w:szCs w:val="21"/>
          <w:highlight w:val="none"/>
        </w:rPr>
        <w:t xml:space="preserve">超大件和超重件的运输</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运输超大件或超重件所需的道路和桥梁临时加固改造费用和其他有关费用由</w:t>
      </w:r>
      <w:r>
        <w:rPr>
          <w:rFonts w:ascii="宋体" w:hAnsi="宋体"/>
          <w:sz w:val="21"/>
          <w:szCs w:val="21"/>
          <w:highlight w:val="none"/>
          <w:u w:val="single"/>
        </w:rPr>
        <w:t xml:space="preserve"> </w:t>
      </w:r>
      <w:r>
        <w:rPr>
          <w:rFonts w:hint="eastAsia" w:ascii="宋体" w:hAnsi="宋体"/>
          <w:sz w:val="21"/>
          <w:szCs w:val="21"/>
          <w:highlight w:val="none"/>
          <w:u w:val="single"/>
        </w:rPr>
        <w:t xml:space="preserve">承包人</w:t>
      </w:r>
      <w:r>
        <w:rPr>
          <w:rFonts w:ascii="宋体" w:hAnsi="宋体"/>
          <w:sz w:val="21"/>
          <w:szCs w:val="21"/>
          <w:highlight w:val="none"/>
          <w:u w:val="single"/>
        </w:rPr>
        <w:t xml:space="preserve"> </w:t>
      </w:r>
      <w:r>
        <w:rPr>
          <w:rFonts w:hint="eastAsia" w:ascii="宋体" w:hAnsi="宋体"/>
          <w:sz w:val="21"/>
          <w:szCs w:val="21"/>
          <w:highlight w:val="none"/>
        </w:rPr>
        <w:t xml:space="preserve">承担。</w:t>
      </w:r>
      <w:bookmarkEnd w:id="232"/>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1.8 </w:t>
      </w:r>
      <w:r>
        <w:rPr>
          <w:rFonts w:hint="eastAsia" w:ascii="宋体" w:hAnsi="宋体"/>
          <w:b/>
          <w:sz w:val="21"/>
          <w:szCs w:val="21"/>
          <w:highlight w:val="none"/>
        </w:rPr>
        <w:t xml:space="preserve">知识产权</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1.8.1</w:t>
      </w:r>
      <w:r>
        <w:rPr>
          <w:rFonts w:hint="eastAsia" w:ascii="宋体" w:hAnsi="宋体"/>
          <w:sz w:val="21"/>
          <w:szCs w:val="21"/>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关于发包人提供的上述文件的使用限制的要求：</w:t>
      </w:r>
      <w:r>
        <w:rPr>
          <w:rFonts w:hint="eastAsia" w:ascii="宋体" w:hAnsi="宋体"/>
          <w:sz w:val="21"/>
          <w:szCs w:val="21"/>
          <w:highlight w:val="none"/>
          <w:u w:val="single"/>
        </w:rPr>
        <w:t xml:space="preserve">承包人履行图纸的保密义务，不得将图纸内容泄露给无关的第三方或将图纸用于非发包人同意的本工程以外的其他工程，否则所造成的损失由承包人负责赔偿，工程竣工后，除承包人存档需要的图纸外，原图全部收回，否则承担违约金3万元</w:t>
      </w:r>
      <w:r>
        <w:rPr>
          <w:rFonts w:hint="eastAsia" w:ascii="宋体" w:hAnsi="宋体"/>
          <w:sz w:val="21"/>
          <w:szCs w:val="21"/>
          <w:highlight w:val="none"/>
        </w:rPr>
        <w:t xml:space="preserve">。</w:t>
      </w:r>
      <w:r/>
    </w:p>
    <w:p>
      <w:pPr>
        <w:pStyle w:val="1389"/>
        <w:ind w:firstLine="420"/>
        <w:spacing w:line="360" w:lineRule="auto"/>
        <w:rPr>
          <w:rFonts w:ascii="宋体" w:hAnsi="宋体"/>
          <w:sz w:val="21"/>
          <w:szCs w:val="21"/>
          <w:highlight w:val="none"/>
        </w:rPr>
      </w:pPr>
      <w:r>
        <w:rPr>
          <w:rFonts w:ascii="宋体" w:hAnsi="宋体"/>
          <w:sz w:val="21"/>
          <w:szCs w:val="21"/>
          <w:highlight w:val="none"/>
        </w:rPr>
        <w:t xml:space="preserve">1.8.2 </w:t>
      </w:r>
      <w:r>
        <w:rPr>
          <w:rFonts w:hint="eastAsia" w:ascii="宋体" w:hAnsi="宋体"/>
          <w:sz w:val="21"/>
          <w:szCs w:val="21"/>
          <w:highlight w:val="none"/>
        </w:rPr>
        <w:t xml:space="preserve">关于承包人为实施工程所编制文件的著作权的归属：</w:t>
      </w:r>
      <w:r>
        <w:rPr>
          <w:rFonts w:hint="eastAsia" w:ascii="宋体" w:hAnsi="宋体"/>
          <w:sz w:val="21"/>
          <w:szCs w:val="21"/>
          <w:highlight w:val="none"/>
          <w:u w:val="single"/>
        </w:rPr>
        <w:t xml:space="preserve">归承包人所有</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1.8.3</w:t>
      </w:r>
      <w:r>
        <w:rPr>
          <w:rFonts w:hint="eastAsia" w:ascii="宋体" w:hAnsi="宋体"/>
          <w:sz w:val="21"/>
          <w:szCs w:val="21"/>
          <w:highlight w:val="none"/>
        </w:rPr>
        <w:t xml:space="preserve">关于承包人提供的上述文件的使用限制的要求：</w:t>
      </w:r>
      <w:r>
        <w:rPr>
          <w:rFonts w:hint="eastAsia" w:ascii="宋体" w:hAnsi="宋体"/>
          <w:sz w:val="21"/>
          <w:szCs w:val="21"/>
          <w:highlight w:val="none"/>
          <w:u w:val="single"/>
        </w:rPr>
        <w:t xml:space="preserve">不得用于与本工程无关的一切事宜</w:t>
      </w:r>
      <w:r>
        <w:rPr>
          <w:rFonts w:hint="eastAsia" w:ascii="宋体" w:hAnsi="宋体"/>
          <w:sz w:val="21"/>
          <w:szCs w:val="21"/>
          <w:highlight w:val="none"/>
        </w:rPr>
        <w:t xml:space="preserve">。</w:t>
      </w:r>
      <w:r/>
    </w:p>
    <w:p>
      <w:pPr>
        <w:pStyle w:val="1388"/>
        <w:ind w:firstLine="420"/>
        <w:spacing w:line="360" w:lineRule="auto"/>
        <w:rPr>
          <w:rFonts w:ascii="宋体" w:hAnsi="宋体"/>
          <w:sz w:val="21"/>
          <w:szCs w:val="22"/>
          <w:highlight w:val="none"/>
        </w:rPr>
      </w:pPr>
      <w:r>
        <w:rPr>
          <w:rFonts w:ascii="宋体" w:hAnsi="宋体"/>
          <w:sz w:val="21"/>
          <w:szCs w:val="22"/>
          <w:highlight w:val="none"/>
        </w:rPr>
        <w:t xml:space="preserve">1.8.4 </w:t>
      </w:r>
      <w:r>
        <w:rPr>
          <w:rFonts w:hint="eastAsia" w:ascii="宋体" w:hAnsi="宋体"/>
          <w:sz w:val="21"/>
          <w:szCs w:val="22"/>
          <w:highlight w:val="none"/>
        </w:rPr>
        <w:t xml:space="preserve">承包人在施工过程中所采用的专利、专有技术、技术秘密的使用费的承担方式：</w:t>
      </w:r>
      <w:r>
        <w:rPr>
          <w:rFonts w:hint="eastAsia" w:ascii="宋体" w:hAnsi="宋体"/>
          <w:sz w:val="21"/>
          <w:szCs w:val="21"/>
          <w:highlight w:val="none"/>
          <w:u w:val="single"/>
        </w:rPr>
        <w:t xml:space="preserve">如有，将由承包人承担</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1.9</w:t>
      </w:r>
      <w:r>
        <w:rPr>
          <w:rFonts w:hint="eastAsia" w:ascii="宋体" w:hAnsi="宋体"/>
          <w:b/>
          <w:sz w:val="21"/>
          <w:szCs w:val="21"/>
          <w:highlight w:val="none"/>
        </w:rPr>
        <w:t xml:space="preserve">工程量清单错误的修正</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出现工程量清单错误时，是否调整合同价格：</w:t>
      </w:r>
      <w:r>
        <w:rPr>
          <w:rFonts w:ascii="宋体" w:hAnsi="宋体"/>
          <w:sz w:val="21"/>
          <w:szCs w:val="21"/>
          <w:highlight w:val="none"/>
          <w:u w:val="single"/>
        </w:rPr>
        <w:t xml:space="preserve">    </w:t>
      </w:r>
      <w:r>
        <w:rPr>
          <w:rFonts w:hint="eastAsia" w:ascii="宋体" w:hAnsi="宋体"/>
          <w:sz w:val="21"/>
          <w:szCs w:val="21"/>
          <w:highlight w:val="none"/>
          <w:u w:val="single"/>
        </w:rPr>
        <w:t xml:space="preserve">是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允许调整合同价格的工程量偏差范围：</w:t>
      </w:r>
      <w:r>
        <w:rPr>
          <w:rFonts w:hint="eastAsia" w:ascii="宋体" w:hAnsi="宋体"/>
          <w:sz w:val="21"/>
          <w:szCs w:val="21"/>
          <w:highlight w:val="none"/>
          <w:u w:val="single"/>
        </w:rPr>
        <w:t xml:space="preserve">（1）工程量清单存在缺项、漏项的；（2）工程量清单偏差超过15%，当工程量增加15%以上时，其增加部分的工程量的综合单价应予调低；当工程量减少15%以上时，减少后剩余部分的工程量的综合单价应予调高；调整办法参照GB50500-2013《建设工程工程量清单计价规范》；（3）未按照国家现行计量规范强制性规定计量的</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233" w:name="_Toc351203634"/>
      <w:r>
        <w:rPr>
          <w:rFonts w:ascii="宋体" w:hAnsi="宋体"/>
          <w:b/>
          <w:sz w:val="21"/>
          <w:szCs w:val="21"/>
          <w:highlight w:val="none"/>
        </w:rPr>
        <w:t xml:space="preserve">2</w:t>
      </w:r>
      <w:bookmarkStart w:id="234" w:name="_Toc292559867"/>
      <w:r/>
      <w:bookmarkStart w:id="235" w:name="_Toc296944496"/>
      <w:r/>
      <w:bookmarkStart w:id="236" w:name="_Toc297120457"/>
      <w:r/>
      <w:bookmarkStart w:id="237" w:name="_Toc296891197"/>
      <w:r/>
      <w:bookmarkStart w:id="238" w:name="_Toc296890985"/>
      <w:r/>
      <w:bookmarkStart w:id="239" w:name="_Toc296347156"/>
      <w:r/>
      <w:bookmarkStart w:id="240" w:name="_Toc296346658"/>
      <w:r/>
      <w:bookmarkStart w:id="241" w:name="_Toc296503157"/>
      <w:r/>
      <w:bookmarkStart w:id="242" w:name="_Toc292559362"/>
      <w:r/>
      <w:bookmarkStart w:id="243" w:name="_Toc297048343"/>
      <w:r>
        <w:rPr>
          <w:rFonts w:ascii="宋体" w:hAnsi="宋体"/>
          <w:b/>
          <w:sz w:val="21"/>
          <w:szCs w:val="21"/>
          <w:highlight w:val="none"/>
        </w:rPr>
        <w:t xml:space="preserve">. </w:t>
      </w:r>
      <w:r>
        <w:rPr>
          <w:rFonts w:hint="eastAsia" w:ascii="宋体" w:hAnsi="宋体"/>
          <w:b/>
          <w:sz w:val="21"/>
          <w:szCs w:val="21"/>
          <w:highlight w:val="none"/>
        </w:rPr>
        <w:t xml:space="preserve">发包人</w:t>
      </w:r>
      <w:bookmarkEnd w:id="233"/>
      <w:r/>
      <w:bookmarkEnd w:id="234"/>
      <w:r/>
      <w:bookmarkEnd w:id="235"/>
      <w:r/>
      <w:bookmarkEnd w:id="236"/>
      <w:r/>
      <w:bookmarkEnd w:id="237"/>
      <w:r/>
      <w:bookmarkEnd w:id="238"/>
      <w:r/>
      <w:bookmarkEnd w:id="239"/>
      <w:r/>
      <w:bookmarkEnd w:id="240"/>
      <w:r/>
      <w:bookmarkEnd w:id="241"/>
      <w:r/>
      <w:bookmarkEnd w:id="242"/>
      <w:r/>
      <w:bookmarkEnd w:id="243"/>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2.1</w:t>
      </w:r>
      <w:r>
        <w:rPr>
          <w:rFonts w:hint="eastAsia" w:ascii="宋体" w:hAnsi="宋体"/>
          <w:b/>
          <w:sz w:val="21"/>
          <w:szCs w:val="21"/>
          <w:highlight w:val="none"/>
        </w:rPr>
        <w:t xml:space="preserve">发包人代表</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发包人代表：</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姓</w:t>
      </w:r>
      <w:r>
        <w:rPr>
          <w:rFonts w:ascii="宋体" w:hAnsi="宋体"/>
          <w:sz w:val="21"/>
          <w:szCs w:val="21"/>
          <w:highlight w:val="none"/>
        </w:rPr>
        <w:t xml:space="preserve">    </w:t>
      </w:r>
      <w:r>
        <w:rPr>
          <w:rFonts w:hint="eastAsia" w:ascii="宋体" w:hAnsi="宋体"/>
          <w:sz w:val="21"/>
          <w:szCs w:val="21"/>
          <w:highlight w:val="none"/>
        </w:rPr>
        <w:t xml:space="preserve">名：</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身份证号：</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职</w:t>
      </w:r>
      <w:r>
        <w:rPr>
          <w:rFonts w:ascii="宋体" w:hAnsi="宋体"/>
          <w:sz w:val="21"/>
          <w:szCs w:val="21"/>
          <w:highlight w:val="none"/>
        </w:rPr>
        <w:t xml:space="preserve">    </w:t>
      </w:r>
      <w:r>
        <w:rPr>
          <w:rFonts w:hint="eastAsia" w:ascii="宋体" w:hAnsi="宋体"/>
          <w:sz w:val="21"/>
          <w:szCs w:val="21"/>
          <w:highlight w:val="none"/>
        </w:rPr>
        <w:t xml:space="preserve">务：</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联系电话：</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电子信箱：</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通信地址：</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发包人对发包人代表的授权范围如下：</w:t>
      </w:r>
      <w:r>
        <w:rPr>
          <w:rFonts w:hint="eastAsia" w:ascii="宋体" w:hAnsi="宋体"/>
          <w:sz w:val="21"/>
          <w:szCs w:val="21"/>
          <w:highlight w:val="none"/>
          <w:u w:val="single"/>
        </w:rPr>
        <w:t xml:space="preserve">施工组织设计和总进度计划的审批权；工程变更的确认权；发布开工令、停工令、复工令权；工程款的审查权和支付权；特殊及重要施工工艺和材料发包；合同的解释；等等</w:t>
      </w:r>
      <w:r>
        <w:rPr>
          <w:rFonts w:hint="eastAsia" w:ascii="宋体" w:hAnsi="宋体"/>
          <w:sz w:val="21"/>
          <w:szCs w:val="21"/>
          <w:highlight w:val="none"/>
        </w:rPr>
        <w:t xml:space="preserve">。</w:t>
      </w:r>
      <w:r/>
    </w:p>
    <w:p>
      <w:pPr>
        <w:pStyle w:val="1388"/>
        <w:ind w:firstLine="422"/>
        <w:spacing w:line="360" w:lineRule="auto"/>
        <w:rPr>
          <w:rFonts w:ascii="宋体" w:hAnsi="宋体"/>
          <w:bCs/>
          <w:sz w:val="21"/>
          <w:szCs w:val="21"/>
          <w:highlight w:val="none"/>
        </w:rPr>
      </w:pPr>
      <w:r>
        <w:rPr>
          <w:rFonts w:ascii="宋体" w:hAnsi="宋体"/>
          <w:b/>
          <w:sz w:val="21"/>
          <w:szCs w:val="21"/>
          <w:highlight w:val="none"/>
        </w:rPr>
        <w:t xml:space="preserve">2.2 </w:t>
      </w:r>
      <w:r>
        <w:rPr>
          <w:rFonts w:hint="eastAsia" w:ascii="宋体" w:hAnsi="宋体"/>
          <w:b/>
          <w:sz w:val="21"/>
          <w:szCs w:val="21"/>
          <w:highlight w:val="none"/>
        </w:rPr>
        <w:t xml:space="preserve">施工现场、施工条件和基础资料的提供</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2.2.1 </w:t>
      </w:r>
      <w:r>
        <w:rPr>
          <w:rFonts w:hint="eastAsia" w:ascii="宋体" w:hAnsi="宋体"/>
          <w:sz w:val="21"/>
          <w:szCs w:val="21"/>
          <w:highlight w:val="none"/>
        </w:rPr>
        <w:t xml:space="preserve">提供施工现场</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关于发包人移交施工现场的期限要求：</w:t>
      </w:r>
      <w:r>
        <w:rPr>
          <w:rFonts w:ascii="宋体" w:hAnsi="宋体"/>
          <w:sz w:val="21"/>
          <w:szCs w:val="21"/>
          <w:highlight w:val="none"/>
          <w:u w:val="single"/>
        </w:rPr>
        <w:t xml:space="preserve"> </w:t>
      </w:r>
      <w:r>
        <w:rPr>
          <w:rFonts w:hint="eastAsia" w:ascii="宋体" w:hAnsi="宋体"/>
          <w:sz w:val="21"/>
          <w:szCs w:val="21"/>
          <w:highlight w:val="none"/>
          <w:u w:val="single"/>
        </w:rPr>
        <w:t xml:space="preserve">按通用条款执行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2.2.2 </w:t>
      </w:r>
      <w:r>
        <w:rPr>
          <w:rFonts w:hint="eastAsia" w:ascii="宋体" w:hAnsi="宋体"/>
          <w:sz w:val="21"/>
          <w:szCs w:val="21"/>
          <w:highlight w:val="none"/>
        </w:rPr>
        <w:t xml:space="preserve">提供施工条件</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关于发包人应负责提供施工所需要的条件，包括：</w:t>
      </w:r>
      <w:r>
        <w:rPr>
          <w:rFonts w:hint="eastAsia" w:ascii="宋体" w:hAnsi="宋体"/>
          <w:sz w:val="21"/>
          <w:szCs w:val="21"/>
          <w:highlight w:val="none"/>
          <w:u w:val="single"/>
        </w:rPr>
        <w:t xml:space="preserve">（1）提供施工所需的红线内场地，并在计算工期前将施工现场各种障碍物清除；其他料场、办公等用地由承包人自行解决。（2）将所需的水、电接至施工现场的时间、地点和供</w:t>
      </w:r>
      <w:r>
        <w:rPr>
          <w:rFonts w:hint="eastAsia" w:ascii="宋体" w:hAnsi="宋体"/>
          <w:sz w:val="21"/>
          <w:szCs w:val="21"/>
          <w:highlight w:val="none"/>
          <w:u w:val="single"/>
        </w:rPr>
        <w:t xml:space="preserve">应要求：计算工期前将水、电线路接至施工现场用地红线界（承包人统一挂表，每月按实际发生额向校方交纳，并由校方代交供电、供水费用）。如现有用电量不能满足施工要求，由发包人负责增容。（3）施工场地与公共道路的通道开通时间和要求：已完成。（4）工程地质和地下管网线资料的提供时间：计算工期前提供工程地质和地下管网线路等资料。（5）由发包人办理的施工所需证件、批件的名称和完成时间：按规定应由发包人办理的相关施工手续，承包人应及时提供相关手续。（6）水准点与坐标控制点交验要求：开工前提供水准点与坐标控制点，按施工图由发包</w:t>
      </w:r>
      <w:r>
        <w:rPr>
          <w:rFonts w:hint="eastAsia" w:ascii="宋体" w:hAnsi="宋体"/>
          <w:sz w:val="21"/>
          <w:szCs w:val="21"/>
          <w:highlight w:val="none"/>
          <w:u w:val="single"/>
        </w:rPr>
        <w:t xml:space="preserve">人、承包人、监理现场书面交验，交验后，承包人应妥善保护场内水准点与控制点，任意破坏或遗失应由承包人负责。（7）协调处理施工场地周围地下管线和邻近建筑物、构筑物（含文物保护建筑）、古树名木的保护工作：督促承包人做好保护工作，所需费用由承包人负责。（8）双方约定发包人应做的其他工作：承包人如有拖欠克扣工人劳动报酬行为的，发包人有权采取下列任一或全部措施，同时承包人应赔偿因此给发包人造成的损失：①从合同价款扣除，直接支付给承包人在本项目上的雇员；②解除本合同。（9）发包人不预付安全文明施工费，与进度款同期比例支付</w:t>
      </w:r>
      <w:r>
        <w:rPr>
          <w:rFonts w:hint="eastAsia" w:ascii="宋体" w:hAnsi="宋体"/>
          <w:sz w:val="21"/>
          <w:szCs w:val="21"/>
          <w:highlight w:val="none"/>
        </w:rPr>
        <w:t xml:space="preserve">。</w:t>
      </w:r>
      <w:r/>
    </w:p>
    <w:p>
      <w:pPr>
        <w:pStyle w:val="1388"/>
        <w:ind w:firstLine="420"/>
        <w:keepLines/>
        <w:keepNext/>
        <w:spacing w:line="360" w:lineRule="auto"/>
        <w:rPr>
          <w:rFonts w:ascii="宋体" w:hAnsi="宋体"/>
          <w:bCs/>
          <w:sz w:val="21"/>
          <w:szCs w:val="21"/>
          <w:highlight w:val="none"/>
        </w:rPr>
      </w:pPr>
      <w:r>
        <w:rPr>
          <w:rFonts w:ascii="宋体" w:hAnsi="宋体"/>
          <w:bCs/>
          <w:sz w:val="21"/>
          <w:szCs w:val="21"/>
          <w:highlight w:val="none"/>
        </w:rPr>
        <w:t xml:space="preserve">2.3 </w:t>
      </w:r>
      <w:r>
        <w:rPr>
          <w:rFonts w:hint="eastAsia" w:ascii="宋体" w:hAnsi="宋体"/>
          <w:bCs/>
          <w:sz w:val="21"/>
          <w:szCs w:val="21"/>
          <w:highlight w:val="none"/>
        </w:rPr>
        <w:t xml:space="preserve">资金来源证明及支付担保</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发包人提供资金来源证明的期限要求：</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发包人是否提供支付担保：</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发包人提供支付担保的形式：</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244" w:name="_Toc351203635"/>
      <w:r>
        <w:rPr>
          <w:rFonts w:ascii="宋体" w:hAnsi="宋体"/>
          <w:b/>
          <w:sz w:val="21"/>
          <w:szCs w:val="21"/>
          <w:highlight w:val="none"/>
        </w:rPr>
        <w:t xml:space="preserve">3</w:t>
      </w:r>
      <w:bookmarkStart w:id="245" w:name="_Toc292559868"/>
      <w:r/>
      <w:bookmarkStart w:id="246" w:name="_Toc297120458"/>
      <w:r/>
      <w:bookmarkStart w:id="247" w:name="_Toc296347157"/>
      <w:r/>
      <w:bookmarkStart w:id="248" w:name="_Toc296891198"/>
      <w:r/>
      <w:bookmarkStart w:id="249" w:name="_Toc296944497"/>
      <w:r/>
      <w:bookmarkStart w:id="250" w:name="_Toc296890986"/>
      <w:r/>
      <w:bookmarkStart w:id="251" w:name="_Toc297048344"/>
      <w:r/>
      <w:bookmarkStart w:id="252" w:name="_Toc296503158"/>
      <w:r/>
      <w:bookmarkStart w:id="253" w:name="_Toc292559363"/>
      <w:r/>
      <w:bookmarkStart w:id="254" w:name="_Toc296346659"/>
      <w:r>
        <w:rPr>
          <w:rFonts w:ascii="宋体" w:hAnsi="宋体"/>
          <w:b/>
          <w:sz w:val="21"/>
          <w:szCs w:val="21"/>
          <w:highlight w:val="none"/>
        </w:rPr>
        <w:t xml:space="preserve">. </w:t>
      </w:r>
      <w:r>
        <w:rPr>
          <w:rFonts w:hint="eastAsia" w:ascii="宋体" w:hAnsi="宋体"/>
          <w:b/>
          <w:sz w:val="21"/>
          <w:szCs w:val="21"/>
          <w:highlight w:val="none"/>
        </w:rPr>
        <w:t xml:space="preserve">承包人</w:t>
      </w:r>
      <w:bookmarkEnd w:id="244"/>
      <w:r/>
      <w:bookmarkEnd w:id="245"/>
      <w:r/>
      <w:bookmarkEnd w:id="246"/>
      <w:r/>
      <w:bookmarkEnd w:id="247"/>
      <w:r/>
      <w:bookmarkEnd w:id="248"/>
      <w:r/>
      <w:bookmarkEnd w:id="249"/>
      <w:r/>
      <w:bookmarkEnd w:id="250"/>
      <w:r/>
      <w:bookmarkEnd w:id="251"/>
      <w:r/>
      <w:bookmarkEnd w:id="252"/>
      <w:r/>
      <w:bookmarkEnd w:id="253"/>
      <w:r/>
      <w:bookmarkEnd w:id="254"/>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3.1 </w:t>
      </w:r>
      <w:r>
        <w:rPr>
          <w:rFonts w:hint="eastAsia" w:ascii="宋体" w:hAnsi="宋体"/>
          <w:b/>
          <w:sz w:val="21"/>
          <w:szCs w:val="21"/>
          <w:highlight w:val="none"/>
        </w:rPr>
        <w:t xml:space="preserve">承包人的一般义务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w:t>
      </w:r>
      <w:r>
        <w:rPr>
          <w:rFonts w:ascii="宋体" w:hAnsi="宋体"/>
          <w:sz w:val="21"/>
          <w:szCs w:val="21"/>
          <w:highlight w:val="none"/>
        </w:rPr>
        <w:t xml:space="preserve">9</w:t>
      </w:r>
      <w:r>
        <w:rPr>
          <w:rFonts w:hint="eastAsia" w:ascii="宋体" w:hAnsi="宋体"/>
          <w:sz w:val="21"/>
          <w:szCs w:val="21"/>
          <w:highlight w:val="none"/>
        </w:rPr>
        <w:t xml:space="preserve">）承包人提交的竣工资料的内容：</w:t>
      </w:r>
      <w:r>
        <w:rPr>
          <w:rFonts w:hint="eastAsia" w:ascii="宋体" w:hAnsi="宋体"/>
          <w:sz w:val="21"/>
          <w:szCs w:val="21"/>
          <w:highlight w:val="none"/>
          <w:u w:val="single"/>
        </w:rPr>
        <w:t xml:space="preserve">工程建设项目竣工验收前，承包人应根据合同工作内容要求，分别整理竣工验收资料（含竣工图），竣工图纸和资料必须符合城建档案馆要求，汇总为完整的建设项目竣工资料一式伍套报发包人。否则每迟一天，按照专用条款16.2.2.19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承包人需要提交的竣工资料套数：</w:t>
      </w:r>
      <w:r>
        <w:rPr>
          <w:rFonts w:hint="eastAsia" w:ascii="宋体" w:hAnsi="宋体"/>
          <w:sz w:val="21"/>
          <w:szCs w:val="21"/>
          <w:highlight w:val="none"/>
          <w:u w:val="single"/>
        </w:rPr>
        <w:t xml:space="preserve">一式五套</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承包人提交的竣工资料的费用承担：</w:t>
      </w:r>
      <w:r>
        <w:rPr>
          <w:rFonts w:hint="eastAsia" w:ascii="宋体" w:hAnsi="宋体"/>
          <w:sz w:val="21"/>
          <w:szCs w:val="21"/>
          <w:highlight w:val="none"/>
          <w:u w:val="single"/>
        </w:rPr>
        <w:t xml:space="preserve">由承包人承担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承包人提交的竣工资料移交时间：</w:t>
      </w:r>
      <w:r>
        <w:rPr>
          <w:rFonts w:hint="eastAsia" w:ascii="宋体" w:hAnsi="宋体"/>
          <w:sz w:val="21"/>
          <w:szCs w:val="21"/>
          <w:highlight w:val="none"/>
          <w:u w:val="single"/>
        </w:rPr>
        <w:t xml:space="preserve">竣工验收后30日内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承包人提交的竣工资料形式要求：</w:t>
      </w:r>
      <w:r>
        <w:rPr>
          <w:rFonts w:hint="eastAsia" w:ascii="宋体" w:hAnsi="宋体"/>
          <w:sz w:val="21"/>
          <w:szCs w:val="21"/>
          <w:highlight w:val="none"/>
          <w:u w:val="single"/>
        </w:rPr>
        <w:t xml:space="preserve">书面形式及电子形式 （均有）</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10</w:t>
      </w:r>
      <w:r>
        <w:rPr>
          <w:rFonts w:hint="eastAsia" w:ascii="宋体" w:hAnsi="宋体"/>
          <w:sz w:val="21"/>
          <w:szCs w:val="21"/>
          <w:highlight w:val="none"/>
        </w:rPr>
        <w:t xml:space="preserve">）承包人应履行的其他义务：</w:t>
      </w:r>
      <w:r>
        <w:rPr>
          <w:rFonts w:hint="eastAsia" w:ascii="宋体" w:hAnsi="宋体"/>
          <w:sz w:val="21"/>
          <w:szCs w:val="21"/>
          <w:highlight w:val="none"/>
          <w:u w:val="single"/>
        </w:rPr>
        <w:t xml:space="preserve">1.需承包人办理的有关施工场地交通、环卫和施工噪音管理等手续：按有关规定办理上述手续，施工中建筑垃圾、泥浆（或淤泥）等需运出施工现场外时，费用由承包人负责。2.承包人应与所有施工人员签订劳动用工合同，明确劳动报酬并报发包人备案，承包人应及时足额支付劳动报酬，对发包人支付的工程款项，应优先用于支付工人工资；承包人需按规定缴纳农民工工资保证金。3.施工过程中应采用样板引路，采取挂牌标识，严格质量责任，严密质量管理体系； 4.自觉接受发包人及委托管理、监理的监督管理，参加发包人、管理和监理组织的工</w:t>
      </w:r>
      <w:r>
        <w:rPr>
          <w:rFonts w:hint="eastAsia" w:ascii="宋体" w:hAnsi="宋体"/>
          <w:sz w:val="21"/>
          <w:szCs w:val="21"/>
          <w:highlight w:val="none"/>
          <w:u w:val="single"/>
        </w:rPr>
        <w:t xml:space="preserve">程例会，及时报告工程情况，并接受整改要求；5.协调处理好各种公共关系，承担因承包人责任引发的民事纠纷的损失和处理工作，包括因承包人违反有关规定而导致政府相关部门的处罚；6.负责发包人提供材料的仓储保管工作；7.及时办理有关签证和确认手续。8.负责施工期间施工区域内的安全保卫工作，包括在施工区域内提供和维护有利于工程和公众安全和方便的灯光、护板、格栅等警告警示信号和警卫；负责施工期间对施工区域内及周边的所有建筑物进行保护；负责施工期间因施工材料或设备运输对场内道路的日常保洁与及时维护，做到发现污损及时清扫及修</w:t>
      </w:r>
      <w:r>
        <w:rPr>
          <w:rFonts w:hint="eastAsia" w:ascii="宋体" w:hAnsi="宋体"/>
          <w:sz w:val="21"/>
          <w:szCs w:val="21"/>
          <w:highlight w:val="none"/>
          <w:u w:val="single"/>
        </w:rPr>
        <w:t xml:space="preserve">复；9.标识：所有照明开关、插座、配电箱等均需标注回路、用途、箱/柜编号，标识应耐久、可靠、明显、清晰. 电缆/导线的色标应按供电部门的规定执行；10.承包人应按给定的封闭方案和发包人要求购置临时设施或围挡、告知牌、疏导用具等，所需费用包含在合同价中，由承包人承担，发包人不另外支付。11.施工现场临近的路面、管道、建筑物、构筑物、设施由于本工程原因导致开裂损坏的均由施工单位承担责任。12.承包人同意工程竣工验收合格后，由宿迁市湖滨新区审计局或委托符合资质要求的第三方造价咨询机构对本合同项下工程造价进行审计，</w:t>
      </w:r>
      <w:r>
        <w:rPr>
          <w:rFonts w:hint="eastAsia" w:ascii="宋体" w:hAnsi="宋体"/>
          <w:sz w:val="21"/>
          <w:szCs w:val="21"/>
          <w:highlight w:val="none"/>
          <w:u w:val="single"/>
        </w:rPr>
        <w:t xml:space="preserve">并以该审计结果作为结算工程款的依据。承包人提供的结算资料不符合审计要求的，必须及时补充提供，后果由承包人自行承担，且不能因此推断发包人同意承包人提供的结算。审计期的长短与发包人无关，承包人承诺不因此向发包人主张损失赔偿权利。13.未经发包人确认的分包项目，发包人可拒绝验收此项分包工程或将分包单位清除出场，并有权单方面解除本合同、没收履约保证金，由此造成的各种损失均由承包人承担。14.工程结算审计由发包人负责向审计机关报送，如审计单位对承包人提交的决算额核减超过 10%，超过 10%部分的审计费用由承包人承担</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3.2 </w:t>
      </w:r>
      <w:r>
        <w:rPr>
          <w:rFonts w:hint="eastAsia" w:ascii="宋体" w:hAnsi="宋体"/>
          <w:b/>
          <w:sz w:val="21"/>
          <w:szCs w:val="21"/>
          <w:highlight w:val="none"/>
        </w:rPr>
        <w:t xml:space="preserve">项目经理</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3.2.1 </w:t>
      </w:r>
      <w:r>
        <w:rPr>
          <w:rFonts w:hint="eastAsia" w:ascii="宋体" w:hAnsi="宋体"/>
          <w:sz w:val="21"/>
          <w:szCs w:val="21"/>
          <w:highlight w:val="none"/>
        </w:rPr>
        <w:t xml:space="preserve">项目经理：</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姓</w:t>
      </w:r>
      <w:r>
        <w:rPr>
          <w:rFonts w:ascii="宋体" w:hAnsi="宋体"/>
          <w:sz w:val="21"/>
          <w:szCs w:val="21"/>
          <w:highlight w:val="none"/>
        </w:rPr>
        <w:t xml:space="preserve">    </w:t>
      </w:r>
      <w:r>
        <w:rPr>
          <w:rFonts w:hint="eastAsia" w:ascii="宋体" w:hAnsi="宋体"/>
          <w:sz w:val="21"/>
          <w:szCs w:val="21"/>
          <w:highlight w:val="none"/>
        </w:rPr>
        <w:t xml:space="preserve">名：</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身份证号：</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建造师执业资格等级：</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建造师注册证书号：</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建造师执业印章号：</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安全生产考核合格证书号：</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联系电话：</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电子信箱：</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通信地址：</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承包人对项目经理的授权范围如下：</w:t>
      </w:r>
      <w:r>
        <w:rPr>
          <w:rFonts w:hint="eastAsia" w:ascii="宋体" w:hAnsi="宋体"/>
          <w:sz w:val="21"/>
          <w:szCs w:val="21"/>
          <w:highlight w:val="none"/>
          <w:u w:val="single"/>
        </w:rPr>
        <w:t xml:space="preserve">代表承包人行使合同约定的承包人权利和义务，履行合同约定的承包人职责</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关于项目经理每月在施工现场的时间要求：</w:t>
      </w:r>
      <w:r>
        <w:rPr>
          <w:rFonts w:hint="eastAsia" w:ascii="宋体" w:hAnsi="宋体"/>
          <w:sz w:val="21"/>
          <w:szCs w:val="21"/>
          <w:highlight w:val="none"/>
          <w:u w:val="single"/>
        </w:rPr>
        <w:t xml:space="preserve">项目负责人必须保证全过程在工地（特殊情况下需离开时必须以书面形式事先征得发包人同意后方可离开），否则发包人有权追究责任</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承包人未提交劳动合同，以及没有为项目经理缴纳社会保险证明的违约责任：</w:t>
      </w:r>
      <w:r>
        <w:rPr>
          <w:rFonts w:hint="eastAsia" w:ascii="宋体" w:hAnsi="宋体"/>
          <w:sz w:val="21"/>
          <w:szCs w:val="21"/>
          <w:highlight w:val="none"/>
          <w:u w:val="single"/>
        </w:rPr>
        <w:t xml:space="preserve">详见专用条款16.2.2.21条</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项目经理未经批准，擅自离开施工现场的违约责任：</w:t>
      </w:r>
      <w:r>
        <w:rPr>
          <w:rFonts w:hint="eastAsia" w:ascii="宋体" w:hAnsi="宋体"/>
          <w:sz w:val="21"/>
          <w:szCs w:val="21"/>
          <w:highlight w:val="none"/>
          <w:u w:val="single"/>
        </w:rPr>
        <w:t xml:space="preserve">详见专用条款16.2.2.18条</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3.2.2 </w:t>
      </w:r>
      <w:r>
        <w:rPr>
          <w:rFonts w:hint="eastAsia" w:ascii="宋体" w:hAnsi="宋体"/>
          <w:sz w:val="21"/>
          <w:szCs w:val="21"/>
          <w:highlight w:val="none"/>
        </w:rPr>
        <w:t xml:space="preserve">承包人擅自更换项目经理的违约责任：</w:t>
      </w:r>
      <w:r>
        <w:rPr>
          <w:rFonts w:hint="eastAsia" w:ascii="宋体" w:hAnsi="宋体"/>
          <w:sz w:val="21"/>
          <w:szCs w:val="21"/>
          <w:highlight w:val="none"/>
          <w:u w:val="single"/>
        </w:rPr>
        <w:t xml:space="preserve">详见专用条款16.2.2.22条</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3.2.3 </w:t>
      </w:r>
      <w:r>
        <w:rPr>
          <w:rFonts w:hint="eastAsia" w:ascii="宋体" w:hAnsi="宋体"/>
          <w:sz w:val="21"/>
          <w:szCs w:val="21"/>
          <w:highlight w:val="none"/>
        </w:rPr>
        <w:t xml:space="preserve">承包人无正当理由拒绝更换项目经理的违约责任：</w:t>
      </w:r>
      <w:r>
        <w:rPr>
          <w:rFonts w:hint="eastAsia" w:ascii="宋体" w:hAnsi="宋体"/>
          <w:sz w:val="21"/>
          <w:szCs w:val="21"/>
          <w:highlight w:val="none"/>
          <w:u w:val="single"/>
        </w:rPr>
        <w:t xml:space="preserve">详见专用条款16.2.2.23条</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3.3 </w:t>
      </w:r>
      <w:r>
        <w:rPr>
          <w:rFonts w:hint="eastAsia" w:ascii="宋体" w:hAnsi="宋体"/>
          <w:b/>
          <w:sz w:val="21"/>
          <w:szCs w:val="21"/>
          <w:highlight w:val="none"/>
        </w:rPr>
        <w:t xml:space="preserve">承包人人员</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3.3.1 </w:t>
      </w:r>
      <w:r>
        <w:rPr>
          <w:rFonts w:hint="eastAsia" w:ascii="宋体" w:hAnsi="宋体"/>
          <w:sz w:val="21"/>
          <w:szCs w:val="21"/>
          <w:highlight w:val="none"/>
        </w:rPr>
        <w:t xml:space="preserve">承包人提交项目管理机构及施工现场管理人员安排报告的期限：</w:t>
      </w:r>
      <w:r>
        <w:rPr>
          <w:rFonts w:hint="eastAsia" w:ascii="宋体" w:hAnsi="宋体"/>
          <w:sz w:val="21"/>
          <w:szCs w:val="21"/>
          <w:highlight w:val="none"/>
          <w:u w:val="single"/>
        </w:rPr>
        <w:t xml:space="preserve">中标通知书发出后3日内 ，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量员等）与承包人签订的劳动合同和承包人为其缴纳社保的证明资料；②项目组主要人员的类似业绩；③特殊工种人员名单及相应的上岗证及资格证明</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3.3.3 </w:t>
      </w:r>
      <w:r>
        <w:rPr>
          <w:rFonts w:hint="eastAsia" w:ascii="宋体" w:hAnsi="宋体"/>
          <w:sz w:val="21"/>
          <w:szCs w:val="21"/>
          <w:highlight w:val="none"/>
        </w:rPr>
        <w:t xml:space="preserve">承包人无正当理由拒绝撤换主要施工管理人员的违约责任：</w:t>
      </w:r>
      <w:r>
        <w:rPr>
          <w:rFonts w:hint="eastAsia" w:ascii="宋体" w:hAnsi="宋体"/>
          <w:sz w:val="21"/>
          <w:szCs w:val="21"/>
          <w:highlight w:val="none"/>
          <w:u w:val="single"/>
        </w:rPr>
        <w:t xml:space="preserve">详见专用条款16.2.2.24条</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3.3.4 </w:t>
      </w:r>
      <w:r>
        <w:rPr>
          <w:rFonts w:hint="eastAsia" w:ascii="宋体" w:hAnsi="宋体"/>
          <w:sz w:val="21"/>
          <w:szCs w:val="21"/>
          <w:highlight w:val="none"/>
        </w:rPr>
        <w:t xml:space="preserve">承包人主要施工管理人员离开施工现场的批准要求：</w:t>
      </w:r>
      <w:r>
        <w:rPr>
          <w:rFonts w:hint="eastAsia" w:ascii="宋体" w:hAnsi="宋体"/>
          <w:sz w:val="21"/>
          <w:szCs w:val="21"/>
          <w:highlight w:val="none"/>
          <w:u w:val="single"/>
        </w:rPr>
        <w:t xml:space="preserve">提前12小时向发包人提交书面请假手续，得到书面批准后方可离开。施工场所所有工作人员必须戴安全帽，特种作业人员必须持证上岗，否则每发现一人次承包人支付违约金200元</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3.3.5</w:t>
      </w:r>
      <w:r>
        <w:rPr>
          <w:rFonts w:hint="eastAsia" w:ascii="宋体" w:hAnsi="宋体"/>
          <w:sz w:val="21"/>
          <w:szCs w:val="21"/>
          <w:highlight w:val="none"/>
        </w:rPr>
        <w:t xml:space="preserve">承包人擅自更换主要施工管理人员的违约责任：</w:t>
      </w:r>
      <w:r>
        <w:rPr>
          <w:rFonts w:hint="eastAsia" w:ascii="宋体" w:hAnsi="宋体"/>
          <w:sz w:val="21"/>
          <w:szCs w:val="21"/>
          <w:highlight w:val="none"/>
          <w:u w:val="single"/>
        </w:rPr>
        <w:t xml:space="preserve">详见专用条款16.2.2.25条</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承包人主要施工管理人员擅自离开施工现场的违约责任：</w:t>
      </w:r>
      <w:r>
        <w:rPr>
          <w:rFonts w:hint="eastAsia" w:ascii="宋体" w:hAnsi="宋体"/>
          <w:sz w:val="21"/>
          <w:szCs w:val="21"/>
          <w:highlight w:val="none"/>
          <w:u w:val="single"/>
        </w:rPr>
        <w:t xml:space="preserve">详见专用条款16.2.2.18条</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3</w:t>
      </w:r>
      <w:bookmarkStart w:id="255" w:name="_Toc292559869"/>
      <w:r/>
      <w:bookmarkStart w:id="256" w:name="_Toc296347158"/>
      <w:r/>
      <w:bookmarkStart w:id="257" w:name="_Toc304295523"/>
      <w:r/>
      <w:bookmarkStart w:id="258" w:name="_Toc296346660"/>
      <w:r/>
      <w:bookmarkStart w:id="259" w:name="_Toc297216151"/>
      <w:r/>
      <w:bookmarkStart w:id="260" w:name="_Toc292559364"/>
      <w:r/>
      <w:bookmarkStart w:id="261" w:name="_Toc296890987"/>
      <w:r/>
      <w:bookmarkStart w:id="262" w:name="_Toc303539102"/>
      <w:r/>
      <w:bookmarkStart w:id="263" w:name="_Toc300934945"/>
      <w:r/>
      <w:bookmarkStart w:id="264" w:name="_Toc296944498"/>
      <w:r/>
      <w:bookmarkStart w:id="265" w:name="_Toc297120459"/>
      <w:r/>
      <w:bookmarkStart w:id="266" w:name="_Toc296503159"/>
      <w:r/>
      <w:bookmarkStart w:id="267" w:name="_Toc312677988"/>
      <w:r/>
      <w:bookmarkStart w:id="268" w:name="_Toc297123492"/>
      <w:r/>
      <w:bookmarkStart w:id="269" w:name="_Toc297048345"/>
      <w:r/>
      <w:bookmarkStart w:id="270" w:name="_Toc296891199"/>
      <w:r>
        <w:rPr>
          <w:rFonts w:ascii="宋体" w:hAnsi="宋体"/>
          <w:b/>
          <w:sz w:val="21"/>
          <w:szCs w:val="21"/>
          <w:highlight w:val="none"/>
        </w:rPr>
        <w:t xml:space="preserve">.4</w:t>
      </w:r>
      <w:r>
        <w:rPr>
          <w:rFonts w:hint="eastAsia" w:ascii="宋体" w:hAnsi="宋体"/>
          <w:b/>
          <w:sz w:val="21"/>
          <w:szCs w:val="21"/>
          <w:highlight w:val="none"/>
        </w:rPr>
        <w:t xml:space="preserve">分包</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w:t>
      </w:r>
      <w:bookmarkStart w:id="271" w:name="_Toc296944499"/>
      <w:r/>
      <w:bookmarkStart w:id="272" w:name="_Toc304295524"/>
      <w:r/>
      <w:bookmarkStart w:id="273" w:name="_Toc303539103"/>
      <w:r/>
      <w:bookmarkStart w:id="274" w:name="_Toc296890988"/>
      <w:r/>
      <w:bookmarkStart w:id="275" w:name="_Toc312677989"/>
      <w:r/>
      <w:bookmarkStart w:id="276" w:name="_Toc297120460"/>
      <w:r/>
      <w:bookmarkStart w:id="277" w:name="_Toc296346661"/>
      <w:r/>
      <w:bookmarkStart w:id="278" w:name="_Toc297048346"/>
      <w:r/>
      <w:bookmarkStart w:id="279" w:name="_Toc318581158"/>
      <w:r/>
      <w:bookmarkStart w:id="280" w:name="_Toc297123493"/>
      <w:r/>
      <w:bookmarkStart w:id="281" w:name="_Toc292559365"/>
      <w:r/>
      <w:bookmarkStart w:id="282" w:name="_Toc297216152"/>
      <w:r/>
      <w:bookmarkStart w:id="283" w:name="_Toc296891200"/>
      <w:r/>
      <w:bookmarkStart w:id="284" w:name="_Toc300934946"/>
      <w:r/>
      <w:bookmarkStart w:id="285" w:name="_Toc296503160"/>
      <w:r/>
      <w:bookmarkStart w:id="286" w:name="_Toc296347159"/>
      <w:r/>
      <w:bookmarkStart w:id="287" w:name="_Toc292559870"/>
      <w:r>
        <w:rPr>
          <w:rFonts w:ascii="宋体" w:hAnsi="宋体"/>
          <w:sz w:val="21"/>
          <w:szCs w:val="21"/>
          <w:highlight w:val="none"/>
        </w:rPr>
        <w:t xml:space="preserve">.4.1 </w:t>
      </w:r>
      <w:r>
        <w:rPr>
          <w:rFonts w:hint="eastAsia" w:ascii="宋体" w:hAnsi="宋体"/>
          <w:sz w:val="21"/>
          <w:szCs w:val="21"/>
          <w:highlight w:val="none"/>
        </w:rPr>
        <w:t xml:space="preserve">分包的一般约定</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禁止分包的工程包括：</w:t>
      </w:r>
      <w:r>
        <w:rPr>
          <w:rFonts w:hint="eastAsia" w:ascii="宋体" w:hAnsi="宋体"/>
          <w:sz w:val="21"/>
          <w:szCs w:val="21"/>
          <w:highlight w:val="none"/>
          <w:u w:val="single"/>
        </w:rPr>
        <w:t xml:space="preserve">本工程严禁分包、转包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主体结构、关键性工作的范围：</w:t>
      </w:r>
      <w:r>
        <w:rPr>
          <w:rFonts w:hint="eastAsia" w:ascii="宋体" w:hAnsi="宋体"/>
          <w:sz w:val="21"/>
          <w:szCs w:val="21"/>
          <w:highlight w:val="none"/>
          <w:u w:val="single"/>
        </w:rPr>
        <w:t xml:space="preserve">非发包人同意，承包人不得将本工程分包。承包人如有违反，发包方有权要求承包方退场，一切损失均由承包方承担，并向当地建设行政主管部门报告；因承包人不具备施工资质而必须分包的专业工程，发包人有权指定分包单位，承包人不得向发包人或分包人收取总承包管理费</w:t>
      </w:r>
      <w:r>
        <w:rPr>
          <w:rFonts w:hint="eastAsia" w:ascii="宋体" w:hAnsi="宋体"/>
          <w:sz w:val="21"/>
          <w:szCs w:val="21"/>
          <w:highlight w:val="none"/>
        </w:rPr>
        <w:t xml:space="preserve">。</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Start w:id="288" w:name="_Toc303539104"/>
      <w:r/>
      <w:bookmarkEnd w:id="288"/>
      <w:r/>
      <w:bookmarkStart w:id="289" w:name="_Toc297048347"/>
      <w:r/>
      <w:bookmarkEnd w:id="289"/>
      <w:r/>
      <w:bookmarkStart w:id="290" w:name="_Toc296347160"/>
      <w:r/>
      <w:bookmarkEnd w:id="290"/>
      <w:r/>
      <w:bookmarkStart w:id="291" w:name="_Toc300934947"/>
      <w:r/>
      <w:bookmarkEnd w:id="291"/>
      <w:r/>
      <w:bookmarkStart w:id="292" w:name="_Toc296890989"/>
      <w:r/>
      <w:bookmarkEnd w:id="292"/>
      <w:r/>
      <w:bookmarkStart w:id="293" w:name="_Toc296944500"/>
      <w:r/>
      <w:bookmarkEnd w:id="293"/>
      <w:r/>
      <w:bookmarkStart w:id="294" w:name="_Toc296891201"/>
      <w:r/>
      <w:bookmarkEnd w:id="294"/>
      <w:r/>
      <w:bookmarkStart w:id="295" w:name="_Toc304295525"/>
      <w:r/>
      <w:bookmarkEnd w:id="295"/>
      <w:r/>
      <w:bookmarkStart w:id="296" w:name="_Toc296503161"/>
      <w:r/>
      <w:bookmarkEnd w:id="296"/>
      <w:r/>
      <w:bookmarkStart w:id="297" w:name="_Toc297120461"/>
      <w:r/>
      <w:bookmarkEnd w:id="297"/>
      <w:r/>
      <w:bookmarkStart w:id="298" w:name="_Toc297216153"/>
      <w:r/>
      <w:bookmarkEnd w:id="298"/>
      <w:r/>
      <w:bookmarkStart w:id="299" w:name="_Toc296346662"/>
      <w:r/>
      <w:bookmarkEnd w:id="299"/>
      <w:r/>
      <w:bookmarkStart w:id="300" w:name="_Toc297123494"/>
      <w:r/>
      <w:bookmarkEnd w:id="300"/>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w:t>
      </w:r>
      <w:bookmarkStart w:id="301" w:name="_Toc312677990"/>
      <w:r/>
      <w:bookmarkStart w:id="302" w:name="_Toc318581159"/>
      <w:r>
        <w:rPr>
          <w:rFonts w:ascii="宋体" w:hAnsi="宋体"/>
          <w:sz w:val="21"/>
          <w:szCs w:val="21"/>
          <w:highlight w:val="none"/>
        </w:rPr>
        <w:t xml:space="preserve">.4.2</w:t>
      </w:r>
      <w:r>
        <w:rPr>
          <w:rFonts w:hint="eastAsia" w:ascii="宋体" w:hAnsi="宋体"/>
          <w:sz w:val="21"/>
          <w:szCs w:val="21"/>
          <w:highlight w:val="none"/>
        </w:rPr>
        <w:t xml:space="preserve">分包的确定</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允许分包的专业工程包括：</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其他关于分包的约定：</w:t>
      </w:r>
      <w:r>
        <w:rPr>
          <w:rFonts w:hint="eastAsia" w:ascii="宋体" w:hAnsi="宋体"/>
          <w:sz w:val="21"/>
          <w:szCs w:val="21"/>
          <w:highlight w:val="none"/>
          <w:u w:val="single"/>
        </w:rPr>
        <w:t xml:space="preserve">1、承包人应经过发包人书面同意后进行分包，确定分包人。经过发包人书面同意后进行分包的，承包人应确保分包人具有相应的资质和能力，承担过类似工程项目。工程分包不减轻或免除承包人的责任和义务，承包人和分包人就分包工程向发包人承担连带责任。2、承包人应在分包合同签订7天内向发包人和监理人提交分包合同副本。3、承包人应向监理人提交分包人的主要施工管理人员表，并对分包人的施工人员进行实名制管理，包括但不限于进出场管理、登记造册以及各种证照的办理</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3.4.3 </w:t>
      </w:r>
      <w:r>
        <w:rPr>
          <w:rFonts w:hint="eastAsia" w:ascii="宋体" w:hAnsi="宋体"/>
          <w:sz w:val="21"/>
          <w:szCs w:val="21"/>
          <w:highlight w:val="none"/>
        </w:rPr>
        <w:t xml:space="preserve">分包合同价款</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关于分包合同价款支付的约定：</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bookmarkEnd w:id="301"/>
      <w:r/>
      <w:bookmarkEnd w:id="302"/>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3.5 </w:t>
      </w:r>
      <w:r>
        <w:rPr>
          <w:rFonts w:hint="eastAsia" w:ascii="宋体" w:hAnsi="宋体"/>
          <w:b/>
          <w:sz w:val="21"/>
          <w:szCs w:val="21"/>
          <w:highlight w:val="none"/>
        </w:rPr>
        <w:t xml:space="preserve">工程照管与成品、半成品保护</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承包人负责照管工程及工程相关的材料、工程设备的起始时间：</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3.6</w:t>
      </w:r>
      <w:r>
        <w:rPr>
          <w:rFonts w:hint="eastAsia" w:ascii="宋体" w:hAnsi="宋体"/>
          <w:b/>
          <w:sz w:val="21"/>
          <w:szCs w:val="21"/>
          <w:highlight w:val="none"/>
        </w:rPr>
        <w:t xml:space="preserve">履约担保</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承包人是否提供履约担保：</w:t>
      </w:r>
      <w:r>
        <w:rPr>
          <w:rFonts w:ascii="宋体" w:hAnsi="宋体"/>
          <w:sz w:val="21"/>
          <w:szCs w:val="21"/>
          <w:highlight w:val="none"/>
          <w:u w:val="single"/>
        </w:rPr>
        <w:t xml:space="preserve">          </w:t>
      </w:r>
      <w:r>
        <w:rPr>
          <w:rFonts w:hint="eastAsia" w:ascii="宋体" w:hAnsi="宋体"/>
          <w:sz w:val="21"/>
          <w:szCs w:val="21"/>
          <w:highlight w:val="none"/>
          <w:u w:val="single"/>
        </w:rPr>
        <w:t xml:space="preserve">否</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承包人提供履约担保的形式、金额及期限的：</w:t>
      </w:r>
      <w:r>
        <w:rPr>
          <w:rFonts w:hint="eastAsia" w:ascii="宋体" w:hAnsi="宋体"/>
          <w:sz w:val="21"/>
          <w:szCs w:val="21"/>
          <w:highlight w:val="none"/>
          <w:u w:val="single"/>
        </w:rPr>
        <w:t xml:space="preserve">    /   </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303" w:name="_Toc351203636"/>
      <w:r>
        <w:rPr>
          <w:rFonts w:ascii="宋体" w:hAnsi="宋体"/>
          <w:b/>
          <w:sz w:val="21"/>
          <w:szCs w:val="21"/>
          <w:highlight w:val="none"/>
        </w:rPr>
        <w:t xml:space="preserve">4</w:t>
      </w:r>
      <w:bookmarkStart w:id="304" w:name="_Toc296890990"/>
      <w:r/>
      <w:bookmarkStart w:id="305" w:name="_Toc292559871"/>
      <w:r/>
      <w:bookmarkStart w:id="306" w:name="_Toc296347161"/>
      <w:r/>
      <w:bookmarkStart w:id="307" w:name="_Toc296944501"/>
      <w:r/>
      <w:bookmarkStart w:id="308" w:name="_Toc297120462"/>
      <w:r/>
      <w:bookmarkStart w:id="309" w:name="_Toc296503162"/>
      <w:r/>
      <w:bookmarkStart w:id="310" w:name="_Toc296346663"/>
      <w:r/>
      <w:bookmarkStart w:id="311" w:name="_Toc297048348"/>
      <w:r/>
      <w:bookmarkStart w:id="312" w:name="_Toc267251413"/>
      <w:r/>
      <w:bookmarkStart w:id="313" w:name="_Toc296891202"/>
      <w:r/>
      <w:bookmarkStart w:id="314" w:name="_Toc292559366"/>
      <w:r>
        <w:rPr>
          <w:rFonts w:ascii="宋体" w:hAnsi="宋体"/>
          <w:b/>
          <w:sz w:val="21"/>
          <w:szCs w:val="21"/>
          <w:highlight w:val="none"/>
        </w:rPr>
        <w:t xml:space="preserve">. </w:t>
      </w:r>
      <w:r>
        <w:rPr>
          <w:rFonts w:hint="eastAsia" w:ascii="宋体" w:hAnsi="宋体"/>
          <w:b/>
          <w:sz w:val="21"/>
          <w:szCs w:val="21"/>
          <w:highlight w:val="none"/>
        </w:rPr>
        <w:t xml:space="preserve">监</w:t>
      </w:r>
      <w:bookmarkEnd w:id="304"/>
      <w:r/>
      <w:bookmarkEnd w:id="305"/>
      <w:r/>
      <w:bookmarkEnd w:id="306"/>
      <w:r/>
      <w:bookmarkEnd w:id="307"/>
      <w:r/>
      <w:bookmarkEnd w:id="308"/>
      <w:r/>
      <w:bookmarkEnd w:id="309"/>
      <w:r/>
      <w:bookmarkEnd w:id="310"/>
      <w:r/>
      <w:bookmarkEnd w:id="311"/>
      <w:r/>
      <w:bookmarkEnd w:id="312"/>
      <w:r/>
      <w:bookmarkEnd w:id="313"/>
      <w:r/>
      <w:bookmarkEnd w:id="314"/>
      <w:r>
        <w:rPr>
          <w:rFonts w:hint="eastAsia" w:ascii="宋体" w:hAnsi="宋体"/>
          <w:b/>
          <w:sz w:val="21"/>
          <w:szCs w:val="21"/>
          <w:highlight w:val="none"/>
        </w:rPr>
        <w:t xml:space="preserve">理人</w:t>
      </w:r>
      <w:bookmarkEnd w:id="303"/>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4.1</w:t>
      </w:r>
      <w:r>
        <w:rPr>
          <w:rFonts w:hint="eastAsia" w:ascii="宋体" w:hAnsi="宋体"/>
          <w:b/>
          <w:sz w:val="21"/>
          <w:szCs w:val="21"/>
          <w:highlight w:val="none"/>
        </w:rPr>
        <w:t xml:space="preserve">监理人的一般规定</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关于监理人的监理内容：</w:t>
      </w:r>
      <w:r>
        <w:rPr>
          <w:rFonts w:hint="eastAsia" w:ascii="宋体" w:hAnsi="宋体"/>
          <w:sz w:val="21"/>
          <w:szCs w:val="21"/>
          <w:highlight w:val="none"/>
          <w:u w:val="single"/>
        </w:rPr>
        <w:t xml:space="preserve">施工及工程保修阶段工程质量、进度、造价控制；信息、合同管理；安全监督；现场协调、工程资料管理</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关于监理人的监理权限：</w:t>
      </w:r>
      <w:r>
        <w:rPr>
          <w:rFonts w:hint="eastAsia" w:ascii="宋体" w:hAnsi="宋体"/>
          <w:sz w:val="21"/>
          <w:szCs w:val="21"/>
          <w:highlight w:val="none"/>
          <w:u w:val="single"/>
        </w:rPr>
        <w:t xml:space="preserve">详见监理合同</w:t>
      </w:r>
      <w:r>
        <w:rPr>
          <w:rFonts w:hint="eastAsia" w:ascii="宋体" w:hAnsi="宋体"/>
          <w:sz w:val="21"/>
          <w:szCs w:val="21"/>
          <w:highlight w:val="none"/>
        </w:rPr>
        <w:t xml:space="preserve">。</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关于监理人在施工现场的办公场所、生活场所的提供和费用承担的约定：</w:t>
      </w:r>
      <w:r>
        <w:rPr>
          <w:rFonts w:hint="eastAsia" w:ascii="宋体" w:hAnsi="宋体"/>
          <w:sz w:val="21"/>
          <w:szCs w:val="21"/>
          <w:highlight w:val="none"/>
          <w:u w:val="single"/>
        </w:rPr>
        <w:t xml:space="preserve">详见监理合同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4.2 </w:t>
      </w:r>
      <w:r>
        <w:rPr>
          <w:rFonts w:hint="eastAsia" w:ascii="宋体" w:hAnsi="宋体"/>
          <w:b/>
          <w:sz w:val="21"/>
          <w:szCs w:val="21"/>
          <w:highlight w:val="none"/>
        </w:rPr>
        <w:t xml:space="preserve">监理人员</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总监理工程师：</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姓</w:t>
      </w:r>
      <w:r>
        <w:rPr>
          <w:rFonts w:ascii="宋体" w:hAnsi="宋体"/>
          <w:sz w:val="21"/>
          <w:szCs w:val="21"/>
          <w:highlight w:val="none"/>
        </w:rPr>
        <w:t xml:space="preserve">    </w:t>
      </w:r>
      <w:r>
        <w:rPr>
          <w:rFonts w:hint="eastAsia" w:ascii="宋体" w:hAnsi="宋体"/>
          <w:sz w:val="21"/>
          <w:szCs w:val="21"/>
          <w:highlight w:val="none"/>
        </w:rPr>
        <w:t xml:space="preserve">名：</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职</w:t>
      </w:r>
      <w:r>
        <w:rPr>
          <w:rFonts w:ascii="宋体" w:hAnsi="宋体"/>
          <w:sz w:val="21"/>
          <w:szCs w:val="21"/>
          <w:highlight w:val="none"/>
        </w:rPr>
        <w:t xml:space="preserve">    </w:t>
      </w:r>
      <w:r>
        <w:rPr>
          <w:rFonts w:hint="eastAsia" w:ascii="宋体" w:hAnsi="宋体"/>
          <w:sz w:val="21"/>
          <w:szCs w:val="21"/>
          <w:highlight w:val="none"/>
        </w:rPr>
        <w:t xml:space="preserve">务：</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监理工程师执业资格证书号：</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联系电话：</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电子信箱：</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通信地址：</w:t>
      </w:r>
      <w:r>
        <w:rPr>
          <w:rFonts w:hint="eastAsia" w:ascii="宋体" w:hAnsi="宋体"/>
          <w:sz w:val="21"/>
          <w:szCs w:val="22"/>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关于监理人的其他约定：</w:t>
      </w:r>
      <w:r>
        <w:rPr>
          <w:rFonts w:hint="eastAsia" w:ascii="宋体" w:hAnsi="宋体"/>
          <w:sz w:val="21"/>
          <w:szCs w:val="21"/>
          <w:highlight w:val="none"/>
          <w:u w:val="single"/>
        </w:rPr>
        <w:t xml:space="preserve">详见监理合同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4.3 </w:t>
      </w:r>
      <w:r>
        <w:rPr>
          <w:rFonts w:hint="eastAsia" w:ascii="宋体" w:hAnsi="宋体"/>
          <w:b/>
          <w:sz w:val="21"/>
          <w:szCs w:val="21"/>
          <w:highlight w:val="none"/>
        </w:rPr>
        <w:t xml:space="preserve">商定或确定</w:t>
      </w:r>
      <w:bookmarkStart w:id="315" w:name="_Toc267251418"/>
      <w:r/>
      <w:r/>
    </w:p>
    <w:p>
      <w:pPr>
        <w:pStyle w:val="1388"/>
        <w:ind w:firstLine="420"/>
        <w:spacing w:line="360" w:lineRule="auto"/>
        <w:rPr>
          <w:rFonts w:ascii="宋体" w:hAnsi="宋体"/>
          <w:b/>
          <w:sz w:val="21"/>
          <w:szCs w:val="21"/>
          <w:highlight w:val="none"/>
        </w:rPr>
      </w:pPr>
      <w:r>
        <w:rPr>
          <w:rFonts w:hint="eastAsia" w:ascii="宋体" w:hAnsi="宋体"/>
          <w:sz w:val="21"/>
          <w:szCs w:val="21"/>
          <w:highlight w:val="none"/>
        </w:rPr>
        <w:t xml:space="preserve">在发包人和承包人不能通过协商达成一致意见时，发包人授权监理人对以下事项进行确定：</w:t>
      </w:r>
      <w:r/>
    </w:p>
    <w:p>
      <w:pPr>
        <w:pStyle w:val="1388"/>
        <w:ind w:firstLine="420"/>
        <w:spacing w:line="360" w:lineRule="auto"/>
        <w:rPr>
          <w:rFonts w:ascii="宋体" w:hAnsi="宋体"/>
          <w:b/>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b/>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b/>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316" w:name="_Toc351203637"/>
      <w:r>
        <w:rPr>
          <w:rFonts w:ascii="宋体" w:hAnsi="宋体"/>
          <w:b/>
          <w:sz w:val="21"/>
          <w:szCs w:val="21"/>
          <w:highlight w:val="none"/>
        </w:rPr>
        <w:t xml:space="preserve">5</w:t>
      </w:r>
      <w:bookmarkEnd w:id="315"/>
      <w:r/>
      <w:bookmarkStart w:id="317" w:name="_Toc296890991"/>
      <w:r/>
      <w:bookmarkStart w:id="318" w:name="_Toc296944502"/>
      <w:r/>
      <w:bookmarkStart w:id="319" w:name="_Toc297048349"/>
      <w:r/>
      <w:bookmarkStart w:id="320" w:name="_Toc297120463"/>
      <w:r/>
      <w:bookmarkStart w:id="321" w:name="_Toc296503163"/>
      <w:r/>
      <w:bookmarkStart w:id="322" w:name="_Toc296346664"/>
      <w:r/>
      <w:bookmarkStart w:id="323" w:name="_Toc296891203"/>
      <w:r/>
      <w:bookmarkStart w:id="324" w:name="_Toc292559367"/>
      <w:r/>
      <w:bookmarkStart w:id="325" w:name="_Toc296347162"/>
      <w:r/>
      <w:bookmarkStart w:id="326" w:name="_Toc292559872"/>
      <w:r>
        <w:rPr>
          <w:rFonts w:ascii="宋体" w:hAnsi="宋体"/>
          <w:b/>
          <w:sz w:val="21"/>
          <w:szCs w:val="21"/>
          <w:highlight w:val="none"/>
        </w:rPr>
        <w:t xml:space="preserve">. </w:t>
      </w:r>
      <w:r>
        <w:rPr>
          <w:rFonts w:hint="eastAsia" w:ascii="宋体" w:hAnsi="宋体"/>
          <w:b/>
          <w:sz w:val="21"/>
          <w:szCs w:val="21"/>
          <w:highlight w:val="none"/>
        </w:rPr>
        <w:t xml:space="preserve">工程质量</w:t>
      </w:r>
      <w:bookmarkEnd w:id="316"/>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5.1 </w:t>
      </w:r>
      <w:r>
        <w:rPr>
          <w:rFonts w:hint="eastAsia" w:ascii="宋体" w:hAnsi="宋体"/>
          <w:b/>
          <w:sz w:val="21"/>
          <w:szCs w:val="21"/>
          <w:highlight w:val="none"/>
        </w:rPr>
        <w:t xml:space="preserve">质量要求</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5</w:t>
      </w:r>
      <w:bookmarkStart w:id="327" w:name="_Toc297123496"/>
      <w:r/>
      <w:bookmarkStart w:id="328" w:name="_Toc297216155"/>
      <w:r/>
      <w:bookmarkStart w:id="329" w:name="_Toc318581164"/>
      <w:r/>
      <w:bookmarkStart w:id="330" w:name="_Toc312677997"/>
      <w:r/>
      <w:bookmarkStart w:id="331" w:name="_Toc303539106"/>
      <w:r/>
      <w:bookmarkStart w:id="332" w:name="_Toc304295527"/>
      <w:r/>
      <w:bookmarkStart w:id="333" w:name="_Toc300934949"/>
      <w:r>
        <w:rPr>
          <w:rFonts w:ascii="宋体" w:hAnsi="宋体"/>
          <w:sz w:val="21"/>
          <w:szCs w:val="21"/>
          <w:highlight w:val="none"/>
        </w:rPr>
        <w:t xml:space="preserve">.1.1 </w:t>
      </w:r>
      <w:r>
        <w:rPr>
          <w:rFonts w:hint="eastAsia" w:ascii="宋体" w:hAnsi="宋体"/>
          <w:sz w:val="21"/>
          <w:szCs w:val="21"/>
          <w:highlight w:val="none"/>
        </w:rPr>
        <w:t xml:space="preserve">特殊质量标准和要求：</w:t>
      </w:r>
      <w:r>
        <w:rPr>
          <w:rFonts w:hint="eastAsia" w:ascii="宋体" w:hAnsi="宋体"/>
          <w:sz w:val="21"/>
          <w:szCs w:val="21"/>
          <w:highlight w:val="none"/>
          <w:u w:val="single"/>
        </w:rPr>
        <w:t xml:space="preserve">1、符合现行国家有关验收标准，并达到招标要求的质量等级标准。2、材料质量要求：符合国际现行的产品标准规定，并附有出厂合格证明，严禁使用不合格和过期材料和附件。无论总监理工程师是否进行并通过了各项检验，均不解除承包人对自己承包的工程的质量所负责任，除非质量问题是由于设计原因引起，而此类质量问题承包人须及时通知总监。无论工程材料是由承包人自行供应或是由</w:t>
      </w:r>
      <w:r>
        <w:rPr>
          <w:rFonts w:hint="eastAsia" w:ascii="宋体" w:hAnsi="宋体"/>
          <w:sz w:val="21"/>
          <w:szCs w:val="21"/>
          <w:highlight w:val="none"/>
          <w:u w:val="single"/>
        </w:rPr>
        <w:t xml:space="preserve">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 3、招标文件和有关规范规定的各种材料检验、工艺试验等必须按规定实施，由承包人提供法定检测机构出具的试验合格证书，所需费用包含在合同价中，由承包人承担，发包人不另外支付。4、招标文件和有关规范规定的各种材料，发包人有权对材料进行抽样送检（第三方检测机构），所需费用包含在合同价中，由承包人承担，发包人不另外支付</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关于工程奖项的约定：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5.2 </w:t>
      </w:r>
      <w:r>
        <w:rPr>
          <w:rFonts w:hint="eastAsia" w:ascii="宋体" w:hAnsi="宋体"/>
          <w:b/>
          <w:sz w:val="21"/>
          <w:szCs w:val="21"/>
          <w:highlight w:val="none"/>
        </w:rPr>
        <w:t xml:space="preserve">隐蔽工程检查</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5.2.1</w:t>
      </w:r>
      <w:r>
        <w:rPr>
          <w:rFonts w:hint="eastAsia" w:ascii="宋体" w:hAnsi="宋体"/>
          <w:sz w:val="21"/>
          <w:szCs w:val="21"/>
          <w:highlight w:val="none"/>
        </w:rPr>
        <w:t xml:space="preserve">承包人提前通知监理人隐蔽工程检查的期限的约定：</w:t>
      </w:r>
      <w:r>
        <w:rPr>
          <w:rFonts w:hint="eastAsia" w:ascii="宋体" w:hAnsi="宋体"/>
          <w:sz w:val="21"/>
          <w:szCs w:val="21"/>
          <w:highlight w:val="none"/>
          <w:u w:val="single"/>
        </w:rPr>
        <w:t xml:space="preserve">当工程具备隐蔽条件或达到中间验收时，承包人自检合格后，在隐蔽和中间验收48小时前书面通知发包人代表和监理工程师以</w:t>
      </w:r>
      <w:r>
        <w:rPr>
          <w:rFonts w:hint="eastAsia" w:ascii="宋体" w:hAnsi="宋体"/>
          <w:sz w:val="21"/>
          <w:szCs w:val="21"/>
          <w:highlight w:val="none"/>
          <w:u w:val="single"/>
        </w:rPr>
        <w:t xml:space="preserve">及设计方参加。通知应包含承包人自检记录、隐蔽和中间验收的内容、部位、时间和地点。承包人准备验收记录，验收合格，发包人代表及监理工程师以及设计方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重新检验，承包人承担因此发生的全部费用，工期不予顺延。承包人不服从质量管理的，发包人有权清退其出场，承包人并赔偿因此而造成的一切损失</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监理人不能按时进行检查时，应提前</w:t>
      </w:r>
      <w:r>
        <w:rPr>
          <w:rFonts w:ascii="宋体" w:hAnsi="宋体"/>
          <w:sz w:val="21"/>
          <w:szCs w:val="21"/>
          <w:highlight w:val="none"/>
          <w:u w:val="single"/>
        </w:rPr>
        <w:t xml:space="preserve">  </w:t>
      </w:r>
      <w:r>
        <w:rPr>
          <w:rFonts w:hint="eastAsia" w:ascii="宋体" w:hAnsi="宋体"/>
          <w:sz w:val="21"/>
          <w:szCs w:val="21"/>
          <w:highlight w:val="none"/>
          <w:u w:val="single"/>
        </w:rPr>
        <w:t xml:space="preserve"> 24</w:t>
      </w:r>
      <w:r>
        <w:rPr>
          <w:rFonts w:ascii="宋体" w:hAnsi="宋体"/>
          <w:sz w:val="21"/>
          <w:szCs w:val="21"/>
          <w:highlight w:val="none"/>
          <w:u w:val="single"/>
        </w:rPr>
        <w:t xml:space="preserve">   </w:t>
      </w:r>
      <w:r>
        <w:rPr>
          <w:rFonts w:hint="eastAsia" w:ascii="宋体" w:hAnsi="宋体"/>
          <w:sz w:val="21"/>
          <w:szCs w:val="21"/>
          <w:highlight w:val="none"/>
        </w:rPr>
        <w:t xml:space="preserve">小时提交书面延期要求。</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关于延期最长不得超过：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24</w:t>
      </w:r>
      <w:r>
        <w:rPr>
          <w:rFonts w:ascii="宋体" w:hAnsi="宋体"/>
          <w:sz w:val="21"/>
          <w:szCs w:val="21"/>
          <w:highlight w:val="none"/>
          <w:u w:val="single"/>
        </w:rPr>
        <w:t xml:space="preserve">   </w:t>
      </w:r>
      <w:r>
        <w:rPr>
          <w:rFonts w:hint="eastAsia" w:ascii="宋体" w:hAnsi="宋体"/>
          <w:sz w:val="21"/>
          <w:szCs w:val="21"/>
          <w:highlight w:val="none"/>
        </w:rPr>
        <w:t xml:space="preserve">小时。</w:t>
      </w:r>
      <w:r/>
    </w:p>
    <w:p>
      <w:pPr>
        <w:pStyle w:val="1388"/>
        <w:spacing w:line="360" w:lineRule="auto"/>
        <w:rPr>
          <w:rFonts w:ascii="宋体" w:hAnsi="宋体"/>
          <w:b/>
          <w:sz w:val="21"/>
          <w:szCs w:val="21"/>
          <w:highlight w:val="none"/>
        </w:rPr>
      </w:pPr>
      <w:r/>
      <w:bookmarkStart w:id="334" w:name="_Toc351203638"/>
      <w:r>
        <w:rPr>
          <w:rFonts w:ascii="宋体" w:hAnsi="宋体"/>
          <w:b/>
          <w:sz w:val="21"/>
          <w:szCs w:val="21"/>
          <w:highlight w:val="none"/>
        </w:rPr>
        <w:t xml:space="preserve">6. </w:t>
      </w:r>
      <w:r>
        <w:rPr>
          <w:rFonts w:hint="eastAsia" w:ascii="宋体" w:hAnsi="宋体"/>
          <w:b/>
          <w:sz w:val="21"/>
          <w:szCs w:val="21"/>
          <w:highlight w:val="none"/>
        </w:rPr>
        <w:t xml:space="preserve">安全文明施工与环境保护</w:t>
      </w:r>
      <w:bookmarkEnd w:id="334"/>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6.1</w:t>
      </w:r>
      <w:r>
        <w:rPr>
          <w:rFonts w:hint="eastAsia" w:ascii="宋体" w:hAnsi="宋体"/>
          <w:b/>
          <w:sz w:val="21"/>
          <w:szCs w:val="21"/>
          <w:highlight w:val="none"/>
        </w:rPr>
        <w:t xml:space="preserve">安全文明施工</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6.1.1 </w:t>
      </w:r>
      <w:r>
        <w:rPr>
          <w:rFonts w:hint="eastAsia" w:ascii="宋体" w:hAnsi="宋体"/>
          <w:sz w:val="21"/>
          <w:szCs w:val="21"/>
          <w:highlight w:val="none"/>
        </w:rPr>
        <w:t xml:space="preserve">项目安全生产的达标目标及相应事项的约定：</w:t>
      </w:r>
      <w:r>
        <w:rPr>
          <w:rFonts w:hint="eastAsia" w:ascii="宋体" w:hAnsi="宋体"/>
          <w:sz w:val="21"/>
          <w:szCs w:val="21"/>
          <w:highlight w:val="none"/>
          <w:u w:val="single"/>
        </w:rPr>
        <w:t xml:space="preserve">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w:t>
      </w:r>
      <w:r>
        <w:rPr>
          <w:rFonts w:hint="eastAsia" w:ascii="宋体" w:hAnsi="宋体"/>
          <w:sz w:val="21"/>
          <w:szCs w:val="21"/>
          <w:highlight w:val="none"/>
          <w:u w:val="single"/>
        </w:rPr>
        <w:t xml:space="preserve">承包人承担。承包人应负责保管水、电设施，若发生丢失或损坏，由承包人赔偿。4、严格执行《中华人民共和国安全生产法》、《建设工程安全生产管理条例》（国务院第393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w:t>
      </w:r>
      <w:r>
        <w:rPr>
          <w:rFonts w:hint="eastAsia" w:ascii="宋体" w:hAnsi="宋体"/>
          <w:sz w:val="21"/>
          <w:szCs w:val="21"/>
          <w:highlight w:val="none"/>
          <w:u w:val="single"/>
        </w:rPr>
        <w:t xml:space="preserve">并配备专职安全人员，全面负责施工现场的安全及周边设施的安全和第三方人身安全，并承担所有责任及相应地赔偿费用。5、 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上述情形给发包人造成的一切损失由承包人承担。</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6.1.2 </w:t>
      </w:r>
      <w:r>
        <w:rPr>
          <w:rFonts w:hint="eastAsia" w:ascii="宋体" w:hAnsi="宋体"/>
          <w:sz w:val="21"/>
          <w:szCs w:val="21"/>
          <w:highlight w:val="none"/>
        </w:rPr>
        <w:t xml:space="preserve">关于治安保卫的特别约定：</w:t>
      </w:r>
      <w:r>
        <w:rPr>
          <w:rFonts w:hint="eastAsia" w:ascii="宋体" w:hAnsi="宋体"/>
          <w:sz w:val="21"/>
          <w:szCs w:val="21"/>
          <w:highlight w:val="none"/>
          <w:u w:val="single"/>
        </w:rPr>
        <w:t xml:space="preserve">满足发包人、城管、卫生防疫、环保及有关部门的相关要求</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关于编制施工场地治安管理计划的约定：</w:t>
      </w:r>
      <w:r>
        <w:rPr>
          <w:rFonts w:hint="eastAsia" w:ascii="宋体" w:hAnsi="宋体"/>
          <w:sz w:val="21"/>
          <w:szCs w:val="21"/>
          <w:highlight w:val="none"/>
          <w:u w:val="single"/>
        </w:rPr>
        <w:t xml:space="preserve">双方另行协商</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6.1.3 </w:t>
      </w:r>
      <w:r>
        <w:rPr>
          <w:rFonts w:hint="eastAsia" w:ascii="宋体" w:hAnsi="宋体"/>
          <w:sz w:val="21"/>
          <w:szCs w:val="21"/>
          <w:highlight w:val="none"/>
        </w:rPr>
        <w:t xml:space="preserve">文明施工</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合同当事人对文明施工的要求：</w:t>
      </w:r>
      <w:r>
        <w:rPr>
          <w:rFonts w:hint="eastAsia" w:ascii="宋体" w:hAnsi="宋体"/>
          <w:sz w:val="21"/>
          <w:szCs w:val="21"/>
          <w:highlight w:val="none"/>
          <w:u w:val="single"/>
        </w:rPr>
        <w:t xml:space="preserve">合同当事人对文明施工的要求：一、施工安全： ⑴承包人报请监理工程师和发包人代表审批的施工组织设计中应有安全施工方案，要有安全施工管理系统，配备</w:t>
      </w:r>
      <w:r>
        <w:rPr>
          <w:rFonts w:hint="eastAsia" w:ascii="宋体" w:hAnsi="宋体"/>
          <w:sz w:val="21"/>
          <w:szCs w:val="21"/>
          <w:highlight w:val="none"/>
          <w:u w:val="single"/>
        </w:rPr>
        <w:t xml:space="preserve">安全管理人员负责工程、车辆机械和施工人员的安全工作，将施工安全落到实处。⑵承包人要认真做好车辆机械的保养维护工作和驾驶操作人员的安全教育工作，车辆机械不得带病作业，不得违规操作，杜绝机械和车辆事故。 二、施工噪音 ：工程施工期间，噪声对环境的影响必须满足国家和宿迁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在工程施工过程中，若发生施工噪声超标扰民事件，由承包人负责解决，发包人予</w:t>
      </w:r>
      <w:r>
        <w:rPr>
          <w:rFonts w:hint="eastAsia" w:ascii="宋体" w:hAnsi="宋体"/>
          <w:sz w:val="21"/>
          <w:szCs w:val="21"/>
          <w:highlight w:val="none"/>
          <w:u w:val="single"/>
        </w:rPr>
        <w:t xml:space="preserve">以配合。 三、污水排放： 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 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6.1.4 </w:t>
      </w:r>
      <w:r>
        <w:rPr>
          <w:rFonts w:hint="eastAsia" w:ascii="宋体" w:hAnsi="宋体"/>
          <w:sz w:val="21"/>
          <w:szCs w:val="21"/>
          <w:highlight w:val="none"/>
        </w:rPr>
        <w:t xml:space="preserve">关于安全文明施工费支付比例和支付期限的约定：</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bookmarkEnd w:id="327"/>
      <w:r/>
      <w:bookmarkEnd w:id="328"/>
      <w:r/>
      <w:bookmarkEnd w:id="329"/>
      <w:r/>
      <w:bookmarkEnd w:id="330"/>
      <w:r/>
      <w:bookmarkEnd w:id="331"/>
      <w:r/>
      <w:bookmarkEnd w:id="332"/>
      <w:r/>
      <w:bookmarkEnd w:id="333"/>
      <w:r/>
      <w:r/>
    </w:p>
    <w:p>
      <w:pPr>
        <w:pStyle w:val="1388"/>
        <w:spacing w:line="360" w:lineRule="auto"/>
        <w:rPr>
          <w:rFonts w:ascii="宋体" w:hAnsi="宋体"/>
          <w:b/>
          <w:sz w:val="21"/>
          <w:szCs w:val="21"/>
          <w:highlight w:val="none"/>
        </w:rPr>
      </w:pPr>
      <w:r/>
      <w:bookmarkStart w:id="335" w:name="_Toc351203639"/>
      <w:r>
        <w:rPr>
          <w:rFonts w:ascii="宋体" w:hAnsi="宋体"/>
          <w:b/>
          <w:sz w:val="21"/>
          <w:szCs w:val="21"/>
          <w:highlight w:val="none"/>
        </w:rPr>
        <w:t xml:space="preserve">7. </w:t>
      </w:r>
      <w:r>
        <w:rPr>
          <w:rFonts w:hint="eastAsia" w:ascii="宋体" w:hAnsi="宋体"/>
          <w:b/>
          <w:sz w:val="21"/>
          <w:szCs w:val="21"/>
          <w:highlight w:val="none"/>
        </w:rPr>
        <w:t xml:space="preserve">工期和进度</w:t>
      </w:r>
      <w:bookmarkEnd w:id="335"/>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7.1 </w:t>
      </w:r>
      <w:r>
        <w:rPr>
          <w:rFonts w:hint="eastAsia" w:ascii="宋体" w:hAnsi="宋体"/>
          <w:b/>
          <w:sz w:val="21"/>
          <w:szCs w:val="21"/>
          <w:highlight w:val="none"/>
        </w:rPr>
        <w:t xml:space="preserve">施工组织设计</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7.1.1 </w:t>
      </w:r>
      <w:r>
        <w:rPr>
          <w:rFonts w:hint="eastAsia" w:ascii="宋体" w:hAnsi="宋体"/>
          <w:sz w:val="21"/>
          <w:szCs w:val="21"/>
          <w:highlight w:val="none"/>
        </w:rPr>
        <w:t xml:space="preserve">合同当事人约定的施工组织设计应包括的其他内容：</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7.1.2 </w:t>
      </w:r>
      <w:r>
        <w:rPr>
          <w:rFonts w:hint="eastAsia" w:ascii="宋体" w:hAnsi="宋体"/>
          <w:sz w:val="21"/>
          <w:szCs w:val="21"/>
          <w:highlight w:val="none"/>
        </w:rPr>
        <w:t xml:space="preserve">施工组织设计的提交和修改</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承包人提交详细施工组织设计的期限的约定：</w:t>
      </w:r>
      <w:r>
        <w:rPr>
          <w:rFonts w:hint="eastAsia" w:ascii="宋体" w:hAnsi="宋体"/>
          <w:sz w:val="21"/>
          <w:szCs w:val="21"/>
          <w:highlight w:val="none"/>
          <w:u w:val="single"/>
        </w:rPr>
        <w:t xml:space="preserve">施工组织设计和总进度计划应于合同签订前提交发包人及监理工程师审批，总进度计划应满足招标文件和合同对工期的要求</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发包人和监理人在收到详细的施工组织设计后确认或提出修改意见的期限：</w:t>
      </w:r>
      <w:r>
        <w:rPr>
          <w:rFonts w:hint="eastAsia" w:ascii="宋体" w:hAnsi="宋体"/>
          <w:sz w:val="21"/>
          <w:szCs w:val="21"/>
          <w:highlight w:val="none"/>
          <w:u w:val="single"/>
        </w:rPr>
        <w:t xml:space="preserve">发包人代表和监理工程师应于收到承包人资料3天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w:t>
      </w:r>
      <w:bookmarkStart w:id="336" w:name="_Toc297123514"/>
      <w:r/>
      <w:bookmarkStart w:id="337" w:name="_Toc312677479"/>
      <w:r/>
      <w:bookmarkStart w:id="338" w:name="_Toc300934966"/>
      <w:r/>
      <w:bookmarkStart w:id="339" w:name="_Toc297216173"/>
      <w:r/>
      <w:bookmarkStart w:id="340" w:name="_Toc312678005"/>
      <w:r/>
      <w:bookmarkStart w:id="341" w:name="_Toc304295541"/>
      <w:r/>
      <w:bookmarkStart w:id="342" w:name="_Toc303539123"/>
      <w:r>
        <w:rPr>
          <w:rFonts w:ascii="宋体" w:hAnsi="宋体"/>
          <w:b/>
          <w:sz w:val="21"/>
          <w:szCs w:val="21"/>
          <w:highlight w:val="none"/>
        </w:rPr>
        <w:t xml:space="preserve">.2 </w:t>
      </w:r>
      <w:r>
        <w:rPr>
          <w:rFonts w:hint="eastAsia" w:ascii="宋体" w:hAnsi="宋体"/>
          <w:b/>
          <w:sz w:val="21"/>
          <w:szCs w:val="21"/>
          <w:highlight w:val="none"/>
        </w:rPr>
        <w:t xml:space="preserve">施工进度计划</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7.2.1 </w:t>
      </w:r>
      <w:r>
        <w:rPr>
          <w:rFonts w:hint="eastAsia" w:ascii="宋体" w:hAnsi="宋体"/>
          <w:sz w:val="21"/>
          <w:szCs w:val="21"/>
          <w:highlight w:val="none"/>
        </w:rPr>
        <w:t xml:space="preserve">施工进度计划的修订</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发包人和监理人在收到修订的施工进度计划后确认或提出修改意见的期限：</w:t>
      </w:r>
      <w:r>
        <w:rPr>
          <w:rFonts w:hint="eastAsia" w:ascii="宋体" w:hAnsi="宋体"/>
          <w:sz w:val="21"/>
          <w:szCs w:val="21"/>
          <w:highlight w:val="none"/>
          <w:u w:val="single"/>
        </w:rPr>
        <w:t xml:space="preserve">24小时内</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7.3 </w:t>
      </w:r>
      <w:r>
        <w:rPr>
          <w:rFonts w:hint="eastAsia" w:ascii="宋体" w:hAnsi="宋体"/>
          <w:b/>
          <w:sz w:val="21"/>
          <w:szCs w:val="21"/>
          <w:highlight w:val="none"/>
        </w:rPr>
        <w:t xml:space="preserve">开工</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7.3.1 </w:t>
      </w:r>
      <w:r>
        <w:rPr>
          <w:rFonts w:hint="eastAsia" w:ascii="宋体" w:hAnsi="宋体"/>
          <w:sz w:val="21"/>
          <w:szCs w:val="21"/>
          <w:highlight w:val="none"/>
        </w:rPr>
        <w:t xml:space="preserve">开工准备</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关于承包人提交工程开工报审表的期限：</w:t>
      </w:r>
      <w:r>
        <w:rPr>
          <w:rFonts w:hint="eastAsia" w:ascii="宋体" w:hAnsi="宋体"/>
          <w:sz w:val="21"/>
          <w:szCs w:val="21"/>
          <w:highlight w:val="none"/>
          <w:u w:val="single"/>
        </w:rPr>
        <w:t xml:space="preserve">24小时内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关于发包人应完成的其他开工准备工作及期限：</w:t>
      </w:r>
      <w:r>
        <w:rPr>
          <w:rFonts w:hint="eastAsia" w:ascii="宋体" w:hAnsi="宋体"/>
          <w:sz w:val="21"/>
          <w:szCs w:val="21"/>
          <w:highlight w:val="none"/>
          <w:u w:val="single"/>
        </w:rPr>
        <w:t xml:space="preserve">合同签订前</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关于承包人应完成的其他开工准备工作及期限：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7.3.2</w:t>
      </w:r>
      <w:r>
        <w:rPr>
          <w:rFonts w:hint="eastAsia" w:ascii="宋体" w:hAnsi="宋体"/>
          <w:sz w:val="21"/>
          <w:szCs w:val="21"/>
          <w:highlight w:val="none"/>
        </w:rPr>
        <w:t xml:space="preserve">开工通知</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因发包人原因造成监理人未能在计划开工日期之日起</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天内发出开工通知的，承包人有权提出价格调整要求，或者解除合同。</w:t>
      </w:r>
      <w:bookmarkEnd w:id="336"/>
      <w:r/>
      <w:bookmarkEnd w:id="337"/>
      <w:r/>
      <w:bookmarkEnd w:id="338"/>
      <w:r/>
      <w:bookmarkEnd w:id="339"/>
      <w:r/>
      <w:bookmarkEnd w:id="340"/>
      <w:r/>
      <w:bookmarkEnd w:id="341"/>
      <w:r/>
      <w:bookmarkEnd w:id="342"/>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7.4 </w:t>
      </w:r>
      <w:r>
        <w:rPr>
          <w:rFonts w:hint="eastAsia" w:ascii="宋体" w:hAnsi="宋体"/>
          <w:b/>
          <w:sz w:val="21"/>
          <w:szCs w:val="21"/>
          <w:highlight w:val="none"/>
        </w:rPr>
        <w:t xml:space="preserve">测量放线</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7.4.1</w:t>
      </w:r>
      <w:r>
        <w:rPr>
          <w:rFonts w:hint="eastAsia" w:ascii="宋体" w:hAnsi="宋体"/>
          <w:sz w:val="21"/>
          <w:szCs w:val="21"/>
          <w:highlight w:val="none"/>
        </w:rPr>
        <w:t xml:space="preserve">发包人通过监理人向承包人提供测量基准点、基准线和水准点及其书面资料的期限：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w:t>
      </w:r>
      <w:bookmarkStart w:id="343" w:name="_Toc300934968"/>
      <w:r/>
      <w:bookmarkStart w:id="344" w:name="_Toc312678010"/>
      <w:r/>
      <w:bookmarkStart w:id="345" w:name="_Toc312677484"/>
      <w:r/>
      <w:bookmarkStart w:id="346" w:name="_Toc303539125"/>
      <w:r/>
      <w:bookmarkStart w:id="347" w:name="_Toc297123516"/>
      <w:r/>
      <w:bookmarkStart w:id="348" w:name="_Toc297216175"/>
      <w:r/>
      <w:bookmarkStart w:id="349" w:name="_Toc304295546"/>
      <w:r>
        <w:rPr>
          <w:rFonts w:ascii="宋体" w:hAnsi="宋体"/>
          <w:b/>
          <w:sz w:val="21"/>
          <w:szCs w:val="21"/>
          <w:highlight w:val="none"/>
        </w:rPr>
        <w:t xml:space="preserve">.5 </w:t>
      </w:r>
      <w:r>
        <w:rPr>
          <w:rFonts w:hint="eastAsia" w:ascii="宋体" w:hAnsi="宋体"/>
          <w:b/>
          <w:sz w:val="21"/>
          <w:szCs w:val="21"/>
          <w:highlight w:val="none"/>
        </w:rPr>
        <w:t xml:space="preserve">工期延误</w:t>
      </w:r>
      <w:bookmarkEnd w:id="343"/>
      <w:r/>
      <w:bookmarkEnd w:id="344"/>
      <w:r/>
      <w:bookmarkEnd w:id="345"/>
      <w:r/>
      <w:bookmarkEnd w:id="346"/>
      <w:r/>
      <w:bookmarkEnd w:id="347"/>
      <w:r/>
      <w:bookmarkEnd w:id="348"/>
      <w:r/>
      <w:bookmarkEnd w:id="349"/>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7.5.1 </w:t>
      </w:r>
      <w:r>
        <w:rPr>
          <w:rFonts w:hint="eastAsia" w:ascii="宋体" w:hAnsi="宋体"/>
          <w:sz w:val="21"/>
          <w:szCs w:val="21"/>
          <w:highlight w:val="none"/>
        </w:rPr>
        <w:t xml:space="preserve">因发包人原因导致工期延误</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w:t>
      </w:r>
      <w:r>
        <w:rPr>
          <w:rFonts w:ascii="宋体" w:hAnsi="宋体"/>
          <w:sz w:val="21"/>
          <w:szCs w:val="21"/>
          <w:highlight w:val="none"/>
        </w:rPr>
        <w:t xml:space="preserve">7</w:t>
      </w:r>
      <w:r>
        <w:rPr>
          <w:rFonts w:hint="eastAsia" w:ascii="宋体" w:hAnsi="宋体"/>
          <w:sz w:val="21"/>
          <w:szCs w:val="21"/>
          <w:highlight w:val="none"/>
        </w:rPr>
        <w:t xml:space="preserve">）因发包人原因导致工期延误的其他情形：</w:t>
      </w:r>
      <w:r>
        <w:rPr>
          <w:rFonts w:hint="eastAsia" w:ascii="宋体" w:hAnsi="宋体"/>
          <w:sz w:val="21"/>
          <w:szCs w:val="21"/>
          <w:highlight w:val="none"/>
          <w:u w:val="single"/>
        </w:rPr>
        <w:t xml:space="preserve">①由于发包人的责任而造成的停工，工期顺延；②不可抗力（虽有雨雪等天气，但不因此导致停工的，不得顺延</w:t>
      </w:r>
      <w:r>
        <w:rPr>
          <w:rFonts w:ascii="宋体" w:hAnsi="宋体"/>
          <w:sz w:val="21"/>
          <w:szCs w:val="21"/>
          <w:highlight w:val="none"/>
          <w:u w:val="single"/>
        </w:rPr>
        <w:t xml:space="preserve">）</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w:t>
      </w:r>
      <w:bookmarkStart w:id="350" w:name="_Toc312678012"/>
      <w:r/>
      <w:bookmarkStart w:id="351" w:name="_Toc312677486"/>
      <w:r/>
      <w:bookmarkStart w:id="352" w:name="_Toc318581169"/>
      <w:r/>
      <w:bookmarkStart w:id="353" w:name="_Toc297216177"/>
      <w:r/>
      <w:bookmarkStart w:id="354" w:name="_Toc304295548"/>
      <w:r/>
      <w:bookmarkStart w:id="355" w:name="_Toc303539127"/>
      <w:r/>
      <w:bookmarkStart w:id="356" w:name="_Toc297123518"/>
      <w:r/>
      <w:bookmarkStart w:id="357" w:name="_Toc300934970"/>
      <w:r>
        <w:rPr>
          <w:rFonts w:ascii="宋体" w:hAnsi="宋体"/>
          <w:sz w:val="21"/>
          <w:szCs w:val="21"/>
          <w:highlight w:val="none"/>
        </w:rPr>
        <w:t xml:space="preserve">.5.2 </w:t>
      </w:r>
      <w:r>
        <w:rPr>
          <w:rFonts w:hint="eastAsia" w:ascii="宋体" w:hAnsi="宋体"/>
          <w:sz w:val="21"/>
          <w:szCs w:val="21"/>
          <w:highlight w:val="none"/>
        </w:rPr>
        <w:t xml:space="preserve">因承包人原因导致工期延误</w:t>
      </w:r>
      <w:bookmarkEnd w:id="350"/>
      <w:r/>
      <w:bookmarkEnd w:id="351"/>
      <w:r/>
      <w:bookmarkEnd w:id="352"/>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因</w:t>
      </w:r>
      <w:bookmarkStart w:id="358" w:name="_Toc312677487"/>
      <w:r/>
      <w:bookmarkStart w:id="359" w:name="_Toc318581170"/>
      <w:r/>
      <w:bookmarkStart w:id="360" w:name="_Toc312678013"/>
      <w:r>
        <w:rPr>
          <w:rFonts w:hint="eastAsia" w:ascii="宋体" w:hAnsi="宋体"/>
          <w:sz w:val="21"/>
          <w:szCs w:val="21"/>
          <w:highlight w:val="none"/>
        </w:rPr>
        <w:t xml:space="preserve">承包人原因造成工期延误，逾期竣工违约金的计算方法为：</w:t>
      </w:r>
      <w:r>
        <w:rPr>
          <w:rFonts w:hint="eastAsia" w:ascii="宋体" w:hAnsi="宋体"/>
          <w:sz w:val="21"/>
          <w:szCs w:val="21"/>
          <w:highlight w:val="none"/>
          <w:u w:val="single"/>
        </w:rPr>
        <w:t xml:space="preserve">工期结束是指竣收验收完成，逾期违约详见专用条款16.2.2.11条，此违约金的支付不能免除承包人应完成工程的责任和合同规定的其他责任</w:t>
      </w:r>
      <w:r>
        <w:rPr>
          <w:rFonts w:hint="eastAsia" w:ascii="宋体" w:hAnsi="宋体"/>
          <w:sz w:val="21"/>
          <w:szCs w:val="21"/>
          <w:highlight w:val="none"/>
        </w:rPr>
        <w:t xml:space="preserve">。</w:t>
      </w:r>
      <w:bookmarkEnd w:id="353"/>
      <w:r/>
      <w:bookmarkEnd w:id="354"/>
      <w:r/>
      <w:bookmarkEnd w:id="355"/>
      <w:r/>
      <w:bookmarkEnd w:id="356"/>
      <w:r/>
      <w:bookmarkEnd w:id="357"/>
      <w:r/>
      <w:bookmarkEnd w:id="358"/>
      <w:r/>
      <w:bookmarkEnd w:id="359"/>
      <w:r/>
      <w:bookmarkEnd w:id="360"/>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因承包人原因造成工期延误，逾</w:t>
      </w:r>
      <w:bookmarkStart w:id="361" w:name="_Toc318581171"/>
      <w:r/>
      <w:bookmarkStart w:id="362" w:name="_Toc312678014"/>
      <w:r>
        <w:rPr>
          <w:rFonts w:hint="eastAsia" w:ascii="宋体" w:hAnsi="宋体"/>
          <w:sz w:val="21"/>
          <w:szCs w:val="21"/>
          <w:highlight w:val="none"/>
        </w:rPr>
        <w:t xml:space="preserve">期竣工违约金的上限：</w:t>
      </w:r>
      <w:r>
        <w:rPr>
          <w:rFonts w:hint="eastAsia" w:ascii="宋体" w:hAnsi="宋体"/>
          <w:sz w:val="21"/>
          <w:szCs w:val="21"/>
          <w:highlight w:val="none"/>
          <w:u w:val="single"/>
        </w:rPr>
        <w:t xml:space="preserve">逾期竣工违约金限额为合同价款的20%</w:t>
      </w:r>
      <w:r>
        <w:rPr>
          <w:rFonts w:hint="eastAsia" w:ascii="宋体" w:hAnsi="宋体"/>
          <w:sz w:val="21"/>
          <w:szCs w:val="21"/>
          <w:highlight w:val="none"/>
        </w:rPr>
        <w:t xml:space="preserve">。</w:t>
      </w:r>
      <w:bookmarkEnd w:id="361"/>
      <w:r/>
      <w:bookmarkEnd w:id="362"/>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w:t>
      </w:r>
      <w:bookmarkStart w:id="363" w:name="_Toc297123519"/>
      <w:r/>
      <w:bookmarkStart w:id="364" w:name="_Toc304295549"/>
      <w:r/>
      <w:bookmarkStart w:id="365" w:name="_Toc312678015"/>
      <w:r/>
      <w:bookmarkStart w:id="366" w:name="_Toc297216178"/>
      <w:r/>
      <w:bookmarkStart w:id="367" w:name="_Toc300934971"/>
      <w:r/>
      <w:bookmarkStart w:id="368" w:name="_Toc303539128"/>
      <w:r>
        <w:rPr>
          <w:rFonts w:ascii="宋体" w:hAnsi="宋体"/>
          <w:b/>
          <w:sz w:val="21"/>
          <w:szCs w:val="21"/>
          <w:highlight w:val="none"/>
        </w:rPr>
        <w:t xml:space="preserve">.6 </w:t>
      </w:r>
      <w:r>
        <w:rPr>
          <w:rFonts w:hint="eastAsia" w:ascii="宋体" w:hAnsi="宋体"/>
          <w:b/>
          <w:sz w:val="21"/>
          <w:szCs w:val="21"/>
          <w:highlight w:val="none"/>
        </w:rPr>
        <w:t xml:space="preserve">不</w:t>
      </w:r>
      <w:bookmarkEnd w:id="363"/>
      <w:r/>
      <w:bookmarkEnd w:id="364"/>
      <w:r/>
      <w:bookmarkEnd w:id="365"/>
      <w:r/>
      <w:bookmarkEnd w:id="366"/>
      <w:r/>
      <w:bookmarkEnd w:id="367"/>
      <w:r/>
      <w:bookmarkEnd w:id="368"/>
      <w:r>
        <w:rPr>
          <w:rFonts w:hint="eastAsia" w:ascii="宋体" w:hAnsi="宋体"/>
          <w:b/>
          <w:sz w:val="21"/>
          <w:szCs w:val="21"/>
          <w:highlight w:val="none"/>
        </w:rPr>
        <w:t xml:space="preserve">利物质条件</w:t>
      </w:r>
      <w:r/>
    </w:p>
    <w:p>
      <w:pPr>
        <w:pStyle w:val="1388"/>
        <w:ind w:firstLine="420"/>
        <w:spacing w:line="360" w:lineRule="auto"/>
        <w:rPr>
          <w:rFonts w:ascii="宋体" w:hAnsi="宋体"/>
          <w:sz w:val="21"/>
          <w:szCs w:val="21"/>
          <w:highlight w:val="none"/>
          <w:u w:val="single"/>
        </w:rPr>
      </w:pPr>
      <w:r/>
      <w:bookmarkStart w:id="369" w:name="_Toc318581172"/>
      <w:r/>
      <w:bookmarkStart w:id="370" w:name="_Toc312678016"/>
      <w:r/>
      <w:bookmarkStart w:id="371" w:name="_Toc297216179"/>
      <w:r/>
      <w:bookmarkStart w:id="372" w:name="_Toc297123520"/>
      <w:r/>
      <w:bookmarkStart w:id="373" w:name="_Toc304295550"/>
      <w:r/>
      <w:bookmarkStart w:id="374" w:name="_Toc303539129"/>
      <w:r/>
      <w:bookmarkStart w:id="375" w:name="_Toc300934972"/>
      <w:r>
        <w:rPr>
          <w:rFonts w:hint="eastAsia" w:ascii="宋体" w:hAnsi="宋体"/>
          <w:sz w:val="21"/>
          <w:szCs w:val="21"/>
          <w:highlight w:val="none"/>
        </w:rPr>
        <w:t xml:space="preserve">不利物质条件的其他情形和有关约定：</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bookmarkEnd w:id="369"/>
      <w:r/>
      <w:bookmarkEnd w:id="370"/>
      <w:r/>
      <w:bookmarkEnd w:id="371"/>
      <w:r/>
      <w:bookmarkEnd w:id="372"/>
      <w:r/>
      <w:bookmarkEnd w:id="373"/>
      <w:r/>
      <w:bookmarkEnd w:id="374"/>
      <w:r/>
      <w:bookmarkEnd w:id="375"/>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w:t>
      </w:r>
      <w:bookmarkStart w:id="376" w:name="_Toc297123521"/>
      <w:r/>
      <w:bookmarkStart w:id="377" w:name="_Toc297216180"/>
      <w:r/>
      <w:bookmarkStart w:id="378" w:name="_Toc304295551"/>
      <w:r/>
      <w:bookmarkStart w:id="379" w:name="_Toc312678017"/>
      <w:r/>
      <w:bookmarkStart w:id="380" w:name="_Toc303539130"/>
      <w:r/>
      <w:bookmarkStart w:id="381" w:name="_Toc300934973"/>
      <w:r>
        <w:rPr>
          <w:rFonts w:ascii="宋体" w:hAnsi="宋体"/>
          <w:b/>
          <w:sz w:val="21"/>
          <w:szCs w:val="21"/>
          <w:highlight w:val="none"/>
        </w:rPr>
        <w:t xml:space="preserve">.7</w:t>
      </w:r>
      <w:r>
        <w:rPr>
          <w:rFonts w:hint="eastAsia" w:ascii="宋体" w:hAnsi="宋体"/>
          <w:b/>
          <w:sz w:val="21"/>
          <w:szCs w:val="21"/>
          <w:highlight w:val="none"/>
        </w:rPr>
        <w:t xml:space="preserve">异常恶劣的气候条件</w:t>
      </w:r>
      <w:bookmarkEnd w:id="376"/>
      <w:r/>
      <w:bookmarkEnd w:id="377"/>
      <w:r/>
      <w:bookmarkEnd w:id="378"/>
      <w:r/>
      <w:bookmarkEnd w:id="379"/>
      <w:r/>
      <w:bookmarkEnd w:id="380"/>
      <w:r/>
      <w:bookmarkEnd w:id="381"/>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发包人和承包人同意以下情形视为异常恶劣的气候条件：</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）风力达到或超过8级的天气现象；地震震级达到5级及以上的自然现象等；</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）日降水量大于80mm且降水持续三日的天气现象；</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）日降雪量大于10mm且降雪持续三日的天气现象；</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（4）地震震级达到5级及以上的自然现象等。</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是否发生上述4项气候条件情形，以宿迁市气象局权威发布的气象资料为准。</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7.8 </w:t>
      </w:r>
      <w:r>
        <w:rPr>
          <w:rFonts w:hint="eastAsia" w:ascii="宋体" w:hAnsi="宋体"/>
          <w:b/>
          <w:sz w:val="21"/>
          <w:szCs w:val="21"/>
          <w:highlight w:val="none"/>
        </w:rPr>
        <w:t xml:space="preserve">提前竣工的奖励</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7.8.2</w:t>
      </w:r>
      <w:r>
        <w:rPr>
          <w:rFonts w:hint="eastAsia" w:ascii="宋体" w:hAnsi="宋体"/>
          <w:sz w:val="21"/>
          <w:szCs w:val="21"/>
          <w:highlight w:val="none"/>
        </w:rPr>
        <w:t xml:space="preserve">提前竣工的奖励：</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382" w:name="_Toc351203640"/>
      <w:r>
        <w:rPr>
          <w:rFonts w:ascii="宋体" w:hAnsi="宋体"/>
          <w:b/>
          <w:sz w:val="21"/>
          <w:szCs w:val="21"/>
          <w:highlight w:val="none"/>
        </w:rPr>
        <w:t xml:space="preserve">8. </w:t>
      </w:r>
      <w:r>
        <w:rPr>
          <w:rFonts w:hint="eastAsia" w:ascii="宋体" w:hAnsi="宋体"/>
          <w:b/>
          <w:sz w:val="21"/>
          <w:szCs w:val="21"/>
          <w:highlight w:val="none"/>
        </w:rPr>
        <w:t xml:space="preserve">材料与设备</w:t>
      </w:r>
      <w:bookmarkEnd w:id="317"/>
      <w:r/>
      <w:bookmarkEnd w:id="318"/>
      <w:r/>
      <w:bookmarkEnd w:id="319"/>
      <w:r/>
      <w:bookmarkEnd w:id="320"/>
      <w:r/>
      <w:bookmarkEnd w:id="321"/>
      <w:r/>
      <w:bookmarkEnd w:id="322"/>
      <w:r/>
      <w:bookmarkEnd w:id="323"/>
      <w:r/>
      <w:bookmarkEnd w:id="324"/>
      <w:r/>
      <w:bookmarkEnd w:id="325"/>
      <w:r/>
      <w:bookmarkEnd w:id="326"/>
      <w:r/>
      <w:bookmarkEnd w:id="382"/>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8</w:t>
      </w:r>
      <w:bookmarkStart w:id="383" w:name="_Toc292559877"/>
      <w:r/>
      <w:bookmarkStart w:id="384" w:name="_Toc297123527"/>
      <w:r/>
      <w:bookmarkStart w:id="385" w:name="_Toc296346668"/>
      <w:r/>
      <w:bookmarkStart w:id="386" w:name="_Toc300934979"/>
      <w:r/>
      <w:bookmarkStart w:id="387" w:name="_Toc280868654"/>
      <w:r/>
      <w:bookmarkStart w:id="388" w:name="_Toc303539136"/>
      <w:r/>
      <w:bookmarkStart w:id="389" w:name="_Toc312677493"/>
      <w:r/>
      <w:bookmarkStart w:id="390" w:name="_Toc292559372"/>
      <w:r/>
      <w:bookmarkStart w:id="391" w:name="_Toc312678019"/>
      <w:r/>
      <w:bookmarkStart w:id="392" w:name="_Toc296944506"/>
      <w:r/>
      <w:bookmarkStart w:id="393" w:name="_Toc297120467"/>
      <w:r/>
      <w:bookmarkStart w:id="394" w:name="_Toc296503167"/>
      <w:r/>
      <w:bookmarkStart w:id="395" w:name="_Toc296890995"/>
      <w:r/>
      <w:bookmarkStart w:id="396" w:name="_Toc297048353"/>
      <w:r/>
      <w:bookmarkStart w:id="397" w:name="_Toc296891207"/>
      <w:r/>
      <w:bookmarkStart w:id="398" w:name="_Toc296347166"/>
      <w:r/>
      <w:bookmarkStart w:id="399" w:name="_Toc297216186"/>
      <w:r/>
      <w:bookmarkStart w:id="400" w:name="_Toc304295556"/>
      <w:r/>
      <w:bookmarkStart w:id="401" w:name="_Toc280868656"/>
      <w:r/>
      <w:bookmarkStart w:id="402" w:name="_Toc267251424"/>
      <w:r/>
      <w:bookmarkStart w:id="403" w:name="_Toc280868655"/>
      <w:r>
        <w:rPr>
          <w:rFonts w:ascii="宋体" w:hAnsi="宋体"/>
          <w:b/>
          <w:sz w:val="21"/>
          <w:szCs w:val="21"/>
          <w:highlight w:val="none"/>
        </w:rPr>
        <w:t xml:space="preserve">.1</w:t>
      </w:r>
      <w:r>
        <w:rPr>
          <w:rFonts w:hint="eastAsia" w:ascii="宋体" w:hAnsi="宋体"/>
          <w:b/>
          <w:sz w:val="21"/>
          <w:szCs w:val="21"/>
          <w:highlight w:val="none"/>
        </w:rPr>
        <w:t xml:space="preserve">材料与工程设备的保管与使用</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8</w:t>
      </w:r>
      <w:bookmarkStart w:id="404" w:name="_Toc292559373"/>
      <w:r/>
      <w:bookmarkStart w:id="405" w:name="_Toc292559878"/>
      <w:r/>
      <w:bookmarkStart w:id="406" w:name="_Toc304295557"/>
      <w:r/>
      <w:bookmarkStart w:id="407" w:name="_Toc297123528"/>
      <w:r/>
      <w:bookmarkStart w:id="408" w:name="_Toc296347167"/>
      <w:r/>
      <w:bookmarkStart w:id="409" w:name="_Toc297048354"/>
      <w:r/>
      <w:bookmarkStart w:id="410" w:name="_Toc300934980"/>
      <w:r/>
      <w:bookmarkStart w:id="411" w:name="_Toc312677494"/>
      <w:r/>
      <w:bookmarkStart w:id="412" w:name="_Toc296891208"/>
      <w:r/>
      <w:bookmarkStart w:id="413" w:name="_Toc297120468"/>
      <w:r/>
      <w:bookmarkStart w:id="414" w:name="_Toc312678020"/>
      <w:r/>
      <w:bookmarkStart w:id="415" w:name="_Toc296503168"/>
      <w:r/>
      <w:bookmarkStart w:id="416" w:name="_Toc296346669"/>
      <w:r/>
      <w:bookmarkStart w:id="417" w:name="_Toc318581173"/>
      <w:r/>
      <w:bookmarkStart w:id="418" w:name="_Toc297216187"/>
      <w:r/>
      <w:bookmarkStart w:id="419" w:name="_Toc296944507"/>
      <w:r/>
      <w:bookmarkStart w:id="420" w:name="_Toc303539137"/>
      <w:r/>
      <w:bookmarkStart w:id="421" w:name="_Toc296890996"/>
      <w:r>
        <w:rPr>
          <w:rFonts w:ascii="宋体" w:hAnsi="宋体"/>
          <w:sz w:val="21"/>
          <w:szCs w:val="21"/>
          <w:highlight w:val="none"/>
        </w:rPr>
        <w:t xml:space="preserve">.1.1</w:t>
      </w:r>
      <w:r>
        <w:rPr>
          <w:rFonts w:hint="eastAsia" w:ascii="宋体" w:hAnsi="宋体"/>
          <w:sz w:val="21"/>
          <w:szCs w:val="21"/>
          <w:highlight w:val="none"/>
        </w:rPr>
        <w:t xml:space="preserve">发包人供应的材料设备的保管费用的承担：</w:t>
      </w:r>
      <w:r>
        <w:rPr>
          <w:rFonts w:hint="eastAsia" w:ascii="宋体" w:hAnsi="宋体"/>
          <w:sz w:val="21"/>
          <w:szCs w:val="21"/>
          <w:highlight w:val="none"/>
          <w:u w:val="single"/>
        </w:rPr>
        <w:t xml:space="preserve">由承包人承担</w:t>
      </w:r>
      <w:r>
        <w:rPr>
          <w:rFonts w:hint="eastAsia" w:ascii="宋体" w:hAnsi="宋体"/>
          <w:sz w:val="21"/>
          <w:szCs w:val="21"/>
          <w:highlight w:val="none"/>
        </w:rPr>
        <w:t xml:space="preserve">。</w:t>
      </w:r>
      <w:bookmarkEnd w:id="404"/>
      <w:r/>
      <w:bookmarkEnd w:id="405"/>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8.2 </w:t>
      </w:r>
      <w:r>
        <w:rPr>
          <w:rFonts w:hint="eastAsia" w:ascii="宋体" w:hAnsi="宋体"/>
          <w:b/>
          <w:sz w:val="21"/>
          <w:szCs w:val="21"/>
          <w:highlight w:val="none"/>
        </w:rPr>
        <w:t xml:space="preserve">样品</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8.2.1</w:t>
      </w:r>
      <w:r>
        <w:rPr>
          <w:rFonts w:hint="eastAsia" w:ascii="宋体" w:hAnsi="宋体"/>
          <w:sz w:val="21"/>
          <w:szCs w:val="21"/>
          <w:highlight w:val="none"/>
        </w:rPr>
        <w:t xml:space="preserve">样品的报送与封存</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需要承包人报送样品的材料或工程设备，样品的种类、名称、规格、数量要求：</w:t>
      </w:r>
      <w:r>
        <w:rPr>
          <w:rFonts w:hint="eastAsia" w:ascii="宋体" w:hAnsi="宋体"/>
          <w:sz w:val="21"/>
          <w:szCs w:val="21"/>
          <w:highlight w:val="none"/>
          <w:u w:val="single"/>
        </w:rPr>
        <w:t xml:space="preserve">双方另行协商</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8.3 </w:t>
      </w:r>
      <w:r>
        <w:rPr>
          <w:rFonts w:hint="eastAsia" w:ascii="宋体" w:hAnsi="宋体"/>
          <w:b/>
          <w:sz w:val="21"/>
          <w:szCs w:val="21"/>
          <w:highlight w:val="none"/>
        </w:rPr>
        <w:t xml:space="preserve">施工设备和临时设施</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8.3.1 </w:t>
      </w:r>
      <w:r>
        <w:rPr>
          <w:rFonts w:hint="eastAsia" w:ascii="宋体" w:hAnsi="宋体"/>
          <w:sz w:val="21"/>
          <w:szCs w:val="21"/>
          <w:highlight w:val="none"/>
        </w:rPr>
        <w:t xml:space="preserve">承包人提供的施工设备和临时设施</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关于修建临时设施费用承担的约定：</w:t>
      </w:r>
      <w:r>
        <w:rPr>
          <w:rFonts w:hint="eastAsia" w:ascii="宋体" w:hAnsi="宋体"/>
          <w:sz w:val="21"/>
          <w:szCs w:val="21"/>
          <w:highlight w:val="none"/>
          <w:u w:val="single"/>
        </w:rPr>
        <w:t xml:space="preserve">由承包人自行承担</w:t>
      </w:r>
      <w:r>
        <w:rPr>
          <w:rFonts w:hint="eastAsia" w:ascii="宋体" w:hAnsi="宋体"/>
          <w:sz w:val="21"/>
          <w:szCs w:val="21"/>
          <w:highlight w:val="none"/>
        </w:rPr>
        <w:t xml:space="preserve">。</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pStyle w:val="1388"/>
        <w:spacing w:line="360" w:lineRule="auto"/>
        <w:rPr>
          <w:rFonts w:ascii="宋体" w:hAnsi="宋体"/>
          <w:b/>
          <w:sz w:val="21"/>
          <w:szCs w:val="21"/>
          <w:highlight w:val="none"/>
        </w:rPr>
      </w:pPr>
      <w:r/>
      <w:bookmarkStart w:id="422" w:name="_Toc351203641"/>
      <w:r>
        <w:rPr>
          <w:rFonts w:ascii="宋体" w:hAnsi="宋体"/>
          <w:b/>
          <w:sz w:val="21"/>
          <w:szCs w:val="21"/>
          <w:highlight w:val="none"/>
        </w:rPr>
        <w:t xml:space="preserve">9</w:t>
      </w:r>
      <w:bookmarkEnd w:id="401"/>
      <w:r/>
      <w:bookmarkEnd w:id="402"/>
      <w:r/>
      <w:bookmarkEnd w:id="403"/>
      <w:r/>
      <w:bookmarkStart w:id="423" w:name="_Toc297123533"/>
      <w:r/>
      <w:bookmarkStart w:id="424" w:name="_Toc312677495"/>
      <w:r/>
      <w:bookmarkStart w:id="425" w:name="_Toc300934982"/>
      <w:r/>
      <w:bookmarkStart w:id="426" w:name="_Toc312678021"/>
      <w:r/>
      <w:bookmarkStart w:id="427" w:name="_Toc304295559"/>
      <w:r/>
      <w:bookmarkStart w:id="428" w:name="_Toc303539139"/>
      <w:r/>
      <w:bookmarkStart w:id="429" w:name="_Toc297216192"/>
      <w:r/>
      <w:bookmarkStart w:id="430" w:name="_Toc267251427"/>
      <w:r/>
      <w:bookmarkStart w:id="431" w:name="_Toc296503173"/>
      <w:r/>
      <w:bookmarkStart w:id="432" w:name="_Toc296891001"/>
      <w:r/>
      <w:bookmarkStart w:id="433" w:name="_Toc267251428"/>
      <w:r/>
      <w:bookmarkStart w:id="434" w:name="_Toc296944512"/>
      <w:r/>
      <w:bookmarkStart w:id="435" w:name="_Toc297048359"/>
      <w:r/>
      <w:bookmarkStart w:id="436" w:name="_Toc292559883"/>
      <w:r/>
      <w:bookmarkStart w:id="437" w:name="_Toc296346674"/>
      <w:r/>
      <w:bookmarkStart w:id="438" w:name="_Toc296347172"/>
      <w:r/>
      <w:bookmarkStart w:id="439" w:name="_Toc297120473"/>
      <w:r/>
      <w:bookmarkStart w:id="440" w:name="_Toc292559378"/>
      <w:r/>
      <w:bookmarkStart w:id="441" w:name="_Toc296891213"/>
      <w:r>
        <w:rPr>
          <w:rFonts w:ascii="宋体" w:hAnsi="宋体"/>
          <w:b/>
          <w:sz w:val="21"/>
          <w:szCs w:val="21"/>
          <w:highlight w:val="none"/>
        </w:rPr>
        <w:t xml:space="preserve">. </w:t>
      </w:r>
      <w:r>
        <w:rPr>
          <w:rFonts w:hint="eastAsia" w:ascii="宋体" w:hAnsi="宋体"/>
          <w:b/>
          <w:sz w:val="21"/>
          <w:szCs w:val="21"/>
          <w:highlight w:val="none"/>
        </w:rPr>
        <w:t xml:space="preserve">试验与检验</w:t>
      </w:r>
      <w:bookmarkEnd w:id="422"/>
      <w:r/>
      <w:bookmarkEnd w:id="423"/>
      <w:r/>
      <w:bookmarkEnd w:id="424"/>
      <w:r/>
      <w:bookmarkEnd w:id="425"/>
      <w:r/>
      <w:bookmarkEnd w:id="426"/>
      <w:r/>
      <w:bookmarkEnd w:id="427"/>
      <w:r/>
      <w:bookmarkEnd w:id="428"/>
      <w:r/>
      <w:bookmarkEnd w:id="429"/>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9</w:t>
      </w:r>
      <w:bookmarkStart w:id="442" w:name="_Toc297123534"/>
      <w:r/>
      <w:bookmarkStart w:id="443" w:name="_Toc300934983"/>
      <w:r/>
      <w:bookmarkStart w:id="444" w:name="_Toc303539140"/>
      <w:r/>
      <w:bookmarkStart w:id="445" w:name="_Toc312677496"/>
      <w:r/>
      <w:bookmarkStart w:id="446" w:name="_Toc297216193"/>
      <w:r/>
      <w:bookmarkStart w:id="447" w:name="_Toc312678022"/>
      <w:r/>
      <w:bookmarkStart w:id="448" w:name="_Toc304295560"/>
      <w:r>
        <w:rPr>
          <w:rFonts w:ascii="宋体" w:hAnsi="宋体"/>
          <w:b/>
          <w:sz w:val="21"/>
          <w:szCs w:val="21"/>
          <w:highlight w:val="none"/>
        </w:rPr>
        <w:t xml:space="preserve">.1</w:t>
      </w:r>
      <w:r>
        <w:rPr>
          <w:rFonts w:hint="eastAsia" w:ascii="宋体" w:hAnsi="宋体"/>
          <w:b/>
          <w:sz w:val="21"/>
          <w:szCs w:val="21"/>
          <w:highlight w:val="none"/>
        </w:rPr>
        <w:t xml:space="preserve">试验设备与试验人员</w:t>
      </w:r>
      <w:bookmarkEnd w:id="442"/>
      <w:r/>
      <w:bookmarkEnd w:id="443"/>
      <w:r/>
      <w:bookmarkEnd w:id="444"/>
      <w:r/>
      <w:bookmarkEnd w:id="445"/>
      <w:r/>
      <w:bookmarkEnd w:id="446"/>
      <w:r/>
      <w:bookmarkEnd w:id="447"/>
      <w:r/>
      <w:bookmarkEnd w:id="448"/>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9</w:t>
      </w:r>
      <w:bookmarkStart w:id="449" w:name="_Toc300934984"/>
      <w:r/>
      <w:bookmarkStart w:id="450" w:name="_Toc297123535"/>
      <w:r/>
      <w:bookmarkStart w:id="451" w:name="_Toc303539141"/>
      <w:r/>
      <w:bookmarkStart w:id="452" w:name="_Toc304295561"/>
      <w:r/>
      <w:bookmarkStart w:id="453" w:name="_Toc297216194"/>
      <w:r/>
      <w:bookmarkStart w:id="454" w:name="_Toc312678023"/>
      <w:r/>
      <w:bookmarkStart w:id="455" w:name="_Toc312677497"/>
      <w:r/>
      <w:bookmarkStart w:id="456" w:name="_Toc318581174"/>
      <w:r>
        <w:rPr>
          <w:rFonts w:ascii="宋体" w:hAnsi="宋体"/>
          <w:sz w:val="21"/>
          <w:szCs w:val="21"/>
          <w:highlight w:val="none"/>
        </w:rPr>
        <w:t xml:space="preserve">.1.1 </w:t>
      </w:r>
      <w:r>
        <w:rPr>
          <w:rFonts w:hint="eastAsia" w:ascii="宋体" w:hAnsi="宋体"/>
          <w:sz w:val="21"/>
          <w:szCs w:val="21"/>
          <w:highlight w:val="none"/>
        </w:rPr>
        <w:t xml:space="preserve">试验设备</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施工现场需要配置的试验场所：</w:t>
      </w:r>
      <w:bookmarkEnd w:id="449"/>
      <w:r/>
      <w:bookmarkEnd w:id="450"/>
      <w:r/>
      <w:bookmarkEnd w:id="451"/>
      <w:r/>
      <w:bookmarkEnd w:id="452"/>
      <w:r/>
      <w:bookmarkEnd w:id="453"/>
      <w:r/>
      <w:bookmarkEnd w:id="454"/>
      <w:r/>
      <w:bookmarkEnd w:id="455"/>
      <w:r/>
      <w:bookmarkStart w:id="457" w:name="_Toc304295562"/>
      <w:r/>
      <w:bookmarkStart w:id="458" w:name="_Toc297123536"/>
      <w:r/>
      <w:bookmarkStart w:id="459" w:name="_Toc297216195"/>
      <w:r/>
      <w:bookmarkStart w:id="460" w:name="_Toc303539142"/>
      <w:r/>
      <w:bookmarkStart w:id="461" w:name="_Toc312677498"/>
      <w:r/>
      <w:bookmarkStart w:id="462" w:name="_Toc312678024"/>
      <w:r/>
      <w:bookmarkStart w:id="463" w:name="_Toc300934985"/>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施工现场需要配备的试验设备：</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施工现场需要具备的其他试验条件：</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9.2 </w:t>
      </w:r>
      <w:r>
        <w:rPr>
          <w:rFonts w:hint="eastAsia" w:ascii="宋体" w:hAnsi="宋体"/>
          <w:b/>
          <w:sz w:val="21"/>
          <w:szCs w:val="21"/>
          <w:highlight w:val="none"/>
        </w:rPr>
        <w:t xml:space="preserve">现场工艺试验</w:t>
      </w:r>
      <w:r>
        <w:rPr>
          <w:rFonts w:ascii="宋体" w:hAnsi="宋体"/>
          <w:b/>
          <w:sz w:val="21"/>
          <w:szCs w:val="21"/>
          <w:highlight w:val="none"/>
        </w:rPr>
        <w:t xml:space="preserve">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现场工艺试验的有关约定：</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bookmarkEnd w:id="456"/>
      <w:r/>
      <w:bookmarkEnd w:id="457"/>
      <w:r/>
      <w:bookmarkEnd w:id="458"/>
      <w:r/>
      <w:bookmarkEnd w:id="459"/>
      <w:r/>
      <w:bookmarkEnd w:id="460"/>
      <w:r/>
      <w:bookmarkEnd w:id="461"/>
      <w:r/>
      <w:bookmarkEnd w:id="462"/>
      <w:r/>
      <w:bookmarkEnd w:id="463"/>
      <w:r/>
      <w:r/>
    </w:p>
    <w:p>
      <w:pPr>
        <w:pStyle w:val="1388"/>
        <w:spacing w:line="360" w:lineRule="auto"/>
        <w:rPr>
          <w:rFonts w:ascii="宋体" w:hAnsi="宋体"/>
          <w:b/>
          <w:sz w:val="21"/>
          <w:szCs w:val="21"/>
          <w:highlight w:val="none"/>
        </w:rPr>
      </w:pPr>
      <w:r/>
      <w:bookmarkStart w:id="464" w:name="_Toc351203642"/>
      <w:r>
        <w:rPr>
          <w:rFonts w:ascii="宋体" w:hAnsi="宋体"/>
          <w:b/>
          <w:sz w:val="21"/>
          <w:szCs w:val="21"/>
          <w:highlight w:val="none"/>
        </w:rPr>
        <w:t xml:space="preserve">1</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Start w:id="465" w:name="_Toc297048379"/>
      <w:r/>
      <w:bookmarkStart w:id="466" w:name="_Toc312677499"/>
      <w:r/>
      <w:bookmarkStart w:id="467" w:name="_Toc300934989"/>
      <w:r/>
      <w:bookmarkStart w:id="468" w:name="_Toc296346694"/>
      <w:r/>
      <w:bookmarkStart w:id="469" w:name="_Toc296944532"/>
      <w:r/>
      <w:bookmarkStart w:id="470" w:name="_Toc312678025"/>
      <w:r/>
      <w:bookmarkStart w:id="471" w:name="_Toc296891021"/>
      <w:r/>
      <w:bookmarkStart w:id="472" w:name="_Toc292559903"/>
      <w:r/>
      <w:bookmarkStart w:id="473" w:name="_Toc304295566"/>
      <w:r/>
      <w:bookmarkStart w:id="474" w:name="_Toc303539146"/>
      <w:r/>
      <w:bookmarkStart w:id="475" w:name="_Toc297120493"/>
      <w:r/>
      <w:bookmarkStart w:id="476" w:name="_Toc297216199"/>
      <w:r/>
      <w:bookmarkStart w:id="477" w:name="_Toc296891233"/>
      <w:r/>
      <w:bookmarkStart w:id="478" w:name="_Toc296503193"/>
      <w:r/>
      <w:bookmarkStart w:id="479" w:name="_Toc296347192"/>
      <w:r/>
      <w:bookmarkStart w:id="480" w:name="_Toc297123540"/>
      <w:r/>
      <w:bookmarkStart w:id="481" w:name="_Toc292559398"/>
      <w:r/>
      <w:bookmarkStart w:id="482" w:name="_Toc267251440"/>
      <w:r/>
      <w:bookmarkStart w:id="483" w:name="_Toc267251439"/>
      <w:r/>
      <w:bookmarkStart w:id="484" w:name="_Toc267251437"/>
      <w:r/>
      <w:bookmarkStart w:id="485" w:name="_Toc267251435"/>
      <w:r/>
      <w:bookmarkStart w:id="486" w:name="_Toc267251433"/>
      <w:r/>
      <w:bookmarkStart w:id="487" w:name="_Toc267251441"/>
      <w:r/>
      <w:bookmarkStart w:id="488" w:name="_Toc267251442"/>
      <w:r>
        <w:rPr>
          <w:rFonts w:ascii="宋体" w:hAnsi="宋体"/>
          <w:b/>
          <w:sz w:val="21"/>
          <w:szCs w:val="21"/>
          <w:highlight w:val="none"/>
        </w:rPr>
        <w:t xml:space="preserve">0. </w:t>
      </w:r>
      <w:r>
        <w:rPr>
          <w:rFonts w:hint="eastAsia" w:ascii="宋体" w:hAnsi="宋体"/>
          <w:b/>
          <w:sz w:val="21"/>
          <w:szCs w:val="21"/>
          <w:highlight w:val="none"/>
        </w:rPr>
        <w:t xml:space="preserve">变更</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w:t>
      </w:r>
      <w:bookmarkStart w:id="489" w:name="_Toc312678026"/>
      <w:r/>
      <w:bookmarkStart w:id="490" w:name="_Toc303539147"/>
      <w:r/>
      <w:bookmarkStart w:id="491" w:name="_Toc296347193"/>
      <w:r/>
      <w:bookmarkStart w:id="492" w:name="_Toc297123541"/>
      <w:r/>
      <w:bookmarkStart w:id="493" w:name="_Toc296891022"/>
      <w:r/>
      <w:bookmarkStart w:id="494" w:name="_Toc292559399"/>
      <w:r/>
      <w:bookmarkStart w:id="495" w:name="_Toc296944533"/>
      <w:r/>
      <w:bookmarkStart w:id="496" w:name="_Toc292559904"/>
      <w:r/>
      <w:bookmarkStart w:id="497" w:name="_Toc296503194"/>
      <w:r/>
      <w:bookmarkStart w:id="498" w:name="_Toc312677500"/>
      <w:r/>
      <w:bookmarkStart w:id="499" w:name="_Toc296891234"/>
      <w:r/>
      <w:bookmarkStart w:id="500" w:name="_Toc297120494"/>
      <w:r/>
      <w:bookmarkStart w:id="501" w:name="_Toc297216200"/>
      <w:r/>
      <w:bookmarkStart w:id="502" w:name="_Toc296346695"/>
      <w:r/>
      <w:bookmarkStart w:id="503" w:name="_Toc304295567"/>
      <w:r/>
      <w:bookmarkStart w:id="504" w:name="_Toc297048380"/>
      <w:r/>
      <w:bookmarkStart w:id="505" w:name="_Toc300934990"/>
      <w:r>
        <w:rPr>
          <w:rFonts w:ascii="宋体" w:hAnsi="宋体"/>
          <w:b/>
          <w:sz w:val="21"/>
          <w:szCs w:val="21"/>
          <w:highlight w:val="none"/>
        </w:rPr>
        <w:t xml:space="preserve">0.1</w:t>
      </w:r>
      <w:r>
        <w:rPr>
          <w:rFonts w:hint="eastAsia" w:ascii="宋体" w:hAnsi="宋体"/>
          <w:b/>
          <w:sz w:val="21"/>
          <w:szCs w:val="21"/>
          <w:highlight w:val="none"/>
        </w:rPr>
        <w:t xml:space="preserve">变更的范围</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关于变更的范围的约定：</w:t>
      </w:r>
      <w:r>
        <w:rPr>
          <w:rFonts w:hint="eastAsia" w:ascii="宋体" w:hAnsi="宋体"/>
          <w:sz w:val="21"/>
          <w:szCs w:val="21"/>
          <w:highlight w:val="none"/>
          <w:u w:val="single"/>
        </w:rPr>
        <w:t xml:space="preserve">1、设计变更需有设计部门的设计变更通知单，并经发包人现场负责人签字并由发包人单位盖章确认。2、现场签证必须由发包人现场 负责人、总监理工程师共同签字确认方可有效。 3、承包人不得对原有工程设计</w:t>
      </w:r>
      <w:r>
        <w:rPr>
          <w:rFonts w:hint="eastAsia" w:ascii="宋体" w:hAnsi="宋体"/>
          <w:sz w:val="21"/>
          <w:szCs w:val="21"/>
          <w:highlight w:val="none"/>
          <w:u w:val="single"/>
        </w:rPr>
        <w:t xml:space="preserve">进行变更，因承包人自身原因导致的工程变更，承包人无权要求追加合同价款的签证，并承担由此给发包人带来的一切损失。 4、因工程设计变更引起的工程量增减，且符合价款调整条件的，必须在7日历天内将量、价申请报告报发包人现场负责人、总监理工程师核准，如承包人在规定时间内未提交申请报告的，视为承包人对该变更事项不存在调整价款请求，任何后补签证的请求，发包人将不再接受。5、因工程设计变更和工程量的增加，承包人提出顺延工期的申请，将不予批准。6、签证单上应明确签证的原因及工程量等相关内容，必须连续编号，无编号的签证不予结算</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10.2 </w:t>
      </w:r>
      <w:r>
        <w:rPr>
          <w:rFonts w:hint="eastAsia" w:ascii="宋体" w:hAnsi="宋体"/>
          <w:b/>
          <w:sz w:val="21"/>
          <w:szCs w:val="21"/>
          <w:highlight w:val="none"/>
        </w:rPr>
        <w:t xml:space="preserve">变更估价</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10.2.1 </w:t>
      </w:r>
      <w:r>
        <w:rPr>
          <w:rFonts w:hint="eastAsia" w:ascii="宋体" w:hAnsi="宋体"/>
          <w:sz w:val="21"/>
          <w:szCs w:val="21"/>
          <w:highlight w:val="none"/>
        </w:rPr>
        <w:t xml:space="preserve">变更估价原则</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关于变更估价的约定</w:t>
      </w:r>
      <w:r>
        <w:rPr>
          <w:rFonts w:ascii="宋体" w:hAnsi="宋体"/>
          <w:sz w:val="21"/>
          <w:szCs w:val="21"/>
          <w:highlight w:val="none"/>
        </w:rPr>
        <w:t xml:space="preserve">: </w:t>
      </w:r>
      <w:r>
        <w:rPr>
          <w:rFonts w:hint="eastAsia" w:ascii="宋体" w:hAnsi="宋体"/>
          <w:sz w:val="21"/>
          <w:szCs w:val="21"/>
          <w:highlight w:val="none"/>
          <w:u w:val="single"/>
        </w:rPr>
        <w:t xml:space="preserve">（1）已标价工程量清单或预算书有相同项目的，按照相同项目单价认定；（2）已标价工程量清单或预算书中无相同项目，但有类似项目的，参照类似项目的单价认定；仅作主要材料变换的，也仅对变更后发包人方指定产品的招标价差部分进行调整后并入结算价（含相关税费）；（3）变更导致实际完成的变更工程量与已标价工程量清单中列明的该项目工程量的变化幅度超过15%的：当工程量增加15%以上时，其增加部分的工程量的综合单价应予</w:t>
      </w:r>
      <w:r>
        <w:rPr>
          <w:rFonts w:hint="eastAsia" w:ascii="宋体" w:hAnsi="宋体"/>
          <w:sz w:val="21"/>
          <w:szCs w:val="21"/>
          <w:highlight w:val="none"/>
          <w:u w:val="single"/>
        </w:rPr>
        <w:t xml:space="preserve">调低；当工程量减少15%以上时，减少后剩余部分的工程量的综合单价应予调高；调整办法参照GB50500-2013《建设工程工程量清单计价规范》。（4）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下浮率= (1-中标价/招标控制价)×100%，不含暂估价材料、暂列金额、专业工程暂估价】确定新增项目的结算价</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Start w:id="506" w:name="_Toc297123544"/>
      <w:r/>
      <w:bookmarkStart w:id="507" w:name="_Toc296891237"/>
      <w:r/>
      <w:bookmarkStart w:id="508" w:name="_Toc296347196"/>
      <w:r/>
      <w:bookmarkStart w:id="509" w:name="_Toc303539150"/>
      <w:r/>
      <w:bookmarkStart w:id="510" w:name="_Toc297048383"/>
      <w:r/>
      <w:bookmarkStart w:id="511" w:name="_Toc292559402"/>
      <w:r/>
      <w:bookmarkStart w:id="512" w:name="_Toc297216203"/>
      <w:r/>
      <w:bookmarkStart w:id="513" w:name="_Toc296503197"/>
      <w:r/>
      <w:bookmarkStart w:id="514" w:name="_Toc297120497"/>
      <w:r/>
      <w:bookmarkStart w:id="515" w:name="_Toc296891025"/>
      <w:r/>
      <w:bookmarkStart w:id="516" w:name="_Toc292559907"/>
      <w:r/>
      <w:bookmarkStart w:id="517" w:name="_Toc296346698"/>
      <w:r/>
      <w:bookmarkStart w:id="518" w:name="_Toc296944536"/>
      <w:r/>
      <w:bookmarkStart w:id="519" w:name="_Toc300934993"/>
      <w:r/>
      <w:bookmarkStart w:id="520" w:name="_Toc312677503"/>
      <w:r/>
      <w:bookmarkStart w:id="521" w:name="_Toc312678029"/>
      <w:r/>
      <w:bookmarkStart w:id="522" w:name="_Toc304295570"/>
      <w:r>
        <w:rPr>
          <w:rFonts w:ascii="宋体" w:hAnsi="宋体"/>
          <w:b/>
          <w:sz w:val="21"/>
          <w:szCs w:val="21"/>
          <w:highlight w:val="none"/>
        </w:rPr>
        <w:t xml:space="preserve">0.3</w:t>
      </w:r>
      <w:r>
        <w:rPr>
          <w:rFonts w:hint="eastAsia" w:ascii="宋体" w:hAnsi="宋体"/>
          <w:b/>
          <w:sz w:val="21"/>
          <w:szCs w:val="21"/>
          <w:highlight w:val="none"/>
        </w:rPr>
        <w:t xml:space="preserve">承</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Start w:id="523" w:name="_Toc296944542"/>
      <w:r/>
      <w:bookmarkStart w:id="524" w:name="_Toc300934994"/>
      <w:r/>
      <w:bookmarkStart w:id="525" w:name="_Toc297048389"/>
      <w:r/>
      <w:bookmarkStart w:id="526" w:name="_Toc296503203"/>
      <w:r/>
      <w:bookmarkStart w:id="527" w:name="_Toc303539151"/>
      <w:r/>
      <w:bookmarkStart w:id="528" w:name="_Toc296346704"/>
      <w:r/>
      <w:bookmarkStart w:id="529" w:name="_Toc292559408"/>
      <w:r/>
      <w:bookmarkStart w:id="530" w:name="_Toc297120503"/>
      <w:r/>
      <w:bookmarkStart w:id="531" w:name="_Toc296891031"/>
      <w:r/>
      <w:bookmarkStart w:id="532" w:name="_Toc296891243"/>
      <w:r/>
      <w:bookmarkStart w:id="533" w:name="_Toc297216204"/>
      <w:r/>
      <w:bookmarkStart w:id="534" w:name="_Toc292559913"/>
      <w:r/>
      <w:bookmarkStart w:id="535" w:name="_Toc296347202"/>
      <w:r/>
      <w:bookmarkStart w:id="536" w:name="_Toc297123545"/>
      <w:r>
        <w:rPr>
          <w:rFonts w:hint="eastAsia" w:ascii="宋体" w:hAnsi="宋体"/>
          <w:b/>
          <w:sz w:val="21"/>
          <w:szCs w:val="21"/>
          <w:highlight w:val="none"/>
        </w:rPr>
        <w:t xml:space="preserve">包人的合理化建议</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监理人审查承包人合理化建议的期限：</w:t>
      </w:r>
      <w:r>
        <w:rPr>
          <w:rFonts w:hint="eastAsia" w:ascii="宋体" w:hAnsi="宋体"/>
          <w:sz w:val="21"/>
          <w:szCs w:val="21"/>
          <w:highlight w:val="none"/>
          <w:u w:val="single"/>
        </w:rPr>
        <w:t xml:space="preserve">收到合理化建议后三天内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发包人审批承包人合理化建议的期限：</w:t>
      </w:r>
      <w:r>
        <w:rPr>
          <w:rFonts w:hint="eastAsia" w:ascii="宋体" w:hAnsi="宋体"/>
          <w:sz w:val="21"/>
          <w:szCs w:val="21"/>
          <w:highlight w:val="none"/>
          <w:u w:val="single"/>
        </w:rPr>
        <w:t xml:space="preserve">收到合理化建议后三天内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承</w:t>
      </w:r>
      <w:bookmarkStart w:id="537" w:name="_Toc296346705"/>
      <w:r/>
      <w:bookmarkStart w:id="538" w:name="_Toc297048390"/>
      <w:r/>
      <w:bookmarkStart w:id="539" w:name="_Toc300934995"/>
      <w:r/>
      <w:bookmarkStart w:id="540" w:name="_Toc292559914"/>
      <w:r/>
      <w:bookmarkStart w:id="541" w:name="_Toc296347203"/>
      <w:r/>
      <w:bookmarkStart w:id="542" w:name="_Toc297120504"/>
      <w:r/>
      <w:bookmarkStart w:id="543" w:name="_Toc312678030"/>
      <w:r/>
      <w:bookmarkStart w:id="544" w:name="_Toc312677504"/>
      <w:r/>
      <w:bookmarkStart w:id="545" w:name="_Toc303539152"/>
      <w:r/>
      <w:bookmarkStart w:id="546" w:name="_Toc296503204"/>
      <w:r/>
      <w:bookmarkStart w:id="547" w:name="_Toc297216205"/>
      <w:r/>
      <w:bookmarkStart w:id="548" w:name="_Toc297123546"/>
      <w:r/>
      <w:bookmarkStart w:id="549" w:name="_Toc304295571"/>
      <w:r/>
      <w:bookmarkStart w:id="550" w:name="_Toc296891244"/>
      <w:r/>
      <w:bookmarkStart w:id="551" w:name="_Toc318581175"/>
      <w:r/>
      <w:bookmarkStart w:id="552" w:name="_Toc292559409"/>
      <w:r/>
      <w:bookmarkStart w:id="553" w:name="_Toc296891032"/>
      <w:r/>
      <w:bookmarkStart w:id="554" w:name="_Toc296944543"/>
      <w:r>
        <w:rPr>
          <w:rFonts w:hint="eastAsia" w:ascii="宋体" w:hAnsi="宋体"/>
          <w:sz w:val="21"/>
          <w:szCs w:val="21"/>
          <w:highlight w:val="none"/>
        </w:rPr>
        <w:t xml:space="preserve">包人提出的合理化建议降低了合同价格或者提高了工程经济效益的奖励的方法和金额为：</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w:t>
      </w:r>
      <w:bookmarkStart w:id="555" w:name="_Toc304295574"/>
      <w:r/>
      <w:bookmarkStart w:id="556" w:name="_Toc297123548"/>
      <w:r/>
      <w:bookmarkStart w:id="557" w:name="_Toc296891239"/>
      <w:r/>
      <w:bookmarkStart w:id="558" w:name="_Toc292559909"/>
      <w:r/>
      <w:bookmarkStart w:id="559" w:name="_Toc297048385"/>
      <w:r/>
      <w:bookmarkStart w:id="560" w:name="_Toc296347198"/>
      <w:r/>
      <w:bookmarkStart w:id="561" w:name="_Toc296346700"/>
      <w:r/>
      <w:bookmarkStart w:id="562" w:name="_Toc296944538"/>
      <w:r/>
      <w:bookmarkStart w:id="563" w:name="_Toc312678033"/>
      <w:r/>
      <w:bookmarkStart w:id="564" w:name="_Toc312677507"/>
      <w:r/>
      <w:bookmarkStart w:id="565" w:name="_Toc300934997"/>
      <w:r/>
      <w:bookmarkStart w:id="566" w:name="_Toc296891027"/>
      <w:r/>
      <w:bookmarkStart w:id="567" w:name="_Toc296503199"/>
      <w:r/>
      <w:bookmarkStart w:id="568" w:name="_Toc303539154"/>
      <w:r/>
      <w:bookmarkStart w:id="569" w:name="_Toc297120499"/>
      <w:r/>
      <w:bookmarkStart w:id="570" w:name="_Toc292559404"/>
      <w:r/>
      <w:bookmarkStart w:id="571" w:name="_Toc297216207"/>
      <w:r>
        <w:rPr>
          <w:rFonts w:ascii="宋体" w:hAnsi="宋体"/>
          <w:b/>
          <w:sz w:val="21"/>
          <w:szCs w:val="21"/>
          <w:highlight w:val="none"/>
        </w:rPr>
        <w:t xml:space="preserve">0.4 </w:t>
      </w:r>
      <w:r>
        <w:rPr>
          <w:rFonts w:hint="eastAsia" w:ascii="宋体" w:hAnsi="宋体"/>
          <w:b/>
          <w:sz w:val="21"/>
          <w:szCs w:val="21"/>
          <w:highlight w:val="none"/>
        </w:rPr>
        <w:t xml:space="preserve">暂估价</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暂</w:t>
      </w:r>
      <w:bookmarkStart w:id="572" w:name="_Toc312678034"/>
      <w:r/>
      <w:bookmarkStart w:id="573" w:name="_Toc318581176"/>
      <w:r/>
      <w:bookmarkStart w:id="574" w:name="_Toc312677508"/>
      <w:r>
        <w:rPr>
          <w:rFonts w:hint="eastAsia" w:ascii="宋体" w:hAnsi="宋体"/>
          <w:sz w:val="21"/>
          <w:szCs w:val="21"/>
          <w:highlight w:val="none"/>
        </w:rPr>
        <w:t xml:space="preserve">估价材料和工程设备的明细详见附件</w:t>
      </w:r>
      <w:r>
        <w:rPr>
          <w:rFonts w:ascii="宋体" w:hAnsi="宋体"/>
          <w:sz w:val="21"/>
          <w:szCs w:val="21"/>
          <w:highlight w:val="none"/>
        </w:rPr>
        <w:t xml:space="preserve">11</w:t>
      </w:r>
      <w:r>
        <w:rPr>
          <w:rFonts w:hint="eastAsia" w:ascii="宋体" w:hAnsi="宋体"/>
          <w:sz w:val="21"/>
          <w:szCs w:val="21"/>
          <w:highlight w:val="none"/>
        </w:rPr>
        <w:t xml:space="preserve">：《暂估价一览表》。</w:t>
      </w:r>
      <w:bookmarkEnd w:id="572"/>
      <w:r/>
      <w:bookmarkEnd w:id="573"/>
      <w:r/>
      <w:bookmarkEnd w:id="574"/>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w:t>
      </w:r>
      <w:bookmarkStart w:id="575" w:name="_Toc312678035"/>
      <w:r/>
      <w:bookmarkStart w:id="576" w:name="_Toc318581177"/>
      <w:r/>
      <w:bookmarkStart w:id="577" w:name="_Toc312677509"/>
      <w:r>
        <w:rPr>
          <w:rFonts w:ascii="宋体" w:hAnsi="宋体"/>
          <w:sz w:val="21"/>
          <w:szCs w:val="21"/>
          <w:highlight w:val="none"/>
        </w:rPr>
        <w:t xml:space="preserve">0.4.1 </w:t>
      </w:r>
      <w:r>
        <w:rPr>
          <w:rFonts w:hint="eastAsia" w:ascii="宋体" w:hAnsi="宋体"/>
          <w:sz w:val="21"/>
          <w:szCs w:val="21"/>
          <w:highlight w:val="none"/>
        </w:rPr>
        <w:t xml:space="preserve">依法必须招标的暂估价项目</w:t>
      </w:r>
      <w:bookmarkEnd w:id="575"/>
      <w:r/>
      <w:bookmarkEnd w:id="576"/>
      <w:r/>
      <w:bookmarkEnd w:id="577"/>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对于依法必须招标的暂估价项目的确认和批准采取第</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种方式确定。</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10.4.2 </w:t>
      </w:r>
      <w:r>
        <w:rPr>
          <w:rFonts w:hint="eastAsia" w:ascii="宋体" w:hAnsi="宋体"/>
          <w:sz w:val="21"/>
          <w:szCs w:val="21"/>
          <w:highlight w:val="none"/>
        </w:rPr>
        <w:t xml:space="preserve">不属于依法必须招标的暂估价项目</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对于不属于依法必须招标的暂估价项目的确认和批准采取第</w:t>
      </w:r>
      <w:r>
        <w:rPr>
          <w:rFonts w:ascii="宋体" w:hAnsi="宋体"/>
          <w:sz w:val="21"/>
          <w:szCs w:val="21"/>
          <w:highlight w:val="none"/>
          <w:u w:val="single"/>
        </w:rPr>
        <w:t xml:space="preserve">  </w:t>
      </w:r>
      <w:r>
        <w:rPr>
          <w:rFonts w:hint="eastAsia" w:ascii="宋体" w:hAnsi="宋体"/>
          <w:sz w:val="21"/>
          <w:szCs w:val="21"/>
          <w:highlight w:val="none"/>
          <w:u w:val="single"/>
        </w:rPr>
        <w:t xml:space="preserve"> /  </w:t>
      </w:r>
      <w:r>
        <w:rPr>
          <w:rFonts w:hint="eastAsia" w:ascii="宋体" w:hAnsi="宋体"/>
          <w:sz w:val="21"/>
          <w:szCs w:val="21"/>
          <w:highlight w:val="none"/>
        </w:rPr>
        <w:t xml:space="preserve">种方式确定。</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第</w:t>
      </w:r>
      <w:r>
        <w:rPr>
          <w:rFonts w:ascii="宋体" w:hAnsi="宋体"/>
          <w:sz w:val="21"/>
          <w:szCs w:val="21"/>
          <w:highlight w:val="none"/>
        </w:rPr>
        <w:t xml:space="preserve">3</w:t>
      </w:r>
      <w:r>
        <w:rPr>
          <w:rFonts w:hint="eastAsia" w:ascii="宋体" w:hAnsi="宋体"/>
          <w:sz w:val="21"/>
          <w:szCs w:val="21"/>
          <w:highlight w:val="none"/>
        </w:rPr>
        <w:t xml:space="preserve">种方式：承包人直接实施的暂估价项目</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承包人直接实施的暂估价项目的约定：</w:t>
      </w:r>
      <w:r>
        <w:rPr>
          <w:rFonts w:hint="eastAsia" w:ascii="宋体" w:hAnsi="宋体"/>
          <w:sz w:val="21"/>
          <w:szCs w:val="21"/>
          <w:highlight w:val="none"/>
          <w:u w:val="single"/>
        </w:rPr>
        <w:t xml:space="preserve">经发包人同意后，由承包人自行实施</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10.5 </w:t>
      </w:r>
      <w:r>
        <w:rPr>
          <w:rFonts w:hint="eastAsia" w:ascii="宋体" w:hAnsi="宋体"/>
          <w:b/>
          <w:sz w:val="21"/>
          <w:szCs w:val="21"/>
          <w:highlight w:val="none"/>
        </w:rPr>
        <w:t xml:space="preserve">暂列金额</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合同当事人关于暂列金额使用的约定：</w:t>
      </w:r>
      <w:r>
        <w:rPr>
          <w:rFonts w:hint="eastAsia" w:ascii="宋体" w:hAnsi="宋体"/>
          <w:sz w:val="21"/>
          <w:szCs w:val="21"/>
          <w:highlight w:val="none"/>
          <w:u w:val="single"/>
        </w:rPr>
        <w:t xml:space="preserve">由发包人自行决定是否使用，与承包人无关</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578" w:name="_Toc351203643"/>
      <w:r>
        <w:rPr>
          <w:rFonts w:ascii="宋体" w:hAnsi="宋体"/>
          <w:b/>
          <w:sz w:val="21"/>
          <w:szCs w:val="21"/>
          <w:highlight w:val="none"/>
        </w:rPr>
        <w:t xml:space="preserve">11. </w:t>
      </w:r>
      <w:r>
        <w:rPr>
          <w:rFonts w:hint="eastAsia" w:ascii="宋体" w:hAnsi="宋体"/>
          <w:b/>
          <w:sz w:val="21"/>
          <w:szCs w:val="21"/>
          <w:highlight w:val="none"/>
        </w:rPr>
        <w:t xml:space="preserve">价格调整</w:t>
      </w:r>
      <w:bookmarkEnd w:id="578"/>
      <w:r/>
      <w:r/>
    </w:p>
    <w:p>
      <w:pPr>
        <w:pStyle w:val="1388"/>
        <w:ind w:firstLine="422"/>
        <w:spacing w:line="360" w:lineRule="auto"/>
        <w:rPr>
          <w:rFonts w:ascii="宋体" w:hAnsi="宋体"/>
          <w:b/>
          <w:sz w:val="21"/>
          <w:szCs w:val="21"/>
          <w:highlight w:val="none"/>
        </w:rPr>
      </w:pPr>
      <w:r/>
      <w:bookmarkStart w:id="579" w:name="_Toc303539157"/>
      <w:r/>
      <w:bookmarkStart w:id="580" w:name="_Toc292559911"/>
      <w:r/>
      <w:bookmarkStart w:id="581" w:name="_Toc296891241"/>
      <w:r/>
      <w:bookmarkStart w:id="582" w:name="_Toc297216209"/>
      <w:r/>
      <w:bookmarkStart w:id="583" w:name="_Toc296346702"/>
      <w:r/>
      <w:bookmarkStart w:id="584" w:name="_Toc296503201"/>
      <w:r/>
      <w:bookmarkStart w:id="585" w:name="_Toc312678039"/>
      <w:r/>
      <w:bookmarkStart w:id="586" w:name="_Toc297120501"/>
      <w:r/>
      <w:bookmarkStart w:id="587" w:name="_Toc296891029"/>
      <w:r/>
      <w:bookmarkStart w:id="588" w:name="_Toc304295577"/>
      <w:r/>
      <w:bookmarkStart w:id="589" w:name="_Toc297123550"/>
      <w:r/>
      <w:bookmarkStart w:id="590" w:name="_Toc292559406"/>
      <w:r/>
      <w:bookmarkStart w:id="591" w:name="_Toc297048387"/>
      <w:r/>
      <w:bookmarkStart w:id="592" w:name="_Toc296347200"/>
      <w:r/>
      <w:bookmarkStart w:id="593" w:name="_Toc300935000"/>
      <w:r/>
      <w:bookmarkStart w:id="594" w:name="_Toc296944540"/>
      <w:r>
        <w:rPr>
          <w:rFonts w:ascii="宋体" w:hAnsi="宋体"/>
          <w:b/>
          <w:sz w:val="21"/>
          <w:szCs w:val="21"/>
          <w:highlight w:val="none"/>
        </w:rPr>
        <w:t xml:space="preserve">11.1 </w:t>
      </w:r>
      <w:r>
        <w:rPr>
          <w:rFonts w:hint="eastAsia" w:ascii="宋体" w:hAnsi="宋体"/>
          <w:b/>
          <w:sz w:val="21"/>
          <w:szCs w:val="21"/>
          <w:highlight w:val="none"/>
        </w:rPr>
        <w:t xml:space="preserve">市场价格波动引起的调整</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市场价格波动是否调整合同价格的约定：</w:t>
      </w:r>
      <w:r>
        <w:rPr>
          <w:rFonts w:hint="eastAsia" w:ascii="宋体" w:hAnsi="宋体"/>
          <w:sz w:val="21"/>
          <w:szCs w:val="21"/>
          <w:highlight w:val="none"/>
          <w:u w:val="single"/>
        </w:rPr>
        <w:t xml:space="preserve">不予调整</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因市场价格波动调整合同价格，采用以下第</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种方式对合同价格进行调整：</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第</w:t>
      </w:r>
      <w:r>
        <w:rPr>
          <w:rFonts w:ascii="宋体" w:hAnsi="宋体"/>
          <w:sz w:val="21"/>
          <w:szCs w:val="21"/>
          <w:highlight w:val="none"/>
        </w:rPr>
        <w:t xml:space="preserve">1</w:t>
      </w:r>
      <w:r>
        <w:rPr>
          <w:rFonts w:hint="eastAsia" w:ascii="宋体" w:hAnsi="宋体"/>
          <w:sz w:val="21"/>
          <w:szCs w:val="21"/>
          <w:highlight w:val="none"/>
        </w:rPr>
        <w:t xml:space="preserve">种方式：采用价格指数进行价格调整。</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关于各可调因子、定值和变值权重，以及基本价格指数及其来源的约定：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第</w:t>
      </w:r>
      <w:r>
        <w:rPr>
          <w:rFonts w:ascii="宋体" w:hAnsi="宋体"/>
          <w:sz w:val="21"/>
          <w:szCs w:val="21"/>
          <w:highlight w:val="none"/>
        </w:rPr>
        <w:t xml:space="preserve">2</w:t>
      </w:r>
      <w:r>
        <w:rPr>
          <w:rFonts w:hint="eastAsia" w:ascii="宋体" w:hAnsi="宋体"/>
          <w:sz w:val="21"/>
          <w:szCs w:val="21"/>
          <w:highlight w:val="none"/>
        </w:rPr>
        <w:t xml:space="preserve">种方式：采用造价信息进行价格调整。</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）关于基准价格的约定：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专用合同条款</w:t>
      </w:r>
      <w:r>
        <w:rPr>
          <w:rFonts w:hint="eastAsia" w:ascii="宋体" w:hAnsi="宋体" w:cs="宋体"/>
          <w:sz w:val="21"/>
          <w:szCs w:val="21"/>
          <w:highlight w:val="none"/>
        </w:rPr>
        <w:t xml:space="preserve">①</w:t>
      </w:r>
      <w:r>
        <w:rPr>
          <w:rFonts w:hint="eastAsia" w:ascii="宋体" w:hAnsi="宋体"/>
          <w:sz w:val="21"/>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 /  </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时，或材料单价跌幅以已标价工程量清单或预算书中载明材料单价为基础超过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  / </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时，其超过部分据实调整。</w:t>
      </w:r>
      <w:r/>
    </w:p>
    <w:p>
      <w:pPr>
        <w:pStyle w:val="1388"/>
        <w:ind w:firstLine="420"/>
        <w:spacing w:line="360" w:lineRule="auto"/>
        <w:rPr>
          <w:rFonts w:ascii="宋体" w:hAnsi="宋体"/>
          <w:sz w:val="21"/>
          <w:szCs w:val="21"/>
          <w:highlight w:val="none"/>
        </w:rPr>
      </w:pPr>
      <w:r>
        <w:rPr>
          <w:rFonts w:hint="eastAsia" w:ascii="宋体" w:hAnsi="宋体" w:cs="宋体"/>
          <w:sz w:val="21"/>
          <w:szCs w:val="21"/>
          <w:highlight w:val="none"/>
        </w:rPr>
        <w:t xml:space="preserve">②</w:t>
      </w:r>
      <w:r>
        <w:rPr>
          <w:rFonts w:hint="eastAsia" w:ascii="宋体" w:hAnsi="宋体"/>
          <w:sz w:val="21"/>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 /  </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时，材料单价涨幅以已标价工程量清单或预算书中载明材料单价为基础超过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 / </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时，其超过部分据实调整。</w:t>
      </w:r>
      <w:r/>
    </w:p>
    <w:p>
      <w:pPr>
        <w:pStyle w:val="1388"/>
        <w:ind w:firstLine="200"/>
        <w:spacing w:line="360" w:lineRule="auto"/>
        <w:rPr>
          <w:rFonts w:ascii="宋体" w:hAnsi="宋体"/>
          <w:sz w:val="21"/>
          <w:szCs w:val="21"/>
          <w:highlight w:val="none"/>
        </w:rPr>
      </w:pPr>
      <w:r>
        <w:rPr>
          <w:rFonts w:hint="eastAsia" w:ascii="宋体" w:hAnsi="宋体" w:cs="宋体"/>
          <w:sz w:val="21"/>
          <w:szCs w:val="21"/>
          <w:highlight w:val="none"/>
        </w:rPr>
        <w:t xml:space="preserve">③</w:t>
      </w:r>
      <w:r>
        <w:rPr>
          <w:rFonts w:hint="eastAsia" w:ascii="宋体" w:hAnsi="宋体"/>
          <w:sz w:val="21"/>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  </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时，其超过部分据实调整。</w:t>
      </w:r>
      <w:r/>
    </w:p>
    <w:p>
      <w:pPr>
        <w:pStyle w:val="1388"/>
        <w:ind w:firstLine="200"/>
        <w:spacing w:line="360" w:lineRule="auto"/>
        <w:rPr>
          <w:rFonts w:ascii="宋体" w:hAnsi="宋体"/>
          <w:sz w:val="21"/>
          <w:szCs w:val="21"/>
          <w:highlight w:val="none"/>
          <w:u w:val="single"/>
        </w:rPr>
      </w:pPr>
      <w:r>
        <w:rPr>
          <w:rFonts w:hint="eastAsia" w:ascii="宋体" w:hAnsi="宋体"/>
          <w:sz w:val="21"/>
          <w:szCs w:val="21"/>
          <w:highlight w:val="none"/>
        </w:rPr>
        <w:t xml:space="preserve">第</w:t>
      </w:r>
      <w:r>
        <w:rPr>
          <w:rFonts w:ascii="宋体" w:hAnsi="宋体"/>
          <w:sz w:val="21"/>
          <w:szCs w:val="21"/>
          <w:highlight w:val="none"/>
        </w:rPr>
        <w:t xml:space="preserve">3</w:t>
      </w:r>
      <w:r>
        <w:rPr>
          <w:rFonts w:hint="eastAsia" w:ascii="宋体" w:hAnsi="宋体"/>
          <w:sz w:val="21"/>
          <w:szCs w:val="21"/>
          <w:highlight w:val="none"/>
        </w:rPr>
        <w:t xml:space="preserve">种方式：其他价格调整方式：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bookmarkEnd w:id="482"/>
      <w:r/>
      <w:bookmarkEnd w:id="483"/>
      <w:r/>
      <w:bookmarkEnd w:id="484"/>
      <w:r/>
      <w:bookmarkEnd w:id="485"/>
      <w:r/>
      <w:bookmarkEnd w:id="486"/>
      <w:r/>
      <w:bookmarkEnd w:id="487"/>
      <w:r/>
      <w:r/>
    </w:p>
    <w:p>
      <w:pPr>
        <w:pStyle w:val="1388"/>
        <w:spacing w:line="360" w:lineRule="auto"/>
        <w:rPr>
          <w:rFonts w:ascii="宋体" w:hAnsi="宋体"/>
          <w:b/>
          <w:sz w:val="21"/>
          <w:szCs w:val="21"/>
          <w:highlight w:val="none"/>
        </w:rPr>
      </w:pPr>
      <w:r/>
      <w:bookmarkStart w:id="595" w:name="_Toc296346706"/>
      <w:r/>
      <w:bookmarkStart w:id="596" w:name="_Toc292559915"/>
      <w:r/>
      <w:bookmarkStart w:id="597" w:name="_Toc297120505"/>
      <w:r/>
      <w:bookmarkStart w:id="598" w:name="_Toc296503205"/>
      <w:r/>
      <w:bookmarkStart w:id="599" w:name="_Toc296891033"/>
      <w:r/>
      <w:bookmarkStart w:id="600" w:name="_Toc296347204"/>
      <w:r/>
      <w:bookmarkStart w:id="601" w:name="_Toc296944544"/>
      <w:r/>
      <w:bookmarkStart w:id="602" w:name="_Toc297048391"/>
      <w:r/>
      <w:bookmarkStart w:id="603" w:name="_Toc296891245"/>
      <w:r/>
      <w:bookmarkStart w:id="604" w:name="_Toc292559410"/>
      <w:r/>
      <w:bookmarkStart w:id="605" w:name="_Toc351203644"/>
      <w:r/>
      <w:bookmarkStart w:id="606" w:name="_Toc297216211"/>
      <w:r/>
      <w:bookmarkStart w:id="607" w:name="_Toc312678040"/>
      <w:r/>
      <w:bookmarkStart w:id="608" w:name="_Toc297123552"/>
      <w:r/>
      <w:bookmarkStart w:id="609" w:name="_Toc303539159"/>
      <w:r/>
      <w:bookmarkStart w:id="610" w:name="_Toc300935002"/>
      <w:r/>
      <w:bookmarkStart w:id="611" w:name="_Toc304295579"/>
      <w:r>
        <w:rPr>
          <w:rFonts w:ascii="宋体" w:hAnsi="宋体"/>
          <w:b/>
          <w:sz w:val="21"/>
          <w:szCs w:val="21"/>
          <w:highlight w:val="none"/>
        </w:rPr>
        <w:t xml:space="preserve">12. </w:t>
      </w:r>
      <w:bookmarkEnd w:id="595"/>
      <w:r/>
      <w:bookmarkEnd w:id="596"/>
      <w:r/>
      <w:bookmarkEnd w:id="597"/>
      <w:r/>
      <w:bookmarkEnd w:id="598"/>
      <w:r/>
      <w:bookmarkEnd w:id="599"/>
      <w:r/>
      <w:bookmarkEnd w:id="600"/>
      <w:r/>
      <w:bookmarkEnd w:id="601"/>
      <w:r/>
      <w:bookmarkEnd w:id="602"/>
      <w:r/>
      <w:bookmarkEnd w:id="603"/>
      <w:r/>
      <w:bookmarkEnd w:id="604"/>
      <w:r>
        <w:rPr>
          <w:rFonts w:hint="eastAsia" w:ascii="宋体" w:hAnsi="宋体"/>
          <w:b/>
          <w:sz w:val="21"/>
          <w:szCs w:val="21"/>
          <w:highlight w:val="none"/>
        </w:rPr>
        <w:t xml:space="preserve">合同价格、计量与支付</w:t>
      </w:r>
      <w:bookmarkEnd w:id="605"/>
      <w:r/>
      <w:bookmarkEnd w:id="606"/>
      <w:r/>
      <w:bookmarkEnd w:id="607"/>
      <w:r/>
      <w:bookmarkEnd w:id="608"/>
      <w:r/>
      <w:bookmarkEnd w:id="609"/>
      <w:r/>
      <w:bookmarkEnd w:id="610"/>
      <w:r/>
      <w:bookmarkEnd w:id="611"/>
      <w:r/>
      <w:r/>
    </w:p>
    <w:p>
      <w:pPr>
        <w:pStyle w:val="1388"/>
        <w:ind w:firstLine="422"/>
        <w:spacing w:line="360" w:lineRule="auto"/>
        <w:rPr>
          <w:rFonts w:ascii="宋体" w:hAnsi="宋体"/>
          <w:b/>
          <w:sz w:val="21"/>
          <w:szCs w:val="21"/>
          <w:highlight w:val="none"/>
        </w:rPr>
      </w:pPr>
      <w:r/>
      <w:bookmarkStart w:id="612" w:name="_Toc292559916"/>
      <w:r/>
      <w:bookmarkStart w:id="613" w:name="_Toc267251461"/>
      <w:r/>
      <w:bookmarkStart w:id="614" w:name="_Toc292559411"/>
      <w:r/>
      <w:bookmarkStart w:id="615" w:name="_Toc296346707"/>
      <w:r/>
      <w:bookmarkStart w:id="616" w:name="_Toc297048392"/>
      <w:r/>
      <w:bookmarkStart w:id="617" w:name="_Toc296503206"/>
      <w:r/>
      <w:bookmarkStart w:id="618" w:name="_Toc297120506"/>
      <w:r/>
      <w:bookmarkStart w:id="619" w:name="_Toc296891246"/>
      <w:r/>
      <w:bookmarkStart w:id="620" w:name="_Toc296944545"/>
      <w:r/>
      <w:bookmarkStart w:id="621" w:name="_Toc296891034"/>
      <w:r/>
      <w:bookmarkStart w:id="622" w:name="_Toc296347205"/>
      <w:r/>
      <w:bookmarkStart w:id="623" w:name="_Toc303539160"/>
      <w:r/>
      <w:bookmarkStart w:id="624" w:name="_Toc304295580"/>
      <w:r/>
      <w:bookmarkStart w:id="625" w:name="_Toc312678041"/>
      <w:r/>
      <w:bookmarkStart w:id="626" w:name="_Toc297216212"/>
      <w:r/>
      <w:bookmarkStart w:id="627" w:name="_Toc300935003"/>
      <w:r/>
      <w:bookmarkStart w:id="628" w:name="_Toc297123553"/>
      <w:r>
        <w:rPr>
          <w:rFonts w:ascii="宋体" w:hAnsi="宋体"/>
          <w:b/>
          <w:sz w:val="21"/>
          <w:szCs w:val="21"/>
          <w:highlight w:val="none"/>
        </w:rPr>
        <w:t xml:space="preserve">12.1 </w:t>
      </w:r>
      <w:r>
        <w:rPr>
          <w:rFonts w:hint="eastAsia" w:ascii="宋体" w:hAnsi="宋体"/>
          <w:b/>
          <w:sz w:val="21"/>
          <w:szCs w:val="21"/>
          <w:highlight w:val="none"/>
        </w:rPr>
        <w:t xml:space="preserve">合</w:t>
      </w:r>
      <w:bookmarkEnd w:id="612"/>
      <w:r/>
      <w:bookmarkEnd w:id="613"/>
      <w:r/>
      <w:bookmarkEnd w:id="614"/>
      <w:r>
        <w:rPr>
          <w:rFonts w:hint="eastAsia" w:ascii="宋体" w:hAnsi="宋体"/>
          <w:b/>
          <w:sz w:val="21"/>
          <w:szCs w:val="21"/>
          <w:highlight w:val="none"/>
        </w:rPr>
        <w:t xml:space="preserve">同价</w:t>
      </w:r>
      <w:bookmarkEnd w:id="615"/>
      <w:r/>
      <w:bookmarkEnd w:id="616"/>
      <w:r/>
      <w:bookmarkEnd w:id="617"/>
      <w:r/>
      <w:bookmarkEnd w:id="618"/>
      <w:r/>
      <w:bookmarkEnd w:id="619"/>
      <w:r/>
      <w:bookmarkEnd w:id="620"/>
      <w:r/>
      <w:bookmarkEnd w:id="621"/>
      <w:r/>
      <w:bookmarkEnd w:id="622"/>
      <w:r>
        <w:rPr>
          <w:rFonts w:hint="eastAsia" w:ascii="宋体" w:hAnsi="宋体"/>
          <w:b/>
          <w:sz w:val="21"/>
          <w:szCs w:val="21"/>
          <w:highlight w:val="none"/>
        </w:rPr>
        <w:t xml:space="preserve">格形式</w:t>
      </w:r>
      <w:bookmarkEnd w:id="623"/>
      <w:r/>
      <w:bookmarkEnd w:id="624"/>
      <w:r/>
      <w:bookmarkEnd w:id="625"/>
      <w:r/>
      <w:bookmarkEnd w:id="626"/>
      <w:r/>
      <w:bookmarkEnd w:id="627"/>
      <w:r/>
      <w:bookmarkEnd w:id="628"/>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、单价合同。</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综合单价包含的风险范围：</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风险费用的计算方法：</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风险范围以外合同价格的调整方法：</w:t>
      </w:r>
      <w:r>
        <w:rPr>
          <w:rFonts w:hint="eastAsia" w:ascii="宋体" w:hAnsi="宋体"/>
          <w:sz w:val="21"/>
          <w:szCs w:val="21"/>
          <w:highlight w:val="none"/>
          <w:u w:val="single"/>
        </w:rPr>
        <w:t xml:space="preserve">1、项目招标工程量清单错、漏项，结算时按实调整；国家及地方出台政策性调整文件，按调整文件执行；设计变更、发包方和监理方均认可的签证（含合同以外的零星工作或发生非承包人责任事件的工程量调整）以及主要建筑材料价格变动</w:t>
      </w:r>
      <w:r>
        <w:rPr>
          <w:rFonts w:hint="eastAsia" w:ascii="宋体" w:hAnsi="宋体"/>
          <w:sz w:val="21"/>
          <w:szCs w:val="21"/>
          <w:highlight w:val="none"/>
        </w:rPr>
        <w:t xml:space="preserve">。</w:t>
      </w:r>
      <w:r>
        <w:rPr>
          <w:rFonts w:hint="eastAsia" w:ascii="宋体" w:hAnsi="宋体"/>
          <w:sz w:val="21"/>
          <w:szCs w:val="21"/>
          <w:highlight w:val="none"/>
          <w:u w:val="single"/>
        </w:rPr>
        <w:t xml:space="preserve">双方约定合同价款的其他调整因素：A、由发包人签发的现场签证和会议纪要中有关牵涉到工程造价变化的部分，均按工程变更考虑；B、发包人委托承包人施工的其它工程内容按新增加的工程项目计算；C、工程量清单、工程量清单编制说明、会议纪要及约定的材料暂估价项目；D、符合上述要求的调整因素结算时应执行招投标期间确定的综合单价；变更、签证引起新增工程量清单项目，其相应综合单价按建设部《建</w:t>
      </w:r>
      <w:r>
        <w:rPr>
          <w:rFonts w:hint="eastAsia" w:ascii="宋体" w:hAnsi="宋体"/>
          <w:sz w:val="21"/>
          <w:szCs w:val="21"/>
          <w:highlight w:val="none"/>
          <w:u w:val="single"/>
        </w:rPr>
        <w:t xml:space="preserve">设工程工程量清单计价规范》（GB50500-2013）及其配套的计算规范、《江苏省建筑与装饰工程计价定额》（2014）、《江苏省安装工程计价定额》（2014）、《江苏省建设工程费用定额》(2014) 、苏建价[2016]154号文及各级建设行政主管部门发布的有关文件及政策性规定下浮后【下浮率= (1-中标价/招标控制价)×100%，不含暂估价材料、暂列金额、专业工程暂估价】计算，由宿迁市湖滨新区审计局或其委托的具有相应资质的建设工程造价咨询机构对本合同项下工程造价进行审计，并以该审计结果作为结算工程款的依据</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、总价合同。</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总价包含的风险范围：</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风险费用的计算方法：</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风险范围以外合同价格的调整方法：</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3</w:t>
      </w:r>
      <w:r>
        <w:rPr>
          <w:rFonts w:hint="eastAsia" w:ascii="宋体" w:hAnsi="宋体"/>
          <w:sz w:val="21"/>
          <w:szCs w:val="21"/>
          <w:highlight w:val="none"/>
        </w:rPr>
        <w:t xml:space="preserve">、其他价格方式：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bookmarkStart w:id="629" w:name="_Toc297216213"/>
      <w:r/>
      <w:bookmarkStart w:id="630" w:name="_Toc303539161"/>
      <w:r/>
      <w:bookmarkStart w:id="631" w:name="_Toc304295581"/>
      <w:r/>
      <w:bookmarkStart w:id="632" w:name="_Toc300935004"/>
      <w:r/>
      <w:bookmarkStart w:id="633" w:name="_Toc297123554"/>
      <w:r/>
      <w:bookmarkStart w:id="634" w:name="_Toc312678042"/>
      <w:r/>
      <w:bookmarkStart w:id="635" w:name="_Toc292559412"/>
      <w:r/>
      <w:bookmarkStart w:id="636" w:name="_Toc296347206"/>
      <w:r/>
      <w:bookmarkStart w:id="637" w:name="_Toc296891247"/>
      <w:r/>
      <w:bookmarkStart w:id="638" w:name="_Toc296944546"/>
      <w:r/>
      <w:bookmarkStart w:id="639" w:name="_Toc296503207"/>
      <w:r/>
      <w:bookmarkStart w:id="640" w:name="_Toc296891035"/>
      <w:r/>
      <w:bookmarkStart w:id="641" w:name="_Toc297048393"/>
      <w:r/>
      <w:bookmarkStart w:id="642" w:name="_Toc296346708"/>
      <w:r/>
      <w:bookmarkStart w:id="643" w:name="_Toc297120507"/>
      <w:r/>
      <w:bookmarkStart w:id="644" w:name="_Toc292559917"/>
      <w:r>
        <w:rPr>
          <w:rFonts w:ascii="宋体" w:hAnsi="宋体"/>
          <w:b/>
          <w:sz w:val="21"/>
          <w:szCs w:val="21"/>
          <w:highlight w:val="none"/>
        </w:rPr>
        <w:t xml:space="preserve">12.2 </w:t>
      </w:r>
      <w:r>
        <w:rPr>
          <w:rFonts w:hint="eastAsia" w:ascii="宋体" w:hAnsi="宋体"/>
          <w:b/>
          <w:sz w:val="21"/>
          <w:szCs w:val="21"/>
          <w:highlight w:val="none"/>
        </w:rPr>
        <w:t xml:space="preserve">预付款</w:t>
      </w:r>
      <w:bookmarkEnd w:id="629"/>
      <w:r/>
      <w:bookmarkEnd w:id="630"/>
      <w:r/>
      <w:bookmarkEnd w:id="631"/>
      <w:r/>
      <w:bookmarkEnd w:id="632"/>
      <w:r/>
      <w:bookmarkEnd w:id="633"/>
      <w:r/>
      <w:bookmarkEnd w:id="634"/>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12.2.1 </w:t>
      </w:r>
      <w:r>
        <w:rPr>
          <w:rFonts w:hint="eastAsia" w:ascii="宋体" w:hAnsi="宋体"/>
          <w:sz w:val="21"/>
          <w:szCs w:val="21"/>
          <w:highlight w:val="none"/>
        </w:rPr>
        <w:t xml:space="preserve">预付款的支付</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预付款支付比例或金额：</w:t>
      </w:r>
      <w:r>
        <w:rPr>
          <w:rFonts w:hint="eastAsia" w:ascii="宋体" w:hAnsi="宋体"/>
          <w:sz w:val="21"/>
          <w:szCs w:val="21"/>
          <w:highlight w:val="none"/>
          <w:u w:val="single"/>
        </w:rPr>
        <w:t xml:space="preserve">见12.4 工程进度款支付</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预付款支付期限：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预付款扣回的方式：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12.2.2 </w:t>
      </w:r>
      <w:r>
        <w:rPr>
          <w:rFonts w:hint="eastAsia" w:ascii="宋体" w:hAnsi="宋体"/>
          <w:sz w:val="21"/>
          <w:szCs w:val="21"/>
          <w:highlight w:val="none"/>
        </w:rPr>
        <w:t xml:space="preserve">预付款担保</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承包人提交预付款担保的期限：</w:t>
      </w:r>
      <w:r>
        <w:rPr>
          <w:rFonts w:hint="eastAsia" w:ascii="宋体" w:hAnsi="宋体"/>
          <w:sz w:val="21"/>
          <w:szCs w:val="21"/>
          <w:highlight w:val="none"/>
          <w:u w:val="single"/>
        </w:rPr>
        <w:t xml:space="preserve">支付预付款前</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预付款担保的形式为：</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bookmarkEnd w:id="635"/>
      <w:r/>
      <w:bookmarkEnd w:id="636"/>
      <w:r/>
      <w:bookmarkEnd w:id="637"/>
      <w:r/>
      <w:bookmarkEnd w:id="638"/>
      <w:r/>
      <w:bookmarkEnd w:id="639"/>
      <w:r/>
      <w:bookmarkEnd w:id="640"/>
      <w:r/>
      <w:bookmarkEnd w:id="641"/>
      <w:r/>
      <w:bookmarkEnd w:id="642"/>
      <w:r/>
      <w:bookmarkEnd w:id="643"/>
      <w:r/>
      <w:bookmarkEnd w:id="644"/>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12.3 </w:t>
      </w:r>
      <w:r>
        <w:rPr>
          <w:rFonts w:hint="eastAsia" w:ascii="宋体" w:hAnsi="宋体"/>
          <w:b/>
          <w:sz w:val="21"/>
          <w:szCs w:val="21"/>
          <w:highlight w:val="none"/>
        </w:rPr>
        <w:t xml:space="preserve">计量</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12.3.1 </w:t>
      </w:r>
      <w:r>
        <w:rPr>
          <w:rFonts w:hint="eastAsia" w:ascii="宋体" w:hAnsi="宋体"/>
          <w:sz w:val="21"/>
          <w:szCs w:val="21"/>
          <w:highlight w:val="none"/>
        </w:rPr>
        <w:t xml:space="preserve">计量原则</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工程量计算规则：</w:t>
      </w:r>
      <w:r>
        <w:rPr>
          <w:rFonts w:hint="eastAsia" w:ascii="宋体" w:hAnsi="宋体"/>
          <w:sz w:val="21"/>
          <w:szCs w:val="21"/>
          <w:highlight w:val="none"/>
          <w:u w:val="single"/>
        </w:rPr>
        <w:t xml:space="preserve">按《建设工程工程量清单计价规范》（ GB50500-2013）及相关文件执行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12.3.2 </w:t>
      </w:r>
      <w:r>
        <w:rPr>
          <w:rFonts w:hint="eastAsia" w:ascii="宋体" w:hAnsi="宋体"/>
          <w:sz w:val="21"/>
          <w:szCs w:val="21"/>
          <w:highlight w:val="none"/>
        </w:rPr>
        <w:t xml:space="preserve">计量周期</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关于计量周期的约定：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12.3.3 </w:t>
      </w:r>
      <w:r>
        <w:rPr>
          <w:rFonts w:hint="eastAsia" w:ascii="宋体" w:hAnsi="宋体"/>
          <w:sz w:val="21"/>
          <w:szCs w:val="21"/>
          <w:highlight w:val="none"/>
        </w:rPr>
        <w:t xml:space="preserve">单价合同的计量</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关于单价合同计量的约定：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12.3.4 </w:t>
      </w:r>
      <w:r>
        <w:rPr>
          <w:rFonts w:hint="eastAsia" w:ascii="宋体" w:hAnsi="宋体"/>
          <w:sz w:val="21"/>
          <w:szCs w:val="21"/>
          <w:highlight w:val="none"/>
        </w:rPr>
        <w:t xml:space="preserve">总价合同的计量</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关于总价合同计量的约定：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12.3.5</w:t>
      </w:r>
      <w:r>
        <w:rPr>
          <w:rFonts w:hint="eastAsia" w:ascii="宋体" w:hAnsi="宋体"/>
          <w:sz w:val="21"/>
          <w:szCs w:val="21"/>
          <w:highlight w:val="none"/>
        </w:rPr>
        <w:t xml:space="preserve">总价合同采用支付分解表计量支付的，是否适用第</w:t>
      </w:r>
      <w:r>
        <w:rPr>
          <w:rFonts w:ascii="宋体" w:hAnsi="宋体"/>
          <w:sz w:val="21"/>
          <w:szCs w:val="21"/>
          <w:highlight w:val="none"/>
        </w:rPr>
        <w:t xml:space="preserve">12.3.4 </w:t>
      </w:r>
      <w:r>
        <w:rPr>
          <w:rFonts w:hint="eastAsia" w:ascii="宋体" w:hAnsi="宋体"/>
          <w:sz w:val="21"/>
          <w:szCs w:val="21"/>
          <w:highlight w:val="none"/>
        </w:rPr>
        <w:t xml:space="preserve">项〔总价合同的计量〕约定进行计量：</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12.3.6 </w:t>
      </w:r>
      <w:r>
        <w:rPr>
          <w:rFonts w:hint="eastAsia" w:ascii="宋体" w:hAnsi="宋体"/>
          <w:sz w:val="21"/>
          <w:szCs w:val="21"/>
          <w:highlight w:val="none"/>
        </w:rPr>
        <w:t xml:space="preserve">其他价格形式合同的计量</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其他价格形式的计量方式和程序：</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12.4 </w:t>
      </w:r>
      <w:r>
        <w:rPr>
          <w:rFonts w:hint="eastAsia" w:ascii="宋体" w:hAnsi="宋体"/>
          <w:b/>
          <w:sz w:val="21"/>
          <w:szCs w:val="21"/>
          <w:highlight w:val="none"/>
        </w:rPr>
        <w:t xml:space="preserve">工程进度款支付</w:t>
      </w:r>
      <w:r/>
    </w:p>
    <w:p>
      <w:pPr>
        <w:pStyle w:val="1388"/>
        <w:ind w:firstLine="420"/>
        <w:spacing w:line="360" w:lineRule="auto"/>
        <w:rPr>
          <w:rFonts w:ascii="宋体" w:hAnsi="宋体"/>
          <w:sz w:val="21"/>
          <w:szCs w:val="21"/>
          <w:highlight w:val="none"/>
        </w:rPr>
      </w:pPr>
      <w:r/>
      <w:bookmarkStart w:id="645" w:name="_Toc297120511"/>
      <w:r/>
      <w:bookmarkStart w:id="646" w:name="_Toc297216215"/>
      <w:r/>
      <w:bookmarkStart w:id="647" w:name="_Toc296503211"/>
      <w:r/>
      <w:bookmarkStart w:id="648" w:name="_Toc297048397"/>
      <w:r/>
      <w:bookmarkStart w:id="649" w:name="_Toc296891039"/>
      <w:r/>
      <w:bookmarkStart w:id="650" w:name="_Toc296346712"/>
      <w:r/>
      <w:bookmarkStart w:id="651" w:name="_Toc296347210"/>
      <w:r/>
      <w:bookmarkStart w:id="652" w:name="_Toc292559921"/>
      <w:r/>
      <w:bookmarkStart w:id="653" w:name="_Toc292559416"/>
      <w:r/>
      <w:bookmarkStart w:id="654" w:name="_Toc297123556"/>
      <w:r/>
      <w:bookmarkStart w:id="655" w:name="_Toc296944550"/>
      <w:r/>
      <w:bookmarkStart w:id="656" w:name="_Toc300935006"/>
      <w:r/>
      <w:bookmarkStart w:id="657" w:name="_Toc296891251"/>
      <w:r/>
      <w:bookmarkStart w:id="658" w:name="_Toc303539163"/>
      <w:r>
        <w:rPr>
          <w:rFonts w:ascii="宋体" w:hAnsi="宋体"/>
          <w:sz w:val="21"/>
          <w:szCs w:val="21"/>
          <w:highlight w:val="none"/>
        </w:rPr>
        <w:t xml:space="preserve">12.4.1 </w:t>
      </w:r>
      <w:r>
        <w:rPr>
          <w:rFonts w:hint="eastAsia" w:ascii="宋体" w:hAnsi="宋体"/>
          <w:sz w:val="21"/>
          <w:szCs w:val="21"/>
          <w:highlight w:val="none"/>
        </w:rPr>
        <w:t xml:space="preserve">付款周期</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关于付款周期的约定：</w:t>
      </w:r>
      <w:r>
        <w:rPr>
          <w:rFonts w:hint="eastAsia" w:ascii="宋体" w:hAnsi="宋体"/>
          <w:b/>
          <w:sz w:val="21"/>
          <w:szCs w:val="21"/>
          <w:highlight w:val="none"/>
        </w:rPr>
        <w:t xml:space="preserve">预付款：合同金额的10%，合同签订后按规定支付；进度款：工程完工后付至已完成工程价款的80%，工程竣工验收合格且审计结束后付至审定价的97%，余款待缺陷责任期满后付清（无息）。</w:t>
      </w:r>
      <w:r>
        <w:rPr>
          <w:rFonts w:hint="eastAsia" w:ascii="宋体" w:hAnsi="宋体"/>
          <w:sz w:val="21"/>
          <w:szCs w:val="21"/>
          <w:highlight w:val="none"/>
        </w:rPr>
        <w:t xml:space="preserve">(注：1.在签订合同时，成交人明确表示无需预付款或者主动要求降低预付款比例的金额，采购人可不适用预付款规定；2.对于满足合同约定支付条件的，自收到发票后10个工作日内将资金支付到合同约定的供应商账户或供应商数字人民币账户。)</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12.4.2 </w:t>
      </w:r>
      <w:r>
        <w:rPr>
          <w:rFonts w:hint="eastAsia" w:ascii="宋体" w:hAnsi="宋体"/>
          <w:sz w:val="21"/>
          <w:szCs w:val="21"/>
          <w:highlight w:val="none"/>
        </w:rPr>
        <w:t xml:space="preserve">进度付款申请单的编制</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关于进度付款申请单编制的约定：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rFonts w:ascii="宋体" w:hAnsi="宋体"/>
          <w:sz w:val="21"/>
          <w:szCs w:val="21"/>
          <w:highlight w:val="none"/>
        </w:rPr>
        <w:t xml:space="preserve">2.4.3 </w:t>
      </w:r>
      <w:r>
        <w:rPr>
          <w:rFonts w:hint="eastAsia" w:ascii="宋体" w:hAnsi="宋体"/>
          <w:sz w:val="21"/>
          <w:szCs w:val="21"/>
          <w:highlight w:val="none"/>
        </w:rPr>
        <w:t xml:space="preserve">进度付款申请单的提交</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）单价合同进度付款申请单提交的约定：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）总价合同进度付款申请单提交的约定：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）其他价格形式合同进度付款申请单提交的约定：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12.4.4 </w:t>
      </w:r>
      <w:r>
        <w:rPr>
          <w:rFonts w:hint="eastAsia" w:ascii="宋体" w:hAnsi="宋体"/>
          <w:sz w:val="21"/>
          <w:szCs w:val="21"/>
          <w:highlight w:val="none"/>
        </w:rPr>
        <w:t xml:space="preserve">进度款审核和支付</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）监理人审查并报送发包人的期限：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发包人完成审批并签发进度款支付证书的期限：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）发包人支付进度款的期限：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525"/>
        <w:spacing w:line="360" w:lineRule="auto"/>
        <w:rPr>
          <w:rFonts w:ascii="宋体" w:hAnsi="宋体"/>
          <w:sz w:val="21"/>
          <w:szCs w:val="21"/>
          <w:highlight w:val="none"/>
          <w:u w:val="single"/>
        </w:rPr>
      </w:pPr>
      <w:r>
        <w:rPr>
          <w:rFonts w:hint="eastAsia" w:ascii="宋体" w:hAnsi="宋体"/>
          <w:sz w:val="21"/>
          <w:szCs w:val="21"/>
          <w:highlight w:val="none"/>
        </w:rPr>
        <w:t xml:space="preserve">发包人逾期支付进度款的违约金的计算方式：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525"/>
        <w:spacing w:line="360" w:lineRule="auto"/>
        <w:rPr>
          <w:rFonts w:ascii="宋体" w:hAnsi="宋体"/>
          <w:sz w:val="21"/>
          <w:szCs w:val="21"/>
          <w:highlight w:val="none"/>
        </w:rPr>
      </w:pPr>
      <w:r>
        <w:rPr>
          <w:rFonts w:ascii="宋体" w:hAnsi="宋体"/>
          <w:sz w:val="21"/>
          <w:szCs w:val="21"/>
          <w:highlight w:val="none"/>
        </w:rPr>
        <w:t xml:space="preserve">12.4.5 </w:t>
      </w:r>
      <w:r>
        <w:rPr>
          <w:rFonts w:hint="eastAsia" w:ascii="宋体" w:hAnsi="宋体"/>
          <w:sz w:val="21"/>
          <w:szCs w:val="21"/>
          <w:highlight w:val="none"/>
        </w:rPr>
        <w:t xml:space="preserve">支付分解表的编制</w:t>
      </w:r>
      <w:r/>
    </w:p>
    <w:p>
      <w:pPr>
        <w:pStyle w:val="1388"/>
        <w:ind w:firstLine="525"/>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、总价合同支付分解表的编制与审批：</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525"/>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、单价合同的总价项目支付分解表的编制与审批：</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bookmarkEnd w:id="488"/>
      <w:r/>
      <w:r/>
    </w:p>
    <w:p>
      <w:pPr>
        <w:pStyle w:val="1388"/>
        <w:spacing w:line="360" w:lineRule="auto"/>
        <w:rPr>
          <w:rFonts w:ascii="宋体" w:hAnsi="宋体"/>
          <w:b/>
          <w:sz w:val="21"/>
          <w:szCs w:val="21"/>
          <w:highlight w:val="none"/>
        </w:rPr>
      </w:pPr>
      <w:r/>
      <w:bookmarkStart w:id="659" w:name="_Toc296891259"/>
      <w:r/>
      <w:bookmarkStart w:id="660" w:name="_Toc312678053"/>
      <w:r/>
      <w:bookmarkStart w:id="661" w:name="_Toc300935015"/>
      <w:r/>
      <w:bookmarkStart w:id="662" w:name="_Toc303539172"/>
      <w:r/>
      <w:bookmarkStart w:id="663" w:name="_Toc297216223"/>
      <w:r/>
      <w:bookmarkStart w:id="664" w:name="_Toc292559424"/>
      <w:r/>
      <w:bookmarkStart w:id="665" w:name="_Toc292559929"/>
      <w:r/>
      <w:bookmarkStart w:id="666" w:name="_Toc297048405"/>
      <w:r/>
      <w:bookmarkStart w:id="667" w:name="_Toc296503219"/>
      <w:r/>
      <w:bookmarkStart w:id="668" w:name="_Toc297120519"/>
      <w:r/>
      <w:bookmarkStart w:id="669" w:name="_Toc351203645"/>
      <w:r/>
      <w:bookmarkStart w:id="670" w:name="_Toc296891047"/>
      <w:r/>
      <w:bookmarkStart w:id="671" w:name="_Toc296944558"/>
      <w:r/>
      <w:bookmarkStart w:id="672" w:name="_Toc296346720"/>
      <w:r/>
      <w:bookmarkStart w:id="673" w:name="_Toc296347218"/>
      <w:r/>
      <w:bookmarkStart w:id="674" w:name="_Toc297123564"/>
      <w:r/>
      <w:bookmarkStart w:id="675" w:name="_Toc304295593"/>
      <w:r>
        <w:rPr>
          <w:rFonts w:ascii="宋体" w:hAnsi="宋体"/>
          <w:b/>
          <w:sz w:val="21"/>
          <w:szCs w:val="21"/>
          <w:highlight w:val="none"/>
        </w:rPr>
        <w:t xml:space="preserve">13. </w:t>
      </w:r>
      <w:r>
        <w:rPr>
          <w:rFonts w:hint="eastAsia" w:ascii="宋体" w:hAnsi="宋体"/>
          <w:b/>
          <w:sz w:val="21"/>
          <w:szCs w:val="21"/>
          <w:highlight w:val="none"/>
        </w:rPr>
        <w:t xml:space="preserve">验收和工程试车</w:t>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13.1 </w:t>
      </w:r>
      <w:r>
        <w:rPr>
          <w:rFonts w:hint="eastAsia" w:ascii="宋体" w:hAnsi="宋体"/>
          <w:b/>
          <w:sz w:val="21"/>
          <w:szCs w:val="21"/>
          <w:highlight w:val="none"/>
        </w:rPr>
        <w:t xml:space="preserve">分部分项工程验收</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13.1.2</w:t>
      </w:r>
      <w:r>
        <w:rPr>
          <w:rFonts w:hint="eastAsia" w:ascii="宋体" w:hAnsi="宋体"/>
          <w:sz w:val="21"/>
          <w:szCs w:val="21"/>
          <w:highlight w:val="none"/>
        </w:rPr>
        <w:t xml:space="preserve">监理人不能按时进行验收时，应提前</w:t>
      </w:r>
      <w:r>
        <w:rPr>
          <w:rFonts w:ascii="宋体" w:hAnsi="宋体"/>
          <w:sz w:val="21"/>
          <w:szCs w:val="21"/>
          <w:highlight w:val="none"/>
          <w:u w:val="single"/>
        </w:rPr>
        <w:t xml:space="preserve">  </w:t>
      </w:r>
      <w:r>
        <w:rPr>
          <w:rFonts w:hint="eastAsia" w:ascii="宋体" w:hAnsi="宋体"/>
          <w:sz w:val="21"/>
          <w:szCs w:val="21"/>
          <w:highlight w:val="none"/>
          <w:u w:val="single"/>
        </w:rPr>
        <w:t xml:space="preserve">24</w:t>
      </w:r>
      <w:r>
        <w:rPr>
          <w:rFonts w:ascii="宋体" w:hAnsi="宋体"/>
          <w:sz w:val="21"/>
          <w:szCs w:val="21"/>
          <w:highlight w:val="none"/>
          <w:u w:val="single"/>
        </w:rPr>
        <w:t xml:space="preserve">  </w:t>
      </w:r>
      <w:r>
        <w:rPr>
          <w:rFonts w:hint="eastAsia" w:ascii="宋体" w:hAnsi="宋体"/>
          <w:sz w:val="21"/>
          <w:szCs w:val="21"/>
          <w:highlight w:val="none"/>
        </w:rPr>
        <w:t xml:space="preserve">小时提交书面延期要求。</w:t>
      </w:r>
      <w:r/>
    </w:p>
    <w:p>
      <w:pPr>
        <w:pStyle w:val="1388"/>
        <w:ind w:firstLine="420"/>
        <w:spacing w:line="360" w:lineRule="auto"/>
        <w:rPr>
          <w:rFonts w:ascii="宋体" w:hAnsi="宋体"/>
          <w:b/>
          <w:sz w:val="21"/>
          <w:szCs w:val="21"/>
          <w:highlight w:val="none"/>
        </w:rPr>
      </w:pPr>
      <w:r>
        <w:rPr>
          <w:rFonts w:hint="eastAsia" w:ascii="宋体" w:hAnsi="宋体"/>
          <w:sz w:val="21"/>
          <w:szCs w:val="21"/>
          <w:highlight w:val="none"/>
        </w:rPr>
        <w:t xml:space="preserve">关于延期最长不得超过：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48</w:t>
      </w:r>
      <w:r>
        <w:rPr>
          <w:rFonts w:ascii="宋体" w:hAnsi="宋体"/>
          <w:sz w:val="21"/>
          <w:szCs w:val="21"/>
          <w:highlight w:val="none"/>
          <w:u w:val="single"/>
        </w:rPr>
        <w:t xml:space="preserve">    </w:t>
      </w:r>
      <w:r>
        <w:rPr>
          <w:rFonts w:hint="eastAsia" w:ascii="宋体" w:hAnsi="宋体"/>
          <w:sz w:val="21"/>
          <w:szCs w:val="21"/>
          <w:highlight w:val="none"/>
        </w:rPr>
        <w:t xml:space="preserve">小时。</w:t>
      </w:r>
      <w:r/>
    </w:p>
    <w:p>
      <w:pPr>
        <w:pStyle w:val="1388"/>
        <w:ind w:firstLine="422"/>
        <w:spacing w:line="360" w:lineRule="auto"/>
        <w:rPr>
          <w:rFonts w:ascii="宋体" w:hAnsi="宋体"/>
          <w:b/>
          <w:sz w:val="21"/>
          <w:szCs w:val="21"/>
          <w:highlight w:val="none"/>
        </w:rPr>
      </w:pPr>
      <w:r/>
      <w:bookmarkStart w:id="676" w:name="_Toc300935016"/>
      <w:r/>
      <w:bookmarkStart w:id="677" w:name="_Toc292559933"/>
      <w:r/>
      <w:bookmarkStart w:id="678" w:name="_Toc296891263"/>
      <w:r/>
      <w:bookmarkStart w:id="679" w:name="_Toc296503223"/>
      <w:r/>
      <w:bookmarkStart w:id="680" w:name="_Toc297048409"/>
      <w:r/>
      <w:bookmarkStart w:id="681" w:name="_Toc304295596"/>
      <w:r/>
      <w:bookmarkStart w:id="682" w:name="_Toc296891051"/>
      <w:r/>
      <w:bookmarkStart w:id="683" w:name="_Toc297216224"/>
      <w:r/>
      <w:bookmarkStart w:id="684" w:name="_Toc297123565"/>
      <w:r/>
      <w:bookmarkStart w:id="685" w:name="_Toc292559428"/>
      <w:r/>
      <w:bookmarkStart w:id="686" w:name="_Toc296944562"/>
      <w:r/>
      <w:bookmarkStart w:id="687" w:name="_Toc312678056"/>
      <w:r/>
      <w:bookmarkStart w:id="688" w:name="_Toc297120523"/>
      <w:r/>
      <w:bookmarkStart w:id="689" w:name="_Toc303539173"/>
      <w:r/>
      <w:bookmarkStart w:id="690" w:name="_Toc296347222"/>
      <w:r/>
      <w:bookmarkStart w:id="691" w:name="_Toc296346724"/>
      <w:r/>
      <w:bookmarkStart w:id="692" w:name="_Toc267251470"/>
      <w:r/>
      <w:bookmarkStart w:id="693" w:name="_Toc267251474"/>
      <w:r/>
      <w:bookmarkStart w:id="694" w:name="_Toc267251476"/>
      <w:r/>
      <w:bookmarkStart w:id="695" w:name="_Toc267251472"/>
      <w:r/>
      <w:bookmarkStart w:id="696" w:name="_Toc267251475"/>
      <w:r/>
      <w:bookmarkStart w:id="697" w:name="_Toc267251473"/>
      <w:r/>
      <w:bookmarkStart w:id="698" w:name="_Toc267251471"/>
      <w:r>
        <w:rPr>
          <w:rFonts w:ascii="宋体" w:hAnsi="宋体"/>
          <w:b/>
          <w:sz w:val="21"/>
          <w:szCs w:val="21"/>
          <w:highlight w:val="none"/>
        </w:rPr>
        <w:t xml:space="preserve">13.2 </w:t>
      </w:r>
      <w:r>
        <w:rPr>
          <w:rFonts w:hint="eastAsia" w:ascii="宋体" w:hAnsi="宋体"/>
          <w:b/>
          <w:sz w:val="21"/>
          <w:szCs w:val="21"/>
          <w:highlight w:val="none"/>
        </w:rPr>
        <w:t xml:space="preserve">竣工验收</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
    </w:p>
    <w:p>
      <w:pPr>
        <w:pStyle w:val="1388"/>
        <w:ind w:firstLine="420"/>
        <w:spacing w:line="360" w:lineRule="auto"/>
        <w:rPr>
          <w:rFonts w:ascii="宋体" w:hAnsi="宋体"/>
          <w:sz w:val="21"/>
          <w:szCs w:val="21"/>
          <w:highlight w:val="none"/>
        </w:rPr>
      </w:pPr>
      <w:r/>
      <w:bookmarkStart w:id="699" w:name="_Toc280868704"/>
      <w:r/>
      <w:bookmarkStart w:id="700" w:name="_Toc280868705"/>
      <w:r/>
      <w:bookmarkStart w:id="701" w:name="_Toc280868706"/>
      <w:r/>
      <w:bookmarkStart w:id="702" w:name="_Toc280868707"/>
      <w:r/>
      <w:bookmarkStart w:id="703" w:name="_Toc280868708"/>
      <w:r/>
      <w:bookmarkStart w:id="704" w:name="_Toc280868709"/>
      <w:r>
        <w:rPr>
          <w:rFonts w:ascii="宋体" w:hAnsi="宋体"/>
          <w:sz w:val="21"/>
          <w:szCs w:val="21"/>
          <w:highlight w:val="none"/>
        </w:rPr>
        <w:t xml:space="preserve">13.2.2</w:t>
      </w:r>
      <w:r>
        <w:rPr>
          <w:rFonts w:hint="eastAsia" w:ascii="宋体" w:hAnsi="宋体"/>
          <w:sz w:val="21"/>
          <w:szCs w:val="21"/>
          <w:highlight w:val="none"/>
        </w:rPr>
        <w:t xml:space="preserve">竣工验收程序</w:t>
      </w:r>
      <w:bookmarkEnd w:id="699"/>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关于竣工验收程序的约定：</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发包人不按照本项约定组织竣工验收、颁发工程接收证书的违约金的计算方法：</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bookmarkEnd w:id="700"/>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13.2.5</w:t>
      </w:r>
      <w:r>
        <w:rPr>
          <w:rFonts w:hint="eastAsia" w:ascii="宋体" w:hAnsi="宋体"/>
          <w:sz w:val="21"/>
          <w:szCs w:val="21"/>
          <w:highlight w:val="none"/>
        </w:rPr>
        <w:t xml:space="preserve">移交、接收全部与部分工程</w:t>
      </w:r>
      <w:bookmarkEnd w:id="701"/>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承包人向发包人移交工程的期限：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发包人未按本合同约定接收全部或部分工程的，违约金的计算方法为：</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bookmarkEnd w:id="702"/>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承包人未按时移交工程的，违约金的计算方法为：</w:t>
      </w:r>
      <w:r>
        <w:rPr>
          <w:rFonts w:hint="eastAsia" w:ascii="宋体" w:hAnsi="宋体"/>
          <w:sz w:val="21"/>
          <w:szCs w:val="21"/>
          <w:highlight w:val="none"/>
          <w:u w:val="single"/>
        </w:rPr>
        <w:t xml:space="preserve">详见专用条款16.2.2.26条</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13.3 </w:t>
      </w:r>
      <w:r>
        <w:rPr>
          <w:rFonts w:hint="eastAsia" w:ascii="宋体" w:hAnsi="宋体"/>
          <w:b/>
          <w:sz w:val="21"/>
          <w:szCs w:val="21"/>
          <w:highlight w:val="none"/>
        </w:rPr>
        <w:t xml:space="preserve">工程试车</w:t>
      </w:r>
      <w:bookmarkEnd w:id="703"/>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13.3.1 </w:t>
      </w:r>
      <w:r>
        <w:rPr>
          <w:rFonts w:hint="eastAsia" w:ascii="宋体" w:hAnsi="宋体"/>
          <w:sz w:val="21"/>
          <w:szCs w:val="21"/>
          <w:highlight w:val="none"/>
        </w:rPr>
        <w:t xml:space="preserve">试车程序</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工程试车内容：</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）单机无负荷试车费用由</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承担；</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）无负荷联动试车费用由</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承担。</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13.3.3 </w:t>
      </w:r>
      <w:r>
        <w:rPr>
          <w:rFonts w:hint="eastAsia" w:ascii="宋体" w:hAnsi="宋体"/>
          <w:sz w:val="21"/>
          <w:szCs w:val="21"/>
          <w:highlight w:val="none"/>
        </w:rPr>
        <w:t xml:space="preserve">投料试车</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关于投料试车相关事项的约定：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13.4 </w:t>
      </w:r>
      <w:r>
        <w:rPr>
          <w:rFonts w:hint="eastAsia" w:ascii="宋体" w:hAnsi="宋体"/>
          <w:b/>
          <w:sz w:val="21"/>
          <w:szCs w:val="21"/>
          <w:highlight w:val="none"/>
        </w:rPr>
        <w:t xml:space="preserve">竣工退场</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13.4.1 </w:t>
      </w:r>
      <w:r>
        <w:rPr>
          <w:rFonts w:hint="eastAsia" w:ascii="宋体" w:hAnsi="宋体"/>
          <w:sz w:val="21"/>
          <w:szCs w:val="21"/>
          <w:highlight w:val="none"/>
        </w:rPr>
        <w:t xml:space="preserve">竣工退场</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承包人完成竣工退场的期限：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705" w:name="_Toc351203646"/>
      <w:r>
        <w:rPr>
          <w:rFonts w:ascii="宋体" w:hAnsi="宋体"/>
          <w:b/>
          <w:sz w:val="21"/>
          <w:szCs w:val="21"/>
          <w:highlight w:val="none"/>
        </w:rPr>
        <w:t xml:space="preserve">14. </w:t>
      </w:r>
      <w:r>
        <w:rPr>
          <w:rFonts w:hint="eastAsia" w:ascii="宋体" w:hAnsi="宋体"/>
          <w:b/>
          <w:sz w:val="21"/>
          <w:szCs w:val="21"/>
          <w:highlight w:val="none"/>
        </w:rPr>
        <w:t xml:space="preserve">竣工结算</w:t>
      </w:r>
      <w:bookmarkEnd w:id="705"/>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14.1 </w:t>
      </w:r>
      <w:r>
        <w:rPr>
          <w:rFonts w:hint="eastAsia" w:ascii="宋体" w:hAnsi="宋体"/>
          <w:b/>
          <w:sz w:val="21"/>
          <w:szCs w:val="21"/>
          <w:highlight w:val="none"/>
        </w:rPr>
        <w:t xml:space="preserve">竣工结算申请</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承包人提交竣工结算申请单的期限：</w:t>
      </w:r>
      <w:r>
        <w:rPr>
          <w:rFonts w:hint="eastAsia" w:ascii="宋体" w:hAnsi="宋体"/>
          <w:sz w:val="21"/>
          <w:szCs w:val="21"/>
          <w:highlight w:val="none"/>
          <w:u w:val="single"/>
        </w:rPr>
        <w:t xml:space="preserve">承包人在工程竣工验收合格一月内向发包人递交竣工结算报告及完整的结算资料，并提供区审计单位需要提供的其他资料，同时必须提供工程量计算的底稿、完整的变更签证等相关的结算资料。结算款以区审计单位审计为准</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竣工结算申请单应包括的内容：</w:t>
      </w:r>
      <w:r>
        <w:rPr>
          <w:rFonts w:hint="eastAsia" w:ascii="宋体" w:hAnsi="宋体"/>
          <w:sz w:val="21"/>
          <w:szCs w:val="21"/>
          <w:highlight w:val="none"/>
          <w:u w:val="single"/>
        </w:rPr>
        <w:t xml:space="preserve">竣工结算合同总价、发包人已支付承包人的工程价款、应扣留的质量保证金、应支付的竣工付款金额</w:t>
      </w:r>
      <w:r>
        <w:rPr>
          <w:rFonts w:hint="eastAsia" w:ascii="宋体" w:hAnsi="宋体"/>
          <w:sz w:val="21"/>
          <w:szCs w:val="21"/>
          <w:highlight w:val="none"/>
        </w:rPr>
        <w:t xml:space="preserve">。</w:t>
      </w:r>
      <w:r/>
    </w:p>
    <w:p>
      <w:pPr>
        <w:pStyle w:val="1388"/>
        <w:ind w:firstLine="420"/>
        <w:spacing w:line="360" w:lineRule="auto"/>
        <w:rPr>
          <w:rFonts w:ascii="宋体" w:hAnsi="宋体"/>
          <w:bCs/>
          <w:sz w:val="21"/>
          <w:szCs w:val="21"/>
          <w:highlight w:val="none"/>
        </w:rPr>
      </w:pPr>
      <w:r>
        <w:rPr>
          <w:rFonts w:ascii="宋体" w:hAnsi="宋体"/>
          <w:bCs/>
          <w:sz w:val="21"/>
          <w:szCs w:val="21"/>
          <w:highlight w:val="none"/>
        </w:rPr>
        <w:t xml:space="preserve">14.2 </w:t>
      </w:r>
      <w:r>
        <w:rPr>
          <w:rFonts w:hint="eastAsia" w:ascii="宋体" w:hAnsi="宋体"/>
          <w:bCs/>
          <w:sz w:val="21"/>
          <w:szCs w:val="21"/>
          <w:highlight w:val="none"/>
        </w:rPr>
        <w:t xml:space="preserve">竣工结算审核</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发包人审批竣工付款申请单的期限：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发包人完成竣工付款的期限：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关于竣工付款证书异议部分复核的方式和程序：</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14.3 </w:t>
      </w:r>
      <w:r>
        <w:rPr>
          <w:rFonts w:hint="eastAsia" w:ascii="宋体" w:hAnsi="宋体"/>
          <w:b/>
          <w:sz w:val="21"/>
          <w:szCs w:val="21"/>
          <w:highlight w:val="none"/>
        </w:rPr>
        <w:t xml:space="preserve">最终结清</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14.3.1 </w:t>
      </w:r>
      <w:r>
        <w:rPr>
          <w:rFonts w:hint="eastAsia" w:ascii="宋体" w:hAnsi="宋体"/>
          <w:sz w:val="21"/>
          <w:szCs w:val="21"/>
          <w:highlight w:val="none"/>
        </w:rPr>
        <w:t xml:space="preserve">最终结清申请单</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承包人提交最终结清申请单的份数：</w:t>
      </w:r>
      <w:r>
        <w:rPr>
          <w:rFonts w:hint="eastAsia" w:ascii="宋体" w:hAnsi="宋体"/>
          <w:sz w:val="21"/>
          <w:szCs w:val="21"/>
          <w:highlight w:val="none"/>
          <w:u w:val="single"/>
        </w:rPr>
        <w:t xml:space="preserve">一式五份</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承包人提交最终结算申请单的期限：</w:t>
      </w:r>
      <w:r>
        <w:rPr>
          <w:rFonts w:hint="eastAsia" w:ascii="宋体" w:hAnsi="宋体"/>
          <w:sz w:val="21"/>
          <w:szCs w:val="21"/>
          <w:highlight w:val="none"/>
          <w:u w:val="single"/>
        </w:rPr>
        <w:t xml:space="preserve">承包人应在缺陷责任期终止证书颁发后7天内，按专用合同条款约定的份数向发包人提交最终结清申请单，并提供相关证明材料</w:t>
      </w:r>
      <w:r>
        <w:rPr>
          <w:rFonts w:hint="eastAsia" w:ascii="宋体" w:hAnsi="宋体"/>
          <w:sz w:val="21"/>
          <w:szCs w:val="21"/>
          <w:highlight w:val="none"/>
        </w:rPr>
        <w:t xml:space="preserve">。</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14.3.2 </w:t>
      </w:r>
      <w:r>
        <w:rPr>
          <w:rFonts w:hint="eastAsia" w:ascii="宋体" w:hAnsi="宋体"/>
          <w:sz w:val="21"/>
          <w:szCs w:val="21"/>
          <w:highlight w:val="none"/>
        </w:rPr>
        <w:t xml:space="preserve">最终结清证书和支付</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）发包人完成最终结清申请单的审批并颁发最终结清证书的期限：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）发包人完成支付的期限：</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bookmarkEnd w:id="692"/>
      <w:r/>
      <w:bookmarkEnd w:id="693"/>
      <w:r/>
      <w:bookmarkEnd w:id="694"/>
      <w:r/>
      <w:bookmarkEnd w:id="695"/>
      <w:r/>
      <w:bookmarkEnd w:id="696"/>
      <w:r/>
      <w:bookmarkEnd w:id="697"/>
      <w:r/>
      <w:bookmarkEnd w:id="698"/>
      <w:r/>
      <w:bookmarkEnd w:id="704"/>
      <w:r/>
      <w:r/>
    </w:p>
    <w:p>
      <w:pPr>
        <w:pStyle w:val="1388"/>
        <w:spacing w:line="360" w:lineRule="auto"/>
        <w:rPr>
          <w:rFonts w:ascii="宋体" w:hAnsi="宋体"/>
          <w:b/>
          <w:sz w:val="21"/>
          <w:szCs w:val="21"/>
          <w:highlight w:val="none"/>
        </w:rPr>
      </w:pPr>
      <w:r/>
      <w:bookmarkStart w:id="706" w:name="_Toc351203647"/>
      <w:r/>
      <w:bookmarkStart w:id="707" w:name="_Toc267251483"/>
      <w:r/>
      <w:bookmarkStart w:id="708" w:name="_Toc267251484"/>
      <w:r/>
      <w:bookmarkStart w:id="709" w:name="_Toc267251482"/>
      <w:r/>
      <w:bookmarkStart w:id="710" w:name="_Toc267251485"/>
      <w:r/>
      <w:bookmarkStart w:id="711" w:name="_Toc267251490"/>
      <w:r/>
      <w:bookmarkStart w:id="712" w:name="_Toc267251489"/>
      <w:r/>
      <w:bookmarkStart w:id="713" w:name="_Toc267251486"/>
      <w:r/>
      <w:bookmarkStart w:id="714" w:name="_Toc267251488"/>
      <w:r/>
      <w:bookmarkStart w:id="715" w:name="_Toc267251494"/>
      <w:r/>
      <w:bookmarkStart w:id="716" w:name="_Toc267251492"/>
      <w:r/>
      <w:bookmarkStart w:id="717" w:name="_Toc267251495"/>
      <w:r/>
      <w:bookmarkStart w:id="718" w:name="_Toc267251503"/>
      <w:r/>
      <w:bookmarkStart w:id="719" w:name="_Toc267251491"/>
      <w:r/>
      <w:bookmarkStart w:id="720" w:name="_Toc267251498"/>
      <w:r/>
      <w:bookmarkStart w:id="721" w:name="_Toc267251493"/>
      <w:r/>
      <w:bookmarkStart w:id="722" w:name="_Toc267251496"/>
      <w:r/>
      <w:bookmarkStart w:id="723" w:name="_Toc267251501"/>
      <w:r/>
      <w:bookmarkStart w:id="724" w:name="_Toc267251497"/>
      <w:r/>
      <w:bookmarkStart w:id="725" w:name="_Toc267251502"/>
      <w:r/>
      <w:bookmarkStart w:id="726" w:name="_Toc267251499"/>
      <w:r/>
      <w:bookmarkStart w:id="727" w:name="_Toc267251506"/>
      <w:r/>
      <w:bookmarkStart w:id="728" w:name="_Toc267251504"/>
      <w:r/>
      <w:bookmarkStart w:id="729" w:name="_Toc267251507"/>
      <w:r/>
      <w:bookmarkStart w:id="730" w:name="_Toc267251508"/>
      <w:r/>
      <w:bookmarkStart w:id="731" w:name="_Toc267251509"/>
      <w:r/>
      <w:bookmarkStart w:id="732" w:name="_Toc267251514"/>
      <w:r/>
      <w:bookmarkStart w:id="733" w:name="_Toc267251513"/>
      <w:r/>
      <w:bookmarkStart w:id="734" w:name="_Toc267251515"/>
      <w:r/>
      <w:bookmarkStart w:id="735" w:name="_Toc267251511"/>
      <w:r/>
      <w:bookmarkStart w:id="736" w:name="_Toc267251510"/>
      <w:r>
        <w:rPr>
          <w:rFonts w:ascii="宋体" w:hAnsi="宋体"/>
          <w:b/>
          <w:sz w:val="21"/>
          <w:szCs w:val="21"/>
          <w:highlight w:val="none"/>
        </w:rPr>
        <w:t xml:space="preserve">15. </w:t>
      </w:r>
      <w:r>
        <w:rPr>
          <w:rFonts w:hint="eastAsia" w:ascii="宋体" w:hAnsi="宋体"/>
          <w:b/>
          <w:sz w:val="21"/>
          <w:szCs w:val="21"/>
          <w:highlight w:val="none"/>
        </w:rPr>
        <w:t xml:space="preserve">缺陷责任期与保修</w:t>
      </w:r>
      <w:bookmarkEnd w:id="706"/>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15.1</w:t>
      </w:r>
      <w:r>
        <w:rPr>
          <w:rFonts w:hint="eastAsia" w:ascii="宋体" w:hAnsi="宋体"/>
          <w:b/>
          <w:sz w:val="21"/>
          <w:szCs w:val="21"/>
          <w:highlight w:val="none"/>
        </w:rPr>
        <w:t xml:space="preserve">缺陷责任期</w:t>
      </w:r>
      <w:bookmarkEnd w:id="707"/>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缺陷责任期的具体期限：</w:t>
      </w:r>
      <w:r>
        <w:rPr>
          <w:rFonts w:hint="eastAsia" w:ascii="宋体" w:hAnsi="宋体"/>
          <w:sz w:val="21"/>
          <w:szCs w:val="21"/>
          <w:highlight w:val="none"/>
          <w:u w:val="single"/>
        </w:rPr>
        <w:t xml:space="preserve">见工程质量保修书</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15.2 </w:t>
      </w:r>
      <w:r>
        <w:rPr>
          <w:rFonts w:hint="eastAsia" w:ascii="宋体" w:hAnsi="宋体"/>
          <w:b/>
          <w:sz w:val="21"/>
          <w:szCs w:val="21"/>
          <w:highlight w:val="none"/>
        </w:rPr>
        <w:t xml:space="preserve">质量保证金</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关于是否扣留质量保证金的约定：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是</w:t>
      </w:r>
      <w:r>
        <w:rPr>
          <w:rFonts w:ascii="宋体" w:hAnsi="宋体"/>
          <w:sz w:val="21"/>
          <w:szCs w:val="21"/>
          <w:highlight w:val="none"/>
          <w:u w:val="single"/>
        </w:rPr>
        <w:t xml:space="preserve">   </w:t>
      </w:r>
      <w:r>
        <w:rPr>
          <w:rFonts w:hint="eastAsia" w:ascii="宋体" w:hAnsi="宋体"/>
          <w:sz w:val="21"/>
          <w:szCs w:val="21"/>
          <w:highlight w:val="none"/>
        </w:rPr>
        <w:t xml:space="preserve">。在工程项目竣工前，承包人按专用合同条款第</w:t>
      </w:r>
      <w:r>
        <w:rPr>
          <w:rFonts w:ascii="宋体" w:hAnsi="宋体"/>
          <w:sz w:val="21"/>
          <w:szCs w:val="21"/>
          <w:highlight w:val="none"/>
        </w:rPr>
        <w:t xml:space="preserve">3.7</w:t>
      </w:r>
      <w:r>
        <w:rPr>
          <w:rFonts w:hint="eastAsia" w:ascii="宋体" w:hAnsi="宋体"/>
          <w:sz w:val="21"/>
          <w:szCs w:val="21"/>
          <w:highlight w:val="none"/>
        </w:rPr>
        <w:t xml:space="preserve">条提供履约担保的，发包人不得同时预留工程质量保证金。</w:t>
      </w:r>
      <w:r/>
    </w:p>
    <w:p>
      <w:pPr>
        <w:pStyle w:val="1389"/>
        <w:ind w:firstLine="420"/>
        <w:spacing w:line="360" w:lineRule="auto"/>
        <w:rPr>
          <w:rFonts w:ascii="宋体" w:hAnsi="宋体"/>
          <w:sz w:val="21"/>
          <w:szCs w:val="21"/>
          <w:highlight w:val="none"/>
        </w:rPr>
      </w:pPr>
      <w:r>
        <w:rPr>
          <w:rFonts w:ascii="宋体" w:hAnsi="宋体"/>
          <w:sz w:val="21"/>
          <w:szCs w:val="21"/>
          <w:highlight w:val="none"/>
        </w:rPr>
        <w:t xml:space="preserve">15.2.1 </w:t>
      </w:r>
      <w:r>
        <w:rPr>
          <w:rFonts w:hint="eastAsia" w:ascii="宋体" w:hAnsi="宋体"/>
          <w:sz w:val="21"/>
          <w:szCs w:val="21"/>
          <w:highlight w:val="none"/>
        </w:rPr>
        <w:t xml:space="preserve">承包人提供质量保证金的方式</w:t>
      </w:r>
      <w:r/>
    </w:p>
    <w:p>
      <w:pPr>
        <w:pStyle w:val="1389"/>
        <w:ind w:firstLine="420"/>
        <w:spacing w:line="360" w:lineRule="auto"/>
        <w:rPr>
          <w:rFonts w:ascii="宋体" w:hAnsi="宋体"/>
          <w:sz w:val="21"/>
          <w:szCs w:val="21"/>
          <w:highlight w:val="none"/>
        </w:rPr>
      </w:pPr>
      <w:r>
        <w:rPr>
          <w:rFonts w:hint="eastAsia" w:ascii="宋体" w:hAnsi="宋体"/>
          <w:sz w:val="21"/>
          <w:szCs w:val="21"/>
          <w:highlight w:val="none"/>
        </w:rPr>
        <w:t xml:space="preserve">质量保证金采用以下第</w:t>
      </w:r>
      <w:r>
        <w:rPr>
          <w:rFonts w:ascii="宋体" w:hAnsi="宋体"/>
          <w:sz w:val="21"/>
          <w:szCs w:val="21"/>
          <w:highlight w:val="none"/>
          <w:u w:val="single"/>
        </w:rPr>
        <w:t xml:space="preserve">  </w:t>
      </w:r>
      <w:r>
        <w:rPr>
          <w:rFonts w:hint="eastAsia" w:ascii="宋体" w:hAnsi="宋体"/>
          <w:sz w:val="21"/>
          <w:szCs w:val="21"/>
          <w:highlight w:val="none"/>
          <w:u w:val="single"/>
        </w:rPr>
        <w:t xml:space="preserve">（2）</w:t>
      </w:r>
      <w:r>
        <w:rPr>
          <w:rFonts w:ascii="宋体" w:hAnsi="宋体"/>
          <w:sz w:val="21"/>
          <w:szCs w:val="21"/>
          <w:highlight w:val="none"/>
          <w:u w:val="single"/>
        </w:rPr>
        <w:t xml:space="preserve">   </w:t>
      </w:r>
      <w:r>
        <w:rPr>
          <w:rFonts w:hint="eastAsia" w:ascii="宋体" w:hAnsi="宋体"/>
          <w:sz w:val="21"/>
          <w:szCs w:val="21"/>
          <w:highlight w:val="none"/>
        </w:rPr>
        <w:t xml:space="preserve">种方式：</w:t>
      </w:r>
      <w:r/>
    </w:p>
    <w:p>
      <w:pPr>
        <w:pStyle w:val="1389"/>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）质量保证金保函，保证金额为：</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rPr>
          <w:rFonts w:ascii="宋体" w:hAnsi="宋体"/>
          <w:sz w:val="21"/>
          <w:szCs w:val="21"/>
          <w:highlight w:val="none"/>
        </w:rPr>
        <w:t xml:space="preserve"> </w:t>
      </w:r>
      <w:r/>
    </w:p>
    <w:p>
      <w:pPr>
        <w:pStyle w:val="1389"/>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3</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的工程款；</w:t>
      </w:r>
      <w:r/>
    </w:p>
    <w:p>
      <w:pPr>
        <w:pStyle w:val="1389"/>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）其他方式：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9"/>
        <w:ind w:firstLine="420"/>
        <w:spacing w:line="360" w:lineRule="auto"/>
        <w:rPr>
          <w:rFonts w:ascii="宋体" w:hAnsi="宋体"/>
          <w:sz w:val="21"/>
          <w:szCs w:val="21"/>
          <w:highlight w:val="none"/>
        </w:rPr>
      </w:pPr>
      <w:r>
        <w:rPr>
          <w:rFonts w:ascii="宋体" w:hAnsi="宋体"/>
          <w:sz w:val="21"/>
          <w:szCs w:val="21"/>
          <w:highlight w:val="none"/>
        </w:rPr>
        <w:t xml:space="preserve">15.2.2 </w:t>
      </w:r>
      <w:r>
        <w:rPr>
          <w:rFonts w:hint="eastAsia" w:ascii="宋体" w:hAnsi="宋体"/>
          <w:sz w:val="21"/>
          <w:szCs w:val="21"/>
          <w:highlight w:val="none"/>
        </w:rPr>
        <w:t xml:space="preserve">质量保证金的扣留</w:t>
      </w:r>
      <w:r>
        <w:rPr>
          <w:rFonts w:ascii="宋体" w:hAnsi="宋体"/>
          <w:sz w:val="21"/>
          <w:szCs w:val="21"/>
          <w:highlight w:val="none"/>
        </w:rPr>
        <w:t xml:space="preserve"> </w:t>
      </w:r>
      <w:r/>
    </w:p>
    <w:p>
      <w:pPr>
        <w:pStyle w:val="1389"/>
        <w:ind w:firstLine="420"/>
        <w:spacing w:line="360" w:lineRule="auto"/>
        <w:rPr>
          <w:rFonts w:ascii="宋体" w:hAnsi="宋体"/>
          <w:sz w:val="21"/>
          <w:szCs w:val="21"/>
          <w:highlight w:val="none"/>
        </w:rPr>
      </w:pPr>
      <w:r>
        <w:rPr>
          <w:rFonts w:hint="eastAsia" w:ascii="宋体" w:hAnsi="宋体"/>
          <w:sz w:val="21"/>
          <w:szCs w:val="21"/>
          <w:highlight w:val="none"/>
        </w:rPr>
        <w:t xml:space="preserve">质量保证金的扣留采取以下第</w:t>
      </w:r>
      <w:r>
        <w:rPr>
          <w:rFonts w:ascii="宋体" w:hAnsi="宋体"/>
          <w:sz w:val="21"/>
          <w:szCs w:val="21"/>
          <w:highlight w:val="none"/>
          <w:u w:val="single"/>
        </w:rPr>
        <w:t xml:space="preserve">   </w:t>
      </w:r>
      <w:r>
        <w:rPr>
          <w:rFonts w:hint="eastAsia" w:ascii="宋体" w:hAnsi="宋体"/>
          <w:sz w:val="21"/>
          <w:szCs w:val="21"/>
          <w:highlight w:val="none"/>
          <w:u w:val="single"/>
        </w:rPr>
        <w:t xml:space="preserve">（2）</w:t>
      </w:r>
      <w:r>
        <w:rPr>
          <w:rFonts w:ascii="宋体" w:hAnsi="宋体"/>
          <w:sz w:val="21"/>
          <w:szCs w:val="21"/>
          <w:highlight w:val="none"/>
          <w:u w:val="single"/>
        </w:rPr>
        <w:t xml:space="preserve">  </w:t>
      </w:r>
      <w:r>
        <w:rPr>
          <w:rFonts w:hint="eastAsia" w:ascii="宋体" w:hAnsi="宋体"/>
          <w:sz w:val="21"/>
          <w:szCs w:val="21"/>
          <w:highlight w:val="none"/>
        </w:rPr>
        <w:t xml:space="preserve">种方式：</w:t>
      </w:r>
      <w:r/>
    </w:p>
    <w:p>
      <w:pPr>
        <w:pStyle w:val="1389"/>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）在支付工程进度款时逐次扣留，在此情形下，质量保证金的计算基数不包括预付款的支付、扣回以及价格调整的金额；</w:t>
      </w:r>
      <w:r/>
    </w:p>
    <w:p>
      <w:pPr>
        <w:pStyle w:val="1389"/>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）工程竣工结算时一次性扣留质量保证金；</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）其他扣留方式：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关于质量保证金的补充约定：</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bookmarkEnd w:id="708"/>
      <w:r/>
      <w:bookmarkEnd w:id="709"/>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15.3</w:t>
      </w:r>
      <w:r>
        <w:rPr>
          <w:rFonts w:hint="eastAsia" w:ascii="宋体" w:hAnsi="宋体"/>
          <w:b/>
          <w:sz w:val="21"/>
          <w:szCs w:val="21"/>
          <w:highlight w:val="none"/>
        </w:rPr>
        <w:t xml:space="preserve">保修</w:t>
      </w:r>
      <w:bookmarkEnd w:id="710"/>
      <w:r/>
      <w:r/>
    </w:p>
    <w:p>
      <w:pPr>
        <w:pStyle w:val="1388"/>
        <w:ind w:firstLine="409"/>
        <w:spacing w:line="360" w:lineRule="auto"/>
        <w:rPr>
          <w:rFonts w:ascii="宋体" w:hAnsi="宋体"/>
          <w:sz w:val="21"/>
          <w:szCs w:val="21"/>
          <w:highlight w:val="none"/>
        </w:rPr>
      </w:pPr>
      <w:r>
        <w:rPr>
          <w:rFonts w:ascii="宋体" w:hAnsi="宋体"/>
          <w:sz w:val="21"/>
          <w:szCs w:val="21"/>
          <w:highlight w:val="none"/>
        </w:rPr>
        <w:t xml:space="preserve">15.3.1 </w:t>
      </w:r>
      <w:r>
        <w:rPr>
          <w:rFonts w:hint="eastAsia" w:ascii="宋体" w:hAnsi="宋体"/>
          <w:sz w:val="21"/>
          <w:szCs w:val="21"/>
          <w:highlight w:val="none"/>
        </w:rPr>
        <w:t xml:space="preserve">保修责任</w:t>
      </w:r>
      <w:r/>
    </w:p>
    <w:p>
      <w:pPr>
        <w:pStyle w:val="1388"/>
        <w:ind w:firstLine="409"/>
        <w:spacing w:line="360" w:lineRule="auto"/>
        <w:rPr>
          <w:rFonts w:ascii="宋体" w:hAnsi="宋体"/>
          <w:sz w:val="21"/>
          <w:szCs w:val="21"/>
          <w:highlight w:val="none"/>
          <w:u w:val="single"/>
        </w:rPr>
      </w:pPr>
      <w:r>
        <w:rPr>
          <w:rFonts w:hint="eastAsia" w:ascii="宋体" w:hAnsi="宋体"/>
          <w:sz w:val="21"/>
          <w:szCs w:val="21"/>
          <w:highlight w:val="none"/>
        </w:rPr>
        <w:t xml:space="preserve">工程保修期为：</w:t>
      </w:r>
      <w:r>
        <w:rPr>
          <w:rFonts w:hint="eastAsia" w:ascii="宋体" w:hAnsi="宋体"/>
          <w:sz w:val="21"/>
          <w:szCs w:val="21"/>
          <w:highlight w:val="none"/>
          <w:u w:val="single"/>
        </w:rPr>
        <w:t xml:space="preserve">见工程质量保修书</w:t>
      </w:r>
      <w:r>
        <w:rPr>
          <w:rFonts w:hint="eastAsia" w:ascii="宋体" w:hAnsi="宋体"/>
          <w:sz w:val="21"/>
          <w:szCs w:val="21"/>
          <w:highlight w:val="none"/>
        </w:rPr>
        <w:t xml:space="preserve">。</w:t>
      </w:r>
      <w:r/>
    </w:p>
    <w:p>
      <w:pPr>
        <w:pStyle w:val="1388"/>
        <w:ind w:firstLine="409"/>
        <w:spacing w:line="360" w:lineRule="auto"/>
        <w:rPr>
          <w:rFonts w:ascii="宋体" w:hAnsi="宋体"/>
          <w:sz w:val="21"/>
          <w:szCs w:val="21"/>
          <w:highlight w:val="none"/>
        </w:rPr>
      </w:pPr>
      <w:r>
        <w:rPr>
          <w:rFonts w:ascii="宋体" w:hAnsi="宋体"/>
          <w:sz w:val="21"/>
          <w:szCs w:val="21"/>
          <w:highlight w:val="none"/>
        </w:rPr>
        <w:t xml:space="preserve">15.3.2 </w:t>
      </w:r>
      <w:r>
        <w:rPr>
          <w:rFonts w:hint="eastAsia" w:ascii="宋体" w:hAnsi="宋体"/>
          <w:sz w:val="21"/>
          <w:szCs w:val="21"/>
          <w:highlight w:val="none"/>
        </w:rPr>
        <w:t xml:space="preserve">修复通知</w:t>
      </w:r>
      <w:r/>
    </w:p>
    <w:p>
      <w:pPr>
        <w:pStyle w:val="1388"/>
        <w:ind w:firstLine="409"/>
        <w:spacing w:line="360" w:lineRule="auto"/>
        <w:rPr>
          <w:rFonts w:ascii="宋体" w:hAnsi="宋体"/>
          <w:sz w:val="21"/>
          <w:szCs w:val="21"/>
          <w:highlight w:val="none"/>
          <w:u w:val="single"/>
        </w:rPr>
      </w:pPr>
      <w:r>
        <w:rPr>
          <w:rFonts w:hint="eastAsia" w:ascii="宋体" w:hAnsi="宋体"/>
          <w:sz w:val="21"/>
          <w:szCs w:val="21"/>
          <w:highlight w:val="none"/>
        </w:rPr>
        <w:t xml:space="preserve">承包人收到保修通知并到达工程现场的合理时间：</w:t>
      </w:r>
      <w:r>
        <w:rPr>
          <w:rFonts w:hint="eastAsia" w:ascii="宋体" w:hAnsi="宋体"/>
          <w:sz w:val="21"/>
          <w:szCs w:val="21"/>
          <w:highlight w:val="none"/>
          <w:u w:val="single"/>
        </w:rPr>
        <w:t xml:space="preserve">承包人应当在接到保修通知之日起24 小时内派人保修。承包人不在约定期限内派人保修的，发包人可以委托他人修理，保修费用从质量保修金内扣除。2.对于涉及结构安全的质量问题，应当按照现行质量保修办法的规定，立即向当地建设行政主管部门报告，采取安全防范措施；由原设计单位或者具有相应资质等级的设计单位提出保修方案，承包人实施保修。3.质量保修完成后，由发包人组织验收</w:t>
      </w:r>
      <w:r>
        <w:rPr>
          <w:rFonts w:hint="eastAsia" w:ascii="宋体" w:hAnsi="宋体"/>
          <w:sz w:val="21"/>
          <w:szCs w:val="21"/>
          <w:highlight w:val="none"/>
        </w:rPr>
        <w:t xml:space="preserve">。</w:t>
      </w:r>
      <w:bookmarkEnd w:id="711"/>
      <w:r/>
      <w:bookmarkEnd w:id="712"/>
      <w:r/>
      <w:bookmarkEnd w:id="713"/>
      <w:r/>
      <w:bookmarkEnd w:id="714"/>
      <w:r/>
      <w:r/>
    </w:p>
    <w:p>
      <w:pPr>
        <w:pStyle w:val="1388"/>
        <w:spacing w:line="360" w:lineRule="auto"/>
        <w:rPr>
          <w:rFonts w:ascii="宋体" w:hAnsi="宋体"/>
          <w:b/>
          <w:sz w:val="21"/>
          <w:szCs w:val="21"/>
          <w:highlight w:val="none"/>
        </w:rPr>
      </w:pPr>
      <w:r/>
      <w:bookmarkStart w:id="737" w:name="_Toc351203648"/>
      <w:r/>
      <w:bookmarkStart w:id="738" w:name="_Toc280868717"/>
      <w:r/>
      <w:bookmarkStart w:id="739" w:name="_Toc280868718"/>
      <w:r>
        <w:rPr>
          <w:rFonts w:ascii="宋体" w:hAnsi="宋体"/>
          <w:b/>
          <w:sz w:val="21"/>
          <w:szCs w:val="21"/>
          <w:highlight w:val="none"/>
        </w:rPr>
        <w:t xml:space="preserve">16. </w:t>
      </w:r>
      <w:r>
        <w:rPr>
          <w:rFonts w:hint="eastAsia" w:ascii="宋体" w:hAnsi="宋体"/>
          <w:b/>
          <w:sz w:val="21"/>
          <w:szCs w:val="21"/>
          <w:highlight w:val="none"/>
        </w:rPr>
        <w:t xml:space="preserve">违约</w:t>
      </w:r>
      <w:bookmarkEnd w:id="737"/>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16.1 </w:t>
      </w:r>
      <w:r>
        <w:rPr>
          <w:rFonts w:hint="eastAsia" w:ascii="宋体" w:hAnsi="宋体"/>
          <w:b/>
          <w:sz w:val="21"/>
          <w:szCs w:val="21"/>
          <w:highlight w:val="none"/>
        </w:rPr>
        <w:t xml:space="preserve">发包人违约</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16.1.1</w:t>
      </w:r>
      <w:r>
        <w:rPr>
          <w:rFonts w:hint="eastAsia" w:ascii="宋体" w:hAnsi="宋体"/>
          <w:sz w:val="21"/>
          <w:szCs w:val="21"/>
          <w:highlight w:val="none"/>
        </w:rPr>
        <w:t xml:space="preserve">发包人违约的情形</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发包人违约的其他情形：</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left="1050" w:hanging="1050"/>
        <w:spacing w:line="360" w:lineRule="auto"/>
        <w:rPr>
          <w:rFonts w:ascii="宋体" w:hAnsi="宋体"/>
          <w:sz w:val="21"/>
          <w:szCs w:val="21"/>
          <w:highlight w:val="none"/>
        </w:rPr>
      </w:pPr>
      <w:r>
        <w:rPr>
          <w:rFonts w:ascii="宋体" w:hAnsi="宋体"/>
          <w:sz w:val="21"/>
          <w:szCs w:val="21"/>
          <w:highlight w:val="none"/>
        </w:rPr>
        <w:t xml:space="preserve">    16.1.2 </w:t>
      </w:r>
      <w:r>
        <w:rPr>
          <w:rFonts w:hint="eastAsia" w:ascii="宋体" w:hAnsi="宋体"/>
          <w:sz w:val="21"/>
          <w:szCs w:val="21"/>
          <w:highlight w:val="none"/>
        </w:rPr>
        <w:t xml:space="preserve">发包人违约的责任</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发包人违约责任的承担方式和计算方法：</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）因发包人原因未能在计划开工日期前</w:t>
      </w:r>
      <w:r>
        <w:rPr>
          <w:rFonts w:ascii="宋体" w:hAnsi="宋体"/>
          <w:sz w:val="21"/>
          <w:szCs w:val="21"/>
          <w:highlight w:val="none"/>
        </w:rPr>
        <w:t xml:space="preserve">7</w:t>
      </w:r>
      <w:r>
        <w:rPr>
          <w:rFonts w:hint="eastAsia" w:ascii="宋体" w:hAnsi="宋体"/>
          <w:sz w:val="21"/>
          <w:szCs w:val="21"/>
          <w:highlight w:val="none"/>
        </w:rPr>
        <w:t xml:space="preserve">天内下达开工通知的违约责任：</w:t>
      </w:r>
      <w:r>
        <w:rPr>
          <w:rFonts w:hint="eastAsia" w:ascii="宋体" w:hAnsi="宋体"/>
          <w:sz w:val="21"/>
          <w:szCs w:val="21"/>
          <w:highlight w:val="none"/>
          <w:u w:val="single"/>
        </w:rPr>
        <w:t xml:space="preserve">不承担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）因发包人原因未能按合同约定支付合同价款的违约责任：</w:t>
      </w:r>
      <w:r>
        <w:rPr>
          <w:rFonts w:hint="eastAsia" w:ascii="宋体" w:hAnsi="宋体"/>
          <w:sz w:val="21"/>
          <w:szCs w:val="21"/>
          <w:highlight w:val="none"/>
          <w:u w:val="single"/>
        </w:rPr>
        <w:t xml:space="preserve">不承担</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）发包人违反第</w:t>
      </w:r>
      <w:r>
        <w:rPr>
          <w:rFonts w:ascii="宋体" w:hAnsi="宋体"/>
          <w:sz w:val="21"/>
          <w:szCs w:val="21"/>
          <w:highlight w:val="none"/>
        </w:rPr>
        <w:t xml:space="preserve">10.1</w:t>
      </w:r>
      <w:r>
        <w:rPr>
          <w:rFonts w:hint="eastAsia" w:ascii="宋体" w:hAnsi="宋体"/>
          <w:sz w:val="21"/>
          <w:szCs w:val="21"/>
          <w:highlight w:val="none"/>
        </w:rPr>
        <w:t xml:space="preserve">款〔变更的范围〕第（</w:t>
      </w:r>
      <w:r>
        <w:rPr>
          <w:rFonts w:ascii="宋体" w:hAnsi="宋体"/>
          <w:sz w:val="21"/>
          <w:szCs w:val="21"/>
          <w:highlight w:val="none"/>
        </w:rPr>
        <w:t xml:space="preserve">2</w:t>
      </w:r>
      <w:r>
        <w:rPr>
          <w:rFonts w:hint="eastAsia" w:ascii="宋体" w:hAnsi="宋体"/>
          <w:sz w:val="21"/>
          <w:szCs w:val="21"/>
          <w:highlight w:val="none"/>
        </w:rPr>
        <w:t xml:space="preserve">）项约定，自行实施被取消的工作或转由他人实施的违约责任：</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4</w:t>
      </w:r>
      <w:r>
        <w:rPr>
          <w:rFonts w:hint="eastAsia" w:ascii="宋体" w:hAnsi="宋体"/>
          <w:sz w:val="21"/>
          <w:szCs w:val="21"/>
          <w:highlight w:val="none"/>
        </w:rPr>
        <w:t xml:space="preserve">）发包人提供的材料、工程设备的规格、数量或质量不符合合同约定，或因发包人原因导致交货日期延误或交货地点变更等情况的违约责任：</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）因发包人违反合同约定造成暂停施工的违约责任：</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6</w:t>
      </w:r>
      <w:r>
        <w:rPr>
          <w:rFonts w:hint="eastAsia" w:ascii="宋体" w:hAnsi="宋体"/>
          <w:sz w:val="21"/>
          <w:szCs w:val="21"/>
          <w:highlight w:val="none"/>
        </w:rPr>
        <w:t xml:space="preserve">）发包人无正当理由没有在约定期限内发出复工指示，导致承包人无法复工的违约责任：</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7</w:t>
      </w:r>
      <w:r>
        <w:rPr>
          <w:rFonts w:hint="eastAsia" w:ascii="宋体" w:hAnsi="宋体"/>
          <w:sz w:val="21"/>
          <w:szCs w:val="21"/>
          <w:highlight w:val="none"/>
        </w:rPr>
        <w:t xml:space="preserve">）其他：</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16.1.3 </w:t>
      </w:r>
      <w:r>
        <w:rPr>
          <w:rFonts w:hint="eastAsia" w:ascii="宋体" w:hAnsi="宋体"/>
          <w:sz w:val="21"/>
          <w:szCs w:val="21"/>
          <w:highlight w:val="none"/>
        </w:rPr>
        <w:t xml:space="preserve">因发包人违约解除合同</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承包人按</w:t>
      </w:r>
      <w:r>
        <w:rPr>
          <w:rFonts w:ascii="宋体" w:hAnsi="宋体"/>
          <w:sz w:val="21"/>
          <w:szCs w:val="21"/>
          <w:highlight w:val="none"/>
        </w:rPr>
        <w:t xml:space="preserve">16.1.1</w:t>
      </w:r>
      <w:r>
        <w:rPr>
          <w:rFonts w:hint="eastAsia" w:ascii="宋体" w:hAnsi="宋体"/>
          <w:sz w:val="21"/>
          <w:szCs w:val="21"/>
          <w:highlight w:val="none"/>
        </w:rPr>
        <w:t xml:space="preserve">项〔发包人违约的情形〕约定暂停施工满</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天后发包人仍不纠正其违约行为并致使合同目的不能实现的，承包人有权解除合同。</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16.2 </w:t>
      </w:r>
      <w:r>
        <w:rPr>
          <w:rFonts w:hint="eastAsia" w:ascii="宋体" w:hAnsi="宋体"/>
          <w:b/>
          <w:sz w:val="21"/>
          <w:szCs w:val="21"/>
          <w:highlight w:val="none"/>
        </w:rPr>
        <w:t xml:space="preserve">承包人违约</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16.2.1 </w:t>
      </w:r>
      <w:r>
        <w:rPr>
          <w:rFonts w:hint="eastAsia" w:ascii="宋体" w:hAnsi="宋体"/>
          <w:sz w:val="21"/>
          <w:szCs w:val="21"/>
          <w:highlight w:val="none"/>
        </w:rPr>
        <w:t xml:space="preserve">承包人违约的情形</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承包人违约的其他情形：</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16.2.2</w:t>
      </w:r>
      <w:r>
        <w:rPr>
          <w:rFonts w:hint="eastAsia" w:ascii="宋体" w:hAnsi="宋体"/>
          <w:sz w:val="21"/>
          <w:szCs w:val="21"/>
          <w:highlight w:val="none"/>
        </w:rPr>
        <w:t xml:space="preserve">承包人违约的责任</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承包人违约责任的承担方式和计算方法：</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在施工期间承包人如发生重大质量和安全事故，必须承担事故处理的一切费用、工程的恢复费用及因此造成后续工程延期费用（按照1000元/天计算），发包人有权终止合同并要求承包人退场，或减少其承包内容，所造成的损失由承包人承担。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16.2.2.2承包人不按期交付合格竣工图及竣工资料，发包人将推迟审核承包人决算时间，由此造成的损失由承包人承担，承包人还应向发包人支付每逾期一日1000元的违约金。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16.2.2.3如承包人未经发包人同意擅自将其在施工过程中获悉的发包人商业秘密向第三人泄露（如发包人提供的图纸等内容），情节严重的，发包人有权单方终止合同，同时承包人应按本合同总价款的10%标准支付违约金。如承包人支付了违约金后仍不能弥补因其泄露发包人商业秘密给发包人造成的经济损失的，承包人还应赔偿发包人的实际经济损失。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 16.2.2.4如承包人未能按本合同约定在工程竣工后及时清理垃圾、平整场地，则发包人有权自行清理垃圾、平整场地，承包人除应负担发包人因此而发生的费用外，还应按本合同总价款2%的标准向发包人支付违约金。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16.2.2.5本工程应达到发包人要求的质量标准，承包人应按照现行的国家施工验收规范和资料评定标准施工。如第一次工程竣工验收时工程质量达不到合格标准时，承包人自愿放弃50%部分的履约保证金；第二次工程竣工验收时工程质量仍达不到合格标准时，承包人自愿放弃全部履约保证金，同时向发包人支付20万元的违约金，且发包人有权终止合同并不再支付剩余工程款，承包人还应当另行承担因此给发包人造成的实际损失。</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16.2.2.6因承包人自身原因，造成工程达不到合格标准，发包人要求整改的，承包人整改所需时间计算在合同总工期内，逾期交付工程的，按照本合同相关条款支付违约金。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16.2.2.7承包人进场后需执行监理单位下发的现场管理制度，如违反相关制度，承包人自愿按管理制度的相应的标准向发包人支付违约金。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16.2.2.8工程发生质量事故的，除及时全部消除工程质量问题和处理事故外，还需向发包人支付违约金20万元/次，因事故纯属于发包人和设计人责任造成的承包人免责。</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16.2.2.9工程发生人身或者财产安全事故的，承包人向发包人支付违约金20万元/次。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16.2.2.10现场质量或安全文明被主管部门通报批评的，承包人向发包人支付违约金2万元/次。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16.2.2.11未按照施工过程中约定的节点或目标工期完成的，承包人向发包人支付违</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约金1万元/天。现场例会制定的并经参会人员认可的节点，若到达节点未完成，按1万元/天处罚，超三天未完成，发包人有权终止合同，另行委托第三方施工至完成，所有费用由承包人承担。</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16.2.2.12承包人擅自修改图纸并施工的，承包人向发包人支付违约金10万元/次。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16.2.2.13上道工序未经验收就擅自施工下道工序的，承包人向发包人支付违约金1万元/次。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16.2.2.14关键工序施工方案未经论证或批准就进行施工的，承包人向发包人支付违约金5万元/次。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16.2.2.15主要机械未经相关部门验收就投入使用的，承包人向发包人支付违约金1万元/次。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16.2.2.16现场安全文明不达标的，连续2次被发包人书面批评的，承包人向发包人支付违约金1万元。</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16.2.2.17如承包人辱骂、殴打发包人及监理人工作人员，除依法承担行政处罚后果及赔偿受害人经济损失等法律责任外，承包人还应向发包人支付违约金5万元/次。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16.2.2.18本工程的项目经理及本工程项目管理机构人员，每周在工地工作时间不低于6天，每天在工地工作时间不低于8个小时，特殊情况下需离开时应当事先征得发包人现场负责人同意。承包人应当遵守发包人考勤、考核制度，凡发包人考勤、考核点名时不在岗的（含会议前的考核点名），每人每次支付违约金500元；擅自离岗超过2小时的，每人每次支付违约金800元；擅自离岗超过4小时的，每人每次支付违约金1500元。情节严重的，发包人有权终止合同、拒绝支付履约保证金、停止支付工程款。</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16.2.2.19违反3.1条第（9）项约定的，每延迟一天，承包人每日向发包人支付1000元违约金。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16.2.2.20项目经理必须参加每周召开的工程例会，有事必须请假。如项目经理未经发包人同意违反上述规定，每缺席一次例会支付违约金500元整。一周如有二个工作日或二个月累计10天不在现场或二个月缺席例会三次，为严重违约，承包人自愿向发包人支付违约金 5万元，同时发包人有权终止合同，将承包人清退出场，终止合同的，并不免除承包人应当承担的合同义务。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16.2.2.21、承包人必须提供项目经理的劳动合同和社保缴纳证明，否则将视为违约，承包人应当向发包人支付违约金10000元。</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16.2.2.22承包人擅自更换项目经理的违约责任：⑴合同签订时，承包人的项目经理注册证书交招标人保管；⑵投标文件中明确的项目经理，未经发包人许可不得擅自变更。否则，发包人有权终止合同，追回已经支付的款项，承包人向发包人支付违约金10000元；⑶如果因客观原因更换项目经理，必须得到发包人的批准。更换的项目经理必须是本企业正式员工（出具半年以上本企业的劳保统筹交费证明原件），并且与投标项目经理有同等条件，如资质、业绩等。</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16.2.2.23承包人无正当理由拒绝更换项目经理的，应当向发包人支付10万元违约金，经发包人通知仍不整改的，承包人同意发包人终止合同。</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16.2.2.24承包人主要施工管理人员不称职造成工程质量、安全管理、进度管理、文明管理明显无法达到原定计划标准时，发包人有权要求承包人在7日内撤换或调整其认为不称职的主要施工管理人员，承包人无正当理由拒绝撤换该主要施工管理人员的，自承包人接收发包人书面通知之日起，每延迟更换一天，应当向发包人支付 2万元/人的违约金，直至将主要施工管理人员按照招标文件及本合同要求的称职人员之日止。承包人无正当理由拒绝更换的，发包人有权终止合同，并追究由此给发包人造成的一切损失。</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16.2.2.25承包人擅自更换主要施工管理人员，承包人应当向发包人支付2万元/人的违约金。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16.2.2.26承包人未按时移交工程的，每延迟一天，承包人以合同总价千分之一的金额向发包人支付违约金。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16.2.2.27项目实施期间要求使用信息化系统进行项目管理，否则承包人自愿向发包人支付人民币30万元的违约金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16.2.2.28承包人应服从发包人的管理规定，积极参加并配合发包人组织的各项检查、活动，否则向发包人支付5万元/次的违约金。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16.2.2.29承包人应保证建筑工人实名制管理措施在其进场20天内施工到位，包括封闭式施工现场的进出场门禁系统、生物识别电子打卡设备、现场显示屏、实名制系统等，否则向发包人支付5万元/天的违约金。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16.2.2.30承包人应当按报批的安全文明施工措施费用使用计划执行，确保现场安全文明施工措施费专款专用，投入到位，并在财务管理中单独列出现场安全文明施工措施项目的费用清单备查。如发现承包人未落实施工组织设计及专项施工方案中安全防护和文明施工措施的，承包人应立即整改并向发包人支付3万元/次的违约金。</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第16.2.2条款所列举的承包人应当支付的各种违约金，承包人同意发包人在支付当期工程款时先予扣除，而无需承包人书面确认。但发包人应当在扣除违约金时向承包人书面说明扣除违约金的事由。</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16.2.3 </w:t>
      </w:r>
      <w:r>
        <w:rPr>
          <w:rFonts w:hint="eastAsia" w:ascii="宋体" w:hAnsi="宋体"/>
          <w:sz w:val="21"/>
          <w:szCs w:val="21"/>
          <w:highlight w:val="none"/>
        </w:rPr>
        <w:t xml:space="preserve">因承包人违约解除合同</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关于承包人违约解除合同的特别约定：</w:t>
      </w:r>
      <w:r>
        <w:rPr>
          <w:rFonts w:hint="eastAsia" w:ascii="宋体" w:hAnsi="宋体"/>
          <w:sz w:val="21"/>
          <w:szCs w:val="21"/>
          <w:highlight w:val="none"/>
          <w:u w:val="single"/>
        </w:rPr>
        <w:t xml:space="preserve">在本合同终止后，承包人必须在5日内无条件退场并完成清理工作。发包人将按承包人已完成合格工程量的60%给予结算，承包人并承担由此而给发包方造成的一切损失</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发包人继续使用承包人在施工现场的材料、设备、临时工程、承包人文件和由承包人或以其名义编制的其他文件的费用承担方式：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388"/>
        <w:spacing w:line="360" w:lineRule="auto"/>
        <w:rPr>
          <w:rFonts w:ascii="宋体" w:hAnsi="宋体"/>
          <w:b/>
          <w:sz w:val="21"/>
          <w:szCs w:val="21"/>
          <w:highlight w:val="none"/>
        </w:rPr>
      </w:pPr>
      <w:r/>
      <w:bookmarkStart w:id="740" w:name="_Toc351203649"/>
      <w:r>
        <w:rPr>
          <w:rFonts w:ascii="宋体" w:hAnsi="宋体"/>
          <w:b/>
          <w:sz w:val="21"/>
          <w:szCs w:val="21"/>
          <w:highlight w:val="none"/>
        </w:rPr>
        <w:t xml:space="preserve">17. </w:t>
      </w:r>
      <w:r>
        <w:rPr>
          <w:rFonts w:hint="eastAsia" w:ascii="宋体" w:hAnsi="宋体"/>
          <w:b/>
          <w:sz w:val="21"/>
          <w:szCs w:val="21"/>
          <w:highlight w:val="none"/>
        </w:rPr>
        <w:t xml:space="preserve">不可抗力</w:t>
      </w:r>
      <w:bookmarkEnd w:id="740"/>
      <w:r>
        <w:rPr>
          <w:rFonts w:ascii="宋体" w:hAnsi="宋体"/>
          <w:b/>
          <w:sz w:val="21"/>
          <w:szCs w:val="21"/>
          <w:highlight w:val="none"/>
        </w:rPr>
        <w:t xml:space="preserve"> </w:t>
      </w:r>
      <w:bookmarkEnd w:id="738"/>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17.1 </w:t>
      </w:r>
      <w:r>
        <w:rPr>
          <w:rFonts w:hint="eastAsia" w:ascii="宋体" w:hAnsi="宋体"/>
          <w:b/>
          <w:sz w:val="21"/>
          <w:szCs w:val="21"/>
          <w:highlight w:val="none"/>
        </w:rPr>
        <w:t xml:space="preserve">不可抗力的确认</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除通用合同条款约定的不可抗力事件之外，视为不可抗力的其他情形：</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17.2 </w:t>
      </w:r>
      <w:r>
        <w:rPr>
          <w:rFonts w:hint="eastAsia" w:ascii="宋体" w:hAnsi="宋体"/>
          <w:b/>
          <w:sz w:val="21"/>
          <w:szCs w:val="21"/>
          <w:highlight w:val="none"/>
        </w:rPr>
        <w:t xml:space="preserve">因不可抗力解除合同</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合同解除后，发包人应在商定或确定发包人应支付款项后</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天内完成款项的支付。</w:t>
      </w:r>
      <w:r/>
    </w:p>
    <w:p>
      <w:pPr>
        <w:pStyle w:val="1388"/>
        <w:spacing w:line="360" w:lineRule="auto"/>
        <w:rPr>
          <w:rFonts w:ascii="宋体" w:hAnsi="宋体"/>
          <w:b/>
          <w:sz w:val="21"/>
          <w:szCs w:val="21"/>
          <w:highlight w:val="none"/>
        </w:rPr>
      </w:pPr>
      <w:r/>
      <w:bookmarkStart w:id="741" w:name="_Toc351203650"/>
      <w:r>
        <w:rPr>
          <w:rFonts w:ascii="宋体" w:hAnsi="宋体"/>
          <w:b/>
          <w:sz w:val="21"/>
          <w:szCs w:val="21"/>
          <w:highlight w:val="none"/>
        </w:rPr>
        <w:t xml:space="preserve">18. </w:t>
      </w:r>
      <w:r>
        <w:rPr>
          <w:rFonts w:hint="eastAsia" w:ascii="宋体" w:hAnsi="宋体"/>
          <w:b/>
          <w:sz w:val="21"/>
          <w:szCs w:val="21"/>
          <w:highlight w:val="none"/>
        </w:rPr>
        <w:t xml:space="preserve">保险</w:t>
      </w:r>
      <w:bookmarkEnd w:id="739"/>
      <w:r/>
      <w:bookmarkEnd w:id="741"/>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18.1 </w:t>
      </w:r>
      <w:r>
        <w:rPr>
          <w:rFonts w:hint="eastAsia" w:ascii="宋体" w:hAnsi="宋体"/>
          <w:b/>
          <w:sz w:val="21"/>
          <w:szCs w:val="21"/>
          <w:highlight w:val="none"/>
        </w:rPr>
        <w:t xml:space="preserve">工程保险</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关于工程保险的特别约定：</w:t>
      </w:r>
      <w:r>
        <w:rPr>
          <w:rFonts w:hint="eastAsia" w:ascii="宋体" w:hAnsi="宋体"/>
          <w:sz w:val="21"/>
          <w:szCs w:val="21"/>
          <w:highlight w:val="none"/>
          <w:u w:val="single"/>
        </w:rPr>
        <w:t xml:space="preserve">承包人必须按国家或地方有关规定，对本工程施工作业人员办理意外伤害保险；第三方人身险并承担保险费用。</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承包人须按国家有关规定为从事危险作业的职工办理意外伤害保险、第三方人身险以及国家其他相关文件规定的必须要办理的保险。</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18.2 </w:t>
      </w:r>
      <w:r>
        <w:rPr>
          <w:rFonts w:hint="eastAsia" w:ascii="宋体" w:hAnsi="宋体"/>
          <w:b/>
          <w:sz w:val="21"/>
          <w:szCs w:val="21"/>
          <w:highlight w:val="none"/>
        </w:rPr>
        <w:t xml:space="preserve">其他保险</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关于其他保险的约定：</w:t>
      </w:r>
      <w:r>
        <w:rPr>
          <w:rFonts w:hint="eastAsia" w:ascii="宋体" w:hAnsi="宋体"/>
          <w:sz w:val="21"/>
          <w:szCs w:val="21"/>
          <w:highlight w:val="none"/>
          <w:u w:val="single"/>
        </w:rPr>
        <w:t xml:space="preserve">按通用条款执行</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承包人是否应为其施工设备等办理财产保险：</w:t>
      </w:r>
      <w:r>
        <w:rPr>
          <w:rFonts w:hint="eastAsia" w:ascii="宋体" w:hAnsi="宋体"/>
          <w:sz w:val="21"/>
          <w:szCs w:val="21"/>
          <w:highlight w:val="none"/>
          <w:u w:val="single"/>
        </w:rPr>
        <w:t xml:space="preserve">承担合同履行期间所有按规定投保的内容。承包人必须按规定为施工设备办理保险，并支付费用</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18.3 </w:t>
      </w:r>
      <w:r>
        <w:rPr>
          <w:rFonts w:hint="eastAsia" w:ascii="宋体" w:hAnsi="宋体"/>
          <w:b/>
          <w:sz w:val="21"/>
          <w:szCs w:val="21"/>
          <w:highlight w:val="none"/>
        </w:rPr>
        <w:t xml:space="preserve">通知义务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关于变更保险合同时的通知义务的约定：</w:t>
      </w:r>
      <w:r>
        <w:rPr>
          <w:rFonts w:hint="eastAsia" w:ascii="宋体" w:hAnsi="宋体"/>
          <w:sz w:val="21"/>
          <w:szCs w:val="21"/>
          <w:highlight w:val="none"/>
          <w:u w:val="single"/>
        </w:rPr>
        <w:t xml:space="preserve">发包人变更除工伤保险之外的保险合同时，应事先征得承包人同意，并通知监理人；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u w:val="single"/>
        </w:rPr>
        <w:t xml:space="preserve">双方住所地及其他联系方法发生变更的，应当及时通知对方。否则应当承担相应的法律后果。发包人向承包人发出的有关本合同履行的所有书面通知等文件既可直接或者邮寄送达，也可通过《宿迁日报》或者《宿迁晚报》刊登公告进行送达，报刊刊登公告的第三日即视为承包人接收。</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
    </w:p>
    <w:p>
      <w:pPr>
        <w:pStyle w:val="1388"/>
        <w:spacing w:line="360" w:lineRule="auto"/>
        <w:rPr>
          <w:rFonts w:ascii="宋体" w:hAnsi="宋体"/>
          <w:b/>
          <w:sz w:val="21"/>
          <w:szCs w:val="21"/>
          <w:highlight w:val="none"/>
        </w:rPr>
      </w:pPr>
      <w:r/>
      <w:bookmarkStart w:id="742" w:name="_Toc351203651"/>
      <w:r>
        <w:rPr>
          <w:rFonts w:ascii="宋体" w:hAnsi="宋体"/>
          <w:b/>
          <w:sz w:val="21"/>
          <w:szCs w:val="21"/>
          <w:highlight w:val="none"/>
        </w:rPr>
        <w:t xml:space="preserve">19. </w:t>
      </w:r>
      <w:r>
        <w:rPr>
          <w:rFonts w:hint="eastAsia" w:ascii="宋体" w:hAnsi="宋体"/>
          <w:b/>
          <w:sz w:val="21"/>
          <w:szCs w:val="21"/>
          <w:highlight w:val="none"/>
        </w:rPr>
        <w:t xml:space="preserve">争议解决</w:t>
      </w:r>
      <w:bookmarkEnd w:id="727"/>
      <w:r/>
      <w:bookmarkEnd w:id="728"/>
      <w:r/>
      <w:bookmarkEnd w:id="742"/>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19.1 </w:t>
      </w:r>
      <w:r>
        <w:rPr>
          <w:rFonts w:hint="eastAsia" w:ascii="宋体" w:hAnsi="宋体"/>
          <w:b/>
          <w:sz w:val="21"/>
          <w:szCs w:val="21"/>
          <w:highlight w:val="none"/>
        </w:rPr>
        <w:t xml:space="preserve">争</w:t>
      </w:r>
      <w:bookmarkEnd w:id="729"/>
      <w:r>
        <w:rPr>
          <w:rFonts w:hint="eastAsia" w:ascii="宋体" w:hAnsi="宋体"/>
          <w:b/>
          <w:sz w:val="21"/>
          <w:szCs w:val="21"/>
          <w:highlight w:val="none"/>
        </w:rPr>
        <w:t xml:space="preserve">议评审</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合同当事人是否同意将工程争议提交争议评审小组决定：</w:t>
      </w:r>
      <w:r>
        <w:rPr>
          <w:rFonts w:hint="eastAsia" w:ascii="宋体" w:hAnsi="宋体"/>
          <w:sz w:val="21"/>
          <w:szCs w:val="21"/>
          <w:highlight w:val="none"/>
          <w:u w:val="single"/>
        </w:rPr>
        <w:t xml:space="preserve">  </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rPr>
          <w:rFonts w:ascii="宋体" w:hAnsi="宋体"/>
          <w:sz w:val="21"/>
          <w:szCs w:val="21"/>
          <w:highlight w:val="none"/>
        </w:rPr>
        <w:t xml:space="preserve"> </w:t>
      </w:r>
      <w:r/>
    </w:p>
    <w:p>
      <w:pPr>
        <w:pStyle w:val="1389"/>
        <w:ind w:firstLine="420"/>
        <w:spacing w:line="360" w:lineRule="auto"/>
        <w:rPr>
          <w:rFonts w:ascii="宋体" w:hAnsi="宋体"/>
          <w:sz w:val="21"/>
          <w:szCs w:val="21"/>
          <w:highlight w:val="none"/>
        </w:rPr>
      </w:pPr>
      <w:r>
        <w:rPr>
          <w:rFonts w:ascii="宋体" w:hAnsi="宋体"/>
          <w:sz w:val="21"/>
          <w:szCs w:val="21"/>
          <w:highlight w:val="none"/>
        </w:rPr>
        <w:t xml:space="preserve">19.1.1 </w:t>
      </w:r>
      <w:r>
        <w:rPr>
          <w:rFonts w:hint="eastAsia" w:ascii="宋体" w:hAnsi="宋体"/>
          <w:sz w:val="21"/>
          <w:szCs w:val="21"/>
          <w:highlight w:val="none"/>
        </w:rPr>
        <w:t xml:space="preserve">争议评审小组的确定</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争议评审小组成员的确定：</w:t>
      </w:r>
      <w:r>
        <w:rPr>
          <w:rFonts w:hint="eastAsia" w:ascii="宋体" w:hAnsi="宋体"/>
          <w:sz w:val="21"/>
          <w:szCs w:val="21"/>
          <w:highlight w:val="none"/>
          <w:u w:val="single"/>
        </w:rPr>
        <w:t xml:space="preserve">  </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选定争议评审员的期限：</w:t>
      </w:r>
      <w:r>
        <w:rPr>
          <w:rFonts w:hint="eastAsia" w:ascii="宋体" w:hAnsi="宋体"/>
          <w:sz w:val="21"/>
          <w:szCs w:val="21"/>
          <w:highlight w:val="none"/>
          <w:u w:val="single"/>
        </w:rPr>
        <w:t xml:space="preserve">  </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争议评审小组成员的报酬承担方式：</w:t>
      </w:r>
      <w:r>
        <w:rPr>
          <w:rFonts w:hint="eastAsia" w:ascii="宋体" w:hAnsi="宋体"/>
          <w:sz w:val="21"/>
          <w:szCs w:val="21"/>
          <w:highlight w:val="none"/>
          <w:u w:val="single"/>
        </w:rPr>
        <w:t xml:space="preserve">  </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其他事项的约定：</w:t>
      </w:r>
      <w:r>
        <w:rPr>
          <w:rFonts w:hint="eastAsia" w:ascii="宋体" w:hAnsi="宋体"/>
          <w:sz w:val="21"/>
          <w:szCs w:val="21"/>
          <w:highlight w:val="none"/>
          <w:u w:val="single"/>
        </w:rPr>
        <w:t xml:space="preserve">  </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u w:val="single"/>
        </w:rPr>
      </w:pPr>
      <w:r>
        <w:rPr>
          <w:rFonts w:ascii="宋体" w:hAnsi="宋体"/>
          <w:sz w:val="21"/>
          <w:szCs w:val="21"/>
          <w:highlight w:val="none"/>
        </w:rPr>
        <w:t xml:space="preserve">19.1.2 </w:t>
      </w:r>
      <w:r>
        <w:rPr>
          <w:rFonts w:hint="eastAsia" w:ascii="宋体" w:hAnsi="宋体"/>
          <w:sz w:val="21"/>
          <w:szCs w:val="21"/>
          <w:highlight w:val="none"/>
        </w:rPr>
        <w:t xml:space="preserve">争议评审小组的决定</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合同当事人关于本项的约定：</w:t>
      </w:r>
      <w:r>
        <w:rPr>
          <w:rFonts w:hint="eastAsia" w:ascii="宋体" w:hAnsi="宋体"/>
          <w:sz w:val="21"/>
          <w:szCs w:val="21"/>
          <w:highlight w:val="none"/>
          <w:u w:val="single"/>
        </w:rPr>
        <w:t xml:space="preserve">  </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19.2</w:t>
      </w:r>
      <w:r>
        <w:rPr>
          <w:rFonts w:hint="eastAsia" w:ascii="宋体" w:hAnsi="宋体"/>
          <w:b/>
          <w:sz w:val="21"/>
          <w:szCs w:val="21"/>
          <w:highlight w:val="none"/>
        </w:rPr>
        <w:t xml:space="preserve">仲裁或诉讼</w:t>
      </w:r>
      <w:bookmarkEnd w:id="730"/>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因合同及合同有关事项发生的争议，按下列第</w:t>
      </w:r>
      <w:r>
        <w:rPr>
          <w:rFonts w:hint="eastAsia" w:ascii="宋体" w:hAnsi="宋体"/>
          <w:sz w:val="21"/>
          <w:szCs w:val="21"/>
          <w:highlight w:val="none"/>
          <w:u w:val="single"/>
        </w:rPr>
        <w:t xml:space="preserve"> （2）</w:t>
      </w:r>
      <w:r>
        <w:rPr>
          <w:rFonts w:ascii="宋体" w:hAnsi="宋体"/>
          <w:sz w:val="21"/>
          <w:szCs w:val="21"/>
          <w:highlight w:val="none"/>
          <w:u w:val="single"/>
        </w:rPr>
        <w:t xml:space="preserve"> </w:t>
      </w:r>
      <w:r>
        <w:rPr>
          <w:rFonts w:hint="eastAsia" w:ascii="宋体" w:hAnsi="宋体"/>
          <w:sz w:val="21"/>
          <w:szCs w:val="21"/>
          <w:highlight w:val="none"/>
        </w:rPr>
        <w:t xml:space="preserve">种方式解决：</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1）向宿迁仲裁委员会申请仲裁；</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）向</w:t>
      </w:r>
      <w:r>
        <w:rPr>
          <w:rFonts w:ascii="宋体" w:hAnsi="宋体"/>
          <w:sz w:val="21"/>
          <w:szCs w:val="21"/>
          <w:highlight w:val="none"/>
          <w:u w:val="single"/>
        </w:rPr>
        <w:t xml:space="preserve">  </w:t>
      </w:r>
      <w:r>
        <w:rPr>
          <w:rFonts w:hint="eastAsia" w:ascii="宋体" w:hAnsi="宋体"/>
          <w:sz w:val="21"/>
          <w:szCs w:val="21"/>
          <w:highlight w:val="none"/>
          <w:u w:val="single"/>
        </w:rPr>
        <w:t xml:space="preserve">工程所在地  </w:t>
      </w:r>
      <w:r>
        <w:rPr>
          <w:rFonts w:hint="eastAsia" w:ascii="宋体" w:hAnsi="宋体"/>
          <w:sz w:val="21"/>
          <w:szCs w:val="21"/>
          <w:highlight w:val="none"/>
        </w:rPr>
        <w:t xml:space="preserve">人民法院起诉。</w:t>
      </w:r>
      <w:bookmarkEnd w:id="731"/>
      <w:r/>
      <w:bookmarkEnd w:id="732"/>
      <w:r/>
      <w:bookmarkEnd w:id="733"/>
      <w:r/>
      <w:bookmarkEnd w:id="734"/>
      <w:r/>
      <w:bookmarkEnd w:id="735"/>
      <w:r/>
      <w:bookmarkEnd w:id="736"/>
      <w:r/>
      <w:r/>
    </w:p>
    <w:p>
      <w:pPr>
        <w:pStyle w:val="1388"/>
        <w:spacing w:line="360" w:lineRule="auto"/>
        <w:rPr>
          <w:rFonts w:ascii="宋体" w:hAnsi="宋体"/>
          <w:b/>
          <w:sz w:val="21"/>
          <w:szCs w:val="21"/>
          <w:highlight w:val="none"/>
        </w:rPr>
      </w:pPr>
      <w:r>
        <w:rPr>
          <w:rFonts w:ascii="宋体" w:hAnsi="宋体"/>
          <w:b/>
          <w:sz w:val="21"/>
          <w:szCs w:val="21"/>
          <w:highlight w:val="none"/>
        </w:rPr>
        <w:t xml:space="preserve">20</w:t>
      </w:r>
      <w:r>
        <w:rPr>
          <w:rFonts w:hint="eastAsia" w:ascii="宋体" w:hAnsi="宋体"/>
          <w:b/>
          <w:sz w:val="21"/>
          <w:szCs w:val="21"/>
          <w:highlight w:val="none"/>
        </w:rPr>
        <w:t xml:space="preserve">、补充条款</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20.1</w:t>
      </w:r>
      <w:r>
        <w:rPr>
          <w:rFonts w:hint="eastAsia" w:ascii="宋体" w:hAnsi="宋体"/>
          <w:b/>
          <w:sz w:val="21"/>
          <w:szCs w:val="21"/>
          <w:highlight w:val="none"/>
        </w:rPr>
        <w:t xml:space="preserve">串通投标行为合同管理实施细则：</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（一）承包人被举报或经核查发现其存在法律法规所列串通投标或弄虚作假情形的，发包人应书面告知承包人。</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（二）承包人应在接到发包人书面告知后</w:t>
      </w:r>
      <w:r>
        <w:rPr>
          <w:rFonts w:ascii="宋体" w:hAnsi="宋体"/>
          <w:sz w:val="21"/>
          <w:szCs w:val="21"/>
          <w:highlight w:val="none"/>
        </w:rPr>
        <w:t xml:space="preserve">7 </w:t>
      </w:r>
      <w:r>
        <w:rPr>
          <w:rFonts w:hint="eastAsia" w:ascii="宋体" w:hAnsi="宋体"/>
          <w:sz w:val="21"/>
          <w:szCs w:val="21"/>
          <w:highlight w:val="none"/>
        </w:rPr>
        <w:t xml:space="preserve">日内，向发包人提供相关举证材料。如承包人未能在规定时间内举证或其举证材料不足以排除其存在串通投标和弄虚作假行为的，均视同承包人存在违约</w:t>
      </w:r>
      <w:r>
        <w:rPr>
          <w:rFonts w:hint="eastAsia" w:ascii="宋体" w:hAnsi="宋体" w:cs="宋体"/>
          <w:sz w:val="21"/>
          <w:szCs w:val="21"/>
          <w:highlight w:val="none"/>
        </w:rPr>
        <w:t xml:space="preserve">责</w:t>
      </w:r>
      <w:r>
        <w:rPr>
          <w:rFonts w:hint="eastAsia" w:ascii="宋体" w:hAnsi="宋体" w:cs="仿宋_GB2312"/>
          <w:sz w:val="21"/>
          <w:szCs w:val="21"/>
          <w:highlight w:val="none"/>
        </w:rPr>
        <w:t xml:space="preserve">任，承包人应向发包人支付不低于合同金额</w:t>
      </w:r>
      <w:r>
        <w:rPr>
          <w:rFonts w:ascii="宋体" w:hAnsi="宋体"/>
          <w:sz w:val="21"/>
          <w:szCs w:val="21"/>
          <w:highlight w:val="none"/>
          <w:u w:val="single"/>
        </w:rPr>
        <w:t xml:space="preserve"> </w:t>
      </w:r>
      <w:r>
        <w:rPr>
          <w:rFonts w:hint="eastAsia" w:ascii="宋体" w:hAnsi="宋体"/>
          <w:sz w:val="21"/>
          <w:szCs w:val="21"/>
          <w:highlight w:val="none"/>
          <w:u w:val="single"/>
        </w:rPr>
        <w:t xml:space="preserve">2</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的违约金。</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（三）承包人存在串通投标或弄虚作假行为，被行政监管部门查处并依法作出行政处罚的，不影响本合同违约责任履行，承包人仍须按合同约定向发包人支付违约金。</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（五）实行承包人项目管理机构主要成员现场签到考勤制度。项目管理机构主要成员每月出勤率不低于</w:t>
      </w:r>
      <w:r>
        <w:rPr>
          <w:rFonts w:ascii="宋体" w:hAnsi="宋体"/>
          <w:sz w:val="21"/>
          <w:szCs w:val="21"/>
          <w:highlight w:val="none"/>
        </w:rPr>
        <w:t xml:space="preserve">80%</w:t>
      </w:r>
      <w:r>
        <w:rPr>
          <w:rFonts w:hint="eastAsia" w:ascii="宋体" w:hAnsi="宋体"/>
          <w:sz w:val="21"/>
          <w:szCs w:val="21"/>
          <w:highlight w:val="none"/>
        </w:rPr>
        <w:t xml:space="preserve">，否则，应向发包人支付不少于合同金额</w:t>
      </w:r>
      <w:r>
        <w:rPr>
          <w:rFonts w:ascii="宋体" w:hAnsi="宋体"/>
          <w:sz w:val="21"/>
          <w:szCs w:val="21"/>
          <w:highlight w:val="none"/>
          <w:u w:val="single"/>
        </w:rPr>
        <w:t xml:space="preserve"> </w:t>
      </w:r>
      <w:r>
        <w:rPr>
          <w:rFonts w:hint="eastAsia" w:ascii="宋体" w:hAnsi="宋体"/>
          <w:sz w:val="21"/>
          <w:szCs w:val="21"/>
          <w:highlight w:val="none"/>
          <w:u w:val="single"/>
        </w:rPr>
        <w:t xml:space="preserve">2</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的违约金。</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20.2</w:t>
      </w:r>
      <w:r>
        <w:rPr>
          <w:rFonts w:hint="eastAsia" w:ascii="宋体" w:hAnsi="宋体"/>
          <w:b/>
          <w:sz w:val="21"/>
          <w:szCs w:val="21"/>
          <w:highlight w:val="none"/>
        </w:rPr>
        <w:t xml:space="preserve">拖欠农民工工资问题合同管理实施细则，主要内容包括：</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（一）施工企业（包括施工总承包企业和分包企业，下同）按照《江苏省工程建设领域农民工工资支付管理办法》规定的标准交纳农民工工资保证金。</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（二）施工企业应在工程项目所在地银行开设农民工工资专用账户，专项用于支付农民工工资。</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（三）施工企业保证不克扣和拖欠工资，不以发包人拖欠工程款为由拖欠农民工工资。</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（四）实行人工费用与其他工程款分账管理制度，推动农民工工资与工程材料款等相分离，建设方（发包人）须按时足额按合同约定向农民工工资专用账户存入工资款项，用于支付农民工工资。</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（五）施工方（承包人）应主动将农民工工资发放情况表报建设方（发包人）审定。建设方（发包人）应对施工方（承包人）实际支付农民工工资情况进行审查。</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（六）施工方（承包人）未按上述（一）（二）（三）款规定履行合同义务的，应承担合同违约责任，并向建设方（发包人）支付实际拖欠农民工工资总额</w:t>
      </w:r>
      <w:r>
        <w:rPr>
          <w:rFonts w:ascii="宋体" w:hAnsi="宋体"/>
          <w:sz w:val="21"/>
          <w:szCs w:val="21"/>
          <w:highlight w:val="none"/>
        </w:rPr>
        <w:t xml:space="preserve"> 2</w:t>
      </w:r>
      <w:r>
        <w:rPr>
          <w:rFonts w:hint="eastAsia" w:ascii="宋体" w:hAnsi="宋体"/>
          <w:sz w:val="21"/>
          <w:szCs w:val="21"/>
          <w:highlight w:val="none"/>
        </w:rPr>
        <w:t xml:space="preserve">倍的违约金。建设方（发包人）未按上述（四）款规定履行合同义务的，应承担合同违约责任，并向施工方（承包人）支付实际拖欠农民工工资总额</w:t>
      </w:r>
      <w:r>
        <w:rPr>
          <w:rFonts w:ascii="宋体" w:hAnsi="宋体"/>
          <w:sz w:val="21"/>
          <w:szCs w:val="21"/>
          <w:highlight w:val="none"/>
        </w:rPr>
        <w:t xml:space="preserve"> 2</w:t>
      </w:r>
      <w:r>
        <w:rPr>
          <w:rFonts w:hint="eastAsia" w:ascii="宋体" w:hAnsi="宋体"/>
          <w:sz w:val="21"/>
          <w:szCs w:val="21"/>
          <w:highlight w:val="none"/>
        </w:rPr>
        <w:t xml:space="preserve">倍的违约金。</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20.3</w:t>
      </w:r>
      <w:r>
        <w:rPr>
          <w:rFonts w:hint="eastAsia" w:ascii="宋体" w:hAnsi="宋体"/>
          <w:b/>
          <w:sz w:val="21"/>
          <w:szCs w:val="21"/>
          <w:highlight w:val="none"/>
        </w:rPr>
        <w:t xml:space="preserve">转包违法分包行为合同管理实施细则：</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（二）转包、违法分包违约贵任。承包人不得将承包工程进行转包或违法分包。经核查，发现承包人存在法律法规及《建筑工程施工转包违法分包等违法行为认定查处管理办法（试行）》（建市〔</w:t>
      </w:r>
      <w:r>
        <w:rPr>
          <w:rFonts w:ascii="宋体" w:hAnsi="宋体"/>
          <w:sz w:val="21"/>
          <w:szCs w:val="21"/>
          <w:highlight w:val="none"/>
        </w:rPr>
        <w:t xml:space="preserve">2014</w:t>
      </w:r>
      <w:r>
        <w:rPr>
          <w:rFonts w:hint="eastAsia" w:ascii="宋体" w:hAnsi="宋体"/>
          <w:sz w:val="21"/>
          <w:szCs w:val="21"/>
          <w:highlight w:val="none"/>
        </w:rPr>
        <w:t xml:space="preserve">〕</w:t>
      </w:r>
      <w:r>
        <w:rPr>
          <w:rFonts w:ascii="宋体" w:hAnsi="宋体"/>
          <w:sz w:val="21"/>
          <w:szCs w:val="21"/>
          <w:highlight w:val="none"/>
        </w:rPr>
        <w:t xml:space="preserve">118</w:t>
      </w:r>
      <w:r>
        <w:rPr>
          <w:rFonts w:hint="eastAsia" w:ascii="宋体" w:hAnsi="宋体"/>
          <w:sz w:val="21"/>
          <w:szCs w:val="21"/>
          <w:highlight w:val="none"/>
        </w:rPr>
        <w:t xml:space="preserve">号）第七条、第九条规定的转包、违法分包情形的，发包人应书面告知承包人。承包人应在接到书面告知后</w:t>
      </w:r>
      <w:r>
        <w:rPr>
          <w:rFonts w:ascii="宋体" w:hAnsi="宋体"/>
          <w:sz w:val="21"/>
          <w:szCs w:val="21"/>
          <w:highlight w:val="none"/>
        </w:rPr>
        <w:t xml:space="preserve">7</w:t>
      </w:r>
      <w:r>
        <w:rPr>
          <w:rFonts w:hint="eastAsia" w:ascii="宋体" w:hAnsi="宋体"/>
          <w:sz w:val="21"/>
          <w:szCs w:val="21"/>
          <w:highlight w:val="none"/>
        </w:rPr>
        <w:t xml:space="preserve">日内，向发包人提供相关证明材料。承包人未能在规定时问内举证或其证明材料不足以排除承包人存在转包、违法分包行为的，视同承包人存在违约责任，承包人应向发包人支付不低于合同金额</w:t>
      </w:r>
      <w:r>
        <w:rPr>
          <w:rFonts w:ascii="宋体" w:hAnsi="宋体"/>
          <w:sz w:val="21"/>
          <w:szCs w:val="21"/>
          <w:highlight w:val="none"/>
        </w:rPr>
        <w:t xml:space="preserve"> 2%</w:t>
      </w:r>
      <w:r>
        <w:rPr>
          <w:rFonts w:hint="eastAsia" w:ascii="宋体" w:hAnsi="宋体"/>
          <w:sz w:val="21"/>
          <w:szCs w:val="21"/>
          <w:highlight w:val="none"/>
        </w:rPr>
        <w:t xml:space="preserve">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pStyle w:val="1388"/>
        <w:ind w:firstLine="422"/>
        <w:spacing w:line="360" w:lineRule="auto"/>
        <w:rPr>
          <w:rFonts w:ascii="宋体" w:hAnsi="宋体"/>
          <w:b/>
          <w:sz w:val="21"/>
          <w:szCs w:val="21"/>
          <w:highlight w:val="none"/>
        </w:rPr>
      </w:pPr>
      <w:r>
        <w:rPr>
          <w:rFonts w:ascii="宋体" w:hAnsi="宋体"/>
          <w:b/>
          <w:sz w:val="21"/>
          <w:szCs w:val="21"/>
          <w:highlight w:val="none"/>
        </w:rPr>
        <w:t xml:space="preserve">20.4</w:t>
      </w:r>
      <w:r>
        <w:rPr>
          <w:rFonts w:hint="eastAsia" w:ascii="宋体" w:hAnsi="宋体"/>
          <w:b/>
          <w:sz w:val="21"/>
          <w:szCs w:val="21"/>
          <w:highlight w:val="none"/>
        </w:rPr>
        <w:t xml:space="preserve">环境污染行为合同管理实施细则，主要包括以下内容：</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（一）项目开工前，施工方（承包人）主动履行污染物排放申报制度，积极完善各项申报手续。</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（二）禁止违法夜间施工，杜绝噪声扰民现象发生。</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（三）施工、作业现场采取隔离洒水、围挡、场地硬化、料场遮盖等措施，防止扬尘污染。</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（四）商品混凝土、建筑物料、垃圾、渣土运输车辆密闭、进出施工现场进行冲洗，严防沿途抛洒、扬散。</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w:t>
      </w:r>
      <w:r>
        <w:rPr>
          <w:rFonts w:ascii="宋体" w:hAnsi="宋体"/>
          <w:sz w:val="21"/>
          <w:szCs w:val="21"/>
          <w:highlight w:val="none"/>
        </w:rPr>
        <w:t xml:space="preserve"> 1</w:t>
      </w:r>
      <w:r>
        <w:rPr>
          <w:rFonts w:hint="eastAsia" w:ascii="宋体" w:hAnsi="宋体"/>
          <w:sz w:val="21"/>
          <w:szCs w:val="21"/>
          <w:highlight w:val="none"/>
        </w:rPr>
        <w:t xml:space="preserve">万元至</w:t>
      </w:r>
      <w:r>
        <w:rPr>
          <w:rFonts w:ascii="宋体" w:hAnsi="宋体"/>
          <w:sz w:val="21"/>
          <w:szCs w:val="21"/>
          <w:highlight w:val="none"/>
        </w:rPr>
        <w:t xml:space="preserve">5</w:t>
      </w:r>
      <w:r>
        <w:rPr>
          <w:rFonts w:hint="eastAsia" w:ascii="宋体" w:hAnsi="宋体"/>
          <w:sz w:val="21"/>
          <w:szCs w:val="21"/>
          <w:highlight w:val="none"/>
        </w:rPr>
        <w:t xml:space="preserve">万元违约金。</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项目建筑物料供应、渣土运输等服务方在物料供应、运输服务过程中，违反本条规定情形，导致建筑物料、渣土等沿途抛洒、扬散的，每发生一次，应由施工方（承包人）向建设方（发包人）支付</w:t>
      </w:r>
      <w:r>
        <w:rPr>
          <w:rFonts w:ascii="宋体" w:hAnsi="宋体"/>
          <w:sz w:val="21"/>
          <w:szCs w:val="21"/>
          <w:highlight w:val="none"/>
        </w:rPr>
        <w:t xml:space="preserve"> 1</w:t>
      </w:r>
      <w:r>
        <w:rPr>
          <w:rFonts w:hint="eastAsia" w:ascii="宋体" w:hAnsi="宋体"/>
          <w:sz w:val="21"/>
          <w:szCs w:val="21"/>
          <w:highlight w:val="none"/>
        </w:rPr>
        <w:t xml:space="preserve">万元至</w:t>
      </w:r>
      <w:r>
        <w:rPr>
          <w:rFonts w:ascii="宋体" w:hAnsi="宋体"/>
          <w:sz w:val="21"/>
          <w:szCs w:val="21"/>
          <w:highlight w:val="none"/>
        </w:rPr>
        <w:t xml:space="preserve">5 </w:t>
      </w:r>
      <w:r>
        <w:rPr>
          <w:rFonts w:hint="eastAsia" w:ascii="宋体" w:hAnsi="宋体"/>
          <w:sz w:val="21"/>
          <w:szCs w:val="21"/>
          <w:highlight w:val="none"/>
        </w:rPr>
        <w:t xml:space="preserve">万元违约金。</w:t>
      </w:r>
      <w:r/>
    </w:p>
    <w:p>
      <w:pPr>
        <w:pStyle w:val="1388"/>
        <w:spacing w:line="360" w:lineRule="exact"/>
        <w:rPr>
          <w:rFonts w:ascii="宋体" w:hAnsi="宋体"/>
          <w:sz w:val="18"/>
          <w:szCs w:val="21"/>
          <w:highlight w:val="none"/>
        </w:rPr>
      </w:pPr>
      <w:r>
        <w:rPr>
          <w:rFonts w:ascii="宋体" w:hAnsi="宋体"/>
          <w:sz w:val="18"/>
          <w:szCs w:val="21"/>
          <w:highlight w:val="none"/>
        </w:rPr>
      </w:r>
      <w:r/>
    </w:p>
    <w:p>
      <w:pPr>
        <w:pStyle w:val="1388"/>
        <w:jc w:val="left"/>
        <w:spacing w:line="360" w:lineRule="exact"/>
        <w:rPr>
          <w:rFonts w:ascii="宋体" w:hAnsi="宋体"/>
          <w:b/>
          <w:sz w:val="21"/>
          <w:szCs w:val="24"/>
          <w:highlight w:val="none"/>
        </w:rPr>
      </w:pPr>
      <w:r/>
      <w:bookmarkStart w:id="743" w:name="_Toc351203652"/>
      <w:r>
        <w:rPr>
          <w:rFonts w:hint="eastAsia" w:ascii="宋体" w:hAnsi="宋体"/>
          <w:b/>
          <w:sz w:val="21"/>
          <w:szCs w:val="24"/>
          <w:highlight w:val="none"/>
        </w:rPr>
        <w:t xml:space="preserve">附件</w:t>
      </w:r>
      <w:bookmarkEnd w:id="743"/>
      <w:r/>
      <w:r/>
    </w:p>
    <w:p>
      <w:pPr>
        <w:pStyle w:val="1388"/>
        <w:jc w:val="left"/>
        <w:spacing w:line="360" w:lineRule="exact"/>
        <w:rPr>
          <w:rFonts w:ascii="宋体" w:hAnsi="宋体"/>
          <w:sz w:val="21"/>
          <w:szCs w:val="24"/>
          <w:highlight w:val="none"/>
        </w:rPr>
      </w:pPr>
      <w:r>
        <w:rPr>
          <w:rFonts w:hint="eastAsia" w:ascii="宋体" w:hAnsi="宋体"/>
          <w:sz w:val="21"/>
          <w:szCs w:val="24"/>
          <w:highlight w:val="none"/>
        </w:rPr>
        <w:t xml:space="preserve">协议书附件：</w:t>
      </w:r>
      <w:r/>
    </w:p>
    <w:p>
      <w:pPr>
        <w:pStyle w:val="1388"/>
        <w:jc w:val="left"/>
        <w:spacing w:line="360" w:lineRule="exact"/>
        <w:rPr>
          <w:rFonts w:ascii="宋体" w:hAnsi="宋体"/>
          <w:sz w:val="21"/>
          <w:szCs w:val="24"/>
          <w:highlight w:val="none"/>
        </w:rPr>
      </w:pPr>
      <w:r>
        <w:rPr>
          <w:rFonts w:hint="eastAsia" w:ascii="宋体" w:hAnsi="宋体"/>
          <w:sz w:val="21"/>
          <w:szCs w:val="24"/>
          <w:highlight w:val="none"/>
        </w:rPr>
        <w:t xml:space="preserve">附件</w:t>
      </w:r>
      <w:r>
        <w:rPr>
          <w:rFonts w:ascii="宋体" w:hAnsi="宋体"/>
          <w:sz w:val="21"/>
          <w:szCs w:val="24"/>
          <w:highlight w:val="none"/>
        </w:rPr>
        <w:t xml:space="preserve">1</w:t>
      </w:r>
      <w:r>
        <w:rPr>
          <w:rFonts w:hint="eastAsia" w:ascii="宋体" w:hAnsi="宋体"/>
          <w:sz w:val="21"/>
          <w:szCs w:val="24"/>
          <w:highlight w:val="none"/>
        </w:rPr>
        <w:t xml:space="preserve">：承包人承揽工程项目一览表</w:t>
      </w:r>
      <w:r/>
    </w:p>
    <w:p>
      <w:pPr>
        <w:pStyle w:val="1388"/>
        <w:jc w:val="left"/>
        <w:spacing w:line="360" w:lineRule="exact"/>
        <w:rPr>
          <w:rFonts w:ascii="宋体" w:hAnsi="宋体"/>
          <w:sz w:val="21"/>
          <w:szCs w:val="24"/>
          <w:highlight w:val="none"/>
        </w:rPr>
      </w:pPr>
      <w:r>
        <w:rPr>
          <w:rFonts w:hint="eastAsia" w:ascii="宋体" w:hAnsi="宋体"/>
          <w:sz w:val="21"/>
          <w:szCs w:val="24"/>
          <w:highlight w:val="none"/>
        </w:rPr>
        <w:t xml:space="preserve">专用合同条款附件：</w:t>
      </w:r>
      <w:r/>
    </w:p>
    <w:p>
      <w:pPr>
        <w:pStyle w:val="1388"/>
        <w:jc w:val="left"/>
        <w:spacing w:line="360" w:lineRule="exact"/>
        <w:rPr>
          <w:rFonts w:ascii="宋体" w:hAnsi="宋体"/>
          <w:sz w:val="21"/>
          <w:szCs w:val="24"/>
          <w:highlight w:val="none"/>
        </w:rPr>
      </w:pPr>
      <w:r>
        <w:rPr>
          <w:rFonts w:hint="eastAsia" w:ascii="宋体" w:hAnsi="宋体"/>
          <w:sz w:val="21"/>
          <w:szCs w:val="24"/>
          <w:highlight w:val="none"/>
        </w:rPr>
        <w:t xml:space="preserve">附件</w:t>
      </w:r>
      <w:r>
        <w:rPr>
          <w:rFonts w:ascii="宋体" w:hAnsi="宋体"/>
          <w:sz w:val="21"/>
          <w:szCs w:val="24"/>
          <w:highlight w:val="none"/>
        </w:rPr>
        <w:t xml:space="preserve">2</w:t>
      </w:r>
      <w:r>
        <w:rPr>
          <w:rFonts w:hint="eastAsia" w:ascii="宋体" w:hAnsi="宋体"/>
          <w:sz w:val="21"/>
          <w:szCs w:val="24"/>
          <w:highlight w:val="none"/>
        </w:rPr>
        <w:t xml:space="preserve">：发包人供应材料设备一览表</w:t>
      </w:r>
      <w:r/>
    </w:p>
    <w:p>
      <w:pPr>
        <w:pStyle w:val="1388"/>
        <w:jc w:val="left"/>
        <w:spacing w:line="360" w:lineRule="exact"/>
        <w:rPr>
          <w:rFonts w:ascii="宋体" w:hAnsi="宋体"/>
          <w:sz w:val="21"/>
          <w:szCs w:val="24"/>
          <w:highlight w:val="none"/>
        </w:rPr>
      </w:pPr>
      <w:r>
        <w:rPr>
          <w:rFonts w:hint="eastAsia" w:ascii="宋体" w:hAnsi="宋体"/>
          <w:sz w:val="21"/>
          <w:szCs w:val="24"/>
          <w:highlight w:val="none"/>
        </w:rPr>
        <w:t xml:space="preserve">附件</w:t>
      </w:r>
      <w:r>
        <w:rPr>
          <w:rFonts w:ascii="宋体" w:hAnsi="宋体"/>
          <w:sz w:val="21"/>
          <w:szCs w:val="24"/>
          <w:highlight w:val="none"/>
        </w:rPr>
        <w:t xml:space="preserve">3</w:t>
      </w:r>
      <w:r>
        <w:rPr>
          <w:rFonts w:hint="eastAsia" w:ascii="宋体" w:hAnsi="宋体"/>
          <w:sz w:val="21"/>
          <w:szCs w:val="24"/>
          <w:highlight w:val="none"/>
        </w:rPr>
        <w:t xml:space="preserve">：工程质量保修书</w:t>
      </w:r>
      <w:r>
        <w:rPr>
          <w:rFonts w:ascii="宋体" w:hAnsi="宋体"/>
          <w:sz w:val="21"/>
          <w:szCs w:val="24"/>
          <w:highlight w:val="none"/>
        </w:rPr>
      </w:r>
      <w:r/>
    </w:p>
    <w:p>
      <w:pPr>
        <w:pStyle w:val="1388"/>
        <w:jc w:val="left"/>
        <w:spacing w:line="360" w:lineRule="exact"/>
        <w:rPr>
          <w:rFonts w:ascii="宋体" w:hAnsi="宋体"/>
          <w:sz w:val="21"/>
          <w:szCs w:val="24"/>
          <w:highlight w:val="none"/>
        </w:rPr>
      </w:pPr>
      <w:r>
        <w:rPr>
          <w:rFonts w:ascii="宋体" w:hAnsi="宋体"/>
          <w:sz w:val="21"/>
          <w:szCs w:val="24"/>
          <w:highlight w:val="none"/>
        </w:rPr>
      </w:r>
      <w:r/>
    </w:p>
    <w:p>
      <w:pPr>
        <w:pStyle w:val="1388"/>
        <w:jc w:val="left"/>
        <w:spacing w:line="360" w:lineRule="exact"/>
        <w:rPr>
          <w:rFonts w:ascii="宋体" w:hAnsi="宋体"/>
          <w:sz w:val="21"/>
          <w:szCs w:val="24"/>
          <w:highlight w:val="none"/>
        </w:rPr>
      </w:pPr>
      <w:r>
        <w:rPr>
          <w:rFonts w:hint="eastAsia" w:ascii="宋体" w:hAnsi="宋体"/>
          <w:sz w:val="21"/>
          <w:szCs w:val="24"/>
          <w:highlight w:val="none"/>
        </w:rPr>
        <w:t xml:space="preserve">附件</w:t>
      </w:r>
      <w:r>
        <w:rPr>
          <w:rFonts w:ascii="宋体" w:hAnsi="宋体"/>
          <w:sz w:val="21"/>
          <w:szCs w:val="24"/>
          <w:highlight w:val="none"/>
        </w:rPr>
        <w:t xml:space="preserve">1</w:t>
      </w:r>
      <w:r>
        <w:rPr>
          <w:rFonts w:hint="eastAsia" w:ascii="宋体" w:hAnsi="宋体"/>
          <w:sz w:val="21"/>
          <w:szCs w:val="24"/>
          <w:highlight w:val="none"/>
        </w:rPr>
        <w:t xml:space="preserve">：</w:t>
      </w:r>
      <w:r/>
    </w:p>
    <w:p>
      <w:pPr>
        <w:pStyle w:val="1388"/>
        <w:jc w:val="center"/>
        <w:spacing w:line="360" w:lineRule="exact"/>
        <w:rPr>
          <w:rFonts w:ascii="宋体" w:hAnsi="宋体"/>
          <w:sz w:val="21"/>
          <w:szCs w:val="24"/>
          <w:highlight w:val="none"/>
        </w:rPr>
      </w:pPr>
      <w:r>
        <w:rPr>
          <w:rFonts w:hint="eastAsia" w:ascii="宋体" w:hAnsi="宋体"/>
          <w:sz w:val="21"/>
          <w:szCs w:val="24"/>
          <w:highlight w:val="none"/>
        </w:rPr>
        <w:t xml:space="preserve">承包人承揽工程项目一览表</w:t>
      </w:r>
      <w:r/>
    </w:p>
    <w:tbl>
      <w:tblPr>
        <w:tblStyle w:val="682"/>
        <w:tblW w:w="910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851"/>
        <w:gridCol w:w="1134"/>
        <w:gridCol w:w="709"/>
        <w:gridCol w:w="850"/>
        <w:gridCol w:w="736"/>
        <w:gridCol w:w="851"/>
        <w:gridCol w:w="992"/>
        <w:gridCol w:w="992"/>
        <w:gridCol w:w="992"/>
      </w:tblGrid>
      <w:tr>
        <w:trPr/>
        <w:tc>
          <w:tcPr>
            <w:tcBorders>
              <w:top w:val="single" w:color="auto" w:sz="12" w:space="0"/>
              <w:left w:val="single" w:color="auto" w:sz="12" w:space="0"/>
              <w:bottom w:val="single" w:color="auto" w:sz="6" w:space="0"/>
              <w:right w:val="single" w:color="auto" w:sz="6" w:space="0"/>
            </w:tcBorders>
            <w:tcW w:w="993"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单位工程名称</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建设规模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建筑面积</w:t>
            </w:r>
            <w:r>
              <w:rPr>
                <w:rFonts w:ascii="宋体" w:hAnsi="宋体"/>
                <w:sz w:val="21"/>
                <w:szCs w:val="21"/>
                <w:highlight w:val="none"/>
              </w:rPr>
              <w:t xml:space="preserve">(</w:t>
            </w:r>
            <w:r>
              <w:rPr>
                <w:rFonts w:hint="eastAsia" w:ascii="宋体" w:hAnsi="宋体"/>
                <w:sz w:val="21"/>
                <w:szCs w:val="21"/>
                <w:highlight w:val="none"/>
              </w:rPr>
              <w:t xml:space="preserve">平方米</w:t>
            </w:r>
            <w:r>
              <w:rPr>
                <w:rFonts w:ascii="宋体" w:hAnsi="宋体"/>
                <w:sz w:val="21"/>
                <w:szCs w:val="21"/>
                <w:highlight w:val="none"/>
              </w:rPr>
              <w:t xml:space="preserve">)</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结构形式</w:t>
            </w:r>
            <w:r/>
          </w:p>
        </w:tc>
        <w:tc>
          <w:tcPr>
            <w:tcBorders>
              <w:top w:val="single" w:color="auto" w:sz="12" w:space="0"/>
              <w:left w:val="single" w:color="auto" w:sz="6" w:space="0"/>
              <w:bottom w:val="single" w:color="auto" w:sz="6" w:space="0"/>
              <w:right w:val="single" w:color="auto" w:sz="6" w:space="0"/>
            </w:tcBorders>
            <w:tcW w:w="850"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层数</w:t>
            </w:r>
            <w:r/>
          </w:p>
        </w:tc>
        <w:tc>
          <w:tcPr>
            <w:tcBorders>
              <w:top w:val="single" w:color="auto" w:sz="12" w:space="0"/>
              <w:left w:val="single" w:color="auto" w:sz="6" w:space="0"/>
              <w:bottom w:val="single" w:color="auto" w:sz="6" w:space="0"/>
              <w:right w:val="single" w:color="auto" w:sz="6" w:space="0"/>
            </w:tcBorders>
            <w:tcW w:w="736"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生产能力</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设备安装内容</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合同价格（元）</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开工日期</w:t>
            </w:r>
            <w:r/>
          </w:p>
        </w:tc>
        <w:tc>
          <w:tcPr>
            <w:tcBorders>
              <w:top w:val="single" w:color="auto" w:sz="12" w:space="0"/>
              <w:left w:val="single" w:color="auto" w:sz="6" w:space="0"/>
              <w:bottom w:val="single" w:color="auto" w:sz="6" w:space="0"/>
              <w:right w:val="single" w:color="auto" w:sz="12" w:space="0"/>
            </w:tcBorders>
            <w:tcW w:w="992"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竣工日期</w:t>
            </w:r>
            <w:r/>
          </w:p>
        </w:tc>
      </w:tr>
      <w:tr>
        <w:trPr>
          <w:trHeight w:val="567"/>
        </w:trPr>
        <w:tc>
          <w:tcPr>
            <w:tcBorders>
              <w:top w:val="single" w:color="auto" w:sz="6" w:space="0"/>
              <w:left w:val="single" w:color="auto" w:sz="12" w:space="0"/>
              <w:bottom w:val="single" w:color="auto" w:sz="6"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12" w:space="0"/>
              <w:right w:val="single" w:color="auto" w:sz="6" w:space="0"/>
            </w:tcBorders>
            <w:tcW w:w="993"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736"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12"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bl>
    <w:p>
      <w:pPr>
        <w:pStyle w:val="1388"/>
        <w:jc w:val="left"/>
        <w:spacing w:line="360" w:lineRule="exact"/>
        <w:rPr>
          <w:rFonts w:ascii="宋体" w:hAnsi="宋体"/>
          <w:sz w:val="21"/>
          <w:szCs w:val="24"/>
          <w:highlight w:val="none"/>
        </w:rPr>
      </w:pPr>
      <w:r>
        <w:rPr>
          <w:rFonts w:ascii="宋体" w:hAnsi="宋体"/>
          <w:sz w:val="21"/>
          <w:szCs w:val="24"/>
          <w:highlight w:val="none"/>
        </w:rPr>
      </w:r>
      <w:r/>
    </w:p>
    <w:p>
      <w:pPr>
        <w:pStyle w:val="1388"/>
        <w:jc w:val="left"/>
        <w:spacing w:line="360" w:lineRule="exact"/>
        <w:rPr>
          <w:rFonts w:ascii="宋体" w:hAnsi="宋体"/>
          <w:sz w:val="21"/>
          <w:szCs w:val="24"/>
          <w:highlight w:val="none"/>
        </w:rPr>
      </w:pPr>
      <w:r>
        <w:rPr>
          <w:rFonts w:ascii="宋体" w:hAnsi="宋体"/>
          <w:sz w:val="21"/>
          <w:szCs w:val="24"/>
          <w:highlight w:val="none"/>
        </w:rPr>
      </w:r>
      <w:r/>
    </w:p>
    <w:p>
      <w:pPr>
        <w:pStyle w:val="1388"/>
        <w:jc w:val="left"/>
        <w:spacing w:line="360" w:lineRule="exact"/>
        <w:rPr>
          <w:rFonts w:ascii="宋体" w:hAnsi="宋体"/>
          <w:sz w:val="21"/>
          <w:szCs w:val="24"/>
          <w:highlight w:val="none"/>
        </w:rPr>
      </w:pPr>
      <w:r>
        <w:rPr>
          <w:rFonts w:hint="eastAsia" w:ascii="宋体" w:hAnsi="宋体"/>
          <w:sz w:val="21"/>
          <w:szCs w:val="24"/>
          <w:highlight w:val="none"/>
        </w:rPr>
        <w:t xml:space="preserve">附</w:t>
      </w:r>
      <w:bookmarkStart w:id="744" w:name="_Toc296503225"/>
      <w:r/>
      <w:bookmarkStart w:id="745" w:name="_Toc296346726"/>
      <w:r/>
      <w:bookmarkStart w:id="746" w:name="_Toc296944564"/>
      <w:r/>
      <w:bookmarkStart w:id="747" w:name="_Toc296891265"/>
      <w:r/>
      <w:bookmarkStart w:id="748" w:name="_Toc296347224"/>
      <w:r/>
      <w:bookmarkStart w:id="749" w:name="_Toc296891053"/>
      <w:r/>
      <w:bookmarkStart w:id="750" w:name="_Toc267261692"/>
      <w:r>
        <w:rPr>
          <w:rFonts w:hint="eastAsia" w:ascii="宋体" w:hAnsi="宋体"/>
          <w:sz w:val="21"/>
          <w:szCs w:val="24"/>
          <w:highlight w:val="none"/>
        </w:rPr>
        <w:t xml:space="preserve">件</w:t>
      </w:r>
      <w:r>
        <w:rPr>
          <w:rFonts w:ascii="宋体" w:hAnsi="宋体"/>
          <w:sz w:val="21"/>
          <w:szCs w:val="24"/>
          <w:highlight w:val="none"/>
        </w:rPr>
        <w:t xml:space="preserve">2</w:t>
      </w:r>
      <w:r>
        <w:rPr>
          <w:rFonts w:hint="eastAsia" w:ascii="宋体" w:hAnsi="宋体"/>
          <w:sz w:val="21"/>
          <w:szCs w:val="24"/>
          <w:highlight w:val="none"/>
        </w:rPr>
        <w:t xml:space="preserve">：</w:t>
      </w:r>
      <w:bookmarkEnd w:id="744"/>
      <w:r/>
      <w:bookmarkEnd w:id="745"/>
      <w:r/>
      <w:bookmarkEnd w:id="746"/>
      <w:r/>
      <w:bookmarkEnd w:id="747"/>
      <w:r/>
      <w:bookmarkEnd w:id="748"/>
      <w:r/>
      <w:bookmarkEnd w:id="749"/>
      <w:r/>
      <w:bookmarkEnd w:id="750"/>
      <w:r/>
      <w:r/>
    </w:p>
    <w:p>
      <w:pPr>
        <w:pStyle w:val="1388"/>
        <w:jc w:val="center"/>
        <w:spacing w:line="360" w:lineRule="exact"/>
        <w:rPr>
          <w:rFonts w:ascii="宋体" w:hAnsi="宋体"/>
          <w:sz w:val="21"/>
          <w:szCs w:val="24"/>
          <w:highlight w:val="none"/>
        </w:rPr>
      </w:pPr>
      <w:r>
        <w:rPr>
          <w:rFonts w:hint="eastAsia" w:ascii="宋体" w:hAnsi="宋体"/>
          <w:sz w:val="21"/>
          <w:szCs w:val="24"/>
          <w:highlight w:val="none"/>
        </w:rPr>
        <w:t xml:space="preserve">发包人供应材料设备一览表</w:t>
      </w:r>
      <w:r/>
    </w:p>
    <w:tbl>
      <w:tblPr>
        <w:tblStyle w:val="682"/>
        <w:tblW w:w="910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4"/>
        <w:gridCol w:w="1079"/>
        <w:gridCol w:w="1198"/>
        <w:gridCol w:w="798"/>
        <w:gridCol w:w="724"/>
        <w:gridCol w:w="885"/>
        <w:gridCol w:w="842"/>
        <w:gridCol w:w="1008"/>
        <w:gridCol w:w="992"/>
        <w:gridCol w:w="850"/>
      </w:tblGrid>
      <w:tr>
        <w:trPr/>
        <w:tc>
          <w:tcPr>
            <w:tcBorders>
              <w:top w:val="single" w:color="auto" w:sz="12" w:space="0"/>
              <w:left w:val="single" w:color="auto" w:sz="12" w:space="0"/>
              <w:bottom w:val="single" w:color="auto" w:sz="6" w:space="0"/>
              <w:right w:val="single" w:color="auto" w:sz="6" w:space="0"/>
            </w:tcBorders>
            <w:tcW w:w="724"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12" w:space="0"/>
              <w:left w:val="single" w:color="auto" w:sz="6" w:space="0"/>
              <w:bottom w:val="single" w:color="auto" w:sz="6" w:space="0"/>
              <w:right w:val="single" w:color="auto" w:sz="6" w:space="0"/>
            </w:tcBorders>
            <w:tcW w:w="1079"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材料、</w:t>
            </w:r>
            <w:r/>
          </w:p>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设备品种</w:t>
            </w:r>
            <w:r/>
          </w:p>
        </w:tc>
        <w:tc>
          <w:tcPr>
            <w:tcBorders>
              <w:top w:val="single" w:color="auto" w:sz="12" w:space="0"/>
              <w:left w:val="single" w:color="auto" w:sz="6" w:space="0"/>
              <w:bottom w:val="single" w:color="auto" w:sz="6" w:space="0"/>
              <w:right w:val="single" w:color="auto" w:sz="6" w:space="0"/>
            </w:tcBorders>
            <w:tcW w:w="1198"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规格型号</w:t>
            </w:r>
            <w:r/>
          </w:p>
        </w:tc>
        <w:tc>
          <w:tcPr>
            <w:tcBorders>
              <w:top w:val="single" w:color="auto" w:sz="12" w:space="0"/>
              <w:left w:val="single" w:color="auto" w:sz="6" w:space="0"/>
              <w:bottom w:val="single" w:color="auto" w:sz="6" w:space="0"/>
              <w:right w:val="single" w:color="auto" w:sz="6" w:space="0"/>
            </w:tcBorders>
            <w:tcW w:w="798"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单位</w:t>
            </w:r>
            <w:r/>
          </w:p>
        </w:tc>
        <w:tc>
          <w:tcPr>
            <w:tcBorders>
              <w:top w:val="single" w:color="auto" w:sz="12" w:space="0"/>
              <w:left w:val="single" w:color="auto" w:sz="6" w:space="0"/>
              <w:bottom w:val="single" w:color="auto" w:sz="6" w:space="0"/>
              <w:right w:val="single" w:color="auto" w:sz="6" w:space="0"/>
            </w:tcBorders>
            <w:tcW w:w="724"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数量</w:t>
            </w:r>
            <w:r/>
          </w:p>
        </w:tc>
        <w:tc>
          <w:tcPr>
            <w:tcBorders>
              <w:top w:val="single" w:color="auto" w:sz="12" w:space="0"/>
              <w:left w:val="single" w:color="auto" w:sz="6" w:space="0"/>
              <w:bottom w:val="single" w:color="auto" w:sz="6" w:space="0"/>
              <w:right w:val="single" w:color="auto" w:sz="6" w:space="0"/>
            </w:tcBorders>
            <w:tcW w:w="885"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单价（元）</w:t>
            </w:r>
            <w:r/>
          </w:p>
        </w:tc>
        <w:tc>
          <w:tcPr>
            <w:tcBorders>
              <w:top w:val="single" w:color="auto" w:sz="12" w:space="0"/>
              <w:left w:val="single" w:color="auto" w:sz="6" w:space="0"/>
              <w:bottom w:val="single" w:color="auto" w:sz="6" w:space="0"/>
              <w:right w:val="single" w:color="auto" w:sz="6" w:space="0"/>
            </w:tcBorders>
            <w:tcW w:w="842"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质量等级</w:t>
            </w:r>
            <w:r/>
          </w:p>
        </w:tc>
        <w:tc>
          <w:tcPr>
            <w:tcBorders>
              <w:top w:val="single" w:color="auto" w:sz="12" w:space="0"/>
              <w:left w:val="single" w:color="auto" w:sz="6" w:space="0"/>
              <w:bottom w:val="single" w:color="auto" w:sz="6" w:space="0"/>
              <w:right w:val="single" w:color="auto" w:sz="6" w:space="0"/>
            </w:tcBorders>
            <w:tcW w:w="1008"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供应时间</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送达地点</w:t>
            </w:r>
            <w:r/>
          </w:p>
        </w:tc>
        <w:tc>
          <w:tcPr>
            <w:tcBorders>
              <w:top w:val="single" w:color="auto" w:sz="12" w:space="0"/>
              <w:left w:val="single" w:color="auto" w:sz="6" w:space="0"/>
              <w:bottom w:val="single" w:color="auto" w:sz="6" w:space="0"/>
              <w:right w:val="single" w:color="auto" w:sz="12" w:space="0"/>
            </w:tcBorders>
            <w:tcW w:w="850" w:type="dxa"/>
            <w:vAlign w:val="center"/>
            <w:textDirection w:val="lrTb"/>
            <w:noWrap w:val="false"/>
          </w:tcPr>
          <w:p>
            <w:pPr>
              <w:pStyle w:val="1391"/>
              <w:jc w:val="center"/>
              <w:keepNext/>
              <w:spacing w:after="0" w:line="360" w:lineRule="exact"/>
              <w:rPr>
                <w:rFonts w:ascii="宋体" w:hAnsi="宋体"/>
                <w:sz w:val="21"/>
                <w:szCs w:val="21"/>
                <w:highlight w:val="none"/>
              </w:rPr>
            </w:pPr>
            <w:r>
              <w:rPr>
                <w:rFonts w:hint="eastAsia" w:ascii="宋体" w:hAnsi="宋体"/>
                <w:sz w:val="21"/>
                <w:szCs w:val="21"/>
                <w:highlight w:val="none"/>
              </w:rPr>
              <w:t xml:space="preserve">备注</w:t>
            </w:r>
            <w:r/>
          </w:p>
        </w:tc>
      </w:tr>
      <w:tr>
        <w:trPr>
          <w:trHeight w:val="567"/>
        </w:trPr>
        <w:tc>
          <w:tcPr>
            <w:tcBorders>
              <w:top w:val="single" w:color="auto" w:sz="6" w:space="0"/>
              <w:left w:val="single" w:color="auto" w:sz="12"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107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11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85"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84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100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1391"/>
              <w:keepNext/>
              <w:spacing w:after="0"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24"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842"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single" w:color="auto" w:sz="6" w:space="0"/>
              <w:left w:val="single" w:color="auto" w:sz="12" w:space="0"/>
              <w:bottom w:val="single" w:color="auto" w:sz="12" w:space="0"/>
              <w:right w:val="single" w:color="auto" w:sz="6" w:space="0"/>
            </w:tcBorders>
            <w:tcW w:w="724"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1079"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1198"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798"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724"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885"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842"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1008"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12" w:space="0"/>
              <w:right w:val="single" w:color="auto" w:sz="12" w:space="0"/>
            </w:tcBorders>
            <w:tcW w:w="850" w:type="dxa"/>
            <w:vAlign w:val="center"/>
            <w:textDirection w:val="lrTb"/>
            <w:noWrap w:val="false"/>
          </w:tcPr>
          <w:p>
            <w:pPr>
              <w:pStyle w:val="1388"/>
              <w:jc w:val="center"/>
              <w:spacing w:line="360" w:lineRule="exact"/>
              <w:rPr>
                <w:rFonts w:ascii="宋体" w:hAnsi="宋体"/>
                <w:sz w:val="21"/>
                <w:szCs w:val="21"/>
                <w:highlight w:val="none"/>
              </w:rPr>
            </w:pPr>
            <w:r>
              <w:rPr>
                <w:rFonts w:ascii="宋体" w:hAnsi="宋体"/>
                <w:sz w:val="21"/>
                <w:szCs w:val="21"/>
                <w:highlight w:val="none"/>
              </w:rPr>
            </w:r>
            <w:r/>
          </w:p>
        </w:tc>
      </w:tr>
    </w:tbl>
    <w:p>
      <w:pPr>
        <w:pStyle w:val="1388"/>
        <w:spacing w:line="360" w:lineRule="exact"/>
        <w:rPr>
          <w:rFonts w:ascii="宋体" w:hAnsi="宋体"/>
          <w:sz w:val="24"/>
          <w:szCs w:val="24"/>
          <w:highlight w:val="none"/>
        </w:rPr>
      </w:pPr>
      <w:r>
        <w:rPr>
          <w:rFonts w:ascii="宋体" w:hAnsi="宋体"/>
          <w:sz w:val="24"/>
          <w:szCs w:val="24"/>
          <w:highlight w:val="none"/>
        </w:rPr>
      </w:r>
      <w:r/>
    </w:p>
    <w:p>
      <w:pPr>
        <w:pStyle w:val="1388"/>
        <w:spacing w:line="360" w:lineRule="exact"/>
        <w:rPr>
          <w:rFonts w:ascii="宋体" w:hAnsi="宋体"/>
          <w:sz w:val="24"/>
          <w:szCs w:val="24"/>
          <w:highlight w:val="none"/>
        </w:rPr>
      </w:pPr>
      <w:r>
        <w:rPr>
          <w:rFonts w:ascii="宋体" w:hAnsi="宋体"/>
          <w:sz w:val="24"/>
          <w:szCs w:val="24"/>
          <w:highlight w:val="none"/>
        </w:rPr>
      </w:r>
      <w:r/>
    </w:p>
    <w:p>
      <w:pPr>
        <w:pStyle w:val="1388"/>
        <w:spacing w:line="360" w:lineRule="exact"/>
        <w:rPr>
          <w:rFonts w:ascii="宋体" w:hAnsi="宋体"/>
          <w:sz w:val="21"/>
          <w:szCs w:val="21"/>
          <w:highlight w:val="none"/>
        </w:rPr>
      </w:pPr>
      <w:r>
        <w:rPr>
          <w:rFonts w:hint="eastAsia" w:ascii="宋体" w:hAnsi="宋体"/>
          <w:sz w:val="21"/>
          <w:szCs w:val="21"/>
          <w:highlight w:val="none"/>
        </w:rPr>
        <w:t xml:space="preserve">附</w:t>
      </w:r>
      <w:bookmarkStart w:id="751" w:name="_Toc296347225"/>
      <w:r/>
      <w:bookmarkStart w:id="752" w:name="_Toc267261693"/>
      <w:r/>
      <w:bookmarkStart w:id="753" w:name="_Toc296891054"/>
      <w:r/>
      <w:bookmarkStart w:id="754" w:name="_Toc296503226"/>
      <w:r/>
      <w:bookmarkStart w:id="755" w:name="_Toc296944565"/>
      <w:r/>
      <w:bookmarkStart w:id="756" w:name="_Toc296346727"/>
      <w:r/>
      <w:bookmarkStart w:id="757" w:name="_Toc296891266"/>
      <w:r>
        <w:rPr>
          <w:rFonts w:hint="eastAsia" w:ascii="宋体" w:hAnsi="宋体"/>
          <w:sz w:val="21"/>
          <w:szCs w:val="21"/>
          <w:highlight w:val="none"/>
        </w:rPr>
        <w:t xml:space="preserve">件</w:t>
      </w:r>
      <w:r>
        <w:rPr>
          <w:rFonts w:ascii="宋体" w:hAnsi="宋体"/>
          <w:sz w:val="21"/>
          <w:szCs w:val="21"/>
          <w:highlight w:val="none"/>
        </w:rPr>
        <w:t xml:space="preserve">3</w:t>
      </w:r>
      <w:r>
        <w:rPr>
          <w:rFonts w:hint="eastAsia" w:ascii="宋体" w:hAnsi="宋体"/>
          <w:sz w:val="21"/>
          <w:szCs w:val="21"/>
          <w:highlight w:val="none"/>
        </w:rPr>
        <w:t xml:space="preserve">：</w:t>
      </w:r>
      <w:bookmarkEnd w:id="751"/>
      <w:r/>
      <w:bookmarkEnd w:id="752"/>
      <w:r/>
      <w:bookmarkEnd w:id="753"/>
      <w:r/>
      <w:bookmarkEnd w:id="754"/>
      <w:r/>
      <w:bookmarkEnd w:id="755"/>
      <w:r/>
      <w:bookmarkEnd w:id="756"/>
      <w:r/>
      <w:bookmarkEnd w:id="757"/>
      <w:r/>
      <w:r/>
    </w:p>
    <w:p>
      <w:pPr>
        <w:pStyle w:val="1388"/>
        <w:jc w:val="center"/>
        <w:spacing w:line="360" w:lineRule="exact"/>
        <w:rPr>
          <w:rFonts w:ascii="宋体" w:hAnsi="宋体"/>
          <w:sz w:val="21"/>
          <w:szCs w:val="24"/>
          <w:highlight w:val="none"/>
        </w:rPr>
      </w:pPr>
      <w:r>
        <w:rPr>
          <w:rFonts w:hint="eastAsia" w:ascii="宋体" w:hAnsi="宋体"/>
          <w:sz w:val="21"/>
          <w:szCs w:val="24"/>
          <w:highlight w:val="none"/>
        </w:rPr>
        <w:t xml:space="preserve">工程质量保修书</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发包人（全称）：</w:t>
      </w:r>
      <w:r>
        <w:rPr>
          <w:rFonts w:ascii="宋体" w:hAnsi="宋体"/>
          <w:sz w:val="21"/>
          <w:szCs w:val="21"/>
          <w:highlight w:val="none"/>
          <w:u w:val="single"/>
        </w:rPr>
        <w:t xml:space="preserve">                                </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承包人（全称）：</w:t>
      </w:r>
      <w:r>
        <w:rPr>
          <w:rFonts w:ascii="宋体" w:hAnsi="宋体"/>
          <w:sz w:val="21"/>
          <w:szCs w:val="21"/>
          <w:highlight w:val="none"/>
          <w:u w:val="single"/>
        </w:rPr>
        <w:t xml:space="preserve">                                </w:t>
      </w:r>
      <w:r>
        <w:rPr>
          <w:rFonts w:ascii="宋体" w:hAnsi="宋体"/>
          <w:sz w:val="21"/>
          <w:szCs w:val="21"/>
          <w:highlight w:val="non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发包人和承包人根据《中华人民共和国建筑法》和《建设工程质量管理条例》，经协商一致就</w:t>
      </w:r>
      <w:r>
        <w:rPr>
          <w:rFonts w:hint="eastAsia" w:ascii="宋体" w:hAnsi="宋体"/>
          <w:sz w:val="21"/>
          <w:szCs w:val="21"/>
          <w:highlight w:val="none"/>
          <w:u w:val="single"/>
          <w:lang w:eastAsia="zh-CN"/>
        </w:rPr>
        <w:t xml:space="preserve">湖滨新区晓店学校运动场改造工程</w:t>
      </w:r>
      <w:r>
        <w:rPr>
          <w:rFonts w:hint="eastAsia" w:ascii="宋体" w:hAnsi="宋体"/>
          <w:sz w:val="21"/>
          <w:szCs w:val="21"/>
          <w:highlight w:val="none"/>
        </w:rPr>
        <w:t xml:space="preserve">（工程全称）签订工程质量保修书。</w:t>
      </w:r>
      <w:r/>
    </w:p>
    <w:p>
      <w:pPr>
        <w:pStyle w:val="1388"/>
        <w:ind w:firstLine="422"/>
        <w:spacing w:line="360" w:lineRule="auto"/>
        <w:rPr>
          <w:rFonts w:ascii="宋体" w:hAnsi="宋体"/>
          <w:b/>
          <w:sz w:val="21"/>
          <w:szCs w:val="21"/>
          <w:highlight w:val="none"/>
        </w:rPr>
      </w:pPr>
      <w:r>
        <w:rPr>
          <w:rFonts w:hint="eastAsia" w:ascii="宋体" w:hAnsi="宋体"/>
          <w:b/>
          <w:sz w:val="21"/>
          <w:szCs w:val="21"/>
          <w:highlight w:val="none"/>
        </w:rPr>
        <w:t xml:space="preserve">一、工程质量保修范围和内容</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承包人在质量保修期内，按照有关法律规定和合同约定，承担工程质量保修责任。</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质量保修范围包括</w:t>
      </w:r>
      <w:r>
        <w:rPr>
          <w:rFonts w:hint="eastAsia" w:ascii="宋体" w:hAnsi="宋体"/>
          <w:sz w:val="21"/>
          <w:szCs w:val="21"/>
          <w:highlight w:val="none"/>
          <w:u w:val="single"/>
          <w:lang w:eastAsia="zh-CN"/>
        </w:rPr>
        <w:t xml:space="preserve">湖滨新区晓店学校运动场改造工程</w:t>
      </w:r>
      <w:r>
        <w:rPr>
          <w:rFonts w:hint="eastAsia" w:ascii="宋体" w:hAnsi="宋体"/>
          <w:sz w:val="21"/>
          <w:szCs w:val="21"/>
          <w:highlight w:val="none"/>
          <w:u w:val="single"/>
        </w:rPr>
        <w:t xml:space="preserve">所有内容</w:t>
      </w:r>
      <w:r>
        <w:rPr>
          <w:rFonts w:hint="eastAsia" w:ascii="宋体" w:hAnsi="宋体"/>
          <w:sz w:val="21"/>
          <w:szCs w:val="21"/>
          <w:highlight w:val="none"/>
        </w:rPr>
        <w:t xml:space="preserve">，以及双方约定的其他项目。具体保修的内容，双方约定如下：</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388"/>
        <w:ind w:firstLine="422"/>
        <w:spacing w:line="360" w:lineRule="auto"/>
        <w:rPr>
          <w:rFonts w:ascii="宋体" w:hAnsi="宋体"/>
          <w:b/>
          <w:sz w:val="21"/>
          <w:szCs w:val="21"/>
          <w:highlight w:val="none"/>
        </w:rPr>
      </w:pPr>
      <w:r>
        <w:rPr>
          <w:rFonts w:hint="eastAsia" w:ascii="宋体" w:hAnsi="宋体"/>
          <w:b/>
          <w:sz w:val="21"/>
          <w:szCs w:val="21"/>
          <w:highlight w:val="none"/>
        </w:rPr>
        <w:t xml:space="preserve">二、质量保修期</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根据《建设工程质量管理条例》及有关规定，工程的质量保修期如下：</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．地基基础工程和主体结构工程为设计文件规定的工程合理使用年限；</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．屋面防水工程、有防水要求的卫生间、房间和外墙面的防渗为</w:t>
      </w:r>
      <w:r>
        <w:rPr>
          <w:rFonts w:ascii="宋体" w:hAnsi="宋体"/>
          <w:sz w:val="21"/>
          <w:szCs w:val="21"/>
          <w:highlight w:val="none"/>
          <w:u w:val="single"/>
        </w:rPr>
        <w:t xml:space="preserve">  </w:t>
      </w:r>
      <w:r>
        <w:rPr>
          <w:rFonts w:hint="eastAsia" w:ascii="宋体" w:hAnsi="宋体"/>
          <w:sz w:val="21"/>
          <w:szCs w:val="21"/>
          <w:highlight w:val="none"/>
          <w:u w:val="single"/>
        </w:rPr>
        <w:t xml:space="preserve">5</w:t>
      </w:r>
      <w:r>
        <w:rPr>
          <w:rFonts w:ascii="宋体" w:hAnsi="宋体"/>
          <w:sz w:val="21"/>
          <w:szCs w:val="21"/>
          <w:highlight w:val="none"/>
          <w:u w:val="single"/>
        </w:rPr>
        <w:t xml:space="preserve">  </w:t>
      </w:r>
      <w:r>
        <w:rPr>
          <w:rFonts w:hint="eastAsia" w:ascii="宋体" w:hAnsi="宋体"/>
          <w:sz w:val="21"/>
          <w:szCs w:val="21"/>
          <w:highlight w:val="none"/>
        </w:rPr>
        <w:t xml:space="preserve">年；</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．装修工程为</w:t>
      </w:r>
      <w:r>
        <w:rPr>
          <w:rFonts w:ascii="宋体" w:hAnsi="宋体"/>
          <w:sz w:val="21"/>
          <w:szCs w:val="21"/>
          <w:highlight w:val="none"/>
          <w:u w:val="single"/>
        </w:rPr>
        <w:t xml:space="preserve"> </w:t>
      </w:r>
      <w:r>
        <w:rPr>
          <w:rFonts w:hint="eastAsia" w:ascii="宋体" w:hAnsi="宋体"/>
          <w:sz w:val="21"/>
          <w:szCs w:val="21"/>
          <w:highlight w:val="none"/>
          <w:u w:val="single"/>
        </w:rPr>
        <w:t xml:space="preserve"> 2 </w:t>
      </w:r>
      <w:r>
        <w:rPr>
          <w:rFonts w:ascii="宋体" w:hAnsi="宋体"/>
          <w:sz w:val="21"/>
          <w:szCs w:val="21"/>
          <w:highlight w:val="none"/>
          <w:u w:val="single"/>
        </w:rPr>
        <w:t xml:space="preserve"> </w:t>
      </w:r>
      <w:r>
        <w:rPr>
          <w:rFonts w:hint="eastAsia" w:ascii="宋体" w:hAnsi="宋体"/>
          <w:sz w:val="21"/>
          <w:szCs w:val="21"/>
          <w:highlight w:val="none"/>
        </w:rPr>
        <w:t xml:space="preserve">年；</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．电气管线、给排水管道、设备安装工程为</w:t>
      </w:r>
      <w:r>
        <w:rPr>
          <w:rFonts w:ascii="宋体" w:hAnsi="宋体"/>
          <w:sz w:val="21"/>
          <w:szCs w:val="21"/>
          <w:highlight w:val="none"/>
          <w:u w:val="single"/>
        </w:rPr>
        <w:t xml:space="preserve"> </w:t>
      </w:r>
      <w:r>
        <w:rPr>
          <w:rFonts w:hint="eastAsia" w:ascii="宋体" w:hAnsi="宋体"/>
          <w:sz w:val="21"/>
          <w:szCs w:val="21"/>
          <w:highlight w:val="none"/>
          <w:u w:val="single"/>
        </w:rPr>
        <w:t xml:space="preserve"> 2 </w:t>
      </w:r>
      <w:r>
        <w:rPr>
          <w:rFonts w:ascii="宋体" w:hAnsi="宋体"/>
          <w:sz w:val="21"/>
          <w:szCs w:val="21"/>
          <w:highlight w:val="none"/>
          <w:u w:val="single"/>
        </w:rPr>
        <w:t xml:space="preserve"> </w:t>
      </w:r>
      <w:r>
        <w:rPr>
          <w:rFonts w:hint="eastAsia" w:ascii="宋体" w:hAnsi="宋体"/>
          <w:sz w:val="21"/>
          <w:szCs w:val="21"/>
          <w:highlight w:val="none"/>
        </w:rPr>
        <w:t xml:space="preserve">年；</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5</w:t>
      </w:r>
      <w:r>
        <w:rPr>
          <w:rFonts w:hint="eastAsia" w:ascii="宋体" w:hAnsi="宋体"/>
          <w:sz w:val="21"/>
          <w:szCs w:val="21"/>
          <w:highlight w:val="none"/>
        </w:rPr>
        <w:t xml:space="preserve">．供热与供冷系统为</w:t>
      </w:r>
      <w:r>
        <w:rPr>
          <w:rFonts w:ascii="宋体" w:hAnsi="宋体"/>
          <w:sz w:val="21"/>
          <w:szCs w:val="21"/>
          <w:highlight w:val="none"/>
          <w:u w:val="single"/>
        </w:rPr>
        <w:t xml:space="preserve"> </w:t>
      </w:r>
      <w:r>
        <w:rPr>
          <w:rFonts w:hint="eastAsia" w:ascii="宋体" w:hAnsi="宋体"/>
          <w:sz w:val="21"/>
          <w:szCs w:val="21"/>
          <w:highlight w:val="none"/>
          <w:u w:val="single"/>
        </w:rPr>
        <w:t xml:space="preserve"> 2 </w:t>
      </w:r>
      <w:r>
        <w:rPr>
          <w:rFonts w:ascii="宋体" w:hAnsi="宋体"/>
          <w:sz w:val="21"/>
          <w:szCs w:val="21"/>
          <w:highlight w:val="none"/>
          <w:u w:val="single"/>
        </w:rPr>
        <w:t xml:space="preserve"> </w:t>
      </w:r>
      <w:r>
        <w:rPr>
          <w:rFonts w:hint="eastAsia" w:ascii="宋体" w:hAnsi="宋体"/>
          <w:sz w:val="21"/>
          <w:szCs w:val="21"/>
          <w:highlight w:val="none"/>
        </w:rPr>
        <w:t xml:space="preserve">个采暖期、供冷期；</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6</w:t>
      </w:r>
      <w:r>
        <w:rPr>
          <w:rFonts w:hint="eastAsia" w:ascii="宋体" w:hAnsi="宋体"/>
          <w:sz w:val="21"/>
          <w:szCs w:val="21"/>
          <w:highlight w:val="none"/>
        </w:rPr>
        <w:t xml:space="preserve">．住宅小区内的给排水设施、道路等配套工程为</w:t>
      </w:r>
      <w:r>
        <w:rPr>
          <w:rFonts w:ascii="宋体" w:hAnsi="宋体"/>
          <w:sz w:val="21"/>
          <w:szCs w:val="21"/>
          <w:highlight w:val="none"/>
          <w:u w:val="single"/>
        </w:rPr>
        <w:t xml:space="preserve"> </w:t>
      </w:r>
      <w:r>
        <w:rPr>
          <w:rFonts w:hint="eastAsia" w:ascii="宋体" w:hAnsi="宋体"/>
          <w:sz w:val="21"/>
          <w:szCs w:val="21"/>
          <w:highlight w:val="none"/>
          <w:u w:val="single"/>
        </w:rPr>
        <w:t xml:space="preserve"> 2 </w:t>
      </w:r>
      <w:r>
        <w:rPr>
          <w:rFonts w:ascii="宋体" w:hAnsi="宋体"/>
          <w:sz w:val="21"/>
          <w:szCs w:val="21"/>
          <w:highlight w:val="none"/>
          <w:u w:val="single"/>
        </w:rPr>
        <w:t xml:space="preserve"> </w:t>
      </w:r>
      <w:r>
        <w:rPr>
          <w:rFonts w:hint="eastAsia" w:ascii="宋体" w:hAnsi="宋体"/>
          <w:sz w:val="21"/>
          <w:szCs w:val="21"/>
          <w:highlight w:val="none"/>
        </w:rPr>
        <w:t xml:space="preserve">年；</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．其他项目保修期限约定如下：</w:t>
      </w:r>
      <w:r>
        <w:rPr>
          <w:rFonts w:hint="eastAsia" w:ascii="宋体" w:hAnsi="宋体"/>
          <w:sz w:val="21"/>
          <w:szCs w:val="21"/>
          <w:highlight w:val="none"/>
          <w:u w:val="single"/>
        </w:rPr>
        <w:t xml:space="preserve">按照国家《建设工程质量管理条例》执行，但不得少于2年</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质量保修期自工程竣工验收合格之日起计算。</w:t>
      </w:r>
      <w:r/>
    </w:p>
    <w:p>
      <w:pPr>
        <w:pStyle w:val="1388"/>
        <w:ind w:firstLine="422"/>
        <w:spacing w:line="360" w:lineRule="auto"/>
        <w:rPr>
          <w:rFonts w:ascii="宋体" w:hAnsi="宋体"/>
          <w:b/>
          <w:sz w:val="21"/>
          <w:szCs w:val="21"/>
          <w:highlight w:val="none"/>
        </w:rPr>
      </w:pPr>
      <w:r>
        <w:rPr>
          <w:rFonts w:hint="eastAsia" w:ascii="宋体" w:hAnsi="宋体"/>
          <w:b/>
          <w:sz w:val="21"/>
          <w:szCs w:val="21"/>
          <w:highlight w:val="none"/>
        </w:rPr>
        <w:t xml:space="preserve">三、缺陷责任期</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工程缺陷责任期为</w:t>
      </w:r>
      <w:r>
        <w:rPr>
          <w:rFonts w:ascii="宋体" w:hAnsi="宋体"/>
          <w:sz w:val="21"/>
          <w:szCs w:val="21"/>
          <w:highlight w:val="none"/>
          <w:u w:val="single"/>
        </w:rPr>
        <w:t xml:space="preserve">  </w:t>
      </w:r>
      <w:r>
        <w:rPr>
          <w:rFonts w:hint="eastAsia" w:ascii="宋体" w:hAnsi="宋体"/>
          <w:sz w:val="21"/>
          <w:szCs w:val="21"/>
          <w:highlight w:val="none"/>
          <w:u w:val="single"/>
        </w:rPr>
        <w:t xml:space="preserve">24</w:t>
      </w:r>
      <w:r>
        <w:rPr>
          <w:rFonts w:ascii="宋体" w:hAnsi="宋体"/>
          <w:sz w:val="21"/>
          <w:szCs w:val="21"/>
          <w:highlight w:val="none"/>
          <w:u w:val="single"/>
        </w:rPr>
        <w:t xml:space="preserve">  </w:t>
      </w:r>
      <w:r>
        <w:rPr>
          <w:rFonts w:hint="eastAsia" w:ascii="宋体" w:hAnsi="宋体"/>
          <w:sz w:val="21"/>
          <w:szCs w:val="21"/>
          <w:highlight w:val="none"/>
        </w:rPr>
        <w:t xml:space="preserve">个月，缺陷责任期自工程通过竣工验收之日起计算。单位工程先于全部工程进行验收，单位工程缺陷责任期自单位工程验收合格之日起算。</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缺陷责任期终止后，发包人应退还剩余的质量保证金。</w:t>
      </w:r>
      <w:r/>
    </w:p>
    <w:p>
      <w:pPr>
        <w:pStyle w:val="1388"/>
        <w:ind w:firstLine="422"/>
        <w:spacing w:line="360" w:lineRule="auto"/>
        <w:rPr>
          <w:rFonts w:ascii="宋体" w:hAnsi="宋体"/>
          <w:b/>
          <w:sz w:val="21"/>
          <w:szCs w:val="21"/>
          <w:highlight w:val="none"/>
        </w:rPr>
      </w:pPr>
      <w:r>
        <w:rPr>
          <w:rFonts w:hint="eastAsia" w:ascii="宋体" w:hAnsi="宋体"/>
          <w:b/>
          <w:sz w:val="21"/>
          <w:szCs w:val="21"/>
          <w:highlight w:val="none"/>
        </w:rPr>
        <w:t xml:space="preserve">四、质量保修责任</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．属于保修范围、内容的项目，承包人应当在接到保修通知之日起</w:t>
      </w:r>
      <w:r>
        <w:rPr>
          <w:rFonts w:ascii="宋体" w:hAnsi="宋体"/>
          <w:sz w:val="21"/>
          <w:szCs w:val="21"/>
          <w:highlight w:val="none"/>
        </w:rPr>
        <w:t xml:space="preserve">7</w:t>
      </w:r>
      <w:r>
        <w:rPr>
          <w:rFonts w:hint="eastAsia" w:ascii="宋体" w:hAnsi="宋体"/>
          <w:sz w:val="21"/>
          <w:szCs w:val="21"/>
          <w:highlight w:val="none"/>
        </w:rPr>
        <w:t xml:space="preserve">天内派人保修。承包人不在约定期限内派人保修的，发包人可以委托他人修理。</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．发生紧急事故需抢修的，承包人在接到事故通知后，应当立即到达事故现场抢修。</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388"/>
        <w:ind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．质量保修完成后，由发包人组织验收。</w:t>
      </w:r>
      <w:r/>
    </w:p>
    <w:p>
      <w:pPr>
        <w:pStyle w:val="1388"/>
        <w:ind w:firstLine="422"/>
        <w:spacing w:line="360" w:lineRule="auto"/>
        <w:rPr>
          <w:rFonts w:ascii="宋体" w:hAnsi="宋体"/>
          <w:b/>
          <w:sz w:val="21"/>
          <w:szCs w:val="21"/>
          <w:highlight w:val="none"/>
        </w:rPr>
      </w:pPr>
      <w:r>
        <w:rPr>
          <w:rFonts w:hint="eastAsia" w:ascii="宋体" w:hAnsi="宋体"/>
          <w:b/>
          <w:sz w:val="21"/>
          <w:szCs w:val="21"/>
          <w:highlight w:val="none"/>
        </w:rPr>
        <w:t xml:space="preserve">五、保修费用</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保修费用由造成质量缺陷的责任方承担。</w:t>
      </w:r>
      <w:r/>
    </w:p>
    <w:p>
      <w:pPr>
        <w:pStyle w:val="1388"/>
        <w:ind w:firstLine="422"/>
        <w:spacing w:line="360" w:lineRule="auto"/>
        <w:rPr>
          <w:rFonts w:ascii="宋体" w:hAnsi="宋体"/>
          <w:sz w:val="21"/>
          <w:szCs w:val="21"/>
          <w:highlight w:val="none"/>
          <w:u w:val="single"/>
        </w:rPr>
      </w:pPr>
      <w:r>
        <w:rPr>
          <w:rFonts w:hint="eastAsia" w:ascii="宋体" w:hAnsi="宋体"/>
          <w:b/>
          <w:sz w:val="21"/>
          <w:szCs w:val="21"/>
          <w:highlight w:val="none"/>
        </w:rPr>
        <w:t xml:space="preserve">六、双方约定的其他工程质量保修事项</w:t>
      </w:r>
      <w:r>
        <w:rPr>
          <w:rFonts w:hint="eastAsia" w:ascii="宋体" w:hAnsi="宋体"/>
          <w:sz w:val="21"/>
          <w:szCs w:val="21"/>
          <w:highlight w:val="none"/>
        </w:rPr>
        <w:t xml:space="preserve">：</w:t>
      </w:r>
      <w:r>
        <w:rPr>
          <w:rFonts w:hint="eastAsia" w:ascii="宋体" w:hAnsi="宋体"/>
          <w:sz w:val="21"/>
          <w:szCs w:val="21"/>
          <w:highlight w:val="none"/>
          <w:u w:val="single"/>
        </w:rPr>
        <w:t xml:space="preserve">在保修期限内，因承包人原因导致的工程质量缺陷造成房屋所有人、使用人或第三方人身、财产损害的，承包人应承担相应的经济与法律责任</w:t>
      </w:r>
      <w:r>
        <w:rPr>
          <w:rFonts w:hint="eastAsia" w:ascii="宋体" w:hAnsi="宋体"/>
          <w:sz w:val="21"/>
          <w:szCs w:val="21"/>
          <w:highlight w:val="none"/>
        </w:rPr>
        <w:t xml:space="preserve">。</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工程质量保修书由发包人、承包人在工程竣工验收前共同签署，作为施工合同附件，其有效期限至保修期满。</w:t>
      </w:r>
      <w:r/>
    </w:p>
    <w:p>
      <w:pPr>
        <w:pStyle w:val="1388"/>
        <w:ind w:firstLine="420"/>
        <w:spacing w:line="360" w:lineRule="auto"/>
        <w:rPr>
          <w:rFonts w:ascii="宋体" w:hAnsi="宋体"/>
          <w:sz w:val="21"/>
          <w:szCs w:val="21"/>
          <w:highlight w:val="none"/>
        </w:rPr>
      </w:pPr>
      <w:r>
        <w:rPr>
          <w:rFonts w:ascii="宋体" w:hAnsi="宋体"/>
          <w:sz w:val="21"/>
          <w:szCs w:val="21"/>
          <w:highlight w:val="none"/>
        </w:rPr>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发包人</w:t>
      </w:r>
      <w:r>
        <w:rPr>
          <w:rFonts w:ascii="宋体" w:hAnsi="宋体"/>
          <w:sz w:val="21"/>
          <w:szCs w:val="21"/>
          <w:highlight w:val="none"/>
        </w:rPr>
        <w:t xml:space="preserve">(</w:t>
      </w:r>
      <w:r>
        <w:rPr>
          <w:rFonts w:hint="eastAsia" w:ascii="宋体" w:hAnsi="宋体"/>
          <w:sz w:val="21"/>
          <w:szCs w:val="21"/>
          <w:highlight w:val="none"/>
        </w:rPr>
        <w:t xml:space="preserve">公章</w:t>
      </w:r>
      <w:r>
        <w:rPr>
          <w:rFonts w:ascii="宋体" w:hAnsi="宋体"/>
          <w:sz w:val="21"/>
          <w:szCs w:val="21"/>
          <w:highlight w:val="none"/>
        </w:rPr>
        <w:t xml:space="preserve">)</w:t>
      </w:r>
      <w:r>
        <w:rPr>
          <w:rFonts w:hint="eastAsia" w:ascii="宋体" w:hAnsi="宋体"/>
          <w:sz w:val="21"/>
          <w:szCs w:val="21"/>
          <w:highlight w:val="none"/>
        </w:rPr>
        <w:t xml:space="preserve">：</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承包人</w:t>
      </w:r>
      <w:r>
        <w:rPr>
          <w:rFonts w:ascii="宋体" w:hAnsi="宋体"/>
          <w:sz w:val="21"/>
          <w:szCs w:val="21"/>
          <w:highlight w:val="none"/>
        </w:rPr>
        <w:t xml:space="preserve">(</w:t>
      </w:r>
      <w:r>
        <w:rPr>
          <w:rFonts w:hint="eastAsia" w:ascii="宋体" w:hAnsi="宋体"/>
          <w:sz w:val="21"/>
          <w:szCs w:val="21"/>
          <w:highlight w:val="none"/>
        </w:rPr>
        <w:t xml:space="preserve">公章</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地</w:t>
      </w:r>
      <w:r>
        <w:rPr>
          <w:rFonts w:ascii="宋体" w:hAnsi="宋体"/>
          <w:sz w:val="21"/>
          <w:szCs w:val="21"/>
          <w:highlight w:val="none"/>
        </w:rPr>
        <w:t xml:space="preserve">  </w:t>
      </w:r>
      <w:r>
        <w:rPr>
          <w:rFonts w:hint="eastAsia" w:ascii="宋体" w:hAnsi="宋体"/>
          <w:sz w:val="21"/>
          <w:szCs w:val="21"/>
          <w:highlight w:val="none"/>
        </w:rPr>
        <w:t xml:space="preserve">  址：</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地</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址：</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法定代表人</w:t>
      </w:r>
      <w:r>
        <w:rPr>
          <w:rFonts w:ascii="宋体" w:hAnsi="宋体"/>
          <w:sz w:val="21"/>
          <w:szCs w:val="21"/>
          <w:highlight w:val="none"/>
        </w:rPr>
        <w:t xml:space="preserve">(</w:t>
      </w:r>
      <w:r>
        <w:rPr>
          <w:rFonts w:hint="eastAsia" w:ascii="宋体" w:hAnsi="宋体"/>
          <w:sz w:val="21"/>
          <w:szCs w:val="21"/>
          <w:highlight w:val="none"/>
        </w:rPr>
        <w:t xml:space="preserve">签字</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法定代表人</w:t>
      </w:r>
      <w:r>
        <w:rPr>
          <w:rFonts w:ascii="宋体" w:hAnsi="宋体"/>
          <w:sz w:val="21"/>
          <w:szCs w:val="21"/>
          <w:highlight w:val="none"/>
        </w:rPr>
        <w:t xml:space="preserve">(</w:t>
      </w:r>
      <w:r>
        <w:rPr>
          <w:rFonts w:hint="eastAsia" w:ascii="宋体" w:hAnsi="宋体"/>
          <w:sz w:val="21"/>
          <w:szCs w:val="21"/>
          <w:highlight w:val="none"/>
        </w:rPr>
        <w:t xml:space="preserve">签字</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委托代理人</w:t>
      </w:r>
      <w:r>
        <w:rPr>
          <w:rFonts w:ascii="宋体" w:hAnsi="宋体"/>
          <w:sz w:val="21"/>
          <w:szCs w:val="21"/>
          <w:highlight w:val="none"/>
        </w:rPr>
        <w:t xml:space="preserve">(</w:t>
      </w:r>
      <w:r>
        <w:rPr>
          <w:rFonts w:hint="eastAsia" w:ascii="宋体" w:hAnsi="宋体"/>
          <w:sz w:val="21"/>
          <w:szCs w:val="21"/>
          <w:highlight w:val="none"/>
        </w:rPr>
        <w:t xml:space="preserve">签字</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委托代理人</w:t>
      </w:r>
      <w:r>
        <w:rPr>
          <w:rFonts w:ascii="宋体" w:hAnsi="宋体"/>
          <w:sz w:val="21"/>
          <w:szCs w:val="21"/>
          <w:highlight w:val="none"/>
        </w:rPr>
        <w:t xml:space="preserve">(</w:t>
      </w:r>
      <w:r>
        <w:rPr>
          <w:rFonts w:hint="eastAsia" w:ascii="宋体" w:hAnsi="宋体"/>
          <w:sz w:val="21"/>
          <w:szCs w:val="21"/>
          <w:highlight w:val="none"/>
        </w:rPr>
        <w:t xml:space="preserve">签字</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电</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话：</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电</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话：</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传</w:t>
      </w:r>
      <w:r>
        <w:rPr>
          <w:rFonts w:ascii="宋体" w:hAnsi="宋体"/>
          <w:sz w:val="21"/>
          <w:szCs w:val="21"/>
          <w:highlight w:val="none"/>
        </w:rPr>
        <w:t xml:space="preserve">  </w:t>
      </w:r>
      <w:r>
        <w:rPr>
          <w:rFonts w:hint="eastAsia" w:ascii="宋体" w:hAnsi="宋体"/>
          <w:sz w:val="21"/>
          <w:szCs w:val="21"/>
          <w:highlight w:val="none"/>
        </w:rPr>
        <w:t xml:space="preserve">  真：</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传</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真：</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开户银行：</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开户银行：</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rPr>
      </w:pPr>
      <w:r>
        <w:rPr>
          <w:rFonts w:hint="eastAsia" w:ascii="宋体" w:hAnsi="宋体"/>
          <w:sz w:val="21"/>
          <w:szCs w:val="21"/>
          <w:highlight w:val="none"/>
        </w:rPr>
        <w:t xml:space="preserve">账</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号：</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账</w:t>
      </w:r>
      <w:r>
        <w:rPr>
          <w:rFonts w:ascii="宋体" w:hAnsi="宋体"/>
          <w:sz w:val="21"/>
          <w:szCs w:val="21"/>
          <w:highlight w:val="none"/>
        </w:rPr>
        <w:t xml:space="preserve">  </w:t>
      </w:r>
      <w:r>
        <w:rPr>
          <w:rFonts w:hint="eastAsia" w:ascii="宋体" w:hAnsi="宋体"/>
          <w:sz w:val="21"/>
          <w:szCs w:val="21"/>
          <w:highlight w:val="none"/>
        </w:rPr>
        <w:t xml:space="preserve">  号：</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388"/>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邮政编码：</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邮政编码：</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1089"/>
        <w:spacing w:line="400" w:lineRule="exact"/>
        <w:rPr>
          <w:rFonts w:ascii="宋体" w:hAnsi="宋体" w:cs="宋体"/>
          <w:color w:val="auto"/>
          <w:highlight w:val="none"/>
        </w:rPr>
      </w:pPr>
      <w:r>
        <w:rPr>
          <w:rFonts w:ascii="宋体" w:hAnsi="宋体" w:cs="宋体"/>
          <w:color w:val="auto"/>
          <w:highlight w:val="none"/>
        </w:rPr>
      </w:r>
      <w:r/>
    </w:p>
    <w:p>
      <w:pPr>
        <w:pStyle w:val="1089"/>
        <w:spacing w:line="400" w:lineRule="exact"/>
        <w:rPr>
          <w:rFonts w:ascii="宋体" w:hAnsi="宋体" w:cs="宋体"/>
          <w:color w:val="auto"/>
          <w:highlight w:val="none"/>
        </w:rPr>
      </w:pPr>
      <w:r>
        <w:rPr>
          <w:rFonts w:ascii="宋体" w:hAnsi="宋体" w:cs="宋体"/>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pStyle w:val="1089"/>
        <w:spacing w:line="400" w:lineRule="exact"/>
        <w:rPr>
          <w:rFonts w:ascii="宋体" w:hAnsi="宋体" w:cs="宋体" w:eastAsiaTheme="minorEastAsia"/>
          <w:color w:val="auto"/>
          <w:highlight w:val="none"/>
        </w:rPr>
      </w:pPr>
      <w:r>
        <w:rPr>
          <w:rFonts w:ascii="宋体" w:hAnsi="宋体" w:cs="宋体" w:eastAsiaTheme="minorEastAsia"/>
          <w:color w:val="auto"/>
          <w:highlight w:val="none"/>
        </w:rPr>
      </w:r>
      <w:r/>
    </w:p>
    <w:p>
      <w:pPr>
        <w:spacing w:line="420" w:lineRule="exact"/>
        <w:rPr>
          <w:rFonts w:ascii="宋体" w:hAnsi="宋体" w:cs="宋体"/>
          <w:sz w:val="24"/>
          <w:szCs w:val="24"/>
          <w:highlight w:val="none"/>
        </w:rPr>
      </w:pPr>
      <w:r>
        <w:rPr>
          <w:rFonts w:ascii="宋体" w:hAnsi="宋体" w:cs="宋体"/>
          <w:sz w:val="24"/>
          <w:szCs w:val="24"/>
          <w:highlight w:val="none"/>
        </w:rPr>
      </w:r>
      <w:r/>
    </w:p>
    <w:p>
      <w:pPr>
        <w:spacing w:line="420" w:lineRule="exact"/>
        <w:rPr>
          <w:rFonts w:ascii="宋体" w:hAnsi="宋体" w:cs="宋体"/>
          <w:sz w:val="24"/>
          <w:szCs w:val="24"/>
          <w:highlight w:val="none"/>
        </w:rPr>
      </w:pPr>
      <w:r>
        <w:rPr>
          <w:rFonts w:ascii="宋体" w:hAnsi="宋体" w:cs="宋体"/>
          <w:sz w:val="24"/>
          <w:szCs w:val="24"/>
          <w:highlight w:val="none"/>
        </w:rPr>
      </w:r>
      <w:r/>
    </w:p>
    <w:p>
      <w:pPr>
        <w:spacing w:line="420" w:lineRule="exact"/>
        <w:rPr>
          <w:rFonts w:ascii="宋体" w:hAnsi="宋体" w:cs="宋体"/>
          <w:sz w:val="24"/>
          <w:szCs w:val="24"/>
          <w:highlight w:val="none"/>
        </w:rPr>
      </w:pPr>
      <w:r>
        <w:rPr>
          <w:rFonts w:ascii="宋体" w:hAnsi="宋体" w:cs="宋体"/>
          <w:sz w:val="24"/>
          <w:szCs w:val="24"/>
          <w:highlight w:val="none"/>
        </w:rPr>
      </w:r>
      <w:r/>
    </w:p>
    <w:p>
      <w:pPr>
        <w:pStyle w:val="731"/>
      </w:pPr>
      <w:r/>
      <w:bookmarkEnd w:id="182"/>
      <w:r/>
      <w:bookmarkEnd w:id="183"/>
      <w:r/>
      <w:bookmarkEnd w:id="184"/>
      <w:r/>
      <w:r/>
    </w:p>
    <w:p>
      <w:pPr>
        <w:jc w:val="center"/>
        <w:keepNext/>
        <w:rPr>
          <w:rFonts w:ascii="黑体" w:hAnsi="黑体" w:eastAsia="黑体" w:cs="黑体"/>
          <w:b/>
          <w:sz w:val="40"/>
          <w:szCs w:val="18"/>
          <w:highlight w:val="none"/>
        </w:rPr>
        <w:outlineLvl w:val="0"/>
      </w:pPr>
      <w:r/>
      <w:bookmarkStart w:id="758" w:name="_Hlt16619369"/>
      <w:r/>
      <w:bookmarkEnd w:id="758"/>
      <w:r/>
      <w:bookmarkStart w:id="759" w:name="_Hlt16619350"/>
      <w:r/>
      <w:bookmarkStart w:id="760" w:name="_Toc20823346"/>
      <w:r/>
      <w:bookmarkStart w:id="761" w:name="_Toc16938590"/>
      <w:r/>
      <w:bookmarkStart w:id="762" w:name="_Toc196817275"/>
      <w:r/>
      <w:bookmarkStart w:id="763" w:name="_Toc120614244"/>
      <w:r/>
      <w:bookmarkStart w:id="764" w:name="_Toc462564139"/>
      <w:r/>
      <w:bookmarkStart w:id="765" w:name="_Toc479757211"/>
      <w:r>
        <w:rPr>
          <w:rFonts w:hint="eastAsia" w:ascii="黑体" w:hAnsi="黑体" w:eastAsia="黑体" w:cs="黑体"/>
          <w:b/>
          <w:sz w:val="40"/>
          <w:szCs w:val="18"/>
          <w:highlight w:val="none"/>
        </w:rPr>
        <w:t xml:space="preserve">第</w:t>
      </w:r>
      <w:bookmarkEnd w:id="759"/>
      <w:r>
        <w:rPr>
          <w:rFonts w:hint="eastAsia" w:ascii="黑体" w:hAnsi="黑体" w:eastAsia="黑体" w:cs="黑体"/>
          <w:b/>
          <w:sz w:val="40"/>
          <w:szCs w:val="18"/>
          <w:highlight w:val="none"/>
        </w:rPr>
        <w:t xml:space="preserve">四章 采购需求</w:t>
      </w:r>
      <w:bookmarkEnd w:id="760"/>
      <w:r/>
      <w:bookmarkEnd w:id="761"/>
      <w:r/>
      <w:bookmarkEnd w:id="762"/>
      <w:r/>
      <w:bookmarkEnd w:id="763"/>
      <w:r/>
      <w:bookmarkStart w:id="766" w:name="_Toc26554093"/>
      <w:r/>
      <w:bookmarkStart w:id="767" w:name="_Toc49090575"/>
      <w:r/>
      <w:r/>
    </w:p>
    <w:p>
      <w:pPr>
        <w:ind w:firstLine="480"/>
        <w:spacing w:line="360" w:lineRule="auto"/>
        <w:rPr>
          <w:rFonts w:ascii="宋体" w:hAnsi="宋体"/>
          <w:bCs/>
          <w:szCs w:val="21"/>
          <w:highlight w:val="none"/>
          <w:lang w:val="zh-CN"/>
        </w:rPr>
      </w:pPr>
      <w:r>
        <w:rPr>
          <w:rFonts w:hint="eastAsia" w:ascii="宋体" w:hAnsi="宋体"/>
          <w:b/>
          <w:bCs/>
          <w:szCs w:val="21"/>
          <w:highlight w:val="none"/>
          <w:lang w:val="zh-CN"/>
        </w:rPr>
        <w:t xml:space="preserve">项目属性：</w:t>
      </w:r>
      <w:r>
        <w:rPr>
          <w:rFonts w:hint="eastAsia" w:ascii="宋体" w:hAnsi="宋体"/>
          <w:bCs/>
          <w:szCs w:val="21"/>
          <w:highlight w:val="none"/>
          <w:lang w:val="zh-CN"/>
        </w:rPr>
        <w:t xml:space="preserve">工程类项目</w:t>
      </w:r>
      <w:r/>
    </w:p>
    <w:p>
      <w:pPr>
        <w:ind w:firstLine="480"/>
        <w:spacing w:line="360" w:lineRule="auto"/>
        <w:rPr>
          <w:rFonts w:ascii="宋体" w:hAnsi="宋体"/>
          <w:bCs/>
          <w:szCs w:val="21"/>
          <w:highlight w:val="none"/>
        </w:rPr>
      </w:pPr>
      <w:r>
        <w:rPr>
          <w:rFonts w:hint="eastAsia" w:ascii="宋体" w:hAnsi="宋体"/>
          <w:b/>
          <w:bCs/>
          <w:szCs w:val="21"/>
          <w:highlight w:val="none"/>
          <w:lang w:val="zh-CN"/>
        </w:rPr>
        <w:t xml:space="preserve">本项目采购标的对应的中小企业划分标准所属行业：</w:t>
      </w:r>
      <w:r>
        <w:rPr>
          <w:rFonts w:hint="eastAsia" w:ascii="宋体" w:hAnsi="宋体"/>
          <w:bCs/>
          <w:szCs w:val="21"/>
          <w:highlight w:val="none"/>
        </w:rPr>
        <w:t xml:space="preserve">建筑业。</w:t>
      </w:r>
      <w:r/>
    </w:p>
    <w:p>
      <w:pPr>
        <w:ind w:firstLine="480"/>
        <w:spacing w:line="360" w:lineRule="auto"/>
        <w:rPr>
          <w:rFonts w:ascii="宋体" w:hAnsi="宋体"/>
          <w:b/>
          <w:bCs/>
          <w:szCs w:val="21"/>
          <w:highlight w:val="none"/>
          <w:lang w:val="zh-CN"/>
        </w:rPr>
      </w:pPr>
      <w:r>
        <w:rPr>
          <w:rFonts w:hint="eastAsia" w:ascii="宋体" w:hAnsi="宋体"/>
          <w:b/>
          <w:bCs/>
          <w:szCs w:val="21"/>
          <w:highlight w:val="none"/>
          <w:lang w:val="zh-CN"/>
        </w:rPr>
        <w:t xml:space="preserve">本项目不接受</w:t>
      </w:r>
      <w:r>
        <w:rPr>
          <w:rFonts w:hint="eastAsia" w:ascii="宋体" w:hAnsi="宋体"/>
          <w:bCs/>
          <w:szCs w:val="21"/>
          <w:highlight w:val="none"/>
          <w:lang w:val="zh-CN"/>
        </w:rPr>
        <w:t xml:space="preserve">进口产品。</w:t>
      </w:r>
      <w:r/>
    </w:p>
    <w:p>
      <w:pPr>
        <w:ind w:firstLine="482"/>
        <w:spacing w:line="360" w:lineRule="auto"/>
        <w:rPr>
          <w:rFonts w:ascii="宋体" w:hAnsi="宋体"/>
          <w:b/>
          <w:bCs/>
          <w:szCs w:val="21"/>
          <w:highlight w:val="none"/>
        </w:rPr>
      </w:pPr>
      <w:r>
        <w:rPr>
          <w:rFonts w:hint="eastAsia" w:ascii="宋体" w:hAnsi="宋体"/>
          <w:b/>
          <w:bCs/>
          <w:szCs w:val="21"/>
          <w:highlight w:val="none"/>
        </w:rPr>
        <w:t xml:space="preserve">一、项目概况</w:t>
      </w:r>
      <w:r/>
    </w:p>
    <w:p>
      <w:pPr>
        <w:ind w:firstLine="480"/>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（一）本次采购内容为</w:t>
      </w:r>
      <w:r>
        <w:rPr>
          <w:rFonts w:hint="eastAsia" w:ascii="宋体" w:hAnsi="宋体"/>
          <w:bCs/>
          <w:szCs w:val="21"/>
          <w:highlight w:val="none"/>
          <w:lang w:eastAsia="zh-CN"/>
        </w:rPr>
        <w:t xml:space="preserve">湖滨新区晓店学校运动场改造工程</w:t>
      </w:r>
      <w:r>
        <w:rPr>
          <w:rFonts w:hint="eastAsia" w:ascii="宋体" w:hAnsi="宋体"/>
          <w:bCs/>
          <w:szCs w:val="21"/>
          <w:highlight w:val="none"/>
        </w:rPr>
        <w:t xml:space="preserve">施工，包括工程量清单所有内容</w:t>
      </w:r>
      <w:r>
        <w:rPr>
          <w:rFonts w:hint="eastAsia" w:ascii="宋体" w:hAnsi="宋体"/>
          <w:bCs/>
          <w:szCs w:val="21"/>
          <w:highlight w:val="none"/>
          <w:lang w:eastAsia="zh-CN"/>
        </w:rPr>
        <w:t xml:space="preserve">。</w:t>
      </w:r>
      <w:r/>
    </w:p>
    <w:p>
      <w:pPr>
        <w:ind w:firstLine="480"/>
        <w:spacing w:line="360" w:lineRule="auto"/>
        <w:rPr>
          <w:rFonts w:hint="eastAsia" w:ascii="宋体" w:hAnsi="宋体"/>
          <w:bCs/>
          <w:szCs w:val="21"/>
          <w:highlight w:val="none"/>
        </w:rPr>
      </w:pPr>
      <w:r>
        <w:rPr>
          <w:rFonts w:hint="eastAsia" w:ascii="宋体" w:hAnsi="宋体"/>
          <w:bCs/>
          <w:szCs w:val="21"/>
          <w:highlight w:val="none"/>
        </w:rPr>
        <w:t xml:space="preserve">（二）付款方式：</w:t>
      </w:r>
      <w:r/>
    </w:p>
    <w:p>
      <w:pPr>
        <w:ind w:firstLine="480"/>
        <w:spacing w:line="360" w:lineRule="auto"/>
        <w:rPr>
          <w:rFonts w:hint="eastAsia" w:ascii="宋体" w:hAnsi="宋体"/>
          <w:b/>
          <w:bCs/>
          <w:szCs w:val="21"/>
          <w:highlight w:val="none"/>
        </w:rPr>
      </w:pPr>
      <w:r>
        <w:rPr>
          <w:rFonts w:hint="eastAsia" w:ascii="宋体" w:hAnsi="宋体"/>
          <w:b/>
          <w:bCs/>
          <w:szCs w:val="21"/>
          <w:highlight w:val="none"/>
        </w:rPr>
        <w:t xml:space="preserve">预付款：合同金额的10%，合同签订后按规定支付；</w:t>
      </w:r>
      <w:r/>
    </w:p>
    <w:p>
      <w:pPr>
        <w:ind w:firstLine="480"/>
        <w:spacing w:line="360" w:lineRule="auto"/>
        <w:rPr>
          <w:rFonts w:hint="eastAsia" w:ascii="宋体" w:hAnsi="宋体"/>
          <w:b/>
          <w:bCs/>
          <w:szCs w:val="21"/>
          <w:highlight w:val="none"/>
        </w:rPr>
      </w:pPr>
      <w:r>
        <w:rPr>
          <w:rFonts w:hint="eastAsia" w:ascii="宋体" w:hAnsi="宋体"/>
          <w:b/>
          <w:bCs/>
          <w:szCs w:val="21"/>
          <w:highlight w:val="none"/>
        </w:rPr>
        <w:t xml:space="preserve">进度款：工程完工后付至已完成工程价款的80%，工程竣工验收合格且审计结束后付至审定价的97%，余款待缺陷责任期满后付清（无息）。</w:t>
      </w:r>
      <w:r/>
    </w:p>
    <w:p>
      <w:pPr>
        <w:ind w:firstLine="480"/>
        <w:spacing w:line="360" w:lineRule="auto"/>
        <w:rPr>
          <w:rFonts w:ascii="宋体" w:hAnsi="宋体"/>
          <w:bCs/>
          <w:szCs w:val="21"/>
          <w:highlight w:val="none"/>
        </w:rPr>
      </w:pPr>
      <w:r>
        <w:rPr>
          <w:rFonts w:hint="eastAsia" w:ascii="宋体" w:hAnsi="宋体"/>
          <w:bCs/>
          <w:szCs w:val="21"/>
          <w:highlight w:val="none"/>
        </w:rPr>
        <w:t xml:space="preserve">(注：1.在签订合同时，成交人明确表示无需预付款或者主动要求降低预付款比例的金额，采购人可不适用预付款规定；2.对于满足合同约定支付条件的，自收到发票后10个工作日内将资金支付到合同约定的供应商账户或供应商数字人民币账户。)</w:t>
      </w:r>
      <w:r/>
    </w:p>
    <w:p>
      <w:pPr>
        <w:ind w:firstLine="480"/>
        <w:spacing w:line="360" w:lineRule="auto"/>
        <w:rPr>
          <w:rFonts w:ascii="宋体" w:hAnsi="宋体"/>
          <w:bCs/>
          <w:szCs w:val="21"/>
          <w:highlight w:val="none"/>
        </w:rPr>
      </w:pPr>
      <w:r>
        <w:rPr>
          <w:rFonts w:hint="eastAsia" w:ascii="宋体" w:hAnsi="宋体"/>
          <w:bCs/>
          <w:szCs w:val="21"/>
          <w:highlight w:val="none"/>
        </w:rPr>
        <w:t xml:space="preserve">（三）合同履行期限：</w:t>
      </w:r>
      <w:r>
        <w:rPr>
          <w:rFonts w:hint="eastAsia" w:ascii="宋体" w:hAnsi="宋体"/>
          <w:bCs/>
          <w:szCs w:val="21"/>
          <w:highlight w:val="none"/>
          <w:lang w:val="en-US" w:eastAsia="zh-CN"/>
        </w:rPr>
        <w:t xml:space="preserve">60</w:t>
      </w:r>
      <w:r>
        <w:rPr>
          <w:rFonts w:hint="eastAsia" w:ascii="宋体" w:hAnsi="宋体"/>
          <w:bCs/>
          <w:szCs w:val="21"/>
          <w:highlight w:val="none"/>
        </w:rPr>
        <w:t xml:space="preserve">日历天</w:t>
      </w:r>
      <w:r/>
    </w:p>
    <w:p>
      <w:pPr>
        <w:ind w:firstLine="480"/>
        <w:spacing w:line="360" w:lineRule="auto"/>
        <w:rPr>
          <w:rFonts w:hint="eastAsia" w:ascii="宋体" w:hAnsi="宋体"/>
          <w:bCs/>
          <w:szCs w:val="21"/>
          <w:highlight w:val="none"/>
        </w:rPr>
      </w:pPr>
      <w:r>
        <w:rPr>
          <w:rFonts w:hint="eastAsia" w:ascii="宋体" w:hAnsi="宋体"/>
          <w:bCs/>
          <w:szCs w:val="21"/>
          <w:highlight w:val="none"/>
        </w:rPr>
        <w:t xml:space="preserve">（四）缺陷责任期：自竣工验收合格之日起2年。</w:t>
      </w:r>
      <w:r/>
    </w:p>
    <w:p>
      <w:pPr>
        <w:ind w:firstLine="480"/>
        <w:spacing w:line="360" w:lineRule="auto"/>
        <w:rPr>
          <w:rFonts w:ascii="宋体" w:hAnsi="宋体"/>
          <w:bCs/>
          <w:szCs w:val="21"/>
          <w:highlight w:val="none"/>
        </w:rPr>
      </w:pPr>
      <w:r>
        <w:rPr>
          <w:rFonts w:hint="eastAsia" w:ascii="宋体" w:hAnsi="宋体"/>
          <w:bCs/>
          <w:szCs w:val="21"/>
          <w:highlight w:val="none"/>
        </w:rPr>
        <w:t xml:space="preserve">（</w:t>
      </w:r>
      <w:r>
        <w:rPr>
          <w:rFonts w:hint="eastAsia" w:ascii="宋体" w:hAnsi="宋体"/>
          <w:bCs/>
          <w:szCs w:val="21"/>
          <w:highlight w:val="none"/>
          <w:lang w:val="en-US" w:eastAsia="zh-CN"/>
        </w:rPr>
        <w:t xml:space="preserve">五</w:t>
      </w:r>
      <w:r>
        <w:rPr>
          <w:rFonts w:hint="eastAsia" w:ascii="宋体" w:hAnsi="宋体"/>
          <w:bCs/>
          <w:szCs w:val="21"/>
          <w:highlight w:val="none"/>
        </w:rPr>
        <w:t xml:space="preserve">）</w:t>
      </w:r>
      <w:r>
        <w:rPr>
          <w:rFonts w:hint="eastAsia" w:ascii="宋体" w:hAnsi="宋体"/>
          <w:bCs/>
          <w:szCs w:val="21"/>
          <w:highlight w:val="none"/>
          <w:lang w:val="en-US" w:eastAsia="zh-CN"/>
        </w:rPr>
        <w:t xml:space="preserve">质保期：运动场建设要遵循中小学塑胶跑道新国标相关规范，本项目要求质保期为八年，自项目验收合格之日起计算。</w:t>
      </w:r>
      <w:r/>
    </w:p>
    <w:p>
      <w:pPr>
        <w:ind w:firstLine="480"/>
        <w:spacing w:line="360" w:lineRule="auto"/>
        <w:rPr>
          <w:rFonts w:ascii="宋体" w:hAnsi="宋体"/>
          <w:bCs/>
          <w:szCs w:val="21"/>
          <w:highlight w:val="none"/>
        </w:rPr>
      </w:pPr>
      <w:r>
        <w:rPr>
          <w:rFonts w:hint="eastAsia" w:ascii="宋体" w:hAnsi="宋体"/>
          <w:bCs/>
          <w:szCs w:val="21"/>
          <w:highlight w:val="none"/>
        </w:rPr>
        <w:t xml:space="preserve">（</w:t>
      </w:r>
      <w:r>
        <w:rPr>
          <w:rFonts w:hint="eastAsia" w:ascii="宋体" w:hAnsi="宋体"/>
          <w:bCs/>
          <w:szCs w:val="21"/>
          <w:highlight w:val="none"/>
          <w:lang w:val="en-US" w:eastAsia="zh-CN"/>
        </w:rPr>
        <w:t xml:space="preserve">六</w:t>
      </w:r>
      <w:r>
        <w:rPr>
          <w:rFonts w:hint="eastAsia" w:ascii="宋体" w:hAnsi="宋体"/>
          <w:bCs/>
          <w:szCs w:val="21"/>
          <w:highlight w:val="none"/>
        </w:rPr>
        <w:t xml:space="preserve">）施工地点：采购人指定地点。</w:t>
      </w:r>
      <w:r/>
    </w:p>
    <w:p>
      <w:pPr>
        <w:ind w:firstLine="480"/>
        <w:spacing w:line="360" w:lineRule="auto"/>
        <w:rPr>
          <w:rFonts w:ascii="宋体" w:hAnsi="宋体"/>
          <w:bCs/>
          <w:szCs w:val="21"/>
          <w:highlight w:val="none"/>
        </w:rPr>
      </w:pPr>
      <w:r>
        <w:rPr>
          <w:rFonts w:hint="eastAsia" w:ascii="宋体" w:hAnsi="宋体"/>
          <w:bCs/>
          <w:szCs w:val="21"/>
          <w:highlight w:val="none"/>
        </w:rPr>
        <w:t xml:space="preserve">（</w:t>
      </w:r>
      <w:r>
        <w:rPr>
          <w:rFonts w:hint="eastAsia" w:ascii="宋体" w:hAnsi="宋体"/>
          <w:bCs/>
          <w:szCs w:val="21"/>
          <w:highlight w:val="none"/>
          <w:lang w:val="en-US" w:eastAsia="zh-CN"/>
        </w:rPr>
        <w:t xml:space="preserve">七</w:t>
      </w:r>
      <w:r>
        <w:rPr>
          <w:rFonts w:hint="eastAsia" w:ascii="宋体" w:hAnsi="宋体"/>
          <w:bCs/>
          <w:szCs w:val="21"/>
          <w:highlight w:val="none"/>
        </w:rPr>
        <w:t xml:space="preserve">）质量要求：合格</w:t>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二、工程量清单</w:t>
      </w:r>
      <w:r>
        <w:rPr>
          <w:rFonts w:hint="eastAsia" w:ascii="宋体" w:hAnsi="宋体" w:cs="宋体"/>
          <w:b/>
          <w:szCs w:val="21"/>
          <w:highlight w:val="none"/>
          <w:lang w:eastAsia="zh-CN"/>
        </w:rPr>
        <w:t xml:space="preserve">：</w:t>
      </w:r>
      <w:r>
        <w:rPr>
          <w:rFonts w:hint="eastAsia" w:ascii="宋体" w:hAnsi="宋体" w:cs="宋体"/>
          <w:szCs w:val="21"/>
          <w:highlight w:val="none"/>
        </w:rPr>
        <w:t xml:space="preserve">另附</w:t>
      </w:r>
      <w:r/>
    </w:p>
    <w:p>
      <w:pPr>
        <w:ind w:firstLine="422"/>
        <w:spacing w:line="360" w:lineRule="auto"/>
        <w:rPr>
          <w:rFonts w:ascii="宋体" w:hAnsi="宋体" w:cs="宋体"/>
          <w:b/>
          <w:szCs w:val="21"/>
          <w:highlight w:val="none"/>
        </w:rPr>
      </w:pPr>
      <w:r>
        <w:rPr>
          <w:rFonts w:hint="eastAsia" w:ascii="宋体" w:hAnsi="宋体"/>
          <w:b/>
          <w:bCs/>
          <w:szCs w:val="21"/>
          <w:highlight w:val="none"/>
        </w:rPr>
        <w:t xml:space="preserve">三、</w:t>
      </w:r>
      <w:r>
        <w:rPr>
          <w:rFonts w:hint="eastAsia" w:ascii="宋体" w:hAnsi="宋体" w:cs="宋体"/>
          <w:b/>
          <w:szCs w:val="21"/>
          <w:highlight w:val="none"/>
        </w:rPr>
        <w:t xml:space="preserve">技术规范</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（一）本工程采用的技术规范</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依据相关技术文件要求，本工程项目的材料、设备、施工必须达到现行中华人民共和国及省、市、行业的一切法规、规范的要求。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（二）对材料的质量和试验要求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现行中华人民共和国及省、市、行业的一切法规、规范的要求。</w:t>
      </w:r>
      <w:r/>
    </w:p>
    <w:p>
      <w:pPr>
        <w:ind w:firstLine="422"/>
        <w:spacing w:line="360" w:lineRule="auto"/>
        <w:rPr>
          <w:rFonts w:ascii="宋体" w:hAnsi="宋体"/>
          <w:bCs/>
          <w:szCs w:val="21"/>
          <w:highlight w:val="none"/>
        </w:rPr>
      </w:pPr>
      <w:r>
        <w:rPr>
          <w:rFonts w:hint="eastAsia" w:ascii="宋体" w:hAnsi="宋体" w:cs="宋体"/>
          <w:b/>
          <w:szCs w:val="21"/>
          <w:highlight w:val="none"/>
        </w:rPr>
        <w:t xml:space="preserve">四、验收要求</w:t>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1.验收主体:采购人组织验收。</w:t>
      </w:r>
      <w:r/>
    </w:p>
    <w:p>
      <w:pPr>
        <w:ind w:firstLine="420"/>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2.验收时间:项目竣工且提供竣工验收资料，在满足合同验收条件情况下，采购人在3个工作日内组织验收并出具验收书。</w:t>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验收标准:按照《中小学合成材料面层运动场地》(GB36246-2018)、《学校人造草运动场地要求》(T/JYBZ012一2019)、《建筑工程施工质量检查与验收手册》等现行的与本工程有关的国家标准、行业标准、规范及省、市有关规定。</w:t>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验收程序、内容及履约:由采购人、专业评审、设计单位及监理单位(如有)等组成验收小组，验收人员应当按照约定的验收标准，对成交人的履约情况开展验收。按照采购文件、清单、图纸及签订合同约定对成交人履约情况进行验收。验收结束后，出具验收书，列明验收情况及项目总体评价，由验收双方共同签署。履约验收的各项资料存档备查。采购人将按项目分布分项组织验收，验收合格后，成交人方可进行下一阶段的施工，擅自施工引起的一切责任由成交人承担。</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5.验收合格的项目，采购人根据合同约定的付款节点及时向成交人支付工程款。验收不合格的项目，采购人应在1天内向成交人提出书面整改意见，不签发验收书。成交人在接到采购人书面整改意见后，应在3天内予以整改。</w:t>
      </w:r>
      <w:r/>
    </w:p>
    <w:p>
      <w:pPr>
        <w:ind w:firstLine="482"/>
        <w:spacing w:line="360" w:lineRule="auto"/>
        <w:rPr>
          <w:rFonts w:ascii="宋体" w:hAnsi="宋体"/>
          <w:b/>
          <w:bCs/>
          <w:szCs w:val="21"/>
          <w:highlight w:val="none"/>
        </w:rPr>
      </w:pPr>
      <w:r>
        <w:rPr>
          <w:rFonts w:hint="eastAsia" w:ascii="宋体" w:hAnsi="宋体"/>
          <w:b/>
          <w:bCs/>
          <w:szCs w:val="21"/>
          <w:highlight w:val="none"/>
        </w:rPr>
        <w:t xml:space="preserve">五、项目实施方案的要求</w:t>
      </w:r>
      <w:r/>
    </w:p>
    <w:p>
      <w:pPr>
        <w:ind w:firstLine="480"/>
        <w:spacing w:line="360" w:lineRule="auto"/>
        <w:rPr>
          <w:rFonts w:ascii="宋体" w:hAnsi="宋体"/>
          <w:bCs/>
          <w:szCs w:val="21"/>
          <w:highlight w:val="none"/>
        </w:rPr>
      </w:pPr>
      <w:r>
        <w:rPr>
          <w:rFonts w:hint="eastAsia" w:ascii="宋体" w:hAnsi="宋体"/>
          <w:bCs/>
          <w:szCs w:val="21"/>
          <w:highlight w:val="none"/>
        </w:rPr>
        <w:t xml:space="preserve">根据采购项目具体特点和实际需要编制切实可行的总体概述，施工方案、方法，工期保证体系及保证措施，工程质量管理体系及保证措施，环境保护、安全、文明施工，拟投入本工程的机械、设备的种类，人员配备。</w:t>
      </w:r>
      <w:r/>
    </w:p>
    <w:p>
      <w:pPr>
        <w:ind w:firstLine="480"/>
        <w:spacing w:line="360" w:lineRule="auto"/>
        <w:rPr>
          <w:rFonts w:ascii="宋体" w:hAnsi="宋体"/>
          <w:bCs/>
          <w:szCs w:val="21"/>
          <w:highlight w:val="none"/>
        </w:rPr>
      </w:pPr>
      <w:r>
        <w:rPr>
          <w:rFonts w:hint="eastAsia" w:ascii="宋体" w:hAnsi="宋体"/>
          <w:bCs/>
          <w:szCs w:val="21"/>
          <w:highlight w:val="none"/>
        </w:rPr>
        <w:t xml:space="preserve">（一）总体概述：符合本项目施工要求，合理的部署总体施工规划、施工组织内容、施工工艺流程、各分部分项工程工序计划安排等内容进行详尽描述。</w:t>
      </w:r>
      <w:r/>
    </w:p>
    <w:p>
      <w:pPr>
        <w:ind w:firstLine="480"/>
        <w:spacing w:line="360" w:lineRule="auto"/>
        <w:rPr>
          <w:rFonts w:ascii="宋体" w:hAnsi="宋体"/>
          <w:bCs/>
          <w:szCs w:val="21"/>
          <w:highlight w:val="none"/>
        </w:rPr>
      </w:pPr>
      <w:r>
        <w:rPr>
          <w:rFonts w:hint="eastAsia" w:ascii="宋体" w:hAnsi="宋体"/>
          <w:bCs/>
          <w:szCs w:val="21"/>
          <w:highlight w:val="none"/>
        </w:rPr>
        <w:t xml:space="preserve">（二）施工方案、方法：应仔细研究所投标段的施工方案和技术要求，了解施工地点的地质、气象等情况，制定周密的施工方案、方法，特别是重点难点工程的施工方案、方法，以保证本合同工程的顺利施工等内容进行详尽描述。</w:t>
      </w:r>
      <w:r/>
    </w:p>
    <w:p>
      <w:pPr>
        <w:ind w:firstLine="480"/>
        <w:spacing w:line="360" w:lineRule="auto"/>
        <w:rPr>
          <w:rFonts w:ascii="宋体" w:hAnsi="宋体"/>
          <w:bCs/>
          <w:szCs w:val="21"/>
          <w:highlight w:val="none"/>
        </w:rPr>
      </w:pPr>
      <w:r>
        <w:rPr>
          <w:rFonts w:hint="eastAsia" w:ascii="宋体" w:hAnsi="宋体"/>
          <w:bCs/>
          <w:szCs w:val="21"/>
          <w:highlight w:val="none"/>
        </w:rPr>
        <w:t xml:space="preserve">（三）工期保证体系及保证措施：以目前的施工条件所须配套人员及机械设备以保证工程进度等内容进行详尽描述。</w:t>
      </w:r>
      <w:r/>
    </w:p>
    <w:p>
      <w:pPr>
        <w:ind w:firstLine="480"/>
        <w:spacing w:line="360" w:lineRule="auto"/>
        <w:rPr>
          <w:rFonts w:ascii="宋体" w:hAnsi="宋体"/>
          <w:bCs/>
          <w:szCs w:val="21"/>
          <w:highlight w:val="none"/>
        </w:rPr>
      </w:pPr>
      <w:r>
        <w:rPr>
          <w:rFonts w:hint="eastAsia" w:ascii="宋体" w:hAnsi="宋体"/>
          <w:bCs/>
          <w:szCs w:val="21"/>
          <w:highlight w:val="none"/>
        </w:rPr>
        <w:t xml:space="preserve">（四）工程质量管理体系及保证措施：对本项目主要工程的现场实际情况提供有针对性的工程质量保证措施阐述，措施合理有效、可实施性应符合要求等内容进行详尽描述。</w:t>
      </w:r>
      <w:r/>
    </w:p>
    <w:p>
      <w:pPr>
        <w:ind w:firstLine="480"/>
        <w:spacing w:line="360" w:lineRule="auto"/>
        <w:rPr>
          <w:rFonts w:hint="eastAsia" w:ascii="宋体" w:hAnsi="宋体"/>
          <w:bCs/>
          <w:szCs w:val="21"/>
          <w:highlight w:val="none"/>
        </w:rPr>
      </w:pPr>
      <w:r>
        <w:rPr>
          <w:rFonts w:hint="eastAsia" w:ascii="宋体" w:hAnsi="宋体"/>
          <w:bCs/>
          <w:szCs w:val="21"/>
          <w:highlight w:val="none"/>
        </w:rPr>
        <w:t xml:space="preserve">（五）环境保护、安全、文明施工：环境保护、安全、文明施工等应完整、详细具体、科学合理、方式方法应符合要求等内容进行详尽描述。</w:t>
      </w:r>
      <w:r/>
    </w:p>
    <w:p>
      <w:pPr>
        <w:ind w:firstLine="480"/>
        <w:spacing w:line="360" w:lineRule="auto"/>
        <w:rPr>
          <w:rFonts w:hint="eastAsia" w:ascii="宋体" w:hAnsi="宋体" w:eastAsia="宋体" w:cs="宋体"/>
          <w:b w:val="0"/>
          <w:bCs w:val="0"/>
          <w:i w:val="0"/>
          <w:iCs w:val="0"/>
          <w:color w:val="000000"/>
          <w:sz w:val="21"/>
          <w:szCs w:val="21"/>
          <w:highlight w:val="none"/>
          <w:lang w:eastAsia="zh-CN"/>
        </w:rPr>
      </w:pPr>
      <w:r>
        <w:rPr>
          <w:rFonts w:hint="eastAsia" w:ascii="宋体" w:hAnsi="宋体"/>
          <w:bCs/>
          <w:szCs w:val="21"/>
          <w:highlight w:val="none"/>
        </w:rPr>
        <w:t xml:space="preserve">（六）劳动力配备</w:t>
      </w:r>
      <w:r>
        <w:rPr>
          <w:rFonts w:hint="eastAsia" w:ascii="宋体" w:hAnsi="宋体"/>
          <w:bCs/>
          <w:szCs w:val="21"/>
          <w:highlight w:val="none"/>
          <w:lang w:val="en-US" w:eastAsia="zh-CN"/>
        </w:rPr>
        <w:t xml:space="preserve">:</w:t>
      </w:r>
      <w:r>
        <w:rPr>
          <w:rFonts w:ascii="宋体" w:hAnsi="宋体" w:eastAsia="宋体" w:cs="宋体"/>
          <w:b w:val="0"/>
          <w:bCs w:val="0"/>
          <w:i w:val="0"/>
          <w:iCs w:val="0"/>
          <w:color w:val="000000"/>
          <w:sz w:val="21"/>
          <w:szCs w:val="21"/>
          <w:highlight w:val="none"/>
        </w:rPr>
        <w:t xml:space="preserve">劳动力使用计划、劳动力组织管理及技术保证措施等使用计划内容完整，配备合理，组织管理及技术保证方案详细且完全满足项目实施需要</w:t>
      </w:r>
      <w:r>
        <w:rPr>
          <w:rFonts w:hint="eastAsia" w:ascii="宋体" w:hAnsi="宋体" w:eastAsia="宋体" w:cs="宋体"/>
          <w:b w:val="0"/>
          <w:bCs w:val="0"/>
          <w:i w:val="0"/>
          <w:iCs w:val="0"/>
          <w:color w:val="000000"/>
          <w:sz w:val="21"/>
          <w:szCs w:val="21"/>
          <w:highlight w:val="none"/>
          <w:lang w:eastAsia="zh-CN"/>
        </w:rPr>
        <w:t xml:space="preserve">。</w:t>
      </w:r>
      <w:r/>
    </w:p>
    <w:p>
      <w:pPr>
        <w:ind w:firstLine="480"/>
        <w:spacing w:line="360" w:lineRule="auto"/>
        <w:rPr>
          <w:rFonts w:hint="eastAsia" w:ascii="宋体" w:hAnsi="宋体" w:eastAsia="宋体" w:cs="宋体"/>
          <w:b w:val="0"/>
          <w:bCs w:val="0"/>
          <w:i w:val="0"/>
          <w:iCs w:val="0"/>
          <w:color w:val="000000"/>
          <w:sz w:val="21"/>
          <w:szCs w:val="21"/>
          <w:highlight w:val="none"/>
          <w:lang w:val="en-US" w:eastAsia="zh-CN"/>
        </w:rPr>
      </w:pPr>
      <w:r>
        <w:rPr>
          <w:rFonts w:hint="eastAsia" w:ascii="宋体" w:hAnsi="宋体"/>
          <w:bCs/>
          <w:szCs w:val="21"/>
          <w:highlight w:val="none"/>
        </w:rPr>
        <w:t xml:space="preserve">（</w:t>
      </w:r>
      <w:r>
        <w:rPr>
          <w:rFonts w:hint="eastAsia" w:ascii="宋体" w:hAnsi="宋体"/>
          <w:bCs/>
          <w:szCs w:val="21"/>
          <w:highlight w:val="none"/>
          <w:lang w:val="en-US" w:eastAsia="zh-CN"/>
        </w:rPr>
        <w:t xml:space="preserve">七</w:t>
      </w:r>
      <w:r>
        <w:rPr>
          <w:rFonts w:hint="eastAsia" w:ascii="宋体" w:hAnsi="宋体"/>
          <w:bCs/>
          <w:szCs w:val="21"/>
          <w:highlight w:val="none"/>
        </w:rPr>
        <w:t xml:space="preserve">）</w:t>
      </w:r>
      <w:r>
        <w:rPr>
          <w:rFonts w:hint="eastAsia" w:ascii="宋体" w:hAnsi="宋体" w:eastAsia="宋体" w:cs="宋体"/>
          <w:b w:val="0"/>
          <w:bCs w:val="0"/>
          <w:i w:val="0"/>
          <w:iCs w:val="0"/>
          <w:color w:val="000000"/>
          <w:sz w:val="21"/>
          <w:szCs w:val="21"/>
          <w:highlight w:val="none"/>
          <w:lang w:val="en-US" w:eastAsia="zh-CN"/>
        </w:rPr>
        <w:t xml:space="preserve">智慧体育施工方案</w:t>
      </w:r>
      <w:r>
        <w:rPr>
          <w:rFonts w:ascii="Calibri" w:hAnsi="Calibri" w:eastAsia="宋体" w:cs="Times New Roman"/>
          <w:szCs w:val="22"/>
          <w:highlight w:val="none"/>
        </w:rPr>
        <w:t xml:space="preserve">内容完整、详细具体、科学合理、措施可靠、针对性强</w:t>
      </w:r>
      <w:r>
        <w:rPr>
          <w:rFonts w:hint="eastAsia" w:ascii="宋体" w:hAnsi="宋体" w:eastAsia="宋体" w:cs="宋体"/>
          <w:b w:val="0"/>
          <w:bCs w:val="0"/>
          <w:i w:val="0"/>
          <w:iCs w:val="0"/>
          <w:color w:val="000000"/>
          <w:sz w:val="21"/>
          <w:szCs w:val="21"/>
          <w:highlight w:val="none"/>
          <w:lang w:eastAsia="zh-CN"/>
        </w:rPr>
        <w:t xml:space="preserve">。</w:t>
      </w:r>
      <w:r/>
    </w:p>
    <w:p>
      <w:pPr>
        <w:ind w:firstLine="480"/>
        <w:spacing w:line="360" w:lineRule="auto"/>
        <w:rPr>
          <w:rFonts w:hint="eastAsia" w:ascii="宋体" w:hAnsi="宋体"/>
          <w:bCs/>
          <w:szCs w:val="21"/>
          <w:highlight w:val="none"/>
        </w:rPr>
      </w:pPr>
      <w:r>
        <w:rPr>
          <w:rFonts w:hint="eastAsia" w:ascii="宋体" w:hAnsi="宋体"/>
          <w:bCs/>
          <w:szCs w:val="21"/>
          <w:highlight w:val="none"/>
        </w:rPr>
        <w:t xml:space="preserve">（</w:t>
      </w:r>
      <w:r>
        <w:rPr>
          <w:rFonts w:hint="eastAsia" w:ascii="宋体" w:hAnsi="宋体"/>
          <w:bCs/>
          <w:szCs w:val="21"/>
          <w:highlight w:val="none"/>
          <w:lang w:val="en-US" w:eastAsia="zh-CN"/>
        </w:rPr>
        <w:t xml:space="preserve">八</w:t>
      </w:r>
      <w:r>
        <w:rPr>
          <w:rFonts w:hint="eastAsia" w:ascii="宋体" w:hAnsi="宋体"/>
          <w:bCs/>
          <w:szCs w:val="21"/>
          <w:highlight w:val="none"/>
        </w:rPr>
        <w:t xml:space="preserve">）拟投入本工程的机械、设备的种类：拟投入本工程的机械、设备的种类齐全、数量满足工程施工要求、符合本地区施工现场特点等内容进行详尽描述。</w:t>
      </w:r>
      <w:r/>
    </w:p>
    <w:p>
      <w:pPr>
        <w:ind w:firstLine="480"/>
        <w:spacing w:line="360" w:lineRule="auto"/>
        <w:rPr>
          <w:rFonts w:hint="eastAsia" w:ascii="宋体" w:hAnsi="宋体" w:eastAsia="宋体"/>
          <w:bCs/>
          <w:szCs w:val="21"/>
          <w:highlight w:val="none"/>
          <w:lang w:eastAsia="zh-CN"/>
        </w:rPr>
      </w:pP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九</w:t>
      </w:r>
      <w:r>
        <w:rPr>
          <w:rFonts w:hint="eastAsia" w:ascii="宋体" w:hAnsi="宋体"/>
          <w:bCs/>
          <w:szCs w:val="21"/>
          <w:highlight w:val="none"/>
          <w:lang w:eastAsia="zh-CN"/>
        </w:rPr>
        <w:t xml:space="preserve">）</w:t>
      </w:r>
      <w:r>
        <w:rPr>
          <w:rFonts w:ascii="宋体" w:hAnsi="宋体" w:cs="宋体"/>
          <w:color w:val="000000"/>
          <w:sz w:val="21"/>
          <w:szCs w:val="21"/>
          <w:highlight w:val="none"/>
        </w:rPr>
        <w:t xml:space="preserve">售后服务方案</w:t>
      </w:r>
      <w:r>
        <w:rPr>
          <w:rFonts w:hint="eastAsia" w:ascii="宋体" w:hAnsi="宋体" w:cs="宋体"/>
          <w:sz w:val="21"/>
          <w:szCs w:val="21"/>
          <w:highlight w:val="none"/>
          <w:lang w:eastAsia="zh-CN"/>
        </w:rPr>
        <w:t xml:space="preserve">：</w:t>
      </w:r>
      <w:r>
        <w:rPr>
          <w:rFonts w:cs="Times New Roman"/>
          <w:szCs w:val="24"/>
          <w:highlight w:val="none"/>
        </w:rPr>
        <w:t xml:space="preserve">方案内容包括但不限于质保期服务管理体系、质保期服务人员的技术水平及现场服务措施、质保期服务承诺、质保期服务应答及处理时间、应急处理方案等方面</w:t>
      </w:r>
      <w:r>
        <w:rPr>
          <w:rFonts w:hint="eastAsia" w:cs="Times New Roman"/>
          <w:szCs w:val="24"/>
          <w:highlight w:val="none"/>
          <w:lang w:eastAsia="zh-CN"/>
        </w:rPr>
        <w:t xml:space="preserve">。</w:t>
      </w:r>
      <w:r/>
    </w:p>
    <w:p>
      <w:pPr>
        <w:ind w:firstLine="482"/>
        <w:spacing w:line="360" w:lineRule="auto"/>
        <w:rPr>
          <w:rFonts w:ascii="宋体" w:hAnsi="宋体"/>
          <w:b/>
          <w:szCs w:val="21"/>
          <w:highlight w:val="none"/>
        </w:rPr>
      </w:pPr>
      <w:r>
        <w:rPr>
          <w:rFonts w:hint="eastAsia" w:ascii="宋体" w:hAnsi="宋体"/>
          <w:b/>
          <w:szCs w:val="21"/>
          <w:highlight w:val="none"/>
        </w:rPr>
        <w:t xml:space="preserve">六、报价编制要求</w:t>
      </w:r>
      <w:r/>
    </w:p>
    <w:p>
      <w:pPr>
        <w:ind w:firstLine="480"/>
        <w:spacing w:line="360" w:lineRule="auto"/>
        <w:rPr>
          <w:rFonts w:ascii="宋体" w:hAnsi="宋体"/>
          <w:bCs/>
          <w:szCs w:val="21"/>
          <w:highlight w:val="none"/>
        </w:rPr>
      </w:pPr>
      <w:r>
        <w:rPr>
          <w:rFonts w:hint="eastAsia" w:ascii="宋体" w:hAnsi="宋体"/>
          <w:bCs/>
          <w:szCs w:val="21"/>
          <w:highlight w:val="none"/>
        </w:rPr>
        <w:t xml:space="preserve">（一）本项目不接受备选的投标方案或有选择的报价，只允许有一个报价。报价内容包括：竞争性磋商文</w:t>
      </w:r>
      <w:r>
        <w:rPr>
          <w:rFonts w:hint="eastAsia" w:ascii="宋体" w:hAnsi="宋体"/>
          <w:bCs/>
          <w:szCs w:val="21"/>
          <w:highlight w:val="none"/>
        </w:rPr>
        <w:t xml:space="preserve">件所确定的招标范围内的全部内容，包括工程量清单和相应的内容的价格体现，以及为完成上述内容所必须的包装、运输、附属工程、临时工程、开办费、技术措施费、材料、劳务、机械设备、安装、维护、管理、利润、税金及政策性文件规定费用、检测、档案整理及移交等完成本项目所涉及到的一切相关费用。供应商应对施工现场进行详细的踏勘，了解工程的具体位置，工程施工的具体范围、施工车辆的行进路线、施工便道、运输、储存空间、装卸限制、垃圾清理外运及一切可能影响到正常施工的因素，并将之考虑计入投标报价中。</w:t>
      </w:r>
      <w:r/>
    </w:p>
    <w:p>
      <w:pPr>
        <w:ind w:firstLine="480"/>
        <w:spacing w:line="360" w:lineRule="auto"/>
        <w:rPr>
          <w:rFonts w:ascii="宋体" w:hAnsi="宋体"/>
          <w:bCs/>
          <w:szCs w:val="21"/>
          <w:highlight w:val="none"/>
        </w:rPr>
      </w:pPr>
      <w:r>
        <w:rPr>
          <w:rFonts w:hint="eastAsia" w:ascii="宋体" w:hAnsi="宋体"/>
          <w:bCs/>
          <w:szCs w:val="21"/>
          <w:highlight w:val="none"/>
        </w:rPr>
        <w:t xml:space="preserve">（二）投标报价应根据招标文件中的工程量清单和有关要求、施工现场实际情况及拟定的施工组织设计，自行了解市场价格或参考工程造价管理部门（协会）发布的人工、材料、机械市场指导价格，并考虑风险因素，进行自主报价，但投标报价不得低于企业成本。</w:t>
      </w:r>
      <w:r/>
    </w:p>
    <w:p>
      <w:pPr>
        <w:ind w:firstLine="480"/>
        <w:spacing w:line="360" w:lineRule="auto"/>
        <w:rPr>
          <w:rFonts w:ascii="宋体" w:hAnsi="宋体"/>
          <w:bCs/>
          <w:szCs w:val="21"/>
          <w:highlight w:val="none"/>
        </w:rPr>
      </w:pPr>
      <w:r>
        <w:rPr>
          <w:rFonts w:hint="eastAsia" w:ascii="宋体" w:hAnsi="宋体"/>
          <w:bCs/>
          <w:szCs w:val="21"/>
          <w:highlight w:val="none"/>
        </w:rPr>
        <w:t xml:space="preserve">（三）投标报价方式：①采用工程量清单计价，固定单价报价方式。综合单价需调整时，按合同约定执行。②供应商根据招标人提供的工程量清单计算工程项目的单价、合价。每一个规定计量单位项目只允许有一个报价。任何有选择的报价将不予接受。供应商未填写的单价或合价的工程量清单项目，招标人将不予支付，并视为该项费用已包含在其它有价款的单价或合价内。</w:t>
      </w:r>
      <w:r/>
    </w:p>
    <w:p>
      <w:pPr>
        <w:ind w:firstLine="480"/>
        <w:spacing w:line="360" w:lineRule="auto"/>
        <w:rPr>
          <w:rFonts w:ascii="宋体" w:hAnsi="宋体"/>
          <w:bCs/>
          <w:szCs w:val="21"/>
          <w:highlight w:val="none"/>
        </w:rPr>
      </w:pPr>
      <w:r>
        <w:rPr>
          <w:rFonts w:hint="eastAsia" w:ascii="宋体" w:hAnsi="宋体"/>
          <w:bCs/>
          <w:szCs w:val="21"/>
          <w:highlight w:val="none"/>
        </w:rPr>
        <w:t xml:space="preserve">（四）投标报价的计价方法：采用工程量清单计价的方法。</w:t>
      </w:r>
      <w:r/>
    </w:p>
    <w:p>
      <w:pPr>
        <w:ind w:firstLine="480"/>
        <w:spacing w:line="360" w:lineRule="auto"/>
        <w:rPr>
          <w:rFonts w:ascii="宋体" w:hAnsi="宋体"/>
          <w:bCs/>
          <w:szCs w:val="21"/>
          <w:highlight w:val="none"/>
        </w:rPr>
      </w:pPr>
      <w:r>
        <w:rPr>
          <w:rFonts w:hint="eastAsia" w:ascii="宋体" w:hAnsi="宋体"/>
          <w:bCs/>
          <w:szCs w:val="21"/>
          <w:highlight w:val="none"/>
        </w:rPr>
        <w:t xml:space="preserve">（五）投标报价编制的参考依据：①《建设工程工程量清单计价规范》（GB50500-2013）及其配套的计算规范；②2014版《江苏省建筑与装饰工程计价定额》；③2014版《江苏省市政工程计价定额》；④2014版《江苏省安装工程计价定额》等；⑤招标文件、招标答疑、工程量清单、设计、施工规范等；⑥2014年《江苏省建设工程费用定额》、苏建价（2016）154号文；⑦招标文件的工程量清单中所列的“暂列金额”，由发包人根据实际情况掌握使用，与对承包人合同工程款支付无关。⑧其他相关文件规定。</w:t>
      </w:r>
      <w:r/>
    </w:p>
    <w:p>
      <w:pPr>
        <w:ind w:firstLine="480"/>
        <w:spacing w:line="360" w:lineRule="auto"/>
        <w:rPr>
          <w:rFonts w:ascii="宋体" w:hAnsi="宋体"/>
          <w:bCs/>
          <w:szCs w:val="21"/>
          <w:highlight w:val="none"/>
        </w:rPr>
      </w:pPr>
      <w:r>
        <w:rPr>
          <w:rFonts w:hint="eastAsia" w:ascii="宋体" w:hAnsi="宋体"/>
          <w:bCs/>
          <w:szCs w:val="21"/>
          <w:highlight w:val="none"/>
        </w:rPr>
        <w:t xml:space="preserve">（六）投标报价编制要求：①工程投标报价以工程量清单计价方式进行报价；②报价以招标人提供的工程量清单为准，根据市场行情自主报价。</w:t>
      </w:r>
      <w:r/>
    </w:p>
    <w:p>
      <w:pPr>
        <w:ind w:firstLine="480"/>
        <w:spacing w:line="360" w:lineRule="auto"/>
        <w:rPr>
          <w:rFonts w:ascii="宋体" w:hAnsi="宋体"/>
          <w:bCs/>
          <w:szCs w:val="21"/>
          <w:highlight w:val="none"/>
        </w:rPr>
      </w:pPr>
      <w:r>
        <w:rPr>
          <w:rFonts w:hint="eastAsia" w:ascii="宋体" w:hAnsi="宋体"/>
          <w:bCs/>
          <w:szCs w:val="21"/>
          <w:highlight w:val="none"/>
        </w:rPr>
        <w:t xml:space="preserve">（七）供应商不得改变下列不可竞争费用：一、现场安全、文明施工措施费：1.基本费率，详见工程量清单；2.省级标化增加费率，详见工程量清单；3、扬尘污染防治增加费，详见工程量清单。二、规费：1.社会保险费率，详见工程量清单；2.住房公积金，详见工程量清单；3.环境保护税，详见工程量清单。三、税金，详见工程量清单。四、工程按质论价费率。</w:t>
      </w:r>
      <w:r/>
    </w:p>
    <w:p>
      <w:pPr>
        <w:ind w:firstLine="480"/>
        <w:spacing w:line="360" w:lineRule="auto"/>
        <w:rPr>
          <w:rFonts w:ascii="宋体" w:hAnsi="宋体"/>
          <w:bCs/>
          <w:szCs w:val="21"/>
          <w:highlight w:val="none"/>
        </w:rPr>
      </w:pPr>
      <w:r>
        <w:rPr>
          <w:rFonts w:hint="eastAsia" w:ascii="宋体" w:hAnsi="宋体"/>
          <w:bCs/>
          <w:szCs w:val="21"/>
          <w:highlight w:val="none"/>
        </w:rPr>
        <w:t xml:space="preserve">（八）响应文件报价中的单价、合价均用人民币表示。</w:t>
      </w:r>
      <w:r/>
    </w:p>
    <w:p>
      <w:pPr>
        <w:ind w:firstLine="480"/>
        <w:spacing w:line="360" w:lineRule="auto"/>
        <w:rPr>
          <w:rFonts w:ascii="宋体" w:hAnsi="宋体"/>
          <w:bCs/>
          <w:szCs w:val="21"/>
          <w:highlight w:val="none"/>
        </w:rPr>
      </w:pPr>
      <w:r>
        <w:rPr>
          <w:rFonts w:hint="eastAsia" w:ascii="宋体" w:hAnsi="宋体"/>
          <w:bCs/>
          <w:szCs w:val="21"/>
          <w:highlight w:val="none"/>
        </w:rPr>
        <w:t xml:space="preserve">（九）工程量清单计价成果文件必须按照竞争性磋商文件所提供的格式填写。</w:t>
      </w:r>
      <w:r/>
    </w:p>
    <w:p>
      <w:pPr>
        <w:ind w:firstLine="480"/>
        <w:spacing w:line="360" w:lineRule="auto"/>
        <w:rPr>
          <w:rFonts w:hint="default" w:ascii="宋体" w:hAnsi="宋体" w:eastAsia="宋体"/>
          <w:b/>
          <w:bCs/>
          <w:szCs w:val="21"/>
          <w:highlight w:val="none"/>
          <w:lang w:val="en-US" w:eastAsia="zh-CN"/>
        </w:rPr>
      </w:pPr>
      <w:r>
        <w:rPr>
          <w:rFonts w:hint="eastAsia" w:ascii="宋体" w:hAnsi="宋体"/>
          <w:b/>
          <w:bCs/>
          <w:szCs w:val="21"/>
          <w:highlight w:val="none"/>
        </w:rPr>
        <w:t xml:space="preserve">七、</w:t>
      </w:r>
      <w:r>
        <w:rPr>
          <w:rFonts w:hint="eastAsia" w:ascii="宋体" w:hAnsi="宋体"/>
          <w:b/>
          <w:bCs/>
          <w:szCs w:val="21"/>
          <w:highlight w:val="none"/>
          <w:lang w:val="en-US" w:eastAsia="zh-CN"/>
        </w:rPr>
        <w:t xml:space="preserve">低于成本报价</w:t>
      </w:r>
      <w:r/>
    </w:p>
    <w:p>
      <w:pPr>
        <w:ind w:firstLine="420"/>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 xml:space="preserve">1.评审过程中出现下列情形之一的，评审委员会应当启动异常低价投标（响应）审查程序：</w:t>
      </w:r>
      <w:r/>
    </w:p>
    <w:p>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 xml:space="preserve">（1）投标（响应）报价低于采购项目预算50%的，即投标（响应）报价&lt;采购项目预算×50%；</w:t>
      </w:r>
      <w:r/>
    </w:p>
    <w:p>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 xml:space="preserve">（2）投标（响应）报价低于采购项目最高限价45%的，即投标（响应）报价&lt;采购项目最高限价×45%；</w:t>
      </w:r>
      <w:r/>
    </w:p>
    <w:p>
      <w:pPr>
        <w:spacing w:line="360" w:lineRule="auto"/>
        <w:rPr>
          <w:rFonts w:hint="eastAsia" w:ascii="宋体" w:hAnsi="宋体"/>
          <w:b w:val="0"/>
          <w:bCs w:val="0"/>
          <w:szCs w:val="21"/>
          <w:highlight w:val="none"/>
          <w:lang w:val="en-US" w:eastAsia="zh-CN"/>
        </w:rPr>
      </w:pPr>
      <w:r>
        <w:rPr>
          <w:rFonts w:hint="eastAsia" w:ascii="宋体" w:hAnsi="宋体"/>
          <w:b w:val="0"/>
          <w:bCs w:val="0"/>
          <w:szCs w:val="21"/>
          <w:highlight w:val="none"/>
          <w:lang w:val="en-US" w:eastAsia="zh-CN"/>
        </w:rPr>
        <w:t xml:space="preserve">（3）评审委员会认定的供应商报价过低、有可能影响产品质量或者不能诚信履约的其他情形。</w:t>
      </w:r>
      <w:r/>
    </w:p>
    <w:p>
      <w:pPr>
        <w:ind w:firstLine="420"/>
        <w:spacing w:line="360" w:lineRule="auto"/>
        <w:rPr>
          <w:rFonts w:hint="default" w:ascii="宋体" w:hAnsi="宋体" w:eastAsia="宋体" w:cs="Times New Roman"/>
          <w:bCs/>
          <w:szCs w:val="21"/>
          <w:highlight w:val="none"/>
          <w:rtl w:val="0"/>
          <w:lang w:val="en-US" w:eastAsia="zh-CN"/>
        </w:rPr>
      </w:pPr>
      <w:r>
        <w:rPr>
          <w:rFonts w:hint="eastAsia" w:ascii="宋体" w:hAnsi="宋体"/>
          <w:b w:val="0"/>
          <w:bCs w:val="0"/>
          <w:szCs w:val="21"/>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eastAsia="宋体" w:cs="Times New Roman"/>
          <w:b w:val="0"/>
          <w:bCs w:val="0"/>
          <w:szCs w:val="21"/>
          <w:highlight w:val="none"/>
          <w:lang w:val="en-US" w:eastAsia="zh-CN"/>
        </w:rPr>
        <w:t xml:space="preserve">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2"/>
        <w:spacing w:line="360" w:lineRule="auto"/>
        <w:rPr>
          <w:rFonts w:ascii="宋体" w:hAnsi="宋体"/>
          <w:bCs/>
          <w:szCs w:val="21"/>
          <w:highlight w:val="none"/>
        </w:rPr>
      </w:pPr>
      <w:r>
        <w:rPr>
          <w:rFonts w:hint="eastAsia" w:ascii="宋体" w:hAnsi="宋体"/>
          <w:b/>
          <w:szCs w:val="21"/>
          <w:highlight w:val="none"/>
        </w:rPr>
        <w:t xml:space="preserve">八、采购标的需实现的功能或者目标，以及为落实政府采购政策需满足的要求；</w:t>
      </w:r>
      <w:r/>
    </w:p>
    <w:p>
      <w:pPr>
        <w:ind w:firstLine="480"/>
        <w:spacing w:line="360" w:lineRule="auto"/>
        <w:rPr>
          <w:rFonts w:hint="eastAsia" w:ascii="宋体" w:hAnsi="宋体"/>
          <w:bCs/>
          <w:szCs w:val="21"/>
          <w:highlight w:val="none"/>
          <w:lang w:val="en-US" w:eastAsia="zh-CN"/>
        </w:rPr>
      </w:pPr>
      <w:r>
        <w:rPr>
          <w:rFonts w:hint="eastAsia" w:ascii="宋体" w:hAnsi="宋体"/>
          <w:bCs/>
          <w:szCs w:val="21"/>
          <w:highlight w:val="none"/>
          <w:lang w:val="en-US" w:eastAsia="zh-CN"/>
        </w:rPr>
        <w:t xml:space="preserve">1、采购本国货物、工程和服务</w:t>
      </w:r>
      <w:r/>
    </w:p>
    <w:p>
      <w:pPr>
        <w:ind w:firstLine="480"/>
        <w:spacing w:line="360" w:lineRule="auto"/>
        <w:rPr>
          <w:rFonts w:hint="eastAsia" w:ascii="宋体" w:hAnsi="宋体"/>
          <w:bCs/>
          <w:szCs w:val="21"/>
          <w:highlight w:val="none"/>
          <w:lang w:val="en-US" w:eastAsia="zh-CN"/>
        </w:rPr>
      </w:pPr>
      <w:r>
        <w:rPr>
          <w:rFonts w:hint="eastAsia" w:ascii="宋体" w:hAnsi="宋体"/>
          <w:bCs/>
          <w:szCs w:val="21"/>
          <w:highlight w:val="none"/>
          <w:lang w:val="en-US" w:eastAsia="zh-CN"/>
        </w:rPr>
        <w:t xml:space="preserve">1.1政府采购应当采购本国货物、工程和服务，但有《中华人民共和国政府采购法》第十条规定情形的除外。</w:t>
      </w:r>
      <w:r/>
    </w:p>
    <w:p>
      <w:pPr>
        <w:ind w:firstLine="480"/>
        <w:spacing w:line="360" w:lineRule="auto"/>
        <w:rPr>
          <w:rFonts w:hint="eastAsia" w:ascii="宋体" w:hAnsi="宋体"/>
          <w:bCs/>
          <w:szCs w:val="21"/>
          <w:highlight w:val="none"/>
          <w:lang w:val="en-US" w:eastAsia="zh-CN"/>
        </w:rPr>
      </w:pPr>
      <w:r>
        <w:rPr>
          <w:rFonts w:hint="eastAsia" w:ascii="宋体" w:hAnsi="宋体"/>
          <w:bCs/>
          <w:szCs w:val="21"/>
          <w:highlight w:val="none"/>
          <w:lang w:val="en-US" w:eastAsia="zh-CN"/>
        </w:rPr>
        <w:t xml:space="preserve">1.2如采购进口产品的，应当符合《政府采购进口产品管理办法》(财库(2007)119号文) 、《关于政府采购进口产品管理有关问题的通知》 (财办库 (2008) 248号文) 等相关规定。</w:t>
      </w:r>
      <w:r/>
    </w:p>
    <w:p>
      <w:pPr>
        <w:ind w:firstLine="480"/>
        <w:spacing w:line="360" w:lineRule="auto"/>
        <w:rPr>
          <w:rFonts w:hint="eastAsia" w:ascii="宋体" w:hAnsi="宋体"/>
          <w:bCs/>
          <w:szCs w:val="21"/>
          <w:highlight w:val="none"/>
          <w:lang w:val="en-US" w:eastAsia="zh-CN"/>
        </w:rPr>
      </w:pPr>
      <w:r>
        <w:rPr>
          <w:rFonts w:hint="eastAsia" w:ascii="宋体" w:hAnsi="宋体"/>
          <w:bCs/>
          <w:szCs w:val="21"/>
          <w:highlight w:val="none"/>
          <w:lang w:val="en-US" w:eastAsia="zh-CN"/>
        </w:rPr>
        <w:t xml:space="preserve">2、政府强制采购节能产品</w:t>
      </w:r>
      <w:r/>
    </w:p>
    <w:p>
      <w:pPr>
        <w:ind w:firstLine="480"/>
        <w:spacing w:line="360" w:lineRule="auto"/>
        <w:rPr>
          <w:rFonts w:hint="eastAsia" w:ascii="宋体" w:hAnsi="宋体"/>
          <w:bCs/>
          <w:szCs w:val="21"/>
          <w:highlight w:val="none"/>
          <w:lang w:val="en-US" w:eastAsia="zh-CN"/>
        </w:rPr>
      </w:pPr>
      <w:r>
        <w:rPr>
          <w:rFonts w:hint="eastAsia" w:ascii="宋体" w:hAnsi="宋体"/>
          <w:bCs/>
          <w:szCs w:val="21"/>
          <w:highlight w:val="none"/>
          <w:lang w:val="en-US" w:eastAsia="zh-CN"/>
        </w:rPr>
        <w:t xml:space="preserve">采购人拟采购的产品属于政府强制采购的节能产品品目清单范围的，供应商须提供国家确定的认证机构出具的、处于有效期之内的节能产品认证证书的，否则无效标处理。</w:t>
      </w:r>
      <w:r/>
    </w:p>
    <w:p>
      <w:pPr>
        <w:ind w:firstLine="480"/>
        <w:spacing w:line="360" w:lineRule="auto"/>
        <w:rPr>
          <w:rFonts w:hint="eastAsia" w:ascii="宋体" w:hAnsi="宋体"/>
          <w:bCs/>
          <w:szCs w:val="21"/>
          <w:highlight w:val="none"/>
          <w:lang w:val="en-US" w:eastAsia="zh-CN"/>
        </w:rPr>
      </w:pPr>
      <w:r>
        <w:rPr>
          <w:rFonts w:hint="eastAsia" w:ascii="宋体" w:hAnsi="宋体"/>
          <w:bCs/>
          <w:szCs w:val="21"/>
          <w:highlight w:val="none"/>
          <w:lang w:val="en-US" w:eastAsia="zh-CN"/>
        </w:rPr>
        <w:t xml:space="preserve">3、政府采购需求标准</w:t>
      </w:r>
      <w:r/>
    </w:p>
    <w:p>
      <w:pPr>
        <w:ind w:firstLine="480"/>
        <w:spacing w:line="360" w:lineRule="auto"/>
        <w:rPr>
          <w:rFonts w:hint="eastAsia" w:ascii="宋体" w:hAnsi="宋体"/>
          <w:bCs/>
          <w:szCs w:val="21"/>
          <w:highlight w:val="none"/>
          <w:lang w:val="en-US" w:eastAsia="zh-CN"/>
        </w:rPr>
      </w:pPr>
      <w:r>
        <w:rPr>
          <w:rFonts w:hint="eastAsia" w:ascii="宋体" w:hAnsi="宋体"/>
          <w:bCs/>
          <w:szCs w:val="21"/>
          <w:highlight w:val="none"/>
          <w:lang w:val="en-US" w:eastAsia="zh-CN"/>
        </w:rPr>
        <w:t xml:space="preserve">3.1商品包装、快递包装政府采购需求标准（试行）</w:t>
      </w:r>
      <w:r/>
    </w:p>
    <w:p>
      <w:pPr>
        <w:ind w:firstLine="480"/>
        <w:spacing w:line="360" w:lineRule="auto"/>
      </w:pPr>
      <w:r>
        <w:rPr>
          <w:rFonts w:hint="eastAsia" w:ascii="宋体" w:hAnsi="宋体"/>
          <w:bCs/>
          <w:szCs w:val="21"/>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spacing w:line="360" w:lineRule="auto"/>
        <w:rPr>
          <w:rFonts w:ascii="宋体" w:hAnsi="宋体"/>
          <w:bCs/>
          <w:sz w:val="24"/>
          <w:szCs w:val="24"/>
          <w:highlight w:val="none"/>
        </w:rPr>
      </w:pPr>
      <w:r>
        <w:rPr>
          <w:rFonts w:ascii="宋体" w:hAnsi="宋体"/>
          <w:bCs/>
          <w:sz w:val="24"/>
          <w:szCs w:val="24"/>
          <w:highlight w:val="none"/>
        </w:rPr>
      </w:r>
      <w:r/>
    </w:p>
    <w:p>
      <w:pPr>
        <w:pStyle w:val="731"/>
        <w:rPr>
          <w:rFonts w:ascii="宋体" w:hAnsi="宋体"/>
          <w:bCs/>
          <w:sz w:val="24"/>
          <w:szCs w:val="24"/>
          <w:highlight w:val="none"/>
        </w:rPr>
      </w:pPr>
      <w:r>
        <w:rPr>
          <w:rFonts w:ascii="宋体" w:hAnsi="宋体"/>
          <w:bCs/>
          <w:sz w:val="24"/>
          <w:szCs w:val="24"/>
          <w:highlight w:val="none"/>
        </w:rPr>
      </w:r>
      <w:r/>
    </w:p>
    <w:p>
      <w:pPr>
        <w:rPr>
          <w:rFonts w:ascii="宋体" w:hAnsi="宋体"/>
          <w:bCs/>
          <w:sz w:val="24"/>
          <w:szCs w:val="24"/>
          <w:highlight w:val="none"/>
        </w:rPr>
      </w:pPr>
      <w:r>
        <w:rPr>
          <w:rFonts w:ascii="宋体" w:hAnsi="宋体"/>
          <w:bCs/>
          <w:sz w:val="24"/>
          <w:szCs w:val="24"/>
          <w:highlight w:val="none"/>
        </w:rPr>
      </w:r>
      <w:r/>
    </w:p>
    <w:p>
      <w:pPr>
        <w:pStyle w:val="731"/>
        <w:rPr>
          <w:rFonts w:ascii="宋体" w:hAnsi="宋体"/>
          <w:bCs/>
          <w:sz w:val="24"/>
          <w:szCs w:val="24"/>
          <w:highlight w:val="none"/>
        </w:rPr>
      </w:pPr>
      <w:r>
        <w:rPr>
          <w:rFonts w:ascii="宋体" w:hAnsi="宋体"/>
          <w:bCs/>
          <w:sz w:val="24"/>
          <w:szCs w:val="24"/>
          <w:highlight w:val="none"/>
        </w:rPr>
      </w:r>
      <w:r/>
    </w:p>
    <w:p>
      <w:pPr>
        <w:rPr>
          <w:rFonts w:ascii="宋体" w:hAnsi="宋体"/>
          <w:bCs/>
          <w:sz w:val="24"/>
          <w:szCs w:val="24"/>
          <w:highlight w:val="none"/>
        </w:rPr>
      </w:pPr>
      <w:r>
        <w:rPr>
          <w:rFonts w:ascii="宋体" w:hAnsi="宋体"/>
          <w:bCs/>
          <w:sz w:val="24"/>
          <w:szCs w:val="24"/>
          <w:highlight w:val="none"/>
        </w:rPr>
      </w:r>
      <w:r/>
    </w:p>
    <w:p>
      <w:pPr>
        <w:pStyle w:val="731"/>
        <w:rPr>
          <w:rFonts w:ascii="宋体" w:hAnsi="宋体"/>
          <w:bCs/>
          <w:sz w:val="24"/>
          <w:szCs w:val="24"/>
          <w:highlight w:val="none"/>
        </w:rPr>
      </w:pPr>
      <w:r>
        <w:rPr>
          <w:rFonts w:ascii="宋体" w:hAnsi="宋体"/>
          <w:bCs/>
          <w:sz w:val="24"/>
          <w:szCs w:val="24"/>
          <w:highlight w:val="none"/>
        </w:rPr>
      </w:r>
      <w:r/>
    </w:p>
    <w:p>
      <w:pPr>
        <w:rPr>
          <w:rFonts w:ascii="宋体" w:hAnsi="宋体"/>
          <w:bCs/>
          <w:sz w:val="24"/>
          <w:szCs w:val="24"/>
          <w:highlight w:val="none"/>
        </w:rPr>
      </w:pPr>
      <w:r>
        <w:rPr>
          <w:rFonts w:ascii="宋体" w:hAnsi="宋体"/>
          <w:bCs/>
          <w:sz w:val="24"/>
          <w:szCs w:val="24"/>
          <w:highlight w:val="none"/>
        </w:rPr>
      </w:r>
      <w:r/>
    </w:p>
    <w:p>
      <w:pPr>
        <w:pStyle w:val="731"/>
        <w:rPr>
          <w:rFonts w:ascii="宋体" w:hAnsi="宋体"/>
          <w:bCs/>
          <w:sz w:val="24"/>
          <w:szCs w:val="24"/>
          <w:highlight w:val="none"/>
        </w:rPr>
      </w:pPr>
      <w:r>
        <w:rPr>
          <w:rFonts w:ascii="宋体" w:hAnsi="宋体"/>
          <w:bCs/>
          <w:sz w:val="24"/>
          <w:szCs w:val="24"/>
          <w:highlight w:val="none"/>
        </w:rPr>
      </w:r>
      <w:r/>
    </w:p>
    <w:p>
      <w:pPr>
        <w:rPr>
          <w:rFonts w:ascii="宋体" w:hAnsi="宋体"/>
          <w:bCs/>
          <w:sz w:val="24"/>
          <w:szCs w:val="24"/>
          <w:highlight w:val="none"/>
        </w:rPr>
      </w:pPr>
      <w:r>
        <w:rPr>
          <w:rFonts w:ascii="宋体" w:hAnsi="宋体"/>
          <w:bCs/>
          <w:sz w:val="24"/>
          <w:szCs w:val="24"/>
          <w:highlight w:val="none"/>
        </w:rPr>
      </w:r>
      <w:r/>
    </w:p>
    <w:p>
      <w:pPr>
        <w:pStyle w:val="731"/>
        <w:rPr>
          <w:rFonts w:ascii="宋体" w:hAnsi="宋体"/>
          <w:bCs/>
          <w:sz w:val="24"/>
          <w:szCs w:val="24"/>
          <w:highlight w:val="none"/>
        </w:rPr>
      </w:pPr>
      <w:r>
        <w:rPr>
          <w:rFonts w:ascii="宋体" w:hAnsi="宋体"/>
          <w:bCs/>
          <w:sz w:val="24"/>
          <w:szCs w:val="24"/>
          <w:highlight w:val="none"/>
        </w:rPr>
      </w:r>
      <w:r/>
    </w:p>
    <w:p>
      <w:pPr>
        <w:rPr>
          <w:rFonts w:ascii="宋体" w:hAnsi="宋体"/>
          <w:bCs/>
          <w:sz w:val="24"/>
          <w:szCs w:val="24"/>
          <w:highlight w:val="none"/>
        </w:rPr>
      </w:pPr>
      <w:r>
        <w:rPr>
          <w:rFonts w:ascii="宋体" w:hAnsi="宋体"/>
          <w:bCs/>
          <w:sz w:val="24"/>
          <w:szCs w:val="24"/>
          <w:highlight w:val="none"/>
        </w:rPr>
      </w:r>
      <w:r/>
    </w:p>
    <w:p>
      <w:pPr>
        <w:rPr>
          <w:rFonts w:ascii="宋体" w:hAnsi="宋体"/>
          <w:sz w:val="24"/>
          <w:szCs w:val="24"/>
          <w:highlight w:val="none"/>
        </w:rPr>
      </w:pPr>
      <w:r>
        <w:rPr>
          <w:rFonts w:ascii="宋体" w:hAnsi="宋体"/>
          <w:bCs/>
          <w:sz w:val="24"/>
          <w:szCs w:val="24"/>
          <w:highlight w:val="none"/>
        </w:rPr>
      </w:r>
      <w:r>
        <w:rPr>
          <w:rFonts w:ascii="宋体" w:hAnsi="宋体"/>
          <w:bCs/>
          <w:sz w:val="24"/>
          <w:szCs w:val="24"/>
          <w:highlight w:val="none"/>
        </w:rPr>
      </w:r>
      <w:r/>
    </w:p>
    <w:p>
      <w:pPr>
        <w:rPr>
          <w:rFonts w:ascii="宋体" w:hAnsi="宋体"/>
          <w:sz w:val="24"/>
          <w:szCs w:val="24"/>
          <w:highlight w:val="none"/>
        </w:rPr>
      </w:pPr>
      <w:r>
        <w:rPr>
          <w:rFonts w:ascii="宋体" w:hAnsi="宋体"/>
          <w:bCs/>
          <w:sz w:val="24"/>
          <w:szCs w:val="24"/>
          <w:highlight w:val="none"/>
        </w:rPr>
      </w:r>
      <w:r/>
    </w:p>
    <w:p>
      <w:r/>
      <w:r/>
    </w:p>
    <w:p>
      <w:pPr>
        <w:jc w:val="center"/>
        <w:keepNext/>
        <w:rPr>
          <w:rFonts w:ascii="Times New Roman" w:hAnsi="Times New Roman"/>
          <w:highlight w:val="none"/>
        </w:rPr>
        <w:outlineLvl w:val="0"/>
      </w:pPr>
      <w:r>
        <w:rPr>
          <w:highlight w:val="none"/>
        </w:rPr>
      </w:r>
      <w:r>
        <w:rPr>
          <w:highlight w:val="none"/>
        </w:rPr>
      </w:r>
    </w:p>
    <w:p>
      <w:pPr>
        <w:jc w:val="center"/>
        <w:keepNext/>
        <w:rPr>
          <w:highlight w:val="none"/>
        </w:rPr>
        <w:outlineLvl w:val="0"/>
      </w:pPr>
      <w:r/>
      <w:bookmarkStart w:id="768" w:name="_Toc196817276"/>
      <w:r/>
      <w:bookmarkStart w:id="769" w:name="_Toc120614281"/>
      <w:r>
        <w:rPr>
          <w:rFonts w:hint="eastAsia" w:ascii="黑体" w:hAnsi="黑体" w:eastAsia="黑体" w:cs="黑体"/>
          <w:b/>
          <w:sz w:val="40"/>
          <w:szCs w:val="18"/>
          <w:highlight w:val="none"/>
        </w:rPr>
        <w:t xml:space="preserve">第五章 评审方法与评审标准</w:t>
      </w:r>
      <w:bookmarkEnd w:id="768"/>
      <w:r/>
      <w:r/>
    </w:p>
    <w:p>
      <w:pPr>
        <w:ind w:firstLine="422"/>
        <w:jc w:val="left"/>
        <w:spacing w:line="440" w:lineRule="exact"/>
        <w:rPr>
          <w:rFonts w:ascii="Times New Roman" w:hAnsi="Times New Roman"/>
          <w:b/>
          <w:szCs w:val="21"/>
          <w:highlight w:val="none"/>
        </w:rPr>
      </w:pPr>
      <w:r>
        <w:rPr>
          <w:rFonts w:hint="eastAsia" w:ascii="Times New Roman" w:hAnsi="Times New Roman"/>
          <w:b/>
          <w:szCs w:val="21"/>
          <w:highlight w:val="none"/>
        </w:rPr>
        <w:t xml:space="preserve">一、资格审查。</w:t>
      </w:r>
      <w:r>
        <w:rPr>
          <w:rFonts w:hint="eastAsia" w:ascii="Times New Roman" w:hAnsi="Times New Roman"/>
          <w:szCs w:val="21"/>
          <w:highlight w:val="none"/>
        </w:rPr>
        <w:t xml:space="preserve">资格审查人员按照下列指标对各供应商的资格进行审查，未通过审查的为无效标，不参与评审。</w:t>
      </w:r>
      <w:r/>
    </w:p>
    <w:tbl>
      <w:tblPr>
        <w:tblStyle w:val="682"/>
        <w:tblW w:w="9355"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43"/>
        <w:gridCol w:w="5812"/>
      </w:tblGrid>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highlight w:val="none"/>
              </w:rPr>
            </w:pPr>
            <w:r>
              <w:rPr>
                <w:rFonts w:hint="eastAsia" w:ascii="Times New Roman" w:hAnsi="Times New Roman"/>
                <w:highlight w:val="none"/>
              </w:rPr>
              <w:t xml:space="preserve">联合体磋商</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rFonts w:ascii="Times New Roman" w:hAnsi="Times New Roman"/>
                <w:highlight w:val="none"/>
              </w:rPr>
            </w:pPr>
            <w:r>
              <w:rPr>
                <w:rFonts w:hint="eastAsia" w:ascii="Times New Roman" w:hAnsi="Times New Roman"/>
                <w:highlight w:val="none"/>
              </w:rPr>
              <w:t xml:space="preserve">本项目不接受联合体参与磋商</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highlight w:val="none"/>
              </w:rPr>
            </w:pPr>
            <w:r>
              <w:rPr>
                <w:rFonts w:hint="eastAsia"/>
                <w:highlight w:val="none"/>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highlight w:val="none"/>
              </w:rPr>
            </w:pPr>
            <w:r>
              <w:rPr>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highlight w:val="none"/>
              </w:rPr>
            </w:pPr>
            <w:r>
              <w:rPr>
                <w:rFonts w:hint="eastAsia" w:ascii="Times New Roman" w:hAnsi="Times New Roman"/>
                <w:highlight w:val="none"/>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rFonts w:ascii="Times New Roman" w:hAnsi="Times New Roman"/>
                <w:highlight w:val="none"/>
              </w:rPr>
            </w:pPr>
            <w:r>
              <w:rPr>
                <w:rFonts w:hint="eastAsia" w:ascii="Times New Roman" w:hAnsi="Times New Roman"/>
                <w:highlight w:val="none"/>
              </w:rPr>
              <w:t xml:space="preserve">符合磋商文件要求</w:t>
            </w:r>
            <w:r/>
          </w:p>
        </w:tc>
      </w:tr>
    </w:tbl>
    <w:p>
      <w:pPr>
        <w:ind w:firstLine="422"/>
        <w:jc w:val="left"/>
        <w:spacing w:line="440" w:lineRule="exact"/>
        <w:rPr>
          <w:rFonts w:ascii="Times New Roman" w:hAnsi="Times New Roman"/>
          <w:bCs/>
          <w:szCs w:val="21"/>
          <w:highlight w:val="none"/>
        </w:rPr>
      </w:pPr>
      <w:r>
        <w:rPr>
          <w:rFonts w:hint="eastAsia" w:ascii="Times New Roman" w:hAnsi="Times New Roman"/>
          <w:b/>
          <w:szCs w:val="21"/>
          <w:highlight w:val="none"/>
        </w:rPr>
        <w:t xml:space="preserve">二、符合性审查。</w:t>
      </w:r>
      <w:r>
        <w:rPr>
          <w:rFonts w:hint="eastAsia" w:ascii="Times New Roman" w:hAnsi="Times New Roman"/>
          <w:bCs/>
          <w:szCs w:val="21"/>
          <w:highlight w:val="none"/>
        </w:rPr>
        <w:t xml:space="preserve">磋商小组首先按照下列指标对各供应商进行初步评审，未通过评审的为无效标，不再参与评审。</w:t>
      </w:r>
      <w:r/>
    </w:p>
    <w:tbl>
      <w:tblPr>
        <w:tblStyle w:val="682"/>
        <w:tblW w:w="9356"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44"/>
        <w:gridCol w:w="5812"/>
      </w:tblGrid>
      <w:tr>
        <w:trPr/>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法定代表人身份证明或</w:t>
            </w:r>
            <w:r>
              <w:rPr>
                <w:rFonts w:hint="eastAsia" w:ascii="Times New Roman" w:hAnsi="Times New Roman"/>
                <w:highlight w:val="none"/>
              </w:rPr>
              <w:t xml:space="preserve">法人</w:t>
            </w:r>
            <w:r>
              <w:rPr>
                <w:rFonts w:ascii="Times New Roman" w:hAnsi="Times New Roman"/>
                <w:highlight w:val="none"/>
              </w:rPr>
              <w:t xml:space="preserve">授权书</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报价一览表及投标报价</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rPr>
                <w:highlight w:val="none"/>
              </w:rPr>
            </w:pPr>
            <w:r>
              <w:rPr>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highlight w:val="none"/>
              </w:rPr>
            </w:pPr>
            <w:r>
              <w:rPr>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812" w:type="dxa"/>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符合磋商文件要求</w:t>
            </w:r>
            <w:r/>
          </w:p>
        </w:tc>
      </w:tr>
    </w:tbl>
    <w:p>
      <w:pPr>
        <w:ind w:firstLine="422"/>
        <w:jc w:val="left"/>
        <w:spacing w:line="440" w:lineRule="exact"/>
        <w:rPr>
          <w:rFonts w:ascii="Times New Roman" w:hAnsi="Times New Roman"/>
          <w:b/>
          <w:szCs w:val="21"/>
          <w:highlight w:val="none"/>
        </w:rPr>
      </w:pPr>
      <w:r>
        <w:rPr>
          <w:rFonts w:hint="eastAsia" w:ascii="Times New Roman" w:hAnsi="Times New Roman"/>
          <w:b/>
          <w:szCs w:val="21"/>
          <w:highlight w:val="none"/>
        </w:rPr>
        <w:t xml:space="preserve">三、评分办法—综合评分法</w:t>
      </w:r>
      <w:r/>
    </w:p>
    <w:p>
      <w:pPr>
        <w:ind w:firstLine="422"/>
        <w:jc w:val="left"/>
        <w:spacing w:line="440" w:lineRule="exact"/>
        <w:rPr>
          <w:rFonts w:ascii="Times New Roman" w:hAnsi="Times New Roman"/>
          <w:szCs w:val="21"/>
          <w:highlight w:val="none"/>
        </w:rPr>
      </w:pPr>
      <w:r>
        <w:rPr>
          <w:rFonts w:hint="eastAsia" w:ascii="Times New Roman" w:hAnsi="Times New Roman"/>
          <w:b/>
          <w:szCs w:val="21"/>
          <w:highlight w:val="none"/>
        </w:rPr>
        <w:t xml:space="preserve">（一）评标办法：</w:t>
      </w:r>
      <w:r>
        <w:rPr>
          <w:rFonts w:ascii="Times New Roman" w:hAnsi="Times New Roman"/>
          <w:szCs w:val="21"/>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szCs w:val="21"/>
          <w:highlight w:val="none"/>
        </w:rPr>
        <w:t xml:space="preserve">按得分高低顺序推荐成交候选人。得分相同的，按报价从低到高顺序排列；得分且报价相同的，按技术指标优劣顺序排列。</w:t>
      </w:r>
      <w:r/>
    </w:p>
    <w:p>
      <w:pPr>
        <w:ind w:firstLine="420"/>
        <w:jc w:val="left"/>
        <w:spacing w:line="440" w:lineRule="exact"/>
        <w:rPr>
          <w:rFonts w:ascii="Times New Roman" w:hAnsi="Times New Roman"/>
          <w:szCs w:val="21"/>
          <w:highlight w:val="none"/>
        </w:rPr>
      </w:pPr>
      <w:r>
        <w:rPr>
          <w:rFonts w:ascii="Times New Roman" w:hAnsi="Times New Roman"/>
          <w:szCs w:val="21"/>
          <w:highlight w:val="none"/>
        </w:rPr>
        <w:t xml:space="preserve">磋商小组</w:t>
      </w:r>
      <w:r>
        <w:rPr>
          <w:rFonts w:hint="eastAsia" w:ascii="Times New Roman" w:hAnsi="Times New Roman"/>
          <w:szCs w:val="21"/>
          <w:highlight w:val="none"/>
        </w:rPr>
        <w:t xml:space="preserve">根据评审后供应商排序推荐3名成交候选人。响应文件满足磋商文件全部实质性要求，且评审后排序第一的供应商为第一成交候选人，依次类推。</w:t>
      </w:r>
      <w:r/>
    </w:p>
    <w:p>
      <w:pPr>
        <w:ind w:firstLine="420"/>
        <w:jc w:val="left"/>
        <w:spacing w:line="440" w:lineRule="exact"/>
        <w:rPr>
          <w:rFonts w:ascii="Times New Roman" w:hAnsi="Times New Roman"/>
          <w:szCs w:val="21"/>
          <w:highlight w:val="none"/>
        </w:rPr>
      </w:pPr>
      <w:r>
        <w:rPr>
          <w:rFonts w:hint="eastAsia" w:ascii="Times New Roman" w:hAnsi="Times New Roman"/>
          <w:szCs w:val="21"/>
          <w:highlight w:val="none"/>
        </w:rPr>
        <w:t xml:space="preserve">综合评分保留至小数点后两位。</w:t>
      </w:r>
      <w:r/>
    </w:p>
    <w:p>
      <w:pPr>
        <w:ind w:firstLine="422"/>
        <w:jc w:val="left"/>
        <w:spacing w:line="440" w:lineRule="exact"/>
        <w:rPr>
          <w:rFonts w:ascii="Times New Roman" w:hAnsi="Times New Roman"/>
          <w:szCs w:val="21"/>
          <w:highlight w:val="none"/>
        </w:rPr>
      </w:pPr>
      <w:r>
        <w:rPr>
          <w:rFonts w:hint="eastAsia" w:ascii="Times New Roman" w:hAnsi="Times New Roman"/>
          <w:b/>
          <w:szCs w:val="21"/>
          <w:highlight w:val="none"/>
        </w:rPr>
        <w:t xml:space="preserve">（二）详细评审。</w:t>
      </w:r>
      <w:r>
        <w:rPr>
          <w:rFonts w:hint="eastAsia" w:ascii="Times New Roman" w:hAnsi="Times New Roman"/>
          <w:szCs w:val="21"/>
          <w:highlight w:val="none"/>
        </w:rPr>
        <w:t xml:space="preserve">磋商小组按照竞争性磋商文件规定的评分标准，对各响应文件进行详细评审打分。磋商小组组长对各评审专家的打分情况进行复核无误后汇总。</w:t>
      </w:r>
      <w:r/>
    </w:p>
    <w:tbl>
      <w:tblPr>
        <w:tblStyle w:val="682"/>
        <w:tblW w:w="5126"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5"/>
        <w:gridCol w:w="1457"/>
        <w:gridCol w:w="762"/>
        <w:gridCol w:w="6435"/>
      </w:tblGrid>
      <w:tr>
        <w:trPr>
          <w:trHeight w:val="632"/>
        </w:trPr>
        <w:tc>
          <w:tcPr>
            <w:gridSpan w:val="2"/>
            <w:tcW w:w="1134" w:type="pct"/>
            <w:vAlign w:val="center"/>
            <w:textDirection w:val="lrTb"/>
            <w:noWrap w:val="false"/>
          </w:tcPr>
          <w:p>
            <w:pPr>
              <w:jc w:val="center"/>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评审因素</w:t>
            </w:r>
            <w:r/>
          </w:p>
        </w:tc>
        <w:tc>
          <w:tcPr>
            <w:tcW w:w="409" w:type="pct"/>
            <w:vAlign w:val="center"/>
            <w:textDirection w:val="lrTb"/>
            <w:noWrap w:val="false"/>
          </w:tcPr>
          <w:p>
            <w:pPr>
              <w:jc w:val="center"/>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分数</w:t>
            </w:r>
            <w:r/>
          </w:p>
        </w:tc>
        <w:tc>
          <w:tcPr>
            <w:tcW w:w="3455" w:type="pct"/>
            <w:vAlign w:val="center"/>
            <w:textDirection w:val="lrTb"/>
            <w:noWrap w:val="false"/>
          </w:tcPr>
          <w:p>
            <w:pPr>
              <w:jc w:val="center"/>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评审标准</w:t>
            </w:r>
            <w:r/>
          </w:p>
        </w:tc>
      </w:tr>
      <w:tr>
        <w:trPr>
          <w:trHeight w:val="284"/>
        </w:trPr>
        <w:tc>
          <w:tcPr>
            <w:tcW w:w="352" w:type="pct"/>
            <w:vAlign w:val="center"/>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报价分</w:t>
            </w:r>
            <w:r/>
          </w:p>
        </w:tc>
        <w:tc>
          <w:tcPr>
            <w:tcW w:w="782" w:type="pct"/>
            <w:vAlign w:val="center"/>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投标报价</w:t>
            </w:r>
            <w:r/>
          </w:p>
        </w:tc>
        <w:tc>
          <w:tcPr>
            <w:tcW w:w="409" w:type="pct"/>
            <w:vAlign w:val="center"/>
            <w:textDirection w:val="lrTb"/>
            <w:noWrap w:val="false"/>
          </w:tcPr>
          <w:p>
            <w:pPr>
              <w:jc w:val="center"/>
              <w:rPr>
                <w:rFonts w:ascii="Times New Roman" w:hAnsi="Times New Roman" w:eastAsia="宋体" w:cs="Times New Roman"/>
                <w:szCs w:val="22"/>
                <w:highlight w:val="none"/>
              </w:rPr>
            </w:pPr>
            <w:r>
              <w:rPr>
                <w:rFonts w:hint="default" w:ascii="Calibri" w:hAnsi="Calibri" w:eastAsia="宋体" w:cs="Times New Roman"/>
                <w:szCs w:val="22"/>
                <w:highlight w:val="none"/>
                <w:lang w:val="en-US" w:eastAsia="zh-CN"/>
              </w:rPr>
              <w:t xml:space="preserve">3</w:t>
            </w:r>
            <w:r>
              <w:rPr>
                <w:rFonts w:hint="default" w:ascii="Calibri" w:hAnsi="Calibri" w:eastAsia="宋体" w:cs="Times New Roman"/>
                <w:szCs w:val="22"/>
                <w:highlight w:val="none"/>
              </w:rPr>
              <w:t xml:space="preserve">0.00</w:t>
            </w:r>
            <w:r/>
          </w:p>
        </w:tc>
        <w:tc>
          <w:tcPr>
            <w:tcW w:w="3455" w:type="pct"/>
            <w:vAlign w:val="center"/>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Times New Roman" w:hAnsi="Times New Roman" w:eastAsia="宋体" w:cs="Times New Roman"/>
                <w:szCs w:val="22"/>
                <w:highlight w:val="none"/>
                <w:lang w:val="en-US" w:eastAsia="zh-CN"/>
              </w:rPr>
              <w:t xml:space="preserve">3</w:t>
            </w:r>
            <w:r>
              <w:rPr>
                <w:rFonts w:hint="eastAsia" w:ascii="Times New Roman" w:hAnsi="Times New Roman" w:eastAsia="宋体" w:cs="Times New Roman"/>
                <w:szCs w:val="22"/>
                <w:highlight w:val="none"/>
              </w:rPr>
              <w:t xml:space="preserve">0</w:t>
            </w:r>
            <w:r>
              <w:rPr>
                <w:rFonts w:ascii="Times New Roman" w:hAnsi="Times New Roman" w:eastAsia="宋体" w:cs="Times New Roman"/>
                <w:szCs w:val="22"/>
                <w:highlight w:val="none"/>
              </w:rPr>
              <w:t xml:space="preserve">。</w:t>
            </w:r>
            <w:r/>
          </w:p>
        </w:tc>
      </w:tr>
      <w:tr>
        <w:trPr>
          <w:trHeight w:val="284"/>
        </w:trPr>
        <w:tc>
          <w:tcPr>
            <w:tcW w:w="352" w:type="pct"/>
            <w:vAlign w:val="center"/>
            <w:vMerge w:val="restart"/>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企业经营业绩、信誉</w:t>
            </w:r>
            <w:r/>
          </w:p>
        </w:tc>
        <w:tc>
          <w:tcPr>
            <w:tcW w:w="782"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企业业绩</w:t>
            </w:r>
            <w:r/>
          </w:p>
        </w:tc>
        <w:tc>
          <w:tcPr>
            <w:tcW w:w="409" w:type="pct"/>
            <w:vAlign w:val="center"/>
            <w:textDirection w:val="lrTb"/>
            <w:noWrap w:val="false"/>
          </w:tcPr>
          <w:p>
            <w:pPr>
              <w:jc w:val="center"/>
              <w:rPr>
                <w:rFonts w:ascii="Times New Roman" w:hAnsi="Times New Roman" w:eastAsia="宋体" w:cs="Times New Roman"/>
                <w:szCs w:val="22"/>
                <w:highlight w:val="none"/>
              </w:rPr>
            </w:pPr>
            <w:r>
              <w:rPr>
                <w:rFonts w:hint="eastAsia" w:ascii="Calibri" w:hAnsi="Calibri" w:eastAsia="宋体" w:cs="Times New Roman"/>
                <w:szCs w:val="22"/>
                <w:highlight w:val="none"/>
                <w:lang w:val="en-US" w:eastAsia="zh-CN"/>
              </w:rPr>
              <w:t xml:space="preserve">6</w:t>
            </w:r>
            <w:r>
              <w:rPr>
                <w:rFonts w:hint="default" w:ascii="Calibri" w:hAnsi="Calibri" w:eastAsia="宋体" w:cs="Times New Roman"/>
                <w:szCs w:val="22"/>
                <w:highlight w:val="none"/>
              </w:rPr>
              <w:t xml:space="preserve">.00</w:t>
            </w:r>
            <w:r/>
          </w:p>
        </w:tc>
        <w:tc>
          <w:tcPr>
            <w:tcW w:w="3455" w:type="pct"/>
            <w:vAlign w:val="center"/>
            <w:textDirection w:val="lrTb"/>
            <w:noWrap w:val="false"/>
          </w:tcPr>
          <w:p>
            <w:pPr>
              <w:jc w:val="left"/>
              <w:rPr>
                <w:rFonts w:hint="default" w:ascii="Calibri" w:hAnsi="Calibri" w:eastAsia="宋体" w:cs="Times New Roman"/>
                <w:szCs w:val="22"/>
                <w:highlight w:val="none"/>
                <w:lang w:val="en-US" w:eastAsia="zh-CN"/>
              </w:rPr>
            </w:pPr>
            <w:r>
              <w:rPr>
                <w:rFonts w:hint="eastAsia" w:ascii="Calibri" w:hAnsi="Calibri" w:eastAsia="宋体" w:cs="Times New Roman"/>
                <w:color w:val="000000"/>
                <w:szCs w:val="22"/>
                <w:highlight w:val="none"/>
                <w:rtl w:val="0"/>
                <w:lang w:val="en-US" w:eastAsia="zh-CN"/>
              </w:rPr>
              <w:t xml:space="preserve">供应商自 2023年1月1日（以合同签订日期为准）以来承担过类似项目业绩的</w:t>
            </w:r>
            <w:r>
              <w:rPr>
                <w:rFonts w:hint="eastAsia" w:ascii="Calibri" w:hAnsi="Calibri" w:eastAsia="宋体" w:cs="Times New Roman"/>
                <w:color w:val="000000"/>
                <w:szCs w:val="22"/>
                <w:highlight w:val="none"/>
              </w:rPr>
              <w:t xml:space="preserve">，每有1个得</w:t>
            </w:r>
            <w:r>
              <w:rPr>
                <w:rFonts w:hint="eastAsia" w:ascii="Calibri" w:hAnsi="Calibri" w:eastAsia="宋体" w:cs="Times New Roman"/>
                <w:color w:val="000000"/>
                <w:szCs w:val="22"/>
                <w:highlight w:val="none"/>
                <w:lang w:val="en-US" w:eastAsia="zh-CN"/>
              </w:rPr>
              <w:t xml:space="preserve">3</w:t>
            </w:r>
            <w:r>
              <w:rPr>
                <w:rFonts w:hint="eastAsia" w:ascii="Calibri" w:hAnsi="Calibri" w:eastAsia="宋体" w:cs="Times New Roman"/>
                <w:color w:val="000000"/>
                <w:szCs w:val="22"/>
                <w:highlight w:val="none"/>
              </w:rPr>
              <w:t xml:space="preserve">分，最多得</w:t>
            </w:r>
            <w:r>
              <w:rPr>
                <w:rFonts w:hint="eastAsia" w:ascii="Calibri" w:hAnsi="Calibri" w:eastAsia="宋体" w:cs="Times New Roman"/>
                <w:color w:val="000000"/>
                <w:szCs w:val="22"/>
                <w:highlight w:val="none"/>
                <w:lang w:val="en-US" w:eastAsia="zh-CN"/>
              </w:rPr>
              <w:t xml:space="preserve">6</w:t>
            </w:r>
            <w:r>
              <w:rPr>
                <w:rFonts w:hint="eastAsia" w:ascii="Calibri" w:hAnsi="Calibri" w:eastAsia="宋体" w:cs="Times New Roman"/>
                <w:color w:val="000000"/>
                <w:szCs w:val="22"/>
                <w:highlight w:val="none"/>
              </w:rPr>
              <w:t xml:space="preserve">分。</w:t>
            </w:r>
            <w:r>
              <w:rPr>
                <w:rFonts w:ascii="Calibri" w:hAnsi="Calibri" w:eastAsia="宋体" w:cs="Times New Roman"/>
                <w:color w:val="000000"/>
                <w:szCs w:val="22"/>
                <w:highlight w:val="none"/>
              </w:rPr>
              <w:t xml:space="preserve">注：</w:t>
            </w:r>
            <w:r>
              <w:rPr>
                <w:rFonts w:hint="eastAsia" w:ascii="Calibri" w:hAnsi="Calibri" w:eastAsia="宋体" w:cs="Times New Roman"/>
                <w:color w:val="000000"/>
                <w:szCs w:val="22"/>
                <w:highlight w:val="none"/>
              </w:rPr>
              <w:t xml:space="preserve">1、</w:t>
            </w:r>
            <w:r>
              <w:rPr>
                <w:rFonts w:ascii="Calibri" w:hAnsi="Calibri" w:eastAsia="宋体" w:cs="Times New Roman"/>
                <w:color w:val="000000"/>
                <w:szCs w:val="22"/>
                <w:highlight w:val="none"/>
              </w:rPr>
              <w:t xml:space="preserve">业绩证明材料须同时提供</w:t>
            </w:r>
            <w:r>
              <w:rPr>
                <w:rFonts w:hint="eastAsia" w:ascii="Calibri" w:hAnsi="Calibri" w:eastAsia="宋体" w:cs="Times New Roman"/>
                <w:color w:val="000000"/>
                <w:szCs w:val="22"/>
                <w:highlight w:val="none"/>
              </w:rPr>
              <w:t xml:space="preserve">中标（成交）通知书、</w:t>
            </w:r>
            <w:r>
              <w:rPr>
                <w:rFonts w:ascii="Calibri" w:hAnsi="Calibri" w:eastAsia="宋体" w:cs="Times New Roman"/>
                <w:color w:val="000000"/>
                <w:szCs w:val="22"/>
                <w:highlight w:val="none"/>
              </w:rPr>
              <w:t xml:space="preserve">施工合同</w:t>
            </w:r>
            <w:r>
              <w:rPr>
                <w:rFonts w:hint="eastAsia" w:ascii="Calibri" w:hAnsi="Calibri" w:eastAsia="宋体" w:cs="Times New Roman"/>
                <w:color w:val="000000"/>
                <w:szCs w:val="22"/>
                <w:highlight w:val="none"/>
              </w:rPr>
              <w:t xml:space="preserve">、验收</w:t>
            </w:r>
            <w:r>
              <w:rPr>
                <w:rFonts w:hint="eastAsia" w:ascii="Calibri" w:hAnsi="Calibri" w:eastAsia="宋体" w:cs="Times New Roman"/>
                <w:color w:val="000000"/>
                <w:szCs w:val="22"/>
                <w:highlight w:val="none"/>
                <w:lang w:val="en-US" w:eastAsia="zh-CN"/>
              </w:rPr>
              <w:t xml:space="preserve">合格</w:t>
            </w:r>
            <w:r>
              <w:rPr>
                <w:rFonts w:hint="eastAsia" w:ascii="Calibri" w:hAnsi="Calibri" w:eastAsia="宋体" w:cs="Times New Roman"/>
                <w:color w:val="000000"/>
                <w:szCs w:val="22"/>
                <w:highlight w:val="none"/>
              </w:rPr>
              <w:t xml:space="preserve">证明资料；三者缺一不可；</w:t>
            </w:r>
            <w:r>
              <w:rPr>
                <w:rFonts w:hint="eastAsia" w:ascii="Calibri" w:hAnsi="Calibri" w:eastAsia="宋体" w:cs="Times New Roman"/>
                <w:color w:val="000000"/>
                <w:szCs w:val="22"/>
                <w:highlight w:val="none"/>
                <w:lang w:val="en-US" w:eastAsia="zh-CN"/>
              </w:rPr>
              <w:t xml:space="preserve">2、</w:t>
            </w:r>
            <w:r>
              <w:rPr>
                <w:rFonts w:ascii="Calibri" w:hAnsi="Calibri" w:eastAsia="宋体" w:cs="Times New Roman"/>
                <w:color w:val="000000"/>
                <w:szCs w:val="22"/>
                <w:highlight w:val="none"/>
              </w:rPr>
              <w:t xml:space="preserve">业绩证明材料应能够明确反映出供应商名称、施工内容、合同签订时间等，凡因</w:t>
            </w:r>
            <w:r>
              <w:rPr>
                <w:rFonts w:hint="eastAsia" w:ascii="Calibri" w:hAnsi="Calibri" w:eastAsia="宋体" w:cs="Times New Roman"/>
                <w:color w:val="000000"/>
                <w:szCs w:val="22"/>
                <w:highlight w:val="none"/>
              </w:rPr>
              <w:t xml:space="preserve">供应商</w:t>
            </w:r>
            <w:r>
              <w:rPr>
                <w:rFonts w:ascii="Calibri" w:hAnsi="Calibri" w:eastAsia="宋体" w:cs="Times New Roman"/>
                <w:color w:val="000000"/>
                <w:szCs w:val="22"/>
                <w:highlight w:val="none"/>
              </w:rPr>
              <w:t xml:space="preserve">提供的信息不全面、不准确或其他任何原因，导致评委会无法辨认的，均不予认可。</w:t>
            </w:r>
            <w:r/>
          </w:p>
        </w:tc>
      </w:tr>
      <w:tr>
        <w:trPr>
          <w:trHeight w:val="284"/>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hint="default"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t xml:space="preserve">项目负责人业绩</w:t>
            </w:r>
            <w:r/>
          </w:p>
        </w:tc>
        <w:tc>
          <w:tcPr>
            <w:tcW w:w="409" w:type="pct"/>
            <w:vAlign w:val="center"/>
            <w:textDirection w:val="lrTb"/>
            <w:noWrap w:val="false"/>
          </w:tcPr>
          <w:p>
            <w:pPr>
              <w:jc w:val="center"/>
              <w:rPr>
                <w:rFonts w:hint="default"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t xml:space="preserve">4.00</w:t>
            </w:r>
            <w:r/>
          </w:p>
        </w:tc>
        <w:tc>
          <w:tcPr>
            <w:tcW w:w="3455" w:type="pct"/>
            <w:vAlign w:val="center"/>
            <w:textDirection w:val="lrTb"/>
            <w:noWrap w:val="false"/>
          </w:tcPr>
          <w:p>
            <w:pPr>
              <w:jc w:val="left"/>
              <w:rPr>
                <w:rFonts w:hint="default" w:ascii="Calibri" w:hAnsi="Calibri" w:eastAsia="宋体" w:cs="Times New Roman"/>
                <w:color w:val="000000"/>
                <w:szCs w:val="22"/>
                <w:highlight w:val="none"/>
                <w:rtl w:val="0"/>
                <w:lang w:val="en-US" w:eastAsia="zh-CN"/>
              </w:rPr>
            </w:pPr>
            <w:r>
              <w:rPr>
                <w:rFonts w:hint="eastAsia" w:ascii="Calibri" w:hAnsi="Calibri" w:eastAsia="宋体" w:cs="Times New Roman"/>
                <w:color w:val="000000"/>
                <w:szCs w:val="22"/>
                <w:highlight w:val="none"/>
                <w:rtl w:val="0"/>
                <w:lang w:val="en-US" w:eastAsia="zh-CN"/>
              </w:rPr>
              <w:t xml:space="preserve">项目负责人自 2023年1月1日（以合同签订日期为准）以来承担过类似项目业绩的</w:t>
            </w:r>
            <w:r>
              <w:rPr>
                <w:rFonts w:hint="eastAsia" w:ascii="Calibri" w:hAnsi="Calibri" w:eastAsia="宋体" w:cs="Times New Roman"/>
                <w:color w:val="000000"/>
                <w:szCs w:val="22"/>
                <w:highlight w:val="none"/>
              </w:rPr>
              <w:t xml:space="preserve">，每有1个得</w:t>
            </w:r>
            <w:r>
              <w:rPr>
                <w:rFonts w:hint="eastAsia" w:ascii="Calibri" w:hAnsi="Calibri" w:eastAsia="宋体" w:cs="Times New Roman"/>
                <w:color w:val="000000"/>
                <w:szCs w:val="22"/>
                <w:highlight w:val="none"/>
                <w:lang w:val="en-US" w:eastAsia="zh-CN"/>
              </w:rPr>
              <w:t xml:space="preserve">2</w:t>
            </w:r>
            <w:r>
              <w:rPr>
                <w:rFonts w:hint="eastAsia" w:ascii="Calibri" w:hAnsi="Calibri" w:eastAsia="宋体" w:cs="Times New Roman"/>
                <w:color w:val="000000"/>
                <w:szCs w:val="22"/>
                <w:highlight w:val="none"/>
              </w:rPr>
              <w:t xml:space="preserve">分，最多得</w:t>
            </w:r>
            <w:r>
              <w:rPr>
                <w:rFonts w:hint="eastAsia" w:ascii="Calibri" w:hAnsi="Calibri" w:eastAsia="宋体" w:cs="Times New Roman"/>
                <w:color w:val="000000"/>
                <w:szCs w:val="22"/>
                <w:highlight w:val="none"/>
                <w:lang w:val="en-US" w:eastAsia="zh-CN"/>
              </w:rPr>
              <w:t xml:space="preserve">4</w:t>
            </w:r>
            <w:r>
              <w:rPr>
                <w:rFonts w:hint="eastAsia" w:ascii="Calibri" w:hAnsi="Calibri" w:eastAsia="宋体" w:cs="Times New Roman"/>
                <w:color w:val="000000"/>
                <w:szCs w:val="22"/>
                <w:highlight w:val="none"/>
              </w:rPr>
              <w:t xml:space="preserve">分。</w:t>
            </w:r>
            <w:r>
              <w:rPr>
                <w:rFonts w:ascii="Calibri" w:hAnsi="Calibri" w:eastAsia="宋体" w:cs="Times New Roman"/>
                <w:color w:val="000000"/>
                <w:szCs w:val="22"/>
                <w:highlight w:val="none"/>
              </w:rPr>
              <w:t xml:space="preserve">注：</w:t>
            </w:r>
            <w:r>
              <w:rPr>
                <w:rFonts w:hint="eastAsia" w:ascii="Calibri" w:hAnsi="Calibri" w:eastAsia="宋体" w:cs="Times New Roman"/>
                <w:color w:val="000000"/>
                <w:szCs w:val="22"/>
                <w:highlight w:val="none"/>
              </w:rPr>
              <w:t xml:space="preserve">1、</w:t>
            </w:r>
            <w:r>
              <w:rPr>
                <w:rFonts w:ascii="Calibri" w:hAnsi="Calibri" w:eastAsia="宋体" w:cs="Times New Roman"/>
                <w:color w:val="000000"/>
                <w:szCs w:val="22"/>
                <w:highlight w:val="none"/>
              </w:rPr>
              <w:t xml:space="preserve">业绩证明材料须同时提供</w:t>
            </w:r>
            <w:r>
              <w:rPr>
                <w:rFonts w:hint="eastAsia" w:ascii="Calibri" w:hAnsi="Calibri" w:eastAsia="宋体" w:cs="Times New Roman"/>
                <w:color w:val="000000"/>
                <w:szCs w:val="22"/>
                <w:highlight w:val="none"/>
              </w:rPr>
              <w:t xml:space="preserve">中标（成交）通知书、</w:t>
            </w:r>
            <w:r>
              <w:rPr>
                <w:rFonts w:ascii="Calibri" w:hAnsi="Calibri" w:eastAsia="宋体" w:cs="Times New Roman"/>
                <w:color w:val="000000"/>
                <w:szCs w:val="22"/>
                <w:highlight w:val="none"/>
              </w:rPr>
              <w:t xml:space="preserve">施工合同</w:t>
            </w:r>
            <w:r>
              <w:rPr>
                <w:rFonts w:hint="eastAsia" w:ascii="Calibri" w:hAnsi="Calibri" w:eastAsia="宋体" w:cs="Times New Roman"/>
                <w:color w:val="000000"/>
                <w:szCs w:val="22"/>
                <w:highlight w:val="none"/>
              </w:rPr>
              <w:t xml:space="preserve">、验收</w:t>
            </w:r>
            <w:r>
              <w:rPr>
                <w:rFonts w:hint="eastAsia" w:ascii="Calibri" w:hAnsi="Calibri" w:eastAsia="宋体" w:cs="Times New Roman"/>
                <w:color w:val="000000"/>
                <w:szCs w:val="22"/>
                <w:highlight w:val="none"/>
                <w:lang w:val="en-US" w:eastAsia="zh-CN"/>
              </w:rPr>
              <w:t xml:space="preserve">合格</w:t>
            </w:r>
            <w:r>
              <w:rPr>
                <w:rFonts w:hint="eastAsia" w:ascii="Calibri" w:hAnsi="Calibri" w:eastAsia="宋体" w:cs="Times New Roman"/>
                <w:color w:val="000000"/>
                <w:szCs w:val="22"/>
                <w:highlight w:val="none"/>
              </w:rPr>
              <w:t xml:space="preserve">证明资料；三者缺一不可；</w:t>
            </w:r>
            <w:r>
              <w:rPr>
                <w:rFonts w:hint="eastAsia" w:ascii="Calibri" w:hAnsi="Calibri" w:eastAsia="宋体" w:cs="Times New Roman"/>
                <w:color w:val="000000"/>
                <w:szCs w:val="22"/>
                <w:highlight w:val="none"/>
                <w:lang w:val="en-US" w:eastAsia="zh-CN"/>
              </w:rPr>
              <w:t xml:space="preserve">2、</w:t>
            </w:r>
            <w:r>
              <w:rPr>
                <w:rFonts w:ascii="Calibri" w:hAnsi="Calibri" w:eastAsia="宋体" w:cs="Times New Roman"/>
                <w:color w:val="000000"/>
                <w:szCs w:val="22"/>
                <w:highlight w:val="none"/>
              </w:rPr>
              <w:t xml:space="preserve">业绩证明材料应能够明确反映出供应商名称、施工内容、合同签订时间等，凡因</w:t>
            </w:r>
            <w:r>
              <w:rPr>
                <w:rFonts w:hint="eastAsia" w:ascii="Calibri" w:hAnsi="Calibri" w:eastAsia="宋体" w:cs="Times New Roman"/>
                <w:color w:val="000000"/>
                <w:szCs w:val="22"/>
                <w:highlight w:val="none"/>
              </w:rPr>
              <w:t xml:space="preserve">供应商</w:t>
            </w:r>
            <w:r>
              <w:rPr>
                <w:rFonts w:ascii="Calibri" w:hAnsi="Calibri" w:eastAsia="宋体" w:cs="Times New Roman"/>
                <w:color w:val="000000"/>
                <w:szCs w:val="22"/>
                <w:highlight w:val="none"/>
              </w:rPr>
              <w:t xml:space="preserve">提供的信息不全面、不准确或其他任何原因，导致评委会无法辨认的，均不予认可</w:t>
            </w:r>
            <w:r>
              <w:rPr>
                <w:rFonts w:hint="eastAsia" w:ascii="Calibri" w:hAnsi="Calibri" w:eastAsia="宋体" w:cs="Times New Roman"/>
                <w:color w:val="000000"/>
                <w:szCs w:val="22"/>
                <w:highlight w:val="none"/>
                <w:lang w:eastAsia="zh-CN"/>
              </w:rPr>
              <w:t xml:space="preserve">，</w:t>
            </w:r>
            <w:r>
              <w:rPr>
                <w:rFonts w:hint="eastAsia" w:ascii="Calibri" w:hAnsi="Calibri" w:eastAsia="宋体" w:cs="Times New Roman"/>
                <w:color w:val="000000"/>
                <w:szCs w:val="22"/>
                <w:highlight w:val="none"/>
                <w:lang w:val="en-US" w:eastAsia="zh-CN"/>
              </w:rPr>
              <w:t xml:space="preserve">项目负责人业绩与企业业绩不重复计分。</w:t>
            </w:r>
            <w:r/>
          </w:p>
        </w:tc>
      </w:tr>
      <w:tr>
        <w:trPr>
          <w:trHeight w:val="284"/>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1332" w:type="dxa"/>
            <w:vAlign w:val="center"/>
            <w:textDirection w:val="lrTb"/>
            <w:noWrap w:val="false"/>
          </w:tcPr>
          <w:p>
            <w:pPr>
              <w:jc w:val="left"/>
              <w:rPr>
                <w:rFonts w:hint="eastAsia"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t xml:space="preserve">企业认证</w:t>
            </w:r>
            <w:r/>
          </w:p>
        </w:tc>
        <w:tc>
          <w:tcPr>
            <w:tcW w:w="698" w:type="dxa"/>
            <w:vAlign w:val="center"/>
            <w:textDirection w:val="lrTb"/>
            <w:noWrap w:val="false"/>
          </w:tcPr>
          <w:p>
            <w:pPr>
              <w:jc w:val="center"/>
              <w:rPr>
                <w:rFonts w:hint="eastAsia"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t xml:space="preserve">3</w:t>
            </w:r>
            <w:r>
              <w:rPr>
                <w:rFonts w:ascii="Calibri" w:hAnsi="Calibri" w:eastAsia="宋体" w:cs="Times New Roman"/>
                <w:szCs w:val="22"/>
                <w:highlight w:val="none"/>
              </w:rPr>
              <w:t xml:space="preserve">.00</w:t>
            </w:r>
            <w:r/>
          </w:p>
        </w:tc>
        <w:tc>
          <w:tcPr>
            <w:tcW w:w="5885" w:type="dxa"/>
            <w:vAlign w:val="center"/>
            <w:textDirection w:val="lrTb"/>
            <w:noWrap w:val="false"/>
          </w:tcPr>
          <w:p>
            <w:pPr>
              <w:jc w:val="left"/>
              <w:rPr>
                <w:rFonts w:hint="eastAsia" w:ascii="Calibri" w:hAnsi="Calibri" w:eastAsia="宋体" w:cs="Times New Roman"/>
                <w:color w:val="000000"/>
                <w:szCs w:val="22"/>
                <w:highlight w:val="none"/>
                <w:rtl w:val="0"/>
                <w:lang w:val="en-US" w:eastAsia="zh-CN"/>
              </w:rPr>
            </w:pPr>
            <w:r>
              <w:rPr>
                <w:rFonts w:ascii="Calibri" w:hAnsi="Calibri" w:eastAsia="宋体" w:cs="Times New Roman"/>
                <w:szCs w:val="22"/>
                <w:highlight w:val="none"/>
              </w:rPr>
              <w:t xml:space="preserve">供应商具有有效的质量管理体系、环境管理体系、职业健康</w:t>
            </w:r>
            <w:r>
              <w:rPr>
                <w:rFonts w:hint="eastAsia" w:ascii="Calibri" w:hAnsi="Calibri" w:eastAsia="宋体" w:cs="Times New Roman"/>
                <w:szCs w:val="22"/>
                <w:highlight w:val="none"/>
              </w:rPr>
              <w:t xml:space="preserve">安全</w:t>
            </w:r>
            <w:r>
              <w:rPr>
                <w:rFonts w:ascii="Calibri" w:hAnsi="Calibri" w:eastAsia="宋体" w:cs="Times New Roman"/>
                <w:szCs w:val="22"/>
                <w:highlight w:val="none"/>
              </w:rPr>
              <w:t xml:space="preserve">管</w:t>
            </w:r>
            <w:r>
              <w:rPr>
                <w:rFonts w:hint="eastAsia" w:ascii="Calibri" w:hAnsi="Calibri" w:eastAsia="宋体" w:cs="Times New Roman"/>
                <w:szCs w:val="22"/>
                <w:highlight w:val="none"/>
              </w:rPr>
              <w:t xml:space="preserve">理体</w:t>
            </w:r>
            <w:r>
              <w:rPr>
                <w:rFonts w:ascii="Calibri" w:hAnsi="Calibri" w:eastAsia="宋体" w:cs="Times New Roman"/>
                <w:szCs w:val="22"/>
                <w:highlight w:val="none"/>
              </w:rPr>
              <w:t xml:space="preserve">系认证证书，每</w:t>
            </w:r>
            <w:r>
              <w:rPr>
                <w:rFonts w:hint="eastAsia" w:ascii="Calibri" w:hAnsi="Calibri" w:eastAsia="宋体" w:cs="Times New Roman"/>
                <w:szCs w:val="22"/>
                <w:highlight w:val="none"/>
              </w:rPr>
              <w:t xml:space="preserve">有一项</w:t>
            </w:r>
            <w:r>
              <w:rPr>
                <w:rFonts w:ascii="Calibri" w:hAnsi="Calibri" w:eastAsia="宋体" w:cs="Times New Roman"/>
                <w:szCs w:val="22"/>
                <w:highlight w:val="none"/>
              </w:rPr>
              <w:t xml:space="preserve">得</w:t>
            </w:r>
            <w:r>
              <w:rPr>
                <w:rFonts w:hint="eastAsia" w:ascii="Calibri" w:hAnsi="Calibri" w:eastAsia="宋体" w:cs="Times New Roman"/>
                <w:szCs w:val="22"/>
                <w:highlight w:val="none"/>
                <w:lang w:val="en-US" w:eastAsia="zh-CN"/>
              </w:rPr>
              <w:t xml:space="preserve">1</w:t>
            </w:r>
            <w:r>
              <w:rPr>
                <w:rFonts w:ascii="Calibri" w:hAnsi="Calibri" w:eastAsia="宋体" w:cs="Times New Roman"/>
                <w:szCs w:val="22"/>
                <w:highlight w:val="none"/>
              </w:rPr>
              <w:t xml:space="preserve">分，最高得</w:t>
            </w:r>
            <w:r>
              <w:rPr>
                <w:rFonts w:hint="eastAsia" w:ascii="Calibri" w:hAnsi="Calibri" w:eastAsia="宋体" w:cs="Times New Roman"/>
                <w:szCs w:val="22"/>
                <w:highlight w:val="none"/>
                <w:lang w:val="en-US" w:eastAsia="zh-CN"/>
              </w:rPr>
              <w:t xml:space="preserve">3</w:t>
            </w:r>
            <w:r>
              <w:rPr>
                <w:rFonts w:ascii="Calibri" w:hAnsi="Calibri" w:eastAsia="宋体" w:cs="Times New Roman"/>
                <w:szCs w:val="22"/>
                <w:highlight w:val="none"/>
              </w:rPr>
              <w:t xml:space="preserve">分</w:t>
            </w:r>
            <w:r>
              <w:rPr>
                <w:rFonts w:hint="eastAsia" w:ascii="Calibri" w:hAnsi="Calibri" w:eastAsia="宋体" w:cs="Times New Roman"/>
                <w:szCs w:val="22"/>
                <w:highlight w:val="none"/>
              </w:rPr>
              <w:t xml:space="preserve">。注:响应文件中须提供相关证书材料的原件电子件，均须在有效期内，并提供国家认监委官网查询结果截图，否则不得分。</w:t>
            </w:r>
            <w:r/>
          </w:p>
        </w:tc>
      </w:tr>
      <w:tr>
        <w:trPr>
          <w:trHeight w:val="284"/>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hint="default"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t xml:space="preserve">人员配备</w:t>
            </w:r>
            <w:r/>
          </w:p>
        </w:tc>
        <w:tc>
          <w:tcPr>
            <w:tcW w:w="409" w:type="pct"/>
            <w:vAlign w:val="center"/>
            <w:textDirection w:val="lrTb"/>
            <w:noWrap w:val="false"/>
          </w:tcPr>
          <w:p>
            <w:pPr>
              <w:jc w:val="center"/>
              <w:rPr>
                <w:rFonts w:hint="default"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t xml:space="preserve">8.00</w:t>
            </w:r>
            <w:r/>
          </w:p>
        </w:tc>
        <w:tc>
          <w:tcPr>
            <w:tcW w:w="3455" w:type="pct"/>
            <w:vAlign w:val="center"/>
            <w:textDirection w:val="lrTb"/>
            <w:noWrap w:val="false"/>
          </w:tcPr>
          <w:p>
            <w:pPr>
              <w:numPr>
                <w:ilvl w:val="0"/>
                <w:numId w:val="7"/>
              </w:numPr>
              <w:jc w:val="left"/>
              <w:rPr>
                <w:rFonts w:hint="eastAsia" w:ascii="Calibri" w:hAnsi="Calibri" w:eastAsia="宋体" w:cs="Times New Roman"/>
                <w:szCs w:val="22"/>
                <w:highlight w:val="none"/>
                <w:lang w:val="en-US" w:eastAsia="zh-CN"/>
              </w:rPr>
            </w:pPr>
            <w:r/>
            <w:bookmarkStart w:id="770" w:name="OLE_LINK17"/>
            <w:r>
              <w:rPr>
                <w:rFonts w:hint="eastAsia" w:ascii="Calibri" w:hAnsi="Calibri" w:eastAsia="宋体" w:cs="Times New Roman"/>
                <w:szCs w:val="22"/>
                <w:highlight w:val="none"/>
                <w:lang w:val="en-US" w:eastAsia="zh-CN"/>
              </w:rPr>
              <w:t xml:space="preserve">项目负责人具有建设工程类高级职称的加2分，具有建设工程类中级职称的加1分，</w:t>
            </w:r>
            <w:r>
              <w:rPr>
                <w:rFonts w:hint="eastAsia" w:ascii="Calibri" w:hAnsi="Calibri" w:eastAsia="宋体" w:cs="Times New Roman"/>
                <w:szCs w:val="22"/>
                <w:highlight w:val="none"/>
              </w:rPr>
              <w:t xml:space="preserve">最多</w:t>
            </w:r>
            <w:r>
              <w:rPr>
                <w:rFonts w:hint="eastAsia" w:ascii="Calibri" w:hAnsi="Calibri" w:eastAsia="宋体" w:cs="Times New Roman"/>
                <w:szCs w:val="22"/>
                <w:highlight w:val="none"/>
                <w:lang w:val="en-US" w:eastAsia="zh-CN"/>
              </w:rPr>
              <w:t xml:space="preserve">得2</w:t>
            </w:r>
            <w:r>
              <w:rPr>
                <w:rFonts w:hint="eastAsia" w:ascii="Calibri" w:hAnsi="Calibri" w:eastAsia="宋体" w:cs="Times New Roman"/>
                <w:szCs w:val="22"/>
                <w:highlight w:val="none"/>
              </w:rPr>
              <w:t xml:space="preserve">分</w:t>
            </w:r>
            <w:r/>
          </w:p>
          <w:p>
            <w:pPr>
              <w:numPr>
                <w:ilvl w:val="0"/>
                <w:numId w:val="0"/>
              </w:numPr>
              <w:jc w:val="left"/>
              <w:rPr>
                <w:rFonts w:hint="default"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t xml:space="preserve">2、技术负责人具有建设工程类高级职称的加2分，具有建设工程类中级职称的加1分，</w:t>
            </w:r>
            <w:r>
              <w:rPr>
                <w:rFonts w:hint="eastAsia" w:ascii="Calibri" w:hAnsi="Calibri" w:eastAsia="宋体" w:cs="Times New Roman"/>
                <w:szCs w:val="22"/>
                <w:highlight w:val="none"/>
              </w:rPr>
              <w:t xml:space="preserve">最多</w:t>
            </w:r>
            <w:r>
              <w:rPr>
                <w:rFonts w:hint="eastAsia" w:ascii="Calibri" w:hAnsi="Calibri" w:eastAsia="宋体" w:cs="Times New Roman"/>
                <w:szCs w:val="22"/>
                <w:highlight w:val="none"/>
                <w:lang w:val="en-US" w:eastAsia="zh-CN"/>
              </w:rPr>
              <w:t xml:space="preserve">得2</w:t>
            </w:r>
            <w:r>
              <w:rPr>
                <w:rFonts w:hint="eastAsia" w:ascii="Calibri" w:hAnsi="Calibri" w:eastAsia="宋体" w:cs="Times New Roman"/>
                <w:szCs w:val="22"/>
                <w:highlight w:val="none"/>
              </w:rPr>
              <w:t xml:space="preserve">分</w:t>
            </w:r>
            <w:r>
              <w:rPr>
                <w:rFonts w:hint="eastAsia" w:ascii="Calibri" w:hAnsi="Calibri" w:eastAsia="宋体" w:cs="Times New Roman"/>
                <w:szCs w:val="22"/>
                <w:highlight w:val="none"/>
                <w:lang w:val="en-US" w:eastAsia="zh-CN"/>
              </w:rPr>
              <w:t xml:space="preserve">。</w:t>
            </w:r>
            <w:r/>
          </w:p>
          <w:p>
            <w:pPr>
              <w:jc w:val="left"/>
              <w:rPr>
                <w:rFonts w:hint="eastAsia" w:ascii="Calibri" w:hAnsi="Calibri" w:eastAsia="宋体" w:cs="Times New Roman"/>
                <w:szCs w:val="22"/>
                <w:highlight w:val="none"/>
              </w:rPr>
            </w:pPr>
            <w:r>
              <w:rPr>
                <w:rFonts w:hint="eastAsia" w:ascii="Calibri" w:hAnsi="Calibri" w:eastAsia="宋体" w:cs="Times New Roman"/>
                <w:szCs w:val="22"/>
                <w:highlight w:val="none"/>
                <w:lang w:val="en-US" w:eastAsia="zh-CN"/>
              </w:rPr>
              <w:t xml:space="preserve">3、项目组成员每有一个建设工程类高级职称加2分</w:t>
            </w:r>
            <w:r>
              <w:rPr>
                <w:rFonts w:hint="eastAsia" w:ascii="Calibri" w:hAnsi="Calibri" w:eastAsia="宋体" w:cs="Times New Roman"/>
                <w:szCs w:val="22"/>
                <w:highlight w:val="none"/>
              </w:rPr>
              <w:t xml:space="preserve">，</w:t>
            </w:r>
            <w:r>
              <w:rPr>
                <w:rFonts w:hint="eastAsia" w:ascii="Calibri" w:hAnsi="Calibri" w:eastAsia="宋体" w:cs="Times New Roman"/>
                <w:szCs w:val="22"/>
                <w:highlight w:val="none"/>
                <w:lang w:val="en-US" w:eastAsia="zh-CN"/>
              </w:rPr>
              <w:t xml:space="preserve">每有一个建设工程类中级职称的加1分，</w:t>
            </w:r>
            <w:r>
              <w:rPr>
                <w:rFonts w:hint="eastAsia" w:ascii="Calibri" w:hAnsi="Calibri" w:eastAsia="宋体" w:cs="Times New Roman"/>
                <w:szCs w:val="22"/>
                <w:highlight w:val="none"/>
              </w:rPr>
              <w:t xml:space="preserve">本项最多</w:t>
            </w:r>
            <w:r>
              <w:rPr>
                <w:rFonts w:hint="eastAsia" w:ascii="Calibri" w:hAnsi="Calibri" w:eastAsia="宋体" w:cs="Times New Roman"/>
                <w:szCs w:val="22"/>
                <w:highlight w:val="none"/>
                <w:lang w:val="en-US" w:eastAsia="zh-CN"/>
              </w:rPr>
              <w:t xml:space="preserve">4</w:t>
            </w:r>
            <w:r>
              <w:rPr>
                <w:rFonts w:hint="eastAsia" w:ascii="Calibri" w:hAnsi="Calibri" w:eastAsia="宋体" w:cs="Times New Roman"/>
                <w:szCs w:val="22"/>
                <w:highlight w:val="none"/>
              </w:rPr>
              <w:t xml:space="preserve">分。</w:t>
            </w:r>
            <w:r/>
          </w:p>
          <w:p>
            <w:pPr>
              <w:jc w:val="left"/>
              <w:rPr>
                <w:rFonts w:ascii="Calibri" w:hAnsi="Calibri" w:eastAsia="宋体" w:cs="Times New Roman"/>
                <w:szCs w:val="22"/>
                <w:highlight w:val="none"/>
              </w:rPr>
            </w:pPr>
            <w:r>
              <w:rPr>
                <w:rFonts w:hint="eastAsia" w:ascii="Calibri" w:hAnsi="Calibri" w:eastAsia="宋体" w:cs="Times New Roman"/>
                <w:szCs w:val="22"/>
                <w:highlight w:val="none"/>
              </w:rPr>
              <w:t xml:space="preserve">注：</w:t>
            </w:r>
            <w:r>
              <w:rPr>
                <w:rFonts w:hint="eastAsia" w:ascii="Calibri" w:hAnsi="Calibri" w:eastAsia="宋体" w:cs="Times New Roman"/>
                <w:szCs w:val="22"/>
                <w:highlight w:val="none"/>
                <w:lang w:eastAsia="zh-CN"/>
              </w:rPr>
              <w:t xml:space="preserve">①</w:t>
            </w:r>
            <w:r>
              <w:rPr>
                <w:rFonts w:hint="eastAsia" w:ascii="Calibri" w:hAnsi="Calibri" w:eastAsia="宋体" w:cs="Times New Roman"/>
                <w:szCs w:val="22"/>
                <w:highlight w:val="none"/>
              </w:rPr>
              <w:t xml:space="preserve">一人一证，一人多证不重复计分，</w:t>
            </w:r>
            <w:r>
              <w:rPr>
                <w:rFonts w:hint="eastAsia" w:ascii="Calibri" w:hAnsi="Calibri" w:eastAsia="宋体" w:cs="Times New Roman"/>
                <w:szCs w:val="22"/>
                <w:highlight w:val="none"/>
                <w:lang w:val="en-US" w:eastAsia="zh-CN"/>
              </w:rPr>
              <w:t xml:space="preserve">证明材料</w:t>
            </w:r>
            <w:r>
              <w:rPr>
                <w:rFonts w:hint="eastAsia" w:ascii="Calibri" w:hAnsi="Calibri" w:eastAsia="宋体" w:cs="Times New Roman"/>
                <w:szCs w:val="22"/>
                <w:highlight w:val="none"/>
              </w:rPr>
              <w:t xml:space="preserve">上传至投标</w:t>
            </w:r>
            <w:r>
              <w:rPr>
                <w:rFonts w:hint="eastAsia" w:ascii="Calibri" w:hAnsi="Calibri" w:eastAsia="宋体" w:cs="Times New Roman"/>
                <w:szCs w:val="22"/>
                <w:highlight w:val="none"/>
                <w:lang w:val="en-US" w:eastAsia="zh-CN"/>
              </w:rPr>
              <w:t xml:space="preserve">文件</w:t>
            </w:r>
            <w:r>
              <w:rPr>
                <w:rFonts w:hint="eastAsia" w:ascii="Calibri" w:hAnsi="Calibri" w:eastAsia="宋体" w:cs="Times New Roman"/>
                <w:szCs w:val="22"/>
                <w:highlight w:val="none"/>
              </w:rPr>
              <w:t xml:space="preserve">中；</w:t>
            </w:r>
            <w:r>
              <w:rPr>
                <w:rFonts w:hint="eastAsia" w:ascii="Calibri" w:hAnsi="Calibri" w:eastAsia="宋体" w:cs="Times New Roman"/>
                <w:szCs w:val="22"/>
                <w:highlight w:val="none"/>
                <w:lang w:eastAsia="zh-CN"/>
              </w:rPr>
              <w:t xml:space="preserve">②</w:t>
            </w:r>
            <w:r>
              <w:rPr>
                <w:rFonts w:hint="eastAsia" w:ascii="Calibri" w:hAnsi="Calibri" w:eastAsia="宋体" w:cs="Times New Roman"/>
                <w:szCs w:val="22"/>
                <w:highlight w:val="none"/>
              </w:rPr>
              <w:t xml:space="preserve">提供供应商在</w:t>
            </w:r>
            <w:r>
              <w:rPr>
                <w:rFonts w:hint="eastAsia" w:ascii="Calibri" w:hAnsi="Calibri" w:eastAsia="宋体" w:cs="Times New Roman"/>
                <w:szCs w:val="22"/>
                <w:highlight w:val="none"/>
                <w:lang w:val="en-US" w:eastAsia="zh-CN"/>
              </w:rPr>
              <w:t xml:space="preserve">磋商</w:t>
            </w:r>
            <w:r>
              <w:rPr>
                <w:rFonts w:hint="eastAsia" w:ascii="Calibri" w:hAnsi="Calibri" w:eastAsia="宋体" w:cs="Times New Roman"/>
                <w:szCs w:val="22"/>
                <w:highlight w:val="none"/>
              </w:rPr>
              <w:t xml:space="preserve">前6个月内为其办理的任意一个月社会养老保险或医疗保险缴纳证明材料。</w:t>
            </w:r>
            <w:bookmarkEnd w:id="770"/>
            <w:r/>
            <w:r/>
          </w:p>
        </w:tc>
      </w:tr>
      <w:tr>
        <w:trPr>
          <w:trHeight w:val="284"/>
        </w:trPr>
        <w:tc>
          <w:tcPr>
            <w:tcW w:w="352" w:type="pct"/>
            <w:vAlign w:val="center"/>
            <w:vMerge w:val="restart"/>
            <w:textDirection w:val="lrTb"/>
            <w:noWrap w:val="false"/>
          </w:tcPr>
          <w:p>
            <w:pPr>
              <w:jc w:val="left"/>
              <w:rPr>
                <w:rFonts w:hint="eastAsia" w:ascii="Times New Roman" w:hAnsi="Times New Roman" w:eastAsia="宋体" w:cs="Times New Roman"/>
                <w:szCs w:val="22"/>
                <w:highlight w:val="none"/>
                <w:lang w:eastAsia="zh-CN"/>
              </w:rPr>
            </w:pPr>
            <w:r>
              <w:rPr>
                <w:rFonts w:ascii="Times New Roman" w:hAnsi="Times New Roman" w:eastAsia="宋体" w:cs="Times New Roman"/>
                <w:szCs w:val="22"/>
                <w:highlight w:val="none"/>
              </w:rPr>
              <w:t xml:space="preserve">项目实施方案</w:t>
            </w:r>
            <w:r/>
          </w:p>
        </w:tc>
        <w:tc>
          <w:tcPr>
            <w:tcW w:w="782"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总体概述</w:t>
            </w:r>
            <w:r/>
          </w:p>
        </w:tc>
        <w:tc>
          <w:tcPr>
            <w:tcW w:w="409"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lang w:val="en-US" w:eastAsia="zh-CN"/>
              </w:rPr>
              <w:t xml:space="preserve">8</w:t>
            </w:r>
            <w:r>
              <w:rPr>
                <w:rFonts w:ascii="Calibri" w:hAnsi="Calibri" w:eastAsia="宋体" w:cs="Times New Roman"/>
                <w:szCs w:val="22"/>
                <w:highlight w:val="none"/>
              </w:rPr>
              <w:t xml:space="preserve">.00</w:t>
            </w:r>
            <w:r/>
          </w:p>
        </w:tc>
        <w:tc>
          <w:tcPr>
            <w:tcW w:w="3455" w:type="pct"/>
            <w:vAlign w:val="center"/>
            <w:textDirection w:val="lrTb"/>
            <w:noWrap w:val="false"/>
          </w:tcPr>
          <w:p>
            <w:pPr>
              <w:jc w:val="left"/>
              <w:rPr>
                <w:rFonts w:hint="eastAsia" w:ascii="Calibri" w:hAnsi="Calibri" w:eastAsia="宋体" w:cs="Times New Roman"/>
                <w:szCs w:val="22"/>
                <w:highlight w:val="none"/>
                <w:lang w:eastAsia="zh-CN"/>
              </w:rPr>
            </w:pPr>
            <w:r>
              <w:rPr>
                <w:rFonts w:hint="eastAsia" w:ascii="Calibri" w:hAnsi="Calibri" w:eastAsia="宋体" w:cs="Times New Roman"/>
                <w:szCs w:val="22"/>
                <w:highlight w:val="none"/>
                <w:lang w:val="en-US" w:eastAsia="zh-CN"/>
              </w:rPr>
              <w:t xml:space="preserve">工程概述、总体安排、施工部署及施工段划分等；概述全面且详细，组织机构健全，总体安排合理， 方案考虑周全，有合理化建议的得8分；概述较为详细，总体安排可行，组织机构较合理，方案考虑比较周全，较能满足项目实施需要的得5分；概述及方案简单，总体安排及组织机构有所欠缺，但通过后期优化能够满足项目实施需要的得2分；没有内容不得分。</w:t>
            </w:r>
            <w:r/>
          </w:p>
        </w:tc>
      </w:tr>
      <w:tr>
        <w:trPr>
          <w:trHeight w:val="284"/>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施工方案、方法</w:t>
            </w:r>
            <w:r/>
          </w:p>
        </w:tc>
        <w:tc>
          <w:tcPr>
            <w:tcW w:w="409"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lang w:val="en-US" w:eastAsia="zh-CN"/>
              </w:rPr>
              <w:t xml:space="preserve">8</w:t>
            </w:r>
            <w:r>
              <w:rPr>
                <w:rFonts w:ascii="Calibri" w:hAnsi="Calibri" w:eastAsia="宋体" w:cs="Times New Roman"/>
                <w:szCs w:val="22"/>
                <w:highlight w:val="none"/>
              </w:rPr>
              <w:t xml:space="preserve">.00</w:t>
            </w:r>
            <w:r/>
          </w:p>
        </w:tc>
        <w:tc>
          <w:tcPr>
            <w:tcW w:w="3455"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本项目主要工程项目的施工方案、施工方法与技术措施</w:t>
            </w:r>
            <w:r>
              <w:rPr>
                <w:rFonts w:ascii="宋体" w:hAnsi="宋体" w:eastAsia="宋体" w:cs="宋体"/>
                <w:b w:val="0"/>
                <w:bCs w:val="0"/>
                <w:i w:val="0"/>
                <w:iCs w:val="0"/>
                <w:color w:val="000000"/>
                <w:sz w:val="22"/>
                <w:szCs w:val="22"/>
                <w:highlight w:val="none"/>
              </w:rPr>
              <w:t xml:space="preserve">等</w:t>
            </w:r>
            <w:r>
              <w:rPr>
                <w:rFonts w:ascii="Calibri" w:hAnsi="Calibri" w:eastAsia="宋体" w:cs="Times New Roman"/>
                <w:szCs w:val="22"/>
                <w:highlight w:val="none"/>
              </w:rPr>
              <w:t xml:space="preserve">；内容完整、详细具体、科学合理、措施可靠、针对性强</w:t>
            </w:r>
            <w:r>
              <w:rPr>
                <w:rFonts w:hint="eastAsia" w:ascii="Calibri" w:hAnsi="Calibri" w:eastAsia="宋体" w:cs="Times New Roman"/>
                <w:szCs w:val="22"/>
                <w:highlight w:val="none"/>
              </w:rPr>
              <w:t xml:space="preserve">且优于采购需求的</w:t>
            </w:r>
            <w:r>
              <w:rPr>
                <w:rFonts w:ascii="Calibri" w:hAnsi="Calibri" w:eastAsia="宋体" w:cs="Times New Roman"/>
                <w:szCs w:val="22"/>
                <w:highlight w:val="none"/>
              </w:rPr>
              <w:t xml:space="preserve">得</w:t>
            </w:r>
            <w:r>
              <w:rPr>
                <w:rFonts w:hint="eastAsia" w:ascii="Calibri" w:hAnsi="Calibri" w:eastAsia="宋体" w:cs="Times New Roman"/>
                <w:szCs w:val="22"/>
                <w:highlight w:val="none"/>
                <w:lang w:val="en-US" w:eastAsia="zh-CN"/>
              </w:rPr>
              <w:t xml:space="preserve">8</w:t>
            </w:r>
            <w:r>
              <w:rPr>
                <w:rFonts w:ascii="Calibri" w:hAnsi="Calibri" w:eastAsia="宋体" w:cs="Times New Roman"/>
                <w:szCs w:val="22"/>
                <w:highlight w:val="none"/>
              </w:rPr>
              <w:t xml:space="preserve">分；内容</w:t>
            </w:r>
            <w:r>
              <w:rPr>
                <w:rFonts w:hint="eastAsia" w:ascii="Calibri" w:hAnsi="Calibri" w:eastAsia="宋体" w:cs="Times New Roman"/>
                <w:szCs w:val="22"/>
                <w:highlight w:val="none"/>
              </w:rPr>
              <w:t xml:space="preserve">较</w:t>
            </w:r>
            <w:r>
              <w:rPr>
                <w:rFonts w:ascii="Calibri" w:hAnsi="Calibri" w:eastAsia="宋体" w:cs="Times New Roman"/>
                <w:szCs w:val="22"/>
                <w:highlight w:val="none"/>
              </w:rPr>
              <w:t xml:space="preserve">完整、组织较严谨、针对性较强</w:t>
            </w:r>
            <w:r>
              <w:rPr>
                <w:rFonts w:hint="eastAsia" w:ascii="Calibri" w:hAnsi="Calibri" w:eastAsia="宋体" w:cs="Times New Roman"/>
                <w:szCs w:val="22"/>
                <w:highlight w:val="none"/>
              </w:rPr>
              <w:t xml:space="preserve">且基本满足采购需求的</w:t>
            </w:r>
            <w:r>
              <w:rPr>
                <w:rFonts w:ascii="Calibri" w:hAnsi="Calibri" w:eastAsia="宋体" w:cs="Times New Roman"/>
                <w:szCs w:val="22"/>
                <w:highlight w:val="none"/>
              </w:rPr>
              <w:t xml:space="preserve">得</w:t>
            </w:r>
            <w:r>
              <w:rPr>
                <w:rFonts w:hint="eastAsia" w:ascii="Calibri" w:hAnsi="Calibri" w:eastAsia="宋体" w:cs="Times New Roman"/>
                <w:szCs w:val="22"/>
                <w:highlight w:val="none"/>
                <w:lang w:val="en-US" w:eastAsia="zh-CN"/>
              </w:rPr>
              <w:t xml:space="preserve">5</w:t>
            </w:r>
            <w:r>
              <w:rPr>
                <w:rFonts w:ascii="Calibri" w:hAnsi="Calibri" w:eastAsia="宋体" w:cs="Times New Roman"/>
                <w:szCs w:val="22"/>
                <w:highlight w:val="none"/>
              </w:rPr>
              <w:t xml:space="preserve">分；内容不完整、措施基本可行、针对性</w:t>
            </w:r>
            <w:r>
              <w:rPr>
                <w:rFonts w:hint="eastAsia" w:ascii="Calibri" w:hAnsi="Calibri" w:eastAsia="宋体" w:cs="Times New Roman"/>
                <w:szCs w:val="22"/>
                <w:highlight w:val="none"/>
              </w:rPr>
              <w:t xml:space="preserve">不强</w:t>
            </w:r>
            <w:r>
              <w:rPr>
                <w:rFonts w:ascii="Calibri" w:hAnsi="Calibri" w:eastAsia="宋体" w:cs="Times New Roman"/>
                <w:szCs w:val="22"/>
                <w:highlight w:val="none"/>
              </w:rPr>
              <w:t xml:space="preserve">，通过后期优化能够满足采购需求</w:t>
            </w:r>
            <w:r>
              <w:rPr>
                <w:rFonts w:hint="eastAsia" w:ascii="Calibri" w:hAnsi="Calibri" w:eastAsia="宋体" w:cs="Times New Roman"/>
                <w:szCs w:val="22"/>
                <w:highlight w:val="none"/>
              </w:rPr>
              <w:t xml:space="preserve">的</w:t>
            </w:r>
            <w:r>
              <w:rPr>
                <w:rFonts w:ascii="Calibri" w:hAnsi="Calibri" w:eastAsia="宋体" w:cs="Times New Roman"/>
                <w:szCs w:val="22"/>
                <w:highlight w:val="none"/>
              </w:rPr>
              <w:t xml:space="preserve">得</w:t>
            </w:r>
            <w:r>
              <w:rPr>
                <w:rFonts w:hint="eastAsia" w:ascii="Calibri" w:hAnsi="Calibri" w:eastAsia="宋体" w:cs="Times New Roman"/>
                <w:szCs w:val="22"/>
                <w:highlight w:val="none"/>
                <w:lang w:val="en-US" w:eastAsia="zh-CN"/>
              </w:rPr>
              <w:t xml:space="preserve">2</w:t>
            </w:r>
            <w:r>
              <w:rPr>
                <w:rFonts w:ascii="Calibri" w:hAnsi="Calibri" w:eastAsia="宋体" w:cs="Times New Roman"/>
                <w:szCs w:val="22"/>
                <w:highlight w:val="none"/>
              </w:rPr>
              <w:t xml:space="preserve">分；</w:t>
            </w:r>
            <w:r>
              <w:rPr>
                <w:rFonts w:hint="eastAsia" w:ascii="Calibri" w:hAnsi="Calibri" w:eastAsia="宋体" w:cs="Times New Roman"/>
                <w:szCs w:val="22"/>
                <w:highlight w:val="none"/>
              </w:rPr>
              <w:t xml:space="preserve">没有内容不得分。</w:t>
            </w:r>
            <w:r/>
          </w:p>
        </w:tc>
      </w:tr>
      <w:tr>
        <w:trPr>
          <w:trHeight w:val="90"/>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工期保证体系及保证措施</w:t>
            </w:r>
            <w:r/>
          </w:p>
        </w:tc>
        <w:tc>
          <w:tcPr>
            <w:tcW w:w="409"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lang w:val="en-US" w:eastAsia="zh-CN"/>
              </w:rPr>
              <w:t xml:space="preserve">6</w:t>
            </w:r>
            <w:r>
              <w:rPr>
                <w:rFonts w:ascii="Calibri" w:hAnsi="Calibri" w:eastAsia="宋体" w:cs="Times New Roman"/>
                <w:szCs w:val="22"/>
                <w:highlight w:val="none"/>
              </w:rPr>
              <w:t xml:space="preserve">.00</w:t>
            </w:r>
            <w:r/>
          </w:p>
        </w:tc>
        <w:tc>
          <w:tcPr>
            <w:tcW w:w="3455"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工期保证体系及保证措施等；内容完整、详细具体、科学合理、措施可靠、针对性强</w:t>
            </w:r>
            <w:r>
              <w:rPr>
                <w:rFonts w:hint="eastAsia" w:ascii="Calibri" w:hAnsi="Calibri" w:eastAsia="宋体" w:cs="Times New Roman"/>
                <w:szCs w:val="22"/>
                <w:highlight w:val="none"/>
              </w:rPr>
              <w:t xml:space="preserve">且优于采购需求的</w:t>
            </w:r>
            <w:r>
              <w:rPr>
                <w:rFonts w:ascii="Calibri" w:hAnsi="Calibri" w:eastAsia="宋体" w:cs="Times New Roman"/>
                <w:szCs w:val="22"/>
                <w:highlight w:val="none"/>
              </w:rPr>
              <w:t xml:space="preserve">得</w:t>
            </w:r>
            <w:r>
              <w:rPr>
                <w:rFonts w:hint="eastAsia" w:ascii="Calibri" w:hAnsi="Calibri" w:eastAsia="宋体" w:cs="Times New Roman"/>
                <w:szCs w:val="22"/>
                <w:highlight w:val="none"/>
                <w:lang w:val="en-US" w:eastAsia="zh-CN"/>
              </w:rPr>
              <w:t xml:space="preserve">6</w:t>
            </w:r>
            <w:r>
              <w:rPr>
                <w:rFonts w:ascii="Calibri" w:hAnsi="Calibri" w:eastAsia="宋体" w:cs="Times New Roman"/>
                <w:szCs w:val="22"/>
                <w:highlight w:val="none"/>
              </w:rPr>
              <w:t xml:space="preserve">分；内容</w:t>
            </w:r>
            <w:r>
              <w:rPr>
                <w:rFonts w:hint="eastAsia" w:ascii="Calibri" w:hAnsi="Calibri" w:eastAsia="宋体" w:cs="Times New Roman"/>
                <w:szCs w:val="22"/>
                <w:highlight w:val="none"/>
              </w:rPr>
              <w:t xml:space="preserve">较</w:t>
            </w:r>
            <w:r>
              <w:rPr>
                <w:rFonts w:ascii="Calibri" w:hAnsi="Calibri" w:eastAsia="宋体" w:cs="Times New Roman"/>
                <w:szCs w:val="22"/>
                <w:highlight w:val="none"/>
              </w:rPr>
              <w:t xml:space="preserve">完整、组织较严谨、针对性较强</w:t>
            </w:r>
            <w:r>
              <w:rPr>
                <w:rFonts w:hint="eastAsia" w:ascii="Calibri" w:hAnsi="Calibri" w:eastAsia="宋体" w:cs="Times New Roman"/>
                <w:szCs w:val="22"/>
                <w:highlight w:val="none"/>
              </w:rPr>
              <w:t xml:space="preserve">且基本满足采购需求的</w:t>
            </w:r>
            <w:r>
              <w:rPr>
                <w:rFonts w:ascii="Calibri" w:hAnsi="Calibri" w:eastAsia="宋体" w:cs="Times New Roman"/>
                <w:szCs w:val="22"/>
                <w:highlight w:val="none"/>
              </w:rPr>
              <w:t xml:space="preserve">得</w:t>
            </w:r>
            <w:r>
              <w:rPr>
                <w:rFonts w:hint="eastAsia" w:cs="Times New Roman"/>
                <w:szCs w:val="22"/>
                <w:highlight w:val="none"/>
                <w:lang w:val="en-US" w:eastAsia="zh-CN"/>
              </w:rPr>
              <w:t xml:space="preserve">3</w:t>
            </w:r>
            <w:r>
              <w:rPr>
                <w:rFonts w:ascii="Calibri" w:hAnsi="Calibri" w:eastAsia="宋体" w:cs="Times New Roman"/>
                <w:szCs w:val="22"/>
                <w:highlight w:val="none"/>
              </w:rPr>
              <w:t xml:space="preserve">分；内容</w:t>
            </w:r>
            <w:r>
              <w:rPr>
                <w:rFonts w:hint="eastAsia" w:ascii="Calibri" w:hAnsi="Calibri" w:eastAsia="宋体" w:cs="Times New Roman"/>
                <w:szCs w:val="22"/>
                <w:highlight w:val="none"/>
              </w:rPr>
              <w:t xml:space="preserve">不完整</w:t>
            </w:r>
            <w:r>
              <w:rPr>
                <w:rFonts w:ascii="Calibri" w:hAnsi="Calibri" w:eastAsia="宋体" w:cs="Times New Roman"/>
                <w:szCs w:val="22"/>
                <w:highlight w:val="none"/>
              </w:rPr>
              <w:t xml:space="preserve">、措施基本可行、针对性</w:t>
            </w:r>
            <w:r>
              <w:rPr>
                <w:rFonts w:hint="eastAsia" w:ascii="Calibri" w:hAnsi="Calibri" w:eastAsia="宋体" w:cs="Times New Roman"/>
                <w:szCs w:val="22"/>
                <w:highlight w:val="none"/>
              </w:rPr>
              <w:t xml:space="preserve">不强</w:t>
            </w:r>
            <w:r>
              <w:rPr>
                <w:rFonts w:ascii="Calibri" w:hAnsi="Calibri" w:eastAsia="宋体" w:cs="Times New Roman"/>
                <w:szCs w:val="22"/>
                <w:highlight w:val="none"/>
              </w:rPr>
              <w:t xml:space="preserve">，通过后期优化能够满足采购需求</w:t>
            </w:r>
            <w:r>
              <w:rPr>
                <w:rFonts w:hint="eastAsia" w:ascii="Calibri" w:hAnsi="Calibri" w:eastAsia="宋体" w:cs="Times New Roman"/>
                <w:szCs w:val="22"/>
                <w:highlight w:val="none"/>
              </w:rPr>
              <w:t xml:space="preserve">的</w:t>
            </w:r>
            <w:r>
              <w:rPr>
                <w:rFonts w:ascii="Calibri" w:hAnsi="Calibri" w:eastAsia="宋体" w:cs="Times New Roman"/>
                <w:szCs w:val="22"/>
                <w:highlight w:val="none"/>
              </w:rPr>
              <w:t xml:space="preserve">得</w:t>
            </w:r>
            <w:r>
              <w:rPr>
                <w:rFonts w:hint="eastAsia" w:cs="Times New Roman"/>
                <w:szCs w:val="22"/>
                <w:highlight w:val="none"/>
                <w:lang w:val="en-US" w:eastAsia="zh-CN"/>
              </w:rPr>
              <w:t xml:space="preserve">1</w:t>
            </w:r>
            <w:r>
              <w:rPr>
                <w:rFonts w:ascii="Calibri" w:hAnsi="Calibri" w:eastAsia="宋体" w:cs="Times New Roman"/>
                <w:szCs w:val="22"/>
                <w:highlight w:val="none"/>
              </w:rPr>
              <w:t xml:space="preserve">分；</w:t>
            </w:r>
            <w:r>
              <w:rPr>
                <w:rFonts w:hint="eastAsia" w:ascii="Calibri" w:hAnsi="Calibri" w:eastAsia="宋体" w:cs="Times New Roman"/>
                <w:szCs w:val="22"/>
                <w:highlight w:val="none"/>
              </w:rPr>
              <w:t xml:space="preserve">没有内容不得分。</w:t>
            </w:r>
            <w:r/>
          </w:p>
        </w:tc>
      </w:tr>
      <w:tr>
        <w:trPr>
          <w:trHeight w:val="284"/>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工程质量管理体系</w:t>
            </w:r>
            <w:r>
              <w:rPr>
                <w:rFonts w:hint="eastAsia" w:ascii="Calibri" w:hAnsi="Calibri" w:eastAsia="宋体" w:cs="Times New Roman"/>
                <w:szCs w:val="22"/>
                <w:highlight w:val="none"/>
              </w:rPr>
              <w:t xml:space="preserve">及</w:t>
            </w:r>
            <w:r>
              <w:rPr>
                <w:rFonts w:ascii="Calibri" w:hAnsi="Calibri" w:eastAsia="宋体" w:cs="Times New Roman"/>
                <w:szCs w:val="22"/>
                <w:highlight w:val="none"/>
              </w:rPr>
              <w:t xml:space="preserve">保证措施</w:t>
            </w:r>
            <w:r/>
          </w:p>
        </w:tc>
        <w:tc>
          <w:tcPr>
            <w:tcW w:w="409"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lang w:val="en-US" w:eastAsia="zh-CN"/>
              </w:rPr>
              <w:t xml:space="preserve">6</w:t>
            </w:r>
            <w:r>
              <w:rPr>
                <w:rFonts w:ascii="Calibri" w:hAnsi="Calibri" w:eastAsia="宋体" w:cs="Times New Roman"/>
                <w:szCs w:val="22"/>
                <w:highlight w:val="none"/>
              </w:rPr>
              <w:t xml:space="preserve">.00</w:t>
            </w:r>
            <w:r/>
          </w:p>
        </w:tc>
        <w:tc>
          <w:tcPr>
            <w:tcW w:w="3455" w:type="pct"/>
            <w:vAlign w:val="center"/>
            <w:textDirection w:val="lrTb"/>
            <w:noWrap w:val="false"/>
          </w:tcPr>
          <w:p>
            <w:pPr>
              <w:jc w:val="left"/>
              <w:rPr>
                <w:rFonts w:ascii="Calibri" w:hAnsi="Calibri" w:eastAsia="宋体" w:cs="Times New Roman"/>
                <w:szCs w:val="22"/>
                <w:highlight w:val="none"/>
              </w:rPr>
            </w:pPr>
            <w:r>
              <w:rPr>
                <w:rFonts w:ascii="Calibri" w:hAnsi="Calibri" w:eastAsia="宋体" w:cs="Times New Roman"/>
                <w:szCs w:val="22"/>
                <w:highlight w:val="none"/>
              </w:rPr>
              <w:t xml:space="preserve">工程质量管理体系</w:t>
            </w:r>
            <w:r>
              <w:rPr>
                <w:rFonts w:hint="eastAsia" w:ascii="Calibri" w:hAnsi="Calibri" w:eastAsia="宋体" w:cs="Times New Roman"/>
                <w:szCs w:val="22"/>
                <w:highlight w:val="none"/>
              </w:rPr>
              <w:t xml:space="preserve">及</w:t>
            </w:r>
            <w:r>
              <w:rPr>
                <w:rFonts w:ascii="Calibri" w:hAnsi="Calibri" w:eastAsia="宋体" w:cs="Times New Roman"/>
                <w:szCs w:val="22"/>
                <w:highlight w:val="none"/>
              </w:rPr>
              <w:t xml:space="preserve">工程质量保证措施等；内容完整、详细具体、科学合理、措施可靠、针对性强</w:t>
            </w:r>
            <w:r>
              <w:rPr>
                <w:rFonts w:hint="eastAsia" w:ascii="Calibri" w:hAnsi="Calibri" w:eastAsia="宋体" w:cs="Times New Roman"/>
                <w:szCs w:val="22"/>
                <w:highlight w:val="none"/>
              </w:rPr>
              <w:t xml:space="preserve">且优于采购需求的</w:t>
            </w:r>
            <w:r>
              <w:rPr>
                <w:rFonts w:ascii="Calibri" w:hAnsi="Calibri" w:eastAsia="宋体" w:cs="Times New Roman"/>
                <w:szCs w:val="22"/>
                <w:highlight w:val="none"/>
              </w:rPr>
              <w:t xml:space="preserve">得</w:t>
            </w:r>
            <w:r>
              <w:rPr>
                <w:rFonts w:hint="eastAsia" w:ascii="Calibri" w:hAnsi="Calibri" w:eastAsia="宋体" w:cs="Times New Roman"/>
                <w:szCs w:val="22"/>
                <w:highlight w:val="none"/>
                <w:lang w:val="en-US" w:eastAsia="zh-CN"/>
              </w:rPr>
              <w:t xml:space="preserve">6</w:t>
            </w:r>
            <w:r>
              <w:rPr>
                <w:rFonts w:ascii="Calibri" w:hAnsi="Calibri" w:eastAsia="宋体" w:cs="Times New Roman"/>
                <w:szCs w:val="22"/>
                <w:highlight w:val="none"/>
              </w:rPr>
              <w:t xml:space="preserve">分；内容</w:t>
            </w:r>
            <w:r>
              <w:rPr>
                <w:rFonts w:hint="eastAsia" w:ascii="Calibri" w:hAnsi="Calibri" w:eastAsia="宋体" w:cs="Times New Roman"/>
                <w:szCs w:val="22"/>
                <w:highlight w:val="none"/>
              </w:rPr>
              <w:t xml:space="preserve">较</w:t>
            </w:r>
            <w:r>
              <w:rPr>
                <w:rFonts w:ascii="Calibri" w:hAnsi="Calibri" w:eastAsia="宋体" w:cs="Times New Roman"/>
                <w:szCs w:val="22"/>
                <w:highlight w:val="none"/>
              </w:rPr>
              <w:t xml:space="preserve">完整、组织较严谨、针对性较强</w:t>
            </w:r>
            <w:r>
              <w:rPr>
                <w:rFonts w:hint="eastAsia" w:ascii="Calibri" w:hAnsi="Calibri" w:eastAsia="宋体" w:cs="Times New Roman"/>
                <w:szCs w:val="22"/>
                <w:highlight w:val="none"/>
              </w:rPr>
              <w:t xml:space="preserve">且基本满足采购需求的</w:t>
            </w:r>
            <w:r>
              <w:rPr>
                <w:rFonts w:ascii="Calibri" w:hAnsi="Calibri" w:eastAsia="宋体" w:cs="Times New Roman"/>
                <w:szCs w:val="22"/>
                <w:highlight w:val="none"/>
              </w:rPr>
              <w:t xml:space="preserve">得</w:t>
            </w:r>
            <w:r>
              <w:rPr>
                <w:rFonts w:hint="eastAsia" w:cs="Times New Roman"/>
                <w:szCs w:val="22"/>
                <w:highlight w:val="none"/>
                <w:lang w:val="en-US" w:eastAsia="zh-CN"/>
              </w:rPr>
              <w:t xml:space="preserve">3</w:t>
            </w:r>
            <w:r>
              <w:rPr>
                <w:rFonts w:ascii="Calibri" w:hAnsi="Calibri" w:eastAsia="宋体" w:cs="Times New Roman"/>
                <w:szCs w:val="22"/>
                <w:highlight w:val="none"/>
              </w:rPr>
              <w:t xml:space="preserve">分；内容</w:t>
            </w:r>
            <w:r>
              <w:rPr>
                <w:rFonts w:hint="eastAsia" w:ascii="Calibri" w:hAnsi="Calibri" w:eastAsia="宋体" w:cs="Times New Roman"/>
                <w:szCs w:val="22"/>
                <w:highlight w:val="none"/>
              </w:rPr>
              <w:t xml:space="preserve">不完整</w:t>
            </w:r>
            <w:r>
              <w:rPr>
                <w:rFonts w:ascii="Calibri" w:hAnsi="Calibri" w:eastAsia="宋体" w:cs="Times New Roman"/>
                <w:szCs w:val="22"/>
                <w:highlight w:val="none"/>
              </w:rPr>
              <w:t xml:space="preserve">、措施基本可行、针对性</w:t>
            </w:r>
            <w:r>
              <w:rPr>
                <w:rFonts w:hint="eastAsia" w:ascii="Calibri" w:hAnsi="Calibri" w:eastAsia="宋体" w:cs="Times New Roman"/>
                <w:szCs w:val="22"/>
                <w:highlight w:val="none"/>
              </w:rPr>
              <w:t xml:space="preserve">不强</w:t>
            </w:r>
            <w:r>
              <w:rPr>
                <w:rFonts w:ascii="Calibri" w:hAnsi="Calibri" w:eastAsia="宋体" w:cs="Times New Roman"/>
                <w:szCs w:val="22"/>
                <w:highlight w:val="none"/>
              </w:rPr>
              <w:t xml:space="preserve">，通过后期优化能够满足采购需求</w:t>
            </w:r>
            <w:r>
              <w:rPr>
                <w:rFonts w:hint="eastAsia" w:ascii="Calibri" w:hAnsi="Calibri" w:eastAsia="宋体" w:cs="Times New Roman"/>
                <w:szCs w:val="22"/>
                <w:highlight w:val="none"/>
              </w:rPr>
              <w:t xml:space="preserve">的</w:t>
            </w:r>
            <w:r>
              <w:rPr>
                <w:rFonts w:ascii="Calibri" w:hAnsi="Calibri" w:eastAsia="宋体" w:cs="Times New Roman"/>
                <w:szCs w:val="22"/>
                <w:highlight w:val="none"/>
              </w:rPr>
              <w:t xml:space="preserve">得</w:t>
            </w:r>
            <w:r>
              <w:rPr>
                <w:rFonts w:hint="eastAsia" w:cs="Times New Roman"/>
                <w:szCs w:val="22"/>
                <w:highlight w:val="none"/>
                <w:lang w:val="en-US" w:eastAsia="zh-CN"/>
              </w:rPr>
              <w:t xml:space="preserve">1</w:t>
            </w:r>
            <w:r>
              <w:rPr>
                <w:rFonts w:ascii="Calibri" w:hAnsi="Calibri" w:eastAsia="宋体" w:cs="Times New Roman"/>
                <w:szCs w:val="22"/>
                <w:highlight w:val="none"/>
              </w:rPr>
              <w:t xml:space="preserve">分；</w:t>
            </w:r>
            <w:r>
              <w:rPr>
                <w:rFonts w:hint="eastAsia" w:ascii="Calibri" w:hAnsi="Calibri" w:eastAsia="宋体" w:cs="Times New Roman"/>
                <w:szCs w:val="22"/>
                <w:highlight w:val="none"/>
              </w:rPr>
              <w:t xml:space="preserve">没有内容不得分。</w:t>
            </w:r>
            <w:r/>
          </w:p>
        </w:tc>
      </w:tr>
      <w:tr>
        <w:trPr>
          <w:trHeight w:val="1957"/>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ascii="Calibri" w:hAnsi="Calibri" w:eastAsia="宋体" w:cs="Times New Roman"/>
                <w:sz w:val="21"/>
                <w:szCs w:val="21"/>
                <w:highlight w:val="none"/>
              </w:rPr>
            </w:pPr>
            <w:r>
              <w:rPr>
                <w:rFonts w:ascii="宋体" w:hAnsi="宋体" w:eastAsia="宋体" w:cs="宋体"/>
                <w:b w:val="0"/>
                <w:bCs w:val="0"/>
                <w:i w:val="0"/>
                <w:iCs w:val="0"/>
                <w:color w:val="000000"/>
                <w:sz w:val="21"/>
                <w:szCs w:val="21"/>
                <w:highlight w:val="none"/>
              </w:rPr>
              <w:t xml:space="preserve">劳动力配备</w:t>
            </w:r>
            <w:r>
              <w:rPr>
                <w:rFonts w:ascii="宋体" w:hAnsi="宋体" w:eastAsia="宋体" w:cs="宋体"/>
                <w:sz w:val="21"/>
                <w:szCs w:val="21"/>
                <w:highlight w:val="none"/>
              </w:rPr>
              <w:t xml:space="preserve"> </w:t>
            </w:r>
            <w:r/>
          </w:p>
        </w:tc>
        <w:tc>
          <w:tcPr>
            <w:tcW w:w="409" w:type="pct"/>
            <w:vAlign w:val="center"/>
            <w:textDirection w:val="lrTb"/>
            <w:noWrap w:val="false"/>
          </w:tcPr>
          <w:p>
            <w:pPr>
              <w:jc w:val="center"/>
              <w:rPr>
                <w:rFonts w:hint="default" w:ascii="Calibri" w:hAnsi="Calibri" w:eastAsia="宋体" w:cs="Times New Roman"/>
                <w:sz w:val="21"/>
                <w:szCs w:val="21"/>
                <w:highlight w:val="none"/>
                <w:lang w:val="en-US" w:eastAsia="zh-CN"/>
              </w:rPr>
            </w:pPr>
            <w:r>
              <w:rPr>
                <w:rFonts w:hint="eastAsia" w:ascii="Calibri" w:hAnsi="Calibri" w:eastAsia="宋体" w:cs="Times New Roman"/>
                <w:sz w:val="21"/>
                <w:szCs w:val="21"/>
                <w:highlight w:val="none"/>
                <w:lang w:val="en-US" w:eastAsia="zh-CN"/>
              </w:rPr>
              <w:t xml:space="preserve">6.00</w:t>
            </w:r>
            <w:r/>
          </w:p>
        </w:tc>
        <w:tc>
          <w:tcPr>
            <w:tcW w:w="3455" w:type="pct"/>
            <w:vAlign w:val="center"/>
            <w:textDirection w:val="lrTb"/>
            <w:noWrap w:val="false"/>
          </w:tcPr>
          <w:p>
            <w:pPr>
              <w:jc w:val="left"/>
              <w:rPr>
                <w:rFonts w:ascii="Calibri" w:hAnsi="Calibri" w:eastAsia="宋体" w:cs="Times New Roman"/>
                <w:sz w:val="21"/>
                <w:szCs w:val="21"/>
                <w:highlight w:val="none"/>
              </w:rPr>
            </w:pPr>
            <w:r>
              <w:rPr>
                <w:rFonts w:ascii="宋体" w:hAnsi="宋体" w:eastAsia="宋体" w:cs="宋体"/>
                <w:b w:val="0"/>
                <w:bCs w:val="0"/>
                <w:i w:val="0"/>
                <w:iCs w:val="0"/>
                <w:color w:val="000000"/>
                <w:sz w:val="21"/>
                <w:szCs w:val="21"/>
                <w:highlight w:val="none"/>
              </w:rPr>
              <w:t xml:space="preserve">劳动力使用计划、劳动力组织管理及技术保证措施等</w:t>
            </w:r>
            <w:r>
              <w:rPr>
                <w:rFonts w:hint="eastAsia" w:ascii="宋体" w:hAnsi="宋体" w:eastAsia="宋体" w:cs="宋体"/>
                <w:b w:val="0"/>
                <w:bCs w:val="0"/>
                <w:i w:val="0"/>
                <w:iCs w:val="0"/>
                <w:color w:val="000000"/>
                <w:sz w:val="21"/>
                <w:szCs w:val="21"/>
                <w:highlight w:val="none"/>
                <w:lang w:val="en-US" w:eastAsia="zh-CN"/>
              </w:rPr>
              <w:t xml:space="preserve">；</w:t>
            </w:r>
            <w:r>
              <w:rPr>
                <w:rFonts w:ascii="宋体" w:hAnsi="宋体" w:eastAsia="宋体" w:cs="宋体"/>
                <w:b w:val="0"/>
                <w:bCs w:val="0"/>
                <w:i w:val="0"/>
                <w:iCs w:val="0"/>
                <w:color w:val="000000"/>
                <w:sz w:val="21"/>
                <w:szCs w:val="21"/>
                <w:highlight w:val="none"/>
              </w:rPr>
              <w:t xml:space="preserve">使用计划内容完整，配备合理，组织管理及技术保证方案详细且完全满足项目实施需要的得</w:t>
            </w:r>
            <w:r>
              <w:rPr>
                <w:rFonts w:hint="eastAsia" w:ascii="Calibri" w:hAnsi="Calibri" w:eastAsia="宋体" w:cs="Calibri"/>
                <w:b w:val="0"/>
                <w:bCs w:val="0"/>
                <w:i w:val="0"/>
                <w:iCs w:val="0"/>
                <w:color w:val="000000"/>
                <w:sz w:val="21"/>
                <w:szCs w:val="21"/>
                <w:highlight w:val="none"/>
                <w:lang w:val="en-US" w:eastAsia="zh-CN"/>
              </w:rPr>
              <w:t xml:space="preserve">6</w:t>
            </w:r>
            <w:r>
              <w:rPr>
                <w:rFonts w:ascii="宋体" w:hAnsi="宋体" w:eastAsia="宋体" w:cs="宋体"/>
                <w:b w:val="0"/>
                <w:bCs w:val="0"/>
                <w:i w:val="0"/>
                <w:iCs w:val="0"/>
                <w:color w:val="000000"/>
                <w:sz w:val="21"/>
                <w:szCs w:val="21"/>
                <w:highlight w:val="none"/>
              </w:rPr>
              <w:t xml:space="preserve">分；使用计划内容较完整，配备较为合理、组织管理及技术保证方案较为详细，且较能满足项目实施需要的得</w:t>
            </w:r>
            <w:r>
              <w:rPr>
                <w:rFonts w:hint="eastAsia" w:cs="Calibri"/>
                <w:b w:val="0"/>
                <w:bCs w:val="0"/>
                <w:i w:val="0"/>
                <w:iCs w:val="0"/>
                <w:color w:val="000000"/>
                <w:sz w:val="21"/>
                <w:szCs w:val="21"/>
                <w:highlight w:val="none"/>
                <w:lang w:val="en-US" w:eastAsia="zh-CN"/>
              </w:rPr>
              <w:t xml:space="preserve">3</w:t>
            </w:r>
            <w:r>
              <w:rPr>
                <w:rFonts w:ascii="宋体" w:hAnsi="宋体" w:eastAsia="宋体" w:cs="宋体"/>
                <w:b w:val="0"/>
                <w:bCs w:val="0"/>
                <w:i w:val="0"/>
                <w:iCs w:val="0"/>
                <w:color w:val="000000"/>
                <w:sz w:val="21"/>
                <w:szCs w:val="21"/>
                <w:highlight w:val="none"/>
              </w:rPr>
              <w:t xml:space="preserve">分；使用计划内容不完整，配备不足，组织管理及技术保证方案不详细，但通过后期优化能够满足项目实施需要的得</w:t>
            </w:r>
            <w:r>
              <w:rPr>
                <w:rFonts w:hint="eastAsia" w:cs="Calibri"/>
                <w:b w:val="0"/>
                <w:bCs w:val="0"/>
                <w:i w:val="0"/>
                <w:iCs w:val="0"/>
                <w:color w:val="000000"/>
                <w:sz w:val="21"/>
                <w:szCs w:val="21"/>
                <w:highlight w:val="none"/>
                <w:lang w:val="en-US" w:eastAsia="zh-CN"/>
              </w:rPr>
              <w:t xml:space="preserve">1</w:t>
            </w:r>
            <w:r>
              <w:rPr>
                <w:rFonts w:ascii="宋体" w:hAnsi="宋体" w:eastAsia="宋体" w:cs="宋体"/>
                <w:b w:val="0"/>
                <w:bCs w:val="0"/>
                <w:i w:val="0"/>
                <w:iCs w:val="0"/>
                <w:color w:val="000000"/>
                <w:sz w:val="21"/>
                <w:szCs w:val="21"/>
                <w:highlight w:val="none"/>
              </w:rPr>
              <w:t xml:space="preserve">分；没有内容不得分。</w:t>
            </w:r>
            <w:r>
              <w:rPr>
                <w:rFonts w:ascii="宋体" w:hAnsi="宋体" w:eastAsia="宋体" w:cs="宋体"/>
                <w:sz w:val="21"/>
                <w:szCs w:val="21"/>
                <w:highlight w:val="none"/>
              </w:rPr>
              <w:t xml:space="preserve"> </w:t>
            </w:r>
            <w:r/>
          </w:p>
        </w:tc>
      </w:tr>
      <w:tr>
        <w:trPr>
          <w:trHeight w:val="1462"/>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ascii="宋体" w:hAnsi="宋体" w:eastAsia="宋体" w:cs="宋体"/>
                <w:b w:val="0"/>
                <w:bCs w:val="0"/>
                <w:i w:val="0"/>
                <w:iCs w:val="0"/>
                <w:color w:val="000000"/>
                <w:sz w:val="21"/>
                <w:szCs w:val="21"/>
                <w:highlight w:val="none"/>
              </w:rPr>
            </w:pPr>
            <w:r>
              <w:rPr>
                <w:rFonts w:hint="eastAsia" w:ascii="宋体" w:hAnsi="宋体" w:eastAsia="宋体" w:cs="宋体"/>
                <w:b w:val="0"/>
                <w:bCs w:val="0"/>
                <w:i w:val="0"/>
                <w:iCs w:val="0"/>
                <w:color w:val="000000"/>
                <w:sz w:val="21"/>
                <w:szCs w:val="21"/>
                <w:highlight w:val="none"/>
                <w:lang w:val="en-US" w:eastAsia="zh-CN"/>
              </w:rPr>
              <w:t xml:space="preserve">智慧体育施工方案</w:t>
            </w:r>
            <w:r/>
          </w:p>
        </w:tc>
        <w:tc>
          <w:tcPr>
            <w:tcW w:w="409" w:type="pct"/>
            <w:vAlign w:val="center"/>
            <w:textDirection w:val="lrTb"/>
            <w:noWrap w:val="false"/>
          </w:tcPr>
          <w:p>
            <w:pPr>
              <w:jc w:val="center"/>
              <w:rPr>
                <w:rFonts w:hint="default" w:ascii="Calibri" w:hAnsi="Calibri" w:eastAsia="宋体" w:cs="Times New Roman"/>
                <w:sz w:val="21"/>
                <w:szCs w:val="21"/>
                <w:highlight w:val="none"/>
                <w:lang w:val="en-US" w:eastAsia="zh-CN"/>
              </w:rPr>
            </w:pPr>
            <w:r>
              <w:rPr>
                <w:rFonts w:hint="eastAsia" w:ascii="Calibri" w:hAnsi="Calibri" w:eastAsia="宋体" w:cs="Times New Roman"/>
                <w:sz w:val="21"/>
                <w:szCs w:val="21"/>
                <w:highlight w:val="none"/>
                <w:lang w:val="en-US" w:eastAsia="zh-CN"/>
              </w:rPr>
              <w:t xml:space="preserve">6.00</w:t>
            </w:r>
            <w:r/>
          </w:p>
        </w:tc>
        <w:tc>
          <w:tcPr>
            <w:tcW w:w="3455" w:type="pct"/>
            <w:vAlign w:val="center"/>
            <w:textDirection w:val="lrTb"/>
            <w:noWrap w:val="false"/>
          </w:tcPr>
          <w:p>
            <w:pPr>
              <w:jc w:val="left"/>
              <w:rPr>
                <w:rFonts w:ascii="宋体" w:hAnsi="宋体" w:eastAsia="宋体" w:cs="宋体"/>
                <w:b w:val="0"/>
                <w:bCs w:val="0"/>
                <w:i w:val="0"/>
                <w:iCs w:val="0"/>
                <w:color w:val="000000"/>
                <w:sz w:val="21"/>
                <w:szCs w:val="21"/>
                <w:highlight w:val="none"/>
              </w:rPr>
            </w:pPr>
            <w:r>
              <w:rPr>
                <w:rFonts w:hint="eastAsia" w:ascii="宋体" w:hAnsi="宋体" w:eastAsia="宋体" w:cs="宋体"/>
                <w:b w:val="0"/>
                <w:bCs w:val="0"/>
                <w:i w:val="0"/>
                <w:iCs w:val="0"/>
                <w:color w:val="000000"/>
                <w:sz w:val="21"/>
                <w:szCs w:val="21"/>
                <w:highlight w:val="none"/>
                <w:lang w:val="en-US" w:eastAsia="zh-CN"/>
              </w:rPr>
              <w:t xml:space="preserve">智慧体育</w:t>
            </w:r>
            <w:r>
              <w:rPr>
                <w:rFonts w:ascii="Calibri" w:hAnsi="Calibri" w:eastAsia="宋体" w:cs="Times New Roman"/>
                <w:szCs w:val="22"/>
                <w:highlight w:val="none"/>
              </w:rPr>
              <w:t xml:space="preserve">施工方法与技术措施</w:t>
            </w:r>
            <w:r>
              <w:rPr>
                <w:rFonts w:ascii="宋体" w:hAnsi="宋体" w:eastAsia="宋体" w:cs="宋体"/>
                <w:b w:val="0"/>
                <w:bCs w:val="0"/>
                <w:i w:val="0"/>
                <w:iCs w:val="0"/>
                <w:color w:val="000000"/>
                <w:sz w:val="22"/>
                <w:szCs w:val="22"/>
                <w:highlight w:val="none"/>
              </w:rPr>
              <w:t xml:space="preserve">等</w:t>
            </w:r>
            <w:r>
              <w:rPr>
                <w:rFonts w:ascii="Calibri" w:hAnsi="Calibri" w:eastAsia="宋体" w:cs="Times New Roman"/>
                <w:szCs w:val="22"/>
                <w:highlight w:val="none"/>
              </w:rPr>
              <w:t xml:space="preserve">；内容完整、详细具体、科学合理、措施可靠、针对性强</w:t>
            </w:r>
            <w:r>
              <w:rPr>
                <w:rFonts w:hint="eastAsia" w:ascii="Calibri" w:hAnsi="Calibri" w:eastAsia="宋体" w:cs="Times New Roman"/>
                <w:szCs w:val="22"/>
                <w:highlight w:val="none"/>
              </w:rPr>
              <w:t xml:space="preserve">且优于采购需求的</w:t>
            </w:r>
            <w:r>
              <w:rPr>
                <w:rFonts w:ascii="Calibri" w:hAnsi="Calibri" w:eastAsia="宋体" w:cs="Times New Roman"/>
                <w:szCs w:val="22"/>
                <w:highlight w:val="none"/>
              </w:rPr>
              <w:t xml:space="preserve">得</w:t>
            </w:r>
            <w:r>
              <w:rPr>
                <w:rFonts w:hint="eastAsia" w:ascii="Calibri" w:hAnsi="Calibri" w:eastAsia="宋体" w:cs="Times New Roman"/>
                <w:szCs w:val="22"/>
                <w:highlight w:val="none"/>
                <w:lang w:val="en-US" w:eastAsia="zh-CN"/>
              </w:rPr>
              <w:t xml:space="preserve">6</w:t>
            </w:r>
            <w:r>
              <w:rPr>
                <w:rFonts w:ascii="Calibri" w:hAnsi="Calibri" w:eastAsia="宋体" w:cs="Times New Roman"/>
                <w:szCs w:val="22"/>
                <w:highlight w:val="none"/>
              </w:rPr>
              <w:t xml:space="preserve">分；内容</w:t>
            </w:r>
            <w:r>
              <w:rPr>
                <w:rFonts w:hint="eastAsia" w:ascii="Calibri" w:hAnsi="Calibri" w:eastAsia="宋体" w:cs="Times New Roman"/>
                <w:szCs w:val="22"/>
                <w:highlight w:val="none"/>
              </w:rPr>
              <w:t xml:space="preserve">较</w:t>
            </w:r>
            <w:r>
              <w:rPr>
                <w:rFonts w:ascii="Calibri" w:hAnsi="Calibri" w:eastAsia="宋体" w:cs="Times New Roman"/>
                <w:szCs w:val="22"/>
                <w:highlight w:val="none"/>
              </w:rPr>
              <w:t xml:space="preserve">完整、组织较严谨、针对性较强</w:t>
            </w:r>
            <w:r>
              <w:rPr>
                <w:rFonts w:hint="eastAsia" w:ascii="Calibri" w:hAnsi="Calibri" w:eastAsia="宋体" w:cs="Times New Roman"/>
                <w:szCs w:val="22"/>
                <w:highlight w:val="none"/>
              </w:rPr>
              <w:t xml:space="preserve">且基本满足采购需求的</w:t>
            </w:r>
            <w:r>
              <w:rPr>
                <w:rFonts w:ascii="Calibri" w:hAnsi="Calibri" w:eastAsia="宋体" w:cs="Times New Roman"/>
                <w:szCs w:val="22"/>
                <w:highlight w:val="none"/>
              </w:rPr>
              <w:t xml:space="preserve">得</w:t>
            </w:r>
            <w:r>
              <w:rPr>
                <w:rFonts w:hint="eastAsia" w:cs="Times New Roman"/>
                <w:szCs w:val="22"/>
                <w:highlight w:val="none"/>
                <w:lang w:val="en-US" w:eastAsia="zh-CN"/>
              </w:rPr>
              <w:t xml:space="preserve">3</w:t>
            </w:r>
            <w:r>
              <w:rPr>
                <w:rFonts w:ascii="Calibri" w:hAnsi="Calibri" w:eastAsia="宋体" w:cs="Times New Roman"/>
                <w:szCs w:val="22"/>
                <w:highlight w:val="none"/>
              </w:rPr>
              <w:t xml:space="preserve">分；内容不完整、措施基本可行、针对性</w:t>
            </w:r>
            <w:r>
              <w:rPr>
                <w:rFonts w:hint="eastAsia" w:ascii="Calibri" w:hAnsi="Calibri" w:eastAsia="宋体" w:cs="Times New Roman"/>
                <w:szCs w:val="22"/>
                <w:highlight w:val="none"/>
              </w:rPr>
              <w:t xml:space="preserve">不强</w:t>
            </w:r>
            <w:r>
              <w:rPr>
                <w:rFonts w:ascii="Calibri" w:hAnsi="Calibri" w:eastAsia="宋体" w:cs="Times New Roman"/>
                <w:szCs w:val="22"/>
                <w:highlight w:val="none"/>
              </w:rPr>
              <w:t xml:space="preserve">，通过后期优化能够满足采购需求</w:t>
            </w:r>
            <w:r>
              <w:rPr>
                <w:rFonts w:hint="eastAsia" w:ascii="Calibri" w:hAnsi="Calibri" w:eastAsia="宋体" w:cs="Times New Roman"/>
                <w:szCs w:val="22"/>
                <w:highlight w:val="none"/>
              </w:rPr>
              <w:t xml:space="preserve">的</w:t>
            </w:r>
            <w:r>
              <w:rPr>
                <w:rFonts w:ascii="Calibri" w:hAnsi="Calibri" w:eastAsia="宋体" w:cs="Times New Roman"/>
                <w:szCs w:val="22"/>
                <w:highlight w:val="none"/>
              </w:rPr>
              <w:t xml:space="preserve">得</w:t>
            </w:r>
            <w:r>
              <w:rPr>
                <w:rFonts w:hint="eastAsia" w:cs="Times New Roman"/>
                <w:szCs w:val="22"/>
                <w:highlight w:val="none"/>
                <w:lang w:val="en-US" w:eastAsia="zh-CN"/>
              </w:rPr>
              <w:t xml:space="preserve">1</w:t>
            </w:r>
            <w:r>
              <w:rPr>
                <w:rFonts w:ascii="Calibri" w:hAnsi="Calibri" w:eastAsia="宋体" w:cs="Times New Roman"/>
                <w:szCs w:val="22"/>
                <w:highlight w:val="none"/>
              </w:rPr>
              <w:t xml:space="preserve">分；</w:t>
            </w:r>
            <w:r>
              <w:rPr>
                <w:rFonts w:hint="eastAsia" w:ascii="Calibri" w:hAnsi="Calibri" w:eastAsia="宋体" w:cs="Times New Roman"/>
                <w:szCs w:val="22"/>
                <w:highlight w:val="none"/>
              </w:rPr>
              <w:t xml:space="preserve">没有内容不得分。</w:t>
            </w:r>
            <w:r/>
          </w:p>
        </w:tc>
      </w:tr>
      <w:tr>
        <w:trPr>
          <w:trHeight w:val="1697"/>
        </w:trPr>
        <w:tc>
          <w:tcPr>
            <w:tcW w:w="352" w:type="pct"/>
            <w:vAlign w:val="center"/>
            <w:vMerge w:val="continue"/>
            <w:textDirection w:val="lrTb"/>
            <w:noWrap w:val="false"/>
          </w:tcPr>
          <w:p>
            <w:pPr>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c>
        <w:tc>
          <w:tcPr>
            <w:tcW w:w="782" w:type="pct"/>
            <w:vAlign w:val="center"/>
            <w:textDirection w:val="lrTb"/>
            <w:noWrap w:val="false"/>
          </w:tcPr>
          <w:p>
            <w:pPr>
              <w:jc w:val="left"/>
              <w:rPr>
                <w:rFonts w:ascii="Calibri" w:hAnsi="Calibri" w:eastAsia="宋体" w:cs="Times New Roman"/>
                <w:sz w:val="21"/>
                <w:szCs w:val="21"/>
                <w:highlight w:val="none"/>
              </w:rPr>
            </w:pPr>
            <w:r>
              <w:rPr>
                <w:rFonts w:ascii="宋体" w:hAnsi="宋体" w:eastAsia="宋体" w:cs="宋体"/>
                <w:b w:val="0"/>
                <w:bCs w:val="0"/>
                <w:i w:val="0"/>
                <w:iCs w:val="0"/>
                <w:color w:val="000000"/>
                <w:sz w:val="21"/>
                <w:szCs w:val="21"/>
                <w:highlight w:val="none"/>
              </w:rPr>
              <w:t xml:space="preserve">机械设备和材料拟投入计划</w:t>
            </w:r>
            <w:r>
              <w:rPr>
                <w:rFonts w:ascii="宋体" w:hAnsi="宋体" w:eastAsia="宋体" w:cs="宋体"/>
                <w:sz w:val="21"/>
                <w:szCs w:val="21"/>
                <w:highlight w:val="none"/>
              </w:rPr>
              <w:t xml:space="preserve"> </w:t>
            </w:r>
            <w:r/>
          </w:p>
        </w:tc>
        <w:tc>
          <w:tcPr>
            <w:tcW w:w="409" w:type="pct"/>
            <w:vAlign w:val="center"/>
            <w:textDirection w:val="lrTb"/>
            <w:noWrap w:val="false"/>
          </w:tcPr>
          <w:p>
            <w:pPr>
              <w:jc w:val="center"/>
              <w:rPr>
                <w:rFonts w:ascii="Calibri" w:hAnsi="Calibri" w:eastAsia="宋体" w:cs="Times New Roman"/>
                <w:sz w:val="21"/>
                <w:szCs w:val="21"/>
                <w:highlight w:val="none"/>
              </w:rPr>
            </w:pPr>
            <w:r>
              <w:rPr>
                <w:rFonts w:hint="eastAsia" w:ascii="Calibri" w:hAnsi="Calibri" w:eastAsia="宋体" w:cs="Times New Roman"/>
                <w:sz w:val="21"/>
                <w:szCs w:val="21"/>
                <w:highlight w:val="none"/>
                <w:lang w:val="en-US" w:eastAsia="zh-CN"/>
              </w:rPr>
              <w:t xml:space="preserve">6</w:t>
            </w:r>
            <w:r>
              <w:rPr>
                <w:rFonts w:ascii="Calibri" w:hAnsi="Calibri" w:eastAsia="宋体" w:cs="Times New Roman"/>
                <w:sz w:val="21"/>
                <w:szCs w:val="21"/>
                <w:highlight w:val="none"/>
              </w:rPr>
              <w:t xml:space="preserve">.00</w:t>
            </w:r>
            <w:r/>
          </w:p>
        </w:tc>
        <w:tc>
          <w:tcPr>
            <w:tcW w:w="3455" w:type="pct"/>
            <w:vAlign w:val="center"/>
            <w:textDirection w:val="lrTb"/>
            <w:noWrap w:val="false"/>
          </w:tcPr>
          <w:p>
            <w:pPr>
              <w:jc w:val="left"/>
              <w:rPr>
                <w:rFonts w:ascii="Calibri" w:hAnsi="Calibri" w:eastAsia="宋体" w:cs="Times New Roman"/>
                <w:sz w:val="21"/>
                <w:szCs w:val="21"/>
                <w:highlight w:val="none"/>
              </w:rPr>
            </w:pPr>
            <w:r>
              <w:rPr>
                <w:rFonts w:ascii="宋体" w:hAnsi="宋体" w:eastAsia="宋体" w:cs="宋体"/>
                <w:b w:val="0"/>
                <w:bCs w:val="0"/>
                <w:i w:val="0"/>
                <w:iCs w:val="0"/>
                <w:color w:val="000000"/>
                <w:sz w:val="21"/>
                <w:szCs w:val="21"/>
                <w:highlight w:val="none"/>
              </w:rPr>
              <w:t xml:space="preserve">施工过程中投入机械设备是否齐全， 机械设备的使用管理是否合理等内容进行打分。投入的设备机械种类齐全，完全满足项目使用，且机械设备的管理制度完备、使用方案详细的得</w:t>
            </w:r>
            <w:r>
              <w:rPr>
                <w:rFonts w:hint="eastAsia" w:ascii="宋体" w:hAnsi="宋体" w:eastAsia="宋体" w:cs="宋体"/>
                <w:b w:val="0"/>
                <w:bCs w:val="0"/>
                <w:i w:val="0"/>
                <w:iCs w:val="0"/>
                <w:color w:val="000000"/>
                <w:sz w:val="21"/>
                <w:szCs w:val="21"/>
                <w:highlight w:val="none"/>
                <w:lang w:val="en-US" w:eastAsia="zh-CN"/>
              </w:rPr>
              <w:t xml:space="preserve">6</w:t>
            </w:r>
            <w:r>
              <w:rPr>
                <w:rFonts w:ascii="宋体" w:hAnsi="宋体" w:eastAsia="宋体" w:cs="宋体"/>
                <w:b w:val="0"/>
                <w:bCs w:val="0"/>
                <w:i w:val="0"/>
                <w:iCs w:val="0"/>
                <w:color w:val="000000"/>
                <w:sz w:val="21"/>
                <w:szCs w:val="21"/>
                <w:highlight w:val="none"/>
              </w:rPr>
              <w:t xml:space="preserve">分；投入的机械设备较齐全且满足项目使用，管理制度比较完备、使用方案比较清楚的得</w:t>
            </w:r>
            <w:r>
              <w:rPr>
                <w:rFonts w:hint="eastAsia" w:ascii="Calibri" w:hAnsi="Calibri" w:eastAsia="宋体" w:cs="Calibri"/>
                <w:color w:val="000000"/>
                <w:sz w:val="21"/>
                <w:szCs w:val="21"/>
                <w:highlight w:val="none"/>
                <w:lang w:val="en-US" w:eastAsia="zh-CN"/>
              </w:rPr>
              <w:t xml:space="preserve">3</w:t>
            </w:r>
            <w:r>
              <w:rPr>
                <w:rFonts w:ascii="宋体" w:hAnsi="宋体" w:eastAsia="宋体" w:cs="宋体"/>
                <w:b w:val="0"/>
                <w:bCs w:val="0"/>
                <w:i w:val="0"/>
                <w:iCs w:val="0"/>
                <w:color w:val="000000"/>
                <w:sz w:val="21"/>
                <w:szCs w:val="21"/>
                <w:highlight w:val="none"/>
              </w:rPr>
              <w:t xml:space="preserve">分；投入机械设备欠缺，管理制度及使用方案欠缺，但通过后期优化能够实现项目需要的得</w:t>
            </w:r>
            <w:r>
              <w:rPr>
                <w:rFonts w:hint="eastAsia" w:ascii="Calibri" w:hAnsi="Calibri" w:eastAsia="宋体" w:cs="宋体"/>
                <w:b w:val="0"/>
                <w:bCs w:val="0"/>
                <w:i w:val="0"/>
                <w:iCs w:val="0"/>
                <w:color w:val="000000"/>
                <w:sz w:val="21"/>
                <w:szCs w:val="21"/>
                <w:highlight w:val="none"/>
                <w:lang w:val="en-US" w:eastAsia="zh-CN"/>
              </w:rPr>
              <w:t xml:space="preserve">1</w:t>
            </w:r>
            <w:r>
              <w:rPr>
                <w:rFonts w:ascii="宋体" w:hAnsi="宋体" w:eastAsia="宋体" w:cs="宋体"/>
                <w:b w:val="0"/>
                <w:bCs w:val="0"/>
                <w:i w:val="0"/>
                <w:iCs w:val="0"/>
                <w:color w:val="000000"/>
                <w:sz w:val="21"/>
                <w:szCs w:val="21"/>
                <w:highlight w:val="none"/>
              </w:rPr>
              <w:t xml:space="preserve">分；没有内容不得分。</w:t>
            </w:r>
            <w:r>
              <w:rPr>
                <w:rFonts w:ascii="宋体" w:hAnsi="宋体" w:eastAsia="宋体" w:cs="宋体"/>
                <w:sz w:val="21"/>
                <w:szCs w:val="21"/>
                <w:highlight w:val="none"/>
              </w:rPr>
              <w:t xml:space="preserve"> </w:t>
            </w:r>
            <w:r/>
          </w:p>
        </w:tc>
      </w:tr>
      <w:tr>
        <w:trPr>
          <w:trHeight w:val="1697"/>
        </w:trPr>
        <w:tc>
          <w:tcPr>
            <w:tcBorders>
              <w:bottom w:val="single" w:color="auto" w:sz="4" w:space="0"/>
            </w:tcBorders>
            <w:tcW w:w="352" w:type="pct"/>
            <w:vAlign w:val="center"/>
            <w:textDirection w:val="lrTb"/>
            <w:noWrap w:val="false"/>
          </w:tcPr>
          <w:p>
            <w:pPr>
              <w:jc w:val="left"/>
              <w:rPr>
                <w:rFonts w:ascii="Times New Roman" w:hAnsi="Times New Roman" w:eastAsia="宋体" w:cs="Times New Roman"/>
                <w:szCs w:val="22"/>
                <w:highlight w:val="none"/>
              </w:rPr>
            </w:pPr>
            <w:r>
              <w:rPr>
                <w:rFonts w:hint="eastAsia" w:ascii="Times New Roman" w:hAnsi="Times New Roman" w:eastAsia="宋体" w:cs="Times New Roman"/>
                <w:sz w:val="21"/>
                <w:szCs w:val="21"/>
                <w:highlight w:val="none"/>
                <w:lang w:val="en-US" w:eastAsia="zh-CN"/>
              </w:rPr>
              <w:t xml:space="preserve">其他</w:t>
            </w:r>
            <w:r/>
          </w:p>
        </w:tc>
        <w:tc>
          <w:tcPr>
            <w:tcW w:w="782" w:type="pct"/>
            <w:vAlign w:val="center"/>
            <w:textDirection w:val="lrTb"/>
            <w:noWrap w:val="false"/>
          </w:tcPr>
          <w:p>
            <w:pPr>
              <w:jc w:val="left"/>
              <w:rPr>
                <w:rFonts w:ascii="宋体" w:hAnsi="宋体" w:eastAsia="宋体" w:cs="宋体"/>
                <w:b w:val="0"/>
                <w:bCs w:val="0"/>
                <w:i w:val="0"/>
                <w:iCs w:val="0"/>
                <w:color w:val="000000"/>
                <w:sz w:val="21"/>
                <w:szCs w:val="21"/>
                <w:highlight w:val="none"/>
              </w:rPr>
            </w:pPr>
            <w:r>
              <w:rPr>
                <w:rFonts w:ascii="宋体" w:hAnsi="宋体" w:eastAsia="宋体" w:cs="宋体"/>
                <w:color w:val="000000"/>
                <w:sz w:val="21"/>
                <w:szCs w:val="21"/>
                <w:highlight w:val="none"/>
              </w:rPr>
              <w:t xml:space="preserve">售后服务方案</w:t>
            </w:r>
            <w:r>
              <w:rPr>
                <w:rFonts w:ascii="宋体" w:hAnsi="宋体" w:eastAsia="宋体" w:cs="宋体"/>
                <w:sz w:val="21"/>
                <w:szCs w:val="21"/>
                <w:highlight w:val="none"/>
              </w:rPr>
              <w:t xml:space="preserve"> </w:t>
            </w:r>
            <w:r/>
          </w:p>
        </w:tc>
        <w:tc>
          <w:tcPr>
            <w:tcW w:w="409" w:type="pct"/>
            <w:vAlign w:val="center"/>
            <w:textDirection w:val="lrTb"/>
            <w:noWrap w:val="false"/>
          </w:tcPr>
          <w:p>
            <w:pPr>
              <w:jc w:val="center"/>
              <w:rPr>
                <w:rFonts w:hint="eastAsia" w:ascii="Calibri" w:hAnsi="Calibri" w:eastAsia="宋体" w:cs="Times New Roman"/>
                <w:sz w:val="21"/>
                <w:szCs w:val="21"/>
                <w:highlight w:val="none"/>
                <w:lang w:val="en-US" w:eastAsia="zh-CN"/>
              </w:rPr>
            </w:pPr>
            <w:r>
              <w:rPr>
                <w:rFonts w:hint="eastAsia" w:ascii="Calibri" w:hAnsi="Calibri" w:eastAsia="宋体" w:cs="Times New Roman"/>
                <w:sz w:val="21"/>
                <w:szCs w:val="21"/>
                <w:highlight w:val="none"/>
                <w:lang w:val="en-US" w:eastAsia="zh-CN"/>
              </w:rPr>
              <w:t xml:space="preserve">3.00</w:t>
            </w:r>
            <w:r/>
          </w:p>
        </w:tc>
        <w:tc>
          <w:tcPr>
            <w:tcW w:w="3455" w:type="pct"/>
            <w:vAlign w:val="center"/>
            <w:textDirection w:val="lrTb"/>
            <w:noWrap w:val="false"/>
          </w:tcPr>
          <w:p>
            <w:pPr>
              <w:numPr>
                <w:ilvl w:val="0"/>
                <w:numId w:val="0"/>
              </w:numPr>
              <w:ind w:left="0" w:firstLine="0"/>
              <w:jc w:val="left"/>
              <w:rPr>
                <w:rFonts w:ascii="宋体" w:hAnsi="宋体" w:eastAsia="宋体" w:cs="宋体"/>
                <w:b w:val="0"/>
                <w:bCs w:val="0"/>
                <w:i w:val="0"/>
                <w:iCs w:val="0"/>
                <w:color w:val="000000"/>
                <w:sz w:val="21"/>
                <w:szCs w:val="21"/>
                <w:highlight w:val="none"/>
              </w:rPr>
            </w:pPr>
            <w:r>
              <w:rPr>
                <w:rFonts w:ascii="Calibri" w:hAnsi="Calibri" w:eastAsia="宋体" w:cs="Times New Roman"/>
                <w:szCs w:val="24"/>
                <w:highlight w:val="none"/>
              </w:rPr>
              <w:t xml:space="preserve">根据供应商提供的售后服务（方案内容包括但不限于质保期服务管理体系、质保期服务人员的技术水平及现场服务措施、质保期服务承诺、质保期服务应答及处理时间、应急处理方案等方面）进行打分。承诺服务高效， 处理方案客观具体，措施得力，人员安排专业匹配度满足项目实施需要的得</w:t>
            </w:r>
            <w:r>
              <w:rPr>
                <w:rFonts w:hint="eastAsia" w:ascii="Calibri" w:hAnsi="Calibri" w:eastAsia="宋体" w:cs="Times New Roman"/>
                <w:szCs w:val="24"/>
                <w:highlight w:val="none"/>
                <w:lang w:val="en-US" w:eastAsia="zh-CN"/>
              </w:rPr>
              <w:t xml:space="preserve">3</w:t>
            </w:r>
            <w:r>
              <w:rPr>
                <w:rFonts w:ascii="Calibri" w:hAnsi="Calibri" w:eastAsia="宋体" w:cs="Times New Roman"/>
                <w:szCs w:val="24"/>
                <w:highlight w:val="none"/>
              </w:rPr>
              <w:t xml:space="preserve">分；承诺服务较好，应急处理方案内容基本具体，措施有效度不高，人员安排专业匹配度基本满足项目实施需要的得</w:t>
            </w:r>
            <w:r>
              <w:rPr>
                <w:rFonts w:hint="eastAsia" w:ascii="Calibri" w:hAnsi="Calibri" w:eastAsia="宋体" w:cs="Times New Roman"/>
                <w:szCs w:val="24"/>
                <w:highlight w:val="none"/>
                <w:lang w:val="en-US" w:eastAsia="zh-CN"/>
              </w:rPr>
              <w:t xml:space="preserve">2</w:t>
            </w:r>
            <w:r>
              <w:rPr>
                <w:rFonts w:ascii="Calibri" w:hAnsi="Calibri" w:eastAsia="宋体" w:cs="Times New Roman"/>
                <w:szCs w:val="24"/>
                <w:highlight w:val="none"/>
              </w:rPr>
              <w:t xml:space="preserve">分；承诺服务质量不高，应急处理方案不具体，措施有效度不高，人员安排专业匹配度未能满足项目实施需要，但通过后期优化后可以实现项目实施需要的得 1分；没有内容不得分</w:t>
            </w:r>
            <w:r>
              <w:rPr>
                <w:rFonts w:hint="eastAsia" w:ascii="Calibri" w:hAnsi="Calibri" w:eastAsia="宋体" w:cs="Times New Roman"/>
                <w:szCs w:val="24"/>
                <w:highlight w:val="none"/>
                <w:lang w:eastAsia="zh-CN"/>
              </w:rPr>
              <w:t xml:space="preserve">。</w:t>
            </w:r>
            <w:r>
              <w:rPr>
                <w:rFonts w:ascii="Calibri" w:hAnsi="Calibri" w:eastAsia="宋体" w:cs="Times New Roman"/>
                <w:szCs w:val="24"/>
                <w:highlight w:val="none"/>
              </w:rPr>
              <w:t xml:space="preserve"> </w:t>
            </w:r>
            <w:r/>
          </w:p>
        </w:tc>
      </w:tr>
    </w:tbl>
    <w:p>
      <w:pPr>
        <w:ind w:firstLine="422"/>
        <w:spacing w:line="440" w:lineRule="exact"/>
        <w:rPr>
          <w:rFonts w:ascii="宋体" w:hAnsi="宋体"/>
          <w:szCs w:val="21"/>
          <w:highlight w:val="none"/>
        </w:rPr>
      </w:pPr>
      <w:r>
        <w:rPr>
          <w:rFonts w:hint="eastAsia" w:ascii="宋体" w:hAnsi="宋体"/>
          <w:b/>
          <w:szCs w:val="21"/>
          <w:highlight w:val="none"/>
        </w:rPr>
        <w:t xml:space="preserve">（三）评标结果。</w:t>
      </w:r>
      <w:r>
        <w:rPr>
          <w:rFonts w:hint="eastAsia" w:ascii="宋体" w:hAnsi="宋体"/>
          <w:szCs w:val="21"/>
          <w:highlight w:val="none"/>
        </w:rPr>
        <w:t xml:space="preserve">磋商小组按照本办法规定推荐成交候选人，并形成评标报告。</w:t>
      </w:r>
      <w:r/>
    </w:p>
    <w:p>
      <w:pPr>
        <w:ind w:firstLine="422"/>
        <w:spacing w:line="440" w:lineRule="exact"/>
        <w:rPr>
          <w:rFonts w:ascii="宋体" w:hAnsi="宋体"/>
          <w:b/>
          <w:szCs w:val="21"/>
          <w:highlight w:val="none"/>
        </w:rPr>
      </w:pPr>
      <w:r>
        <w:rPr>
          <w:rFonts w:hint="eastAsia" w:ascii="宋体" w:hAnsi="宋体"/>
          <w:b/>
          <w:szCs w:val="21"/>
          <w:highlight w:val="none"/>
        </w:rPr>
        <w:t xml:space="preserve">（四）政府采购政策功能落实</w:t>
      </w:r>
      <w:r/>
    </w:p>
    <w:p>
      <w:pPr>
        <w:ind w:firstLine="420"/>
        <w:spacing w:line="440" w:lineRule="exact"/>
        <w:rPr>
          <w:rFonts w:ascii="宋体" w:hAnsi="宋体"/>
          <w:szCs w:val="21"/>
          <w:highlight w:val="none"/>
        </w:rPr>
      </w:pPr>
      <w:r>
        <w:rPr>
          <w:rFonts w:hint="eastAsia" w:ascii="宋体" w:hAnsi="宋体"/>
          <w:szCs w:val="21"/>
          <w:highlight w:val="none"/>
        </w:rPr>
        <w:t xml:space="preserve">本项目落实的政府采购政策对应以下序号为</w:t>
      </w:r>
      <w:r>
        <w:rPr>
          <w:rFonts w:hint="eastAsia" w:ascii="宋体" w:hAnsi="宋体"/>
          <w:szCs w:val="21"/>
          <w:highlight w:val="none"/>
          <w:u w:val="single"/>
        </w:rPr>
        <w:t xml:space="preserve">  1、2、3、4   </w:t>
      </w:r>
      <w:r/>
    </w:p>
    <w:p>
      <w:pPr>
        <w:ind w:firstLine="420"/>
        <w:spacing w:line="440" w:lineRule="exact"/>
        <w:rPr>
          <w:rFonts w:ascii="宋体" w:hAnsi="宋体"/>
          <w:szCs w:val="21"/>
          <w:highlight w:val="none"/>
        </w:rPr>
      </w:pPr>
      <w:r>
        <w:rPr>
          <w:rFonts w:hint="eastAsia" w:ascii="宋体" w:hAnsi="宋体"/>
          <w:szCs w:val="21"/>
          <w:highlight w:val="none"/>
        </w:rPr>
        <w:t xml:space="preserve">1、采购本国货物、工程和服务</w:t>
      </w:r>
      <w:r/>
    </w:p>
    <w:p>
      <w:pPr>
        <w:ind w:firstLine="420"/>
        <w:spacing w:line="440" w:lineRule="exact"/>
        <w:rPr>
          <w:rFonts w:ascii="宋体" w:hAnsi="宋体"/>
          <w:szCs w:val="21"/>
          <w:highlight w:val="none"/>
        </w:rPr>
      </w:pPr>
      <w:r>
        <w:rPr>
          <w:rFonts w:hint="eastAsia" w:ascii="宋体" w:hAnsi="宋体"/>
          <w:szCs w:val="21"/>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20"/>
        <w:spacing w:line="440" w:lineRule="exact"/>
        <w:rPr>
          <w:rFonts w:ascii="宋体" w:hAnsi="宋体"/>
          <w:szCs w:val="21"/>
          <w:highlight w:val="none"/>
        </w:rPr>
      </w:pPr>
      <w:r>
        <w:rPr>
          <w:rFonts w:hint="eastAsia" w:ascii="宋体" w:hAnsi="宋体"/>
          <w:szCs w:val="21"/>
          <w:highlight w:val="none"/>
        </w:rPr>
        <w:t xml:space="preserve">2、中小企业政策</w:t>
      </w:r>
      <w:r/>
    </w:p>
    <w:p>
      <w:pPr>
        <w:ind w:firstLine="422"/>
        <w:spacing w:line="440" w:lineRule="exact"/>
        <w:rPr>
          <w:rFonts w:ascii="宋体" w:hAnsi="宋体"/>
          <w:b/>
          <w:szCs w:val="21"/>
          <w:highlight w:val="none"/>
        </w:rPr>
      </w:pPr>
      <w:r>
        <w:rPr>
          <w:rFonts w:hint="eastAsia" w:ascii="宋体" w:hAnsi="宋体"/>
          <w:b/>
          <w:szCs w:val="21"/>
          <w:highlight w:val="none"/>
        </w:rPr>
        <w:t xml:space="preserve">本项目按以下第</w:t>
      </w:r>
      <w:r>
        <w:rPr>
          <w:rFonts w:hint="eastAsia" w:ascii="宋体" w:hAnsi="宋体"/>
          <w:b/>
          <w:szCs w:val="21"/>
          <w:highlight w:val="none"/>
          <w:u w:val="single"/>
        </w:rPr>
        <w:t xml:space="preserve">  （1）  </w:t>
      </w:r>
      <w:r>
        <w:rPr>
          <w:rFonts w:hint="eastAsia" w:ascii="宋体" w:hAnsi="宋体"/>
          <w:b/>
          <w:szCs w:val="21"/>
          <w:highlight w:val="none"/>
        </w:rPr>
        <w:t xml:space="preserve">种政策确定本项目落实的中小企业政策：</w:t>
      </w:r>
      <w:r/>
    </w:p>
    <w:p>
      <w:pPr>
        <w:ind w:firstLine="420"/>
        <w:spacing w:line="440" w:lineRule="exact"/>
        <w:rPr>
          <w:rFonts w:ascii="宋体" w:hAnsi="宋体"/>
          <w:szCs w:val="21"/>
          <w:highlight w:val="none"/>
        </w:rPr>
      </w:pPr>
      <w:r>
        <w:rPr>
          <w:rFonts w:hint="eastAsia" w:ascii="宋体" w:hAnsi="宋体"/>
          <w:szCs w:val="21"/>
          <w:highlight w:val="none"/>
        </w:rPr>
        <w:t xml:space="preserve">（1）本项目专门面向中小企业（含监狱企业、残疾人福利企业）采购。</w:t>
      </w:r>
      <w:r/>
    </w:p>
    <w:p>
      <w:pPr>
        <w:ind w:firstLine="420"/>
        <w:spacing w:line="440" w:lineRule="exact"/>
        <w:rPr>
          <w:rFonts w:ascii="宋体" w:hAnsi="宋体"/>
          <w:szCs w:val="21"/>
          <w:highlight w:val="none"/>
        </w:rPr>
      </w:pPr>
      <w:r>
        <w:rPr>
          <w:rFonts w:hint="eastAsia" w:ascii="宋体" w:hAnsi="宋体"/>
          <w:szCs w:val="21"/>
          <w:highlight w:val="none"/>
        </w:rPr>
        <w:t xml:space="preserve">（2）投标人提供的货物、工程或者服务符合下列情形的，对小微企业报价给予</w:t>
      </w:r>
      <w:r>
        <w:rPr>
          <w:rFonts w:hint="eastAsia" w:ascii="宋体" w:hAnsi="宋体"/>
          <w:szCs w:val="21"/>
          <w:highlight w:val="none"/>
          <w:u w:val="single"/>
        </w:rPr>
        <w:t xml:space="preserve"> / </w:t>
      </w:r>
      <w:r>
        <w:rPr>
          <w:rFonts w:hint="eastAsia" w:ascii="宋体" w:hAnsi="宋体"/>
          <w:szCs w:val="21"/>
          <w:highlight w:val="none"/>
        </w:rPr>
        <w:t xml:space="preserve">%（工程项目为</w:t>
      </w:r>
      <w:r>
        <w:rPr>
          <w:rFonts w:hint="eastAsia" w:ascii="宋体" w:hAnsi="宋体"/>
          <w:szCs w:val="21"/>
          <w:highlight w:val="none"/>
          <w:u w:val="single"/>
        </w:rPr>
        <w:t xml:space="preserve"> / </w:t>
      </w:r>
      <w:r>
        <w:rPr>
          <w:rFonts w:hint="eastAsia" w:ascii="宋体" w:hAnsi="宋体"/>
          <w:szCs w:val="21"/>
          <w:highlight w:val="none"/>
        </w:rPr>
        <w:t xml:space="preserve">%）的扣除，用扣除后的价格参加评审。</w:t>
      </w:r>
      <w:r/>
    </w:p>
    <w:p>
      <w:pPr>
        <w:ind w:firstLine="420"/>
        <w:spacing w:line="440" w:lineRule="exact"/>
        <w:rPr>
          <w:rFonts w:ascii="宋体" w:hAnsi="宋体"/>
          <w:szCs w:val="21"/>
          <w:highlight w:val="none"/>
        </w:rPr>
      </w:pPr>
      <w:r>
        <w:rPr>
          <w:rFonts w:hint="eastAsia" w:ascii="宋体" w:hAnsi="宋体"/>
          <w:szCs w:val="21"/>
          <w:highlight w:val="none"/>
        </w:rPr>
        <w:t xml:space="preserve">（一）在货物采购项目中，货物由中小企业制造，即货物由中小企业生产且使用该中小企业商号或者注册商标；</w:t>
      </w:r>
      <w:r/>
    </w:p>
    <w:p>
      <w:pPr>
        <w:ind w:firstLine="420"/>
        <w:spacing w:line="440" w:lineRule="exact"/>
        <w:rPr>
          <w:rFonts w:ascii="宋体" w:hAnsi="宋体"/>
          <w:szCs w:val="21"/>
          <w:highlight w:val="none"/>
        </w:rPr>
      </w:pPr>
      <w:r>
        <w:rPr>
          <w:rFonts w:hint="eastAsia" w:ascii="宋体" w:hAnsi="宋体"/>
          <w:szCs w:val="21"/>
          <w:highlight w:val="none"/>
        </w:rPr>
        <w:t xml:space="preserve">（二）在工程采购项目中，工程由中小企业承建，即工程施工单位为中小企业；</w:t>
      </w:r>
      <w:r/>
    </w:p>
    <w:p>
      <w:pPr>
        <w:ind w:firstLine="420"/>
        <w:spacing w:line="440" w:lineRule="exact"/>
        <w:rPr>
          <w:rFonts w:ascii="宋体" w:hAnsi="宋体"/>
          <w:szCs w:val="21"/>
          <w:highlight w:val="none"/>
        </w:rPr>
      </w:pPr>
      <w:r>
        <w:rPr>
          <w:rFonts w:hint="eastAsia" w:ascii="宋体" w:hAnsi="宋体"/>
          <w:szCs w:val="21"/>
          <w:highlight w:val="none"/>
        </w:rPr>
        <w:t xml:space="preserve">（三）在服务采购项目中，服务由中小企业承接，即提供服务的人员为中小企业依照《中华人民共和国民法典》订立劳动合同的从业人员。</w:t>
      </w:r>
      <w:r/>
    </w:p>
    <w:p>
      <w:pPr>
        <w:ind w:firstLine="420"/>
        <w:spacing w:line="440" w:lineRule="exact"/>
        <w:rPr>
          <w:rFonts w:ascii="宋体" w:hAnsi="宋体"/>
          <w:szCs w:val="21"/>
          <w:highlight w:val="none"/>
        </w:rPr>
      </w:pPr>
      <w:r>
        <w:rPr>
          <w:rFonts w:hint="eastAsia" w:ascii="宋体" w:hAnsi="宋体"/>
          <w:szCs w:val="21"/>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20"/>
        <w:spacing w:line="440" w:lineRule="exact"/>
        <w:rPr>
          <w:rFonts w:ascii="宋体" w:hAnsi="宋体"/>
          <w:szCs w:val="21"/>
          <w:highlight w:val="none"/>
        </w:rPr>
      </w:pPr>
      <w:r>
        <w:rPr>
          <w:rFonts w:hint="eastAsia" w:ascii="宋体" w:hAnsi="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20"/>
        <w:spacing w:line="440" w:lineRule="exact"/>
        <w:rPr>
          <w:rFonts w:ascii="宋体" w:hAnsi="宋体"/>
          <w:szCs w:val="21"/>
          <w:highlight w:val="none"/>
        </w:rPr>
      </w:pPr>
      <w:r>
        <w:rPr>
          <w:rFonts w:hint="eastAsia" w:ascii="宋体" w:hAnsi="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20"/>
        <w:spacing w:line="440" w:lineRule="exact"/>
        <w:rPr>
          <w:rFonts w:ascii="宋体" w:hAnsi="宋体" w:cs="仿宋_GB2312"/>
          <w:b/>
          <w:szCs w:val="21"/>
          <w:highlight w:val="none"/>
        </w:rPr>
      </w:pPr>
      <w:r>
        <w:rPr>
          <w:rFonts w:hint="eastAsia" w:ascii="宋体" w:hAnsi="宋体" w:cs="仿宋_GB2312"/>
          <w:b/>
          <w:szCs w:val="21"/>
          <w:highlight w:val="none"/>
        </w:rPr>
        <w:t xml:space="preserve">3、政府采购节能产品、环境标志产品</w:t>
      </w:r>
      <w:r/>
    </w:p>
    <w:p>
      <w:pPr>
        <w:ind w:firstLine="420"/>
        <w:spacing w:line="440" w:lineRule="exact"/>
        <w:rPr>
          <w:rFonts w:ascii="宋体" w:hAnsi="宋体" w:cs="仿宋_GB2312"/>
          <w:szCs w:val="21"/>
          <w:highlight w:val="none"/>
        </w:rPr>
      </w:pPr>
      <w:r>
        <w:rPr>
          <w:rFonts w:hint="eastAsia" w:ascii="宋体" w:hAnsi="宋体" w:cs="仿宋_GB2312"/>
          <w:szCs w:val="21"/>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20"/>
        <w:spacing w:line="440" w:lineRule="exact"/>
        <w:rPr>
          <w:rFonts w:ascii="宋体" w:hAnsi="宋体" w:cs="仿宋_GB2312"/>
          <w:b/>
          <w:szCs w:val="21"/>
          <w:highlight w:val="none"/>
        </w:rPr>
      </w:pPr>
      <w:r>
        <w:rPr>
          <w:rFonts w:hint="eastAsia" w:ascii="宋体" w:hAnsi="宋体" w:cs="仿宋_GB2312"/>
          <w:b/>
          <w:szCs w:val="21"/>
          <w:highlight w:val="none"/>
        </w:rPr>
        <w:t xml:space="preserve">（2）采购人拟采购的产品属于政府强制采购的节能产品品目清单范围的，投标人须提供国家确定的认证机构出具的、处于有效期之内的节能产品认证证书的，否则无效标处理</w:t>
      </w:r>
      <w:r>
        <w:rPr>
          <w:rFonts w:hint="eastAsia" w:ascii="宋体" w:hAnsi="宋体" w:cs="仿宋_GB2312"/>
          <w:b/>
          <w:szCs w:val="21"/>
          <w:highlight w:val="none"/>
        </w:rPr>
        <w:t xml:space="preserve">。</w:t>
      </w:r>
      <w:r>
        <w:rPr>
          <w:rFonts w:hint="eastAsia" w:ascii="宋体" w:hAnsi="宋体" w:cs="仿宋_GB2312"/>
          <w:b/>
          <w:szCs w:val="21"/>
          <w:highlight w:val="none"/>
        </w:rPr>
        <w:t xml:space="preserve">对照财库(2019)9号、财库(2019)19号文件规定。</w:t>
      </w:r>
      <w:r/>
    </w:p>
    <w:p>
      <w:pPr>
        <w:ind w:firstLine="420"/>
        <w:spacing w:line="440" w:lineRule="exact"/>
        <w:rPr>
          <w:rFonts w:ascii="宋体" w:hAnsi="宋体"/>
          <w:szCs w:val="21"/>
          <w:highlight w:val="none"/>
        </w:rPr>
      </w:pPr>
      <w:r>
        <w:rPr>
          <w:rFonts w:hint="eastAsia" w:ascii="宋体" w:hAnsi="宋体"/>
          <w:szCs w:val="21"/>
          <w:highlight w:val="none"/>
        </w:rPr>
        <w:t xml:space="preserve">4、商品包装、快递包装政府采购需求标准（试行）</w:t>
      </w:r>
      <w:r/>
    </w:p>
    <w:p>
      <w:pPr>
        <w:ind w:firstLine="420"/>
        <w:spacing w:line="440" w:lineRule="exact"/>
        <w:rPr>
          <w:rFonts w:ascii="宋体" w:hAnsi="宋体"/>
          <w:szCs w:val="21"/>
          <w:highlight w:val="none"/>
        </w:rPr>
      </w:pPr>
      <w:r>
        <w:rPr>
          <w:rFonts w:hint="eastAsia" w:ascii="宋体" w:hAnsi="宋体"/>
          <w:szCs w:val="21"/>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20"/>
        <w:spacing w:line="440" w:lineRule="exact"/>
        <w:rPr>
          <w:rFonts w:ascii="宋体" w:hAnsi="宋体" w:cs="仿宋_GB2312"/>
          <w:szCs w:val="21"/>
          <w:highlight w:val="none"/>
        </w:rPr>
      </w:pPr>
      <w:r>
        <w:rPr>
          <w:rFonts w:hint="eastAsia" w:ascii="宋体" w:hAnsi="宋体" w:cs="仿宋_GB2312"/>
          <w:szCs w:val="21"/>
          <w:highlight w:val="none"/>
        </w:rPr>
        <w:t xml:space="preserve">5、绿色数据中心政府采购需求标准（试行）</w:t>
      </w:r>
      <w:r/>
    </w:p>
    <w:p>
      <w:pPr>
        <w:ind w:firstLine="420"/>
        <w:spacing w:line="440" w:lineRule="exact"/>
        <w:rPr>
          <w:rFonts w:ascii="宋体" w:hAnsi="宋体" w:cs="仿宋_GB2312"/>
          <w:szCs w:val="21"/>
          <w:highlight w:val="none"/>
        </w:rPr>
      </w:pPr>
      <w:r>
        <w:rPr>
          <w:rFonts w:hint="eastAsia" w:ascii="宋体" w:hAnsi="宋体" w:cs="仿宋_GB2312"/>
          <w:szCs w:val="21"/>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spacing w:line="440" w:lineRule="exact"/>
        <w:rPr>
          <w:rFonts w:ascii="宋体" w:hAnsi="宋体" w:cs="仿宋_GB2312"/>
          <w:highlight w:val="none"/>
        </w:rPr>
      </w:pPr>
      <w:r>
        <w:rPr>
          <w:rFonts w:ascii="宋体" w:hAnsi="宋体" w:cs="仿宋_GB2312"/>
          <w:szCs w:val="21"/>
          <w:highlight w:val="none"/>
        </w:rPr>
      </w:r>
      <w:r>
        <w:rPr>
          <w:rFonts w:ascii="宋体" w:hAnsi="宋体" w:cs="仿宋_GB2312"/>
          <w:szCs w:val="21"/>
          <w:highlight w:val="none"/>
        </w:rPr>
      </w:r>
      <w:r/>
    </w:p>
    <w:p>
      <w:pPr>
        <w:spacing w:line="440" w:lineRule="exact"/>
        <w:rPr>
          <w:rFonts w:ascii="宋体" w:hAnsi="宋体" w:cs="仿宋_GB2312"/>
          <w:highlight w:val="none"/>
        </w:rPr>
      </w:pPr>
      <w:r>
        <w:rPr>
          <w:rFonts w:ascii="宋体" w:hAnsi="宋体" w:cs="仿宋_GB2312"/>
          <w:szCs w:val="21"/>
          <w:highlight w:val="none"/>
        </w:rPr>
      </w:r>
      <w:r/>
    </w:p>
    <w:p>
      <w:pPr>
        <w:jc w:val="center"/>
        <w:keepNext/>
        <w:rPr>
          <w:rFonts w:ascii="黑体" w:hAnsi="黑体" w:eastAsia="黑体" w:cs="黑体"/>
          <w:b/>
          <w:bCs/>
          <w:sz w:val="40"/>
          <w:szCs w:val="40"/>
          <w:highlight w:val="none"/>
        </w:rPr>
        <w:outlineLvl w:val="0"/>
      </w:pPr>
      <w:r>
        <w:rPr>
          <w:rFonts w:hint="eastAsia" w:ascii="黑体" w:hAnsi="黑体" w:eastAsia="黑体" w:cs="黑体"/>
          <w:b/>
          <w:sz w:val="40"/>
          <w:szCs w:val="18"/>
          <w:highlight w:val="none"/>
        </w:rPr>
      </w:r>
      <w:r>
        <w:rPr>
          <w:rFonts w:hint="eastAsia" w:ascii="黑体" w:hAnsi="黑体" w:eastAsia="黑体" w:cs="黑体"/>
          <w:b/>
          <w:sz w:val="40"/>
          <w:szCs w:val="18"/>
          <w:highlight w:val="none"/>
        </w:rPr>
      </w:r>
      <w:r/>
    </w:p>
    <w:p>
      <w:pPr>
        <w:jc w:val="center"/>
        <w:keepNext/>
        <w:rPr>
          <w:rFonts w:hint="eastAsia" w:ascii="黑体" w:hAnsi="黑体" w:eastAsia="黑体" w:cs="黑体"/>
          <w:b/>
          <w:bCs/>
          <w:sz w:val="40"/>
          <w:szCs w:val="40"/>
          <w:highlight w:val="none"/>
        </w:rPr>
        <w:outlineLvl w:val="0"/>
      </w:pPr>
      <w:r>
        <w:rPr>
          <w:rFonts w:hint="eastAsia" w:ascii="黑体" w:hAnsi="黑体" w:eastAsia="黑体" w:cs="黑体"/>
          <w:b/>
          <w:sz w:val="40"/>
          <w:szCs w:val="18"/>
          <w:highlight w:val="none"/>
        </w:rPr>
      </w:r>
      <w:r>
        <w:rPr>
          <w:rFonts w:hint="eastAsia" w:ascii="黑体" w:hAnsi="黑体" w:eastAsia="黑体" w:cs="黑体"/>
          <w:b/>
          <w:sz w:val="40"/>
          <w:szCs w:val="18"/>
          <w:highlight w:val="none"/>
        </w:rPr>
      </w:r>
      <w:r/>
    </w:p>
    <w:p>
      <w:pPr>
        <w:jc w:val="center"/>
        <w:keepNext/>
        <w:rPr>
          <w:rFonts w:hint="eastAsia" w:ascii="黑体" w:hAnsi="黑体" w:eastAsia="黑体" w:cs="黑体"/>
          <w:b/>
          <w:bCs/>
          <w:sz w:val="40"/>
          <w:szCs w:val="40"/>
          <w:highlight w:val="none"/>
        </w:rPr>
        <w:outlineLvl w:val="0"/>
      </w:pPr>
      <w:r/>
      <w:bookmarkStart w:id="771" w:name="_Toc196817277"/>
      <w:r>
        <w:rPr>
          <w:rFonts w:hint="eastAsia" w:ascii="黑体" w:hAnsi="黑体" w:eastAsia="黑体" w:cs="黑体"/>
          <w:b/>
          <w:sz w:val="40"/>
          <w:szCs w:val="18"/>
          <w:highlight w:val="none"/>
        </w:rPr>
        <w:t xml:space="preserve">第六章 </w:t>
      </w:r>
      <w:bookmarkEnd w:id="766"/>
      <w:r/>
      <w:bookmarkEnd w:id="767"/>
      <w:r/>
      <w:bookmarkEnd w:id="769"/>
      <w:r>
        <w:rPr>
          <w:rFonts w:hint="eastAsia" w:ascii="黑体" w:hAnsi="黑体" w:eastAsia="黑体" w:cs="黑体"/>
          <w:b/>
          <w:sz w:val="40"/>
          <w:szCs w:val="18"/>
          <w:highlight w:val="none"/>
        </w:rPr>
        <w:t xml:space="preserve">响应文件格式</w:t>
      </w:r>
      <w:bookmarkEnd w:id="771"/>
      <w:r>
        <w:rPr>
          <w:rFonts w:hint="eastAsia" w:ascii="黑体" w:hAnsi="黑体" w:eastAsia="黑体" w:cs="黑体"/>
          <w:b/>
          <w:sz w:val="40"/>
          <w:szCs w:val="18"/>
          <w:highlight w:val="none"/>
        </w:rPr>
        <w:t xml:space="preserve"> </w:t>
      </w:r>
      <w:r/>
    </w:p>
    <w:p>
      <w:pPr>
        <w:jc w:val="center"/>
        <w:rPr>
          <w:rFonts w:ascii="Times New Roman" w:hAnsi="Times New Roman"/>
          <w:b/>
          <w:sz w:val="72"/>
          <w:szCs w:val="21"/>
          <w:highlight w:val="none"/>
        </w:rPr>
      </w:pPr>
      <w:r/>
      <w:bookmarkStart w:id="772" w:name="_Hlt26671244"/>
      <w:r/>
      <w:bookmarkEnd w:id="772"/>
      <w:r/>
      <w:bookmarkStart w:id="773" w:name="_Hlt26955039"/>
      <w:r/>
      <w:bookmarkEnd w:id="773"/>
      <w:r/>
      <w:bookmarkStart w:id="774" w:name="_Toc26554094"/>
      <w:r/>
      <w:bookmarkStart w:id="775" w:name="_Toc120614282"/>
      <w:r/>
      <w:bookmarkStart w:id="776" w:name="_Toc49090576"/>
      <w:r/>
      <w:r/>
    </w:p>
    <w:p>
      <w:pPr>
        <w:jc w:val="both"/>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hint="eastAsia" w:ascii="Times New Roman" w:hAnsi="Times New Roman"/>
          <w:b/>
          <w:sz w:val="72"/>
          <w:szCs w:val="21"/>
          <w:highlight w:val="none"/>
        </w:rPr>
        <w:t xml:space="preserve">响  应  文  件</w:t>
      </w:r>
      <w:r/>
    </w:p>
    <w:p>
      <w:pPr>
        <w:jc w:val="center"/>
        <w:rPr>
          <w:rFonts w:ascii="Times New Roman" w:hAnsi="Times New Roman"/>
          <w:b/>
          <w:bCs/>
          <w:sz w:val="72"/>
          <w:szCs w:val="72"/>
          <w:highlight w:val="none"/>
        </w:rPr>
      </w:pPr>
      <w:r>
        <w:rPr>
          <w:rFonts w:ascii="Times New Roman" w:hAnsi="Times New Roman"/>
          <w:b/>
          <w:bCs/>
          <w:sz w:val="72"/>
          <w:szCs w:val="72"/>
          <w:highlight w:val="none"/>
        </w:rPr>
      </w:r>
      <w:r/>
    </w:p>
    <w:p>
      <w:pPr>
        <w:jc w:val="both"/>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36"/>
          <w:szCs w:val="21"/>
          <w:highlight w:val="none"/>
        </w:rPr>
      </w:pPr>
      <w:r>
        <w:rPr>
          <w:rFonts w:ascii="Times New Roman" w:hAnsi="Times New Roman"/>
          <w:b/>
          <w:sz w:val="36"/>
          <w:szCs w:val="21"/>
          <w:highlight w:val="none"/>
        </w:rPr>
      </w:r>
      <w:r/>
    </w:p>
    <w:p>
      <w:pPr>
        <w:jc w:val="center"/>
        <w:rPr>
          <w:rFonts w:ascii="Times New Roman" w:hAnsi="Times New Roman"/>
          <w:b/>
          <w:sz w:val="36"/>
          <w:szCs w:val="21"/>
          <w:highlight w:val="none"/>
        </w:rPr>
      </w:pPr>
      <w:r>
        <w:rPr>
          <w:rFonts w:ascii="Times New Roman" w:hAnsi="Times New Roman"/>
          <w:b/>
          <w:sz w:val="36"/>
          <w:szCs w:val="21"/>
          <w:highlight w:val="none"/>
        </w:rPr>
      </w:r>
      <w:r/>
    </w:p>
    <w:p>
      <w:pPr>
        <w:jc w:val="center"/>
        <w:rPr>
          <w:rFonts w:ascii="Times New Roman" w:hAnsi="Times New Roman"/>
          <w:b/>
          <w:sz w:val="36"/>
          <w:szCs w:val="21"/>
          <w:highlight w:val="none"/>
        </w:rPr>
      </w:pPr>
      <w:r>
        <w:rPr>
          <w:rFonts w:ascii="Times New Roman" w:hAnsi="Times New Roman"/>
          <w:b/>
          <w:sz w:val="36"/>
          <w:szCs w:val="21"/>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供应商名称 ：</w:t>
      </w:r>
      <w:r>
        <w:rPr>
          <w:rFonts w:hint="eastAsia" w:ascii="宋体" w:hAnsi="宋体"/>
          <w:b/>
          <w:sz w:val="36"/>
          <w:highlight w:val="none"/>
          <w:u w:val="single"/>
        </w:rPr>
        <w:t xml:space="preserve">     （加盖CA电子公章）</w:t>
      </w:r>
      <w:r/>
    </w:p>
    <w:p>
      <w:pPr>
        <w:ind w:firstLine="1084"/>
        <w:rPr>
          <w:rFonts w:ascii="宋体" w:hAnsi="宋体"/>
          <w:b/>
          <w:sz w:val="36"/>
          <w:highlight w:val="none"/>
          <w:u w:val="single"/>
        </w:rPr>
      </w:pPr>
      <w:r>
        <w:rPr>
          <w:rFonts w:hint="eastAsia" w:ascii="宋体" w:hAnsi="宋体"/>
          <w:b/>
          <w:sz w:val="36"/>
          <w:highlight w:val="none"/>
        </w:rPr>
        <w:t xml:space="preserve">日      期 ：</w:t>
      </w:r>
      <w:r>
        <w:rPr>
          <w:rFonts w:hint="eastAsia" w:ascii="宋体" w:hAnsi="宋体"/>
          <w:b/>
          <w:sz w:val="36"/>
          <w:highlight w:val="none"/>
          <w:u w:val="single"/>
        </w:rPr>
        <w:t xml:space="preserve">               </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spacing w:line="440" w:lineRule="exact"/>
        <w:rPr>
          <w:rFonts w:ascii="Times New Roman" w:hAnsi="Times New Roman"/>
          <w:szCs w:val="21"/>
          <w:highlight w:val="none"/>
        </w:rPr>
      </w:pPr>
      <w:r>
        <w:rPr>
          <w:rFonts w:ascii="Times New Roman" w:hAnsi="Times New Roman"/>
          <w:szCs w:val="21"/>
          <w:highlight w:val="none"/>
        </w:rPr>
      </w:r>
      <w:r/>
    </w:p>
    <w:p>
      <w:pPr>
        <w:spacing w:line="440" w:lineRule="exact"/>
        <w:rPr>
          <w:rFonts w:ascii="Times New Roman" w:hAnsi="Times New Roman"/>
          <w:szCs w:val="21"/>
          <w:highlight w:val="none"/>
        </w:rPr>
      </w:pPr>
      <w:r>
        <w:rPr>
          <w:rFonts w:ascii="Times New Roman" w:hAnsi="Times New Roman"/>
          <w:szCs w:val="21"/>
          <w:highlight w:val="none"/>
        </w:rPr>
      </w:r>
      <w:r/>
    </w:p>
    <w:p>
      <w:pPr>
        <w:rPr>
          <w:rFonts w:ascii="Times New Roman" w:hAnsi="Times New Roman"/>
          <w:b/>
          <w:bCs/>
          <w:sz w:val="32"/>
          <w:szCs w:val="32"/>
          <w:highlight w:val="none"/>
        </w:rPr>
      </w:pPr>
      <w:r>
        <w:rPr>
          <w:rFonts w:ascii="Times New Roman" w:hAnsi="Times New Roman"/>
          <w:b/>
          <w:bCs/>
          <w:sz w:val="32"/>
          <w:szCs w:val="32"/>
          <w:highlight w:val="none"/>
        </w:rPr>
      </w:r>
      <w:r/>
    </w:p>
    <w:p>
      <w:pPr>
        <w:rPr>
          <w:rFonts w:ascii="Times New Roman" w:hAnsi="Times New Roman"/>
          <w:b/>
          <w:bCs/>
          <w:sz w:val="32"/>
          <w:szCs w:val="32"/>
          <w:highlight w:val="none"/>
        </w:rPr>
      </w:pPr>
      <w:r>
        <w:rPr>
          <w:rFonts w:ascii="Times New Roman" w:hAnsi="Times New Roman"/>
          <w:b/>
          <w:bCs/>
          <w:sz w:val="32"/>
          <w:szCs w:val="32"/>
          <w:highlight w:val="none"/>
        </w:rPr>
      </w:r>
      <w:r/>
    </w:p>
    <w:p>
      <w:pPr>
        <w:pStyle w:val="731"/>
        <w:rPr>
          <w:rFonts w:ascii="Times New Roman" w:hAnsi="Times New Roman"/>
          <w:b/>
          <w:bCs/>
          <w:sz w:val="32"/>
          <w:szCs w:val="32"/>
          <w:highlight w:val="none"/>
        </w:rPr>
      </w:pPr>
      <w:r>
        <w:rPr>
          <w:rFonts w:ascii="Times New Roman" w:hAnsi="Times New Roman"/>
          <w:b/>
          <w:bCs/>
          <w:sz w:val="32"/>
          <w:szCs w:val="32"/>
          <w:highlight w:val="none"/>
        </w:rPr>
      </w:r>
      <w:r/>
    </w:p>
    <w:p>
      <w:pPr>
        <w:rPr>
          <w:rFonts w:ascii="Times New Roman" w:hAnsi="Times New Roman"/>
          <w:b/>
          <w:bCs/>
          <w:sz w:val="32"/>
          <w:szCs w:val="32"/>
          <w:highlight w:val="none"/>
        </w:rPr>
      </w:pPr>
      <w:r>
        <w:rPr>
          <w:rFonts w:ascii="Times New Roman" w:hAnsi="Times New Roman"/>
          <w:b/>
          <w:bCs/>
          <w:sz w:val="32"/>
          <w:szCs w:val="32"/>
          <w:highlight w:val="none"/>
        </w:rPr>
      </w:r>
      <w:r/>
    </w:p>
    <w:p>
      <w:pPr>
        <w:pStyle w:val="731"/>
        <w:rPr>
          <w:rFonts w:ascii="Times New Roman" w:hAnsi="Times New Roman"/>
          <w:b/>
          <w:bCs/>
          <w:sz w:val="32"/>
          <w:szCs w:val="32"/>
          <w:highlight w:val="none"/>
        </w:rPr>
      </w:pPr>
      <w:r>
        <w:rPr>
          <w:rFonts w:ascii="Times New Roman" w:hAnsi="Times New Roman"/>
          <w:b/>
          <w:bCs/>
          <w:sz w:val="32"/>
          <w:szCs w:val="32"/>
          <w:highlight w:val="none"/>
        </w:rPr>
      </w:r>
      <w:r/>
    </w:p>
    <w:p>
      <w:pPr>
        <w:rPr>
          <w:rFonts w:ascii="Times New Roman" w:hAnsi="Times New Roman"/>
          <w:b/>
          <w:bCs/>
          <w:sz w:val="32"/>
          <w:szCs w:val="32"/>
          <w:highlight w:val="none"/>
        </w:rPr>
      </w:pPr>
      <w:r>
        <w:rPr>
          <w:rFonts w:ascii="Times New Roman" w:hAnsi="Times New Roman"/>
          <w:b/>
          <w:bCs/>
          <w:sz w:val="32"/>
          <w:szCs w:val="32"/>
          <w:highlight w:val="none"/>
        </w:rPr>
      </w:r>
      <w:r/>
    </w:p>
    <w:p>
      <w:pPr>
        <w:pStyle w:val="731"/>
        <w:rPr>
          <w:rFonts w:ascii="Times New Roman" w:hAnsi="Times New Roman"/>
          <w:b/>
          <w:bCs/>
          <w:sz w:val="32"/>
          <w:szCs w:val="32"/>
          <w:highlight w:val="none"/>
        </w:rPr>
      </w:pPr>
      <w:r>
        <w:rPr>
          <w:rFonts w:ascii="Times New Roman" w:hAnsi="Times New Roman"/>
          <w:b/>
          <w:bCs/>
          <w:sz w:val="32"/>
          <w:szCs w:val="32"/>
          <w:highlight w:val="none"/>
        </w:rPr>
      </w:r>
      <w:r/>
    </w:p>
    <w:p>
      <w:r/>
      <w:r/>
    </w:p>
    <w:p>
      <w:pPr>
        <w:jc w:val="center"/>
        <w:spacing w:line="440" w:lineRule="exact"/>
        <w:rPr>
          <w:rFonts w:ascii="Times New Roman" w:hAnsi="Times New Roman"/>
          <w:b/>
          <w:bCs/>
          <w:sz w:val="32"/>
          <w:szCs w:val="32"/>
          <w:highlight w:val="none"/>
        </w:rPr>
      </w:pPr>
      <w:r>
        <w:rPr>
          <w:rFonts w:hint="eastAsia" w:ascii="Times New Roman" w:hAnsi="Times New Roman"/>
          <w:b/>
          <w:bCs/>
          <w:sz w:val="32"/>
          <w:szCs w:val="32"/>
          <w:highlight w:val="none"/>
        </w:rPr>
        <w:t xml:space="preserve">响应文件目录</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ind w:left="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一、磋商申请及声明</w:t>
      </w:r>
      <w:r/>
    </w:p>
    <w:p>
      <w:pPr>
        <w:ind w:left="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二、供应商基本信息</w:t>
      </w:r>
      <w:r/>
    </w:p>
    <w:p>
      <w:pPr>
        <w:ind w:left="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三、特定资格要求的证明文件</w:t>
      </w:r>
      <w:r/>
    </w:p>
    <w:p>
      <w:pPr>
        <w:ind w:left="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四、法定代表人身份证明或法人授权书</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五、中小企业或残疾人福利性单位声明函</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六、报价一览表</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七、已标价的工程量清单</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八、项目组人员</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九、企业业绩</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十、项目实施方案</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十一、磋商所需其他材料</w:t>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spacing w:line="440" w:lineRule="exact"/>
        <w:rPr>
          <w:rFonts w:ascii="Times New Roman" w:hAnsi="Times New Roman"/>
          <w:sz w:val="24"/>
          <w:szCs w:val="21"/>
          <w:highlight w:val="none"/>
        </w:rPr>
      </w:pPr>
      <w:r>
        <w:rPr>
          <w:rFonts w:ascii="Times New Roman" w:hAnsi="Times New Roman"/>
          <w:sz w:val="24"/>
          <w:szCs w:val="21"/>
          <w:highlight w:val="none"/>
        </w:rPr>
      </w:r>
      <w:r/>
    </w:p>
    <w:p>
      <w:pPr>
        <w:rPr>
          <w:rFonts w:ascii="Times New Roman" w:hAnsi="Times New Roman" w:eastAsia="黑体"/>
          <w:iCs/>
          <w:sz w:val="32"/>
          <w:szCs w:val="32"/>
          <w:highlight w:val="none"/>
        </w:rPr>
      </w:pPr>
      <w:r>
        <w:rPr>
          <w:rFonts w:hint="eastAsia" w:ascii="Times New Roman" w:hAnsi="Times New Roman" w:eastAsia="黑体"/>
          <w:iCs/>
          <w:sz w:val="32"/>
          <w:szCs w:val="32"/>
          <w:highlight w:val="none"/>
        </w:rPr>
        <w:t xml:space="preserve">一、</w:t>
      </w:r>
      <w:r>
        <w:rPr>
          <w:rFonts w:ascii="Times New Roman" w:hAnsi="Times New Roman" w:eastAsia="黑体"/>
          <w:iCs/>
          <w:sz w:val="32"/>
          <w:szCs w:val="32"/>
          <w:highlight w:val="none"/>
        </w:rPr>
        <w:t xml:space="preserve">磋商申请及声明</w:t>
      </w:r>
      <w:r/>
    </w:p>
    <w:p>
      <w:pPr>
        <w:pStyle w:val="823"/>
        <w:jc w:val="center"/>
        <w:spacing w:before="60" w:after="60"/>
        <w:rPr>
          <w:rFonts w:ascii="Times New Roman" w:hAnsi="Times New Roman"/>
          <w:b/>
          <w:sz w:val="32"/>
          <w:szCs w:val="32"/>
          <w:highlight w:val="none"/>
        </w:rPr>
      </w:pPr>
      <w:r>
        <w:rPr>
          <w:rFonts w:hint="eastAsia" w:ascii="Times New Roman" w:hAnsi="Times New Roman"/>
          <w:b/>
          <w:sz w:val="32"/>
          <w:szCs w:val="32"/>
          <w:highlight w:val="none"/>
        </w:rPr>
        <w:t xml:space="preserve">响应声明及承诺函</w:t>
      </w:r>
      <w:r/>
    </w:p>
    <w:p>
      <w:pPr>
        <w:pStyle w:val="823"/>
        <w:jc w:val="left"/>
        <w:spacing w:line="500" w:lineRule="exact"/>
        <w:rPr>
          <w:rFonts w:ascii="宋体" w:hAnsi="宋体" w:cs="宋体"/>
          <w:sz w:val="24"/>
          <w:szCs w:val="24"/>
          <w:highlight w:val="none"/>
          <w:u w:val="single"/>
        </w:rPr>
      </w:pPr>
      <w:r>
        <w:rPr>
          <w:rFonts w:hint="eastAsia" w:ascii="宋体" w:hAnsi="宋体" w:cs="宋体"/>
          <w:sz w:val="24"/>
          <w:szCs w:val="24"/>
          <w:highlight w:val="none"/>
          <w:u w:val="single"/>
        </w:rPr>
        <w:t xml:space="preserve">（采购单位名称）：</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根据已收到的项目编号为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项目的竞争性磋商文件，我单位在参加本项目竞争性磋商活动中，特做出如下承诺：</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一、我方具备《中华人民共和国政府采购法》第二十二条第一款规定的6项条件；</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三、我方按磋商文件要求提交响应文件，响应磋商文件规定的响应有效期；</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五、我方若违背本声明及承诺约定，经查实，自愿接受采购人及相关主管部门相应的规定处理，并依法承担相应的法律责任。</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六、我方同意采购人、采购代理机构将本声明及承诺函上网公开</w:t>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供应商名称：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（加盖CA电子公章）</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日期：    年    月   日</w:t>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spacing w:line="44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bookmarkEnd w:id="774"/>
      <w:r/>
      <w:bookmarkEnd w:id="775"/>
      <w:r/>
      <w:bookmarkEnd w:id="776"/>
      <w:r/>
      <w:r/>
    </w:p>
    <w:p>
      <w:pPr>
        <w:rPr>
          <w:rFonts w:ascii="Times New Roman" w:hAnsi="Times New Roman" w:eastAsia="黑体"/>
          <w:iCs/>
          <w:sz w:val="32"/>
          <w:szCs w:val="32"/>
          <w:highlight w:val="none"/>
        </w:rPr>
      </w:pPr>
      <w:r/>
      <w:bookmarkStart w:id="777" w:name="_Toc27399"/>
      <w:r/>
      <w:bookmarkStart w:id="778" w:name="_Toc120614284"/>
      <w:r>
        <w:rPr>
          <w:rFonts w:hint="eastAsia" w:ascii="Times New Roman" w:hAnsi="Times New Roman" w:eastAsia="黑体"/>
          <w:iCs/>
          <w:sz w:val="32"/>
          <w:szCs w:val="32"/>
          <w:highlight w:val="none"/>
        </w:rPr>
        <w:t xml:space="preserve">二</w:t>
      </w:r>
      <w:r>
        <w:rPr>
          <w:rFonts w:ascii="Times New Roman" w:hAnsi="Times New Roman" w:eastAsia="黑体"/>
          <w:iCs/>
          <w:sz w:val="32"/>
          <w:szCs w:val="32"/>
          <w:highlight w:val="none"/>
        </w:rPr>
        <w:t xml:space="preserve">、供应商基本信息</w:t>
      </w:r>
      <w:bookmarkEnd w:id="777"/>
      <w:r/>
      <w:r/>
    </w:p>
    <w:p>
      <w:pPr>
        <w:pStyle w:val="823"/>
        <w:jc w:val="center"/>
        <w:rPr>
          <w:rFonts w:ascii="Times New Roman" w:hAnsi="Times New Roman"/>
          <w:b/>
          <w:sz w:val="32"/>
          <w:szCs w:val="32"/>
          <w:highlight w:val="none"/>
        </w:rPr>
      </w:pPr>
      <w:r>
        <w:rPr>
          <w:rFonts w:hint="eastAsia" w:ascii="Times New Roman" w:hAnsi="Times New Roman"/>
          <w:b/>
          <w:sz w:val="32"/>
          <w:szCs w:val="32"/>
          <w:highlight w:val="none"/>
        </w:rPr>
        <w:t xml:space="preserve">供应商基本情况表</w:t>
      </w:r>
      <w:r/>
    </w:p>
    <w:tbl>
      <w:tblPr>
        <w:tblStyle w:val="682"/>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560"/>
        <w:gridCol w:w="2976"/>
      </w:tblGrid>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供应商名称</w:t>
            </w:r>
            <w:r/>
          </w:p>
        </w:tc>
        <w:tc>
          <w:tcPr>
            <w:gridSpan w:val="3"/>
            <w:tcW w:w="7654"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法定代表人</w:t>
            </w:r>
            <w:r/>
          </w:p>
        </w:tc>
        <w:tc>
          <w:tcPr>
            <w:tcW w:w="3118"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1560"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注册地区</w:t>
            </w:r>
            <w:r/>
          </w:p>
        </w:tc>
        <w:tc>
          <w:tcPr>
            <w:tcW w:w="2976"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地址</w:t>
            </w:r>
            <w:r/>
          </w:p>
        </w:tc>
        <w:tc>
          <w:tcPr>
            <w:tcW w:w="3118"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1560"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邮政编码</w:t>
            </w:r>
            <w:r/>
          </w:p>
        </w:tc>
        <w:tc>
          <w:tcPr>
            <w:tcW w:w="2976"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成立时间</w:t>
            </w:r>
            <w:r/>
          </w:p>
        </w:tc>
        <w:tc>
          <w:tcPr>
            <w:tcW w:w="3118"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1560"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单位性质</w:t>
            </w:r>
            <w:r/>
          </w:p>
        </w:tc>
        <w:tc>
          <w:tcPr>
            <w:tcW w:w="2976"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注册号或社会信用代码</w:t>
            </w:r>
            <w:r/>
          </w:p>
        </w:tc>
        <w:tc>
          <w:tcPr>
            <w:tcW w:w="3118"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1560"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注册资本</w:t>
            </w:r>
            <w:r/>
          </w:p>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（万元）</w:t>
            </w:r>
            <w:r/>
          </w:p>
        </w:tc>
        <w:tc>
          <w:tcPr>
            <w:tcW w:w="2976"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供应商类别</w:t>
            </w:r>
            <w:r/>
          </w:p>
        </w:tc>
        <w:tc>
          <w:tcPr>
            <w:gridSpan w:val="3"/>
            <w:tcW w:w="7654"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开户银行</w:t>
            </w:r>
            <w:r/>
          </w:p>
        </w:tc>
        <w:tc>
          <w:tcPr>
            <w:tcW w:w="3118"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1560"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账号</w:t>
            </w:r>
            <w:r/>
          </w:p>
        </w:tc>
        <w:tc>
          <w:tcPr>
            <w:tcW w:w="2976"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680"/>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联系人</w:t>
            </w:r>
            <w:r/>
          </w:p>
        </w:tc>
        <w:tc>
          <w:tcPr>
            <w:tcW w:w="3118"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1560"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联系电话</w:t>
            </w:r>
            <w:r/>
          </w:p>
        </w:tc>
        <w:tc>
          <w:tcPr>
            <w:tcW w:w="2976" w:type="dxa"/>
            <w:vAlign w:val="center"/>
            <w:textDirection w:val="lrTb"/>
            <w:noWrap w:val="false"/>
          </w:tcPr>
          <w:p>
            <w:pPr>
              <w:pStyle w:val="837"/>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trHeight w:val="2698"/>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经营范围</w:t>
            </w:r>
            <w:r/>
          </w:p>
        </w:tc>
        <w:tc>
          <w:tcPr>
            <w:gridSpan w:val="3"/>
            <w:tcW w:w="7654" w:type="dxa"/>
            <w:vAlign w:val="center"/>
            <w:textDirection w:val="lrTb"/>
            <w:noWrap w:val="false"/>
          </w:tcPr>
          <w:p>
            <w:pPr>
              <w:pStyle w:val="837"/>
              <w:spacing w:line="360" w:lineRule="exact"/>
              <w:rPr>
                <w:rFonts w:ascii="宋体" w:hAnsi="宋体" w:cs="宋体"/>
                <w:sz w:val="24"/>
                <w:szCs w:val="24"/>
                <w:highlight w:val="none"/>
              </w:rPr>
            </w:pPr>
            <w:r>
              <w:rPr>
                <w:rFonts w:ascii="宋体" w:hAnsi="宋体" w:cs="宋体"/>
                <w:sz w:val="24"/>
                <w:szCs w:val="24"/>
                <w:highlight w:val="none"/>
              </w:rPr>
            </w:r>
            <w:r/>
          </w:p>
        </w:tc>
      </w:tr>
      <w:tr>
        <w:trPr>
          <w:trHeight w:val="1134"/>
        </w:trPr>
        <w:tc>
          <w:tcPr>
            <w:tcW w:w="1526"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备注</w:t>
            </w:r>
            <w:r/>
          </w:p>
        </w:tc>
        <w:tc>
          <w:tcPr>
            <w:gridSpan w:val="3"/>
            <w:tcW w:w="7654" w:type="dxa"/>
            <w:vAlign w:val="center"/>
            <w:textDirection w:val="lrTb"/>
            <w:noWrap w:val="false"/>
          </w:tcPr>
          <w:p>
            <w:pPr>
              <w:pStyle w:val="83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无需提供营业执照等资料，填表即可</w:t>
            </w:r>
            <w:r/>
          </w:p>
        </w:tc>
      </w:tr>
    </w:tbl>
    <w:p>
      <w:pPr>
        <w:spacing w:line="460" w:lineRule="exact"/>
        <w:rPr>
          <w:rFonts w:ascii="Times New Roman" w:hAnsi="Times New Roman"/>
          <w:sz w:val="24"/>
          <w:highlight w:val="none"/>
        </w:rPr>
      </w:pPr>
      <w:r>
        <w:rPr>
          <w:rFonts w:ascii="Times New Roman" w:hAnsi="Times New Roman"/>
          <w:sz w:val="24"/>
          <w:highlight w:val="none"/>
        </w:rPr>
      </w:r>
      <w:r/>
    </w:p>
    <w:p>
      <w:pPr>
        <w:spacing w:line="460" w:lineRule="exact"/>
        <w:rPr>
          <w:rFonts w:ascii="Times New Roman" w:hAnsi="Times New Roman"/>
          <w:sz w:val="24"/>
          <w:highlight w:val="none"/>
        </w:rPr>
      </w:pPr>
      <w:r>
        <w:rPr>
          <w:rFonts w:ascii="Times New Roman" w:hAnsi="Times New Roman"/>
          <w:sz w:val="24"/>
          <w:highlight w:val="none"/>
        </w:rPr>
      </w:r>
      <w:r/>
    </w:p>
    <w:p>
      <w:pPr>
        <w:spacing w:line="460" w:lineRule="exact"/>
        <w:rPr>
          <w:rFonts w:ascii="Times New Roman" w:hAnsi="Times New Roman"/>
          <w:sz w:val="24"/>
          <w:highlight w:val="none"/>
        </w:rPr>
      </w:pPr>
      <w:r>
        <w:rPr>
          <w:rFonts w:ascii="Times New Roman" w:hAnsi="Times New Roman"/>
          <w:sz w:val="24"/>
          <w:highlight w:val="none"/>
        </w:rPr>
      </w:r>
      <w:r/>
    </w:p>
    <w:p>
      <w:pPr>
        <w:spacing w:line="460" w:lineRule="exact"/>
        <w:rPr>
          <w:rFonts w:ascii="Times New Roman" w:hAnsi="Times New Roman"/>
          <w:sz w:val="24"/>
          <w:highlight w:val="none"/>
        </w:rPr>
      </w:pPr>
      <w:r>
        <w:rPr>
          <w:rFonts w:ascii="Times New Roman" w:hAnsi="Times New Roman"/>
          <w:sz w:val="24"/>
          <w:highlight w:val="none"/>
        </w:rPr>
      </w:r>
      <w:r/>
    </w:p>
    <w:p>
      <w:pPr>
        <w:spacing w:line="460" w:lineRule="exact"/>
        <w:rPr>
          <w:rFonts w:ascii="Times New Roman" w:hAnsi="Times New Roman"/>
          <w:sz w:val="24"/>
          <w:szCs w:val="24"/>
          <w:highlight w:val="none"/>
        </w:rPr>
      </w:pPr>
      <w:r>
        <w:rPr>
          <w:rFonts w:ascii="Times New Roman" w:hAnsi="Times New Roman"/>
          <w:sz w:val="24"/>
          <w:szCs w:val="24"/>
          <w:highlight w:val="none"/>
        </w:rPr>
      </w:r>
      <w:r/>
    </w:p>
    <w:p>
      <w:pPr>
        <w:spacing w:line="460" w:lineRule="exact"/>
        <w:rPr>
          <w:rFonts w:ascii="Times New Roman" w:hAnsi="Times New Roman"/>
          <w:sz w:val="24"/>
          <w:szCs w:val="24"/>
          <w:highlight w:val="none"/>
        </w:rPr>
      </w:pPr>
      <w:r>
        <w:rPr>
          <w:rFonts w:ascii="Times New Roman" w:hAnsi="Times New Roman"/>
          <w:sz w:val="24"/>
          <w:szCs w:val="24"/>
          <w:highlight w:val="none"/>
        </w:rPr>
      </w:r>
      <w:r/>
    </w:p>
    <w:p>
      <w:pPr>
        <w:spacing w:line="460" w:lineRule="exact"/>
        <w:rPr>
          <w:rFonts w:ascii="Times New Roman" w:hAnsi="Times New Roman"/>
          <w:sz w:val="24"/>
          <w:highlight w:val="none"/>
        </w:rPr>
      </w:pPr>
      <w:r>
        <w:rPr>
          <w:rFonts w:ascii="Times New Roman" w:hAnsi="Times New Roman"/>
          <w:sz w:val="24"/>
          <w:highlight w:val="none"/>
        </w:rPr>
      </w:r>
      <w:r/>
    </w:p>
    <w:p>
      <w:pPr>
        <w:spacing w:line="460" w:lineRule="exact"/>
        <w:rPr>
          <w:rFonts w:ascii="Times New Roman" w:hAnsi="Times New Roman"/>
          <w:sz w:val="24"/>
          <w:highlight w:val="none"/>
        </w:rPr>
      </w:pPr>
      <w:r>
        <w:rPr>
          <w:rFonts w:ascii="Times New Roman" w:hAnsi="Times New Roman"/>
          <w:sz w:val="24"/>
          <w:highlight w:val="none"/>
        </w:rPr>
      </w:r>
      <w:r/>
    </w:p>
    <w:p>
      <w:pPr>
        <w:rPr>
          <w:rFonts w:ascii="Times New Roman" w:hAnsi="Times New Roman" w:eastAsia="黑体"/>
          <w:i/>
          <w:sz w:val="32"/>
          <w:szCs w:val="32"/>
          <w:highlight w:val="none"/>
          <w:u w:val="single"/>
        </w:rPr>
      </w:pPr>
      <w:r>
        <w:rPr>
          <w:rFonts w:hint="eastAsia" w:ascii="Times New Roman" w:hAnsi="Times New Roman" w:eastAsia="黑体"/>
          <w:iCs/>
          <w:sz w:val="32"/>
          <w:szCs w:val="32"/>
          <w:highlight w:val="none"/>
        </w:rPr>
        <w:t xml:space="preserve">三、特定资格要求的证明文件</w:t>
      </w:r>
      <w:r/>
    </w:p>
    <w:p>
      <w:pPr>
        <w:pStyle w:val="823"/>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如果本项目申请人的特定资格要求中要求提供的，必须提供。</w:t>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pStyle w:val="823"/>
        <w:jc w:val="left"/>
        <w:spacing w:line="500" w:lineRule="exact"/>
        <w:rPr>
          <w:rFonts w:ascii="宋体" w:hAnsi="宋体" w:cs="宋体"/>
          <w:sz w:val="24"/>
          <w:szCs w:val="24"/>
          <w:highlight w:val="none"/>
        </w:rPr>
      </w:pPr>
      <w:r>
        <w:rPr>
          <w:rFonts w:ascii="宋体" w:hAnsi="宋体" w:cs="宋体"/>
          <w:sz w:val="24"/>
          <w:szCs w:val="24"/>
          <w:highlight w:val="none"/>
        </w:rPr>
      </w:r>
      <w:r/>
    </w:p>
    <w:p>
      <w:pPr>
        <w:rPr>
          <w:rFonts w:ascii="Times New Roman" w:hAnsi="Times New Roman" w:eastAsia="黑体"/>
          <w:iCs/>
          <w:sz w:val="32"/>
          <w:szCs w:val="32"/>
          <w:highlight w:val="none"/>
        </w:rPr>
      </w:pPr>
      <w:r>
        <w:rPr>
          <w:rFonts w:hint="eastAsia" w:ascii="Times New Roman" w:hAnsi="Times New Roman" w:eastAsia="黑体"/>
          <w:iCs/>
          <w:sz w:val="32"/>
          <w:szCs w:val="32"/>
          <w:highlight w:val="none"/>
        </w:rPr>
        <w:t xml:space="preserve">四、法定代表人身份证明或法人授权书</w:t>
      </w:r>
      <w:r/>
    </w:p>
    <w:p>
      <w:pPr>
        <w:rPr>
          <w:rFonts w:ascii="Times New Roman" w:hAnsi="Times New Roman"/>
          <w:b/>
          <w:sz w:val="24"/>
          <w:szCs w:val="24"/>
          <w:highlight w:val="none"/>
        </w:rPr>
      </w:pPr>
      <w:r>
        <w:rPr>
          <w:rFonts w:ascii="Times New Roman" w:hAnsi="Times New Roman"/>
          <w:b/>
          <w:sz w:val="24"/>
          <w:szCs w:val="24"/>
          <w:highlight w:val="none"/>
        </w:rPr>
      </w:r>
      <w:r/>
    </w:p>
    <w:p>
      <w:pPr>
        <w:pStyle w:val="823"/>
        <w:jc w:val="center"/>
        <w:spacing w:before="60" w:after="60" w:line="360" w:lineRule="auto"/>
        <w:rPr>
          <w:rFonts w:hint="eastAsia" w:ascii="Times New Roman" w:hAnsi="Times New Roman"/>
          <w:b/>
          <w:sz w:val="32"/>
          <w:szCs w:val="32"/>
          <w:highlight w:val="none"/>
        </w:rPr>
      </w:pPr>
      <w:r>
        <w:rPr>
          <w:rFonts w:hint="eastAsia" w:ascii="Times New Roman" w:hAnsi="Times New Roman"/>
          <w:b/>
          <w:sz w:val="32"/>
          <w:szCs w:val="32"/>
          <w:highlight w:val="none"/>
        </w:rPr>
      </w:r>
      <w:r/>
    </w:p>
    <w:p>
      <w:pPr>
        <w:pStyle w:val="823"/>
        <w:jc w:val="center"/>
        <w:spacing w:before="60" w:after="60" w:line="360" w:lineRule="auto"/>
        <w:rPr>
          <w:rFonts w:ascii="Times New Roman" w:hAnsi="Times New Roman"/>
          <w:b/>
          <w:sz w:val="32"/>
          <w:szCs w:val="32"/>
          <w:highlight w:val="none"/>
        </w:rPr>
      </w:pPr>
      <w:r>
        <w:rPr>
          <w:rFonts w:hint="eastAsia" w:ascii="Times New Roman" w:hAnsi="Times New Roman"/>
          <w:b/>
          <w:sz w:val="32"/>
          <w:szCs w:val="32"/>
          <w:highlight w:val="none"/>
        </w:rPr>
        <w:t xml:space="preserve">法定代表人身份证明</w:t>
      </w:r>
      <w:r/>
    </w:p>
    <w:p>
      <w:pPr>
        <w:ind w:firstLine="480"/>
        <w:spacing w:line="360" w:lineRule="auto"/>
        <w:rPr>
          <w:rFonts w:ascii="宋体" w:hAnsi="宋体"/>
          <w:sz w:val="24"/>
          <w:highlight w:val="none"/>
        </w:rPr>
      </w:pPr>
      <w:r>
        <w:rPr>
          <w:rFonts w:hint="eastAsia" w:ascii="宋体" w:hAnsi="宋体"/>
          <w:sz w:val="24"/>
          <w:highlight w:val="none"/>
        </w:rPr>
        <w:t xml:space="preserve">供应商名称：</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单位性质：</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地址：</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成立时间：</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年</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月</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日</w:t>
      </w:r>
      <w:r/>
    </w:p>
    <w:p>
      <w:pPr>
        <w:ind w:firstLine="480"/>
        <w:spacing w:line="360" w:lineRule="auto"/>
        <w:rPr>
          <w:rFonts w:ascii="宋体" w:hAnsi="宋体"/>
          <w:sz w:val="24"/>
          <w:highlight w:val="none"/>
        </w:rPr>
      </w:pPr>
      <w:r>
        <w:rPr>
          <w:rFonts w:hint="eastAsia" w:ascii="宋体" w:hAnsi="宋体"/>
          <w:sz w:val="24"/>
          <w:highlight w:val="none"/>
        </w:rPr>
        <w:t xml:space="preserve">经营期限：</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姓名：</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性别：</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年龄：</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 职务：</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系</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（供应商名称）的法定代表人。</w:t>
      </w:r>
      <w:r/>
    </w:p>
    <w:p>
      <w:pPr>
        <w:ind w:firstLine="480"/>
        <w:spacing w:line="360" w:lineRule="auto"/>
        <w:rPr>
          <w:rFonts w:ascii="宋体" w:hAnsi="宋体"/>
          <w:sz w:val="24"/>
          <w:highlight w:val="none"/>
        </w:rPr>
      </w:pPr>
      <w:r>
        <w:rPr>
          <w:rFonts w:hint="eastAsia" w:ascii="宋体" w:hAnsi="宋体"/>
          <w:sz w:val="24"/>
          <w:highlight w:val="none"/>
        </w:rPr>
        <w:t xml:space="preserve">特此证明。</w:t>
      </w:r>
      <w:r/>
    </w:p>
    <w:p>
      <w:pPr>
        <w:ind w:firstLine="240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单位名称：</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（加盖CA电子公章）</w:t>
      </w:r>
      <w:r/>
    </w:p>
    <w:p>
      <w:pPr>
        <w:ind w:firstLine="2400"/>
        <w:spacing w:line="360" w:lineRule="auto"/>
        <w:rPr>
          <w:rFonts w:ascii="宋体" w:hAnsi="宋体" w:cs="宋体"/>
          <w:sz w:val="24"/>
          <w:szCs w:val="24"/>
          <w:highlight w:val="none"/>
        </w:rPr>
      </w:pPr>
      <w:r>
        <w:rPr>
          <w:rFonts w:hint="eastAsia" w:ascii="宋体" w:hAnsi="宋体" w:cs="宋体"/>
          <w:sz w:val="24"/>
          <w:szCs w:val="24"/>
          <w:highlight w:val="none"/>
        </w:rPr>
        <w:t xml:space="preserve">日期：    年    月   日</w:t>
      </w:r>
      <w:r/>
    </w:p>
    <w:p>
      <w:pPr>
        <w:rPr>
          <w:rFonts w:ascii="宋体" w:hAnsi="宋体" w:cs="宋体"/>
          <w:sz w:val="24"/>
          <w:szCs w:val="24"/>
          <w:highlight w:val="none"/>
        </w:rPr>
      </w:pPr>
      <w:r>
        <w:rPr>
          <w:rFonts w:ascii="宋体" w:hAnsi="宋体" w:cs="宋体"/>
          <w:sz w:val="24"/>
          <w:szCs w:val="24"/>
          <w:highlight w:val="none"/>
        </w:rPr>
      </w:r>
      <w:r/>
    </w:p>
    <w:p>
      <w:pPr>
        <w:pStyle w:val="731"/>
        <w:ind w:left="0" w:firstLine="0"/>
      </w:pPr>
      <w:r/>
      <w:r/>
    </w:p>
    <w:p>
      <w:pPr>
        <w:pStyle w:val="823"/>
        <w:jc w:val="center"/>
        <w:spacing w:before="60" w:after="60" w:line="360" w:lineRule="auto"/>
        <w:rPr>
          <w:rFonts w:ascii="Times New Roman" w:hAnsi="Times New Roman"/>
          <w:b/>
          <w:sz w:val="32"/>
          <w:szCs w:val="32"/>
          <w:highlight w:val="none"/>
        </w:rPr>
      </w:pPr>
      <w:r>
        <w:rPr>
          <w:rFonts w:hint="eastAsia" w:ascii="Times New Roman" w:hAnsi="Times New Roman"/>
          <w:b/>
          <w:sz w:val="32"/>
          <w:szCs w:val="32"/>
          <w:highlight w:val="none"/>
        </w:rPr>
        <w:t xml:space="preserve">法人授权书</w:t>
      </w:r>
      <w:r/>
    </w:p>
    <w:p>
      <w:pPr>
        <w:ind w:firstLine="48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本授权书声明：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（供应商名称）授权________________（被授权人的姓名）为我方就JSZC-</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p>
    <w:p>
      <w:pPr>
        <w:spacing w:line="360" w:lineRule="auto"/>
        <w:tabs>
          <w:tab w:val="left" w:pos="360" w:leader="none"/>
        </w:tabs>
        <w:rPr>
          <w:rFonts w:ascii="宋体" w:hAnsi="宋体" w:cs="宋体"/>
          <w:sz w:val="24"/>
          <w:szCs w:val="24"/>
          <w:highlight w:val="none"/>
        </w:rPr>
      </w:pPr>
      <w:r>
        <w:rPr>
          <w:rFonts w:ascii="宋体" w:hAnsi="宋体" w:cs="宋体"/>
          <w:sz w:val="24"/>
          <w:szCs w:val="24"/>
          <w:highlight w:val="none"/>
        </w:rPr>
      </w:r>
      <w:r/>
    </w:p>
    <w:p>
      <w:pPr>
        <w:spacing w:line="36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被授权人身份证号码：</w:t>
      </w:r>
      <w:r>
        <w:rPr>
          <w:rFonts w:hint="eastAsia" w:ascii="宋体" w:hAnsi="宋体" w:cs="宋体"/>
          <w:sz w:val="24"/>
          <w:szCs w:val="24"/>
          <w:highlight w:val="none"/>
          <w:u w:val="single"/>
        </w:rPr>
        <w:t xml:space="preserve">                              </w:t>
      </w:r>
      <w:r/>
    </w:p>
    <w:p>
      <w:pPr>
        <w:spacing w:line="36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被授权人联系电话：（手机）</w:t>
      </w:r>
      <w:r>
        <w:rPr>
          <w:rFonts w:hint="eastAsia" w:ascii="宋体" w:hAnsi="宋体" w:cs="宋体"/>
          <w:sz w:val="24"/>
          <w:szCs w:val="24"/>
          <w:highlight w:val="none"/>
          <w:u w:val="single"/>
        </w:rPr>
        <w:t xml:space="preserve">                          </w:t>
      </w:r>
      <w:r/>
    </w:p>
    <w:p>
      <w:pPr>
        <w:spacing w:line="360" w:lineRule="auto"/>
        <w:tabs>
          <w:tab w:val="left" w:pos="360" w:leader="none"/>
        </w:tabs>
        <w:rPr>
          <w:rFonts w:ascii="宋体" w:hAnsi="宋体" w:cs="宋体"/>
          <w:sz w:val="24"/>
          <w:szCs w:val="24"/>
          <w:highlight w:val="none"/>
        </w:rPr>
      </w:pPr>
      <w:r>
        <w:rPr>
          <w:rFonts w:hint="eastAsia" w:ascii="宋体" w:hAnsi="宋体" w:cs="宋体"/>
          <w:sz w:val="24"/>
          <w:szCs w:val="24"/>
          <w:highlight w:val="none"/>
        </w:rPr>
        <w:t xml:space="preserve">                   授权单位名称：</w:t>
      </w:r>
      <w:r>
        <w:rPr>
          <w:rFonts w:hint="eastAsia" w:ascii="宋体" w:hAnsi="宋体" w:cs="宋体"/>
          <w:sz w:val="24"/>
          <w:szCs w:val="24"/>
          <w:highlight w:val="none"/>
          <w:u w:val="single"/>
        </w:rPr>
        <w:t xml:space="preserve">                  （加盖CA电子公章）</w:t>
      </w:r>
      <w:r/>
    </w:p>
    <w:p>
      <w:pPr>
        <w:spacing w:line="36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单位地址：</w:t>
      </w:r>
      <w:r>
        <w:rPr>
          <w:rFonts w:hint="eastAsia" w:ascii="宋体" w:hAnsi="宋体" w:cs="宋体"/>
          <w:sz w:val="24"/>
          <w:szCs w:val="24"/>
          <w:highlight w:val="none"/>
          <w:u w:val="single"/>
        </w:rPr>
        <w:t xml:space="preserve">                                         </w:t>
      </w:r>
      <w:r/>
    </w:p>
    <w:p>
      <w:pPr>
        <w:spacing w:line="360" w:lineRule="auto"/>
        <w:tabs>
          <w:tab w:val="left" w:pos="360" w:leader="none"/>
        </w:tabs>
        <w:rPr>
          <w:rFonts w:ascii="宋体" w:hAnsi="宋体" w:cs="宋体"/>
          <w:sz w:val="24"/>
          <w:szCs w:val="24"/>
          <w:highlight w:val="none"/>
          <w:u w:val="single"/>
        </w:rPr>
      </w:pPr>
      <w:r>
        <w:rPr>
          <w:rFonts w:hint="eastAsia" w:ascii="宋体" w:hAnsi="宋体" w:cs="宋体"/>
          <w:sz w:val="24"/>
          <w:szCs w:val="24"/>
          <w:highlight w:val="none"/>
        </w:rPr>
        <w:t xml:space="preserve">                   日期：</w:t>
      </w:r>
      <w:bookmarkStart w:id="779" w:name="_格式3__银行出具的资信证明"/>
      <w:r/>
      <w:bookmarkEnd w:id="779"/>
      <w:r/>
      <w:bookmarkStart w:id="780" w:name="_Hlt26671380"/>
      <w:r/>
      <w:bookmarkEnd w:id="780"/>
      <w:r/>
      <w:bookmarkStart w:id="781" w:name="_Hlt26955070"/>
      <w:r/>
      <w:bookmarkEnd w:id="781"/>
      <w:r>
        <w:rPr>
          <w:rFonts w:hint="eastAsia" w:ascii="宋体" w:hAnsi="宋体" w:cs="宋体"/>
          <w:sz w:val="24"/>
          <w:szCs w:val="24"/>
          <w:highlight w:val="none"/>
          <w:u w:val="single"/>
        </w:rPr>
        <w:t xml:space="preserve">                                             </w:t>
      </w:r>
      <w:r/>
    </w:p>
    <w:p>
      <w:pPr>
        <w:spacing w:line="360" w:lineRule="auto"/>
        <w:tabs>
          <w:tab w:val="left" w:pos="360" w:leader="none"/>
        </w:tabs>
        <w:rPr>
          <w:rFonts w:ascii="宋体" w:hAnsi="宋体" w:cs="宋体"/>
          <w:sz w:val="24"/>
          <w:szCs w:val="24"/>
          <w:highlight w:val="none"/>
        </w:rPr>
      </w:pPr>
      <w:r>
        <w:rPr>
          <w:rFonts w:ascii="宋体" w:hAnsi="宋体" w:cs="宋体"/>
          <w:sz w:val="24"/>
          <w:szCs w:val="24"/>
          <w:highlight w:val="none"/>
        </w:rPr>
      </w:r>
      <w:r/>
    </w:p>
    <w:p>
      <w:pPr>
        <w:spacing w:line="360" w:lineRule="auto"/>
        <w:tabs>
          <w:tab w:val="left" w:pos="360" w:leader="none"/>
        </w:tabs>
        <w:rPr>
          <w:rFonts w:ascii="宋体" w:hAnsi="宋体" w:cs="宋体"/>
          <w:sz w:val="24"/>
          <w:szCs w:val="24"/>
          <w:highlight w:val="none"/>
        </w:rPr>
      </w:pPr>
      <w:r>
        <w:rPr>
          <w:rFonts w:ascii="宋体" w:hAnsi="宋体" w:cs="宋体"/>
          <w:sz w:val="24"/>
          <w:szCs w:val="24"/>
          <w:highlight w:val="none"/>
        </w:rPr>
      </w:r>
      <w:r/>
    </w:p>
    <w:p>
      <w:pPr>
        <w:rPr>
          <w:rFonts w:ascii="Times New Roman" w:hAnsi="Times New Roman" w:eastAsia="黑体"/>
          <w:iCs/>
          <w:sz w:val="32"/>
          <w:szCs w:val="32"/>
          <w:highlight w:val="none"/>
        </w:rPr>
      </w:pPr>
      <w:r>
        <w:rPr>
          <w:rFonts w:hint="eastAsia" w:ascii="Times New Roman" w:hAnsi="Times New Roman" w:eastAsia="黑体"/>
          <w:iCs/>
          <w:sz w:val="32"/>
          <w:szCs w:val="32"/>
          <w:highlight w:val="none"/>
        </w:rPr>
        <w:t xml:space="preserve">五、中小企业或残疾人福利性单位声明函</w:t>
      </w:r>
      <w:r/>
    </w:p>
    <w:p>
      <w:pPr>
        <w:jc w:val="center"/>
        <w:spacing w:before="120" w:after="120"/>
        <w:rPr>
          <w:rFonts w:hint="eastAsia" w:ascii="Times New Roman" w:hAnsi="Times New Roman"/>
          <w:b/>
          <w:sz w:val="32"/>
          <w:szCs w:val="32"/>
          <w:highlight w:val="none"/>
        </w:rPr>
      </w:pPr>
      <w:r>
        <w:rPr>
          <w:rFonts w:hint="eastAsia" w:ascii="Times New Roman" w:hAnsi="Times New Roman"/>
          <w:b/>
          <w:sz w:val="32"/>
          <w:szCs w:val="32"/>
          <w:highlight w:val="none"/>
        </w:rPr>
      </w:r>
      <w:r/>
    </w:p>
    <w:p>
      <w:pPr>
        <w:jc w:val="center"/>
        <w:spacing w:before="120" w:after="120"/>
        <w:rPr>
          <w:rFonts w:ascii="Times New Roman" w:hAnsi="Times New Roman"/>
          <w:b/>
          <w:sz w:val="32"/>
          <w:szCs w:val="32"/>
          <w:highlight w:val="none"/>
        </w:rPr>
      </w:pPr>
      <w:r>
        <w:rPr>
          <w:rFonts w:hint="eastAsia" w:ascii="Times New Roman" w:hAnsi="Times New Roman"/>
          <w:b/>
          <w:sz w:val="32"/>
          <w:szCs w:val="32"/>
          <w:highlight w:val="none"/>
        </w:rPr>
        <w:t xml:space="preserve">中小（微）企业声明函</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sz w:val="24"/>
          <w:szCs w:val="24"/>
          <w:highlight w:val="none"/>
          <w:u w:val="single"/>
        </w:rPr>
        <w:t xml:space="preserve">  （单位名称）</w:t>
      </w:r>
      <w:r>
        <w:rPr>
          <w:rFonts w:hint="eastAsia" w:ascii="Times New Roman" w:hAnsi="Times New Roman"/>
          <w:sz w:val="24"/>
          <w:szCs w:val="24"/>
          <w:highlight w:val="none"/>
        </w:rPr>
        <w:t xml:space="preserve">采购编号为</w:t>
      </w:r>
      <w:r>
        <w:rPr>
          <w:rFonts w:hint="eastAsia" w:ascii="Times New Roman" w:hAnsi="Times New Roman"/>
          <w:sz w:val="24"/>
          <w:szCs w:val="24"/>
          <w:highlight w:val="none"/>
          <w:u w:val="single"/>
        </w:rPr>
        <w:t xml:space="preserve"> *** </w:t>
      </w:r>
      <w:r>
        <w:rPr>
          <w:rFonts w:hint="eastAsia" w:ascii="Times New Roman" w:hAnsi="Times New Roman"/>
          <w:sz w:val="24"/>
          <w:szCs w:val="24"/>
          <w:highlight w:val="none"/>
        </w:rPr>
        <w:t xml:space="preserve">，</w:t>
      </w:r>
      <w:r>
        <w:rPr>
          <w:rFonts w:hint="eastAsia" w:ascii="Times New Roman" w:hAnsi="Times New Roman"/>
          <w:sz w:val="24"/>
          <w:szCs w:val="24"/>
          <w:highlight w:val="none"/>
          <w:u w:val="single"/>
        </w:rPr>
        <w:t xml:space="preserve">（项目名称）</w:t>
      </w:r>
      <w:r>
        <w:rPr>
          <w:rFonts w:hint="eastAsia" w:ascii="Times New Roman" w:hAnsi="Times New Roman"/>
          <w:sz w:val="24"/>
          <w:szCs w:val="24"/>
          <w:highlight w:val="none"/>
        </w:rPr>
        <w:t xml:space="preserve">的采购活动，工程的施工单位全部为符合政策要求的中小企业（或者：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440" w:lineRule="exact"/>
        <w:rPr>
          <w:rFonts w:ascii="Times New Roman" w:hAnsi="Times New Roman"/>
          <w:i/>
          <w:sz w:val="24"/>
          <w:szCs w:val="24"/>
          <w:highlight w:val="none"/>
          <w:u w:val="single"/>
        </w:rPr>
      </w:pPr>
      <w:r>
        <w:rPr>
          <w:rFonts w:hint="eastAsia" w:ascii="Times New Roman" w:hAnsi="Times New Roman"/>
          <w:sz w:val="24"/>
          <w:szCs w:val="24"/>
          <w:highlight w:val="none"/>
        </w:rPr>
        <w:t xml:space="preserve">1.</w:t>
      </w:r>
      <w:r>
        <w:rPr>
          <w:rFonts w:hint="eastAsia" w:ascii="Times New Roman" w:hAnsi="Times New Roman"/>
          <w:sz w:val="24"/>
          <w:szCs w:val="24"/>
          <w:highlight w:val="none"/>
          <w:u w:val="single"/>
        </w:rPr>
        <w:t xml:space="preserve">（标的名称）</w:t>
      </w:r>
      <w:r>
        <w:rPr>
          <w:rFonts w:hint="eastAsia" w:ascii="Times New Roman" w:hAnsi="Times New Roman"/>
          <w:iCs/>
          <w:sz w:val="24"/>
          <w:szCs w:val="24"/>
          <w:highlight w:val="none"/>
        </w:rPr>
        <w:t xml:space="preserve">，</w:t>
      </w:r>
      <w:r>
        <w:rPr>
          <w:rFonts w:hint="eastAsia" w:ascii="Times New Roman" w:hAnsi="Times New Roman"/>
          <w:sz w:val="24"/>
          <w:szCs w:val="24"/>
          <w:highlight w:val="none"/>
        </w:rPr>
        <w:t xml:space="preserve">属于</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行业；承接企业为</w:t>
      </w:r>
      <w:r>
        <w:rPr>
          <w:rFonts w:hint="eastAsia" w:ascii="Times New Roman" w:hAnsi="Times New Roman"/>
          <w:sz w:val="24"/>
          <w:szCs w:val="24"/>
          <w:highlight w:val="none"/>
          <w:u w:val="single"/>
        </w:rPr>
        <w:t xml:space="preserve">（企业名称）</w:t>
      </w:r>
      <w:r>
        <w:rPr>
          <w:rFonts w:hint="eastAsia" w:ascii="Times New Roman" w:hAnsi="Times New Roman"/>
          <w:sz w:val="24"/>
          <w:szCs w:val="24"/>
          <w:highlight w:val="none"/>
        </w:rPr>
        <w:t xml:space="preserve">，从业人员</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人，营业收入为</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万元，资产总额为</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万元</w:t>
      </w:r>
      <w:r>
        <w:rPr>
          <w:rFonts w:hint="eastAsia" w:ascii="Times New Roman" w:hAnsi="Times New Roman"/>
          <w:sz w:val="24"/>
          <w:szCs w:val="24"/>
          <w:highlight w:val="none"/>
          <w:vertAlign w:val="superscript"/>
        </w:rPr>
        <w:t xml:space="preserve">1</w:t>
      </w:r>
      <w:r>
        <w:rPr>
          <w:rFonts w:hint="eastAsia" w:ascii="Times New Roman" w:hAnsi="Times New Roman"/>
          <w:sz w:val="24"/>
          <w:szCs w:val="24"/>
          <w:highlight w:val="none"/>
        </w:rPr>
        <w:t xml:space="preserve">，属于</w:t>
      </w:r>
      <w:r>
        <w:rPr>
          <w:rFonts w:hint="eastAsia" w:ascii="Times New Roman" w:hAnsi="Times New Roman"/>
          <w:sz w:val="24"/>
          <w:szCs w:val="24"/>
          <w:highlight w:val="none"/>
          <w:u w:val="single"/>
        </w:rPr>
        <w:t xml:space="preserve">     （中型企业、小型企业、微型企业）；</w:t>
      </w:r>
      <w:r/>
    </w:p>
    <w:p>
      <w:pPr>
        <w:ind w:firstLine="480"/>
        <w:spacing w:line="440" w:lineRule="exact"/>
        <w:rPr>
          <w:rFonts w:ascii="Times New Roman" w:hAnsi="Times New Roman"/>
          <w:i/>
          <w:sz w:val="24"/>
          <w:szCs w:val="24"/>
          <w:highlight w:val="none"/>
          <w:u w:val="single"/>
        </w:rPr>
      </w:pPr>
      <w:r>
        <w:rPr>
          <w:rFonts w:hint="eastAsia" w:ascii="Times New Roman" w:hAnsi="Times New Roman"/>
          <w:sz w:val="24"/>
          <w:szCs w:val="24"/>
          <w:highlight w:val="none"/>
        </w:rPr>
        <w:t xml:space="preserve">2.</w:t>
      </w:r>
      <w:r>
        <w:rPr>
          <w:rFonts w:hint="eastAsia" w:ascii="Times New Roman" w:hAnsi="Times New Roman"/>
          <w:sz w:val="24"/>
          <w:szCs w:val="24"/>
          <w:highlight w:val="none"/>
          <w:u w:val="single"/>
        </w:rPr>
        <w:t xml:space="preserve">（标的名称）</w:t>
      </w:r>
      <w:r>
        <w:rPr>
          <w:rFonts w:hint="eastAsia" w:ascii="Times New Roman" w:hAnsi="Times New Roman"/>
          <w:iCs/>
          <w:sz w:val="24"/>
          <w:szCs w:val="24"/>
          <w:highlight w:val="none"/>
        </w:rPr>
        <w:t xml:space="preserve">，</w:t>
      </w:r>
      <w:r>
        <w:rPr>
          <w:rFonts w:hint="eastAsia" w:ascii="Times New Roman" w:hAnsi="Times New Roman"/>
          <w:sz w:val="24"/>
          <w:szCs w:val="24"/>
          <w:highlight w:val="none"/>
        </w:rPr>
        <w:t xml:space="preserve">属于</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行业；承接企业为</w:t>
      </w:r>
      <w:r>
        <w:rPr>
          <w:rFonts w:hint="eastAsia" w:ascii="Times New Roman" w:hAnsi="Times New Roman"/>
          <w:sz w:val="24"/>
          <w:szCs w:val="24"/>
          <w:highlight w:val="none"/>
          <w:u w:val="single"/>
        </w:rPr>
        <w:t xml:space="preserve">（企业名称）</w:t>
      </w:r>
      <w:r>
        <w:rPr>
          <w:rFonts w:hint="eastAsia" w:ascii="Times New Roman" w:hAnsi="Times New Roman"/>
          <w:sz w:val="24"/>
          <w:szCs w:val="24"/>
          <w:highlight w:val="none"/>
        </w:rPr>
        <w:t xml:space="preserve">，从业人员</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人，营业收入为</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万元，资产总额为</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万元</w:t>
      </w:r>
      <w:r>
        <w:rPr>
          <w:rFonts w:hint="eastAsia" w:ascii="Times New Roman" w:hAnsi="Times New Roman"/>
          <w:sz w:val="24"/>
          <w:szCs w:val="24"/>
          <w:highlight w:val="none"/>
          <w:vertAlign w:val="superscript"/>
        </w:rPr>
        <w:t xml:space="preserve">1</w:t>
      </w:r>
      <w:r>
        <w:rPr>
          <w:rFonts w:hint="eastAsia" w:ascii="Times New Roman" w:hAnsi="Times New Roman"/>
          <w:sz w:val="24"/>
          <w:szCs w:val="24"/>
          <w:highlight w:val="none"/>
        </w:rPr>
        <w:t xml:space="preserve">，属于</w:t>
      </w:r>
      <w:r>
        <w:rPr>
          <w:rFonts w:hint="eastAsia" w:ascii="Times New Roman" w:hAnsi="Times New Roman"/>
          <w:sz w:val="24"/>
          <w:szCs w:val="24"/>
          <w:highlight w:val="none"/>
          <w:u w:val="single"/>
        </w:rPr>
        <w:t xml:space="preserve">     （中型企业、小型企业、微型企业）；</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以上企业，不属于大企业的分支机构，不存在控股股东为大企业的情形，也不存在与大企业的负责人为同一人的情形。</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本企业对上述声明内容的真实性负责。如有虚假，将依法承担相应责任。</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r>
      <w:r/>
    </w:p>
    <w:p>
      <w:pPr>
        <w:ind w:firstLine="480"/>
        <w:spacing w:line="440" w:lineRule="exact"/>
        <w:rPr>
          <w:rFonts w:ascii="Times New Roman" w:hAnsi="Times New Roman"/>
          <w:sz w:val="24"/>
          <w:szCs w:val="24"/>
          <w:highlight w:val="none"/>
          <w:u w:val="single"/>
        </w:rPr>
      </w:pPr>
      <w:r>
        <w:rPr>
          <w:rFonts w:hint="eastAsia" w:ascii="Times New Roman" w:hAnsi="Times New Roman"/>
          <w:sz w:val="24"/>
          <w:szCs w:val="24"/>
          <w:highlight w:val="none"/>
        </w:rPr>
        <w:t xml:space="preserve">企业名称（加盖CA电子公章）：</w:t>
      </w:r>
      <w:r>
        <w:rPr>
          <w:rFonts w:hint="eastAsia" w:ascii="Times New Roman" w:hAnsi="Times New Roman"/>
          <w:sz w:val="24"/>
          <w:szCs w:val="24"/>
          <w:highlight w:val="none"/>
          <w:u w:val="single"/>
        </w:rPr>
        <w:t xml:space="preserve">                </w:t>
      </w:r>
      <w:r/>
    </w:p>
    <w:p>
      <w:pPr>
        <w:ind w:firstLine="480"/>
        <w:spacing w:line="440" w:lineRule="exact"/>
        <w:rPr>
          <w:rFonts w:ascii="Times New Roman" w:hAnsi="Times New Roman"/>
          <w:sz w:val="24"/>
          <w:szCs w:val="24"/>
          <w:highlight w:val="none"/>
          <w:u w:val="single"/>
        </w:rPr>
      </w:pPr>
      <w:r>
        <w:rPr>
          <w:rFonts w:hint="eastAsia" w:ascii="Times New Roman" w:hAnsi="Times New Roman"/>
          <w:sz w:val="24"/>
          <w:szCs w:val="24"/>
          <w:highlight w:val="none"/>
        </w:rPr>
        <w:t xml:space="preserve">日  期：</w:t>
      </w:r>
      <w:r>
        <w:rPr>
          <w:rFonts w:hint="eastAsia" w:ascii="Times New Roman" w:hAnsi="Times New Roman"/>
          <w:sz w:val="24"/>
          <w:szCs w:val="24"/>
          <w:highlight w:val="none"/>
          <w:u w:val="single"/>
        </w:rPr>
        <w:t xml:space="preserve">                 </w:t>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备注1：从业人员、营业收入、资产总额填报上一年度数据，无上一年度数据的新成立企业可不填报。</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备注2：供应商如不提供此声明函，价格将不做相应扣除。</w:t>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spacing w:line="440" w:lineRule="exact"/>
        <w:rPr>
          <w:rFonts w:ascii="Times New Roman" w:hAnsi="Times New Roman"/>
          <w:sz w:val="24"/>
          <w:szCs w:val="24"/>
          <w:highlight w:val="none"/>
        </w:rPr>
      </w:pPr>
      <w:r>
        <w:rPr>
          <w:rFonts w:ascii="Times New Roman" w:hAnsi="Times New Roman"/>
          <w:sz w:val="24"/>
          <w:szCs w:val="24"/>
          <w:highlight w:val="none"/>
        </w:rPr>
      </w:r>
      <w:r/>
    </w:p>
    <w:p>
      <w:pPr>
        <w:jc w:val="center"/>
        <w:rPr>
          <w:rFonts w:ascii="Times New Roman" w:hAnsi="Times New Roman"/>
          <w:b/>
          <w:sz w:val="32"/>
          <w:szCs w:val="32"/>
          <w:highlight w:val="none"/>
        </w:rPr>
      </w:pPr>
      <w:r>
        <w:rPr>
          <w:rFonts w:hint="eastAsia" w:ascii="Times New Roman" w:hAnsi="Times New Roman"/>
          <w:b/>
          <w:sz w:val="32"/>
          <w:szCs w:val="32"/>
          <w:highlight w:val="none"/>
        </w:rPr>
        <w:t xml:space="preserve">残疾人福利性单位声明函</w:t>
      </w:r>
      <w:r/>
    </w:p>
    <w:p>
      <w:pPr>
        <w:ind w:firstLine="480"/>
        <w:spacing w:line="588" w:lineRule="exact"/>
        <w:rPr>
          <w:rFonts w:ascii="Times New Roman" w:hAnsi="Times New Roman"/>
          <w:sz w:val="24"/>
          <w:szCs w:val="21"/>
          <w:highlight w:val="none"/>
        </w:rPr>
      </w:pPr>
      <w:r>
        <w:rPr>
          <w:rFonts w:hint="eastAsia" w:ascii="Times New Roman" w:hAnsi="Times New Roman"/>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imes New Roman" w:hAnsi="Times New Roman"/>
          <w:sz w:val="24"/>
          <w:szCs w:val="21"/>
          <w:highlight w:val="none"/>
          <w:u w:val="single"/>
        </w:rPr>
        <w:t xml:space="preserve">       </w:t>
      </w:r>
      <w:r>
        <w:rPr>
          <w:rFonts w:hint="eastAsia" w:ascii="Times New Roman" w:hAnsi="Times New Roman"/>
          <w:sz w:val="24"/>
          <w:szCs w:val="21"/>
          <w:highlight w:val="none"/>
        </w:rPr>
        <w:t xml:space="preserve">项目采购活动提供本单位制造的货物</w:t>
      </w:r>
      <w:r>
        <w:rPr>
          <w:rFonts w:hint="eastAsia"/>
          <w:sz w:val="24"/>
          <w:szCs w:val="21"/>
          <w:highlight w:val="none"/>
        </w:rPr>
        <w:t xml:space="preserve">（由本单位承担工程/提供服务），或者提供其他残疾人福利性单位制造的货物（不包括使用非残疾人福利性单位注册商标的货物）</w:t>
      </w:r>
      <w:r>
        <w:rPr>
          <w:rFonts w:hint="eastAsia" w:ascii="Times New Roman" w:hAnsi="Times New Roman"/>
          <w:sz w:val="24"/>
          <w:szCs w:val="21"/>
          <w:highlight w:val="none"/>
        </w:rPr>
        <w:t xml:space="preserve">。</w:t>
      </w:r>
      <w:r/>
    </w:p>
    <w:p>
      <w:pPr>
        <w:ind w:firstLine="480"/>
        <w:spacing w:line="588" w:lineRule="exact"/>
        <w:rPr>
          <w:rFonts w:ascii="Times New Roman" w:hAnsi="Times New Roman"/>
          <w:sz w:val="24"/>
          <w:szCs w:val="21"/>
          <w:highlight w:val="none"/>
        </w:rPr>
      </w:pPr>
      <w:r>
        <w:rPr>
          <w:rFonts w:hint="eastAsia" w:ascii="Times New Roman" w:hAnsi="Times New Roman"/>
          <w:sz w:val="24"/>
          <w:szCs w:val="21"/>
          <w:highlight w:val="none"/>
        </w:rPr>
        <w:t xml:space="preserve">本单位对上述声明的真实性负责。如有虚假，将依法承担相应责任。</w:t>
      </w:r>
      <w:r/>
    </w:p>
    <w:p>
      <w:pPr>
        <w:ind w:firstLine="480"/>
        <w:spacing w:line="588"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588" w:lineRule="exact"/>
        <w:rPr>
          <w:rFonts w:ascii="Times New Roman" w:hAnsi="Times New Roman"/>
          <w:sz w:val="24"/>
          <w:szCs w:val="21"/>
          <w:highlight w:val="none"/>
        </w:rPr>
      </w:pPr>
      <w:r>
        <w:rPr>
          <w:rFonts w:hint="eastAsia" w:ascii="Times New Roman" w:hAnsi="Times New Roman"/>
          <w:sz w:val="24"/>
          <w:szCs w:val="21"/>
          <w:highlight w:val="none"/>
        </w:rPr>
        <w:t xml:space="preserve">（备注：1、供应商如不提供此声明函，价格将不做相应扣除。2、成交供应商为残疾人福利单位的，此声明函将随成交结果同时公告，接受社会监督）</w:t>
      </w:r>
      <w:r/>
    </w:p>
    <w:p>
      <w:pPr>
        <w:ind w:firstLine="480"/>
        <w:spacing w:line="588" w:lineRule="exact"/>
        <w:rPr>
          <w:rFonts w:ascii="Times New Roman" w:hAnsi="Times New Roman"/>
          <w:sz w:val="24"/>
          <w:szCs w:val="21"/>
          <w:highlight w:val="none"/>
        </w:rPr>
      </w:pPr>
      <w:r>
        <w:rPr>
          <w:rFonts w:ascii="Times New Roman" w:hAnsi="Times New Roman"/>
          <w:sz w:val="24"/>
          <w:szCs w:val="21"/>
          <w:highlight w:val="none"/>
        </w:rPr>
      </w:r>
      <w:r/>
    </w:p>
    <w:p>
      <w:pPr>
        <w:ind w:firstLine="480"/>
        <w:spacing w:line="588" w:lineRule="exact"/>
        <w:rPr>
          <w:rFonts w:ascii="Times New Roman" w:hAnsi="Times New Roman"/>
          <w:sz w:val="24"/>
          <w:szCs w:val="21"/>
          <w:highlight w:val="none"/>
          <w:u w:val="single"/>
        </w:rPr>
      </w:pPr>
      <w:r>
        <w:rPr>
          <w:rFonts w:hint="eastAsia" w:ascii="Times New Roman" w:hAnsi="Times New Roman"/>
          <w:sz w:val="24"/>
          <w:szCs w:val="21"/>
          <w:highlight w:val="none"/>
        </w:rPr>
        <w:t xml:space="preserve">供应商全称（加盖CA电子公章）：</w:t>
      </w:r>
      <w:r>
        <w:rPr>
          <w:rFonts w:hint="eastAsia" w:ascii="Times New Roman" w:hAnsi="Times New Roman"/>
          <w:sz w:val="24"/>
          <w:szCs w:val="21"/>
          <w:highlight w:val="none"/>
          <w:u w:val="single"/>
        </w:rPr>
        <w:t xml:space="preserve">                </w:t>
      </w:r>
      <w:r/>
    </w:p>
    <w:p>
      <w:pPr>
        <w:ind w:firstLine="480"/>
        <w:spacing w:line="588" w:lineRule="exact"/>
        <w:rPr>
          <w:rFonts w:ascii="Times New Roman" w:hAnsi="Times New Roman"/>
          <w:sz w:val="24"/>
          <w:szCs w:val="21"/>
          <w:highlight w:val="none"/>
          <w:u w:val="single"/>
        </w:rPr>
      </w:pPr>
      <w:r>
        <w:rPr>
          <w:rFonts w:hint="eastAsia" w:ascii="Times New Roman" w:hAnsi="Times New Roman"/>
          <w:sz w:val="24"/>
          <w:szCs w:val="21"/>
          <w:highlight w:val="none"/>
        </w:rPr>
        <w:t xml:space="preserve">日  期：</w:t>
      </w:r>
      <w:r>
        <w:rPr>
          <w:rFonts w:hint="eastAsia" w:ascii="Times New Roman" w:hAnsi="Times New Roman"/>
          <w:sz w:val="24"/>
          <w:szCs w:val="21"/>
          <w:highlight w:val="none"/>
          <w:u w:val="single"/>
        </w:rPr>
        <w:t xml:space="preserve">                     </w:t>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rPr>
          <w:rFonts w:ascii="Times New Roman" w:hAnsi="Times New Roman" w:eastAsia="黑体"/>
          <w:iCs/>
          <w:sz w:val="32"/>
          <w:szCs w:val="32"/>
          <w:highlight w:val="none"/>
        </w:rPr>
      </w:pPr>
      <w:r>
        <w:rPr>
          <w:rFonts w:hint="eastAsia" w:ascii="Times New Roman" w:hAnsi="Times New Roman" w:eastAsia="黑体"/>
          <w:iCs/>
          <w:sz w:val="32"/>
          <w:szCs w:val="32"/>
          <w:highlight w:val="none"/>
        </w:rPr>
        <w:t xml:space="preserve">六、报价一览表</w:t>
      </w:r>
      <w:r/>
    </w:p>
    <w:p>
      <w:pPr>
        <w:pStyle w:val="823"/>
        <w:jc w:val="center"/>
        <w:spacing w:before="60" w:after="60"/>
        <w:rPr>
          <w:rFonts w:ascii="Times New Roman" w:hAnsi="Times New Roman"/>
          <w:b/>
          <w:sz w:val="32"/>
          <w:szCs w:val="32"/>
          <w:highlight w:val="none"/>
        </w:rPr>
      </w:pPr>
      <w:r>
        <w:rPr>
          <w:rFonts w:ascii="Times New Roman" w:hAnsi="Times New Roman"/>
          <w:b/>
          <w:sz w:val="32"/>
          <w:szCs w:val="32"/>
          <w:highlight w:val="none"/>
        </w:rPr>
      </w:r>
      <w:r/>
    </w:p>
    <w:p>
      <w:pPr>
        <w:pStyle w:val="823"/>
        <w:jc w:val="center"/>
        <w:spacing w:before="60" w:after="60"/>
        <w:rPr>
          <w:rFonts w:ascii="Times New Roman" w:hAnsi="Times New Roman"/>
          <w:b/>
          <w:sz w:val="32"/>
          <w:szCs w:val="32"/>
          <w:highlight w:val="none"/>
        </w:rPr>
      </w:pPr>
      <w:r>
        <w:rPr>
          <w:rFonts w:ascii="Times New Roman" w:hAnsi="Times New Roman"/>
          <w:b/>
          <w:sz w:val="32"/>
          <w:szCs w:val="32"/>
          <w:highlight w:val="none"/>
        </w:rPr>
        <w:t xml:space="preserve">磋商报价表</w:t>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t xml:space="preserve">本次为首次报价</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货币单位：人民币元</w:t>
      </w:r>
      <w:r/>
    </w:p>
    <w:p>
      <w:pPr>
        <w:spacing w:line="360" w:lineRule="auto"/>
        <w:rPr>
          <w:rFonts w:ascii="宋体" w:hAnsi="宋体"/>
          <w:sz w:val="24"/>
          <w:szCs w:val="24"/>
          <w:highlight w:val="none"/>
        </w:rPr>
      </w:pPr>
      <w:r>
        <w:rPr>
          <w:rFonts w:ascii="宋体" w:hAnsi="宋体"/>
          <w:sz w:val="24"/>
          <w:szCs w:val="24"/>
          <w:highlight w:val="none"/>
        </w:rPr>
        <w:t xml:space="preserve">项目编号：</w:t>
      </w:r>
      <w:r/>
    </w:p>
    <w:tbl>
      <w:tblPr>
        <w:tblStyle w:val="13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2738"/>
        <w:gridCol w:w="3499"/>
      </w:tblGrid>
      <w:tr>
        <w:trPr>
          <w:trHeight w:val="851"/>
        </w:trPr>
        <w:tc>
          <w:tcPr>
            <w:tcW w:w="2943" w:type="dxa"/>
            <w:vAlign w:val="center"/>
            <w:textDirection w:val="lrTb"/>
            <w:noWrap w:val="false"/>
          </w:tcPr>
          <w:p>
            <w:pPr>
              <w:rPr>
                <w:sz w:val="24"/>
                <w:szCs w:val="24"/>
                <w:highlight w:val="none"/>
              </w:rPr>
            </w:pPr>
            <w:r>
              <w:rPr>
                <w:sz w:val="24"/>
                <w:szCs w:val="24"/>
                <w:highlight w:val="none"/>
              </w:rPr>
              <w:t xml:space="preserve">项目名称</w:t>
            </w:r>
            <w:r/>
          </w:p>
        </w:tc>
        <w:tc>
          <w:tcPr>
            <w:tcW w:w="2738" w:type="dxa"/>
            <w:vAlign w:val="center"/>
            <w:textDirection w:val="lrTb"/>
            <w:noWrap w:val="false"/>
          </w:tcPr>
          <w:p>
            <w:pPr>
              <w:rPr>
                <w:sz w:val="24"/>
                <w:szCs w:val="24"/>
                <w:highlight w:val="none"/>
              </w:rPr>
            </w:pPr>
            <w:r>
              <w:rPr>
                <w:sz w:val="24"/>
                <w:szCs w:val="24"/>
                <w:highlight w:val="none"/>
              </w:rPr>
              <w:t xml:space="preserve">项目内容</w:t>
            </w:r>
            <w:r/>
          </w:p>
        </w:tc>
        <w:tc>
          <w:tcPr>
            <w:tcW w:w="3499" w:type="dxa"/>
            <w:vAlign w:val="center"/>
            <w:textDirection w:val="lrTb"/>
            <w:noWrap w:val="false"/>
          </w:tcPr>
          <w:p>
            <w:pPr>
              <w:rPr>
                <w:sz w:val="24"/>
                <w:szCs w:val="24"/>
                <w:highlight w:val="none"/>
              </w:rPr>
            </w:pPr>
            <w:r>
              <w:rPr>
                <w:sz w:val="24"/>
                <w:szCs w:val="24"/>
                <w:highlight w:val="none"/>
              </w:rPr>
              <w:t xml:space="preserve">总价</w:t>
            </w:r>
            <w:r>
              <w:rPr>
                <w:rFonts w:hint="eastAsia"/>
                <w:sz w:val="24"/>
                <w:szCs w:val="24"/>
                <w:highlight w:val="none"/>
              </w:rPr>
              <w:t xml:space="preserve">（</w:t>
            </w:r>
            <w:r>
              <w:rPr>
                <w:sz w:val="24"/>
                <w:szCs w:val="24"/>
                <w:highlight w:val="none"/>
              </w:rPr>
              <w:t xml:space="preserve">小写</w:t>
            </w:r>
            <w:r>
              <w:rPr>
                <w:rFonts w:hint="eastAsia"/>
                <w:sz w:val="24"/>
                <w:szCs w:val="24"/>
                <w:highlight w:val="none"/>
              </w:rPr>
              <w:t xml:space="preserve">）</w:t>
            </w:r>
            <w:r/>
          </w:p>
        </w:tc>
      </w:tr>
      <w:tr>
        <w:trPr>
          <w:trHeight w:val="851"/>
        </w:trPr>
        <w:tc>
          <w:tcPr>
            <w:tcW w:w="2943" w:type="dxa"/>
            <w:vAlign w:val="center"/>
            <w:textDirection w:val="lrTb"/>
            <w:noWrap w:val="false"/>
          </w:tcPr>
          <w:p>
            <w:pPr>
              <w:rPr>
                <w:rFonts w:hint="eastAsia" w:eastAsia="宋体"/>
                <w:sz w:val="24"/>
                <w:szCs w:val="24"/>
                <w:highlight w:val="none"/>
                <w:lang w:eastAsia="zh-CN"/>
              </w:rPr>
            </w:pPr>
            <w:r>
              <w:rPr>
                <w:rFonts w:hint="eastAsia" w:ascii="宋体" w:hAnsi="宋体"/>
                <w:sz w:val="24"/>
                <w:szCs w:val="24"/>
                <w:highlight w:val="none"/>
                <w:lang w:eastAsia="zh-CN"/>
              </w:rPr>
              <w:t xml:space="preserve">湖滨新区晓店学校运动场改造工程</w:t>
            </w:r>
            <w:r/>
          </w:p>
        </w:tc>
        <w:tc>
          <w:tcPr>
            <w:tcW w:w="2738" w:type="dxa"/>
            <w:vAlign w:val="center"/>
            <w:textDirection w:val="lrTb"/>
            <w:noWrap w:val="false"/>
          </w:tcPr>
          <w:p>
            <w:pPr>
              <w:rPr>
                <w:sz w:val="24"/>
                <w:szCs w:val="24"/>
                <w:highlight w:val="none"/>
              </w:rPr>
            </w:pPr>
            <w:r>
              <w:rPr>
                <w:sz w:val="24"/>
                <w:szCs w:val="24"/>
                <w:highlight w:val="none"/>
              </w:rPr>
              <w:t xml:space="preserve">详见响应文件</w:t>
            </w:r>
            <w:r/>
          </w:p>
        </w:tc>
        <w:tc>
          <w:tcPr>
            <w:tcW w:w="3499" w:type="dxa"/>
            <w:vAlign w:val="center"/>
            <w:textDirection w:val="lrTb"/>
            <w:noWrap w:val="false"/>
          </w:tcPr>
          <w:p>
            <w:pPr>
              <w:rPr>
                <w:sz w:val="24"/>
                <w:szCs w:val="24"/>
                <w:highlight w:val="none"/>
              </w:rPr>
            </w:pPr>
            <w:r>
              <w:rPr>
                <w:rFonts w:hint="eastAsia"/>
                <w:sz w:val="24"/>
                <w:szCs w:val="24"/>
                <w:highlight w:val="none"/>
                <w:u w:val="single"/>
              </w:rPr>
              <w:t xml:space="preserve">           </w:t>
            </w:r>
            <w:r>
              <w:rPr>
                <w:rFonts w:hint="eastAsia"/>
                <w:sz w:val="24"/>
                <w:szCs w:val="24"/>
                <w:highlight w:val="none"/>
              </w:rPr>
              <w:t xml:space="preserve">元</w:t>
            </w:r>
            <w:r/>
          </w:p>
        </w:tc>
      </w:tr>
      <w:tr>
        <w:trPr>
          <w:trHeight w:val="851"/>
        </w:trPr>
        <w:tc>
          <w:tcPr>
            <w:tcW w:w="2943" w:type="dxa"/>
            <w:vAlign w:val="center"/>
            <w:textDirection w:val="lrTb"/>
            <w:noWrap w:val="false"/>
          </w:tcPr>
          <w:p>
            <w:pPr>
              <w:rPr>
                <w:sz w:val="24"/>
                <w:szCs w:val="24"/>
                <w:highlight w:val="none"/>
              </w:rPr>
            </w:pPr>
            <w:r>
              <w:rPr>
                <w:sz w:val="24"/>
                <w:szCs w:val="24"/>
                <w:highlight w:val="none"/>
              </w:rPr>
              <w:t xml:space="preserve">总价</w:t>
            </w:r>
            <w:r>
              <w:rPr>
                <w:rFonts w:hint="eastAsia"/>
                <w:sz w:val="24"/>
                <w:szCs w:val="24"/>
                <w:highlight w:val="none"/>
              </w:rPr>
              <w:t xml:space="preserve">（</w:t>
            </w:r>
            <w:r>
              <w:rPr>
                <w:sz w:val="24"/>
                <w:szCs w:val="24"/>
                <w:highlight w:val="none"/>
              </w:rPr>
              <w:t xml:space="preserve">大写</w:t>
            </w:r>
            <w:r>
              <w:rPr>
                <w:rFonts w:hint="eastAsia"/>
                <w:sz w:val="24"/>
                <w:szCs w:val="24"/>
                <w:highlight w:val="none"/>
              </w:rPr>
              <w:t xml:space="preserve">）：</w:t>
            </w:r>
            <w:r/>
          </w:p>
        </w:tc>
        <w:tc>
          <w:tcPr>
            <w:gridSpan w:val="2"/>
            <w:tcW w:w="6237" w:type="dxa"/>
            <w:vAlign w:val="center"/>
            <w:textDirection w:val="lrTb"/>
            <w:noWrap w:val="false"/>
          </w:tcPr>
          <w:p>
            <w:pPr>
              <w:rPr>
                <w:sz w:val="24"/>
                <w:szCs w:val="24"/>
                <w:highlight w:val="none"/>
              </w:rPr>
            </w:pPr>
            <w:r>
              <w:rPr>
                <w:sz w:val="24"/>
                <w:szCs w:val="24"/>
                <w:highlight w:val="none"/>
              </w:rPr>
            </w:r>
            <w:r/>
          </w:p>
        </w:tc>
      </w:tr>
    </w:tbl>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p>
      <w:pPr>
        <w:jc w:val="left"/>
        <w:spacing w:line="360" w:lineRule="auto"/>
        <w:widowControl/>
        <w:rPr>
          <w:rFonts w:ascii="宋体" w:hAnsi="宋体" w:cs="宋体"/>
          <w:sz w:val="24"/>
          <w:szCs w:val="24"/>
          <w:highlight w:val="none"/>
          <w:u w:val="single"/>
        </w:rPr>
      </w:pPr>
      <w:r>
        <w:rPr>
          <w:rFonts w:hint="eastAsia" w:ascii="Times New Roman" w:hAnsi="Times New Roman"/>
          <w:sz w:val="24"/>
          <w:szCs w:val="21"/>
          <w:highlight w:val="none"/>
        </w:rPr>
        <w:t xml:space="preserve">供应商全称（加盖CA电子公章）</w:t>
      </w:r>
      <w:r>
        <w:rPr>
          <w:rFonts w:ascii="宋体" w:hAnsi="宋体" w:cs="宋体"/>
          <w:sz w:val="24"/>
          <w:szCs w:val="24"/>
          <w:highlight w:val="none"/>
        </w:rPr>
        <w:t xml:space="preserve">：</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日期：    年    月   日</w:t>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r/>
      <w:r/>
    </w:p>
    <w:p>
      <w:pPr>
        <w:spacing w:line="588" w:lineRule="exact"/>
        <w:rPr>
          <w:rFonts w:ascii="Times New Roman" w:hAnsi="Times New Roman"/>
          <w:sz w:val="24"/>
          <w:szCs w:val="21"/>
          <w:highlight w:val="none"/>
        </w:rPr>
      </w:pPr>
      <w:r>
        <w:rPr>
          <w:rFonts w:ascii="Times New Roman" w:hAnsi="Times New Roman"/>
          <w:sz w:val="24"/>
          <w:szCs w:val="21"/>
          <w:highlight w:val="none"/>
        </w:rPr>
      </w:r>
      <w:r/>
    </w:p>
    <w:p>
      <w:pPr>
        <w:rPr>
          <w:rFonts w:ascii="Times New Roman" w:hAnsi="Times New Roman" w:eastAsia="黑体"/>
          <w:iCs/>
          <w:sz w:val="32"/>
          <w:szCs w:val="32"/>
          <w:highlight w:val="none"/>
        </w:rPr>
      </w:pPr>
      <w:r>
        <w:rPr>
          <w:rFonts w:hint="eastAsia" w:ascii="Times New Roman" w:hAnsi="Times New Roman" w:eastAsia="黑体"/>
          <w:iCs/>
          <w:sz w:val="32"/>
          <w:szCs w:val="32"/>
          <w:highlight w:val="none"/>
        </w:rPr>
        <w:t xml:space="preserve">七、已标价的工程量清单</w:t>
      </w:r>
      <w:bookmarkEnd w:id="778"/>
      <w:r/>
      <w:r/>
    </w:p>
    <w:p>
      <w:pPr>
        <w:spacing w:line="360" w:lineRule="auto"/>
        <w:rPr>
          <w:rFonts w:ascii="Times New Roman" w:hAnsi="Times New Roman"/>
          <w:b/>
          <w:szCs w:val="32"/>
          <w:highlight w:val="none"/>
        </w:rPr>
      </w:pPr>
      <w:r/>
      <w:bookmarkStart w:id="782" w:name="_Hlt24879081"/>
      <w:r/>
      <w:bookmarkEnd w:id="782"/>
      <w:r/>
      <w:bookmarkStart w:id="783" w:name="_Hlt26955054"/>
      <w:r/>
      <w:bookmarkEnd w:id="783"/>
      <w:r/>
      <w:bookmarkStart w:id="784" w:name="_Hlt26580838"/>
      <w:r/>
      <w:bookmarkEnd w:id="784"/>
      <w:r/>
      <w:bookmarkStart w:id="785" w:name="_Hlt26671343"/>
      <w:r/>
      <w:bookmarkEnd w:id="785"/>
      <w:r/>
      <w:bookmarkStart w:id="786" w:name="_Hlt26955064"/>
      <w:r/>
      <w:bookmarkEnd w:id="786"/>
      <w:r/>
      <w:bookmarkStart w:id="787" w:name="_Hlt26955056"/>
      <w:r/>
      <w:bookmarkEnd w:id="787"/>
      <w:r/>
      <w:bookmarkStart w:id="788" w:name="_Hlt26671372"/>
      <w:r/>
      <w:bookmarkEnd w:id="788"/>
      <w:r/>
      <w:bookmarkStart w:id="789" w:name="_Hlt26609391"/>
      <w:r/>
      <w:bookmarkEnd w:id="789"/>
      <w:r/>
      <w:bookmarkStart w:id="790" w:name="_Hlt26782999"/>
      <w:r/>
      <w:bookmarkEnd w:id="790"/>
      <w:r/>
      <w:r/>
    </w:p>
    <w:p>
      <w:pPr>
        <w:pStyle w:val="823"/>
        <w:jc w:val="center"/>
        <w:spacing w:before="60" w:after="60"/>
        <w:rPr>
          <w:rFonts w:hint="eastAsia" w:ascii="Times New Roman" w:hAnsi="Times New Roman"/>
          <w:b/>
          <w:sz w:val="32"/>
          <w:szCs w:val="32"/>
          <w:highlight w:val="none"/>
        </w:rPr>
      </w:pPr>
      <w:r>
        <w:rPr>
          <w:rFonts w:hint="eastAsia" w:ascii="Times New Roman" w:hAnsi="Times New Roman"/>
          <w:b/>
          <w:sz w:val="32"/>
          <w:szCs w:val="32"/>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pStyle w:val="731"/>
        <w:ind w:left="0" w:firstLine="0"/>
      </w:pPr>
      <w:r/>
      <w:bookmarkStart w:id="791" w:name="_Hlt26609389"/>
      <w:r/>
      <w:bookmarkEnd w:id="791"/>
      <w:r/>
      <w:bookmarkStart w:id="792" w:name="_Hlt26955066"/>
      <w:r/>
      <w:bookmarkEnd w:id="792"/>
      <w:r/>
      <w:bookmarkStart w:id="793" w:name="_Hlt26671374"/>
      <w:r/>
      <w:bookmarkEnd w:id="793"/>
      <w:r/>
      <w:bookmarkStart w:id="794" w:name="_Toc462564146"/>
      <w:r/>
      <w:r/>
    </w:p>
    <w:p>
      <w:pPr>
        <w:rPr>
          <w:rFonts w:hint="eastAsia" w:ascii="Times New Roman" w:hAnsi="Times New Roman" w:eastAsia="黑体"/>
          <w:iCs/>
          <w:sz w:val="32"/>
          <w:szCs w:val="32"/>
          <w:highlight w:val="none"/>
        </w:rPr>
      </w:pPr>
      <w:r>
        <w:rPr>
          <w:rFonts w:hint="eastAsia" w:ascii="Times New Roman" w:hAnsi="Times New Roman" w:eastAsia="黑体"/>
          <w:iCs/>
          <w:sz w:val="32"/>
          <w:szCs w:val="32"/>
          <w:highlight w:val="none"/>
        </w:rPr>
      </w:r>
      <w:r/>
    </w:p>
    <w:p>
      <w:pPr>
        <w:rPr>
          <w:rFonts w:ascii="Times New Roman" w:hAnsi="Times New Roman" w:eastAsia="黑体"/>
          <w:iCs/>
          <w:sz w:val="32"/>
          <w:szCs w:val="32"/>
          <w:highlight w:val="none"/>
        </w:rPr>
      </w:pPr>
      <w:r>
        <w:rPr>
          <w:rFonts w:hint="eastAsia" w:ascii="Times New Roman" w:hAnsi="Times New Roman" w:eastAsia="黑体"/>
          <w:iCs/>
          <w:sz w:val="32"/>
          <w:szCs w:val="32"/>
          <w:highlight w:val="none"/>
        </w:rPr>
        <w:t xml:space="preserve">八、项目组人员</w:t>
      </w:r>
      <w:r/>
    </w:p>
    <w:p>
      <w:pPr>
        <w:pStyle w:val="823"/>
        <w:jc w:val="center"/>
        <w:rPr>
          <w:rFonts w:ascii="Times New Roman" w:hAnsi="Times New Roman"/>
          <w:b/>
          <w:sz w:val="32"/>
          <w:szCs w:val="32"/>
          <w:highlight w:val="none"/>
        </w:rPr>
      </w:pPr>
      <w:r>
        <w:rPr>
          <w:rFonts w:hint="eastAsia" w:ascii="Times New Roman" w:hAnsi="Times New Roman"/>
          <w:b/>
          <w:sz w:val="32"/>
          <w:szCs w:val="32"/>
          <w:highlight w:val="none"/>
        </w:rPr>
        <w:t xml:space="preserve">项目组成员</w:t>
      </w:r>
      <w:r/>
    </w:p>
    <w:tbl>
      <w:tblPr>
        <w:tblStyle w:val="682"/>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559"/>
        <w:gridCol w:w="1134"/>
        <w:gridCol w:w="1985"/>
        <w:gridCol w:w="1954"/>
        <w:gridCol w:w="1306"/>
      </w:tblGrid>
      <w:tr>
        <w:trPr>
          <w:trHeight w:val="836"/>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hint="eastAsia" w:ascii="宋体" w:hAnsi="宋体" w:cs="宋体"/>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hint="eastAsia" w:ascii="宋体" w:hAnsi="宋体" w:cs="宋体"/>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hint="eastAsia" w:ascii="宋体" w:hAnsi="宋体" w:cs="宋体"/>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hint="eastAsia" w:ascii="宋体" w:hAnsi="宋体" w:cs="宋体"/>
                <w:sz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hint="eastAsia" w:ascii="宋体" w:hAnsi="宋体" w:cs="宋体"/>
                <w:sz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hint="eastAsia" w:ascii="宋体" w:hAnsi="宋体" w:cs="宋体"/>
                <w:sz w:val="24"/>
                <w:highlight w:val="none"/>
              </w:rPr>
              <w:t xml:space="preserve">备注</w:t>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54"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830"/>
              <w:jc w:val="center"/>
              <w:spacing w:line="360" w:lineRule="exact"/>
              <w:widowControl/>
              <w:rPr>
                <w:rFonts w:ascii="宋体" w:hAnsi="宋体" w:cs="宋体"/>
                <w:sz w:val="24"/>
                <w:highlight w:val="none"/>
              </w:rPr>
            </w:pPr>
            <w:r>
              <w:rPr>
                <w:rFonts w:ascii="宋体" w:hAnsi="宋体" w:cs="宋体"/>
                <w:sz w:val="24"/>
                <w:highlight w:val="none"/>
              </w:rPr>
            </w:r>
            <w:r/>
          </w:p>
        </w:tc>
      </w:tr>
    </w:tbl>
    <w:p>
      <w:pPr>
        <w:ind w:firstLine="482"/>
        <w:spacing w:line="500" w:lineRule="exact"/>
        <w:rPr>
          <w:rFonts w:ascii="宋体" w:hAnsi="宋体" w:cs="宋体"/>
          <w:b/>
          <w:bCs/>
          <w:sz w:val="24"/>
          <w:szCs w:val="24"/>
          <w:highlight w:val="none"/>
        </w:rPr>
      </w:pPr>
      <w:r>
        <w:rPr>
          <w:rFonts w:hint="eastAsia" w:ascii="宋体" w:hAnsi="宋体" w:cs="宋体"/>
          <w:b/>
          <w:bCs/>
          <w:sz w:val="24"/>
          <w:szCs w:val="24"/>
          <w:highlight w:val="none"/>
        </w:rPr>
        <w:t xml:space="preserve">注：如供应商成交，项目组成员必须按本表承诺人员操作，不得随意更换。按磋商文件要求附相关人员证书。</w:t>
      </w:r>
      <w:r/>
    </w:p>
    <w:p>
      <w:pPr>
        <w:rPr>
          <w:rFonts w:ascii="Times New Roman" w:hAnsi="Times New Roman" w:eastAsia="黑体"/>
          <w:iCs/>
          <w:sz w:val="32"/>
          <w:szCs w:val="32"/>
          <w:highlight w:val="none"/>
        </w:rPr>
      </w:pPr>
      <w:r>
        <w:rPr>
          <w:rFonts w:ascii="Times New Roman" w:hAnsi="Times New Roman" w:eastAsia="黑体"/>
          <w:iCs/>
          <w:sz w:val="32"/>
          <w:szCs w:val="32"/>
          <w:highlight w:val="none"/>
        </w:rPr>
      </w:r>
      <w:r/>
    </w:p>
    <w:p>
      <w:pPr>
        <w:pStyle w:val="1288"/>
        <w:spacing w:line="360" w:lineRule="auto"/>
        <w:rPr>
          <w:sz w:val="24"/>
          <w:szCs w:val="21"/>
          <w:highlight w:val="none"/>
        </w:rPr>
      </w:pPr>
      <w:r>
        <w:rPr>
          <w:sz w:val="24"/>
          <w:szCs w:val="21"/>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pStyle w:val="731"/>
        <w:ind w:left="0" w:firstLine="0"/>
        <w:rPr>
          <w:rFonts w:ascii="宋体" w:hAnsi="宋体" w:cs="宋体"/>
          <w:sz w:val="24"/>
          <w:szCs w:val="24"/>
          <w:highlight w:val="none"/>
        </w:rPr>
      </w:pPr>
      <w:r>
        <w:rPr>
          <w:rFonts w:ascii="宋体" w:hAnsi="宋体" w:cs="宋体"/>
          <w:sz w:val="24"/>
          <w:szCs w:val="24"/>
          <w:highlight w:val="none"/>
        </w:rPr>
      </w:r>
      <w:r/>
    </w:p>
    <w:p>
      <w:r/>
      <w:bookmarkEnd w:id="764"/>
      <w:r/>
      <w:bookmarkEnd w:id="765"/>
      <w:r/>
      <w:bookmarkEnd w:id="794"/>
      <w:r/>
      <w:r/>
    </w:p>
    <w:p>
      <w:pPr>
        <w:pStyle w:val="831"/>
        <w:numPr>
          <w:ilvl w:val="0"/>
          <w:numId w:val="8"/>
        </w:numPr>
        <w:spacing w:line="500" w:lineRule="exact"/>
        <w:rPr>
          <w:rFonts w:hint="eastAsia" w:eastAsia="黑体"/>
          <w:iCs/>
          <w:sz w:val="32"/>
          <w:szCs w:val="32"/>
          <w:highlight w:val="none"/>
        </w:rPr>
      </w:pPr>
      <w:r/>
      <w:bookmarkStart w:id="795" w:name="_格式2__法定代表人授权书"/>
      <w:r/>
      <w:bookmarkEnd w:id="795"/>
      <w:r>
        <w:rPr>
          <w:rFonts w:hint="eastAsia" w:eastAsia="黑体"/>
          <w:iCs/>
          <w:sz w:val="32"/>
          <w:szCs w:val="32"/>
          <w:highlight w:val="none"/>
        </w:rPr>
        <w:t xml:space="preserve">企业业绩</w:t>
      </w:r>
      <w:r/>
    </w:p>
    <w:p>
      <w:pPr>
        <w:pStyle w:val="831"/>
        <w:numPr>
          <w:ilvl w:val="0"/>
          <w:numId w:val="0"/>
        </w:numPr>
        <w:spacing w:line="500" w:lineRule="exact"/>
        <w:rPr>
          <w:rFonts w:hint="eastAsia" w:eastAsia="黑体"/>
          <w:iCs/>
          <w:sz w:val="32"/>
          <w:szCs w:val="32"/>
          <w:highlight w:val="none"/>
        </w:rPr>
      </w:pPr>
      <w:r>
        <w:rPr>
          <w:rFonts w:hint="eastAsia" w:eastAsia="黑体"/>
          <w:iCs/>
          <w:sz w:val="32"/>
          <w:szCs w:val="32"/>
          <w:highlight w:val="none"/>
        </w:rPr>
      </w:r>
      <w:r/>
    </w:p>
    <w:p>
      <w:pPr>
        <w:pStyle w:val="823"/>
        <w:jc w:val="center"/>
        <w:rPr>
          <w:rFonts w:ascii="Times New Roman" w:hAnsi="Times New Roman"/>
          <w:b/>
          <w:sz w:val="32"/>
          <w:szCs w:val="32"/>
          <w:highlight w:val="none"/>
        </w:rPr>
      </w:pPr>
      <w:r>
        <w:rPr>
          <w:rFonts w:hint="eastAsia" w:ascii="Times New Roman" w:hAnsi="Times New Roman"/>
          <w:b/>
          <w:sz w:val="32"/>
          <w:szCs w:val="32"/>
          <w:highlight w:val="none"/>
        </w:rPr>
        <w:t xml:space="preserve">供应商承担类似项目业绩一览表</w:t>
      </w:r>
      <w:r/>
    </w:p>
    <w:tbl>
      <w:tblPr>
        <w:tblStyle w:val="682"/>
        <w:tblW w:w="91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632"/>
      </w:tblGrid>
      <w:tr>
        <w:trPr>
          <w:trHeight w:val="753"/>
        </w:trPr>
        <w:tc>
          <w:tcPr>
            <w:tcW w:w="1229" w:type="dxa"/>
            <w:vAlign w:val="center"/>
            <w:textDirection w:val="lrTb"/>
            <w:noWrap w:val="false"/>
          </w:tcPr>
          <w:p>
            <w:pPr>
              <w:pStyle w:val="833"/>
              <w:jc w:val="center"/>
              <w:spacing w:line="360" w:lineRule="exact"/>
              <w:rPr>
                <w:rFonts w:ascii="宋体" w:hAnsi="宋体" w:cs="宋体"/>
                <w:sz w:val="24"/>
                <w:highlight w:val="none"/>
              </w:rPr>
            </w:pPr>
            <w:r>
              <w:rPr>
                <w:rFonts w:hint="eastAsia" w:ascii="宋体" w:hAnsi="宋体" w:cs="宋体"/>
                <w:sz w:val="24"/>
                <w:highlight w:val="none"/>
              </w:rPr>
              <w:t xml:space="preserve">序号</w:t>
            </w:r>
            <w:r/>
          </w:p>
        </w:tc>
        <w:tc>
          <w:tcPr>
            <w:tcW w:w="3827" w:type="dxa"/>
            <w:vAlign w:val="center"/>
            <w:textDirection w:val="lrTb"/>
            <w:noWrap w:val="false"/>
          </w:tcPr>
          <w:p>
            <w:pPr>
              <w:pStyle w:val="833"/>
              <w:jc w:val="center"/>
              <w:spacing w:line="360" w:lineRule="exact"/>
              <w:rPr>
                <w:rFonts w:ascii="宋体" w:hAnsi="宋体" w:cs="宋体"/>
                <w:sz w:val="24"/>
                <w:highlight w:val="none"/>
              </w:rPr>
            </w:pPr>
            <w:r>
              <w:rPr>
                <w:rFonts w:hint="eastAsia" w:ascii="宋体" w:hAnsi="宋体" w:cs="宋体"/>
                <w:sz w:val="24"/>
                <w:highlight w:val="none"/>
              </w:rPr>
              <w:t xml:space="preserve">项目名称</w:t>
            </w:r>
            <w:r/>
          </w:p>
        </w:tc>
        <w:tc>
          <w:tcPr>
            <w:tcW w:w="2433" w:type="dxa"/>
            <w:vAlign w:val="center"/>
            <w:textDirection w:val="lrTb"/>
            <w:noWrap w:val="false"/>
          </w:tcPr>
          <w:p>
            <w:pPr>
              <w:pStyle w:val="833"/>
              <w:jc w:val="center"/>
              <w:spacing w:line="360" w:lineRule="exact"/>
              <w:rPr>
                <w:rFonts w:ascii="宋体" w:hAnsi="宋体" w:cs="宋体"/>
                <w:sz w:val="24"/>
                <w:highlight w:val="none"/>
              </w:rPr>
            </w:pPr>
            <w:r>
              <w:rPr>
                <w:rFonts w:hint="eastAsia" w:ascii="宋体" w:hAnsi="宋体" w:cs="宋体"/>
                <w:sz w:val="24"/>
                <w:highlight w:val="none"/>
              </w:rPr>
              <w:t xml:space="preserve">采购单位</w:t>
            </w:r>
            <w:r/>
          </w:p>
        </w:tc>
        <w:tc>
          <w:tcPr>
            <w:tcW w:w="1632" w:type="dxa"/>
            <w:vAlign w:val="center"/>
            <w:textDirection w:val="lrTb"/>
            <w:noWrap w:val="false"/>
          </w:tcPr>
          <w:p>
            <w:pPr>
              <w:pStyle w:val="833"/>
              <w:jc w:val="center"/>
              <w:spacing w:line="360" w:lineRule="exact"/>
              <w:rPr>
                <w:rFonts w:ascii="宋体" w:hAnsi="宋体" w:cs="宋体"/>
                <w:sz w:val="24"/>
                <w:highlight w:val="none"/>
              </w:rPr>
            </w:pPr>
            <w:r>
              <w:rPr>
                <w:rFonts w:hint="eastAsia" w:ascii="宋体" w:hAnsi="宋体" w:cs="宋体"/>
                <w:sz w:val="24"/>
                <w:highlight w:val="none"/>
              </w:rPr>
              <w:t xml:space="preserve">合同金额</w:t>
            </w:r>
            <w:r/>
          </w:p>
        </w:tc>
      </w:tr>
      <w:tr>
        <w:trPr>
          <w:trHeight w:val="1510"/>
        </w:trPr>
        <w:tc>
          <w:tcPr>
            <w:tcW w:w="1229"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3827"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2433"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1632"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r>
      <w:tr>
        <w:trPr>
          <w:trHeight w:val="1510"/>
        </w:trPr>
        <w:tc>
          <w:tcPr>
            <w:tcW w:w="1229"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3827"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2433"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1632"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r>
      <w:tr>
        <w:trPr>
          <w:trHeight w:val="1510"/>
        </w:trPr>
        <w:tc>
          <w:tcPr>
            <w:tcW w:w="1229"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3827"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2433"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1632"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r>
      <w:tr>
        <w:trPr>
          <w:trHeight w:val="1525"/>
        </w:trPr>
        <w:tc>
          <w:tcPr>
            <w:tcW w:w="1229"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3827"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2433"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1632"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r>
      <w:tr>
        <w:trPr>
          <w:trHeight w:val="1525"/>
        </w:trPr>
        <w:tc>
          <w:tcPr>
            <w:tcW w:w="1229"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3827"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2433"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c>
          <w:tcPr>
            <w:tcW w:w="1632" w:type="dxa"/>
            <w:vAlign w:val="center"/>
            <w:textDirection w:val="lrTb"/>
            <w:noWrap w:val="false"/>
          </w:tcPr>
          <w:p>
            <w:pPr>
              <w:pStyle w:val="833"/>
              <w:jc w:val="center"/>
              <w:spacing w:line="360" w:lineRule="exact"/>
              <w:rPr>
                <w:rFonts w:ascii="宋体" w:hAnsi="宋体" w:cs="宋体"/>
                <w:sz w:val="24"/>
                <w:szCs w:val="22"/>
                <w:highlight w:val="none"/>
              </w:rPr>
            </w:pPr>
            <w:r>
              <w:rPr>
                <w:rFonts w:ascii="宋体" w:hAnsi="宋体" w:cs="宋体"/>
                <w:sz w:val="24"/>
                <w:szCs w:val="22"/>
                <w:highlight w:val="none"/>
              </w:rPr>
            </w:r>
            <w:r/>
          </w:p>
        </w:tc>
      </w:tr>
    </w:tbl>
    <w:p>
      <w:pPr>
        <w:ind w:firstLine="482"/>
        <w:spacing w:line="500" w:lineRule="exact"/>
        <w:rPr>
          <w:rFonts w:ascii="宋体" w:hAnsi="宋体" w:cs="宋体"/>
          <w:b/>
          <w:bCs/>
          <w:sz w:val="24"/>
          <w:szCs w:val="24"/>
          <w:highlight w:val="none"/>
        </w:rPr>
      </w:pPr>
      <w:r>
        <w:rPr>
          <w:rFonts w:hint="eastAsia" w:ascii="宋体" w:hAnsi="宋体" w:cs="宋体"/>
          <w:b/>
          <w:bCs/>
          <w:sz w:val="24"/>
          <w:szCs w:val="24"/>
          <w:highlight w:val="none"/>
        </w:rPr>
        <w:t xml:space="preserve">注：请填写此表，并按要求上传业绩资料电子件。</w:t>
      </w:r>
      <w:r/>
    </w:p>
    <w:p>
      <w:pPr>
        <w:rPr>
          <w:rFonts w:ascii="宋体" w:hAnsi="宋体" w:cs="宋体"/>
          <w:b/>
          <w:bCs/>
          <w:sz w:val="24"/>
          <w:szCs w:val="24"/>
          <w:highlight w:val="none"/>
        </w:rPr>
      </w:pPr>
      <w:r>
        <w:rPr>
          <w:rFonts w:ascii="宋体" w:hAnsi="宋体" w:cs="宋体"/>
          <w:b/>
          <w:bCs/>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pStyle w:val="831"/>
        <w:spacing w:line="500" w:lineRule="exact"/>
        <w:rPr>
          <w:rFonts w:hint="eastAsia" w:eastAsia="黑体"/>
          <w:iCs/>
          <w:sz w:val="32"/>
          <w:szCs w:val="32"/>
          <w:highlight w:val="none"/>
        </w:rPr>
      </w:pPr>
      <w:r/>
      <w:bookmarkStart w:id="796" w:name="_Toc11176"/>
      <w:r/>
      <w:r/>
    </w:p>
    <w:p>
      <w:pPr>
        <w:pStyle w:val="831"/>
        <w:spacing w:line="500" w:lineRule="exact"/>
        <w:rPr>
          <w:rFonts w:hint="eastAsia" w:eastAsia="黑体"/>
          <w:iCs/>
          <w:sz w:val="32"/>
          <w:szCs w:val="32"/>
          <w:highlight w:val="none"/>
        </w:rPr>
      </w:pPr>
      <w:r>
        <w:rPr>
          <w:rFonts w:hint="eastAsia" w:eastAsia="黑体"/>
          <w:iCs/>
          <w:sz w:val="32"/>
          <w:szCs w:val="32"/>
          <w:highlight w:val="none"/>
        </w:rPr>
      </w:r>
      <w:r/>
    </w:p>
    <w:p>
      <w:pPr>
        <w:pStyle w:val="831"/>
        <w:spacing w:line="500" w:lineRule="exact"/>
        <w:rPr>
          <w:rFonts w:eastAsia="黑体"/>
          <w:iCs/>
          <w:sz w:val="32"/>
          <w:szCs w:val="32"/>
          <w:highlight w:val="none"/>
        </w:rPr>
      </w:pPr>
      <w:r>
        <w:rPr>
          <w:rFonts w:hint="eastAsia" w:eastAsia="黑体"/>
          <w:iCs/>
          <w:sz w:val="32"/>
          <w:szCs w:val="32"/>
          <w:highlight w:val="none"/>
        </w:rPr>
        <w:t xml:space="preserve">十、</w:t>
      </w:r>
      <w:bookmarkEnd w:id="796"/>
      <w:r>
        <w:rPr>
          <w:rFonts w:hint="eastAsia" w:eastAsia="黑体"/>
          <w:iCs/>
          <w:sz w:val="32"/>
          <w:szCs w:val="32"/>
          <w:highlight w:val="none"/>
        </w:rPr>
        <w:t xml:space="preserve">项目实施方案</w:t>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pStyle w:val="731"/>
        <w:rPr>
          <w:rFonts w:ascii="宋体" w:hAnsi="宋体" w:cs="宋体"/>
          <w:sz w:val="24"/>
          <w:szCs w:val="24"/>
          <w:highlight w:val="none"/>
        </w:rPr>
      </w:pPr>
      <w:r>
        <w:rPr>
          <w:rFonts w:ascii="宋体" w:hAnsi="宋体" w:cs="宋体"/>
          <w:sz w:val="24"/>
          <w:szCs w:val="24"/>
          <w:highlight w:val="none"/>
        </w:rPr>
      </w:r>
      <w:r/>
    </w:p>
    <w:p>
      <w:pPr>
        <w:pStyle w:val="731"/>
        <w:ind w:left="0" w:firstLine="0"/>
        <w:rPr>
          <w:rFonts w:ascii="宋体" w:hAnsi="宋体" w:cs="宋体"/>
          <w:sz w:val="24"/>
          <w:szCs w:val="24"/>
          <w:highlight w:val="none"/>
        </w:rPr>
      </w:pPr>
      <w:r>
        <w:rPr>
          <w:rFonts w:ascii="宋体" w:hAnsi="宋体" w:cs="宋体"/>
          <w:sz w:val="24"/>
          <w:szCs w:val="24"/>
          <w:highlight w:val="none"/>
        </w:rPr>
      </w:r>
      <w:r/>
    </w:p>
    <w:p>
      <w:r/>
      <w:r/>
    </w:p>
    <w:p>
      <w:pPr>
        <w:rPr>
          <w:rFonts w:ascii="Times New Roman" w:hAnsi="Times New Roman" w:eastAsia="黑体"/>
          <w:iCs/>
          <w:sz w:val="32"/>
          <w:szCs w:val="32"/>
          <w:highlight w:val="none"/>
        </w:rPr>
      </w:pPr>
      <w:r/>
      <w:bookmarkStart w:id="797" w:name="_Toc28140"/>
      <w:r>
        <w:rPr>
          <w:rFonts w:hint="eastAsia" w:ascii="Times New Roman" w:hAnsi="Times New Roman" w:eastAsia="黑体"/>
          <w:iCs/>
          <w:sz w:val="32"/>
          <w:szCs w:val="32"/>
          <w:highlight w:val="none"/>
        </w:rPr>
        <w:t xml:space="preserve">十一、磋商所需其他材料</w:t>
      </w:r>
      <w:bookmarkEnd w:id="797"/>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请在此文档中增加磋商所需其他相关内容（包括资格要求、评分办法、采购需求中涉及的证件证明及其它供应商认为有必要提供的资料），如没有请将此空文档上传。</w:t>
      </w:r>
      <w:r/>
    </w:p>
    <w:p>
      <w:pPr>
        <w:spacing w:line="500" w:lineRule="exact"/>
        <w:rPr>
          <w:rFonts w:ascii="宋体" w:hAnsi="宋体" w:cs="宋体"/>
          <w:sz w:val="24"/>
          <w:szCs w:val="24"/>
          <w:highlight w:val="none"/>
        </w:rPr>
      </w:pPr>
      <w:r>
        <w:rPr>
          <w:rFonts w:ascii="宋体" w:hAnsi="宋体" w:cs="宋体"/>
          <w:sz w:val="24"/>
          <w:szCs w:val="24"/>
          <w:highlight w:val="none"/>
        </w:rPr>
      </w:r>
      <w:r/>
    </w:p>
    <w:p>
      <w:pPr>
        <w:spacing w:line="500" w:lineRule="exact"/>
        <w:rPr>
          <w:rFonts w:ascii="宋体" w:hAnsi="宋体" w:cs="宋体"/>
          <w:sz w:val="24"/>
          <w:szCs w:val="24"/>
          <w:highlight w:val="none"/>
        </w:rPr>
      </w:pPr>
      <w:r>
        <w:rPr>
          <w:rFonts w:ascii="宋体" w:hAnsi="宋体" w:cs="宋体"/>
          <w:sz w:val="24"/>
          <w:szCs w:val="24"/>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hint="eastAsia" w:ascii="Times New Roman" w:hAnsi="Times New Roman" w:cs="仿宋"/>
          <w:b/>
          <w:bCs/>
          <w:sz w:val="32"/>
          <w:szCs w:val="32"/>
          <w:highlight w:val="none"/>
        </w:rPr>
        <w:t xml:space="preserve">质疑函范本</w:t>
      </w:r>
      <w:r/>
    </w:p>
    <w:p>
      <w:pPr>
        <w:spacing w:before="290"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 xml:space="preserve">一、质疑供应商基本信息</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质疑供应商：</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地址：</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rPr>
        <w:t xml:space="preserve">邮编：</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联系人：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rPr>
        <w:t xml:space="preserve">联系电话：</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授权代表：</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联系电话：</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地址：</w:t>
      </w:r>
      <w:r>
        <w:rPr>
          <w:rFonts w:ascii="Times New Roman" w:hAnsi="Times New Roman" w:cs="仿宋"/>
          <w:sz w:val="24"/>
          <w:szCs w:val="24"/>
          <w:highlight w:val="none"/>
        </w:rPr>
        <w:t xml:space="preserve"> </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rPr>
        <w:t xml:space="preserve">邮编：</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 xml:space="preserve">二、质疑项目基本情况</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质疑项目的名称：</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质疑项目的编号：</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rPr>
        <w:t xml:space="preserve">包号：</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采购人名称：</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采购文件获取日期：</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 xml:space="preserve">三、质疑事项具体内容</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质疑事项1：</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事实依据：</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法律依据：</w:t>
      </w: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u w:val="single"/>
        </w:rPr>
        <w:t xml:space="preserve">                                                                           </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质疑事项2</w:t>
      </w:r>
      <w:r/>
    </w:p>
    <w:p>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 xml:space="preserve">……</w:t>
      </w:r>
      <w:r/>
    </w:p>
    <w:p>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 xml:space="preserve">四、与质疑事项相关的质疑请求</w:t>
      </w:r>
      <w:r/>
    </w:p>
    <w:p>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 xml:space="preserve">请求：</w:t>
      </w:r>
      <w:r>
        <w:rPr>
          <w:rFonts w:hint="eastAsia" w:ascii="Times New Roman" w:hAnsi="Times New Roman" w:cs="仿宋"/>
          <w:sz w:val="24"/>
          <w:szCs w:val="24"/>
          <w:highlight w:val="none"/>
          <w:u w:val="single"/>
        </w:rPr>
        <w:t xml:space="preserve">                                                                     </w:t>
      </w:r>
      <w:r/>
    </w:p>
    <w:p>
      <w:pPr>
        <w:rPr>
          <w:rFonts w:ascii="Times New Roman" w:hAnsi="Times New Roman"/>
          <w:sz w:val="24"/>
          <w:szCs w:val="24"/>
          <w:highlight w:val="none"/>
        </w:rPr>
      </w:pPr>
      <w:r>
        <w:rPr>
          <w:rFonts w:hint="eastAsia" w:ascii="Times New Roman" w:hAnsi="Times New Roman"/>
          <w:sz w:val="24"/>
          <w:szCs w:val="24"/>
          <w:highlight w:val="none"/>
        </w:rPr>
        <w:t xml:space="preserve">签字(签章)：                   公章：                      </w:t>
      </w:r>
      <w:r/>
    </w:p>
    <w:p>
      <w:pPr>
        <w:rPr>
          <w:rFonts w:ascii="Times New Roman" w:hAnsi="Times New Roman"/>
          <w:sz w:val="24"/>
          <w:szCs w:val="24"/>
          <w:highlight w:val="none"/>
        </w:rPr>
      </w:pPr>
      <w:r>
        <w:rPr>
          <w:rFonts w:hint="eastAsia" w:ascii="Times New Roman" w:hAnsi="Times New Roman"/>
          <w:sz w:val="24"/>
          <w:szCs w:val="24"/>
          <w:highlight w:val="none"/>
        </w:rPr>
        <w:t xml:space="preserve">日期：    </w:t>
      </w:r>
      <w:r/>
    </w:p>
    <w:p>
      <w:pPr>
        <w:spacing w:line="400" w:lineRule="exact"/>
        <w:rPr>
          <w:rFonts w:hint="eastAsia" w:ascii="Times New Roman" w:hAnsi="Times New Roman"/>
          <w:b/>
          <w:sz w:val="24"/>
          <w:szCs w:val="24"/>
          <w:highlight w:val="none"/>
        </w:rPr>
      </w:pPr>
      <w:r>
        <w:rPr>
          <w:rFonts w:hint="eastAsia" w:ascii="Times New Roman" w:hAnsi="Times New Roman"/>
          <w:b/>
          <w:sz w:val="24"/>
          <w:szCs w:val="24"/>
          <w:highlight w:val="none"/>
        </w:rPr>
      </w:r>
      <w:r/>
    </w:p>
    <w:p>
      <w:pPr>
        <w:spacing w:line="400" w:lineRule="exact"/>
        <w:rPr>
          <w:rFonts w:hint="eastAsia" w:ascii="Times New Roman" w:hAnsi="Times New Roman"/>
          <w:b/>
          <w:sz w:val="24"/>
          <w:szCs w:val="24"/>
          <w:highlight w:val="none"/>
        </w:rPr>
      </w:pPr>
      <w:r>
        <w:rPr>
          <w:rFonts w:hint="eastAsia" w:ascii="Times New Roman" w:hAnsi="Times New Roman"/>
          <w:b/>
          <w:sz w:val="24"/>
          <w:szCs w:val="24"/>
          <w:highlight w:val="none"/>
        </w:rPr>
      </w:r>
      <w:r/>
    </w:p>
    <w:p>
      <w:pPr>
        <w:spacing w:line="400" w:lineRule="exact"/>
        <w:rPr>
          <w:rFonts w:hint="eastAsia" w:ascii="Times New Roman" w:hAnsi="Times New Roman"/>
          <w:b/>
          <w:sz w:val="24"/>
          <w:szCs w:val="24"/>
          <w:highlight w:val="none"/>
        </w:rPr>
      </w:pPr>
      <w:r>
        <w:rPr>
          <w:rFonts w:hint="eastAsia" w:ascii="Times New Roman" w:hAnsi="Times New Roman"/>
          <w:b/>
          <w:sz w:val="24"/>
          <w:szCs w:val="24"/>
          <w:highlight w:val="none"/>
        </w:rPr>
      </w:r>
      <w:r/>
    </w:p>
    <w:p>
      <w:pPr>
        <w:spacing w:line="400" w:lineRule="exact"/>
        <w:rPr>
          <w:rFonts w:hint="eastAsia" w:ascii="Times New Roman" w:hAnsi="Times New Roman"/>
          <w:b/>
          <w:sz w:val="24"/>
          <w:szCs w:val="24"/>
          <w:highlight w:val="none"/>
        </w:rPr>
      </w:pPr>
      <w:r>
        <w:rPr>
          <w:rFonts w:hint="eastAsia" w:ascii="Times New Roman" w:hAnsi="Times New Roman"/>
          <w:b/>
          <w:sz w:val="24"/>
          <w:szCs w:val="24"/>
          <w:highlight w:val="none"/>
        </w:rPr>
      </w:r>
      <w:r/>
    </w:p>
    <w:p>
      <w:pPr>
        <w:spacing w:line="400" w:lineRule="exact"/>
        <w:rPr>
          <w:rFonts w:hint="eastAsia" w:ascii="Times New Roman" w:hAnsi="Times New Roman"/>
          <w:b/>
          <w:sz w:val="24"/>
          <w:szCs w:val="24"/>
          <w:highlight w:val="none"/>
        </w:rPr>
      </w:pPr>
      <w:r>
        <w:rPr>
          <w:rFonts w:hint="eastAsia" w:ascii="Times New Roman" w:hAnsi="Times New Roman"/>
          <w:b/>
          <w:sz w:val="24"/>
          <w:szCs w:val="24"/>
          <w:highlight w:val="none"/>
        </w:rPr>
      </w:r>
      <w:r/>
    </w:p>
    <w:p>
      <w:pPr>
        <w:spacing w:line="400" w:lineRule="exact"/>
        <w:rPr>
          <w:rFonts w:hint="eastAsia" w:ascii="Times New Roman" w:hAnsi="Times New Roman"/>
          <w:b/>
          <w:sz w:val="24"/>
          <w:szCs w:val="24"/>
          <w:highlight w:val="none"/>
        </w:rPr>
      </w:pPr>
      <w:r>
        <w:rPr>
          <w:rFonts w:hint="eastAsia" w:ascii="Times New Roman" w:hAnsi="Times New Roman"/>
          <w:b/>
          <w:sz w:val="24"/>
          <w:szCs w:val="24"/>
          <w:highlight w:val="none"/>
        </w:rPr>
      </w:r>
      <w:r/>
    </w:p>
    <w:p>
      <w:pPr>
        <w:spacing w:line="400" w:lineRule="exact"/>
        <w:rPr>
          <w:rFonts w:hint="eastAsia" w:ascii="Times New Roman" w:hAnsi="Times New Roman"/>
          <w:b/>
          <w:sz w:val="24"/>
          <w:szCs w:val="24"/>
          <w:highlight w:val="none"/>
        </w:rPr>
      </w:pPr>
      <w:r>
        <w:rPr>
          <w:rFonts w:hint="eastAsia" w:ascii="Times New Roman" w:hAnsi="Times New Roman"/>
          <w:b/>
          <w:sz w:val="24"/>
          <w:szCs w:val="24"/>
          <w:highlight w:val="none"/>
        </w:rPr>
      </w:r>
      <w:r/>
    </w:p>
    <w:p>
      <w:pPr>
        <w:spacing w:line="400" w:lineRule="exact"/>
        <w:rPr>
          <w:rFonts w:ascii="Times New Roman" w:hAnsi="Times New Roman"/>
          <w:b/>
          <w:sz w:val="24"/>
          <w:szCs w:val="24"/>
          <w:highlight w:val="none"/>
        </w:rPr>
      </w:pPr>
      <w:r>
        <w:rPr>
          <w:rFonts w:hint="eastAsia" w:ascii="Times New Roman" w:hAnsi="Times New Roman"/>
          <w:b/>
          <w:sz w:val="24"/>
          <w:szCs w:val="24"/>
          <w:highlight w:val="none"/>
        </w:rPr>
        <w:t xml:space="preserve">质疑函制作说明：</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5.质疑函的质疑请求应与质疑事项相关。</w:t>
      </w:r>
      <w:r/>
    </w:p>
    <w:p>
      <w:pPr>
        <w:ind w:firstLine="480"/>
        <w:jc w:val="left"/>
        <w:spacing w:line="400" w:lineRule="exact"/>
        <w:widowControl/>
        <w:rPr>
          <w:rFonts w:ascii="Times New Roman" w:hAnsi="Times New Roman"/>
          <w:sz w:val="24"/>
          <w:szCs w:val="24"/>
          <w:highlight w:val="none"/>
        </w:rPr>
      </w:pPr>
      <w:r>
        <w:rPr>
          <w:rFonts w:hint="eastAsia" w:ascii="Times New Roman" w:hAnsi="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18" w:right="1418" w:bottom="1418" w:left="1418"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SimSun">
    <w:panose1 w:val="02010600030101010101"/>
  </w:font>
  <w:font w:name="Helvetica-Light">
    <w:panose1 w:val="020B0503020202020204"/>
  </w:font>
  <w:font w:name="Helvetica">
    <w:panose1 w:val="020B0604020202020204"/>
  </w:font>
  <w:font w:name="Book Antiqua">
    <w:panose1 w:val="02040602050305030304"/>
  </w:font>
  <w:font w:name="Tahoma">
    <w:panose1 w:val="020B0604030504040204"/>
  </w:font>
  <w:font w:name="Cambria">
    <w:panose1 w:val="02040503050406030204"/>
  </w:font>
  <w:font w:name="Kingsoft Phonetic Plain">
    <w:panose1 w:val="020B0503020202020204"/>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48976408"/>
      <w:rPr/>
    </w:sdtPr>
    <w:sdtContent>
      <w:p>
        <w:pPr>
          <w:pStyle w:val="714"/>
          <w:jc w:val="center"/>
        </w:pPr>
        <w:r>
          <w:fldChar w:fldCharType="begin"/>
        </w:r>
        <w:r>
          <w:instrText xml:space="preserve">PAGE   \* MERGEFORMAT</w:instrText>
        </w:r>
        <w:r>
          <w:fldChar w:fldCharType="separate"/>
        </w:r>
        <w:r>
          <w:rPr>
            <w:lang w:val="zh-CN"/>
          </w:rPr>
          <w:t xml:space="preserve">4</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03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77"/>
      <w:isLgl w:val="false"/>
      <w:suff w:val="nothing"/>
      <w:lvlText w:val=""/>
      <w:lvlJc w:val="left"/>
      <w:pPr>
        <w:ind w:left="0" w:firstLine="0"/>
      </w:pPr>
      <w:rPr>
        <w:rFonts w:hint="eastAsia"/>
      </w:rPr>
    </w:lvl>
    <w:lvl w:ilvl="6">
      <w:start w:val="1"/>
      <w:numFmt w:val="decimal"/>
      <w:pStyle w:val="678"/>
      <w:isLgl w:val="false"/>
      <w:suff w:val="nothing"/>
      <w:lvlText w:val=""/>
      <w:lvlJc w:val="left"/>
      <w:pPr>
        <w:ind w:left="0" w:firstLine="0"/>
      </w:pPr>
      <w:rPr>
        <w:rFonts w:hint="eastAsia"/>
      </w:rPr>
    </w:lvl>
    <w:lvl w:ilvl="7">
      <w:start w:val="1"/>
      <w:numFmt w:val="decimal"/>
      <w:pStyle w:val="679"/>
      <w:isLgl w:val="false"/>
      <w:suff w:val="nothing"/>
      <w:lvlText w:val=""/>
      <w:lvlJc w:val="left"/>
      <w:pPr>
        <w:ind w:left="0" w:firstLine="0"/>
      </w:pPr>
      <w:rPr>
        <w:rFonts w:hint="eastAsia"/>
      </w:rPr>
    </w:lvl>
    <w:lvl w:ilvl="8">
      <w:start w:val="1"/>
      <w:numFmt w:val="decimal"/>
      <w:pStyle w:val="680"/>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03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5"/>
  </w:num>
  <w:num w:numId="3">
    <w:abstractNumId w:val="6"/>
  </w:num>
  <w:num w:numId="4">
    <w:abstractNumId w:val="0"/>
  </w:num>
  <w:num w:numId="5">
    <w:abstractNumId w:val="1"/>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TOC Heading"/>
    <w:uiPriority w:val="39"/>
    <w:unhideWhenUsed/>
  </w:style>
  <w:style w:type="paragraph" w:styleId="67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72">
    <w:name w:val="Heading 1"/>
    <w:basedOn w:val="671"/>
    <w:next w:val="671"/>
    <w:link w:val="755"/>
    <w:uiPriority w:val="0"/>
    <w:qFormat/>
    <w:pPr>
      <w:jc w:val="center"/>
      <w:keepNext/>
      <w:outlineLvl w:val="0"/>
    </w:pPr>
    <w:rPr>
      <w:rFonts w:ascii="楷体_GB2312" w:hAnsi="Times New Roman" w:eastAsia="楷体_GB2312"/>
      <w:sz w:val="28"/>
      <w:szCs w:val="28"/>
    </w:rPr>
  </w:style>
  <w:style w:type="paragraph" w:styleId="673">
    <w:name w:val="Heading 2"/>
    <w:basedOn w:val="671"/>
    <w:next w:val="683"/>
    <w:link w:val="7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74">
    <w:name w:val="Heading 3"/>
    <w:basedOn w:val="671"/>
    <w:next w:val="683"/>
    <w:link w:val="758"/>
    <w:uiPriority w:val="0"/>
    <w:qFormat/>
    <w:pPr>
      <w:keepLines/>
      <w:keepNext/>
      <w:spacing w:before="260" w:after="260" w:line="416" w:lineRule="auto"/>
      <w:outlineLvl w:val="2"/>
    </w:pPr>
    <w:rPr>
      <w:rFonts w:ascii="Times New Roman" w:hAnsi="Times New Roman"/>
      <w:b/>
      <w:bCs/>
      <w:sz w:val="32"/>
      <w:szCs w:val="32"/>
    </w:rPr>
  </w:style>
  <w:style w:type="paragraph" w:styleId="675">
    <w:name w:val="Heading 4"/>
    <w:basedOn w:val="671"/>
    <w:next w:val="683"/>
    <w:link w:val="759"/>
    <w:uiPriority w:val="0"/>
    <w:qFormat/>
    <w:pPr>
      <w:keepLines/>
      <w:keepNext/>
      <w:spacing w:before="280" w:after="290" w:line="376" w:lineRule="auto"/>
      <w:outlineLvl w:val="3"/>
    </w:pPr>
    <w:rPr>
      <w:rFonts w:ascii="Arial" w:hAnsi="Arial" w:eastAsia="黑体" w:cs="Arial"/>
      <w:b/>
      <w:bCs/>
      <w:sz w:val="28"/>
      <w:szCs w:val="28"/>
    </w:rPr>
  </w:style>
  <w:style w:type="paragraph" w:styleId="676">
    <w:name w:val="Heading 5"/>
    <w:basedOn w:val="671"/>
    <w:next w:val="683"/>
    <w:link w:val="760"/>
    <w:uiPriority w:val="9"/>
    <w:qFormat/>
    <w:pPr>
      <w:keepNext/>
      <w:outlineLvl w:val="4"/>
    </w:pPr>
    <w:rPr>
      <w:rFonts w:ascii="宋体" w:hAnsi="Times New Roman"/>
      <w:color w:val="000000"/>
      <w:sz w:val="28"/>
      <w:szCs w:val="28"/>
    </w:rPr>
  </w:style>
  <w:style w:type="paragraph" w:styleId="677">
    <w:name w:val="Heading 6"/>
    <w:basedOn w:val="671"/>
    <w:next w:val="671"/>
    <w:link w:val="76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8">
    <w:name w:val="Heading 7"/>
    <w:basedOn w:val="671"/>
    <w:next w:val="671"/>
    <w:link w:val="76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79">
    <w:name w:val="Heading 8"/>
    <w:basedOn w:val="671"/>
    <w:next w:val="671"/>
    <w:link w:val="76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0">
    <w:name w:val="Heading 9"/>
    <w:basedOn w:val="671"/>
    <w:next w:val="671"/>
    <w:link w:val="764"/>
    <w:uiPriority w:val="0"/>
    <w:qFormat/>
    <w:pPr>
      <w:numPr>
        <w:ilvl w:val="8"/>
        <w:numId w:val="1"/>
      </w:numPr>
      <w:keepLines/>
      <w:keepNext/>
      <w:spacing w:before="240" w:after="64" w:line="320" w:lineRule="auto"/>
      <w:outlineLvl w:val="8"/>
    </w:pPr>
    <w:rPr>
      <w:rFonts w:ascii="Arial" w:hAnsi="Arial" w:eastAsia="黑体"/>
      <w:szCs w:val="21"/>
    </w:rPr>
  </w:style>
  <w:style w:type="character" w:styleId="681" w:default="1">
    <w:name w:val="Default Paragraph Font"/>
    <w:uiPriority w:val="1"/>
    <w:semiHidden/>
    <w:unhideWhenUsed/>
    <w:qFormat/>
  </w:style>
  <w:style w:type="table" w:styleId="682" w:default="1">
    <w:name w:val="Normal Table"/>
    <w:uiPriority w:val="99"/>
    <w:semiHidden/>
    <w:unhideWhenUsed/>
    <w:qFormat/>
    <w:tblPr>
      <w:tblCellMar>
        <w:left w:w="108" w:type="dxa"/>
        <w:top w:w="0" w:type="dxa"/>
        <w:right w:w="108" w:type="dxa"/>
        <w:bottom w:w="0" w:type="dxa"/>
      </w:tblCellMar>
    </w:tblPr>
  </w:style>
  <w:style w:type="paragraph" w:styleId="683">
    <w:name w:val="Normal Indent"/>
    <w:basedOn w:val="671"/>
    <w:link w:val="756"/>
    <w:uiPriority w:val="0"/>
    <w:qFormat/>
    <w:pPr>
      <w:ind w:firstLine="420"/>
    </w:pPr>
    <w:rPr>
      <w:szCs w:val="21"/>
    </w:rPr>
  </w:style>
  <w:style w:type="paragraph" w:styleId="684">
    <w:name w:val="List 3"/>
    <w:basedOn w:val="671"/>
    <w:uiPriority w:val="0"/>
    <w:qFormat/>
    <w:pPr>
      <w:ind w:left="100" w:hanging="200"/>
    </w:pPr>
    <w:rPr>
      <w:rFonts w:ascii="Times New Roman" w:hAnsi="Times New Roman"/>
      <w:szCs w:val="21"/>
    </w:rPr>
  </w:style>
  <w:style w:type="paragraph" w:styleId="685">
    <w:name w:val="toc 7"/>
    <w:basedOn w:val="671"/>
    <w:next w:val="671"/>
    <w:uiPriority w:val="39"/>
    <w:qFormat/>
    <w:pPr>
      <w:ind w:left="1260"/>
      <w:jc w:val="left"/>
    </w:pPr>
    <w:rPr>
      <w:rFonts w:ascii="Times New Roman" w:hAnsi="Times New Roman"/>
      <w:szCs w:val="21"/>
    </w:rPr>
  </w:style>
  <w:style w:type="paragraph" w:styleId="686">
    <w:name w:val="List Bullet 4"/>
    <w:basedOn w:val="671"/>
    <w:uiPriority w:val="0"/>
    <w:qFormat/>
    <w:pPr>
      <w:ind w:left="360" w:hanging="360"/>
      <w:spacing w:line="380" w:lineRule="exact"/>
      <w:tabs>
        <w:tab w:val="left" w:pos="360" w:leader="none"/>
      </w:tabs>
    </w:pPr>
    <w:rPr>
      <w:sz w:val="28"/>
    </w:rPr>
  </w:style>
  <w:style w:type="paragraph" w:styleId="687">
    <w:name w:val="index 8"/>
    <w:basedOn w:val="671"/>
    <w:next w:val="671"/>
    <w:uiPriority w:val="0"/>
    <w:qFormat/>
    <w:pPr>
      <w:ind w:left="1400"/>
    </w:pPr>
  </w:style>
  <w:style w:type="paragraph" w:styleId="688">
    <w:name w:val="List Number"/>
    <w:basedOn w:val="671"/>
    <w:uiPriority w:val="0"/>
    <w:qFormat/>
    <w:pPr>
      <w:spacing w:line="360" w:lineRule="auto"/>
      <w:tabs>
        <w:tab w:val="left" w:pos="0" w:leader="none"/>
        <w:tab w:val="left" w:pos="840" w:leader="none"/>
      </w:tabs>
    </w:pPr>
  </w:style>
  <w:style w:type="paragraph" w:styleId="689">
    <w:name w:val="Caption"/>
    <w:basedOn w:val="671"/>
    <w:next w:val="671"/>
    <w:link w:val="894"/>
    <w:uiPriority w:val="0"/>
    <w:qFormat/>
    <w:pPr>
      <w:spacing w:line="360" w:lineRule="auto"/>
      <w:tabs>
        <w:tab w:val="left" w:pos="0" w:leader="none"/>
      </w:tabs>
    </w:pPr>
    <w:rPr>
      <w:rFonts w:ascii="Arial" w:hAnsi="Arial" w:eastAsia="黑体"/>
      <w:sz w:val="20"/>
      <w:szCs w:val="20"/>
      <w:lang w:eastAsia="en-US"/>
    </w:rPr>
  </w:style>
  <w:style w:type="paragraph" w:styleId="690">
    <w:name w:val="index 5"/>
    <w:basedOn w:val="671"/>
    <w:next w:val="671"/>
    <w:uiPriority w:val="0"/>
    <w:qFormat/>
    <w:pPr>
      <w:ind w:left="800"/>
    </w:pPr>
  </w:style>
  <w:style w:type="paragraph" w:styleId="691">
    <w:name w:val="List Bullet"/>
    <w:basedOn w:val="671"/>
    <w:uiPriority w:val="0"/>
    <w:qFormat/>
    <w:pPr>
      <w:ind w:left="962" w:hanging="480"/>
      <w:spacing w:line="360" w:lineRule="auto"/>
      <w:tabs>
        <w:tab w:val="left" w:pos="840" w:leader="none"/>
      </w:tabs>
    </w:pPr>
    <w:rPr>
      <w:sz w:val="24"/>
    </w:rPr>
  </w:style>
  <w:style w:type="paragraph" w:styleId="692">
    <w:name w:val="Document Map"/>
    <w:basedOn w:val="671"/>
    <w:link w:val="765"/>
    <w:uiPriority w:val="0"/>
    <w:qFormat/>
    <w:pPr>
      <w:shd w:val="clear" w:color="auto" w:fill="000080"/>
    </w:pPr>
    <w:rPr>
      <w:rFonts w:ascii="Times New Roman" w:hAnsi="Times New Roman"/>
      <w:szCs w:val="21"/>
    </w:rPr>
  </w:style>
  <w:style w:type="paragraph" w:styleId="693">
    <w:name w:val="annotation text"/>
    <w:basedOn w:val="671"/>
    <w:link w:val="766"/>
    <w:uiPriority w:val="99"/>
    <w:unhideWhenUsed/>
    <w:qFormat/>
    <w:pPr>
      <w:jc w:val="left"/>
    </w:pPr>
  </w:style>
  <w:style w:type="paragraph" w:styleId="694">
    <w:name w:val="index 6"/>
    <w:basedOn w:val="671"/>
    <w:next w:val="671"/>
    <w:uiPriority w:val="0"/>
    <w:qFormat/>
    <w:pPr>
      <w:ind w:left="1000"/>
    </w:pPr>
  </w:style>
  <w:style w:type="paragraph" w:styleId="695">
    <w:name w:val="Body Text 3"/>
    <w:basedOn w:val="671"/>
    <w:link w:val="767"/>
    <w:uiPriority w:val="0"/>
    <w:qFormat/>
    <w:rPr>
      <w:rFonts w:ascii="仿宋_GB2312" w:hAnsi="Arial" w:eastAsia="仿宋_GB2312"/>
      <w:sz w:val="32"/>
      <w:szCs w:val="32"/>
    </w:rPr>
  </w:style>
  <w:style w:type="paragraph" w:styleId="696">
    <w:name w:val="List Bullet 3"/>
    <w:basedOn w:val="671"/>
    <w:uiPriority w:val="0"/>
    <w:qFormat/>
    <w:pPr>
      <w:ind w:left="1200" w:hanging="360"/>
      <w:spacing w:line="380" w:lineRule="exact"/>
      <w:tabs>
        <w:tab w:val="left" w:pos="1200" w:leader="none"/>
      </w:tabs>
    </w:pPr>
    <w:rPr>
      <w:sz w:val="28"/>
    </w:rPr>
  </w:style>
  <w:style w:type="paragraph" w:styleId="697">
    <w:name w:val="Body Text"/>
    <w:basedOn w:val="671"/>
    <w:next w:val="671"/>
    <w:link w:val="768"/>
    <w:uiPriority w:val="0"/>
    <w:qFormat/>
    <w:rPr>
      <w:rFonts w:ascii="楷体_GB2312" w:hAnsi="Arial" w:eastAsia="楷体_GB2312"/>
      <w:sz w:val="28"/>
      <w:szCs w:val="28"/>
    </w:rPr>
  </w:style>
  <w:style w:type="paragraph" w:styleId="698">
    <w:name w:val="Body Text Indent"/>
    <w:basedOn w:val="671"/>
    <w:link w:val="769"/>
    <w:uiPriority w:val="0"/>
    <w:unhideWhenUsed/>
    <w:qFormat/>
    <w:pPr>
      <w:ind w:left="420"/>
      <w:spacing w:after="120"/>
    </w:pPr>
  </w:style>
  <w:style w:type="paragraph" w:styleId="699">
    <w:name w:val="List 2"/>
    <w:basedOn w:val="671"/>
    <w:uiPriority w:val="0"/>
    <w:qFormat/>
    <w:pPr>
      <w:ind w:left="100" w:hanging="200"/>
    </w:pPr>
    <w:rPr>
      <w:rFonts w:ascii="Times New Roman" w:hAnsi="Times New Roman"/>
      <w:szCs w:val="21"/>
    </w:rPr>
  </w:style>
  <w:style w:type="paragraph" w:styleId="700">
    <w:name w:val="Block Text"/>
    <w:basedOn w:val="671"/>
    <w:uiPriority w:val="0"/>
    <w:qFormat/>
    <w:pPr>
      <w:ind w:left="1548" w:right="12" w:hanging="2405"/>
      <w:spacing w:line="360" w:lineRule="exact"/>
    </w:pPr>
    <w:rPr>
      <w:rFonts w:ascii="宋体"/>
      <w:bCs/>
      <w:sz w:val="28"/>
    </w:rPr>
  </w:style>
  <w:style w:type="paragraph" w:styleId="701">
    <w:name w:val="List Bullet 2"/>
    <w:basedOn w:val="671"/>
    <w:uiPriority w:val="0"/>
    <w:qFormat/>
    <w:pPr>
      <w:ind w:left="720" w:hanging="360"/>
      <w:spacing w:line="360" w:lineRule="auto"/>
      <w:tabs>
        <w:tab w:val="left" w:pos="720" w:leader="none"/>
      </w:tabs>
    </w:pPr>
    <w:rPr>
      <w:sz w:val="24"/>
    </w:rPr>
  </w:style>
  <w:style w:type="paragraph" w:styleId="702">
    <w:name w:val="HTML Address"/>
    <w:basedOn w:val="671"/>
    <w:link w:val="893"/>
    <w:uiPriority w:val="0"/>
    <w:qFormat/>
    <w:rPr>
      <w:i/>
      <w:iCs/>
    </w:rPr>
  </w:style>
  <w:style w:type="paragraph" w:styleId="703">
    <w:name w:val="index 4"/>
    <w:basedOn w:val="671"/>
    <w:next w:val="671"/>
    <w:uiPriority w:val="0"/>
    <w:qFormat/>
    <w:pPr>
      <w:ind w:left="600"/>
    </w:pPr>
  </w:style>
  <w:style w:type="paragraph" w:styleId="704">
    <w:name w:val="toc 5"/>
    <w:basedOn w:val="671"/>
    <w:next w:val="671"/>
    <w:uiPriority w:val="39"/>
    <w:qFormat/>
    <w:pPr>
      <w:ind w:left="840"/>
      <w:jc w:val="left"/>
    </w:pPr>
    <w:rPr>
      <w:rFonts w:ascii="Times New Roman" w:hAnsi="Times New Roman"/>
      <w:szCs w:val="21"/>
    </w:rPr>
  </w:style>
  <w:style w:type="paragraph" w:styleId="705">
    <w:name w:val="toc 3"/>
    <w:basedOn w:val="671"/>
    <w:next w:val="671"/>
    <w:uiPriority w:val="39"/>
    <w:qFormat/>
    <w:pPr>
      <w:ind w:left="420"/>
      <w:jc w:val="left"/>
    </w:pPr>
    <w:rPr>
      <w:rFonts w:ascii="Times New Roman" w:hAnsi="Times New Roman"/>
      <w:i/>
      <w:iCs/>
      <w:szCs w:val="24"/>
    </w:rPr>
  </w:style>
  <w:style w:type="paragraph" w:styleId="706">
    <w:name w:val="Plain Text"/>
    <w:basedOn w:val="671"/>
    <w:uiPriority w:val="0"/>
    <w:qFormat/>
    <w:rPr>
      <w:rFonts w:ascii="宋体" w:hAnsi="Courier New"/>
      <w:szCs w:val="20"/>
    </w:rPr>
  </w:style>
  <w:style w:type="paragraph" w:styleId="707">
    <w:name w:val="List Bullet 5"/>
    <w:basedOn w:val="671"/>
    <w:uiPriority w:val="0"/>
    <w:qFormat/>
    <w:pPr>
      <w:ind w:left="720" w:hanging="360"/>
      <w:spacing w:line="380" w:lineRule="exact"/>
      <w:tabs>
        <w:tab w:val="left" w:pos="720" w:leader="none"/>
      </w:tabs>
    </w:pPr>
    <w:rPr>
      <w:sz w:val="28"/>
    </w:rPr>
  </w:style>
  <w:style w:type="paragraph" w:styleId="708">
    <w:name w:val="toc 8"/>
    <w:basedOn w:val="671"/>
    <w:next w:val="671"/>
    <w:uiPriority w:val="39"/>
    <w:qFormat/>
    <w:pPr>
      <w:ind w:left="1470"/>
      <w:jc w:val="left"/>
    </w:pPr>
    <w:rPr>
      <w:rFonts w:ascii="Times New Roman" w:hAnsi="Times New Roman"/>
      <w:szCs w:val="21"/>
    </w:rPr>
  </w:style>
  <w:style w:type="paragraph" w:styleId="709">
    <w:name w:val="index 3"/>
    <w:basedOn w:val="671"/>
    <w:next w:val="671"/>
    <w:uiPriority w:val="0"/>
    <w:qFormat/>
    <w:pPr>
      <w:ind w:left="400"/>
    </w:pPr>
  </w:style>
  <w:style w:type="paragraph" w:styleId="710">
    <w:name w:val="Date"/>
    <w:basedOn w:val="671"/>
    <w:next w:val="671"/>
    <w:link w:val="772"/>
    <w:uiPriority w:val="0"/>
    <w:qFormat/>
    <w:rPr>
      <w:rFonts w:ascii="Times New Roman" w:hAnsi="Times New Roman"/>
      <w:sz w:val="24"/>
      <w:szCs w:val="24"/>
    </w:rPr>
  </w:style>
  <w:style w:type="paragraph" w:styleId="711">
    <w:name w:val="Body Text Indent 2"/>
    <w:basedOn w:val="671"/>
    <w:link w:val="773"/>
    <w:uiPriority w:val="0"/>
    <w:qFormat/>
    <w:pPr>
      <w:ind w:left="630" w:firstLine="645"/>
    </w:pPr>
    <w:rPr>
      <w:rFonts w:ascii="Arial" w:hAnsi="Arial" w:eastAsia="仿宋_GB2312" w:cs="Arial"/>
      <w:sz w:val="32"/>
      <w:szCs w:val="32"/>
    </w:rPr>
  </w:style>
  <w:style w:type="paragraph" w:styleId="712">
    <w:name w:val="endnote text"/>
    <w:basedOn w:val="671"/>
    <w:link w:val="906"/>
    <w:uiPriority w:val="0"/>
    <w:qFormat/>
    <w:pPr>
      <w:jc w:val="left"/>
      <w:widowControl/>
    </w:pPr>
    <w:rPr>
      <w:rFonts w:ascii="宋体"/>
      <w:bCs/>
      <w:szCs w:val="21"/>
    </w:rPr>
  </w:style>
  <w:style w:type="paragraph" w:styleId="713">
    <w:name w:val="Balloon Text"/>
    <w:basedOn w:val="671"/>
    <w:link w:val="774"/>
    <w:uiPriority w:val="0"/>
    <w:qFormat/>
    <w:rPr>
      <w:rFonts w:ascii="Times New Roman" w:hAnsi="Times New Roman"/>
      <w:sz w:val="18"/>
      <w:szCs w:val="18"/>
    </w:rPr>
  </w:style>
  <w:style w:type="paragraph" w:styleId="714">
    <w:name w:val="Footer"/>
    <w:basedOn w:val="671"/>
    <w:link w:val="775"/>
    <w:uiPriority w:val="99"/>
    <w:qFormat/>
    <w:pPr>
      <w:jc w:val="left"/>
      <w:tabs>
        <w:tab w:val="center" w:pos="4153" w:leader="none"/>
        <w:tab w:val="right" w:pos="8306" w:leader="none"/>
      </w:tabs>
    </w:pPr>
    <w:rPr>
      <w:rFonts w:ascii="Times New Roman" w:hAnsi="Times New Roman"/>
      <w:sz w:val="18"/>
      <w:szCs w:val="18"/>
    </w:rPr>
  </w:style>
  <w:style w:type="paragraph" w:styleId="715">
    <w:name w:val="Header"/>
    <w:basedOn w:val="671"/>
    <w:link w:val="776"/>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16">
    <w:name w:val="toc 1"/>
    <w:basedOn w:val="671"/>
    <w:next w:val="671"/>
    <w:uiPriority w:val="39"/>
    <w:qFormat/>
    <w:pPr>
      <w:jc w:val="left"/>
      <w:spacing w:before="120" w:after="120" w:line="400" w:lineRule="exact"/>
      <w:tabs>
        <w:tab w:val="right" w:pos="8720" w:leader="dot"/>
      </w:tabs>
    </w:pPr>
    <w:rPr>
      <w:rFonts w:ascii="宋体" w:hAnsi="宋体"/>
      <w:caps/>
      <w:sz w:val="24"/>
      <w:szCs w:val="24"/>
    </w:rPr>
  </w:style>
  <w:style w:type="paragraph" w:styleId="717">
    <w:name w:val="toc 4"/>
    <w:basedOn w:val="671"/>
    <w:next w:val="671"/>
    <w:uiPriority w:val="39"/>
    <w:qFormat/>
    <w:pPr>
      <w:ind w:left="630"/>
      <w:jc w:val="left"/>
    </w:pPr>
    <w:rPr>
      <w:rFonts w:ascii="Times New Roman" w:hAnsi="Times New Roman"/>
      <w:szCs w:val="21"/>
    </w:rPr>
  </w:style>
  <w:style w:type="paragraph" w:styleId="718">
    <w:name w:val="index heading"/>
    <w:basedOn w:val="671"/>
    <w:next w:val="719"/>
    <w:uiPriority w:val="0"/>
    <w:qFormat/>
  </w:style>
  <w:style w:type="paragraph" w:styleId="719">
    <w:name w:val="index 1"/>
    <w:basedOn w:val="671"/>
    <w:next w:val="671"/>
    <w:uiPriority w:val="0"/>
    <w:qFormat/>
    <w:pPr>
      <w:spacing w:line="240" w:lineRule="atLeast"/>
    </w:pPr>
    <w:rPr>
      <w:rFonts w:ascii="Times New Roman" w:hAnsi="Times New Roman"/>
      <w:b/>
      <w:bCs/>
      <w:szCs w:val="21"/>
    </w:rPr>
  </w:style>
  <w:style w:type="paragraph" w:styleId="720">
    <w:name w:val="Subtitle"/>
    <w:basedOn w:val="671"/>
    <w:next w:val="671"/>
    <w:link w:val="1130"/>
    <w:uiPriority w:val="0"/>
    <w:qFormat/>
    <w:pPr>
      <w:spacing w:before="200" w:after="200"/>
    </w:pPr>
    <w:rPr>
      <w:sz w:val="24"/>
      <w:szCs w:val="24"/>
    </w:rPr>
  </w:style>
  <w:style w:type="paragraph" w:styleId="721">
    <w:name w:val="List"/>
    <w:basedOn w:val="671"/>
    <w:uiPriority w:val="0"/>
    <w:qFormat/>
    <w:pPr>
      <w:ind w:left="200" w:hanging="200"/>
    </w:pPr>
    <w:rPr>
      <w:rFonts w:ascii="Times New Roman" w:hAnsi="Times New Roman"/>
      <w:szCs w:val="21"/>
    </w:rPr>
  </w:style>
  <w:style w:type="paragraph" w:styleId="722">
    <w:name w:val="footnote text"/>
    <w:basedOn w:val="671"/>
    <w:link w:val="895"/>
    <w:uiPriority w:val="0"/>
    <w:qFormat/>
    <w:pPr>
      <w:jc w:val="left"/>
    </w:pPr>
    <w:rPr>
      <w:rFonts w:ascii="宋体"/>
      <w:bCs/>
      <w:sz w:val="18"/>
      <w:szCs w:val="18"/>
    </w:rPr>
  </w:style>
  <w:style w:type="paragraph" w:styleId="723">
    <w:name w:val="toc 6"/>
    <w:basedOn w:val="671"/>
    <w:next w:val="671"/>
    <w:uiPriority w:val="39"/>
    <w:qFormat/>
    <w:pPr>
      <w:ind w:left="1050"/>
      <w:jc w:val="left"/>
    </w:pPr>
    <w:rPr>
      <w:rFonts w:ascii="Times New Roman" w:hAnsi="Times New Roman"/>
      <w:szCs w:val="21"/>
    </w:rPr>
  </w:style>
  <w:style w:type="paragraph" w:styleId="724">
    <w:name w:val="Body Text Indent 3"/>
    <w:basedOn w:val="671"/>
    <w:link w:val="777"/>
    <w:uiPriority w:val="0"/>
    <w:qFormat/>
    <w:pPr>
      <w:ind w:left="645" w:firstLine="645"/>
    </w:pPr>
    <w:rPr>
      <w:rFonts w:ascii="Arial" w:hAnsi="Arial" w:eastAsia="仿宋_GB2312" w:cs="Arial"/>
      <w:color w:val="ffff00"/>
      <w:sz w:val="32"/>
      <w:szCs w:val="32"/>
    </w:rPr>
  </w:style>
  <w:style w:type="paragraph" w:styleId="725">
    <w:name w:val="index 7"/>
    <w:basedOn w:val="671"/>
    <w:next w:val="671"/>
    <w:uiPriority w:val="0"/>
    <w:qFormat/>
    <w:pPr>
      <w:ind w:left="1200"/>
    </w:pPr>
  </w:style>
  <w:style w:type="paragraph" w:styleId="726">
    <w:name w:val="index 9"/>
    <w:basedOn w:val="671"/>
    <w:next w:val="671"/>
    <w:uiPriority w:val="0"/>
    <w:qFormat/>
    <w:pPr>
      <w:ind w:left="1600"/>
    </w:pPr>
  </w:style>
  <w:style w:type="paragraph" w:styleId="727">
    <w:name w:val="table of figures"/>
    <w:basedOn w:val="671"/>
    <w:next w:val="671"/>
    <w:uiPriority w:val="0"/>
    <w:qFormat/>
    <w:pPr>
      <w:ind w:left="840" w:hanging="420"/>
    </w:pPr>
    <w:rPr>
      <w:rFonts w:ascii="Times New Roman" w:hAnsi="Times New Roman"/>
      <w:szCs w:val="21"/>
    </w:rPr>
  </w:style>
  <w:style w:type="paragraph" w:styleId="728">
    <w:name w:val="toc 2"/>
    <w:basedOn w:val="671"/>
    <w:next w:val="671"/>
    <w:uiPriority w:val="39"/>
    <w:qFormat/>
    <w:pPr>
      <w:ind w:left="210"/>
      <w:jc w:val="left"/>
    </w:pPr>
    <w:rPr>
      <w:rFonts w:ascii="Times New Roman" w:hAnsi="Times New Roman"/>
      <w:smallCaps/>
      <w:szCs w:val="24"/>
    </w:rPr>
  </w:style>
  <w:style w:type="paragraph" w:styleId="729">
    <w:name w:val="toc 9"/>
    <w:basedOn w:val="671"/>
    <w:next w:val="671"/>
    <w:uiPriority w:val="39"/>
    <w:qFormat/>
    <w:pPr>
      <w:ind w:left="1680"/>
      <w:jc w:val="left"/>
    </w:pPr>
    <w:rPr>
      <w:rFonts w:ascii="Times New Roman" w:hAnsi="Times New Roman"/>
      <w:szCs w:val="21"/>
    </w:rPr>
  </w:style>
  <w:style w:type="paragraph" w:styleId="730">
    <w:name w:val="Body Text 2"/>
    <w:basedOn w:val="671"/>
    <w:link w:val="778"/>
    <w:uiPriority w:val="0"/>
    <w:qFormat/>
    <w:pPr>
      <w:jc w:val="center"/>
      <w:widowControl/>
    </w:pPr>
    <w:rPr>
      <w:rFonts w:ascii="楷体_GB2312" w:hAnsi="Times New Roman" w:eastAsia="楷体_GB2312"/>
      <w:sz w:val="28"/>
      <w:szCs w:val="28"/>
    </w:rPr>
  </w:style>
  <w:style w:type="paragraph" w:styleId="731">
    <w:name w:val="List Continue 2"/>
    <w:basedOn w:val="671"/>
    <w:next w:val="671"/>
    <w:uiPriority w:val="0"/>
    <w:qFormat/>
    <w:pPr>
      <w:ind w:left="840"/>
      <w:spacing w:after="120"/>
    </w:pPr>
  </w:style>
  <w:style w:type="paragraph" w:styleId="732">
    <w:name w:val="HTML Preformatted"/>
    <w:basedOn w:val="671"/>
    <w:link w:val="8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33">
    <w:name w:val="Normal (Web)"/>
    <w:basedOn w:val="671"/>
    <w:uiPriority w:val="0"/>
    <w:qFormat/>
    <w:pPr>
      <w:jc w:val="left"/>
      <w:spacing w:before="100" w:beforeAutospacing="1" w:after="100" w:afterAutospacing="1"/>
      <w:widowControl/>
    </w:pPr>
    <w:rPr>
      <w:rFonts w:ascii="宋体" w:hAnsi="宋体" w:cs="宋体"/>
      <w:sz w:val="24"/>
      <w:szCs w:val="24"/>
    </w:rPr>
  </w:style>
  <w:style w:type="paragraph" w:styleId="734">
    <w:name w:val="index 2"/>
    <w:basedOn w:val="671"/>
    <w:next w:val="671"/>
    <w:uiPriority w:val="0"/>
    <w:qFormat/>
    <w:pPr>
      <w:ind w:left="200"/>
    </w:pPr>
  </w:style>
  <w:style w:type="paragraph" w:styleId="735">
    <w:name w:val="Title"/>
    <w:basedOn w:val="671"/>
    <w:link w:val="1006"/>
    <w:uiPriority w:val="0"/>
    <w:qFormat/>
    <w:pPr>
      <w:jc w:val="center"/>
      <w:spacing w:before="240" w:after="60"/>
      <w:outlineLvl w:val="0"/>
    </w:pPr>
    <w:rPr>
      <w:rFonts w:ascii="Cambria" w:hAnsi="Cambria"/>
      <w:b/>
      <w:bCs/>
      <w:sz w:val="32"/>
      <w:szCs w:val="32"/>
    </w:rPr>
  </w:style>
  <w:style w:type="paragraph" w:styleId="736">
    <w:name w:val="annotation subject"/>
    <w:basedOn w:val="693"/>
    <w:next w:val="693"/>
    <w:link w:val="779"/>
    <w:uiPriority w:val="0"/>
    <w:qFormat/>
    <w:rPr>
      <w:rFonts w:ascii="Times New Roman" w:hAnsi="Times New Roman"/>
      <w:b/>
      <w:bCs/>
      <w:szCs w:val="21"/>
    </w:rPr>
  </w:style>
  <w:style w:type="paragraph" w:styleId="737">
    <w:name w:val="Body Text First Indent"/>
    <w:basedOn w:val="671"/>
    <w:link w:val="780"/>
    <w:uiPriority w:val="0"/>
    <w:qFormat/>
    <w:pPr>
      <w:ind w:firstLine="200"/>
      <w:spacing w:line="360" w:lineRule="auto"/>
    </w:pPr>
    <w:rPr>
      <w:rFonts w:ascii="仿宋_GB2312" w:hAnsi="Times New Roman" w:eastAsia="仿宋_GB2312"/>
      <w:sz w:val="30"/>
      <w:szCs w:val="30"/>
    </w:rPr>
  </w:style>
  <w:style w:type="paragraph" w:styleId="738">
    <w:name w:val="Body Text First Indent 2"/>
    <w:basedOn w:val="698"/>
    <w:link w:val="781"/>
    <w:uiPriority w:val="0"/>
    <w:qFormat/>
    <w:pPr>
      <w:ind w:left="0" w:firstLine="420"/>
      <w:spacing w:after="0" w:line="360" w:lineRule="auto"/>
    </w:pPr>
    <w:rPr>
      <w:rFonts w:ascii="宋体" w:hAnsi="宋体"/>
      <w:szCs w:val="20"/>
    </w:rPr>
  </w:style>
  <w:style w:type="table" w:styleId="739">
    <w:name w:val="Table Grid"/>
    <w:basedOn w:val="682"/>
    <w:uiPriority w:val="0"/>
    <w:qFormat/>
    <w:pPr>
      <w:jc w:val="both"/>
      <w:widowControl w:val="off"/>
    </w:pPr>
    <w:tblPr>
      <w:tblCellMar>
        <w:left w:w="108" w:type="dxa"/>
        <w:top w:w="0" w:type="dxa"/>
        <w:right w:w="108" w:type="dxa"/>
        <w:bottom w:w="0" w:type="dxa"/>
      </w:tblCellMar>
    </w:tblPr>
  </w:style>
  <w:style w:type="character" w:styleId="740">
    <w:name w:val="Strong"/>
    <w:uiPriority w:val="0"/>
    <w:qFormat/>
    <w:rPr>
      <w:b/>
      <w:bCs/>
    </w:rPr>
  </w:style>
  <w:style w:type="character" w:styleId="741">
    <w:name w:val="endnote reference"/>
    <w:uiPriority w:val="0"/>
    <w:qFormat/>
    <w:rPr>
      <w:vertAlign w:val="superscript"/>
    </w:rPr>
  </w:style>
  <w:style w:type="character" w:styleId="742">
    <w:name w:val="page number"/>
    <w:uiPriority w:val="0"/>
    <w:qFormat/>
  </w:style>
  <w:style w:type="character" w:styleId="743">
    <w:name w:val="FollowedHyperlink"/>
    <w:uiPriority w:val="0"/>
    <w:qFormat/>
    <w:rPr>
      <w:color w:val="800080"/>
      <w:u w:val="single"/>
    </w:rPr>
  </w:style>
  <w:style w:type="character" w:styleId="744">
    <w:name w:val="Emphasis"/>
    <w:uiPriority w:val="20"/>
    <w:qFormat/>
    <w:rPr>
      <w:color w:val="cc0033"/>
    </w:rPr>
  </w:style>
  <w:style w:type="character" w:styleId="745">
    <w:name w:val="HTML Typewriter"/>
    <w:uiPriority w:val="0"/>
    <w:qFormat/>
    <w:rPr>
      <w:rFonts w:ascii="宋体" w:eastAsia="宋体" w:cs="宋体"/>
      <w:sz w:val="24"/>
      <w:szCs w:val="24"/>
      <w:lang w:bidi="ar-SA"/>
    </w:rPr>
  </w:style>
  <w:style w:type="character" w:styleId="746">
    <w:name w:val="Hyperlink"/>
    <w:uiPriority w:val="99"/>
    <w:qFormat/>
    <w:rPr>
      <w:color w:val="0000ff"/>
      <w:u w:val="single"/>
    </w:rPr>
  </w:style>
  <w:style w:type="character" w:styleId="747">
    <w:name w:val="annotation reference"/>
    <w:uiPriority w:val="99"/>
    <w:qFormat/>
    <w:rPr>
      <w:sz w:val="21"/>
      <w:szCs w:val="21"/>
    </w:rPr>
  </w:style>
  <w:style w:type="character" w:styleId="748">
    <w:name w:val="HTML Cite"/>
    <w:uiPriority w:val="99"/>
    <w:semiHidden/>
    <w:unhideWhenUsed/>
    <w:qFormat/>
    <w:rPr>
      <w:color w:val="008000"/>
    </w:rPr>
  </w:style>
  <w:style w:type="character" w:styleId="749">
    <w:name w:val="footnote reference"/>
    <w:uiPriority w:val="0"/>
    <w:qFormat/>
    <w:rPr>
      <w:vertAlign w:val="superscript"/>
    </w:rPr>
  </w:style>
  <w:style w:type="paragraph" w:styleId="750" w:customStyle="1">
    <w:name w:val="TOC 标题1"/>
    <w:uiPriority w:val="39"/>
    <w:unhideWhenUsed/>
    <w:qFormat/>
    <w:rPr>
      <w:rFonts w:ascii="Calibri" w:hAnsi="Calibri" w:eastAsia="宋体" w:cs="Times New Roman"/>
      <w:lang w:val="en-US" w:eastAsia="zh-CN" w:bidi="ar-SA"/>
    </w:rPr>
  </w:style>
  <w:style w:type="paragraph" w:styleId="751">
    <w:name w:val="No Spacing"/>
    <w:link w:val="817"/>
    <w:uiPriority w:val="1"/>
    <w:qFormat/>
    <w:pPr>
      <w:jc w:val="both"/>
      <w:widowControl w:val="off"/>
    </w:pPr>
    <w:rPr>
      <w:rFonts w:ascii="Times New Roman" w:hAnsi="Times New Roman" w:eastAsia="宋体" w:cs="Times New Roman"/>
      <w:sz w:val="21"/>
      <w:szCs w:val="21"/>
      <w:lang w:val="en-US" w:eastAsia="zh-CN" w:bidi="ar-SA"/>
    </w:rPr>
  </w:style>
  <w:style w:type="paragraph" w:styleId="752">
    <w:name w:val="Quote"/>
    <w:basedOn w:val="671"/>
    <w:next w:val="671"/>
    <w:link w:val="1141"/>
    <w:uiPriority w:val="0"/>
    <w:qFormat/>
    <w:pPr>
      <w:ind w:left="720" w:right="720"/>
    </w:pPr>
    <w:rPr>
      <w:i/>
    </w:rPr>
  </w:style>
  <w:style w:type="paragraph" w:styleId="753">
    <w:name w:val="Intense Quote"/>
    <w:basedOn w:val="671"/>
    <w:next w:val="671"/>
    <w:link w:val="114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4" w:customStyle="1">
    <w:name w:val="TOC 标题111"/>
    <w:basedOn w:val="672"/>
    <w:next w:val="671"/>
    <w:uiPriority w:val="39"/>
    <w:qFormat/>
    <w:pPr>
      <w:jc w:val="both"/>
      <w:keepLines/>
      <w:spacing w:before="480" w:line="276" w:lineRule="auto"/>
      <w:widowControl/>
      <w:outlineLvl w:val="9"/>
    </w:pPr>
    <w:rPr>
      <w:rFonts w:ascii="Cambria" w:hAnsi="Cambria" w:eastAsia="宋体"/>
      <w:b/>
      <w:color w:val="365f91"/>
      <w:szCs w:val="20"/>
      <w:lang w:eastAsia="en-US"/>
    </w:rPr>
  </w:style>
  <w:style w:type="character" w:styleId="755" w:customStyle="1">
    <w:name w:val="标题 1 Char"/>
    <w:link w:val="672"/>
    <w:uiPriority w:val="0"/>
    <w:qFormat/>
    <w:rPr>
      <w:rFonts w:ascii="楷体_GB2312" w:hAnsi="Times New Roman" w:eastAsia="楷体_GB2312" w:cs="Times New Roman"/>
      <w:sz w:val="28"/>
      <w:szCs w:val="28"/>
    </w:rPr>
  </w:style>
  <w:style w:type="character" w:styleId="756" w:customStyle="1">
    <w:name w:val="正文缩进 Char"/>
    <w:link w:val="683"/>
    <w:uiPriority w:val="0"/>
    <w:qFormat/>
    <w:rPr>
      <w:szCs w:val="21"/>
    </w:rPr>
  </w:style>
  <w:style w:type="character" w:styleId="757" w:customStyle="1">
    <w:name w:val="标题 2 Char"/>
    <w:link w:val="673"/>
    <w:uiPriority w:val="0"/>
    <w:qFormat/>
    <w:rPr>
      <w:rFonts w:ascii="Arial" w:hAnsi="Arial" w:eastAsia="幼圆" w:cs="Arial"/>
      <w:b/>
      <w:bCs/>
      <w:sz w:val="44"/>
      <w:szCs w:val="44"/>
    </w:rPr>
  </w:style>
  <w:style w:type="character" w:styleId="758" w:customStyle="1">
    <w:name w:val="标题 3 Char"/>
    <w:link w:val="674"/>
    <w:uiPriority w:val="0"/>
    <w:qFormat/>
    <w:rPr>
      <w:rFonts w:ascii="Times New Roman" w:hAnsi="Times New Roman" w:eastAsia="宋体" w:cs="Times New Roman"/>
      <w:b/>
      <w:bCs/>
      <w:sz w:val="32"/>
      <w:szCs w:val="32"/>
    </w:rPr>
  </w:style>
  <w:style w:type="character" w:styleId="759" w:customStyle="1">
    <w:name w:val="标题 4 Char"/>
    <w:link w:val="675"/>
    <w:uiPriority w:val="0"/>
    <w:qFormat/>
    <w:rPr>
      <w:rFonts w:ascii="Arial" w:hAnsi="Arial" w:eastAsia="黑体" w:cs="Arial"/>
      <w:b/>
      <w:bCs/>
      <w:sz w:val="28"/>
      <w:szCs w:val="28"/>
    </w:rPr>
  </w:style>
  <w:style w:type="character" w:styleId="760" w:customStyle="1">
    <w:name w:val="标题 5 Char"/>
    <w:link w:val="676"/>
    <w:uiPriority w:val="9"/>
    <w:qFormat/>
    <w:rPr>
      <w:rFonts w:ascii="宋体" w:hAnsi="Times New Roman" w:eastAsia="宋体" w:cs="Times New Roman"/>
      <w:color w:val="000000"/>
      <w:sz w:val="28"/>
      <w:szCs w:val="28"/>
    </w:rPr>
  </w:style>
  <w:style w:type="character" w:styleId="761" w:customStyle="1">
    <w:name w:val="标题 6 Char"/>
    <w:link w:val="677"/>
    <w:uiPriority w:val="0"/>
    <w:qFormat/>
    <w:rPr>
      <w:rFonts w:ascii="Arial" w:hAnsi="Arial" w:eastAsia="黑体"/>
      <w:b/>
      <w:bCs/>
      <w:sz w:val="24"/>
      <w:szCs w:val="24"/>
    </w:rPr>
  </w:style>
  <w:style w:type="character" w:styleId="762" w:customStyle="1">
    <w:name w:val="标题 7 Char"/>
    <w:link w:val="678"/>
    <w:uiPriority w:val="0"/>
    <w:qFormat/>
    <w:rPr>
      <w:rFonts w:ascii="Times New Roman" w:hAnsi="Times New Roman"/>
      <w:b/>
      <w:bCs/>
      <w:sz w:val="24"/>
      <w:szCs w:val="24"/>
    </w:rPr>
  </w:style>
  <w:style w:type="character" w:styleId="763" w:customStyle="1">
    <w:name w:val="标题 8 Char"/>
    <w:link w:val="679"/>
    <w:uiPriority w:val="0"/>
    <w:qFormat/>
    <w:rPr>
      <w:rFonts w:ascii="Arial" w:hAnsi="Arial" w:eastAsia="黑体"/>
      <w:sz w:val="24"/>
      <w:szCs w:val="24"/>
    </w:rPr>
  </w:style>
  <w:style w:type="character" w:styleId="764" w:customStyle="1">
    <w:name w:val="标题 9 Char"/>
    <w:link w:val="680"/>
    <w:uiPriority w:val="0"/>
    <w:qFormat/>
    <w:rPr>
      <w:rFonts w:ascii="Arial" w:hAnsi="Arial" w:eastAsia="黑体"/>
      <w:sz w:val="21"/>
      <w:szCs w:val="21"/>
    </w:rPr>
  </w:style>
  <w:style w:type="character" w:styleId="765" w:customStyle="1">
    <w:name w:val="文档结构图 Char"/>
    <w:link w:val="692"/>
    <w:uiPriority w:val="0"/>
    <w:qFormat/>
    <w:rPr>
      <w:rFonts w:ascii="Times New Roman" w:hAnsi="Times New Roman" w:eastAsia="宋体" w:cs="Times New Roman"/>
      <w:szCs w:val="21"/>
      <w:shd w:val="clear" w:color="auto" w:fill="000080"/>
    </w:rPr>
  </w:style>
  <w:style w:type="character" w:styleId="766" w:customStyle="1">
    <w:name w:val="批注文字 Char"/>
    <w:link w:val="693"/>
    <w:uiPriority w:val="99"/>
    <w:qFormat/>
  </w:style>
  <w:style w:type="character" w:styleId="767" w:customStyle="1">
    <w:name w:val="正文文本 3 Char"/>
    <w:link w:val="695"/>
    <w:uiPriority w:val="0"/>
    <w:qFormat/>
    <w:rPr>
      <w:rFonts w:ascii="仿宋_GB2312" w:hAnsi="Arial" w:eastAsia="仿宋_GB2312" w:cs="Times New Roman"/>
      <w:sz w:val="32"/>
      <w:szCs w:val="32"/>
    </w:rPr>
  </w:style>
  <w:style w:type="character" w:styleId="768" w:customStyle="1">
    <w:name w:val="正文文本 Char"/>
    <w:link w:val="697"/>
    <w:uiPriority w:val="0"/>
    <w:qFormat/>
    <w:rPr>
      <w:rFonts w:ascii="楷体_GB2312" w:hAnsi="Arial" w:eastAsia="楷体_GB2312" w:cs="Times New Roman"/>
      <w:sz w:val="28"/>
      <w:szCs w:val="28"/>
    </w:rPr>
  </w:style>
  <w:style w:type="character" w:styleId="769" w:customStyle="1">
    <w:name w:val="正文文本缩进 Char"/>
    <w:link w:val="698"/>
    <w:uiPriority w:val="0"/>
    <w:qFormat/>
  </w:style>
  <w:style w:type="paragraph" w:styleId="770" w:customStyle="1">
    <w:name w:val="纯文本1"/>
    <w:basedOn w:val="671"/>
    <w:link w:val="771"/>
    <w:uiPriority w:val="0"/>
    <w:qFormat/>
    <w:rPr>
      <w:rFonts w:ascii="宋体" w:hAnsi="Courier New" w:cs="Courier New"/>
      <w:szCs w:val="21"/>
    </w:rPr>
  </w:style>
  <w:style w:type="character" w:styleId="771" w:customStyle="1">
    <w:name w:val="纯文本 Char"/>
    <w:link w:val="770"/>
    <w:uiPriority w:val="0"/>
    <w:qFormat/>
    <w:rPr>
      <w:rFonts w:ascii="宋体" w:hAnsi="Courier New" w:eastAsia="宋体" w:cs="Courier New"/>
      <w:szCs w:val="21"/>
    </w:rPr>
  </w:style>
  <w:style w:type="character" w:styleId="772" w:customStyle="1">
    <w:name w:val="日期 Char"/>
    <w:link w:val="710"/>
    <w:uiPriority w:val="0"/>
    <w:qFormat/>
    <w:rPr>
      <w:rFonts w:ascii="Times New Roman" w:hAnsi="Times New Roman" w:eastAsia="宋体" w:cs="Times New Roman"/>
      <w:sz w:val="24"/>
      <w:szCs w:val="24"/>
    </w:rPr>
  </w:style>
  <w:style w:type="character" w:styleId="773" w:customStyle="1">
    <w:name w:val="正文文本缩进 2 Char"/>
    <w:link w:val="711"/>
    <w:uiPriority w:val="0"/>
    <w:qFormat/>
    <w:rPr>
      <w:rFonts w:ascii="Arial" w:hAnsi="Arial" w:eastAsia="仿宋_GB2312" w:cs="Arial"/>
      <w:sz w:val="32"/>
      <w:szCs w:val="32"/>
    </w:rPr>
  </w:style>
  <w:style w:type="character" w:styleId="774" w:customStyle="1">
    <w:name w:val="批注框文本 Char"/>
    <w:link w:val="713"/>
    <w:uiPriority w:val="0"/>
    <w:qFormat/>
    <w:rPr>
      <w:rFonts w:ascii="Times New Roman" w:hAnsi="Times New Roman" w:eastAsia="宋体" w:cs="Times New Roman"/>
      <w:sz w:val="18"/>
      <w:szCs w:val="18"/>
    </w:rPr>
  </w:style>
  <w:style w:type="character" w:styleId="775" w:customStyle="1">
    <w:name w:val="页脚 Char"/>
    <w:link w:val="714"/>
    <w:uiPriority w:val="99"/>
    <w:qFormat/>
    <w:rPr>
      <w:rFonts w:ascii="Times New Roman" w:hAnsi="Times New Roman" w:eastAsia="宋体" w:cs="Times New Roman"/>
      <w:sz w:val="18"/>
      <w:szCs w:val="18"/>
    </w:rPr>
  </w:style>
  <w:style w:type="character" w:styleId="776" w:customStyle="1">
    <w:name w:val="页眉 Char"/>
    <w:link w:val="715"/>
    <w:uiPriority w:val="99"/>
    <w:qFormat/>
    <w:rPr>
      <w:rFonts w:ascii="Times New Roman" w:hAnsi="Times New Roman" w:eastAsia="宋体" w:cs="Times New Roman"/>
      <w:sz w:val="18"/>
      <w:szCs w:val="18"/>
    </w:rPr>
  </w:style>
  <w:style w:type="character" w:styleId="777" w:customStyle="1">
    <w:name w:val="正文文本缩进 3 Char"/>
    <w:link w:val="724"/>
    <w:uiPriority w:val="0"/>
    <w:qFormat/>
    <w:rPr>
      <w:rFonts w:ascii="Arial" w:hAnsi="Arial" w:eastAsia="仿宋_GB2312" w:cs="Arial"/>
      <w:color w:val="ffff00"/>
      <w:sz w:val="32"/>
      <w:szCs w:val="32"/>
    </w:rPr>
  </w:style>
  <w:style w:type="character" w:styleId="778" w:customStyle="1">
    <w:name w:val="正文文本 2 Char"/>
    <w:link w:val="730"/>
    <w:uiPriority w:val="0"/>
    <w:qFormat/>
    <w:rPr>
      <w:rFonts w:ascii="楷体_GB2312" w:hAnsi="Times New Roman" w:eastAsia="楷体_GB2312" w:cs="Times New Roman"/>
      <w:sz w:val="28"/>
      <w:szCs w:val="28"/>
    </w:rPr>
  </w:style>
  <w:style w:type="character" w:styleId="779" w:customStyle="1">
    <w:name w:val="批注主题 Char"/>
    <w:link w:val="736"/>
    <w:uiPriority w:val="0"/>
    <w:qFormat/>
    <w:rPr>
      <w:rFonts w:ascii="Times New Roman" w:hAnsi="Times New Roman" w:eastAsia="宋体" w:cs="Times New Roman"/>
      <w:b/>
      <w:bCs/>
      <w:szCs w:val="21"/>
    </w:rPr>
  </w:style>
  <w:style w:type="character" w:styleId="780" w:customStyle="1">
    <w:name w:val="正文首行缩进 Char"/>
    <w:link w:val="737"/>
    <w:uiPriority w:val="0"/>
    <w:qFormat/>
    <w:rPr>
      <w:rFonts w:ascii="仿宋_GB2312" w:hAnsi="Times New Roman" w:eastAsia="仿宋_GB2312" w:cs="Times New Roman"/>
      <w:sz w:val="30"/>
      <w:szCs w:val="30"/>
    </w:rPr>
  </w:style>
  <w:style w:type="character" w:styleId="781" w:customStyle="1">
    <w:name w:val="正文首行缩进 2 Char"/>
    <w:link w:val="738"/>
    <w:uiPriority w:val="0"/>
    <w:qFormat/>
    <w:rPr>
      <w:rFonts w:ascii="宋体" w:hAnsi="宋体" w:eastAsia="宋体" w:cs="Times New Roman"/>
      <w:szCs w:val="20"/>
    </w:rPr>
  </w:style>
  <w:style w:type="character" w:styleId="782" w:customStyle="1">
    <w:name w:val="font5 Char"/>
    <w:uiPriority w:val="0"/>
    <w:qFormat/>
    <w:rPr>
      <w:rFonts w:ascii="宋体" w:hAnsi="宋体" w:eastAsia="宋体"/>
      <w:sz w:val="28"/>
      <w:szCs w:val="28"/>
      <w:lang w:val="en-US" w:eastAsia="zh-CN" w:bidi="ar-SA"/>
    </w:rPr>
  </w:style>
  <w:style w:type="character" w:styleId="783" w:customStyle="1">
    <w:name w:val="二级目录 Char"/>
    <w:link w:val="784"/>
    <w:uiPriority w:val="0"/>
    <w:qFormat/>
    <w:rPr>
      <w:b/>
      <w:sz w:val="30"/>
      <w:szCs w:val="28"/>
    </w:rPr>
  </w:style>
  <w:style w:type="paragraph" w:styleId="784" w:customStyle="1">
    <w:name w:val="二级目录"/>
    <w:next w:val="671"/>
    <w:link w:val="783"/>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785" w:customStyle="1">
    <w:name w:val="列出段落 Char"/>
    <w:link w:val="786"/>
    <w:uiPriority w:val="0"/>
    <w:qFormat/>
    <w:rPr>
      <w:rFonts w:ascii="Calibri" w:hAnsi="Calibri"/>
      <w:sz w:val="24"/>
      <w:szCs w:val="24"/>
      <w:lang w:eastAsia="en-US" w:bidi="en-US"/>
    </w:rPr>
  </w:style>
  <w:style w:type="paragraph" w:styleId="786" w:customStyle="1">
    <w:name w:val="列出段落1"/>
    <w:basedOn w:val="671"/>
    <w:link w:val="785"/>
    <w:uiPriority w:val="0"/>
    <w:qFormat/>
    <w:pPr>
      <w:contextualSpacing/>
      <w:ind w:left="720"/>
      <w:jc w:val="left"/>
      <w:widowControl/>
    </w:pPr>
    <w:rPr>
      <w:sz w:val="24"/>
      <w:szCs w:val="24"/>
      <w:lang w:eastAsia="en-US" w:bidi="en-US"/>
    </w:rPr>
  </w:style>
  <w:style w:type="paragraph" w:styleId="787" w:customStyle="1">
    <w:name w:val="Body Text(ch)"/>
    <w:basedOn w:val="671"/>
    <w:next w:val="697"/>
    <w:uiPriority w:val="0"/>
    <w:qFormat/>
    <w:pPr>
      <w:spacing w:after="120"/>
    </w:pPr>
    <w:rPr>
      <w:rFonts w:ascii="宋体" w:hAnsi="Arial"/>
      <w:bCs/>
      <w:iCs/>
      <w:szCs w:val="24"/>
    </w:rPr>
  </w:style>
  <w:style w:type="paragraph" w:styleId="788" w:customStyle="1">
    <w:name w:val="xl27"/>
    <w:basedOn w:val="6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9" w:customStyle="1">
    <w:name w:val="xl26"/>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90" w:customStyle="1">
    <w:name w:val="Char"/>
    <w:basedOn w:val="671"/>
    <w:uiPriority w:val="0"/>
    <w:qFormat/>
    <w:pPr>
      <w:ind w:firstLine="200"/>
      <w:tabs>
        <w:tab w:val="left" w:pos="360" w:leader="none"/>
      </w:tabs>
    </w:pPr>
    <w:rPr>
      <w:rFonts w:ascii="Times New Roman" w:hAnsi="Times New Roman"/>
      <w:sz w:val="28"/>
      <w:szCs w:val="30"/>
    </w:rPr>
  </w:style>
  <w:style w:type="paragraph" w:styleId="791" w:customStyle="1">
    <w:name w:val="Char1111"/>
    <w:basedOn w:val="692"/>
    <w:uiPriority w:val="0"/>
    <w:qFormat/>
    <w:rPr>
      <w:rFonts w:ascii="Tahoma" w:hAnsi="Tahoma"/>
      <w:sz w:val="24"/>
      <w:szCs w:val="24"/>
    </w:rPr>
  </w:style>
  <w:style w:type="paragraph" w:styleId="792" w:customStyle="1">
    <w:name w:val="普通正文"/>
    <w:basedOn w:val="671"/>
    <w:uiPriority w:val="0"/>
    <w:qFormat/>
    <w:pPr>
      <w:ind w:firstLine="480"/>
      <w:jc w:val="left"/>
      <w:spacing w:before="120" w:after="120" w:line="360" w:lineRule="auto"/>
    </w:pPr>
    <w:rPr>
      <w:rFonts w:ascii="Arial" w:hAnsi="Arial"/>
      <w:sz w:val="24"/>
      <w:szCs w:val="24"/>
    </w:rPr>
  </w:style>
  <w:style w:type="paragraph" w:styleId="793" w:customStyle="1">
    <w:name w:val="table_lines"/>
    <w:basedOn w:val="671"/>
    <w:uiPriority w:val="0"/>
    <w:qFormat/>
    <w:pPr>
      <w:jc w:val="left"/>
      <w:widowControl/>
    </w:pPr>
    <w:rPr>
      <w:rFonts w:ascii="Times New Roman" w:hAnsi="Times New Roman"/>
      <w:sz w:val="20"/>
      <w:szCs w:val="20"/>
      <w:lang w:val="de-DE" w:eastAsia="de-DE"/>
    </w:rPr>
  </w:style>
  <w:style w:type="paragraph" w:styleId="79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795" w:customStyle="1">
    <w:name w:val="font7"/>
    <w:basedOn w:val="671"/>
    <w:uiPriority w:val="0"/>
    <w:qFormat/>
    <w:pPr>
      <w:jc w:val="left"/>
      <w:spacing w:before="100" w:beforeAutospacing="1" w:after="100" w:afterAutospacing="1"/>
      <w:widowControl/>
    </w:pPr>
    <w:rPr>
      <w:rFonts w:hint="eastAsia" w:ascii="宋体" w:hAnsi="宋体"/>
      <w:sz w:val="18"/>
      <w:szCs w:val="18"/>
    </w:rPr>
  </w:style>
  <w:style w:type="paragraph" w:styleId="796" w:customStyle="1">
    <w:name w:val="Char Char Char Char"/>
    <w:basedOn w:val="692"/>
    <w:uiPriority w:val="0"/>
    <w:qFormat/>
    <w:pPr>
      <w:spacing w:line="360" w:lineRule="auto"/>
    </w:pPr>
    <w:rPr>
      <w:rFonts w:ascii="Tahoma" w:hAnsi="Tahoma"/>
      <w:sz w:val="24"/>
      <w:szCs w:val="24"/>
    </w:rPr>
  </w:style>
  <w:style w:type="paragraph" w:styleId="797">
    <w:name w:val="List Paragraph"/>
    <w:basedOn w:val="671"/>
    <w:uiPriority w:val="34"/>
    <w:qFormat/>
    <w:pPr>
      <w:ind w:firstLine="200"/>
    </w:pPr>
  </w:style>
  <w:style w:type="paragraph" w:styleId="798" w:customStyle="1">
    <w:name w:val="4"/>
    <w:basedOn w:val="671"/>
    <w:next w:val="724"/>
    <w:uiPriority w:val="0"/>
    <w:qFormat/>
    <w:pPr>
      <w:ind w:firstLine="420"/>
      <w:spacing w:line="360" w:lineRule="auto"/>
    </w:pPr>
    <w:rPr>
      <w:rFonts w:ascii="Times New Roman" w:hAnsi="Times New Roman"/>
      <w:color w:val="ff0000"/>
      <w:sz w:val="24"/>
      <w:szCs w:val="24"/>
    </w:rPr>
  </w:style>
  <w:style w:type="paragraph" w:styleId="799" w:customStyle="1">
    <w:name w:val="普通 (Web)"/>
    <w:basedOn w:val="671"/>
    <w:uiPriority w:val="0"/>
    <w:qFormat/>
    <w:pPr>
      <w:jc w:val="left"/>
      <w:spacing w:before="100" w:beforeAutospacing="1" w:after="100" w:afterAutospacing="1"/>
      <w:widowControl/>
    </w:pPr>
    <w:rPr>
      <w:rFonts w:ascii="宋体" w:hAnsi="宋体"/>
      <w:sz w:val="24"/>
      <w:szCs w:val="24"/>
    </w:rPr>
  </w:style>
  <w:style w:type="paragraph" w:styleId="800" w:customStyle="1">
    <w:name w:val="Char Char Char Char Char Char Char Char Char Char"/>
    <w:basedOn w:val="671"/>
    <w:uiPriority w:val="0"/>
    <w:qFormat/>
    <w:pPr>
      <w:spacing w:line="360" w:lineRule="auto"/>
    </w:pPr>
    <w:rPr>
      <w:rFonts w:ascii="Times New Roman" w:hAnsi="Times New Roman"/>
      <w:sz w:val="24"/>
      <w:szCs w:val="20"/>
    </w:rPr>
  </w:style>
  <w:style w:type="paragraph" w:styleId="801" w:customStyle="1">
    <w:name w:val="样式1"/>
    <w:basedOn w:val="671"/>
    <w:uiPriority w:val="0"/>
    <w:qFormat/>
    <w:pPr>
      <w:numPr>
        <w:ilvl w:val="0"/>
        <w:numId w:val="3"/>
      </w:numPr>
    </w:pPr>
    <w:rPr>
      <w:rFonts w:ascii="宋体" w:hAnsi="宋体"/>
      <w:szCs w:val="21"/>
    </w:rPr>
  </w:style>
  <w:style w:type="paragraph" w:styleId="802" w:customStyle="1">
    <w:name w:val="font6"/>
    <w:basedOn w:val="671"/>
    <w:uiPriority w:val="0"/>
    <w:qFormat/>
    <w:pPr>
      <w:jc w:val="left"/>
      <w:spacing w:before="100" w:beforeAutospacing="1" w:after="100" w:afterAutospacing="1"/>
      <w:widowControl/>
    </w:pPr>
    <w:rPr>
      <w:rFonts w:hint="eastAsia" w:ascii="宋体" w:hAnsi="宋体"/>
      <w:sz w:val="28"/>
      <w:szCs w:val="28"/>
      <w:u w:val="single"/>
    </w:rPr>
  </w:style>
  <w:style w:type="paragraph" w:styleId="803" w:customStyle="1">
    <w:name w:val="xl25"/>
    <w:basedOn w:val="67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4" w:customStyle="1">
    <w:name w:val="图标"/>
    <w:basedOn w:val="671"/>
    <w:next w:val="67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05" w:customStyle="1">
    <w:name w:val="标题3"/>
    <w:basedOn w:val="671"/>
    <w:next w:val="671"/>
    <w:uiPriority w:val="0"/>
    <w:qFormat/>
    <w:pPr>
      <w:ind w:firstLine="624"/>
      <w:spacing w:line="590" w:lineRule="atLeast"/>
    </w:pPr>
    <w:rPr>
      <w:rFonts w:ascii="方正黑体_GBK" w:hAnsi="Times New Roman" w:eastAsia="方正黑体_GBK"/>
      <w:sz w:val="32"/>
      <w:szCs w:val="32"/>
    </w:rPr>
  </w:style>
  <w:style w:type="paragraph" w:styleId="806" w:customStyle="1">
    <w:name w:val="xl24"/>
    <w:basedOn w:val="6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7" w:customStyle="1">
    <w:name w:val="xl29"/>
    <w:basedOn w:val="67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8" w:customStyle="1">
    <w:name w:val="Char Char Char Char Char Char Char Char"/>
    <w:basedOn w:val="671"/>
    <w:uiPriority w:val="0"/>
    <w:qFormat/>
    <w:pPr>
      <w:jc w:val="left"/>
      <w:spacing w:after="160" w:line="240" w:lineRule="exact"/>
      <w:widowControl/>
    </w:pPr>
    <w:rPr>
      <w:rFonts w:ascii="Verdana" w:hAnsi="Verdana"/>
      <w:sz w:val="20"/>
      <w:szCs w:val="20"/>
      <w:lang w:eastAsia="en-US"/>
    </w:rPr>
  </w:style>
  <w:style w:type="paragraph" w:styleId="809" w:customStyle="1">
    <w:name w:val="xl28"/>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10" w:customStyle="1">
    <w:name w:val="Char Char Char Char Char Char Char Char11"/>
    <w:basedOn w:val="671"/>
    <w:uiPriority w:val="0"/>
    <w:qFormat/>
    <w:pPr>
      <w:jc w:val="left"/>
      <w:spacing w:after="160" w:line="240" w:lineRule="exact"/>
      <w:widowControl/>
    </w:pPr>
    <w:rPr>
      <w:rFonts w:ascii="Verdana" w:hAnsi="Verdana"/>
      <w:sz w:val="20"/>
      <w:szCs w:val="20"/>
      <w:lang w:eastAsia="en-US"/>
    </w:rPr>
  </w:style>
  <w:style w:type="paragraph" w:styleId="811" w:customStyle="1">
    <w:name w:val="xl30"/>
    <w:basedOn w:val="671"/>
    <w:uiPriority w:val="0"/>
    <w:qFormat/>
    <w:pPr>
      <w:jc w:val="center"/>
      <w:spacing w:before="100" w:beforeAutospacing="1" w:after="100" w:afterAutospacing="1"/>
      <w:widowControl/>
    </w:pPr>
    <w:rPr>
      <w:rFonts w:ascii="宋体" w:hAnsi="宋体"/>
      <w:b/>
      <w:bCs/>
      <w:sz w:val="36"/>
      <w:szCs w:val="36"/>
    </w:rPr>
  </w:style>
  <w:style w:type="paragraph" w:styleId="812" w:customStyle="1">
    <w:name w:val="Char Char Char Char111"/>
    <w:basedOn w:val="692"/>
    <w:uiPriority w:val="0"/>
    <w:qFormat/>
    <w:pPr>
      <w:spacing w:line="360" w:lineRule="auto"/>
    </w:pPr>
    <w:rPr>
      <w:rFonts w:ascii="Tahoma" w:hAnsi="Tahoma"/>
      <w:sz w:val="24"/>
      <w:szCs w:val="24"/>
    </w:rPr>
  </w:style>
  <w:style w:type="paragraph" w:styleId="813" w:customStyle="1">
    <w:name w:val="table_1stline"/>
    <w:basedOn w:val="671"/>
    <w:uiPriority w:val="0"/>
    <w:qFormat/>
    <w:pPr>
      <w:jc w:val="left"/>
      <w:spacing w:before="120"/>
      <w:widowControl/>
    </w:pPr>
    <w:rPr>
      <w:rFonts w:ascii="Times New Roman" w:hAnsi="Times New Roman"/>
      <w:bCs/>
      <w:sz w:val="20"/>
      <w:szCs w:val="20"/>
      <w:lang w:val="de-DE" w:eastAsia="de-DE"/>
    </w:rPr>
  </w:style>
  <w:style w:type="paragraph" w:styleId="814" w:customStyle="1">
    <w:name w:val="font5"/>
    <w:basedOn w:val="671"/>
    <w:uiPriority w:val="0"/>
    <w:qFormat/>
    <w:pPr>
      <w:jc w:val="left"/>
      <w:spacing w:before="100" w:beforeAutospacing="1" w:after="100" w:afterAutospacing="1"/>
      <w:widowControl/>
    </w:pPr>
    <w:rPr>
      <w:rFonts w:hint="eastAsia" w:ascii="宋体" w:hAnsi="宋体"/>
      <w:sz w:val="28"/>
      <w:szCs w:val="28"/>
    </w:rPr>
  </w:style>
  <w:style w:type="paragraph" w:styleId="815" w:customStyle="1">
    <w:name w:val="标题1"/>
    <w:basedOn w:val="671"/>
    <w:next w:val="67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16" w:customStyle="1">
    <w:name w:val="修订1"/>
    <w:uiPriority w:val="0"/>
    <w:qFormat/>
    <w:rPr>
      <w:rFonts w:ascii="Times New Roman" w:hAnsi="Times New Roman" w:eastAsia="宋体" w:cs="Times New Roman"/>
      <w:sz w:val="21"/>
      <w:szCs w:val="21"/>
      <w:lang w:val="en-US" w:eastAsia="zh-CN" w:bidi="ar-SA"/>
    </w:rPr>
  </w:style>
  <w:style w:type="character" w:styleId="817" w:customStyle="1">
    <w:name w:val="无间隔 Char"/>
    <w:link w:val="751"/>
    <w:uiPriority w:val="1"/>
    <w:qFormat/>
    <w:rPr>
      <w:rFonts w:ascii="Times New Roman" w:hAnsi="Times New Roman"/>
      <w:sz w:val="21"/>
      <w:szCs w:val="21"/>
    </w:rPr>
  </w:style>
  <w:style w:type="paragraph" w:styleId="818" w:customStyle="1">
    <w:name w:val="标题 21"/>
    <w:basedOn w:val="671"/>
    <w:next w:val="671"/>
    <w:link w:val="819"/>
    <w:uiPriority w:val="0"/>
    <w:qFormat/>
    <w:pPr>
      <w:keepLines/>
      <w:keepNext/>
      <w:spacing w:before="260" w:after="260" w:line="413" w:lineRule="auto"/>
      <w:outlineLvl w:val="1"/>
    </w:pPr>
    <w:rPr>
      <w:rFonts w:ascii="Arial" w:hAnsi="Arial" w:eastAsia="黑体"/>
      <w:b/>
      <w:sz w:val="32"/>
      <w:szCs w:val="20"/>
    </w:rPr>
  </w:style>
  <w:style w:type="character" w:styleId="819" w:customStyle="1">
    <w:name w:val="标题 2 字符"/>
    <w:link w:val="818"/>
    <w:uiPriority w:val="0"/>
    <w:qFormat/>
    <w:rPr>
      <w:rFonts w:ascii="Arial" w:hAnsi="Arial" w:eastAsia="黑体"/>
      <w:b/>
      <w:sz w:val="32"/>
    </w:rPr>
  </w:style>
  <w:style w:type="paragraph" w:styleId="820" w:customStyle="1">
    <w:name w:val="批注文字1"/>
    <w:basedOn w:val="671"/>
    <w:link w:val="821"/>
    <w:uiPriority w:val="99"/>
    <w:qFormat/>
    <w:pPr>
      <w:jc w:val="left"/>
    </w:pPr>
    <w:rPr>
      <w:szCs w:val="20"/>
    </w:rPr>
  </w:style>
  <w:style w:type="character" w:styleId="821" w:customStyle="1">
    <w:name w:val="批注文字 字符"/>
    <w:link w:val="820"/>
    <w:uiPriority w:val="99"/>
    <w:qFormat/>
    <w:rPr>
      <w:sz w:val="21"/>
    </w:rPr>
  </w:style>
  <w:style w:type="paragraph" w:styleId="822" w:customStyle="1">
    <w:name w:val="Normal_0_1"/>
    <w:uiPriority w:val="0"/>
    <w:qFormat/>
    <w:rPr>
      <w:rFonts w:ascii="黑体" w:hAnsi="黑体" w:eastAsia="黑体" w:cs="Times New Roman"/>
      <w:b/>
      <w:sz w:val="32"/>
      <w:szCs w:val="24"/>
      <w:lang w:val="en-US" w:eastAsia="zh-CN" w:bidi="ar-SA"/>
    </w:rPr>
  </w:style>
  <w:style w:type="paragraph" w:styleId="823"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824"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825" w:customStyle="1">
    <w:name w:val="正文空2字"/>
    <w:basedOn w:val="671"/>
    <w:uiPriority w:val="99"/>
    <w:qFormat/>
    <w:pPr>
      <w:ind w:firstLine="640"/>
      <w:jc w:val="left"/>
      <w:spacing w:line="560" w:lineRule="exact"/>
    </w:pPr>
    <w:rPr>
      <w:rFonts w:ascii="仿宋_GB2312" w:hAnsi="仿宋_GB2312" w:eastAsia="仿宋_GB2312" w:cs="仿宋_GB2312"/>
      <w:sz w:val="32"/>
      <w:szCs w:val="32"/>
      <w:lang w:val="zh-TW"/>
    </w:rPr>
  </w:style>
  <w:style w:type="character" w:styleId="826" w:customStyle="1">
    <w:name w:val="标题 4 字符"/>
    <w:uiPriority w:val="0"/>
    <w:qFormat/>
    <w:rPr>
      <w:rFonts w:ascii="Arial" w:hAnsi="Arial" w:eastAsia="黑体" w:cs="Arial"/>
      <w:b/>
      <w:bCs/>
      <w:sz w:val="28"/>
      <w:szCs w:val="28"/>
    </w:rPr>
  </w:style>
  <w:style w:type="paragraph" w:styleId="827" w:customStyle="1">
    <w:name w:val="Normal_20"/>
    <w:uiPriority w:val="0"/>
    <w:qFormat/>
    <w:rPr>
      <w:rFonts w:ascii="黑体" w:hAnsi="黑体" w:eastAsia="黑体" w:cs="黑体"/>
      <w:b/>
      <w:sz w:val="32"/>
      <w:szCs w:val="24"/>
      <w:lang w:val="en-US" w:eastAsia="zh-CN" w:bidi="ar-SA"/>
    </w:rPr>
  </w:style>
  <w:style w:type="paragraph" w:styleId="82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829" w:customStyle="1">
    <w:name w:val="Normal_18_0"/>
    <w:uiPriority w:val="0"/>
    <w:qFormat/>
    <w:rPr>
      <w:rFonts w:ascii="黑体" w:hAnsi="黑体" w:eastAsia="黑体" w:cs="黑体"/>
      <w:b/>
      <w:sz w:val="32"/>
      <w:szCs w:val="24"/>
      <w:lang w:val="en-US" w:eastAsia="zh-CN" w:bidi="ar-SA"/>
    </w:rPr>
  </w:style>
  <w:style w:type="paragraph" w:styleId="830" w:customStyle="1">
    <w:name w:val="正文_12_0_0_0_0"/>
    <w:basedOn w:val="671"/>
    <w:uiPriority w:val="0"/>
    <w:qFormat/>
    <w:rPr>
      <w:rFonts w:ascii="Times New Roman" w:hAnsi="Times New Roman"/>
      <w:szCs w:val="24"/>
    </w:rPr>
  </w:style>
  <w:style w:type="paragraph" w:styleId="831"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83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83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834"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835" w:customStyle="1">
    <w:name w:val="正文_16_0_0"/>
    <w:next w:val="834"/>
    <w:uiPriority w:val="0"/>
    <w:qFormat/>
    <w:pPr>
      <w:jc w:val="both"/>
      <w:widowControl w:val="off"/>
    </w:pPr>
    <w:rPr>
      <w:rFonts w:ascii="Calibri" w:hAnsi="Calibri" w:eastAsia="宋体" w:cs="Times New Roman"/>
      <w:sz w:val="21"/>
      <w:szCs w:val="22"/>
      <w:lang w:val="en-US" w:eastAsia="zh-CN" w:bidi="ar-SA"/>
    </w:rPr>
  </w:style>
  <w:style w:type="paragraph" w:styleId="836" w:customStyle="1">
    <w:name w:val="Normal_3_0"/>
    <w:uiPriority w:val="0"/>
    <w:qFormat/>
    <w:rPr>
      <w:rFonts w:ascii="黑体" w:hAnsi="黑体" w:eastAsia="黑体" w:cs="Times New Roman"/>
      <w:b/>
      <w:sz w:val="32"/>
      <w:szCs w:val="24"/>
      <w:lang w:val="en-US" w:eastAsia="zh-CN" w:bidi="ar-SA"/>
    </w:rPr>
  </w:style>
  <w:style w:type="paragraph" w:styleId="837"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83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839"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840" w:customStyle="1">
    <w:name w:val="正文（标记）"/>
    <w:basedOn w:val="671"/>
    <w:link w:val="841"/>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841" w:customStyle="1">
    <w:name w:val="正文（标记） Char2"/>
    <w:link w:val="840"/>
    <w:uiPriority w:val="0"/>
    <w:qFormat/>
    <w:rPr>
      <w:rFonts w:ascii="Times New Roman" w:hAnsi="Times New Roman"/>
      <w:sz w:val="24"/>
      <w:szCs w:val="24"/>
      <w:lang w:val="en-US" w:eastAsia="en-US"/>
    </w:rPr>
  </w:style>
  <w:style w:type="character" w:styleId="842" w:customStyle="1">
    <w:name w:val="Char Char2"/>
    <w:uiPriority w:val="0"/>
    <w:qFormat/>
    <w:rPr>
      <w:sz w:val="18"/>
      <w:szCs w:val="18"/>
    </w:rPr>
  </w:style>
  <w:style w:type="character" w:styleId="843" w:customStyle="1">
    <w:name w:val="maywed421"/>
    <w:uiPriority w:val="0"/>
    <w:qFormat/>
    <w:rPr>
      <w:color w:val="366fb6"/>
      <w:u w:val="none"/>
    </w:rPr>
  </w:style>
  <w:style w:type="paragraph" w:styleId="844"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845"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846" w:customStyle="1">
    <w:name w:val="Comment Text Char"/>
    <w:uiPriority w:val="0"/>
    <w:qFormat/>
    <w:rPr>
      <w:rFonts w:cs="Times New Roman"/>
      <w:sz w:val="21"/>
      <w:szCs w:val="21"/>
      <w:lang w:bidi="ar-SA"/>
    </w:rPr>
  </w:style>
  <w:style w:type="character" w:styleId="847" w:customStyle="1">
    <w:name w:val="Footer Char"/>
    <w:uiPriority w:val="0"/>
    <w:qFormat/>
    <w:rPr>
      <w:rFonts w:eastAsia="宋体"/>
      <w:sz w:val="18"/>
      <w:lang w:val="en-US" w:eastAsia="zh-CN"/>
    </w:rPr>
  </w:style>
  <w:style w:type="character" w:styleId="848" w:customStyle="1">
    <w:name w:val="ca-41"/>
    <w:uiPriority w:val="0"/>
    <w:qFormat/>
    <w:rPr>
      <w:rFonts w:ascii="宋体" w:eastAsia="宋体"/>
      <w:b/>
      <w:bCs/>
      <w:color w:val="000000"/>
      <w:spacing w:val="-20"/>
      <w:sz w:val="21"/>
      <w:szCs w:val="21"/>
    </w:rPr>
  </w:style>
  <w:style w:type="character" w:styleId="849" w:customStyle="1">
    <w:name w:val="ca-1"/>
    <w:uiPriority w:val="0"/>
    <w:qFormat/>
  </w:style>
  <w:style w:type="character" w:styleId="850" w:customStyle="1">
    <w:name w:val="Plain Text Char"/>
    <w:uiPriority w:val="0"/>
    <w:qFormat/>
    <w:rPr>
      <w:rFonts w:ascii="宋体" w:eastAsia="宋体"/>
      <w:sz w:val="21"/>
      <w:lang w:val="en-US" w:eastAsia="zh-CN"/>
    </w:rPr>
  </w:style>
  <w:style w:type="character" w:styleId="851" w:customStyle="1">
    <w:name w:val="Header Char"/>
    <w:uiPriority w:val="0"/>
    <w:qFormat/>
    <w:rPr>
      <w:rFonts w:eastAsia="宋体"/>
      <w:sz w:val="18"/>
      <w:lang w:val="en-US" w:eastAsia="zh-CN"/>
    </w:rPr>
  </w:style>
  <w:style w:type="character" w:styleId="852" w:customStyle="1">
    <w:name w:val="marklong"/>
    <w:uiPriority w:val="0"/>
    <w:qFormat/>
  </w:style>
  <w:style w:type="character" w:styleId="853" w:customStyle="1">
    <w:name w:val="普通文字1 Char"/>
    <w:uiPriority w:val="0"/>
    <w:qFormat/>
    <w:rPr>
      <w:rFonts w:ascii="宋体" w:eastAsia="宋体" w:cs="Courier New"/>
      <w:sz w:val="21"/>
      <w:szCs w:val="21"/>
      <w:lang w:val="en-US" w:eastAsia="zh-CN" w:bidi="ar-SA"/>
    </w:rPr>
  </w:style>
  <w:style w:type="character" w:styleId="854" w:customStyle="1">
    <w:name w:val="ca-21"/>
    <w:uiPriority w:val="0"/>
    <w:qFormat/>
    <w:rPr>
      <w:rFonts w:ascii="宋体" w:eastAsia="宋体"/>
      <w:sz w:val="21"/>
    </w:rPr>
  </w:style>
  <w:style w:type="paragraph" w:styleId="855" w:customStyle="1">
    <w:name w:val="正文（缩进）"/>
    <w:basedOn w:val="671"/>
    <w:uiPriority w:val="0"/>
    <w:qFormat/>
    <w:pPr>
      <w:ind w:firstLine="200"/>
      <w:spacing w:before="50" w:after="50" w:line="360" w:lineRule="auto"/>
    </w:pPr>
    <w:rPr>
      <w:sz w:val="24"/>
    </w:rPr>
  </w:style>
  <w:style w:type="character" w:styleId="856" w:customStyle="1">
    <w:name w:val="Heading 3 Char"/>
    <w:uiPriority w:val="0"/>
    <w:qFormat/>
    <w:rPr>
      <w:rFonts w:cs="Times New Roman"/>
      <w:b/>
      <w:bCs/>
      <w:sz w:val="32"/>
      <w:szCs w:val="32"/>
      <w:lang w:bidi="ar-SA"/>
    </w:rPr>
  </w:style>
  <w:style w:type="character" w:styleId="857" w:customStyle="1">
    <w:name w:val="z12 style23"/>
    <w:uiPriority w:val="0"/>
    <w:qFormat/>
  </w:style>
  <w:style w:type="paragraph" w:styleId="858" w:customStyle="1">
    <w:name w:val="Indent Normal"/>
    <w:basedOn w:val="671"/>
    <w:uiPriority w:val="0"/>
    <w:qFormat/>
    <w:pPr>
      <w:ind w:firstLine="150"/>
    </w:pPr>
    <w:rPr>
      <w:sz w:val="24"/>
      <w:szCs w:val="20"/>
      <w:lang w:eastAsia="en-US"/>
    </w:rPr>
  </w:style>
  <w:style w:type="character" w:styleId="859" w:customStyle="1">
    <w:name w:val="Char Char211"/>
    <w:uiPriority w:val="0"/>
    <w:qFormat/>
    <w:rPr>
      <w:sz w:val="18"/>
      <w:szCs w:val="18"/>
    </w:rPr>
  </w:style>
  <w:style w:type="character" w:styleId="860" w:customStyle="1">
    <w:name w:val="ca-31"/>
    <w:uiPriority w:val="0"/>
    <w:qFormat/>
    <w:rPr>
      <w:rFonts w:ascii="宋体" w:eastAsia="宋体"/>
      <w:color w:val="000000"/>
      <w:sz w:val="21"/>
      <w:szCs w:val="21"/>
    </w:rPr>
  </w:style>
  <w:style w:type="character" w:styleId="861" w:customStyle="1">
    <w:name w:val="apple-converted-space"/>
    <w:uiPriority w:val="0"/>
    <w:qFormat/>
  </w:style>
  <w:style w:type="character" w:styleId="862" w:customStyle="1">
    <w:name w:val="Char Char1"/>
    <w:uiPriority w:val="0"/>
    <w:qFormat/>
    <w:rPr>
      <w:rFonts w:ascii="宋体" w:eastAsia="宋体"/>
      <w:sz w:val="21"/>
      <w:lang w:val="en-US" w:eastAsia="zh-CN"/>
    </w:rPr>
  </w:style>
  <w:style w:type="character" w:styleId="863" w:customStyle="1">
    <w:name w:val="font21"/>
    <w:uiPriority w:val="0"/>
    <w:qFormat/>
    <w:rPr>
      <w:rFonts w:ascii="Times New Roman" w:hAnsi="Times New Roman"/>
      <w:color w:val="000000"/>
      <w:sz w:val="20"/>
      <w:u w:val="none"/>
    </w:rPr>
  </w:style>
  <w:style w:type="character" w:styleId="864" w:customStyle="1">
    <w:name w:val="ca-01"/>
    <w:uiPriority w:val="0"/>
    <w:qFormat/>
    <w:rPr>
      <w:rFonts w:ascii="宋体" w:eastAsia="宋体"/>
      <w:b/>
      <w:bCs/>
      <w:spacing w:val="-20"/>
      <w:sz w:val="24"/>
      <w:szCs w:val="24"/>
    </w:rPr>
  </w:style>
  <w:style w:type="character" w:styleId="865" w:customStyle="1">
    <w:name w:val="Char Char23"/>
    <w:uiPriority w:val="0"/>
    <w:qFormat/>
    <w:rPr>
      <w:sz w:val="24"/>
      <w:szCs w:val="21"/>
      <w:lang w:bidi="ar-SA"/>
    </w:rPr>
  </w:style>
  <w:style w:type="character" w:styleId="866" w:customStyle="1">
    <w:name w:val="Char Char"/>
    <w:uiPriority w:val="0"/>
    <w:qFormat/>
    <w:rPr>
      <w:rFonts w:eastAsia="宋体"/>
      <w:sz w:val="18"/>
      <w:lang w:val="en-US" w:eastAsia="zh-CN"/>
    </w:rPr>
  </w:style>
  <w:style w:type="character" w:styleId="867" w:customStyle="1">
    <w:name w:val="Char Char3"/>
    <w:uiPriority w:val="0"/>
    <w:qFormat/>
    <w:rPr>
      <w:rFonts w:ascii="宋体" w:eastAsia="宋体"/>
      <w:sz w:val="18"/>
      <w:szCs w:val="18"/>
      <w:lang w:val="en-US" w:eastAsia="zh-CN" w:bidi="ar-SA"/>
    </w:rPr>
  </w:style>
  <w:style w:type="paragraph" w:styleId="86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869" w:customStyle="1">
    <w:name w:val="Heading 4 Char"/>
    <w:uiPriority w:val="0"/>
    <w:qFormat/>
    <w:rPr>
      <w:rFonts w:ascii="Cambria" w:hAnsi="Cambria" w:eastAsia="宋体" w:cs="Cambria"/>
      <w:b/>
      <w:bCs/>
      <w:sz w:val="28"/>
      <w:szCs w:val="28"/>
      <w:lang w:bidi="ar-SA"/>
    </w:rPr>
  </w:style>
  <w:style w:type="character" w:styleId="870" w:customStyle="1">
    <w:name w:val="Header Char1"/>
    <w:uiPriority w:val="0"/>
    <w:qFormat/>
    <w:rPr>
      <w:rFonts w:cs="Times New Roman"/>
      <w:sz w:val="18"/>
      <w:szCs w:val="18"/>
      <w:lang w:bidi="ar-SA"/>
    </w:rPr>
  </w:style>
  <w:style w:type="character" w:styleId="871" w:customStyle="1">
    <w:name w:val="Footer Char1"/>
    <w:uiPriority w:val="0"/>
    <w:qFormat/>
    <w:rPr>
      <w:rFonts w:cs="Times New Roman"/>
      <w:sz w:val="18"/>
      <w:szCs w:val="18"/>
      <w:lang w:bidi="ar-SA"/>
    </w:rPr>
  </w:style>
  <w:style w:type="character" w:styleId="872" w:customStyle="1">
    <w:name w:val="wj1"/>
    <w:uiPriority w:val="0"/>
    <w:qFormat/>
    <w:rPr>
      <w:color w:val="000000"/>
      <w:sz w:val="18"/>
      <w:szCs w:val="18"/>
      <w:u w:val="none"/>
    </w:rPr>
  </w:style>
  <w:style w:type="character" w:styleId="873" w:customStyle="1">
    <w:name w:val="ca-11"/>
    <w:uiPriority w:val="0"/>
    <w:qFormat/>
    <w:rPr>
      <w:rFonts w:ascii="宋体" w:eastAsia="宋体"/>
      <w:b/>
      <w:bCs/>
      <w:color w:val="000000"/>
      <w:spacing w:val="-20"/>
      <w:sz w:val="28"/>
      <w:szCs w:val="28"/>
    </w:rPr>
  </w:style>
  <w:style w:type="paragraph" w:styleId="87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875" w:customStyle="1">
    <w:name w:val="Plain Text Char1"/>
    <w:uiPriority w:val="0"/>
    <w:qFormat/>
    <w:rPr>
      <w:rFonts w:ascii="宋体" w:eastAsia="宋体"/>
      <w:sz w:val="21"/>
      <w:szCs w:val="21"/>
      <w:lang w:val="en-US" w:eastAsia="zh-CN" w:bidi="ar-SA"/>
    </w:rPr>
  </w:style>
  <w:style w:type="character" w:styleId="876" w:customStyle="1">
    <w:name w:val="段落 Char"/>
    <w:uiPriority w:val="0"/>
    <w:qFormat/>
    <w:rPr>
      <w:rFonts w:ascii="仿宋_GB2312" w:eastAsia="仿宋_GB2312"/>
      <w:sz w:val="24"/>
      <w:szCs w:val="24"/>
      <w:lang w:val="en-US" w:eastAsia="zh-CN" w:bidi="ar-SA"/>
    </w:rPr>
  </w:style>
  <w:style w:type="character" w:styleId="877" w:customStyle="1">
    <w:name w:val="Heading 2 Char"/>
    <w:uiPriority w:val="0"/>
    <w:qFormat/>
    <w:rPr>
      <w:rFonts w:ascii="Arial" w:hAnsi="Arial" w:eastAsia="黑体"/>
      <w:b/>
      <w:bCs/>
      <w:sz w:val="32"/>
      <w:szCs w:val="32"/>
      <w:lang w:val="en-US" w:eastAsia="zh-CN" w:bidi="ar-SA"/>
    </w:rPr>
  </w:style>
  <w:style w:type="paragraph" w:styleId="878"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879" w:customStyle="1">
    <w:name w:val="Char Char311"/>
    <w:uiPriority w:val="0"/>
    <w:qFormat/>
    <w:rPr>
      <w:rFonts w:ascii="Arial" w:hAnsi="Arial" w:eastAsia="黑体" w:cs="Times New Roman"/>
      <w:b/>
      <w:bCs/>
      <w:sz w:val="32"/>
      <w:szCs w:val="32"/>
      <w:lang w:val="en-US" w:eastAsia="zh-CN" w:bidi="ar-SA"/>
    </w:rPr>
  </w:style>
  <w:style w:type="paragraph" w:styleId="880" w:customStyle="1">
    <w:name w:val="正文（黑体）"/>
    <w:basedOn w:val="671"/>
    <w:next w:val="671"/>
    <w:uiPriority w:val="0"/>
    <w:qFormat/>
    <w:pPr>
      <w:ind w:firstLine="200"/>
      <w:spacing w:before="50" w:after="50" w:line="360" w:lineRule="auto"/>
    </w:pPr>
    <w:rPr>
      <w:rFonts w:ascii="黑体" w:eastAsia="黑体"/>
      <w:color w:val="000080"/>
      <w:sz w:val="24"/>
    </w:rPr>
  </w:style>
  <w:style w:type="character" w:styleId="881" w:customStyle="1">
    <w:name w:val="ca-51"/>
    <w:uiPriority w:val="0"/>
    <w:qFormat/>
    <w:rPr>
      <w:rFonts w:ascii="楷体_GB2312" w:eastAsia="楷体_GB2312"/>
      <w:b/>
      <w:bCs/>
      <w:spacing w:val="-20"/>
      <w:sz w:val="24"/>
      <w:szCs w:val="24"/>
    </w:rPr>
  </w:style>
  <w:style w:type="paragraph" w:styleId="882" w:customStyle="1">
    <w:name w:val="加点正文缩进"/>
    <w:basedOn w:val="671"/>
    <w:uiPriority w:val="0"/>
    <w:qFormat/>
    <w:pPr>
      <w:ind w:left="962" w:hanging="480"/>
      <w:spacing w:line="300" w:lineRule="auto"/>
      <w:tabs>
        <w:tab w:val="left" w:pos="840" w:leader="none"/>
      </w:tabs>
    </w:pPr>
    <w:rPr>
      <w:sz w:val="24"/>
    </w:rPr>
  </w:style>
  <w:style w:type="paragraph" w:styleId="883" w:customStyle="1">
    <w:name w:val="默认段落字体 Para Char Char Char Char Char Char Char Char Char Char Char Char Char Char"/>
    <w:basedOn w:val="692"/>
    <w:uiPriority w:val="0"/>
    <w:qFormat/>
    <w:rPr>
      <w:rFonts w:ascii="Tahoma" w:hAnsi="Tahoma"/>
      <w:sz w:val="24"/>
      <w:szCs w:val="22"/>
    </w:rPr>
  </w:style>
  <w:style w:type="paragraph" w:styleId="884" w:customStyle="1">
    <w:name w:val="序号"/>
    <w:next w:val="671"/>
    <w:uiPriority w:val="0"/>
    <w:qFormat/>
    <w:pPr>
      <w:jc w:val="center"/>
    </w:pPr>
    <w:rPr>
      <w:rFonts w:ascii="Times New Roman" w:hAnsi="Times New Roman" w:eastAsia="仿宋_GB2312" w:cs="Times New Roman"/>
      <w:bCs/>
      <w:sz w:val="21"/>
      <w:szCs w:val="44"/>
      <w:lang w:val="en-US" w:eastAsia="zh-CN" w:bidi="ar-SA"/>
    </w:rPr>
  </w:style>
  <w:style w:type="paragraph" w:styleId="885" w:customStyle="1">
    <w:name w:val="xl35"/>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886" w:customStyle="1">
    <w:name w:val="xl36"/>
    <w:basedOn w:val="6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887" w:customStyle="1">
    <w:name w:val="Char Char Char"/>
    <w:basedOn w:val="671"/>
    <w:uiPriority w:val="0"/>
    <w:qFormat/>
    <w:rPr>
      <w:rFonts w:ascii="Tahoma" w:hAnsi="Tahoma"/>
      <w:sz w:val="24"/>
      <w:szCs w:val="20"/>
    </w:rPr>
  </w:style>
  <w:style w:type="paragraph" w:styleId="888" w:customStyle="1">
    <w:name w:val="Char12"/>
    <w:basedOn w:val="671"/>
    <w:uiPriority w:val="0"/>
    <w:qFormat/>
    <w:pPr>
      <w:ind w:left="360" w:right="202" w:firstLine="360"/>
      <w:spacing w:line="480" w:lineRule="auto"/>
      <w:tabs>
        <w:tab w:val="left" w:pos="360" w:leader="none"/>
      </w:tabs>
    </w:pPr>
    <w:rPr>
      <w:sz w:val="24"/>
    </w:rPr>
  </w:style>
  <w:style w:type="character" w:styleId="889" w:customStyle="1">
    <w:name w:val="HTML 预设格式 Char"/>
    <w:link w:val="732"/>
    <w:uiPriority w:val="0"/>
    <w:qFormat/>
    <w:rPr>
      <w:rFonts w:ascii="Arial" w:hAnsi="Arial" w:cs="Arial"/>
      <w:sz w:val="24"/>
      <w:szCs w:val="22"/>
    </w:rPr>
  </w:style>
  <w:style w:type="paragraph" w:styleId="890" w:customStyle="1">
    <w:name w:val="Char Char Char Char Char Char Char Char Char Char111"/>
    <w:basedOn w:val="671"/>
    <w:uiPriority w:val="0"/>
    <w:qFormat/>
    <w:rPr>
      <w:rFonts w:ascii="Tahoma" w:hAnsi="Tahoma"/>
      <w:sz w:val="24"/>
      <w:szCs w:val="20"/>
    </w:rPr>
  </w:style>
  <w:style w:type="paragraph" w:styleId="891" w:customStyle="1">
    <w:name w:val="正文段"/>
    <w:basedOn w:val="671"/>
    <w:uiPriority w:val="0"/>
    <w:qFormat/>
    <w:pPr>
      <w:ind w:firstLine="425"/>
      <w:spacing w:after="240" w:line="240" w:lineRule="atLeast"/>
      <w:widowControl/>
    </w:pPr>
    <w:rPr>
      <w:sz w:val="24"/>
      <w:szCs w:val="20"/>
    </w:rPr>
  </w:style>
  <w:style w:type="paragraph" w:styleId="892" w:customStyle="1">
    <w:name w:val="段"/>
    <w:uiPriority w:val="0"/>
    <w:qFormat/>
    <w:pPr>
      <w:ind w:firstLine="200"/>
      <w:jc w:val="both"/>
    </w:pPr>
    <w:rPr>
      <w:rFonts w:ascii="宋体" w:hAnsi="Times New Roman" w:eastAsia="宋体" w:cs="Times New Roman"/>
      <w:sz w:val="21"/>
      <w:lang w:val="en-US" w:eastAsia="zh-CN" w:bidi="ar-SA"/>
    </w:rPr>
  </w:style>
  <w:style w:type="character" w:styleId="893" w:customStyle="1">
    <w:name w:val="HTML 地址 Char"/>
    <w:link w:val="702"/>
    <w:uiPriority w:val="0"/>
    <w:qFormat/>
    <w:rPr>
      <w:i/>
      <w:iCs/>
      <w:sz w:val="21"/>
      <w:szCs w:val="22"/>
    </w:rPr>
  </w:style>
  <w:style w:type="character" w:styleId="894" w:customStyle="1">
    <w:name w:val="题注 Char"/>
    <w:link w:val="689"/>
    <w:uiPriority w:val="0"/>
    <w:qFormat/>
    <w:rPr>
      <w:rFonts w:ascii="Arial" w:hAnsi="Arial" w:eastAsia="黑体"/>
      <w:lang w:val="en-US" w:eastAsia="en-US"/>
    </w:rPr>
  </w:style>
  <w:style w:type="character" w:styleId="895" w:customStyle="1">
    <w:name w:val="脚注文本 Char"/>
    <w:link w:val="722"/>
    <w:uiPriority w:val="0"/>
    <w:qFormat/>
    <w:rPr>
      <w:rFonts w:ascii="宋体"/>
      <w:bCs/>
      <w:sz w:val="18"/>
      <w:szCs w:val="18"/>
    </w:rPr>
  </w:style>
  <w:style w:type="paragraph" w:styleId="896" w:customStyle="1">
    <w:name w:val="Char Char Char Char Char Char Char Char Char Char1"/>
    <w:basedOn w:val="671"/>
    <w:uiPriority w:val="0"/>
    <w:qFormat/>
    <w:rPr>
      <w:rFonts w:ascii="Tahoma" w:hAnsi="Tahoma" w:cs="Tahoma"/>
      <w:sz w:val="24"/>
    </w:rPr>
  </w:style>
  <w:style w:type="paragraph" w:styleId="897" w:customStyle="1">
    <w:name w:val="xl34"/>
    <w:basedOn w:val="671"/>
    <w:uiPriority w:val="0"/>
    <w:qFormat/>
    <w:pPr>
      <w:jc w:val="center"/>
      <w:spacing w:before="100" w:beforeAutospacing="1" w:after="100" w:afterAutospacing="1"/>
      <w:widowControl/>
    </w:pPr>
    <w:rPr>
      <w:rFonts w:ascii="Arial Unicode MS" w:hAnsi="Arial Unicode MS" w:eastAsia="Arial Unicode MS"/>
      <w:sz w:val="24"/>
    </w:rPr>
  </w:style>
  <w:style w:type="paragraph" w:styleId="898" w:customStyle="1">
    <w:name w:val="前言、引言标题"/>
    <w:next w:val="67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899" w:customStyle="1">
    <w:name w:val="Char Char Char Char Char Char Char Char Char Char Char Char Char"/>
    <w:basedOn w:val="671"/>
    <w:uiPriority w:val="0"/>
    <w:qFormat/>
    <w:pPr>
      <w:jc w:val="left"/>
      <w:spacing w:after="160" w:line="240" w:lineRule="exact"/>
      <w:widowControl/>
    </w:pPr>
    <w:rPr>
      <w:rFonts w:ascii="Verdana" w:hAnsi="Verdana"/>
      <w:sz w:val="20"/>
      <w:szCs w:val="20"/>
      <w:lang w:eastAsia="en-US"/>
    </w:rPr>
  </w:style>
  <w:style w:type="paragraph" w:styleId="900" w:customStyle="1">
    <w:name w:val="pa-0"/>
    <w:basedOn w:val="671"/>
    <w:uiPriority w:val="0"/>
    <w:qFormat/>
    <w:pPr>
      <w:ind w:firstLine="480"/>
      <w:spacing w:line="360" w:lineRule="atLeast"/>
      <w:widowControl/>
    </w:pPr>
    <w:rPr>
      <w:rFonts w:ascii="宋体" w:cs="宋体"/>
      <w:sz w:val="24"/>
    </w:rPr>
  </w:style>
  <w:style w:type="paragraph" w:styleId="901" w:customStyle="1">
    <w:name w:val="三级条标题"/>
    <w:basedOn w:val="902"/>
    <w:next w:val="892"/>
    <w:uiPriority w:val="0"/>
    <w:qFormat/>
    <w:pPr>
      <w:ind w:left="1050"/>
      <w:outlineLvl w:val="4"/>
    </w:pPr>
  </w:style>
  <w:style w:type="paragraph" w:styleId="902" w:customStyle="1">
    <w:name w:val="二级条标题"/>
    <w:basedOn w:val="903"/>
    <w:next w:val="892"/>
    <w:uiPriority w:val="0"/>
    <w:qFormat/>
    <w:pPr>
      <w:ind w:left="360"/>
      <w:outlineLvl w:val="3"/>
    </w:pPr>
  </w:style>
  <w:style w:type="paragraph" w:styleId="903" w:customStyle="1">
    <w:name w:val="一级条标题"/>
    <w:next w:val="892"/>
    <w:uiPriority w:val="0"/>
    <w:qFormat/>
    <w:pPr>
      <w:outlineLvl w:val="2"/>
    </w:pPr>
    <w:rPr>
      <w:rFonts w:ascii="Times New Roman" w:hAnsi="Times New Roman" w:eastAsia="黑体" w:cs="Times New Roman"/>
      <w:sz w:val="21"/>
      <w:lang w:val="en-US" w:eastAsia="zh-CN" w:bidi="ar-SA"/>
    </w:rPr>
  </w:style>
  <w:style w:type="paragraph" w:styleId="904" w:customStyle="1">
    <w:name w:val="FA正文+标号"/>
    <w:basedOn w:val="67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905" w:customStyle="1">
    <w:name w:val="表文1"/>
    <w:basedOn w:val="671"/>
    <w:uiPriority w:val="0"/>
    <w:qFormat/>
    <w:pPr>
      <w:ind w:firstLine="196"/>
      <w:spacing w:line="360" w:lineRule="auto"/>
      <w:widowControl/>
    </w:pPr>
    <w:rPr>
      <w:rFonts w:ascii="宋体"/>
      <w:sz w:val="24"/>
    </w:rPr>
  </w:style>
  <w:style w:type="character" w:styleId="906" w:customStyle="1">
    <w:name w:val="尾注文本 Char"/>
    <w:link w:val="712"/>
    <w:uiPriority w:val="0"/>
    <w:qFormat/>
    <w:rPr>
      <w:rFonts w:ascii="宋体"/>
      <w:bCs/>
      <w:sz w:val="21"/>
      <w:szCs w:val="21"/>
    </w:rPr>
  </w:style>
  <w:style w:type="paragraph" w:styleId="907" w:customStyle="1">
    <w:name w:val="表内容"/>
    <w:basedOn w:val="908"/>
    <w:uiPriority w:val="0"/>
    <w:qFormat/>
    <w:pPr>
      <w:ind w:left="0" w:firstLine="0"/>
      <w:spacing w:line="320" w:lineRule="exact"/>
    </w:pPr>
    <w:rPr>
      <w:sz w:val="20"/>
    </w:rPr>
  </w:style>
  <w:style w:type="paragraph" w:styleId="908" w:customStyle="1">
    <w:name w:val="正文1"/>
    <w:basedOn w:val="671"/>
    <w:uiPriority w:val="0"/>
    <w:qFormat/>
    <w:pPr>
      <w:ind w:left="357" w:firstLine="420"/>
      <w:jc w:val="left"/>
      <w:spacing w:line="360" w:lineRule="auto"/>
      <w:widowControl/>
    </w:pPr>
    <w:rPr>
      <w:rFonts w:cs="Arial"/>
      <w:szCs w:val="20"/>
    </w:rPr>
  </w:style>
  <w:style w:type="paragraph" w:styleId="909" w:customStyle="1">
    <w:name w:val="Char Char1 Char Char Char Char Char Char"/>
    <w:basedOn w:val="671"/>
    <w:uiPriority w:val="0"/>
    <w:qFormat/>
    <w:pPr>
      <w:jc w:val="center"/>
      <w:widowControl/>
    </w:pPr>
    <w:rPr>
      <w:szCs w:val="20"/>
    </w:rPr>
  </w:style>
  <w:style w:type="paragraph" w:styleId="91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911" w:customStyle="1">
    <w:name w:val="附图标题"/>
    <w:basedOn w:val="689"/>
    <w:next w:val="683"/>
    <w:uiPriority w:val="0"/>
    <w:qFormat/>
    <w:pPr>
      <w:ind w:left="780" w:hanging="480"/>
      <w:jc w:val="center"/>
      <w:spacing w:after="100"/>
      <w:tabs>
        <w:tab w:val="clear" w:pos="0" w:leader="none"/>
        <w:tab w:val="left" w:pos="780" w:leader="none"/>
      </w:tabs>
    </w:pPr>
    <w:rPr>
      <w:b/>
      <w:sz w:val="21"/>
    </w:rPr>
  </w:style>
  <w:style w:type="paragraph" w:styleId="912" w:customStyle="1">
    <w:name w:val="图号"/>
    <w:basedOn w:val="67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913" w:customStyle="1">
    <w:name w:val="xl40"/>
    <w:basedOn w:val="67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914" w:customStyle="1">
    <w:name w:val="缩进正文"/>
    <w:basedOn w:val="671"/>
    <w:uiPriority w:val="0"/>
    <w:qFormat/>
    <w:pPr>
      <w:ind w:left="1418" w:firstLine="425"/>
      <w:jc w:val="left"/>
      <w:spacing w:after="200" w:line="400" w:lineRule="exact"/>
      <w:widowControl/>
    </w:pPr>
    <w:rPr>
      <w:rFonts w:ascii="宋体"/>
      <w:sz w:val="24"/>
      <w:szCs w:val="20"/>
    </w:rPr>
  </w:style>
  <w:style w:type="paragraph" w:styleId="915" w:customStyle="1">
    <w:name w:val="Char1"/>
    <w:basedOn w:val="671"/>
    <w:uiPriority w:val="0"/>
    <w:qFormat/>
    <w:pPr>
      <w:ind w:left="360" w:right="202" w:firstLine="360"/>
      <w:spacing w:line="480" w:lineRule="auto"/>
      <w:tabs>
        <w:tab w:val="left" w:pos="360" w:leader="none"/>
      </w:tabs>
    </w:pPr>
    <w:rPr>
      <w:sz w:val="24"/>
    </w:rPr>
  </w:style>
  <w:style w:type="paragraph" w:styleId="916" w:customStyle="1">
    <w:name w:val="首页标题"/>
    <w:uiPriority w:val="0"/>
    <w:qFormat/>
    <w:pPr>
      <w:jc w:val="center"/>
    </w:pPr>
    <w:rPr>
      <w:rFonts w:ascii="宋体" w:hAnsi="Times New Roman" w:eastAsia="宋体" w:cs="宋体"/>
      <w:sz w:val="72"/>
      <w:szCs w:val="72"/>
      <w:lang w:val="en-US" w:eastAsia="zh-CN" w:bidi="ar-SA"/>
    </w:rPr>
  </w:style>
  <w:style w:type="paragraph" w:styleId="917" w:customStyle="1">
    <w:name w:val="pa-10"/>
    <w:basedOn w:val="671"/>
    <w:uiPriority w:val="0"/>
    <w:qFormat/>
    <w:pPr>
      <w:spacing w:line="240" w:lineRule="atLeast"/>
      <w:widowControl/>
    </w:pPr>
    <w:rPr>
      <w:rFonts w:ascii="宋体" w:cs="宋体"/>
      <w:sz w:val="24"/>
    </w:rPr>
  </w:style>
  <w:style w:type="paragraph" w:styleId="918" w:customStyle="1">
    <w:name w:val="特点"/>
    <w:basedOn w:val="671"/>
    <w:next w:val="671"/>
    <w:link w:val="1328"/>
    <w:uiPriority w:val="0"/>
    <w:qFormat/>
    <w:pPr>
      <w:jc w:val="center"/>
      <w:spacing w:line="360" w:lineRule="auto"/>
    </w:pPr>
    <w:rPr>
      <w:rFonts w:ascii="Arial" w:hAnsi="Arial"/>
      <w:sz w:val="24"/>
      <w:szCs w:val="20"/>
    </w:rPr>
  </w:style>
  <w:style w:type="paragraph" w:styleId="919" w:customStyle="1">
    <w:name w:val="pa-4"/>
    <w:basedOn w:val="671"/>
    <w:uiPriority w:val="0"/>
    <w:qFormat/>
    <w:pPr>
      <w:jc w:val="center"/>
      <w:spacing w:line="280" w:lineRule="atLeast"/>
      <w:widowControl/>
    </w:pPr>
    <w:rPr>
      <w:rFonts w:ascii="宋体" w:cs="宋体"/>
      <w:sz w:val="24"/>
    </w:rPr>
  </w:style>
  <w:style w:type="paragraph" w:styleId="920" w:customStyle="1">
    <w:name w:val="编号"/>
    <w:basedOn w:val="671"/>
    <w:next w:val="868"/>
    <w:uiPriority w:val="0"/>
    <w:qFormat/>
    <w:pPr>
      <w:ind w:left="420" w:right="-136" w:hanging="420"/>
      <w:widowControl/>
      <w:tabs>
        <w:tab w:val="left" w:pos="420" w:leader="none"/>
      </w:tabs>
    </w:pPr>
    <w:rPr>
      <w:rFonts w:ascii="仿宋_GB2312" w:eastAsia="仿宋_GB2312"/>
      <w:b/>
      <w:bCs/>
      <w:sz w:val="24"/>
      <w:szCs w:val="21"/>
    </w:rPr>
  </w:style>
  <w:style w:type="paragraph" w:styleId="921"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922" w:customStyle="1">
    <w:name w:val="xl33"/>
    <w:basedOn w:val="67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23" w:customStyle="1">
    <w:name w:val="编号1"/>
    <w:next w:val="86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924" w:customStyle="1">
    <w:name w:val="xl32"/>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25" w:customStyle="1">
    <w:name w:val="CM17"/>
    <w:basedOn w:val="671"/>
    <w:next w:val="671"/>
    <w:uiPriority w:val="0"/>
    <w:qFormat/>
    <w:pPr>
      <w:jc w:val="left"/>
      <w:spacing w:after="273" w:line="360" w:lineRule="auto"/>
    </w:pPr>
    <w:rPr>
      <w:rFonts w:ascii="宋体"/>
      <w:sz w:val="24"/>
    </w:rPr>
  </w:style>
  <w:style w:type="paragraph" w:styleId="926" w:customStyle="1">
    <w:name w:val="xl38"/>
    <w:basedOn w:val="6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927" w:customStyle="1">
    <w:name w:val="参考资料清单+倾斜+蓝色"/>
    <w:basedOn w:val="671"/>
    <w:uiPriority w:val="0"/>
    <w:qFormat/>
    <w:pPr>
      <w:spacing w:line="360" w:lineRule="auto"/>
    </w:pPr>
    <w:rPr>
      <w:rFonts w:ascii="Arial" w:hAnsi="Arial"/>
      <w:i/>
      <w:iCs/>
      <w:color w:val="0000ff"/>
      <w:szCs w:val="21"/>
    </w:rPr>
  </w:style>
  <w:style w:type="paragraph" w:styleId="92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929" w:customStyle="1">
    <w:name w:val="pa-8"/>
    <w:basedOn w:val="671"/>
    <w:uiPriority w:val="0"/>
    <w:qFormat/>
    <w:pPr>
      <w:ind w:firstLine="480"/>
      <w:spacing w:line="280" w:lineRule="atLeast"/>
      <w:widowControl/>
    </w:pPr>
    <w:rPr>
      <w:rFonts w:ascii="宋体" w:cs="宋体"/>
      <w:sz w:val="24"/>
    </w:rPr>
  </w:style>
  <w:style w:type="paragraph" w:styleId="930" w:customStyle="1">
    <w:name w:val="标书2"/>
    <w:next w:val="868"/>
    <w:uiPriority w:val="0"/>
    <w:qFormat/>
    <w:rPr>
      <w:rFonts w:ascii="Times New Roman" w:hAnsi="Times New Roman" w:eastAsia="黑体" w:cs="宋体"/>
      <w:b/>
      <w:sz w:val="44"/>
      <w:lang w:val="en-US" w:eastAsia="zh-CN" w:bidi="ar-SA"/>
    </w:rPr>
  </w:style>
  <w:style w:type="paragraph" w:styleId="931" w:customStyle="1">
    <w:name w:val="表格文字"/>
    <w:basedOn w:val="671"/>
    <w:uiPriority w:val="0"/>
    <w:qFormat/>
    <w:pPr>
      <w:jc w:val="left"/>
    </w:pPr>
    <w:rPr>
      <w:sz w:val="18"/>
    </w:rPr>
  </w:style>
  <w:style w:type="paragraph" w:styleId="932" w:customStyle="1">
    <w:name w:val="首页空格"/>
    <w:uiPriority w:val="0"/>
    <w:qFormat/>
    <w:pPr>
      <w:jc w:val="center"/>
    </w:pPr>
    <w:rPr>
      <w:rFonts w:ascii="Times New Roman" w:hAnsi="Times New Roman" w:eastAsia="宋体" w:cs="宋体"/>
      <w:sz w:val="72"/>
      <w:lang w:val="en-US" w:eastAsia="zh-CN" w:bidi="ar-SA"/>
    </w:rPr>
  </w:style>
  <w:style w:type="paragraph" w:styleId="933" w:customStyle="1">
    <w:name w:val="保密事宜格式"/>
    <w:basedOn w:val="689"/>
    <w:uiPriority w:val="0"/>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934"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935" w:customStyle="1">
    <w:name w:val="È±Ê¡ÎÄ±¾"/>
    <w:basedOn w:val="671"/>
    <w:uiPriority w:val="0"/>
    <w:qFormat/>
    <w:pPr>
      <w:jc w:val="left"/>
      <w:spacing w:line="360" w:lineRule="auto"/>
      <w:widowControl/>
    </w:pPr>
    <w:rPr>
      <w:sz w:val="24"/>
      <w:szCs w:val="20"/>
    </w:rPr>
  </w:style>
  <w:style w:type="paragraph" w:styleId="936" w:customStyle="1">
    <w:name w:val="Char Char Char Char Char Char Char"/>
    <w:basedOn w:val="671"/>
    <w:uiPriority w:val="0"/>
    <w:qFormat/>
    <w:pPr>
      <w:jc w:val="left"/>
      <w:spacing w:after="160" w:line="240" w:lineRule="exact"/>
      <w:widowControl/>
    </w:pPr>
    <w:rPr>
      <w:rFonts w:ascii="Verdana" w:hAnsi="Verdana"/>
      <w:sz w:val="20"/>
      <w:szCs w:val="20"/>
      <w:lang w:eastAsia="en-US"/>
    </w:rPr>
  </w:style>
  <w:style w:type="paragraph" w:styleId="937" w:customStyle="1">
    <w:name w:val="附图居中"/>
    <w:basedOn w:val="671"/>
    <w:next w:val="911"/>
    <w:uiPriority w:val="0"/>
    <w:qFormat/>
    <w:pPr>
      <w:ind w:left="1271" w:hanging="420"/>
      <w:jc w:val="center"/>
      <w:keepNext/>
      <w:spacing w:line="360" w:lineRule="auto"/>
      <w:tabs>
        <w:tab w:val="left" w:pos="0" w:leader="none"/>
      </w:tabs>
    </w:pPr>
    <w:rPr>
      <w:caps/>
      <w:sz w:val="24"/>
    </w:rPr>
  </w:style>
  <w:style w:type="paragraph" w:styleId="938" w:customStyle="1">
    <w:name w:val="pa-6"/>
    <w:basedOn w:val="671"/>
    <w:uiPriority w:val="0"/>
    <w:qFormat/>
    <w:pPr>
      <w:spacing w:line="360" w:lineRule="atLeast"/>
      <w:widowControl/>
    </w:pPr>
    <w:rPr>
      <w:rFonts w:ascii="宋体"/>
      <w:sz w:val="24"/>
      <w:szCs w:val="20"/>
    </w:rPr>
  </w:style>
  <w:style w:type="paragraph" w:styleId="939" w:customStyle="1">
    <w:name w:val="规范正文"/>
    <w:basedOn w:val="671"/>
    <w:uiPriority w:val="0"/>
    <w:qFormat/>
    <w:pPr>
      <w:ind w:left="480"/>
      <w:spacing w:line="360" w:lineRule="auto"/>
    </w:pPr>
    <w:rPr>
      <w:sz w:val="24"/>
      <w:szCs w:val="20"/>
    </w:rPr>
  </w:style>
  <w:style w:type="paragraph" w:styleId="940" w:customStyle="1">
    <w:name w:val="缺省文本"/>
    <w:basedOn w:val="671"/>
    <w:uiPriority w:val="0"/>
    <w:qFormat/>
    <w:pPr>
      <w:jc w:val="left"/>
    </w:pPr>
    <w:rPr>
      <w:sz w:val="24"/>
      <w:szCs w:val="20"/>
    </w:rPr>
  </w:style>
  <w:style w:type="paragraph" w:styleId="941" w:customStyle="1">
    <w:name w:val="序号-----------"/>
    <w:basedOn w:val="671"/>
    <w:uiPriority w:val="0"/>
    <w:qFormat/>
    <w:pPr>
      <w:jc w:val="left"/>
      <w:widowControl/>
    </w:pPr>
    <w:rPr>
      <w:rFonts w:ascii="宋体"/>
      <w:bCs/>
      <w:szCs w:val="21"/>
    </w:rPr>
  </w:style>
  <w:style w:type="paragraph" w:styleId="942" w:customStyle="1">
    <w:name w:val="font8"/>
    <w:basedOn w:val="671"/>
    <w:uiPriority w:val="0"/>
    <w:qFormat/>
    <w:pPr>
      <w:jc w:val="left"/>
      <w:spacing w:before="100" w:beforeAutospacing="1" w:after="100" w:afterAutospacing="1"/>
      <w:widowControl/>
    </w:pPr>
    <w:rPr>
      <w:rFonts w:ascii="Arial" w:hAnsi="Arial" w:cs="Arial"/>
      <w:color w:val="000000"/>
      <w:sz w:val="18"/>
      <w:szCs w:val="18"/>
    </w:rPr>
  </w:style>
  <w:style w:type="paragraph" w:styleId="943" w:customStyle="1">
    <w:name w:val="表格标题"/>
    <w:basedOn w:val="671"/>
    <w:uiPriority w:val="0"/>
    <w:qFormat/>
    <w:pPr>
      <w:jc w:val="center"/>
    </w:pPr>
    <w:rPr>
      <w:b/>
    </w:rPr>
  </w:style>
  <w:style w:type="paragraph" w:styleId="944" w:customStyle="1">
    <w:name w:val="章标题"/>
    <w:next w:val="89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945" w:customStyle="1">
    <w:name w:val="首页单位日期"/>
    <w:basedOn w:val="671"/>
    <w:uiPriority w:val="0"/>
    <w:qFormat/>
    <w:pPr>
      <w:jc w:val="center"/>
      <w:widowControl/>
    </w:pPr>
    <w:rPr>
      <w:rFonts w:ascii="宋体" w:cs="宋体"/>
      <w:bCs/>
      <w:sz w:val="28"/>
      <w:szCs w:val="20"/>
    </w:rPr>
  </w:style>
  <w:style w:type="paragraph" w:styleId="946" w:customStyle="1">
    <w:name w:val="样式 正文缩进 + (中文) 仿宋_GB2312 小四 Char"/>
    <w:basedOn w:val="683"/>
    <w:uiPriority w:val="0"/>
    <w:qFormat/>
    <w:pPr>
      <w:ind w:firstLine="200"/>
      <w:spacing w:line="360" w:lineRule="auto"/>
    </w:pPr>
    <w:rPr>
      <w:rFonts w:ascii="宋体"/>
      <w:sz w:val="24"/>
      <w:szCs w:val="24"/>
    </w:rPr>
  </w:style>
  <w:style w:type="paragraph" w:styleId="947" w:customStyle="1">
    <w:name w:val="项目"/>
    <w:basedOn w:val="671"/>
    <w:uiPriority w:val="0"/>
    <w:qFormat/>
    <w:pPr>
      <w:ind w:left="840" w:hanging="420"/>
      <w:spacing w:before="60" w:after="60" w:line="360" w:lineRule="auto"/>
      <w:tabs>
        <w:tab w:val="left" w:pos="840" w:leader="none"/>
      </w:tabs>
    </w:pPr>
    <w:rPr>
      <w:rFonts w:ascii="宋体"/>
      <w:szCs w:val="20"/>
    </w:rPr>
  </w:style>
  <w:style w:type="paragraph" w:styleId="948" w:customStyle="1">
    <w:name w:val="默认段落字体 Para Char"/>
    <w:basedOn w:val="671"/>
    <w:uiPriority w:val="0"/>
    <w:qFormat/>
    <w:rPr>
      <w:rFonts w:ascii="宋体"/>
      <w:b/>
      <w:sz w:val="28"/>
      <w:szCs w:val="28"/>
    </w:rPr>
  </w:style>
  <w:style w:type="paragraph" w:styleId="949" w:customStyle="1">
    <w:name w:val="篇名"/>
    <w:next w:val="67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950" w:customStyle="1">
    <w:name w:val="Char131"/>
    <w:basedOn w:val="671"/>
    <w:uiPriority w:val="0"/>
    <w:qFormat/>
  </w:style>
  <w:style w:type="paragraph" w:styleId="951" w:customStyle="1">
    <w:name w:val="表头"/>
    <w:basedOn w:val="908"/>
    <w:uiPriority w:val="0"/>
    <w:qFormat/>
    <w:pPr>
      <w:ind w:left="0" w:firstLine="0"/>
      <w:spacing w:line="240" w:lineRule="auto"/>
    </w:pPr>
    <w:rPr>
      <w:sz w:val="20"/>
    </w:rPr>
  </w:style>
  <w:style w:type="paragraph" w:styleId="952" w:customStyle="1">
    <w:name w:val="表格序号"/>
    <w:uiPriority w:val="0"/>
    <w:qFormat/>
    <w:rPr>
      <w:rFonts w:ascii="Times New Roman" w:hAnsi="Times New Roman" w:eastAsia="仿宋_GB2312" w:cs="宋体"/>
      <w:sz w:val="21"/>
      <w:lang w:val="en-US" w:eastAsia="zh-CN" w:bidi="ar-SA"/>
    </w:rPr>
  </w:style>
  <w:style w:type="paragraph" w:styleId="953" w:customStyle="1">
    <w:name w:val="Char Char Char Char1"/>
    <w:basedOn w:val="671"/>
    <w:uiPriority w:val="0"/>
    <w:qFormat/>
    <w:pPr>
      <w:ind w:firstLine="200"/>
      <w:spacing w:line="360" w:lineRule="auto"/>
    </w:pPr>
    <w:rPr>
      <w:sz w:val="24"/>
      <w:szCs w:val="20"/>
    </w:rPr>
  </w:style>
  <w:style w:type="paragraph" w:styleId="954" w:customStyle="1">
    <w:name w:val="标书3"/>
    <w:next w:val="868"/>
    <w:uiPriority w:val="0"/>
    <w:qFormat/>
    <w:pPr>
      <w:jc w:val="center"/>
      <w:widowControl w:val="off"/>
    </w:pPr>
    <w:rPr>
      <w:rFonts w:ascii="Times New Roman" w:hAnsi="Times New Roman" w:eastAsia="黑体" w:cs="Times New Roman"/>
      <w:b/>
      <w:sz w:val="44"/>
      <w:szCs w:val="24"/>
      <w:lang w:val="en-US" w:eastAsia="zh-CN" w:bidi="ar-SA"/>
    </w:rPr>
  </w:style>
  <w:style w:type="paragraph" w:styleId="955" w:customStyle="1">
    <w:name w:val="首页小标题"/>
    <w:next w:val="932"/>
    <w:uiPriority w:val="0"/>
    <w:qFormat/>
    <w:pPr>
      <w:jc w:val="center"/>
    </w:pPr>
    <w:rPr>
      <w:rFonts w:ascii="Times New Roman" w:hAnsi="Times New Roman" w:eastAsia="宋体" w:cs="宋体"/>
      <w:sz w:val="44"/>
      <w:lang w:val="en-US" w:eastAsia="zh-CN" w:bidi="ar-SA"/>
    </w:rPr>
  </w:style>
  <w:style w:type="paragraph" w:styleId="956" w:customStyle="1">
    <w:name w:val="新段落缩进"/>
    <w:basedOn w:val="671"/>
    <w:uiPriority w:val="0"/>
    <w:qFormat/>
    <w:pPr>
      <w:ind w:firstLine="200"/>
      <w:spacing w:line="400" w:lineRule="exact"/>
    </w:pPr>
    <w:rPr>
      <w:rFonts w:ascii="仿宋_GB2312" w:eastAsia="仿宋_GB2312"/>
      <w:sz w:val="24"/>
    </w:rPr>
  </w:style>
  <w:style w:type="paragraph" w:styleId="957" w:customStyle="1">
    <w:name w:val="pa-2"/>
    <w:basedOn w:val="671"/>
    <w:uiPriority w:val="0"/>
    <w:qFormat/>
    <w:pPr>
      <w:spacing w:line="360" w:lineRule="atLeast"/>
      <w:widowControl/>
    </w:pPr>
    <w:rPr>
      <w:rFonts w:ascii="宋体" w:cs="宋体"/>
      <w:sz w:val="24"/>
    </w:rPr>
  </w:style>
  <w:style w:type="paragraph" w:styleId="958" w:customStyle="1">
    <w:name w:val="四级条标题"/>
    <w:basedOn w:val="901"/>
    <w:next w:val="892"/>
    <w:uiPriority w:val="0"/>
    <w:qFormat/>
    <w:pPr>
      <w:ind w:left="0"/>
      <w:outlineLvl w:val="5"/>
    </w:pPr>
  </w:style>
  <w:style w:type="paragraph" w:styleId="959" w:customStyle="1">
    <w:name w:val="保密事宜内容"/>
    <w:basedOn w:val="67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960" w:customStyle="1">
    <w:name w:val="Char1 Char Char Char"/>
    <w:basedOn w:val="671"/>
    <w:uiPriority w:val="0"/>
    <w:qFormat/>
    <w:rPr>
      <w:szCs w:val="20"/>
    </w:rPr>
  </w:style>
  <w:style w:type="paragraph" w:styleId="961" w:customStyle="1">
    <w:name w:val="正文 + 宋体"/>
    <w:basedOn w:val="671"/>
    <w:uiPriority w:val="0"/>
    <w:qFormat/>
    <w:pPr>
      <w:ind w:firstLine="250"/>
    </w:pPr>
    <w:rPr>
      <w:rFonts w:ascii="宋体"/>
      <w:szCs w:val="21"/>
    </w:rPr>
  </w:style>
  <w:style w:type="paragraph" w:styleId="962" w:customStyle="1">
    <w:name w:val="xl31"/>
    <w:basedOn w:val="67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963" w:customStyle="1">
    <w:name w:val="pbody"/>
    <w:basedOn w:val="671"/>
    <w:uiPriority w:val="0"/>
    <w:qFormat/>
    <w:pPr>
      <w:jc w:val="left"/>
      <w:spacing w:before="100" w:beforeAutospacing="1" w:after="100" w:afterAutospacing="1" w:line="360" w:lineRule="auto"/>
      <w:widowControl/>
    </w:pPr>
    <w:rPr>
      <w:rFonts w:ascii="宋体" w:cs="宋体"/>
      <w:sz w:val="24"/>
    </w:rPr>
  </w:style>
  <w:style w:type="paragraph" w:styleId="964" w:customStyle="1">
    <w:name w:val="xl42"/>
    <w:basedOn w:val="67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965" w:customStyle="1">
    <w:name w:val="txt"/>
    <w:basedOn w:val="671"/>
    <w:uiPriority w:val="0"/>
    <w:qFormat/>
    <w:pPr>
      <w:jc w:val="left"/>
      <w:spacing w:before="100" w:beforeAutospacing="1" w:after="100" w:afterAutospacing="1"/>
      <w:widowControl/>
    </w:pPr>
    <w:rPr>
      <w:rFonts w:ascii="宋体" w:cs="宋体"/>
      <w:sz w:val="24"/>
    </w:rPr>
  </w:style>
  <w:style w:type="paragraph" w:styleId="966" w:customStyle="1">
    <w:name w:val="xl37"/>
    <w:basedOn w:val="67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967" w:customStyle="1">
    <w:name w:val="图表目录1"/>
    <w:uiPriority w:val="0"/>
    <w:qFormat/>
    <w:pPr>
      <w:ind w:left="840" w:hanging="420"/>
    </w:pPr>
    <w:rPr>
      <w:rFonts w:ascii="Times New Roman" w:hAnsi="Times New Roman" w:eastAsia="宋体" w:cs="宋体"/>
      <w:sz w:val="21"/>
      <w:lang w:val="en-US" w:eastAsia="zh-CN" w:bidi="ar-SA"/>
    </w:rPr>
  </w:style>
  <w:style w:type="paragraph" w:styleId="968" w:customStyle="1">
    <w:name w:val="样式 序号----------- + 仿宋_GB2312"/>
    <w:basedOn w:val="941"/>
    <w:uiPriority w:val="0"/>
    <w:qFormat/>
    <w:pPr>
      <w:ind w:firstLine="200"/>
      <w:spacing w:line="360" w:lineRule="auto"/>
    </w:pPr>
    <w:rPr>
      <w:rFonts w:ascii="仿宋_GB2312" w:eastAsia="仿宋_GB2312"/>
      <w:bCs w:val="0"/>
    </w:rPr>
  </w:style>
  <w:style w:type="paragraph" w:styleId="969" w:customStyle="1">
    <w:name w:val="xl41"/>
    <w:basedOn w:val="67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970" w:customStyle="1">
    <w:name w:val="Char11"/>
    <w:basedOn w:val="671"/>
    <w:uiPriority w:val="0"/>
    <w:qFormat/>
    <w:rPr>
      <w:szCs w:val="21"/>
    </w:rPr>
  </w:style>
  <w:style w:type="paragraph" w:styleId="971" w:customStyle="1">
    <w:name w:val="样式 序号----------- + 仿宋_GB23121"/>
    <w:basedOn w:val="941"/>
    <w:uiPriority w:val="0"/>
    <w:qFormat/>
    <w:pPr>
      <w:spacing w:line="360" w:lineRule="auto"/>
    </w:pPr>
    <w:rPr>
      <w:rFonts w:ascii="仿宋_GB2312" w:eastAsia="仿宋_GB2312"/>
      <w:bCs w:val="0"/>
    </w:rPr>
  </w:style>
  <w:style w:type="paragraph" w:styleId="972" w:customStyle="1">
    <w:name w:val="pa-9"/>
    <w:basedOn w:val="671"/>
    <w:uiPriority w:val="0"/>
    <w:qFormat/>
    <w:pPr>
      <w:jc w:val="center"/>
      <w:spacing w:line="360" w:lineRule="atLeast"/>
      <w:widowControl/>
    </w:pPr>
    <w:rPr>
      <w:rFonts w:ascii="宋体" w:cs="宋体"/>
      <w:sz w:val="24"/>
    </w:rPr>
  </w:style>
  <w:style w:type="paragraph" w:styleId="973" w:customStyle="1">
    <w:name w:val="pa-3"/>
    <w:basedOn w:val="671"/>
    <w:uiPriority w:val="0"/>
    <w:qFormat/>
    <w:pPr>
      <w:jc w:val="left"/>
      <w:spacing w:before="150" w:after="150"/>
      <w:widowControl/>
    </w:pPr>
    <w:rPr>
      <w:rFonts w:ascii="宋体" w:cs="宋体"/>
      <w:sz w:val="24"/>
    </w:rPr>
  </w:style>
  <w:style w:type="paragraph" w:styleId="974" w:customStyle="1">
    <w:name w:val="pa-5"/>
    <w:basedOn w:val="671"/>
    <w:uiPriority w:val="0"/>
    <w:qFormat/>
    <w:pPr>
      <w:spacing w:line="280" w:lineRule="atLeast"/>
      <w:widowControl/>
    </w:pPr>
    <w:rPr>
      <w:rFonts w:ascii="宋体" w:cs="宋体"/>
      <w:sz w:val="24"/>
    </w:rPr>
  </w:style>
  <w:style w:type="paragraph" w:styleId="975" w:customStyle="1">
    <w:name w:val="xl39"/>
    <w:basedOn w:val="67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976" w:customStyle="1">
    <w:name w:val="font9"/>
    <w:basedOn w:val="671"/>
    <w:uiPriority w:val="0"/>
    <w:qFormat/>
    <w:pPr>
      <w:jc w:val="left"/>
      <w:spacing w:before="100" w:beforeAutospacing="1" w:after="100" w:afterAutospacing="1"/>
      <w:widowControl/>
    </w:pPr>
    <w:rPr>
      <w:rFonts w:ascii="宋体"/>
      <w:color w:val="000000"/>
      <w:sz w:val="18"/>
      <w:szCs w:val="18"/>
    </w:rPr>
  </w:style>
  <w:style w:type="paragraph" w:styleId="977" w:customStyle="1">
    <w:name w:val="p0"/>
    <w:basedOn w:val="671"/>
    <w:uiPriority w:val="0"/>
    <w:qFormat/>
    <w:pPr>
      <w:widowControl/>
    </w:pPr>
    <w:rPr>
      <w:szCs w:val="21"/>
    </w:rPr>
  </w:style>
  <w:style w:type="paragraph" w:styleId="978"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979" w:customStyle="1">
    <w:name w:val="表格正文"/>
    <w:basedOn w:val="671"/>
    <w:uiPriority w:val="0"/>
    <w:qFormat/>
    <w:pPr>
      <w:spacing w:line="300" w:lineRule="auto"/>
      <w:tabs>
        <w:tab w:val="left" w:pos="420" w:leader="none"/>
      </w:tabs>
    </w:pPr>
  </w:style>
  <w:style w:type="paragraph" w:styleId="980" w:customStyle="1">
    <w:name w:val="首页标题小初"/>
    <w:uiPriority w:val="0"/>
    <w:qFormat/>
    <w:pPr>
      <w:jc w:val="center"/>
    </w:pPr>
    <w:rPr>
      <w:rFonts w:ascii="黑体" w:hAnsi="Times New Roman" w:eastAsia="黑体" w:cs="宋体"/>
      <w:sz w:val="72"/>
      <w:lang w:val="en-US" w:eastAsia="zh-CN" w:bidi="ar-SA"/>
    </w:rPr>
  </w:style>
  <w:style w:type="paragraph" w:styleId="981" w:customStyle="1">
    <w:name w:val="五级条标题"/>
    <w:basedOn w:val="958"/>
    <w:next w:val="892"/>
    <w:uiPriority w:val="0"/>
    <w:qFormat/>
    <w:pPr>
      <w:outlineLvl w:val="6"/>
    </w:pPr>
  </w:style>
  <w:style w:type="paragraph" w:styleId="982" w:customStyle="1">
    <w:name w:val="Char Char Char Char Char Char Char11"/>
    <w:basedOn w:val="671"/>
    <w:uiPriority w:val="0"/>
    <w:qFormat/>
    <w:pPr>
      <w:jc w:val="left"/>
      <w:spacing w:after="160" w:line="240" w:lineRule="exact"/>
      <w:widowControl/>
    </w:pPr>
    <w:rPr>
      <w:rFonts w:ascii="Verdana" w:hAnsi="Verdana"/>
      <w:sz w:val="20"/>
      <w:szCs w:val="20"/>
      <w:lang w:eastAsia="en-US"/>
    </w:rPr>
  </w:style>
  <w:style w:type="paragraph" w:styleId="983" w:customStyle="1">
    <w:name w:val="ibm-list-next"/>
    <w:basedOn w:val="671"/>
    <w:uiPriority w:val="0"/>
    <w:qFormat/>
    <w:pPr>
      <w:jc w:val="left"/>
      <w:spacing w:before="100" w:beforeAutospacing="1" w:after="100" w:afterAutospacing="1"/>
      <w:widowControl/>
    </w:pPr>
    <w:rPr>
      <w:rFonts w:ascii="宋体" w:cs="宋体"/>
      <w:sz w:val="24"/>
    </w:rPr>
  </w:style>
  <w:style w:type="paragraph" w:styleId="984" w:customStyle="1">
    <w:name w:val="首页标题 一号"/>
    <w:basedOn w:val="980"/>
    <w:uiPriority w:val="0"/>
    <w:qFormat/>
    <w:rPr>
      <w:sz w:val="52"/>
    </w:rPr>
  </w:style>
  <w:style w:type="paragraph" w:styleId="985" w:customStyle="1">
    <w:name w:val="Char Char Char Char Char Char Char Char Char Char2"/>
    <w:basedOn w:val="671"/>
    <w:uiPriority w:val="0"/>
    <w:qFormat/>
    <w:rPr>
      <w:rFonts w:ascii="Tahoma" w:hAnsi="Tahoma"/>
      <w:sz w:val="24"/>
      <w:szCs w:val="20"/>
    </w:rPr>
  </w:style>
  <w:style w:type="paragraph" w:styleId="986" w:customStyle="1">
    <w:name w:val="正文（编号）"/>
    <w:basedOn w:val="855"/>
    <w:link w:val="987"/>
    <w:uiPriority w:val="0"/>
    <w:qFormat/>
    <w:pPr>
      <w:ind w:left="720" w:firstLine="0"/>
      <w:tabs>
        <w:tab w:val="left" w:pos="720" w:leader="none"/>
        <w:tab w:val="left" w:pos="780" w:leader="none"/>
      </w:tabs>
    </w:pPr>
    <w:rPr>
      <w:rFonts w:ascii="Times New Roman" w:hAnsi="Times New Roman"/>
      <w:szCs w:val="24"/>
      <w:lang w:eastAsia="en-US"/>
    </w:rPr>
  </w:style>
  <w:style w:type="character" w:styleId="987" w:customStyle="1">
    <w:name w:val="正文（编号） Char Char"/>
    <w:link w:val="986"/>
    <w:uiPriority w:val="0"/>
    <w:qFormat/>
    <w:rPr>
      <w:rFonts w:ascii="Times New Roman" w:hAnsi="Times New Roman"/>
      <w:sz w:val="24"/>
      <w:szCs w:val="24"/>
      <w:lang w:val="en-US" w:eastAsia="en-US"/>
    </w:rPr>
  </w:style>
  <w:style w:type="paragraph" w:styleId="988" w:customStyle="1">
    <w:name w:val="表格"/>
    <w:basedOn w:val="671"/>
    <w:uiPriority w:val="0"/>
    <w:qFormat/>
    <w:pPr>
      <w:ind w:firstLine="21"/>
    </w:pPr>
    <w:rPr>
      <w:rFonts w:ascii="宋体"/>
      <w:szCs w:val="20"/>
    </w:rPr>
  </w:style>
  <w:style w:type="character" w:styleId="989" w:customStyle="1">
    <w:name w:val="正文（缩进） Char Char"/>
    <w:uiPriority w:val="0"/>
    <w:qFormat/>
    <w:rPr>
      <w:rFonts w:eastAsia="宋体"/>
      <w:sz w:val="24"/>
      <w:szCs w:val="24"/>
      <w:lang w:val="en-US" w:eastAsia="zh-CN" w:bidi="ar-SA"/>
    </w:rPr>
  </w:style>
  <w:style w:type="paragraph" w:styleId="990" w:customStyle="1">
    <w:name w:val="Char Char Char11"/>
    <w:basedOn w:val="671"/>
    <w:uiPriority w:val="0"/>
    <w:qFormat/>
    <w:rPr>
      <w:szCs w:val="21"/>
    </w:rPr>
  </w:style>
  <w:style w:type="paragraph" w:styleId="991" w:customStyle="1">
    <w:name w:val="样式 正文2 + 首行缩进:  0 厘米 段后: 1.5 行"/>
    <w:basedOn w:val="671"/>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992" w:customStyle="1">
    <w:name w:val="表中文字"/>
    <w:basedOn w:val="671"/>
    <w:uiPriority w:val="0"/>
    <w:qFormat/>
    <w:pPr>
      <w:widowControl/>
    </w:pPr>
    <w:rPr>
      <w:szCs w:val="20"/>
    </w:rPr>
  </w:style>
  <w:style w:type="character" w:styleId="993" w:customStyle="1">
    <w:name w:val="z1"/>
    <w:uiPriority w:val="0"/>
    <w:qFormat/>
  </w:style>
  <w:style w:type="paragraph" w:styleId="994" w:customStyle="1">
    <w:name w:val="a1"/>
    <w:basedOn w:val="671"/>
    <w:uiPriority w:val="0"/>
    <w:qFormat/>
    <w:pPr>
      <w:jc w:val="left"/>
      <w:spacing w:before="100" w:beforeAutospacing="1" w:after="100" w:afterAutospacing="1"/>
      <w:widowControl/>
    </w:pPr>
    <w:rPr>
      <w:rFonts w:ascii="宋体"/>
      <w:sz w:val="24"/>
    </w:rPr>
  </w:style>
  <w:style w:type="paragraph" w:styleId="995" w:customStyle="1">
    <w:name w:val="a0"/>
    <w:basedOn w:val="671"/>
    <w:uiPriority w:val="0"/>
    <w:qFormat/>
    <w:pPr>
      <w:jc w:val="left"/>
      <w:spacing w:before="100" w:beforeAutospacing="1" w:after="100" w:afterAutospacing="1"/>
      <w:widowControl/>
    </w:pPr>
    <w:rPr>
      <w:rFonts w:ascii="宋体"/>
      <w:sz w:val="24"/>
    </w:rPr>
  </w:style>
  <w:style w:type="paragraph" w:styleId="996" w:customStyle="1">
    <w:name w:val="tabletext"/>
    <w:basedOn w:val="671"/>
    <w:uiPriority w:val="0"/>
    <w:qFormat/>
    <w:pPr>
      <w:jc w:val="left"/>
      <w:spacing w:before="100" w:beforeAutospacing="1" w:after="100" w:afterAutospacing="1"/>
      <w:widowControl/>
    </w:pPr>
    <w:rPr>
      <w:rFonts w:ascii="宋体"/>
      <w:sz w:val="24"/>
    </w:rPr>
  </w:style>
  <w:style w:type="paragraph" w:styleId="997" w:customStyle="1">
    <w:name w:val="我的样式"/>
    <w:basedOn w:val="671"/>
    <w:uiPriority w:val="0"/>
    <w:qFormat/>
    <w:pPr>
      <w:ind w:firstLine="420"/>
      <w:jc w:val="left"/>
      <w:spacing w:after="120"/>
      <w:widowControl/>
    </w:pPr>
    <w:rPr>
      <w:rFonts w:ascii="宋体"/>
      <w:color w:val="000000"/>
      <w:sz w:val="24"/>
      <w:szCs w:val="16"/>
    </w:rPr>
  </w:style>
  <w:style w:type="paragraph" w:styleId="998" w:customStyle="1">
    <w:name w:val="Figure and Table Title"/>
    <w:basedOn w:val="671"/>
    <w:uiPriority w:val="0"/>
    <w:qFormat/>
    <w:pPr>
      <w:ind w:left="2160"/>
      <w:jc w:val="left"/>
      <w:widowControl/>
    </w:pPr>
    <w:rPr>
      <w:rFonts w:ascii="Helvetica-Light" w:hAnsi="Helvetica-Light"/>
      <w:b/>
      <w:bCs/>
      <w:sz w:val="20"/>
      <w:lang w:eastAsia="en-US"/>
    </w:rPr>
  </w:style>
  <w:style w:type="paragraph" w:styleId="999" w:customStyle="1">
    <w:name w:val="Table Text/Title"/>
    <w:basedOn w:val="671"/>
    <w:uiPriority w:val="0"/>
    <w:qFormat/>
    <w:pPr>
      <w:jc w:val="left"/>
      <w:widowControl/>
    </w:pPr>
    <w:rPr>
      <w:rFonts w:ascii="宋体"/>
      <w:b/>
      <w:bCs/>
      <w:sz w:val="20"/>
      <w:szCs w:val="20"/>
      <w:lang w:eastAsia="en-US"/>
    </w:rPr>
  </w:style>
  <w:style w:type="paragraph" w:styleId="1000" w:customStyle="1">
    <w:name w:val="Sourcetext bullet"/>
    <w:basedOn w:val="67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001" w:customStyle="1">
    <w:name w:val="无标题正文 Char Char Char Char Char Char Char Char Char Char Char Char Char Char Char Char Char Char Char Char Char Char Char Char Char Char Char1 Char"/>
    <w:basedOn w:val="671"/>
    <w:uiPriority w:val="0"/>
    <w:qFormat/>
    <w:pPr>
      <w:jc w:val="center"/>
      <w:spacing w:after="160" w:line="240" w:lineRule="exact"/>
      <w:widowControl/>
    </w:pPr>
    <w:rPr>
      <w:rFonts w:ascii="Arial" w:hAnsi="Arial"/>
      <w:sz w:val="20"/>
      <w:szCs w:val="20"/>
      <w:lang w:eastAsia="en-US"/>
    </w:rPr>
  </w:style>
  <w:style w:type="character" w:styleId="1002" w:customStyle="1">
    <w:name w:val="style91"/>
    <w:uiPriority w:val="0"/>
    <w:qFormat/>
    <w:rPr>
      <w:color w:val="2060c0"/>
      <w:sz w:val="24"/>
      <w:szCs w:val="24"/>
    </w:rPr>
  </w:style>
  <w:style w:type="paragraph" w:styleId="1003" w:customStyle="1">
    <w:name w:val="标准小四"/>
    <w:basedOn w:val="671"/>
    <w:uiPriority w:val="0"/>
    <w:qFormat/>
    <w:pPr>
      <w:ind w:firstLine="200"/>
      <w:spacing w:line="360" w:lineRule="auto"/>
    </w:pPr>
    <w:rPr>
      <w:rFonts w:ascii="Arial" w:hAnsi="Arial"/>
      <w:sz w:val="24"/>
      <w:szCs w:val="21"/>
    </w:rPr>
  </w:style>
  <w:style w:type="paragraph" w:styleId="1004" w:customStyle="1">
    <w:name w:val="样式 正文首行缩进 + 宋体 首行缩进:  0.74 厘米"/>
    <w:basedOn w:val="737"/>
    <w:uiPriority w:val="0"/>
    <w:qFormat/>
    <w:pPr>
      <w:ind w:firstLine="210"/>
      <w:spacing w:before="120" w:line="380" w:lineRule="exact"/>
    </w:pPr>
    <w:rPr>
      <w:rFonts w:ascii="宋体" w:eastAsia="宋体" w:cs="宋体"/>
      <w:sz w:val="24"/>
      <w:szCs w:val="20"/>
    </w:rPr>
  </w:style>
  <w:style w:type="paragraph" w:styleId="1005" w:customStyle="1">
    <w:name w:val="默认段落字体 Para Char Char Char Char Char Char Char Char Char1"/>
    <w:basedOn w:val="671"/>
    <w:uiPriority w:val="0"/>
    <w:qFormat/>
    <w:rPr>
      <w:rFonts w:ascii="Tahoma" w:hAnsi="Tahoma"/>
      <w:sz w:val="24"/>
      <w:szCs w:val="20"/>
    </w:rPr>
  </w:style>
  <w:style w:type="character" w:styleId="1006" w:customStyle="1">
    <w:name w:val="标题 Char"/>
    <w:link w:val="735"/>
    <w:uiPriority w:val="0"/>
    <w:qFormat/>
    <w:rPr>
      <w:rFonts w:ascii="Cambria" w:hAnsi="Cambria"/>
      <w:b/>
      <w:bCs/>
      <w:sz w:val="32"/>
      <w:szCs w:val="32"/>
    </w:rPr>
  </w:style>
  <w:style w:type="paragraph" w:styleId="1007" w:customStyle="1">
    <w:name w:val="正文小四"/>
    <w:basedOn w:val="671"/>
    <w:uiPriority w:val="0"/>
    <w:qFormat/>
    <w:pPr>
      <w:spacing w:line="312" w:lineRule="auto"/>
    </w:pPr>
    <w:rPr>
      <w:sz w:val="24"/>
    </w:rPr>
  </w:style>
  <w:style w:type="paragraph" w:styleId="1008" w:customStyle="1">
    <w:name w:val="ul"/>
    <w:basedOn w:val="671"/>
    <w:uiPriority w:val="0"/>
    <w:qFormat/>
    <w:pPr>
      <w:numPr>
        <w:ilvl w:val="0"/>
        <w:numId w:val="4"/>
      </w:numPr>
      <w:ind w:left="567" w:hanging="85"/>
      <w:jc w:val="left"/>
      <w:spacing w:line="360" w:lineRule="auto"/>
      <w:widowControl/>
      <w:tabs>
        <w:tab w:val="left" w:pos="842" w:leader="none"/>
        <w:tab w:val="clear" w:pos="930" w:leader="none"/>
      </w:tabs>
    </w:pPr>
    <w:rPr>
      <w:sz w:val="24"/>
    </w:rPr>
  </w:style>
  <w:style w:type="paragraph" w:styleId="1009" w:customStyle="1">
    <w:name w:val="Bullet"/>
    <w:basedOn w:val="67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010" w:customStyle="1">
    <w:name w:val="正文（首行缩进）"/>
    <w:basedOn w:val="671"/>
    <w:uiPriority w:val="0"/>
    <w:qFormat/>
    <w:pPr>
      <w:ind w:firstLine="482"/>
      <w:spacing w:before="120" w:line="360" w:lineRule="auto"/>
      <w:widowControl/>
    </w:pPr>
    <w:rPr>
      <w:sz w:val="24"/>
      <w:szCs w:val="20"/>
    </w:rPr>
  </w:style>
  <w:style w:type="character" w:styleId="1011" w:customStyle="1">
    <w:name w:val="style161"/>
    <w:uiPriority w:val="0"/>
    <w:qFormat/>
    <w:rPr>
      <w:rFonts w:ascii="Verdana" w:hAnsi="Verdana" w:eastAsia="宋体"/>
      <w:b/>
      <w:color w:val="0a246a"/>
      <w:sz w:val="24"/>
      <w:szCs w:val="24"/>
      <w:lang w:val="en-US" w:eastAsia="zh-CN" w:bidi="ar-SA"/>
    </w:rPr>
  </w:style>
  <w:style w:type="paragraph" w:styleId="1012" w:customStyle="1">
    <w:name w:val="正文（首行缩进两字）"/>
    <w:basedOn w:val="671"/>
    <w:uiPriority w:val="0"/>
    <w:qFormat/>
    <w:pPr>
      <w:spacing w:line="312" w:lineRule="auto"/>
    </w:pPr>
    <w:rPr>
      <w:rFonts w:ascii="宋体" w:cs="宋体"/>
      <w:sz w:val="24"/>
    </w:rPr>
  </w:style>
  <w:style w:type="paragraph" w:styleId="1013" w:customStyle="1">
    <w:name w:val="正文文字缩进 3"/>
    <w:basedOn w:val="671"/>
    <w:uiPriority w:val="0"/>
    <w:qFormat/>
    <w:pPr>
      <w:ind w:left="420" w:firstLine="420"/>
      <w:spacing w:line="312" w:lineRule="auto"/>
    </w:pPr>
    <w:rPr>
      <w:rFonts w:ascii="黑体" w:hAnsi="黑体" w:cs="宋体"/>
      <w:bCs/>
      <w:color w:val="000000"/>
      <w:sz w:val="24"/>
    </w:rPr>
  </w:style>
  <w:style w:type="paragraph" w:styleId="1014" w:customStyle="1">
    <w:name w:val="技术方案3"/>
    <w:basedOn w:val="671"/>
    <w:uiPriority w:val="0"/>
    <w:qFormat/>
    <w:pPr>
      <w:spacing w:line="360" w:lineRule="auto"/>
    </w:pPr>
    <w:rPr>
      <w:rFonts w:ascii="宋体"/>
      <w:b/>
      <w:bCs/>
      <w:sz w:val="32"/>
    </w:rPr>
  </w:style>
  <w:style w:type="paragraph" w:styleId="1015" w:customStyle="1">
    <w:name w:val="技术方案2"/>
    <w:basedOn w:val="671"/>
    <w:uiPriority w:val="0"/>
    <w:qFormat/>
    <w:pPr>
      <w:spacing w:line="480" w:lineRule="auto"/>
    </w:pPr>
    <w:rPr>
      <w:rFonts w:ascii="宋体"/>
      <w:b/>
      <w:bCs/>
      <w:sz w:val="36"/>
    </w:rPr>
  </w:style>
  <w:style w:type="paragraph" w:styleId="1016" w:customStyle="1">
    <w:name w:val="技术方案正文"/>
    <w:basedOn w:val="671"/>
    <w:uiPriority w:val="0"/>
    <w:qFormat/>
    <w:pPr>
      <w:ind w:firstLine="480"/>
      <w:spacing w:line="360" w:lineRule="auto"/>
    </w:pPr>
    <w:rPr>
      <w:rFonts w:ascii="宋体"/>
      <w:sz w:val="24"/>
    </w:rPr>
  </w:style>
  <w:style w:type="paragraph" w:styleId="101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8" w:customStyle="1">
    <w:name w:val="Normal Paragraph"/>
    <w:basedOn w:val="671"/>
    <w:uiPriority w:val="0"/>
    <w:qFormat/>
    <w:pPr>
      <w:ind w:firstLine="425"/>
      <w:spacing w:before="120" w:line="360" w:lineRule="auto"/>
      <w:widowControl/>
    </w:pPr>
    <w:rPr>
      <w:sz w:val="24"/>
      <w:szCs w:val="20"/>
    </w:rPr>
  </w:style>
  <w:style w:type="paragraph" w:styleId="1019" w:customStyle="1">
    <w:name w:val="Normal Paragraph Char"/>
    <w:basedOn w:val="671"/>
    <w:uiPriority w:val="0"/>
    <w:qFormat/>
    <w:pPr>
      <w:ind w:firstLine="425"/>
      <w:spacing w:before="120" w:line="360" w:lineRule="auto"/>
      <w:widowControl/>
    </w:pPr>
    <w:rPr>
      <w:sz w:val="24"/>
    </w:rPr>
  </w:style>
  <w:style w:type="paragraph" w:styleId="1020" w:customStyle="1">
    <w:name w:val="文档正文"/>
    <w:basedOn w:val="671"/>
    <w:uiPriority w:val="0"/>
    <w:qFormat/>
    <w:rPr>
      <w:rFonts w:ascii="宋体"/>
      <w:szCs w:val="20"/>
    </w:rPr>
  </w:style>
  <w:style w:type="paragraph" w:styleId="1021" w:customStyle="1">
    <w:name w:val="默认段落字体 Para Char Char Char Char Char"/>
    <w:basedOn w:val="671"/>
    <w:uiPriority w:val="0"/>
    <w:qFormat/>
    <w:pPr>
      <w:ind w:firstLine="200"/>
      <w:jc w:val="left"/>
      <w:spacing w:before="100" w:beforeAutospacing="1" w:after="100" w:afterAutospacing="1" w:line="360" w:lineRule="auto"/>
    </w:pPr>
    <w:rPr>
      <w:rFonts w:ascii="Arial" w:hAnsi="Arial"/>
      <w:sz w:val="24"/>
      <w:lang w:eastAsia="en-US"/>
    </w:rPr>
  </w:style>
  <w:style w:type="paragraph" w:styleId="1022" w:customStyle="1">
    <w:name w:val="标题2"/>
    <w:basedOn w:val="671"/>
    <w:uiPriority w:val="0"/>
    <w:qFormat/>
    <w:pPr>
      <w:tabs>
        <w:tab w:val="left" w:pos="0" w:leader="none"/>
      </w:tabs>
    </w:pPr>
    <w:rPr>
      <w:rFonts w:ascii="黑体" w:eastAsia="黑体"/>
      <w:sz w:val="24"/>
    </w:rPr>
  </w:style>
  <w:style w:type="paragraph" w:styleId="1023" w:customStyle="1">
    <w:name w:val="Char Char Char Char Char Char Char Char Char Char Char Char Char11"/>
    <w:basedOn w:val="671"/>
    <w:uiPriority w:val="0"/>
    <w:qFormat/>
    <w:pPr>
      <w:jc w:val="left"/>
      <w:spacing w:after="160" w:line="240" w:lineRule="exact"/>
      <w:widowControl/>
    </w:pPr>
    <w:rPr>
      <w:rFonts w:ascii="Arial" w:hAnsi="Arial" w:eastAsia="Times New Roman" w:cs="Verdana"/>
      <w:b/>
      <w:sz w:val="24"/>
      <w:szCs w:val="32"/>
      <w:lang w:eastAsia="en-US"/>
    </w:rPr>
  </w:style>
  <w:style w:type="paragraph" w:styleId="1024" w:customStyle="1">
    <w:name w:val="样式2"/>
    <w:basedOn w:val="674"/>
    <w:uiPriority w:val="0"/>
    <w:qFormat/>
    <w:pPr>
      <w:spacing w:line="415" w:lineRule="auto"/>
    </w:pPr>
    <w:rPr>
      <w:rFonts w:ascii="Calibri" w:hAnsi="Calibri"/>
      <w:sz w:val="28"/>
      <w:szCs w:val="28"/>
      <w:lang w:eastAsia="en-US"/>
    </w:rPr>
  </w:style>
  <w:style w:type="paragraph" w:styleId="1025" w:customStyle="1">
    <w:name w:val="样式3"/>
    <w:basedOn w:val="674"/>
    <w:uiPriority w:val="0"/>
    <w:qFormat/>
    <w:pPr>
      <w:spacing w:line="415" w:lineRule="auto"/>
    </w:pPr>
    <w:rPr>
      <w:rFonts w:ascii="Calibri" w:hAnsi="Calibri"/>
      <w:sz w:val="28"/>
      <w:szCs w:val="28"/>
      <w:lang w:eastAsia="en-US"/>
    </w:rPr>
  </w:style>
  <w:style w:type="paragraph" w:styleId="1026" w:customStyle="1">
    <w:name w:val="样式4"/>
    <w:basedOn w:val="674"/>
    <w:uiPriority w:val="0"/>
    <w:qFormat/>
    <w:pPr>
      <w:spacing w:line="415" w:lineRule="auto"/>
    </w:pPr>
    <w:rPr>
      <w:rFonts w:ascii="Calibri" w:hAnsi="Calibri"/>
      <w:sz w:val="28"/>
      <w:szCs w:val="28"/>
      <w:lang w:eastAsia="en-US"/>
    </w:rPr>
  </w:style>
  <w:style w:type="paragraph" w:styleId="1027" w:customStyle="1">
    <w:name w:val="样式5"/>
    <w:basedOn w:val="674"/>
    <w:uiPriority w:val="0"/>
    <w:qFormat/>
    <w:pPr>
      <w:spacing w:line="415" w:lineRule="auto"/>
    </w:pPr>
    <w:rPr>
      <w:rFonts w:ascii="Calibri" w:hAnsi="Calibri"/>
      <w:sz w:val="28"/>
      <w:szCs w:val="28"/>
      <w:lang w:eastAsia="en-US"/>
    </w:rPr>
  </w:style>
  <w:style w:type="paragraph" w:styleId="1028" w:customStyle="1">
    <w:name w:val="样式6"/>
    <w:basedOn w:val="801"/>
    <w:uiPriority w:val="0"/>
    <w:qFormat/>
    <w:pPr>
      <w:numPr>
        <w:numId w:val="0"/>
      </w:numPr>
      <w:keepLines/>
      <w:keepNext/>
      <w:spacing w:before="260" w:after="260" w:line="415" w:lineRule="auto"/>
      <w:outlineLvl w:val="1"/>
    </w:pPr>
    <w:rPr>
      <w:rFonts w:ascii="Times New Roman" w:hAnsi="Times New Roman"/>
      <w:b/>
      <w:bCs/>
      <w:sz w:val="32"/>
      <w:szCs w:val="32"/>
    </w:rPr>
  </w:style>
  <w:style w:type="paragraph" w:styleId="1029" w:customStyle="1">
    <w:name w:val="大汉方案正文 Char"/>
    <w:basedOn w:val="671"/>
    <w:uiPriority w:val="0"/>
    <w:qFormat/>
    <w:pPr>
      <w:ind w:firstLine="200"/>
      <w:spacing w:line="360" w:lineRule="auto"/>
    </w:pPr>
    <w:rPr>
      <w:rFonts w:ascii="Arial" w:hAnsi="Arial"/>
      <w:sz w:val="24"/>
    </w:rPr>
  </w:style>
  <w:style w:type="character" w:styleId="1030" w:customStyle="1">
    <w:name w:val="标题 2 Char Char Char"/>
    <w:uiPriority w:val="0"/>
    <w:qFormat/>
    <w:rPr>
      <w:rFonts w:ascii="Arial" w:hAnsi="Arial" w:eastAsia="宋体" w:cs="Arial"/>
      <w:b/>
      <w:bCs/>
      <w:i/>
      <w:iCs/>
      <w:sz w:val="28"/>
      <w:szCs w:val="28"/>
      <w:lang w:val="en-US" w:eastAsia="zh-CN" w:bidi="ar-SA"/>
    </w:rPr>
  </w:style>
  <w:style w:type="character" w:styleId="1031" w:customStyle="1">
    <w:name w:val="question-title"/>
    <w:uiPriority w:val="0"/>
    <w:qFormat/>
  </w:style>
  <w:style w:type="paragraph" w:styleId="1032" w:customStyle="1">
    <w:name w:val="说明书2级标题"/>
    <w:basedOn w:val="671"/>
    <w:next w:val="1033"/>
    <w:uiPriority w:val="0"/>
    <w:qFormat/>
    <w:pPr>
      <w:numPr>
        <w:ilvl w:val="2"/>
        <w:numId w:val="5"/>
      </w:numPr>
      <w:spacing w:before="100"/>
    </w:pPr>
    <w:rPr>
      <w:rFonts w:eastAsia="黑体"/>
      <w:sz w:val="28"/>
      <w:szCs w:val="28"/>
    </w:rPr>
  </w:style>
  <w:style w:type="paragraph" w:styleId="1033" w:customStyle="1">
    <w:name w:val="说明书3级标题"/>
    <w:basedOn w:val="671"/>
    <w:next w:val="671"/>
    <w:uiPriority w:val="0"/>
    <w:qFormat/>
    <w:pPr>
      <w:numPr>
        <w:ilvl w:val="2"/>
        <w:numId w:val="6"/>
      </w:numPr>
      <w:spacing w:line="360" w:lineRule="auto"/>
    </w:pPr>
    <w:rPr>
      <w:rFonts w:eastAsia="黑体"/>
      <w:sz w:val="24"/>
    </w:rPr>
  </w:style>
  <w:style w:type="character" w:styleId="1034" w:customStyle="1">
    <w:name w:val="style15"/>
    <w:uiPriority w:val="0"/>
    <w:qFormat/>
  </w:style>
  <w:style w:type="paragraph" w:styleId="1035" w:customStyle="1">
    <w:name w:val="列出段落[858D7CFB-ED40-4347-BF05-701D383B685F][858D7CFB-ED40-4347-BF05-701D383B685F]"/>
    <w:basedOn w:val="671"/>
    <w:uiPriority w:val="0"/>
    <w:qFormat/>
    <w:pPr>
      <w:ind w:firstLine="200"/>
    </w:pPr>
  </w:style>
  <w:style w:type="paragraph" w:styleId="1036" w:customStyle="1">
    <w:name w:val="默认段落字体 Para Char Char Char Char Char Char Char Char Char1 Char Char Char Char Char Char Char Char"/>
    <w:basedOn w:val="692"/>
    <w:uiPriority w:val="0"/>
    <w:qFormat/>
    <w:rPr>
      <w:rFonts w:ascii="Calibri" w:hAnsi="Calibri"/>
      <w:szCs w:val="22"/>
    </w:rPr>
  </w:style>
  <w:style w:type="paragraph" w:styleId="1037" w:customStyle="1">
    <w:name w:val="style42"/>
    <w:basedOn w:val="671"/>
    <w:uiPriority w:val="0"/>
    <w:qFormat/>
    <w:pPr>
      <w:jc w:val="left"/>
      <w:spacing w:before="100" w:beforeAutospacing="1" w:after="100" w:afterAutospacing="1"/>
      <w:widowControl/>
    </w:pPr>
    <w:rPr>
      <w:rFonts w:ascii="宋体" w:cs="宋体"/>
      <w:color w:val="000000"/>
      <w:sz w:val="15"/>
      <w:szCs w:val="15"/>
    </w:rPr>
  </w:style>
  <w:style w:type="paragraph" w:styleId="1038" w:customStyle="1">
    <w:name w:val="Char Char1 Char Char Char Char Char Char Char Char"/>
    <w:basedOn w:val="671"/>
    <w:uiPriority w:val="0"/>
    <w:qFormat/>
    <w:pPr>
      <w:jc w:val="left"/>
      <w:spacing w:after="160" w:line="240" w:lineRule="exact"/>
      <w:widowControl/>
    </w:pPr>
  </w:style>
  <w:style w:type="paragraph" w:styleId="1039" w:customStyle="1">
    <w:name w:val="技术方案正文样式"/>
    <w:basedOn w:val="671"/>
    <w:uiPriority w:val="0"/>
    <w:qFormat/>
    <w:pPr>
      <w:ind w:firstLine="200"/>
      <w:spacing w:line="400" w:lineRule="exact"/>
    </w:pPr>
    <w:rPr>
      <w:rFonts w:ascii="宋体" w:cs="宋体"/>
      <w:sz w:val="24"/>
      <w:szCs w:val="21"/>
    </w:rPr>
  </w:style>
  <w:style w:type="paragraph" w:styleId="1040" w:customStyle="1">
    <w:name w:val="D&amp;L"/>
    <w:basedOn w:val="715"/>
    <w:uiPriority w:val="0"/>
    <w:qFormat/>
    <w:pPr>
      <w:spacing w:line="240" w:lineRule="atLeast"/>
      <w:pBdr>
        <w:bottom w:val="single" w:color="000000" w:sz="18" w:space="1"/>
      </w:pBdr>
    </w:pPr>
    <w:rPr>
      <w:rFonts w:ascii="Calibri" w:hAnsi="Calibri"/>
      <w:sz w:val="24"/>
      <w:szCs w:val="20"/>
    </w:rPr>
  </w:style>
  <w:style w:type="paragraph" w:styleId="1041" w:customStyle="1">
    <w:name w:val="样式 标题 2 + Times New Roman 四号 非加粗 段前: 5 磅 段后: 0 磅 行距: 固定值 20..."/>
    <w:basedOn w:val="673"/>
    <w:uiPriority w:val="0"/>
    <w:qFormat/>
    <w:pPr>
      <w:jc w:val="both"/>
      <w:spacing w:before="100" w:after="0" w:line="400" w:lineRule="exact"/>
    </w:pPr>
    <w:rPr>
      <w:rFonts w:ascii="Times New Roman" w:hAnsi="Times New Roman" w:eastAsia="黑体" w:cs="宋体"/>
      <w:b w:val="0"/>
      <w:bCs w:val="0"/>
      <w:sz w:val="28"/>
      <w:szCs w:val="20"/>
      <w:lang w:eastAsia="en-US"/>
    </w:rPr>
  </w:style>
  <w:style w:type="paragraph" w:styleId="1042" w:customStyle="1">
    <w:name w:val="Char Char Char Char Char Char Char1 Char"/>
    <w:basedOn w:val="671"/>
    <w:uiPriority w:val="0"/>
    <w:qFormat/>
    <w:rPr>
      <w:rFonts w:ascii="Tahoma" w:hAnsi="Tahoma"/>
      <w:sz w:val="24"/>
      <w:szCs w:val="20"/>
    </w:rPr>
  </w:style>
  <w:style w:type="paragraph" w:styleId="1043" w:customStyle="1">
    <w:name w:val="Normal_0"/>
    <w:uiPriority w:val="0"/>
    <w:qFormat/>
    <w:rPr>
      <w:rFonts w:ascii="黑体" w:hAnsi="黑体" w:eastAsia="黑体" w:cs="Times New Roman"/>
      <w:b/>
      <w:sz w:val="32"/>
      <w:szCs w:val="24"/>
      <w:lang w:val="en-US" w:eastAsia="zh-CN" w:bidi="ar-SA"/>
    </w:rPr>
  </w:style>
  <w:style w:type="paragraph" w:styleId="104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45" w:customStyle="1">
    <w:name w:val="Normal_1"/>
    <w:uiPriority w:val="0"/>
    <w:qFormat/>
    <w:rPr>
      <w:rFonts w:ascii="黑体" w:hAnsi="黑体" w:eastAsia="黑体" w:cs="Times New Roman"/>
      <w:b/>
      <w:sz w:val="32"/>
      <w:szCs w:val="24"/>
      <w:lang w:val="en-US" w:eastAsia="zh-CN" w:bidi="ar-SA"/>
    </w:rPr>
  </w:style>
  <w:style w:type="paragraph" w:styleId="104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04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48"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049" w:customStyle="1">
    <w:name w:val="Normal_2"/>
    <w:uiPriority w:val="0"/>
    <w:qFormat/>
    <w:rPr>
      <w:rFonts w:ascii="黑体" w:hAnsi="黑体" w:eastAsia="黑体" w:cs="Times New Roman"/>
      <w:b/>
      <w:sz w:val="32"/>
      <w:szCs w:val="24"/>
      <w:lang w:val="en-US" w:eastAsia="zh-CN" w:bidi="ar-SA"/>
    </w:rPr>
  </w:style>
  <w:style w:type="paragraph" w:styleId="105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51" w:customStyle="1">
    <w:name w:val="Normal_3"/>
    <w:uiPriority w:val="0"/>
    <w:qFormat/>
    <w:rPr>
      <w:rFonts w:ascii="黑体" w:hAnsi="黑体" w:eastAsia="黑体" w:cs="Times New Roman"/>
      <w:b/>
      <w:sz w:val="32"/>
      <w:szCs w:val="24"/>
      <w:lang w:val="en-US" w:eastAsia="zh-CN" w:bidi="ar-SA"/>
    </w:rPr>
  </w:style>
  <w:style w:type="paragraph" w:styleId="1052" w:customStyle="1">
    <w:name w:val="Normal_4"/>
    <w:uiPriority w:val="0"/>
    <w:qFormat/>
    <w:rPr>
      <w:rFonts w:ascii="黑体" w:hAnsi="黑体" w:eastAsia="黑体" w:cs="Times New Roman"/>
      <w:b/>
      <w:sz w:val="32"/>
      <w:szCs w:val="24"/>
      <w:lang w:val="en-US" w:eastAsia="zh-CN" w:bidi="ar-SA"/>
    </w:rPr>
  </w:style>
  <w:style w:type="paragraph" w:styleId="1053" w:customStyle="1">
    <w:name w:val="Normal_5"/>
    <w:uiPriority w:val="0"/>
    <w:qFormat/>
    <w:rPr>
      <w:rFonts w:ascii="黑体" w:hAnsi="黑体" w:eastAsia="黑体" w:cs="Times New Roman"/>
      <w:b/>
      <w:sz w:val="32"/>
      <w:szCs w:val="24"/>
      <w:lang w:val="en-US" w:eastAsia="zh-CN" w:bidi="ar-SA"/>
    </w:rPr>
  </w:style>
  <w:style w:type="paragraph" w:styleId="105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Normal_6"/>
    <w:uiPriority w:val="0"/>
    <w:qFormat/>
    <w:rPr>
      <w:rFonts w:ascii="黑体" w:hAnsi="黑体" w:eastAsia="黑体" w:cs="Times New Roman"/>
      <w:b/>
      <w:sz w:val="32"/>
      <w:szCs w:val="24"/>
      <w:lang w:val="en-US" w:eastAsia="zh-CN" w:bidi="ar-SA"/>
    </w:rPr>
  </w:style>
  <w:style w:type="paragraph" w:styleId="105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057" w:customStyle="1">
    <w:name w:val="Normal_7"/>
    <w:uiPriority w:val="0"/>
    <w:qFormat/>
    <w:rPr>
      <w:rFonts w:ascii="黑体" w:hAnsi="黑体" w:eastAsia="黑体" w:cs="Times New Roman"/>
      <w:b/>
      <w:sz w:val="32"/>
      <w:szCs w:val="24"/>
      <w:lang w:val="en-US" w:eastAsia="zh-CN" w:bidi="ar-SA"/>
    </w:rPr>
  </w:style>
  <w:style w:type="paragraph" w:styleId="1058" w:customStyle="1">
    <w:name w:val="Normal_8"/>
    <w:uiPriority w:val="0"/>
    <w:qFormat/>
    <w:rPr>
      <w:rFonts w:ascii="Times New Roman" w:hAnsi="Times New Roman" w:eastAsia="Times New Roman" w:cs="Times New Roman"/>
      <w:sz w:val="24"/>
      <w:szCs w:val="24"/>
      <w:lang w:val="en-US" w:eastAsia="zh-CN" w:bidi="ar-SA"/>
    </w:rPr>
  </w:style>
  <w:style w:type="paragraph" w:styleId="1059" w:customStyle="1">
    <w:name w:val="Normal_9"/>
    <w:uiPriority w:val="0"/>
    <w:qFormat/>
    <w:rPr>
      <w:rFonts w:ascii="黑体" w:hAnsi="黑体" w:eastAsia="黑体" w:cs="Times New Roman"/>
      <w:b/>
      <w:sz w:val="32"/>
      <w:szCs w:val="24"/>
      <w:lang w:val="en-US" w:eastAsia="zh-CN" w:bidi="ar-SA"/>
    </w:rPr>
  </w:style>
  <w:style w:type="paragraph" w:styleId="1060"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Normal_10"/>
    <w:uiPriority w:val="0"/>
    <w:qFormat/>
    <w:rPr>
      <w:rFonts w:ascii="黑体" w:hAnsi="黑体" w:eastAsia="黑体" w:cs="Times New Roman"/>
      <w:b/>
      <w:sz w:val="32"/>
      <w:szCs w:val="24"/>
      <w:lang w:val="en-US" w:eastAsia="zh-CN" w:bidi="ar-SA"/>
    </w:rPr>
  </w:style>
  <w:style w:type="paragraph" w:styleId="1062"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063" w:customStyle="1">
    <w:name w:val="正文缩进_0"/>
    <w:basedOn w:val="1062"/>
    <w:link w:val="1064"/>
    <w:uiPriority w:val="0"/>
    <w:unhideWhenUsed/>
    <w:qFormat/>
    <w:pPr>
      <w:ind w:firstLine="420"/>
    </w:pPr>
    <w:rPr>
      <w:szCs w:val="22"/>
      <w:lang w:eastAsia="en-US"/>
    </w:rPr>
  </w:style>
  <w:style w:type="character" w:styleId="1064" w:customStyle="1">
    <w:name w:val="正文缩进 Char1_0"/>
    <w:link w:val="1063"/>
    <w:uiPriority w:val="0"/>
    <w:qFormat/>
    <w:rPr>
      <w:rFonts w:ascii="Times New Roman" w:hAnsi="Times New Roman"/>
      <w:sz w:val="21"/>
      <w:szCs w:val="22"/>
      <w:lang w:val="en-US" w:eastAsia="en-US"/>
    </w:rPr>
  </w:style>
  <w:style w:type="paragraph" w:styleId="1065" w:customStyle="1">
    <w:name w:val="纯文本_0"/>
    <w:basedOn w:val="1062"/>
    <w:link w:val="1066"/>
    <w:uiPriority w:val="0"/>
    <w:unhideWhenUsed/>
    <w:qFormat/>
    <w:rPr>
      <w:rFonts w:ascii="宋体" w:hAnsi="Courier New"/>
      <w:szCs w:val="21"/>
      <w:lang w:eastAsia="en-US"/>
    </w:rPr>
  </w:style>
  <w:style w:type="character" w:styleId="1066" w:customStyle="1">
    <w:name w:val="纯文本 Char_0"/>
    <w:link w:val="1065"/>
    <w:uiPriority w:val="0"/>
    <w:qFormat/>
    <w:rPr>
      <w:rFonts w:ascii="宋体" w:hAnsi="Courier New"/>
      <w:sz w:val="21"/>
      <w:szCs w:val="21"/>
      <w:lang w:val="en-US" w:eastAsia="en-US"/>
    </w:rPr>
  </w:style>
  <w:style w:type="paragraph" w:styleId="1067" w:customStyle="1">
    <w:name w:val="Normal_11"/>
    <w:uiPriority w:val="0"/>
    <w:qFormat/>
    <w:rPr>
      <w:rFonts w:ascii="黑体" w:hAnsi="黑体" w:eastAsia="黑体" w:cs="Times New Roman"/>
      <w:b/>
      <w:sz w:val="32"/>
      <w:szCs w:val="24"/>
      <w:lang w:val="en-US" w:eastAsia="zh-CN" w:bidi="ar-SA"/>
    </w:rPr>
  </w:style>
  <w:style w:type="paragraph" w:styleId="1068"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069" w:customStyle="1">
    <w:name w:val="Normal_12"/>
    <w:uiPriority w:val="0"/>
    <w:qFormat/>
    <w:rPr>
      <w:rFonts w:ascii="黑体" w:hAnsi="黑体" w:eastAsia="黑体" w:cs="Times New Roman"/>
      <w:b/>
      <w:sz w:val="32"/>
      <w:szCs w:val="24"/>
      <w:lang w:val="en-US" w:eastAsia="zh-CN" w:bidi="ar-SA"/>
    </w:rPr>
  </w:style>
  <w:style w:type="paragraph" w:styleId="107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071" w:customStyle="1">
    <w:name w:val="Normal_13"/>
    <w:uiPriority w:val="0"/>
    <w:qFormat/>
    <w:rPr>
      <w:rFonts w:ascii="黑体" w:hAnsi="黑体" w:eastAsia="黑体" w:cs="Times New Roman"/>
      <w:b/>
      <w:sz w:val="32"/>
      <w:szCs w:val="24"/>
      <w:lang w:val="en-US" w:eastAsia="zh-CN" w:bidi="ar-SA"/>
    </w:rPr>
  </w:style>
  <w:style w:type="paragraph" w:styleId="107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073" w:customStyle="1">
    <w:name w:val="Normal_14"/>
    <w:uiPriority w:val="0"/>
    <w:qFormat/>
    <w:rPr>
      <w:rFonts w:ascii="黑体" w:hAnsi="黑体" w:eastAsia="黑体" w:cs="Times New Roman"/>
      <w:b/>
      <w:sz w:val="32"/>
      <w:szCs w:val="24"/>
      <w:lang w:val="en-US" w:eastAsia="zh-CN" w:bidi="ar-SA"/>
    </w:rPr>
  </w:style>
  <w:style w:type="paragraph" w:styleId="1074"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075" w:customStyle="1">
    <w:name w:val="Normal_15"/>
    <w:uiPriority w:val="0"/>
    <w:qFormat/>
    <w:rPr>
      <w:rFonts w:ascii="黑体" w:hAnsi="黑体" w:eastAsia="黑体" w:cs="Times New Roman"/>
      <w:b/>
      <w:sz w:val="32"/>
      <w:szCs w:val="24"/>
      <w:lang w:val="en-US" w:eastAsia="zh-CN" w:bidi="ar-SA"/>
    </w:rPr>
  </w:style>
  <w:style w:type="paragraph" w:styleId="107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077" w:customStyle="1">
    <w:name w:val="Normal_16"/>
    <w:uiPriority w:val="0"/>
    <w:qFormat/>
    <w:rPr>
      <w:rFonts w:ascii="黑体" w:hAnsi="黑体" w:eastAsia="黑体" w:cs="Times New Roman"/>
      <w:b/>
      <w:sz w:val="32"/>
      <w:szCs w:val="24"/>
      <w:lang w:val="en-US" w:eastAsia="zh-CN" w:bidi="ar-SA"/>
    </w:rPr>
  </w:style>
  <w:style w:type="paragraph" w:styleId="107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79"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080" w:customStyle="1">
    <w:name w:val="Normal_17"/>
    <w:uiPriority w:val="0"/>
    <w:qFormat/>
    <w:rPr>
      <w:rFonts w:ascii="黑体" w:hAnsi="黑体" w:eastAsia="黑体" w:cs="Times New Roman"/>
      <w:b/>
      <w:sz w:val="32"/>
      <w:szCs w:val="24"/>
      <w:lang w:val="en-US" w:eastAsia="zh-CN" w:bidi="ar-SA"/>
    </w:rPr>
  </w:style>
  <w:style w:type="paragraph" w:styleId="1081" w:customStyle="1">
    <w:name w:val="Normal_18"/>
    <w:uiPriority w:val="0"/>
    <w:qFormat/>
    <w:rPr>
      <w:rFonts w:ascii="黑体" w:hAnsi="黑体" w:eastAsia="黑体" w:cs="Times New Roman"/>
      <w:b/>
      <w:sz w:val="32"/>
      <w:szCs w:val="24"/>
      <w:lang w:val="en-US" w:eastAsia="zh-CN" w:bidi="ar-SA"/>
    </w:rPr>
  </w:style>
  <w:style w:type="paragraph" w:styleId="1082"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083" w:customStyle="1">
    <w:name w:val="Normal_0_0"/>
    <w:uiPriority w:val="0"/>
    <w:qFormat/>
    <w:rPr>
      <w:rFonts w:ascii="黑体" w:hAnsi="黑体" w:eastAsia="黑体" w:cs="Times New Roman"/>
      <w:b/>
      <w:sz w:val="40"/>
      <w:szCs w:val="24"/>
      <w:lang w:val="en-US" w:eastAsia="zh-CN" w:bidi="ar-SA"/>
    </w:rPr>
  </w:style>
  <w:style w:type="paragraph" w:styleId="1084" w:customStyle="1">
    <w:name w:val="Normal_1_0"/>
    <w:uiPriority w:val="0"/>
    <w:qFormat/>
    <w:rPr>
      <w:rFonts w:ascii="Times New Roman" w:hAnsi="Times New Roman" w:eastAsia="Times New Roman" w:cs="Times New Roman"/>
      <w:sz w:val="24"/>
      <w:szCs w:val="24"/>
      <w:lang w:val="en-US" w:eastAsia="zh-CN" w:bidi="ar-SA"/>
    </w:rPr>
  </w:style>
  <w:style w:type="character" w:styleId="1085" w:customStyle="1">
    <w:name w:val="纯文本 Char1"/>
    <w:uiPriority w:val="0"/>
    <w:qFormat/>
    <w:rPr>
      <w:rFonts w:ascii="宋体" w:hAnsi="Calibri" w:eastAsia="宋体"/>
      <w:sz w:val="21"/>
      <w:szCs w:val="21"/>
      <w:lang w:val="en-US" w:eastAsia="zh-CN" w:bidi="ar-SA"/>
    </w:rPr>
  </w:style>
  <w:style w:type="paragraph" w:styleId="1086" w:customStyle="1">
    <w:name w:val="Normal1"/>
    <w:uiPriority w:val="0"/>
    <w:qFormat/>
    <w:rPr>
      <w:rFonts w:ascii="Times New Roman" w:hAnsi="Times New Roman" w:eastAsia="Times New Roman" w:cs="Times New Roman"/>
      <w:sz w:val="24"/>
      <w:szCs w:val="24"/>
      <w:lang w:val="en-US" w:eastAsia="zh-CN" w:bidi="ar-SA"/>
    </w:rPr>
  </w:style>
  <w:style w:type="paragraph" w:styleId="1087"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088"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Normal_19"/>
    <w:uiPriority w:val="0"/>
    <w:qFormat/>
    <w:rPr>
      <w:rFonts w:ascii="Arial" w:hAnsi="Arial" w:eastAsia="Arial" w:cs="Arial"/>
      <w:color w:val="000000"/>
      <w:sz w:val="21"/>
      <w:szCs w:val="21"/>
      <w:lang w:val="en-US" w:eastAsia="zh-CN" w:bidi="ar-SA"/>
    </w:rPr>
  </w:style>
  <w:style w:type="paragraph" w:styleId="1090"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91" w:customStyle="1">
    <w:name w:val="Normal_2_0"/>
    <w:uiPriority w:val="0"/>
    <w:qFormat/>
    <w:rPr>
      <w:rFonts w:ascii="黑体" w:hAnsi="黑体" w:eastAsia="黑体" w:cs="Times New Roman"/>
      <w:b/>
      <w:sz w:val="32"/>
      <w:szCs w:val="24"/>
      <w:lang w:val="en-US" w:eastAsia="zh-CN" w:bidi="ar-SA"/>
    </w:rPr>
  </w:style>
  <w:style w:type="paragraph" w:styleId="109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93" w:customStyle="1">
    <w:name w:val="正文_18"/>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Normal_5_0"/>
    <w:uiPriority w:val="0"/>
    <w:qFormat/>
    <w:rPr>
      <w:rFonts w:ascii="黑体" w:hAnsi="黑体" w:eastAsia="黑体" w:cs="Times New Roman"/>
      <w:b/>
      <w:sz w:val="32"/>
      <w:szCs w:val="24"/>
      <w:lang w:val="en-US" w:eastAsia="zh-CN" w:bidi="ar-SA"/>
    </w:rPr>
  </w:style>
  <w:style w:type="paragraph" w:styleId="1095"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96" w:customStyle="1">
    <w:name w:val="Normal_6_0"/>
    <w:uiPriority w:val="0"/>
    <w:qFormat/>
    <w:rPr>
      <w:rFonts w:ascii="黑体" w:hAnsi="黑体" w:eastAsia="黑体" w:cs="Times New Roman"/>
      <w:b/>
      <w:sz w:val="32"/>
      <w:szCs w:val="24"/>
      <w:lang w:val="en-US" w:eastAsia="zh-CN" w:bidi="ar-SA"/>
    </w:rPr>
  </w:style>
  <w:style w:type="paragraph" w:styleId="1097"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98" w:customStyle="1">
    <w:name w:val="Normal_8_0"/>
    <w:uiPriority w:val="0"/>
    <w:qFormat/>
    <w:rPr>
      <w:rFonts w:ascii="黑体" w:hAnsi="黑体" w:eastAsia="黑体" w:cs="Times New Roman"/>
      <w:b/>
      <w:sz w:val="32"/>
      <w:szCs w:val="24"/>
      <w:lang w:val="en-US" w:eastAsia="zh-CN" w:bidi="ar-SA"/>
    </w:rPr>
  </w:style>
  <w:style w:type="paragraph" w:styleId="1099" w:customStyle="1">
    <w:name w:val="Normal_9_0"/>
    <w:uiPriority w:val="0"/>
    <w:qFormat/>
    <w:rPr>
      <w:rFonts w:ascii="Times New Roman" w:hAnsi="Times New Roman" w:eastAsia="Times New Roman" w:cs="Times New Roman"/>
      <w:sz w:val="24"/>
      <w:szCs w:val="24"/>
      <w:lang w:val="en-US" w:eastAsia="zh-CN" w:bidi="ar-SA"/>
    </w:rPr>
  </w:style>
  <w:style w:type="paragraph" w:styleId="1100" w:customStyle="1">
    <w:name w:val="Normal_10_0"/>
    <w:uiPriority w:val="0"/>
    <w:qFormat/>
    <w:rPr>
      <w:rFonts w:ascii="Times New Roman" w:hAnsi="Times New Roman" w:eastAsia="Times New Roman" w:cs="Times New Roman"/>
      <w:sz w:val="24"/>
      <w:szCs w:val="24"/>
      <w:lang w:val="en-US" w:eastAsia="zh-CN" w:bidi="ar-SA"/>
    </w:rPr>
  </w:style>
  <w:style w:type="paragraph" w:styleId="1101" w:customStyle="1">
    <w:name w:val="Normal_11_0"/>
    <w:uiPriority w:val="0"/>
    <w:qFormat/>
    <w:rPr>
      <w:rFonts w:ascii="黑体" w:hAnsi="黑体" w:eastAsia="黑体" w:cs="Times New Roman"/>
      <w:b/>
      <w:sz w:val="32"/>
      <w:szCs w:val="24"/>
      <w:lang w:val="en-US" w:eastAsia="zh-CN" w:bidi="ar-SA"/>
    </w:rPr>
  </w:style>
  <w:style w:type="paragraph" w:styleId="1102"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0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0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05"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06" w:customStyle="1">
    <w:name w:val="列出段落_2"/>
    <w:basedOn w:val="1105"/>
    <w:uiPriority w:val="34"/>
    <w:qFormat/>
    <w:pPr>
      <w:ind w:firstLine="420"/>
    </w:pPr>
  </w:style>
  <w:style w:type="paragraph" w:styleId="1107" w:customStyle="1">
    <w:name w:val="Normal_12_0"/>
    <w:uiPriority w:val="0"/>
    <w:qFormat/>
    <w:rPr>
      <w:rFonts w:ascii="黑体" w:hAnsi="黑体" w:eastAsia="黑体" w:cs="Times New Roman"/>
      <w:b/>
      <w:sz w:val="32"/>
      <w:szCs w:val="24"/>
      <w:lang w:val="en-US" w:eastAsia="zh-CN" w:bidi="ar-SA"/>
    </w:rPr>
  </w:style>
  <w:style w:type="paragraph" w:styleId="1108"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09" w:customStyle="1">
    <w:name w:val="Normal_13_0"/>
    <w:uiPriority w:val="0"/>
    <w:qFormat/>
    <w:rPr>
      <w:rFonts w:ascii="黑体" w:hAnsi="黑体" w:eastAsia="黑体" w:cs="Times New Roman"/>
      <w:b/>
      <w:sz w:val="32"/>
      <w:szCs w:val="24"/>
      <w:lang w:val="en-US" w:eastAsia="zh-CN" w:bidi="ar-SA"/>
    </w:rPr>
  </w:style>
  <w:style w:type="paragraph" w:styleId="1110"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Normal_14_0"/>
    <w:uiPriority w:val="0"/>
    <w:qFormat/>
    <w:rPr>
      <w:rFonts w:ascii="黑体" w:hAnsi="黑体" w:eastAsia="黑体" w:cs="Times New Roman"/>
      <w:b/>
      <w:sz w:val="32"/>
      <w:szCs w:val="24"/>
      <w:lang w:val="en-US" w:eastAsia="zh-CN" w:bidi="ar-SA"/>
    </w:rPr>
  </w:style>
  <w:style w:type="paragraph" w:styleId="111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11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14" w:customStyle="1">
    <w:name w:val="Normal_14_0_0"/>
    <w:uiPriority w:val="0"/>
    <w:qFormat/>
    <w:rPr>
      <w:rFonts w:ascii="黑体" w:hAnsi="黑体" w:eastAsia="黑体" w:cs="Times New Roman"/>
      <w:b/>
      <w:sz w:val="32"/>
      <w:szCs w:val="24"/>
      <w:lang w:val="en-US" w:eastAsia="zh-CN" w:bidi="ar-SA"/>
    </w:rPr>
  </w:style>
  <w:style w:type="paragraph" w:styleId="1115"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116" w:customStyle="1">
    <w:name w:val="Normal_15_0"/>
    <w:uiPriority w:val="0"/>
    <w:qFormat/>
    <w:rPr>
      <w:rFonts w:ascii="黑体" w:hAnsi="黑体" w:eastAsia="黑体" w:cs="Times New Roman"/>
      <w:b/>
      <w:sz w:val="32"/>
      <w:szCs w:val="24"/>
      <w:lang w:val="en-US" w:eastAsia="zh-CN" w:bidi="ar-SA"/>
    </w:rPr>
  </w:style>
  <w:style w:type="paragraph" w:styleId="1117"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Normal_16_0"/>
    <w:uiPriority w:val="0"/>
    <w:qFormat/>
    <w:rPr>
      <w:rFonts w:ascii="黑体" w:hAnsi="黑体" w:eastAsia="黑体" w:cs="Times New Roman"/>
      <w:b/>
      <w:sz w:val="32"/>
      <w:szCs w:val="24"/>
      <w:lang w:val="en-US" w:eastAsia="zh-CN" w:bidi="ar-SA"/>
    </w:rPr>
  </w:style>
  <w:style w:type="paragraph" w:styleId="1119" w:customStyle="1">
    <w:name w:val="Normal_17_0"/>
    <w:uiPriority w:val="0"/>
    <w:qFormat/>
    <w:rPr>
      <w:rFonts w:ascii="黑体" w:hAnsi="黑体" w:eastAsia="黑体" w:cs="Times New Roman"/>
      <w:b/>
      <w:sz w:val="32"/>
      <w:szCs w:val="24"/>
      <w:lang w:val="en-US" w:eastAsia="zh-CN" w:bidi="ar-SA"/>
    </w:rPr>
  </w:style>
  <w:style w:type="paragraph" w:styleId="1120" w:customStyle="1">
    <w:name w:val="Normal_17_0_0"/>
    <w:uiPriority w:val="0"/>
    <w:qFormat/>
    <w:rPr>
      <w:rFonts w:ascii="黑体" w:hAnsi="黑体" w:eastAsia="黑体" w:cs="Times New Roman"/>
      <w:b/>
      <w:sz w:val="32"/>
      <w:szCs w:val="24"/>
      <w:lang w:val="en-US" w:eastAsia="zh-CN" w:bidi="ar-SA"/>
    </w:rPr>
  </w:style>
  <w:style w:type="paragraph" w:styleId="1121" w:customStyle="1">
    <w:name w:val="正文_1_1_1"/>
    <w:uiPriority w:val="0"/>
    <w:qFormat/>
    <w:pPr>
      <w:jc w:val="both"/>
      <w:widowControl w:val="off"/>
    </w:pPr>
    <w:rPr>
      <w:rFonts w:ascii="Times New Roman" w:hAnsi="Times New Roman" w:eastAsia="宋体" w:cs="Times New Roman"/>
      <w:szCs w:val="24"/>
      <w:lang w:val="en-US" w:eastAsia="zh-CN" w:bidi="ar-SA"/>
    </w:rPr>
  </w:style>
  <w:style w:type="paragraph" w:styleId="1122" w:customStyle="1">
    <w:name w:val="正文_3_0_0"/>
    <w:uiPriority w:val="0"/>
    <w:qFormat/>
    <w:pPr>
      <w:jc w:val="both"/>
      <w:widowControl w:val="off"/>
    </w:pPr>
    <w:rPr>
      <w:rFonts w:ascii="Calibri" w:hAnsi="Calibri" w:eastAsia="宋体" w:cs="Times New Roman"/>
      <w:lang w:val="en-US" w:eastAsia="zh-CN" w:bidi="ar-SA"/>
    </w:rPr>
  </w:style>
  <w:style w:type="paragraph" w:styleId="1123" w:customStyle="1">
    <w:name w:val="Normal_18_0_0"/>
    <w:uiPriority w:val="0"/>
    <w:qFormat/>
    <w:pPr>
      <w:jc w:val="both"/>
      <w:widowControl w:val="off"/>
    </w:pPr>
    <w:rPr>
      <w:rFonts w:ascii="Calibri" w:hAnsi="Calibri" w:eastAsia="宋体" w:cs="Times New Roman"/>
      <w:lang w:val="en-US" w:eastAsia="zh-CN" w:bidi="ar-SA"/>
    </w:rPr>
  </w:style>
  <w:style w:type="paragraph" w:styleId="1124" w:customStyle="1">
    <w:name w:val="Normal_20_0"/>
    <w:uiPriority w:val="0"/>
    <w:qFormat/>
    <w:rPr>
      <w:rFonts w:ascii="黑体" w:hAnsi="黑体" w:eastAsia="黑体" w:cs="Times New Roman"/>
      <w:b/>
      <w:sz w:val="32"/>
      <w:szCs w:val="24"/>
      <w:lang w:val="en-US" w:eastAsia="zh-CN" w:bidi="ar-SA"/>
    </w:rPr>
  </w:style>
  <w:style w:type="paragraph" w:styleId="1125" w:customStyle="1">
    <w:name w:val="Normal_21"/>
    <w:uiPriority w:val="0"/>
    <w:qFormat/>
    <w:pPr>
      <w:jc w:val="both"/>
      <w:widowControl w:val="off"/>
    </w:pPr>
    <w:rPr>
      <w:rFonts w:ascii="Times New Roman" w:hAnsi="Times New Roman" w:eastAsia="Times New Roman" w:cs="Times New Roman"/>
      <w:lang w:val="en-US" w:eastAsia="zh-CN" w:bidi="ar-SA"/>
    </w:rPr>
  </w:style>
  <w:style w:type="paragraph" w:styleId="1126" w:customStyle="1">
    <w:name w:val="Normal_0_2"/>
    <w:uiPriority w:val="0"/>
    <w:qFormat/>
    <w:rPr>
      <w:rFonts w:ascii="黑体" w:hAnsi="黑体" w:eastAsia="黑体" w:cs="Times New Roman"/>
      <w:b/>
      <w:sz w:val="32"/>
      <w:szCs w:val="24"/>
      <w:lang w:val="en-US" w:eastAsia="zh-CN" w:bidi="ar-SA"/>
    </w:rPr>
  </w:style>
  <w:style w:type="paragraph" w:styleId="1127" w:customStyle="1">
    <w:name w:val="Normal_1_2"/>
    <w:uiPriority w:val="0"/>
    <w:qFormat/>
    <w:rPr>
      <w:rFonts w:ascii="Times New Roman" w:hAnsi="Times New Roman" w:eastAsia="Times New Roman" w:cs="Times New Roman"/>
      <w:sz w:val="24"/>
      <w:szCs w:val="24"/>
      <w:lang w:val="en-US" w:eastAsia="zh-CN" w:bidi="ar-SA"/>
    </w:rPr>
  </w:style>
  <w:style w:type="paragraph" w:styleId="1128" w:customStyle="1">
    <w:name w:val="Normal_0_3"/>
    <w:uiPriority w:val="0"/>
    <w:qFormat/>
    <w:rPr>
      <w:rFonts w:ascii="黑体" w:hAnsi="黑体" w:eastAsia="黑体" w:cs="Times New Roman"/>
      <w:b/>
      <w:sz w:val="32"/>
      <w:szCs w:val="24"/>
      <w:lang w:val="en-US" w:eastAsia="zh-CN" w:bidi="ar-SA"/>
    </w:rPr>
  </w:style>
  <w:style w:type="paragraph" w:styleId="1129" w:customStyle="1">
    <w:name w:val="正文_19"/>
    <w:uiPriority w:val="0"/>
    <w:qFormat/>
    <w:pPr>
      <w:jc w:val="both"/>
      <w:widowControl w:val="off"/>
    </w:pPr>
    <w:rPr>
      <w:rFonts w:ascii="Calibri" w:hAnsi="Calibri" w:eastAsia="宋体" w:cs="Times New Roman"/>
      <w:sz w:val="21"/>
      <w:szCs w:val="22"/>
      <w:lang w:val="en-US" w:eastAsia="zh-CN" w:bidi="ar-SA"/>
    </w:rPr>
  </w:style>
  <w:style w:type="character" w:styleId="1130" w:customStyle="1">
    <w:name w:val="副标题 Char"/>
    <w:link w:val="720"/>
    <w:uiPriority w:val="0"/>
    <w:qFormat/>
    <w:rPr>
      <w:sz w:val="24"/>
      <w:szCs w:val="24"/>
    </w:rPr>
  </w:style>
  <w:style w:type="character" w:styleId="1131" w:customStyle="1">
    <w:name w:val="Subtitle Char"/>
    <w:uiPriority w:val="11"/>
    <w:qFormat/>
    <w:rPr>
      <w:sz w:val="24"/>
      <w:szCs w:val="24"/>
    </w:rPr>
  </w:style>
  <w:style w:type="character" w:styleId="1132" w:customStyle="1">
    <w:name w:val="Quote Char"/>
    <w:uiPriority w:val="29"/>
    <w:qFormat/>
    <w:rPr>
      <w:i/>
    </w:rPr>
  </w:style>
  <w:style w:type="character" w:styleId="1133" w:customStyle="1">
    <w:name w:val="Intense Quote Char"/>
    <w:uiPriority w:val="30"/>
    <w:qFormat/>
    <w:rPr>
      <w:i/>
    </w:rPr>
  </w:style>
  <w:style w:type="character" w:styleId="1134" w:customStyle="1">
    <w:name w:val="Heading 1 Char"/>
    <w:uiPriority w:val="9"/>
    <w:qFormat/>
    <w:rPr>
      <w:rFonts w:ascii="Arial" w:hAnsi="Arial" w:eastAsia="Arial" w:cs="Arial"/>
      <w:sz w:val="40"/>
      <w:szCs w:val="40"/>
    </w:rPr>
  </w:style>
  <w:style w:type="character" w:styleId="1135" w:customStyle="1">
    <w:name w:val="Heading 5 Char"/>
    <w:uiPriority w:val="9"/>
    <w:qFormat/>
    <w:rPr>
      <w:rFonts w:ascii="Arial" w:hAnsi="Arial" w:eastAsia="Arial" w:cs="Arial"/>
      <w:b/>
      <w:bCs/>
      <w:sz w:val="24"/>
      <w:szCs w:val="24"/>
    </w:rPr>
  </w:style>
  <w:style w:type="character" w:styleId="1136" w:customStyle="1">
    <w:name w:val="Heading 6 Char"/>
    <w:uiPriority w:val="9"/>
    <w:qFormat/>
    <w:rPr>
      <w:rFonts w:ascii="Arial" w:hAnsi="Arial" w:eastAsia="Arial" w:cs="Arial"/>
      <w:b/>
      <w:bCs/>
      <w:sz w:val="22"/>
      <w:szCs w:val="22"/>
    </w:rPr>
  </w:style>
  <w:style w:type="character" w:styleId="1137" w:customStyle="1">
    <w:name w:val="Heading 7 Char"/>
    <w:uiPriority w:val="9"/>
    <w:qFormat/>
    <w:rPr>
      <w:rFonts w:ascii="Arial" w:hAnsi="Arial" w:eastAsia="Arial" w:cs="Arial"/>
      <w:b/>
      <w:bCs/>
      <w:i/>
      <w:iCs/>
      <w:sz w:val="22"/>
      <w:szCs w:val="22"/>
    </w:rPr>
  </w:style>
  <w:style w:type="character" w:styleId="1138" w:customStyle="1">
    <w:name w:val="Heading 8 Char"/>
    <w:uiPriority w:val="9"/>
    <w:qFormat/>
    <w:rPr>
      <w:rFonts w:ascii="Arial" w:hAnsi="Arial" w:eastAsia="Arial" w:cs="Arial"/>
      <w:i/>
      <w:iCs/>
      <w:sz w:val="22"/>
      <w:szCs w:val="22"/>
    </w:rPr>
  </w:style>
  <w:style w:type="character" w:styleId="1139" w:customStyle="1">
    <w:name w:val="Heading 9 Char"/>
    <w:uiPriority w:val="9"/>
    <w:qFormat/>
    <w:rPr>
      <w:rFonts w:ascii="Arial" w:hAnsi="Arial" w:eastAsia="Arial" w:cs="Arial"/>
      <w:i/>
      <w:iCs/>
      <w:sz w:val="21"/>
      <w:szCs w:val="21"/>
    </w:rPr>
  </w:style>
  <w:style w:type="character" w:styleId="1140" w:customStyle="1">
    <w:name w:val="Title Char"/>
    <w:uiPriority w:val="10"/>
    <w:qFormat/>
    <w:rPr>
      <w:sz w:val="48"/>
      <w:szCs w:val="48"/>
    </w:rPr>
  </w:style>
  <w:style w:type="character" w:styleId="1141" w:customStyle="1">
    <w:name w:val="引用 Char"/>
    <w:link w:val="752"/>
    <w:uiPriority w:val="0"/>
    <w:qFormat/>
    <w:rPr>
      <w:i/>
      <w:sz w:val="21"/>
      <w:szCs w:val="22"/>
    </w:rPr>
  </w:style>
  <w:style w:type="character" w:styleId="1142" w:customStyle="1">
    <w:name w:val="明显引用 Char"/>
    <w:link w:val="753"/>
    <w:uiPriority w:val="0"/>
    <w:qFormat/>
    <w:rPr>
      <w:i/>
      <w:sz w:val="21"/>
      <w:szCs w:val="22"/>
      <w:shd w:val="clear" w:color="auto" w:fill="f2f2f2"/>
    </w:rPr>
  </w:style>
  <w:style w:type="character" w:styleId="1143" w:customStyle="1">
    <w:name w:val="Caption Char"/>
    <w:uiPriority w:val="99"/>
    <w:qFormat/>
  </w:style>
  <w:style w:type="table" w:styleId="1144" w:customStyle="1">
    <w:name w:val="Table Grid Light"/>
    <w:uiPriority w:val="59"/>
    <w:qFormat/>
    <w:tblPr>
      <w:tblCellMar>
        <w:left w:w="0" w:type="dxa"/>
        <w:top w:w="0" w:type="dxa"/>
        <w:right w:w="0" w:type="dxa"/>
        <w:bottom w:w="0" w:type="dxa"/>
      </w:tblCellMar>
    </w:tblPr>
  </w:style>
  <w:style w:type="table" w:styleId="1145" w:customStyle="1">
    <w:name w:val="Plain Table 1"/>
    <w:uiPriority w:val="59"/>
    <w:qFormat/>
    <w:tblPr>
      <w:tblCellMar>
        <w:left w:w="0" w:type="dxa"/>
        <w:top w:w="0" w:type="dxa"/>
        <w:right w:w="0" w:type="dxa"/>
        <w:bottom w:w="0" w:type="dxa"/>
      </w:tblCellMar>
    </w:tblPr>
  </w:style>
  <w:style w:type="table" w:styleId="1146" w:customStyle="1">
    <w:name w:val="Plain Table 2"/>
    <w:uiPriority w:val="59"/>
    <w:qFormat/>
    <w:tblPr>
      <w:tblCellMar>
        <w:left w:w="0" w:type="dxa"/>
        <w:top w:w="0" w:type="dxa"/>
        <w:right w:w="0" w:type="dxa"/>
        <w:bottom w:w="0" w:type="dxa"/>
      </w:tblCellMar>
    </w:tblPr>
  </w:style>
  <w:style w:type="table" w:styleId="1147" w:customStyle="1">
    <w:name w:val="Plain Table 3"/>
    <w:uiPriority w:val="99"/>
    <w:qFormat/>
    <w:tblPr>
      <w:tblCellMar>
        <w:left w:w="0" w:type="dxa"/>
        <w:top w:w="0" w:type="dxa"/>
        <w:right w:w="0" w:type="dxa"/>
        <w:bottom w:w="0" w:type="dxa"/>
      </w:tblCellMar>
    </w:tblPr>
  </w:style>
  <w:style w:type="table" w:styleId="1148" w:customStyle="1">
    <w:name w:val="Plain Table 4"/>
    <w:uiPriority w:val="99"/>
    <w:qFormat/>
    <w:tblPr>
      <w:tblCellMar>
        <w:left w:w="0" w:type="dxa"/>
        <w:top w:w="0" w:type="dxa"/>
        <w:right w:w="0" w:type="dxa"/>
        <w:bottom w:w="0" w:type="dxa"/>
      </w:tblCellMar>
    </w:tblPr>
  </w:style>
  <w:style w:type="table" w:styleId="1149" w:customStyle="1">
    <w:name w:val="Plain Table 5"/>
    <w:uiPriority w:val="99"/>
    <w:qFormat/>
    <w:tblPr>
      <w:tblCellMar>
        <w:left w:w="0" w:type="dxa"/>
        <w:top w:w="0" w:type="dxa"/>
        <w:right w:w="0" w:type="dxa"/>
        <w:bottom w:w="0" w:type="dxa"/>
      </w:tblCellMar>
    </w:tblPr>
  </w:style>
  <w:style w:type="table" w:styleId="1150" w:customStyle="1">
    <w:name w:val="Grid Table 1 Light"/>
    <w:uiPriority w:val="99"/>
    <w:qFormat/>
    <w:tblPr>
      <w:tblCellMar>
        <w:left w:w="0" w:type="dxa"/>
        <w:top w:w="0" w:type="dxa"/>
        <w:right w:w="0" w:type="dxa"/>
        <w:bottom w:w="0" w:type="dxa"/>
      </w:tblCellMar>
    </w:tblPr>
  </w:style>
  <w:style w:type="table" w:styleId="1151" w:customStyle="1">
    <w:name w:val="Grid Table 1 Light - Accent 1"/>
    <w:uiPriority w:val="99"/>
    <w:qFormat/>
    <w:tblPr>
      <w:tblCellMar>
        <w:left w:w="0" w:type="dxa"/>
        <w:top w:w="0" w:type="dxa"/>
        <w:right w:w="0" w:type="dxa"/>
        <w:bottom w:w="0" w:type="dxa"/>
      </w:tblCellMar>
    </w:tblPr>
  </w:style>
  <w:style w:type="table" w:styleId="1152" w:customStyle="1">
    <w:name w:val="Grid Table 1 Light - Accent 2"/>
    <w:uiPriority w:val="99"/>
    <w:qFormat/>
    <w:tblPr>
      <w:tblCellMar>
        <w:left w:w="0" w:type="dxa"/>
        <w:top w:w="0" w:type="dxa"/>
        <w:right w:w="0" w:type="dxa"/>
        <w:bottom w:w="0" w:type="dxa"/>
      </w:tblCellMar>
    </w:tblPr>
  </w:style>
  <w:style w:type="table" w:styleId="1153" w:customStyle="1">
    <w:name w:val="Grid Table 1 Light - Accent 3"/>
    <w:uiPriority w:val="99"/>
    <w:qFormat/>
    <w:tblPr>
      <w:tblCellMar>
        <w:left w:w="0" w:type="dxa"/>
        <w:top w:w="0" w:type="dxa"/>
        <w:right w:w="0" w:type="dxa"/>
        <w:bottom w:w="0" w:type="dxa"/>
      </w:tblCellMar>
    </w:tblPr>
  </w:style>
  <w:style w:type="table" w:styleId="1154" w:customStyle="1">
    <w:name w:val="Grid Table 1 Light - Accent 4"/>
    <w:uiPriority w:val="99"/>
    <w:qFormat/>
    <w:tblPr>
      <w:tblCellMar>
        <w:left w:w="0" w:type="dxa"/>
        <w:top w:w="0" w:type="dxa"/>
        <w:right w:w="0" w:type="dxa"/>
        <w:bottom w:w="0" w:type="dxa"/>
      </w:tblCellMar>
    </w:tblPr>
  </w:style>
  <w:style w:type="table" w:styleId="1155" w:customStyle="1">
    <w:name w:val="Grid Table 1 Light - Accent 5"/>
    <w:uiPriority w:val="99"/>
    <w:qFormat/>
    <w:tblPr>
      <w:tblCellMar>
        <w:left w:w="0" w:type="dxa"/>
        <w:top w:w="0" w:type="dxa"/>
        <w:right w:w="0" w:type="dxa"/>
        <w:bottom w:w="0" w:type="dxa"/>
      </w:tblCellMar>
    </w:tblPr>
  </w:style>
  <w:style w:type="table" w:styleId="1156" w:customStyle="1">
    <w:name w:val="Grid Table 1 Light - Accent 6"/>
    <w:uiPriority w:val="99"/>
    <w:qFormat/>
    <w:tblPr>
      <w:tblCellMar>
        <w:left w:w="0" w:type="dxa"/>
        <w:top w:w="0" w:type="dxa"/>
        <w:right w:w="0" w:type="dxa"/>
        <w:bottom w:w="0" w:type="dxa"/>
      </w:tblCellMar>
    </w:tblPr>
  </w:style>
  <w:style w:type="table" w:styleId="1157" w:customStyle="1">
    <w:name w:val="Grid Table 2"/>
    <w:uiPriority w:val="99"/>
    <w:qFormat/>
    <w:tblPr>
      <w:tblCellMar>
        <w:left w:w="0" w:type="dxa"/>
        <w:top w:w="0" w:type="dxa"/>
        <w:right w:w="0" w:type="dxa"/>
        <w:bottom w:w="0" w:type="dxa"/>
      </w:tblCellMar>
    </w:tblPr>
  </w:style>
  <w:style w:type="table" w:styleId="1158" w:customStyle="1">
    <w:name w:val="Grid Table 2 - Accent 1"/>
    <w:uiPriority w:val="99"/>
    <w:qFormat/>
    <w:tblPr>
      <w:tblCellMar>
        <w:left w:w="0" w:type="dxa"/>
        <w:top w:w="0" w:type="dxa"/>
        <w:right w:w="0" w:type="dxa"/>
        <w:bottom w:w="0" w:type="dxa"/>
      </w:tblCellMar>
    </w:tblPr>
  </w:style>
  <w:style w:type="table" w:styleId="1159" w:customStyle="1">
    <w:name w:val="Grid Table 2 - Accent 2"/>
    <w:uiPriority w:val="99"/>
    <w:qFormat/>
    <w:tblPr>
      <w:tblCellMar>
        <w:left w:w="0" w:type="dxa"/>
        <w:top w:w="0" w:type="dxa"/>
        <w:right w:w="0" w:type="dxa"/>
        <w:bottom w:w="0" w:type="dxa"/>
      </w:tblCellMar>
    </w:tblPr>
  </w:style>
  <w:style w:type="table" w:styleId="1160" w:customStyle="1">
    <w:name w:val="Grid Table 2 - Accent 3"/>
    <w:uiPriority w:val="99"/>
    <w:qFormat/>
    <w:tblPr>
      <w:tblCellMar>
        <w:left w:w="0" w:type="dxa"/>
        <w:top w:w="0" w:type="dxa"/>
        <w:right w:w="0" w:type="dxa"/>
        <w:bottom w:w="0" w:type="dxa"/>
      </w:tblCellMar>
    </w:tblPr>
  </w:style>
  <w:style w:type="table" w:styleId="1161" w:customStyle="1">
    <w:name w:val="Grid Table 2 - Accent 4"/>
    <w:uiPriority w:val="99"/>
    <w:qFormat/>
    <w:tblPr>
      <w:tblCellMar>
        <w:left w:w="0" w:type="dxa"/>
        <w:top w:w="0" w:type="dxa"/>
        <w:right w:w="0" w:type="dxa"/>
        <w:bottom w:w="0" w:type="dxa"/>
      </w:tblCellMar>
    </w:tblPr>
  </w:style>
  <w:style w:type="table" w:styleId="1162" w:customStyle="1">
    <w:name w:val="Grid Table 2 - Accent 5"/>
    <w:uiPriority w:val="99"/>
    <w:qFormat/>
    <w:tblPr>
      <w:tblCellMar>
        <w:left w:w="0" w:type="dxa"/>
        <w:top w:w="0" w:type="dxa"/>
        <w:right w:w="0" w:type="dxa"/>
        <w:bottom w:w="0" w:type="dxa"/>
      </w:tblCellMar>
    </w:tblPr>
  </w:style>
  <w:style w:type="table" w:styleId="1163" w:customStyle="1">
    <w:name w:val="Grid Table 2 - Accent 6"/>
    <w:uiPriority w:val="99"/>
    <w:qFormat/>
    <w:tblPr>
      <w:tblCellMar>
        <w:left w:w="0" w:type="dxa"/>
        <w:top w:w="0" w:type="dxa"/>
        <w:right w:w="0" w:type="dxa"/>
        <w:bottom w:w="0" w:type="dxa"/>
      </w:tblCellMar>
    </w:tblPr>
  </w:style>
  <w:style w:type="table" w:styleId="1164" w:customStyle="1">
    <w:name w:val="Grid Table 3"/>
    <w:uiPriority w:val="99"/>
    <w:qFormat/>
    <w:tblPr>
      <w:tblCellMar>
        <w:left w:w="0" w:type="dxa"/>
        <w:top w:w="0" w:type="dxa"/>
        <w:right w:w="0" w:type="dxa"/>
        <w:bottom w:w="0" w:type="dxa"/>
      </w:tblCellMar>
    </w:tblPr>
  </w:style>
  <w:style w:type="table" w:styleId="1165" w:customStyle="1">
    <w:name w:val="Grid Table 3 - Accent 1"/>
    <w:uiPriority w:val="99"/>
    <w:qFormat/>
    <w:tblPr>
      <w:tblCellMar>
        <w:left w:w="0" w:type="dxa"/>
        <w:top w:w="0" w:type="dxa"/>
        <w:right w:w="0" w:type="dxa"/>
        <w:bottom w:w="0" w:type="dxa"/>
      </w:tblCellMar>
    </w:tblPr>
  </w:style>
  <w:style w:type="table" w:styleId="1166" w:customStyle="1">
    <w:name w:val="Grid Table 3 - Accent 2"/>
    <w:uiPriority w:val="99"/>
    <w:qFormat/>
    <w:tblPr>
      <w:tblCellMar>
        <w:left w:w="0" w:type="dxa"/>
        <w:top w:w="0" w:type="dxa"/>
        <w:right w:w="0" w:type="dxa"/>
        <w:bottom w:w="0" w:type="dxa"/>
      </w:tblCellMar>
    </w:tblPr>
  </w:style>
  <w:style w:type="table" w:styleId="1167" w:customStyle="1">
    <w:name w:val="Grid Table 3 - Accent 3"/>
    <w:uiPriority w:val="99"/>
    <w:qFormat/>
    <w:tblPr>
      <w:tblCellMar>
        <w:left w:w="0" w:type="dxa"/>
        <w:top w:w="0" w:type="dxa"/>
        <w:right w:w="0" w:type="dxa"/>
        <w:bottom w:w="0" w:type="dxa"/>
      </w:tblCellMar>
    </w:tblPr>
  </w:style>
  <w:style w:type="table" w:styleId="1168" w:customStyle="1">
    <w:name w:val="Grid Table 3 - Accent 4"/>
    <w:uiPriority w:val="99"/>
    <w:qFormat/>
    <w:tblPr>
      <w:tblCellMar>
        <w:left w:w="0" w:type="dxa"/>
        <w:top w:w="0" w:type="dxa"/>
        <w:right w:w="0" w:type="dxa"/>
        <w:bottom w:w="0" w:type="dxa"/>
      </w:tblCellMar>
    </w:tblPr>
  </w:style>
  <w:style w:type="table" w:styleId="1169" w:customStyle="1">
    <w:name w:val="Grid Table 3 - Accent 5"/>
    <w:uiPriority w:val="99"/>
    <w:qFormat/>
    <w:tblPr>
      <w:tblCellMar>
        <w:left w:w="0" w:type="dxa"/>
        <w:top w:w="0" w:type="dxa"/>
        <w:right w:w="0" w:type="dxa"/>
        <w:bottom w:w="0" w:type="dxa"/>
      </w:tblCellMar>
    </w:tblPr>
  </w:style>
  <w:style w:type="table" w:styleId="1170" w:customStyle="1">
    <w:name w:val="Grid Table 3 - Accent 6"/>
    <w:uiPriority w:val="99"/>
    <w:qFormat/>
    <w:tblPr>
      <w:tblCellMar>
        <w:left w:w="0" w:type="dxa"/>
        <w:top w:w="0" w:type="dxa"/>
        <w:right w:w="0" w:type="dxa"/>
        <w:bottom w:w="0" w:type="dxa"/>
      </w:tblCellMar>
    </w:tblPr>
  </w:style>
  <w:style w:type="table" w:styleId="1171" w:customStyle="1">
    <w:name w:val="Grid Table 4"/>
    <w:uiPriority w:val="59"/>
    <w:qFormat/>
    <w:tblPr>
      <w:tblCellMar>
        <w:left w:w="0" w:type="dxa"/>
        <w:top w:w="0" w:type="dxa"/>
        <w:right w:w="0" w:type="dxa"/>
        <w:bottom w:w="0" w:type="dxa"/>
      </w:tblCellMar>
    </w:tblPr>
  </w:style>
  <w:style w:type="table" w:styleId="1172" w:customStyle="1">
    <w:name w:val="Grid Table 4 - Accent 1"/>
    <w:uiPriority w:val="59"/>
    <w:qFormat/>
    <w:tblPr>
      <w:tblCellMar>
        <w:left w:w="0" w:type="dxa"/>
        <w:top w:w="0" w:type="dxa"/>
        <w:right w:w="0" w:type="dxa"/>
        <w:bottom w:w="0" w:type="dxa"/>
      </w:tblCellMar>
    </w:tblPr>
  </w:style>
  <w:style w:type="table" w:styleId="1173" w:customStyle="1">
    <w:name w:val="Grid Table 4 - Accent 2"/>
    <w:uiPriority w:val="59"/>
    <w:qFormat/>
    <w:tblPr>
      <w:tblCellMar>
        <w:left w:w="0" w:type="dxa"/>
        <w:top w:w="0" w:type="dxa"/>
        <w:right w:w="0" w:type="dxa"/>
        <w:bottom w:w="0" w:type="dxa"/>
      </w:tblCellMar>
    </w:tblPr>
  </w:style>
  <w:style w:type="table" w:styleId="1174" w:customStyle="1">
    <w:name w:val="Grid Table 4 - Accent 3"/>
    <w:uiPriority w:val="59"/>
    <w:qFormat/>
    <w:tblPr>
      <w:tblCellMar>
        <w:left w:w="0" w:type="dxa"/>
        <w:top w:w="0" w:type="dxa"/>
        <w:right w:w="0" w:type="dxa"/>
        <w:bottom w:w="0" w:type="dxa"/>
      </w:tblCellMar>
    </w:tblPr>
  </w:style>
  <w:style w:type="table" w:styleId="1175" w:customStyle="1">
    <w:name w:val="Grid Table 4 - Accent 4"/>
    <w:uiPriority w:val="59"/>
    <w:qFormat/>
    <w:tblPr>
      <w:tblCellMar>
        <w:left w:w="0" w:type="dxa"/>
        <w:top w:w="0" w:type="dxa"/>
        <w:right w:w="0" w:type="dxa"/>
        <w:bottom w:w="0" w:type="dxa"/>
      </w:tblCellMar>
    </w:tblPr>
  </w:style>
  <w:style w:type="table" w:styleId="1176" w:customStyle="1">
    <w:name w:val="Grid Table 4 - Accent 5"/>
    <w:uiPriority w:val="59"/>
    <w:qFormat/>
    <w:tblPr>
      <w:tblCellMar>
        <w:left w:w="0" w:type="dxa"/>
        <w:top w:w="0" w:type="dxa"/>
        <w:right w:w="0" w:type="dxa"/>
        <w:bottom w:w="0" w:type="dxa"/>
      </w:tblCellMar>
    </w:tblPr>
  </w:style>
  <w:style w:type="table" w:styleId="1177" w:customStyle="1">
    <w:name w:val="Grid Table 4 - Accent 6"/>
    <w:uiPriority w:val="59"/>
    <w:qFormat/>
    <w:tblPr>
      <w:tblCellMar>
        <w:left w:w="0" w:type="dxa"/>
        <w:top w:w="0" w:type="dxa"/>
        <w:right w:w="0" w:type="dxa"/>
        <w:bottom w:w="0" w:type="dxa"/>
      </w:tblCellMar>
    </w:tblPr>
  </w:style>
  <w:style w:type="table" w:styleId="1178" w:customStyle="1">
    <w:name w:val="Grid Table 5 Dark"/>
    <w:uiPriority w:val="99"/>
    <w:qFormat/>
    <w:tblPr>
      <w:tblCellMar>
        <w:left w:w="0" w:type="dxa"/>
        <w:top w:w="0" w:type="dxa"/>
        <w:right w:w="0" w:type="dxa"/>
        <w:bottom w:w="0" w:type="dxa"/>
      </w:tblCellMar>
    </w:tblPr>
  </w:style>
  <w:style w:type="table" w:styleId="1179" w:customStyle="1">
    <w:name w:val="Grid Table 5 Dark- Accent 1"/>
    <w:uiPriority w:val="99"/>
    <w:qFormat/>
    <w:tblPr>
      <w:tblCellMar>
        <w:left w:w="0" w:type="dxa"/>
        <w:top w:w="0" w:type="dxa"/>
        <w:right w:w="0" w:type="dxa"/>
        <w:bottom w:w="0" w:type="dxa"/>
      </w:tblCellMar>
    </w:tblPr>
  </w:style>
  <w:style w:type="table" w:styleId="1180" w:customStyle="1">
    <w:name w:val="Grid Table 5 Dark - Accent 2"/>
    <w:uiPriority w:val="99"/>
    <w:qFormat/>
    <w:tblPr>
      <w:tblCellMar>
        <w:left w:w="0" w:type="dxa"/>
        <w:top w:w="0" w:type="dxa"/>
        <w:right w:w="0" w:type="dxa"/>
        <w:bottom w:w="0" w:type="dxa"/>
      </w:tblCellMar>
    </w:tblPr>
  </w:style>
  <w:style w:type="table" w:styleId="1181" w:customStyle="1">
    <w:name w:val="Grid Table 5 Dark - Accent 3"/>
    <w:uiPriority w:val="99"/>
    <w:qFormat/>
    <w:tblPr>
      <w:tblCellMar>
        <w:left w:w="0" w:type="dxa"/>
        <w:top w:w="0" w:type="dxa"/>
        <w:right w:w="0" w:type="dxa"/>
        <w:bottom w:w="0" w:type="dxa"/>
      </w:tblCellMar>
    </w:tblPr>
  </w:style>
  <w:style w:type="table" w:styleId="1182" w:customStyle="1">
    <w:name w:val="Grid Table 5 Dark- Accent 4"/>
    <w:uiPriority w:val="99"/>
    <w:qFormat/>
    <w:tblPr>
      <w:tblCellMar>
        <w:left w:w="0" w:type="dxa"/>
        <w:top w:w="0" w:type="dxa"/>
        <w:right w:w="0" w:type="dxa"/>
        <w:bottom w:w="0" w:type="dxa"/>
      </w:tblCellMar>
    </w:tblPr>
  </w:style>
  <w:style w:type="table" w:styleId="1183" w:customStyle="1">
    <w:name w:val="Grid Table 5 Dark - Accent 5"/>
    <w:uiPriority w:val="99"/>
    <w:qFormat/>
    <w:tblPr>
      <w:tblCellMar>
        <w:left w:w="0" w:type="dxa"/>
        <w:top w:w="0" w:type="dxa"/>
        <w:right w:w="0" w:type="dxa"/>
        <w:bottom w:w="0" w:type="dxa"/>
      </w:tblCellMar>
    </w:tblPr>
  </w:style>
  <w:style w:type="table" w:styleId="1184" w:customStyle="1">
    <w:name w:val="Grid Table 5 Dark - Accent 6"/>
    <w:uiPriority w:val="99"/>
    <w:qFormat/>
    <w:tblPr>
      <w:tblCellMar>
        <w:left w:w="0" w:type="dxa"/>
        <w:top w:w="0" w:type="dxa"/>
        <w:right w:w="0" w:type="dxa"/>
        <w:bottom w:w="0" w:type="dxa"/>
      </w:tblCellMar>
    </w:tblPr>
  </w:style>
  <w:style w:type="table" w:styleId="1185" w:customStyle="1">
    <w:name w:val="Grid Table 6 Colorful"/>
    <w:uiPriority w:val="99"/>
    <w:qFormat/>
    <w:tblPr>
      <w:tblCellMar>
        <w:left w:w="0" w:type="dxa"/>
        <w:top w:w="0" w:type="dxa"/>
        <w:right w:w="0" w:type="dxa"/>
        <w:bottom w:w="0" w:type="dxa"/>
      </w:tblCellMar>
    </w:tblPr>
  </w:style>
  <w:style w:type="table" w:styleId="1186" w:customStyle="1">
    <w:name w:val="Grid Table 6 Colorful - Accent 1"/>
    <w:uiPriority w:val="99"/>
    <w:qFormat/>
    <w:tblPr>
      <w:tblCellMar>
        <w:left w:w="0" w:type="dxa"/>
        <w:top w:w="0" w:type="dxa"/>
        <w:right w:w="0" w:type="dxa"/>
        <w:bottom w:w="0" w:type="dxa"/>
      </w:tblCellMar>
    </w:tblPr>
  </w:style>
  <w:style w:type="table" w:styleId="1187" w:customStyle="1">
    <w:name w:val="Grid Table 6 Colorful - Accent 2"/>
    <w:uiPriority w:val="99"/>
    <w:qFormat/>
    <w:tblPr>
      <w:tblCellMar>
        <w:left w:w="0" w:type="dxa"/>
        <w:top w:w="0" w:type="dxa"/>
        <w:right w:w="0" w:type="dxa"/>
        <w:bottom w:w="0" w:type="dxa"/>
      </w:tblCellMar>
    </w:tblPr>
  </w:style>
  <w:style w:type="table" w:styleId="1188" w:customStyle="1">
    <w:name w:val="Grid Table 6 Colorful - Accent 3"/>
    <w:uiPriority w:val="99"/>
    <w:qFormat/>
    <w:tblPr>
      <w:tblCellMar>
        <w:left w:w="0" w:type="dxa"/>
        <w:top w:w="0" w:type="dxa"/>
        <w:right w:w="0" w:type="dxa"/>
        <w:bottom w:w="0" w:type="dxa"/>
      </w:tblCellMar>
    </w:tblPr>
  </w:style>
  <w:style w:type="table" w:styleId="1189" w:customStyle="1">
    <w:name w:val="Grid Table 6 Colorful - Accent 4"/>
    <w:uiPriority w:val="99"/>
    <w:qFormat/>
    <w:tblPr>
      <w:tblCellMar>
        <w:left w:w="0" w:type="dxa"/>
        <w:top w:w="0" w:type="dxa"/>
        <w:right w:w="0" w:type="dxa"/>
        <w:bottom w:w="0" w:type="dxa"/>
      </w:tblCellMar>
    </w:tblPr>
  </w:style>
  <w:style w:type="table" w:styleId="1190" w:customStyle="1">
    <w:name w:val="Grid Table 6 Colorful - Accent 5"/>
    <w:uiPriority w:val="99"/>
    <w:qFormat/>
    <w:tblPr>
      <w:tblCellMar>
        <w:left w:w="0" w:type="dxa"/>
        <w:top w:w="0" w:type="dxa"/>
        <w:right w:w="0" w:type="dxa"/>
        <w:bottom w:w="0" w:type="dxa"/>
      </w:tblCellMar>
    </w:tblPr>
  </w:style>
  <w:style w:type="table" w:styleId="1191" w:customStyle="1">
    <w:name w:val="Grid Table 6 Colorful - Accent 6"/>
    <w:uiPriority w:val="99"/>
    <w:qFormat/>
    <w:tblPr>
      <w:tblCellMar>
        <w:left w:w="0" w:type="dxa"/>
        <w:top w:w="0" w:type="dxa"/>
        <w:right w:w="0" w:type="dxa"/>
        <w:bottom w:w="0" w:type="dxa"/>
      </w:tblCellMar>
    </w:tblPr>
  </w:style>
  <w:style w:type="table" w:styleId="1192" w:customStyle="1">
    <w:name w:val="Grid Table 7 Colorful"/>
    <w:uiPriority w:val="99"/>
    <w:qFormat/>
    <w:tblPr>
      <w:tblCellMar>
        <w:left w:w="0" w:type="dxa"/>
        <w:top w:w="0" w:type="dxa"/>
        <w:right w:w="0" w:type="dxa"/>
        <w:bottom w:w="0" w:type="dxa"/>
      </w:tblCellMar>
    </w:tblPr>
  </w:style>
  <w:style w:type="table" w:styleId="1193" w:customStyle="1">
    <w:name w:val="Grid Table 7 Colorful - Accent 1"/>
    <w:uiPriority w:val="99"/>
    <w:qFormat/>
    <w:tblPr>
      <w:tblCellMar>
        <w:left w:w="0" w:type="dxa"/>
        <w:top w:w="0" w:type="dxa"/>
        <w:right w:w="0" w:type="dxa"/>
        <w:bottom w:w="0" w:type="dxa"/>
      </w:tblCellMar>
    </w:tblPr>
  </w:style>
  <w:style w:type="table" w:styleId="1194" w:customStyle="1">
    <w:name w:val="Grid Table 7 Colorful - Accent 2"/>
    <w:uiPriority w:val="99"/>
    <w:qFormat/>
    <w:tblPr>
      <w:tblCellMar>
        <w:left w:w="0" w:type="dxa"/>
        <w:top w:w="0" w:type="dxa"/>
        <w:right w:w="0" w:type="dxa"/>
        <w:bottom w:w="0" w:type="dxa"/>
      </w:tblCellMar>
    </w:tblPr>
  </w:style>
  <w:style w:type="table" w:styleId="1195" w:customStyle="1">
    <w:name w:val="Grid Table 7 Colorful - Accent 3"/>
    <w:uiPriority w:val="99"/>
    <w:qFormat/>
    <w:tblPr>
      <w:tblCellMar>
        <w:left w:w="0" w:type="dxa"/>
        <w:top w:w="0" w:type="dxa"/>
        <w:right w:w="0" w:type="dxa"/>
        <w:bottom w:w="0" w:type="dxa"/>
      </w:tblCellMar>
    </w:tblPr>
  </w:style>
  <w:style w:type="table" w:styleId="1196" w:customStyle="1">
    <w:name w:val="Grid Table 7 Colorful - Accent 4"/>
    <w:uiPriority w:val="99"/>
    <w:qFormat/>
    <w:tblPr>
      <w:tblCellMar>
        <w:left w:w="0" w:type="dxa"/>
        <w:top w:w="0" w:type="dxa"/>
        <w:right w:w="0" w:type="dxa"/>
        <w:bottom w:w="0" w:type="dxa"/>
      </w:tblCellMar>
    </w:tblPr>
  </w:style>
  <w:style w:type="table" w:styleId="1197" w:customStyle="1">
    <w:name w:val="Grid Table 7 Colorful - Accent 5"/>
    <w:uiPriority w:val="99"/>
    <w:qFormat/>
    <w:tblPr>
      <w:tblCellMar>
        <w:left w:w="0" w:type="dxa"/>
        <w:top w:w="0" w:type="dxa"/>
        <w:right w:w="0" w:type="dxa"/>
        <w:bottom w:w="0" w:type="dxa"/>
      </w:tblCellMar>
    </w:tblPr>
  </w:style>
  <w:style w:type="table" w:styleId="1198" w:customStyle="1">
    <w:name w:val="Grid Table 7 Colorful - Accent 6"/>
    <w:uiPriority w:val="99"/>
    <w:qFormat/>
    <w:tblPr>
      <w:tblCellMar>
        <w:left w:w="0" w:type="dxa"/>
        <w:top w:w="0" w:type="dxa"/>
        <w:right w:w="0" w:type="dxa"/>
        <w:bottom w:w="0" w:type="dxa"/>
      </w:tblCellMar>
    </w:tblPr>
  </w:style>
  <w:style w:type="table" w:styleId="1199" w:customStyle="1">
    <w:name w:val="List Table 1 Light"/>
    <w:uiPriority w:val="99"/>
    <w:qFormat/>
    <w:tblPr>
      <w:tblCellMar>
        <w:left w:w="0" w:type="dxa"/>
        <w:top w:w="0" w:type="dxa"/>
        <w:right w:w="0" w:type="dxa"/>
        <w:bottom w:w="0" w:type="dxa"/>
      </w:tblCellMar>
    </w:tblPr>
  </w:style>
  <w:style w:type="table" w:styleId="1200" w:customStyle="1">
    <w:name w:val="List Table 1 Light - Accent 1"/>
    <w:uiPriority w:val="99"/>
    <w:qFormat/>
    <w:tblPr>
      <w:tblCellMar>
        <w:left w:w="0" w:type="dxa"/>
        <w:top w:w="0" w:type="dxa"/>
        <w:right w:w="0" w:type="dxa"/>
        <w:bottom w:w="0" w:type="dxa"/>
      </w:tblCellMar>
    </w:tblPr>
  </w:style>
  <w:style w:type="table" w:styleId="1201" w:customStyle="1">
    <w:name w:val="List Table 1 Light - Accent 2"/>
    <w:uiPriority w:val="99"/>
    <w:qFormat/>
    <w:tblPr>
      <w:tblCellMar>
        <w:left w:w="0" w:type="dxa"/>
        <w:top w:w="0" w:type="dxa"/>
        <w:right w:w="0" w:type="dxa"/>
        <w:bottom w:w="0" w:type="dxa"/>
      </w:tblCellMar>
    </w:tblPr>
  </w:style>
  <w:style w:type="table" w:styleId="1202" w:customStyle="1">
    <w:name w:val="List Table 1 Light - Accent 3"/>
    <w:uiPriority w:val="99"/>
    <w:qFormat/>
    <w:tblPr>
      <w:tblCellMar>
        <w:left w:w="0" w:type="dxa"/>
        <w:top w:w="0" w:type="dxa"/>
        <w:right w:w="0" w:type="dxa"/>
        <w:bottom w:w="0" w:type="dxa"/>
      </w:tblCellMar>
    </w:tblPr>
  </w:style>
  <w:style w:type="table" w:styleId="1203" w:customStyle="1">
    <w:name w:val="List Table 1 Light - Accent 4"/>
    <w:uiPriority w:val="99"/>
    <w:qFormat/>
    <w:tblPr>
      <w:tblCellMar>
        <w:left w:w="0" w:type="dxa"/>
        <w:top w:w="0" w:type="dxa"/>
        <w:right w:w="0" w:type="dxa"/>
        <w:bottom w:w="0" w:type="dxa"/>
      </w:tblCellMar>
    </w:tblPr>
  </w:style>
  <w:style w:type="table" w:styleId="1204" w:customStyle="1">
    <w:name w:val="List Table 1 Light - Accent 5"/>
    <w:uiPriority w:val="99"/>
    <w:qFormat/>
    <w:tblPr>
      <w:tblCellMar>
        <w:left w:w="0" w:type="dxa"/>
        <w:top w:w="0" w:type="dxa"/>
        <w:right w:w="0" w:type="dxa"/>
        <w:bottom w:w="0" w:type="dxa"/>
      </w:tblCellMar>
    </w:tblPr>
  </w:style>
  <w:style w:type="table" w:styleId="1205" w:customStyle="1">
    <w:name w:val="List Table 1 Light - Accent 6"/>
    <w:uiPriority w:val="99"/>
    <w:qFormat/>
    <w:tblPr>
      <w:tblCellMar>
        <w:left w:w="0" w:type="dxa"/>
        <w:top w:w="0" w:type="dxa"/>
        <w:right w:w="0" w:type="dxa"/>
        <w:bottom w:w="0" w:type="dxa"/>
      </w:tblCellMar>
    </w:tblPr>
  </w:style>
  <w:style w:type="table" w:styleId="1206" w:customStyle="1">
    <w:name w:val="List Table 2"/>
    <w:uiPriority w:val="99"/>
    <w:qFormat/>
    <w:tblPr>
      <w:tblCellMar>
        <w:left w:w="0" w:type="dxa"/>
        <w:top w:w="0" w:type="dxa"/>
        <w:right w:w="0" w:type="dxa"/>
        <w:bottom w:w="0" w:type="dxa"/>
      </w:tblCellMar>
    </w:tblPr>
  </w:style>
  <w:style w:type="table" w:styleId="1207" w:customStyle="1">
    <w:name w:val="List Table 2 - Accent 1"/>
    <w:uiPriority w:val="99"/>
    <w:qFormat/>
    <w:tblPr>
      <w:tblCellMar>
        <w:left w:w="0" w:type="dxa"/>
        <w:top w:w="0" w:type="dxa"/>
        <w:right w:w="0" w:type="dxa"/>
        <w:bottom w:w="0" w:type="dxa"/>
      </w:tblCellMar>
    </w:tblPr>
  </w:style>
  <w:style w:type="table" w:styleId="1208" w:customStyle="1">
    <w:name w:val="List Table 2 - Accent 2"/>
    <w:uiPriority w:val="99"/>
    <w:qFormat/>
    <w:tblPr>
      <w:tblCellMar>
        <w:left w:w="0" w:type="dxa"/>
        <w:top w:w="0" w:type="dxa"/>
        <w:right w:w="0" w:type="dxa"/>
        <w:bottom w:w="0" w:type="dxa"/>
      </w:tblCellMar>
    </w:tblPr>
  </w:style>
  <w:style w:type="table" w:styleId="1209" w:customStyle="1">
    <w:name w:val="List Table 2 - Accent 3"/>
    <w:uiPriority w:val="99"/>
    <w:qFormat/>
    <w:tblPr>
      <w:tblCellMar>
        <w:left w:w="0" w:type="dxa"/>
        <w:top w:w="0" w:type="dxa"/>
        <w:right w:w="0" w:type="dxa"/>
        <w:bottom w:w="0" w:type="dxa"/>
      </w:tblCellMar>
    </w:tblPr>
  </w:style>
  <w:style w:type="table" w:styleId="1210" w:customStyle="1">
    <w:name w:val="List Table 2 - Accent 4"/>
    <w:uiPriority w:val="99"/>
    <w:qFormat/>
    <w:tblPr>
      <w:tblCellMar>
        <w:left w:w="0" w:type="dxa"/>
        <w:top w:w="0" w:type="dxa"/>
        <w:right w:w="0" w:type="dxa"/>
        <w:bottom w:w="0" w:type="dxa"/>
      </w:tblCellMar>
    </w:tblPr>
  </w:style>
  <w:style w:type="table" w:styleId="1211" w:customStyle="1">
    <w:name w:val="List Table 2 - Accent 5"/>
    <w:uiPriority w:val="99"/>
    <w:qFormat/>
    <w:tblPr>
      <w:tblCellMar>
        <w:left w:w="0" w:type="dxa"/>
        <w:top w:w="0" w:type="dxa"/>
        <w:right w:w="0" w:type="dxa"/>
        <w:bottom w:w="0" w:type="dxa"/>
      </w:tblCellMar>
    </w:tblPr>
  </w:style>
  <w:style w:type="table" w:styleId="1212" w:customStyle="1">
    <w:name w:val="List Table 2 - Accent 6"/>
    <w:uiPriority w:val="99"/>
    <w:qFormat/>
    <w:tblPr>
      <w:tblCellMar>
        <w:left w:w="0" w:type="dxa"/>
        <w:top w:w="0" w:type="dxa"/>
        <w:right w:w="0" w:type="dxa"/>
        <w:bottom w:w="0" w:type="dxa"/>
      </w:tblCellMar>
    </w:tblPr>
  </w:style>
  <w:style w:type="table" w:styleId="1213" w:customStyle="1">
    <w:name w:val="List Table 3"/>
    <w:uiPriority w:val="99"/>
    <w:qFormat/>
    <w:tblPr>
      <w:tblCellMar>
        <w:left w:w="0" w:type="dxa"/>
        <w:top w:w="0" w:type="dxa"/>
        <w:right w:w="0" w:type="dxa"/>
        <w:bottom w:w="0" w:type="dxa"/>
      </w:tblCellMar>
    </w:tblPr>
  </w:style>
  <w:style w:type="table" w:styleId="1214" w:customStyle="1">
    <w:name w:val="List Table 3 - Accent 1"/>
    <w:uiPriority w:val="99"/>
    <w:qFormat/>
    <w:tblPr>
      <w:tblCellMar>
        <w:left w:w="0" w:type="dxa"/>
        <w:top w:w="0" w:type="dxa"/>
        <w:right w:w="0" w:type="dxa"/>
        <w:bottom w:w="0" w:type="dxa"/>
      </w:tblCellMar>
    </w:tblPr>
  </w:style>
  <w:style w:type="table" w:styleId="1215" w:customStyle="1">
    <w:name w:val="List Table 3 - Accent 2"/>
    <w:uiPriority w:val="99"/>
    <w:qFormat/>
    <w:tblPr>
      <w:tblCellMar>
        <w:left w:w="0" w:type="dxa"/>
        <w:top w:w="0" w:type="dxa"/>
        <w:right w:w="0" w:type="dxa"/>
        <w:bottom w:w="0" w:type="dxa"/>
      </w:tblCellMar>
    </w:tblPr>
  </w:style>
  <w:style w:type="table" w:styleId="1216" w:customStyle="1">
    <w:name w:val="List Table 3 - Accent 3"/>
    <w:uiPriority w:val="99"/>
    <w:qFormat/>
    <w:tblPr>
      <w:tblCellMar>
        <w:left w:w="0" w:type="dxa"/>
        <w:top w:w="0" w:type="dxa"/>
        <w:right w:w="0" w:type="dxa"/>
        <w:bottom w:w="0" w:type="dxa"/>
      </w:tblCellMar>
    </w:tblPr>
  </w:style>
  <w:style w:type="table" w:styleId="1217" w:customStyle="1">
    <w:name w:val="List Table 3 - Accent 4"/>
    <w:uiPriority w:val="99"/>
    <w:qFormat/>
    <w:tblPr>
      <w:tblCellMar>
        <w:left w:w="0" w:type="dxa"/>
        <w:top w:w="0" w:type="dxa"/>
        <w:right w:w="0" w:type="dxa"/>
        <w:bottom w:w="0" w:type="dxa"/>
      </w:tblCellMar>
    </w:tblPr>
  </w:style>
  <w:style w:type="table" w:styleId="1218" w:customStyle="1">
    <w:name w:val="List Table 3 - Accent 5"/>
    <w:uiPriority w:val="99"/>
    <w:qFormat/>
    <w:tblPr>
      <w:tblCellMar>
        <w:left w:w="0" w:type="dxa"/>
        <w:top w:w="0" w:type="dxa"/>
        <w:right w:w="0" w:type="dxa"/>
        <w:bottom w:w="0" w:type="dxa"/>
      </w:tblCellMar>
    </w:tblPr>
  </w:style>
  <w:style w:type="table" w:styleId="1219" w:customStyle="1">
    <w:name w:val="List Table 3 - Accent 6"/>
    <w:uiPriority w:val="99"/>
    <w:qFormat/>
    <w:tblPr>
      <w:tblCellMar>
        <w:left w:w="0" w:type="dxa"/>
        <w:top w:w="0" w:type="dxa"/>
        <w:right w:w="0" w:type="dxa"/>
        <w:bottom w:w="0" w:type="dxa"/>
      </w:tblCellMar>
    </w:tblPr>
  </w:style>
  <w:style w:type="table" w:styleId="1220" w:customStyle="1">
    <w:name w:val="List Table 4"/>
    <w:uiPriority w:val="99"/>
    <w:qFormat/>
    <w:tblPr>
      <w:tblCellMar>
        <w:left w:w="0" w:type="dxa"/>
        <w:top w:w="0" w:type="dxa"/>
        <w:right w:w="0" w:type="dxa"/>
        <w:bottom w:w="0" w:type="dxa"/>
      </w:tblCellMar>
    </w:tblPr>
  </w:style>
  <w:style w:type="table" w:styleId="1221" w:customStyle="1">
    <w:name w:val="List Table 4 - Accent 1"/>
    <w:uiPriority w:val="99"/>
    <w:qFormat/>
    <w:tblPr>
      <w:tblCellMar>
        <w:left w:w="0" w:type="dxa"/>
        <w:top w:w="0" w:type="dxa"/>
        <w:right w:w="0" w:type="dxa"/>
        <w:bottom w:w="0" w:type="dxa"/>
      </w:tblCellMar>
    </w:tblPr>
  </w:style>
  <w:style w:type="table" w:styleId="1222" w:customStyle="1">
    <w:name w:val="List Table 4 - Accent 2"/>
    <w:uiPriority w:val="99"/>
    <w:qFormat/>
    <w:tblPr>
      <w:tblCellMar>
        <w:left w:w="0" w:type="dxa"/>
        <w:top w:w="0" w:type="dxa"/>
        <w:right w:w="0" w:type="dxa"/>
        <w:bottom w:w="0" w:type="dxa"/>
      </w:tblCellMar>
    </w:tblPr>
  </w:style>
  <w:style w:type="table" w:styleId="1223" w:customStyle="1">
    <w:name w:val="List Table 4 - Accent 3"/>
    <w:uiPriority w:val="99"/>
    <w:qFormat/>
    <w:tblPr>
      <w:tblCellMar>
        <w:left w:w="0" w:type="dxa"/>
        <w:top w:w="0" w:type="dxa"/>
        <w:right w:w="0" w:type="dxa"/>
        <w:bottom w:w="0" w:type="dxa"/>
      </w:tblCellMar>
    </w:tblPr>
  </w:style>
  <w:style w:type="table" w:styleId="1224" w:customStyle="1">
    <w:name w:val="List Table 4 - Accent 4"/>
    <w:uiPriority w:val="99"/>
    <w:qFormat/>
    <w:tblPr>
      <w:tblCellMar>
        <w:left w:w="0" w:type="dxa"/>
        <w:top w:w="0" w:type="dxa"/>
        <w:right w:w="0" w:type="dxa"/>
        <w:bottom w:w="0" w:type="dxa"/>
      </w:tblCellMar>
    </w:tblPr>
  </w:style>
  <w:style w:type="table" w:styleId="1225" w:customStyle="1">
    <w:name w:val="List Table 4 - Accent 5"/>
    <w:uiPriority w:val="99"/>
    <w:qFormat/>
    <w:tblPr>
      <w:tblCellMar>
        <w:left w:w="0" w:type="dxa"/>
        <w:top w:w="0" w:type="dxa"/>
        <w:right w:w="0" w:type="dxa"/>
        <w:bottom w:w="0" w:type="dxa"/>
      </w:tblCellMar>
    </w:tblPr>
  </w:style>
  <w:style w:type="table" w:styleId="1226" w:customStyle="1">
    <w:name w:val="List Table 4 - Accent 6"/>
    <w:uiPriority w:val="99"/>
    <w:qFormat/>
    <w:tblPr>
      <w:tblCellMar>
        <w:left w:w="0" w:type="dxa"/>
        <w:top w:w="0" w:type="dxa"/>
        <w:right w:w="0" w:type="dxa"/>
        <w:bottom w:w="0" w:type="dxa"/>
      </w:tblCellMar>
    </w:tblPr>
  </w:style>
  <w:style w:type="table" w:styleId="1227" w:customStyle="1">
    <w:name w:val="List Table 5 Dark"/>
    <w:uiPriority w:val="99"/>
    <w:qFormat/>
    <w:tblPr>
      <w:tblCellMar>
        <w:left w:w="0" w:type="dxa"/>
        <w:top w:w="0" w:type="dxa"/>
        <w:right w:w="0" w:type="dxa"/>
        <w:bottom w:w="0" w:type="dxa"/>
      </w:tblCellMar>
    </w:tblPr>
  </w:style>
  <w:style w:type="table" w:styleId="1228" w:customStyle="1">
    <w:name w:val="List Table 5 Dark - Accent 1"/>
    <w:uiPriority w:val="99"/>
    <w:qFormat/>
    <w:tblPr>
      <w:tblCellMar>
        <w:left w:w="0" w:type="dxa"/>
        <w:top w:w="0" w:type="dxa"/>
        <w:right w:w="0" w:type="dxa"/>
        <w:bottom w:w="0" w:type="dxa"/>
      </w:tblCellMar>
    </w:tblPr>
  </w:style>
  <w:style w:type="table" w:styleId="1229" w:customStyle="1">
    <w:name w:val="List Table 5 Dark - Accent 2"/>
    <w:uiPriority w:val="99"/>
    <w:qFormat/>
    <w:tblPr>
      <w:tblCellMar>
        <w:left w:w="0" w:type="dxa"/>
        <w:top w:w="0" w:type="dxa"/>
        <w:right w:w="0" w:type="dxa"/>
        <w:bottom w:w="0" w:type="dxa"/>
      </w:tblCellMar>
    </w:tblPr>
  </w:style>
  <w:style w:type="table" w:styleId="1230" w:customStyle="1">
    <w:name w:val="List Table 5 Dark - Accent 3"/>
    <w:uiPriority w:val="99"/>
    <w:qFormat/>
    <w:tblPr>
      <w:tblCellMar>
        <w:left w:w="0" w:type="dxa"/>
        <w:top w:w="0" w:type="dxa"/>
        <w:right w:w="0" w:type="dxa"/>
        <w:bottom w:w="0" w:type="dxa"/>
      </w:tblCellMar>
    </w:tblPr>
  </w:style>
  <w:style w:type="table" w:styleId="1231" w:customStyle="1">
    <w:name w:val="List Table 5 Dark - Accent 4"/>
    <w:uiPriority w:val="99"/>
    <w:qFormat/>
    <w:tblPr>
      <w:tblCellMar>
        <w:left w:w="0" w:type="dxa"/>
        <w:top w:w="0" w:type="dxa"/>
        <w:right w:w="0" w:type="dxa"/>
        <w:bottom w:w="0" w:type="dxa"/>
      </w:tblCellMar>
    </w:tblPr>
  </w:style>
  <w:style w:type="table" w:styleId="1232" w:customStyle="1">
    <w:name w:val="List Table 5 Dark - Accent 5"/>
    <w:uiPriority w:val="99"/>
    <w:qFormat/>
    <w:tblPr>
      <w:tblCellMar>
        <w:left w:w="0" w:type="dxa"/>
        <w:top w:w="0" w:type="dxa"/>
        <w:right w:w="0" w:type="dxa"/>
        <w:bottom w:w="0" w:type="dxa"/>
      </w:tblCellMar>
    </w:tblPr>
  </w:style>
  <w:style w:type="table" w:styleId="1233" w:customStyle="1">
    <w:name w:val="List Table 5 Dark - Accent 6"/>
    <w:uiPriority w:val="99"/>
    <w:qFormat/>
    <w:tblPr>
      <w:tblCellMar>
        <w:left w:w="0" w:type="dxa"/>
        <w:top w:w="0" w:type="dxa"/>
        <w:right w:w="0" w:type="dxa"/>
        <w:bottom w:w="0" w:type="dxa"/>
      </w:tblCellMar>
    </w:tblPr>
  </w:style>
  <w:style w:type="table" w:styleId="1234" w:customStyle="1">
    <w:name w:val="List Table 6 Colorful"/>
    <w:uiPriority w:val="99"/>
    <w:qFormat/>
    <w:tblPr>
      <w:tblCellMar>
        <w:left w:w="0" w:type="dxa"/>
        <w:top w:w="0" w:type="dxa"/>
        <w:right w:w="0" w:type="dxa"/>
        <w:bottom w:w="0" w:type="dxa"/>
      </w:tblCellMar>
    </w:tblPr>
  </w:style>
  <w:style w:type="table" w:styleId="1235" w:customStyle="1">
    <w:name w:val="List Table 6 Colorful - Accent 1"/>
    <w:uiPriority w:val="99"/>
    <w:qFormat/>
    <w:tblPr>
      <w:tblCellMar>
        <w:left w:w="0" w:type="dxa"/>
        <w:top w:w="0" w:type="dxa"/>
        <w:right w:w="0" w:type="dxa"/>
        <w:bottom w:w="0" w:type="dxa"/>
      </w:tblCellMar>
    </w:tblPr>
  </w:style>
  <w:style w:type="table" w:styleId="1236" w:customStyle="1">
    <w:name w:val="List Table 6 Colorful - Accent 2"/>
    <w:uiPriority w:val="99"/>
    <w:qFormat/>
    <w:tblPr>
      <w:tblCellMar>
        <w:left w:w="0" w:type="dxa"/>
        <w:top w:w="0" w:type="dxa"/>
        <w:right w:w="0" w:type="dxa"/>
        <w:bottom w:w="0" w:type="dxa"/>
      </w:tblCellMar>
    </w:tblPr>
  </w:style>
  <w:style w:type="table" w:styleId="1237" w:customStyle="1">
    <w:name w:val="List Table 6 Colorful - Accent 3"/>
    <w:uiPriority w:val="99"/>
    <w:qFormat/>
    <w:tblPr>
      <w:tblCellMar>
        <w:left w:w="0" w:type="dxa"/>
        <w:top w:w="0" w:type="dxa"/>
        <w:right w:w="0" w:type="dxa"/>
        <w:bottom w:w="0" w:type="dxa"/>
      </w:tblCellMar>
    </w:tblPr>
  </w:style>
  <w:style w:type="table" w:styleId="1238" w:customStyle="1">
    <w:name w:val="List Table 6 Colorful - Accent 4"/>
    <w:uiPriority w:val="99"/>
    <w:qFormat/>
    <w:tblPr>
      <w:tblCellMar>
        <w:left w:w="0" w:type="dxa"/>
        <w:top w:w="0" w:type="dxa"/>
        <w:right w:w="0" w:type="dxa"/>
        <w:bottom w:w="0" w:type="dxa"/>
      </w:tblCellMar>
    </w:tblPr>
  </w:style>
  <w:style w:type="table" w:styleId="1239" w:customStyle="1">
    <w:name w:val="List Table 6 Colorful - Accent 5"/>
    <w:uiPriority w:val="99"/>
    <w:qFormat/>
    <w:tblPr>
      <w:tblCellMar>
        <w:left w:w="0" w:type="dxa"/>
        <w:top w:w="0" w:type="dxa"/>
        <w:right w:w="0" w:type="dxa"/>
        <w:bottom w:w="0" w:type="dxa"/>
      </w:tblCellMar>
    </w:tblPr>
  </w:style>
  <w:style w:type="table" w:styleId="1240" w:customStyle="1">
    <w:name w:val="List Table 6 Colorful - Accent 6"/>
    <w:uiPriority w:val="99"/>
    <w:qFormat/>
    <w:tblPr>
      <w:tblCellMar>
        <w:left w:w="0" w:type="dxa"/>
        <w:top w:w="0" w:type="dxa"/>
        <w:right w:w="0" w:type="dxa"/>
        <w:bottom w:w="0" w:type="dxa"/>
      </w:tblCellMar>
    </w:tblPr>
  </w:style>
  <w:style w:type="table" w:styleId="1241" w:customStyle="1">
    <w:name w:val="List Table 7 Colorful"/>
    <w:uiPriority w:val="99"/>
    <w:qFormat/>
    <w:tblPr>
      <w:tblCellMar>
        <w:left w:w="0" w:type="dxa"/>
        <w:top w:w="0" w:type="dxa"/>
        <w:right w:w="0" w:type="dxa"/>
        <w:bottom w:w="0" w:type="dxa"/>
      </w:tblCellMar>
    </w:tblPr>
  </w:style>
  <w:style w:type="table" w:styleId="1242" w:customStyle="1">
    <w:name w:val="List Table 7 Colorful - Accent 1"/>
    <w:uiPriority w:val="99"/>
    <w:qFormat/>
    <w:tblPr>
      <w:tblCellMar>
        <w:left w:w="0" w:type="dxa"/>
        <w:top w:w="0" w:type="dxa"/>
        <w:right w:w="0" w:type="dxa"/>
        <w:bottom w:w="0" w:type="dxa"/>
      </w:tblCellMar>
    </w:tblPr>
  </w:style>
  <w:style w:type="table" w:styleId="1243" w:customStyle="1">
    <w:name w:val="List Table 7 Colorful - Accent 2"/>
    <w:uiPriority w:val="99"/>
    <w:qFormat/>
    <w:tblPr>
      <w:tblCellMar>
        <w:left w:w="0" w:type="dxa"/>
        <w:top w:w="0" w:type="dxa"/>
        <w:right w:w="0" w:type="dxa"/>
        <w:bottom w:w="0" w:type="dxa"/>
      </w:tblCellMar>
    </w:tblPr>
  </w:style>
  <w:style w:type="table" w:styleId="1244" w:customStyle="1">
    <w:name w:val="List Table 7 Colorful - Accent 3"/>
    <w:uiPriority w:val="99"/>
    <w:qFormat/>
    <w:tblPr>
      <w:tblCellMar>
        <w:left w:w="0" w:type="dxa"/>
        <w:top w:w="0" w:type="dxa"/>
        <w:right w:w="0" w:type="dxa"/>
        <w:bottom w:w="0" w:type="dxa"/>
      </w:tblCellMar>
    </w:tblPr>
  </w:style>
  <w:style w:type="table" w:styleId="1245" w:customStyle="1">
    <w:name w:val="List Table 7 Colorful - Accent 4"/>
    <w:uiPriority w:val="99"/>
    <w:qFormat/>
    <w:tblPr>
      <w:tblCellMar>
        <w:left w:w="0" w:type="dxa"/>
        <w:top w:w="0" w:type="dxa"/>
        <w:right w:w="0" w:type="dxa"/>
        <w:bottom w:w="0" w:type="dxa"/>
      </w:tblCellMar>
    </w:tblPr>
  </w:style>
  <w:style w:type="table" w:styleId="1246" w:customStyle="1">
    <w:name w:val="List Table 7 Colorful - Accent 5"/>
    <w:uiPriority w:val="99"/>
    <w:qFormat/>
    <w:tblPr>
      <w:tblCellMar>
        <w:left w:w="0" w:type="dxa"/>
        <w:top w:w="0" w:type="dxa"/>
        <w:right w:w="0" w:type="dxa"/>
        <w:bottom w:w="0" w:type="dxa"/>
      </w:tblCellMar>
    </w:tblPr>
  </w:style>
  <w:style w:type="table" w:styleId="1247" w:customStyle="1">
    <w:name w:val="List Table 7 Colorful - Accent 6"/>
    <w:uiPriority w:val="99"/>
    <w:qFormat/>
    <w:tblPr>
      <w:tblCellMar>
        <w:left w:w="0" w:type="dxa"/>
        <w:top w:w="0" w:type="dxa"/>
        <w:right w:w="0" w:type="dxa"/>
        <w:bottom w:w="0" w:type="dxa"/>
      </w:tblCellMar>
    </w:tblPr>
  </w:style>
  <w:style w:type="table" w:styleId="1248" w:customStyle="1">
    <w:name w:val="Lined - Accent"/>
    <w:uiPriority w:val="99"/>
    <w:qFormat/>
    <w:rPr>
      <w:color w:val="404040"/>
    </w:rPr>
    <w:tblPr>
      <w:tblCellMar>
        <w:left w:w="0" w:type="dxa"/>
        <w:top w:w="0" w:type="dxa"/>
        <w:right w:w="0" w:type="dxa"/>
        <w:bottom w:w="0" w:type="dxa"/>
      </w:tblCellMar>
    </w:tblPr>
  </w:style>
  <w:style w:type="table" w:styleId="1249" w:customStyle="1">
    <w:name w:val="Lined - Accent 1"/>
    <w:uiPriority w:val="99"/>
    <w:qFormat/>
    <w:rPr>
      <w:color w:val="404040"/>
    </w:rPr>
    <w:tblPr>
      <w:tblCellMar>
        <w:left w:w="0" w:type="dxa"/>
        <w:top w:w="0" w:type="dxa"/>
        <w:right w:w="0" w:type="dxa"/>
        <w:bottom w:w="0" w:type="dxa"/>
      </w:tblCellMar>
    </w:tblPr>
  </w:style>
  <w:style w:type="table" w:styleId="1250" w:customStyle="1">
    <w:name w:val="Lined - Accent 2"/>
    <w:uiPriority w:val="99"/>
    <w:qFormat/>
    <w:rPr>
      <w:color w:val="404040"/>
    </w:rPr>
    <w:tblPr>
      <w:tblCellMar>
        <w:left w:w="0" w:type="dxa"/>
        <w:top w:w="0" w:type="dxa"/>
        <w:right w:w="0" w:type="dxa"/>
        <w:bottom w:w="0" w:type="dxa"/>
      </w:tblCellMar>
    </w:tblPr>
  </w:style>
  <w:style w:type="table" w:styleId="1251" w:customStyle="1">
    <w:name w:val="Lined - Accent 3"/>
    <w:uiPriority w:val="99"/>
    <w:qFormat/>
    <w:rPr>
      <w:color w:val="404040"/>
    </w:rPr>
    <w:tblPr>
      <w:tblCellMar>
        <w:left w:w="0" w:type="dxa"/>
        <w:top w:w="0" w:type="dxa"/>
        <w:right w:w="0" w:type="dxa"/>
        <w:bottom w:w="0" w:type="dxa"/>
      </w:tblCellMar>
    </w:tblPr>
  </w:style>
  <w:style w:type="table" w:styleId="1252" w:customStyle="1">
    <w:name w:val="Lined - Accent 4"/>
    <w:uiPriority w:val="99"/>
    <w:qFormat/>
    <w:rPr>
      <w:color w:val="404040"/>
    </w:rPr>
    <w:tblPr>
      <w:tblCellMar>
        <w:left w:w="0" w:type="dxa"/>
        <w:top w:w="0" w:type="dxa"/>
        <w:right w:w="0" w:type="dxa"/>
        <w:bottom w:w="0" w:type="dxa"/>
      </w:tblCellMar>
    </w:tblPr>
  </w:style>
  <w:style w:type="table" w:styleId="1253" w:customStyle="1">
    <w:name w:val="Lined - Accent 5"/>
    <w:uiPriority w:val="99"/>
    <w:qFormat/>
    <w:rPr>
      <w:color w:val="404040"/>
    </w:rPr>
    <w:tblPr>
      <w:tblCellMar>
        <w:left w:w="0" w:type="dxa"/>
        <w:top w:w="0" w:type="dxa"/>
        <w:right w:w="0" w:type="dxa"/>
        <w:bottom w:w="0" w:type="dxa"/>
      </w:tblCellMar>
    </w:tblPr>
  </w:style>
  <w:style w:type="table" w:styleId="1254" w:customStyle="1">
    <w:name w:val="Lined - Accent 6"/>
    <w:uiPriority w:val="99"/>
    <w:qFormat/>
    <w:rPr>
      <w:color w:val="404040"/>
    </w:rPr>
    <w:tblPr>
      <w:tblCellMar>
        <w:left w:w="0" w:type="dxa"/>
        <w:top w:w="0" w:type="dxa"/>
        <w:right w:w="0" w:type="dxa"/>
        <w:bottom w:w="0" w:type="dxa"/>
      </w:tblCellMar>
    </w:tblPr>
  </w:style>
  <w:style w:type="table" w:styleId="1255" w:customStyle="1">
    <w:name w:val="Bordered &amp; Lined - Accent"/>
    <w:uiPriority w:val="99"/>
    <w:qFormat/>
    <w:rPr>
      <w:color w:val="404040"/>
    </w:rPr>
    <w:tblPr>
      <w:tblCellMar>
        <w:left w:w="0" w:type="dxa"/>
        <w:top w:w="0" w:type="dxa"/>
        <w:right w:w="0" w:type="dxa"/>
        <w:bottom w:w="0" w:type="dxa"/>
      </w:tblCellMar>
    </w:tblPr>
  </w:style>
  <w:style w:type="table" w:styleId="1256" w:customStyle="1">
    <w:name w:val="Bordered &amp; Lined - Accent 1"/>
    <w:uiPriority w:val="99"/>
    <w:qFormat/>
    <w:rPr>
      <w:color w:val="404040"/>
    </w:rPr>
    <w:tblPr>
      <w:tblCellMar>
        <w:left w:w="0" w:type="dxa"/>
        <w:top w:w="0" w:type="dxa"/>
        <w:right w:w="0" w:type="dxa"/>
        <w:bottom w:w="0" w:type="dxa"/>
      </w:tblCellMar>
    </w:tblPr>
  </w:style>
  <w:style w:type="table" w:styleId="1257" w:customStyle="1">
    <w:name w:val="Bordered &amp; Lined - Accent 2"/>
    <w:uiPriority w:val="99"/>
    <w:qFormat/>
    <w:rPr>
      <w:color w:val="404040"/>
    </w:rPr>
    <w:tblPr>
      <w:tblCellMar>
        <w:left w:w="0" w:type="dxa"/>
        <w:top w:w="0" w:type="dxa"/>
        <w:right w:w="0" w:type="dxa"/>
        <w:bottom w:w="0" w:type="dxa"/>
      </w:tblCellMar>
    </w:tblPr>
  </w:style>
  <w:style w:type="table" w:styleId="1258" w:customStyle="1">
    <w:name w:val="Bordered &amp; Lined - Accent 3"/>
    <w:uiPriority w:val="99"/>
    <w:qFormat/>
    <w:rPr>
      <w:color w:val="404040"/>
    </w:rPr>
    <w:tblPr>
      <w:tblCellMar>
        <w:left w:w="0" w:type="dxa"/>
        <w:top w:w="0" w:type="dxa"/>
        <w:right w:w="0" w:type="dxa"/>
        <w:bottom w:w="0" w:type="dxa"/>
      </w:tblCellMar>
    </w:tblPr>
  </w:style>
  <w:style w:type="table" w:styleId="1259" w:customStyle="1">
    <w:name w:val="Bordered &amp; Lined - Accent 4"/>
    <w:uiPriority w:val="99"/>
    <w:qFormat/>
    <w:rPr>
      <w:color w:val="404040"/>
    </w:rPr>
    <w:tblPr>
      <w:tblCellMar>
        <w:left w:w="0" w:type="dxa"/>
        <w:top w:w="0" w:type="dxa"/>
        <w:right w:w="0" w:type="dxa"/>
        <w:bottom w:w="0" w:type="dxa"/>
      </w:tblCellMar>
    </w:tblPr>
  </w:style>
  <w:style w:type="table" w:styleId="1260" w:customStyle="1">
    <w:name w:val="Bordered &amp; Lined - Accent 5"/>
    <w:uiPriority w:val="99"/>
    <w:qFormat/>
    <w:rPr>
      <w:color w:val="404040"/>
    </w:rPr>
    <w:tblPr>
      <w:tblCellMar>
        <w:left w:w="0" w:type="dxa"/>
        <w:top w:w="0" w:type="dxa"/>
        <w:right w:w="0" w:type="dxa"/>
        <w:bottom w:w="0" w:type="dxa"/>
      </w:tblCellMar>
    </w:tblPr>
  </w:style>
  <w:style w:type="table" w:styleId="1261" w:customStyle="1">
    <w:name w:val="Bordered &amp; Lined - Accent 6"/>
    <w:uiPriority w:val="99"/>
    <w:qFormat/>
    <w:rPr>
      <w:color w:val="404040"/>
    </w:rPr>
    <w:tblPr>
      <w:tblCellMar>
        <w:left w:w="0" w:type="dxa"/>
        <w:top w:w="0" w:type="dxa"/>
        <w:right w:w="0" w:type="dxa"/>
        <w:bottom w:w="0" w:type="dxa"/>
      </w:tblCellMar>
    </w:tblPr>
  </w:style>
  <w:style w:type="table" w:styleId="1262" w:customStyle="1">
    <w:name w:val="Bordered"/>
    <w:uiPriority w:val="99"/>
    <w:qFormat/>
    <w:tblPr>
      <w:tblCellMar>
        <w:left w:w="0" w:type="dxa"/>
        <w:top w:w="0" w:type="dxa"/>
        <w:right w:w="0" w:type="dxa"/>
        <w:bottom w:w="0" w:type="dxa"/>
      </w:tblCellMar>
    </w:tblPr>
  </w:style>
  <w:style w:type="table" w:styleId="1263" w:customStyle="1">
    <w:name w:val="Bordered - Accent 1"/>
    <w:uiPriority w:val="99"/>
    <w:qFormat/>
    <w:tblPr>
      <w:tblCellMar>
        <w:left w:w="0" w:type="dxa"/>
        <w:top w:w="0" w:type="dxa"/>
        <w:right w:w="0" w:type="dxa"/>
        <w:bottom w:w="0" w:type="dxa"/>
      </w:tblCellMar>
    </w:tblPr>
  </w:style>
  <w:style w:type="table" w:styleId="1264" w:customStyle="1">
    <w:name w:val="Bordered - Accent 2"/>
    <w:uiPriority w:val="99"/>
    <w:qFormat/>
    <w:tblPr>
      <w:tblCellMar>
        <w:left w:w="0" w:type="dxa"/>
        <w:top w:w="0" w:type="dxa"/>
        <w:right w:w="0" w:type="dxa"/>
        <w:bottom w:w="0" w:type="dxa"/>
      </w:tblCellMar>
    </w:tblPr>
  </w:style>
  <w:style w:type="table" w:styleId="1265" w:customStyle="1">
    <w:name w:val="Bordered - Accent 3"/>
    <w:uiPriority w:val="99"/>
    <w:qFormat/>
    <w:tblPr>
      <w:tblCellMar>
        <w:left w:w="0" w:type="dxa"/>
        <w:top w:w="0" w:type="dxa"/>
        <w:right w:w="0" w:type="dxa"/>
        <w:bottom w:w="0" w:type="dxa"/>
      </w:tblCellMar>
    </w:tblPr>
  </w:style>
  <w:style w:type="table" w:styleId="1266" w:customStyle="1">
    <w:name w:val="Bordered - Accent 4"/>
    <w:uiPriority w:val="99"/>
    <w:qFormat/>
    <w:tblPr>
      <w:tblCellMar>
        <w:left w:w="0" w:type="dxa"/>
        <w:top w:w="0" w:type="dxa"/>
        <w:right w:w="0" w:type="dxa"/>
        <w:bottom w:w="0" w:type="dxa"/>
      </w:tblCellMar>
    </w:tblPr>
  </w:style>
  <w:style w:type="table" w:styleId="1267" w:customStyle="1">
    <w:name w:val="Bordered - Accent 5"/>
    <w:uiPriority w:val="99"/>
    <w:qFormat/>
    <w:tblPr>
      <w:tblCellMar>
        <w:left w:w="0" w:type="dxa"/>
        <w:top w:w="0" w:type="dxa"/>
        <w:right w:w="0" w:type="dxa"/>
        <w:bottom w:w="0" w:type="dxa"/>
      </w:tblCellMar>
    </w:tblPr>
  </w:style>
  <w:style w:type="table" w:styleId="1268" w:customStyle="1">
    <w:name w:val="Bordered - Accent 6"/>
    <w:uiPriority w:val="99"/>
    <w:qFormat/>
    <w:tblPr>
      <w:tblCellMar>
        <w:left w:w="0" w:type="dxa"/>
        <w:top w:w="0" w:type="dxa"/>
        <w:right w:w="0" w:type="dxa"/>
        <w:bottom w:w="0" w:type="dxa"/>
      </w:tblCellMar>
    </w:tblPr>
  </w:style>
  <w:style w:type="character" w:styleId="1269" w:customStyle="1">
    <w:name w:val="Footnote Text Char"/>
    <w:uiPriority w:val="99"/>
    <w:qFormat/>
    <w:rPr>
      <w:sz w:val="18"/>
    </w:rPr>
  </w:style>
  <w:style w:type="character" w:styleId="1270" w:customStyle="1">
    <w:name w:val="Endnote Text Char"/>
    <w:uiPriority w:val="99"/>
    <w:qFormat/>
    <w:rPr>
      <w:sz w:val="20"/>
    </w:rPr>
  </w:style>
  <w:style w:type="paragraph" w:styleId="1271" w:customStyle="1">
    <w:name w:val="TOC 标题11"/>
    <w:basedOn w:val="672"/>
    <w:next w:val="671"/>
    <w:uiPriority w:val="39"/>
    <w:qFormat/>
    <w:pPr>
      <w:jc w:val="both"/>
      <w:keepLines/>
      <w:spacing w:before="480" w:line="276" w:lineRule="auto"/>
      <w:widowControl/>
      <w:outlineLvl w:val="9"/>
    </w:pPr>
    <w:rPr>
      <w:rFonts w:ascii="Cambria" w:hAnsi="Cambria" w:eastAsia="宋体"/>
      <w:b/>
      <w:color w:val="365f91"/>
      <w:szCs w:val="20"/>
      <w:lang w:eastAsia="en-US"/>
    </w:rPr>
  </w:style>
  <w:style w:type="paragraph" w:styleId="1272" w:customStyle="1">
    <w:name w:val="纯文本11"/>
    <w:basedOn w:val="671"/>
    <w:uiPriority w:val="0"/>
    <w:qFormat/>
    <w:rPr>
      <w:rFonts w:ascii="宋体" w:hAnsi="Courier New" w:cs="Courier New"/>
      <w:szCs w:val="21"/>
    </w:rPr>
  </w:style>
  <w:style w:type="paragraph" w:styleId="1273" w:customStyle="1">
    <w:name w:val="Char111"/>
    <w:basedOn w:val="692"/>
    <w:uiPriority w:val="0"/>
    <w:qFormat/>
    <w:rPr>
      <w:rFonts w:ascii="Tahoma" w:hAnsi="Tahoma"/>
      <w:sz w:val="24"/>
      <w:szCs w:val="24"/>
    </w:rPr>
  </w:style>
  <w:style w:type="paragraph" w:styleId="1274" w:customStyle="1">
    <w:name w:val="Char Char Char Char Char Char Char Char1"/>
    <w:basedOn w:val="671"/>
    <w:uiPriority w:val="0"/>
    <w:qFormat/>
    <w:pPr>
      <w:jc w:val="left"/>
      <w:spacing w:after="160" w:line="240" w:lineRule="exact"/>
      <w:widowControl/>
    </w:pPr>
    <w:rPr>
      <w:rFonts w:ascii="Verdana" w:hAnsi="Verdana"/>
      <w:sz w:val="20"/>
      <w:szCs w:val="20"/>
      <w:lang w:eastAsia="en-US"/>
    </w:rPr>
  </w:style>
  <w:style w:type="paragraph" w:styleId="1275" w:customStyle="1">
    <w:name w:val="Char Char Char Char11"/>
    <w:basedOn w:val="692"/>
    <w:uiPriority w:val="0"/>
    <w:qFormat/>
    <w:pPr>
      <w:spacing w:line="360" w:lineRule="auto"/>
    </w:pPr>
    <w:rPr>
      <w:rFonts w:ascii="Tahoma" w:hAnsi="Tahoma"/>
      <w:sz w:val="24"/>
      <w:szCs w:val="24"/>
    </w:rPr>
  </w:style>
  <w:style w:type="paragraph" w:styleId="1276" w:customStyle="1">
    <w:name w:val="修订11"/>
    <w:uiPriority w:val="0"/>
    <w:qFormat/>
    <w:rPr>
      <w:rFonts w:ascii="Times New Roman" w:hAnsi="Times New Roman" w:eastAsia="宋体" w:cs="Times New Roman"/>
      <w:sz w:val="21"/>
      <w:szCs w:val="21"/>
      <w:lang w:val="en-US" w:eastAsia="zh-CN" w:bidi="ar-SA"/>
    </w:rPr>
  </w:style>
  <w:style w:type="character" w:styleId="1277" w:customStyle="1">
    <w:name w:val="Char Char21"/>
    <w:uiPriority w:val="0"/>
    <w:qFormat/>
    <w:rPr>
      <w:sz w:val="18"/>
      <w:szCs w:val="18"/>
    </w:rPr>
  </w:style>
  <w:style w:type="character" w:styleId="1278" w:customStyle="1">
    <w:name w:val="Char Char231"/>
    <w:uiPriority w:val="0"/>
    <w:qFormat/>
    <w:rPr>
      <w:sz w:val="24"/>
      <w:szCs w:val="21"/>
      <w:lang w:bidi="ar-SA"/>
    </w:rPr>
  </w:style>
  <w:style w:type="character" w:styleId="1279" w:customStyle="1">
    <w:name w:val="Char Char31"/>
    <w:uiPriority w:val="0"/>
    <w:qFormat/>
    <w:rPr>
      <w:rFonts w:ascii="Arial" w:hAnsi="Arial" w:eastAsia="黑体" w:cs="Times New Roman"/>
      <w:b/>
      <w:bCs/>
      <w:sz w:val="32"/>
      <w:szCs w:val="32"/>
      <w:lang w:val="en-US" w:eastAsia="zh-CN" w:bidi="ar-SA"/>
    </w:rPr>
  </w:style>
  <w:style w:type="paragraph" w:styleId="1280" w:customStyle="1">
    <w:name w:val="Char Char Char Char Char Char Char Char Char Char11"/>
    <w:basedOn w:val="671"/>
    <w:uiPriority w:val="0"/>
    <w:qFormat/>
    <w:rPr>
      <w:rFonts w:ascii="Tahoma" w:hAnsi="Tahoma"/>
      <w:sz w:val="24"/>
      <w:szCs w:val="20"/>
    </w:rPr>
  </w:style>
  <w:style w:type="paragraph" w:styleId="1281" w:customStyle="1">
    <w:name w:val="Char13"/>
    <w:basedOn w:val="671"/>
    <w:uiPriority w:val="0"/>
    <w:qFormat/>
  </w:style>
  <w:style w:type="paragraph" w:styleId="1282" w:customStyle="1">
    <w:name w:val="Char Char Char Char Char Char Char1"/>
    <w:basedOn w:val="671"/>
    <w:uiPriority w:val="0"/>
    <w:qFormat/>
    <w:pPr>
      <w:jc w:val="left"/>
      <w:spacing w:after="160" w:line="240" w:lineRule="exact"/>
      <w:widowControl/>
    </w:pPr>
    <w:rPr>
      <w:rFonts w:ascii="Verdana" w:hAnsi="Verdana"/>
      <w:sz w:val="20"/>
      <w:szCs w:val="20"/>
      <w:lang w:eastAsia="en-US"/>
    </w:rPr>
  </w:style>
  <w:style w:type="paragraph" w:styleId="1283" w:customStyle="1">
    <w:name w:val="Char Char Char1"/>
    <w:basedOn w:val="671"/>
    <w:uiPriority w:val="0"/>
    <w:qFormat/>
    <w:rPr>
      <w:szCs w:val="21"/>
    </w:rPr>
  </w:style>
  <w:style w:type="paragraph" w:styleId="1284" w:customStyle="1">
    <w:name w:val="Char Char Char Char Char Char Char Char Char Char Char Char Char1"/>
    <w:basedOn w:val="671"/>
    <w:uiPriority w:val="0"/>
    <w:qFormat/>
    <w:pPr>
      <w:jc w:val="left"/>
      <w:spacing w:after="160" w:line="240" w:lineRule="exact"/>
      <w:widowControl/>
    </w:pPr>
    <w:rPr>
      <w:rFonts w:ascii="Arial" w:hAnsi="Arial" w:eastAsia="Times New Roman" w:cs="Verdana"/>
      <w:b/>
      <w:sz w:val="24"/>
      <w:szCs w:val="32"/>
      <w:lang w:eastAsia="en-US"/>
    </w:rPr>
  </w:style>
  <w:style w:type="table" w:styleId="1285" w:customStyle="1">
    <w:name w:val="网格型1"/>
    <w:basedOn w:val="682"/>
    <w:uiPriority w:val="0"/>
    <w:qFormat/>
    <w:tblPr>
      <w:tblCellMar>
        <w:left w:w="108" w:type="dxa"/>
        <w:top w:w="0" w:type="dxa"/>
        <w:right w:w="108" w:type="dxa"/>
        <w:bottom w:w="0" w:type="dxa"/>
      </w:tblCellMar>
    </w:tblPr>
  </w:style>
  <w:style w:type="paragraph" w:styleId="1286" w:customStyle="1">
    <w:name w:val="Normal11"/>
    <w:uiPriority w:val="0"/>
    <w:qFormat/>
    <w:rPr>
      <w:rFonts w:ascii="Times New Roman" w:hAnsi="Times New Roman" w:eastAsia="Times New Roman" w:cs="Times New Roman"/>
      <w:sz w:val="24"/>
      <w:szCs w:val="24"/>
      <w:lang w:val="en-US" w:eastAsia="zh-CN" w:bidi="ar-SA"/>
    </w:rPr>
  </w:style>
  <w:style w:type="paragraph" w:styleId="1287"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288"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正文缩进_0_0"/>
    <w:basedOn w:val="1288"/>
    <w:link w:val="1290"/>
    <w:uiPriority w:val="0"/>
    <w:unhideWhenUsed/>
    <w:qFormat/>
    <w:pPr>
      <w:ind w:firstLine="420"/>
    </w:pPr>
    <w:rPr>
      <w:rFonts w:ascii="Calibri" w:hAnsi="Calibri"/>
      <w:szCs w:val="22"/>
      <w:lang w:eastAsia="en-US"/>
    </w:rPr>
  </w:style>
  <w:style w:type="character" w:styleId="1290" w:customStyle="1">
    <w:name w:val="正文缩进 Char1_0_0"/>
    <w:link w:val="1289"/>
    <w:uiPriority w:val="0"/>
    <w:qFormat/>
    <w:rPr>
      <w:sz w:val="21"/>
      <w:szCs w:val="22"/>
      <w:lang w:eastAsia="en-US"/>
    </w:rPr>
  </w:style>
  <w:style w:type="paragraph" w:styleId="1291" w:customStyle="1">
    <w:name w:val="纯文本_0_0"/>
    <w:basedOn w:val="1292"/>
    <w:link w:val="1293"/>
    <w:uiPriority w:val="0"/>
    <w:unhideWhenUsed/>
    <w:qFormat/>
    <w:rPr>
      <w:rFonts w:ascii="宋体" w:hAnsi="Courier New"/>
      <w:szCs w:val="21"/>
      <w:lang w:eastAsia="en-US"/>
    </w:rPr>
  </w:style>
  <w:style w:type="paragraph" w:styleId="129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293" w:customStyle="1">
    <w:name w:val="纯文本 Char_0_0"/>
    <w:link w:val="1291"/>
    <w:uiPriority w:val="0"/>
    <w:qFormat/>
    <w:rPr>
      <w:rFonts w:ascii="宋体" w:hAnsi="Courier New"/>
      <w:sz w:val="21"/>
      <w:szCs w:val="21"/>
      <w:lang w:eastAsia="en-US"/>
    </w:rPr>
  </w:style>
  <w:style w:type="paragraph" w:styleId="1294" w:customStyle="1">
    <w:name w:val="正文_5_0"/>
    <w:uiPriority w:val="0"/>
    <w:qFormat/>
    <w:pPr>
      <w:jc w:val="both"/>
      <w:widowControl w:val="off"/>
    </w:pPr>
    <w:rPr>
      <w:rFonts w:ascii="Calibri" w:hAnsi="Calibri" w:eastAsia="宋体" w:cs="Times New Roman"/>
      <w:sz w:val="21"/>
      <w:szCs w:val="22"/>
      <w:lang w:val="en-US" w:eastAsia="zh-CN" w:bidi="ar-SA"/>
    </w:rPr>
  </w:style>
  <w:style w:type="character" w:styleId="1295" w:customStyle="1">
    <w:name w:val="hover29"/>
    <w:uiPriority w:val="0"/>
    <w:qFormat/>
  </w:style>
  <w:style w:type="character" w:styleId="1296" w:customStyle="1">
    <w:name w:val="hover30"/>
    <w:uiPriority w:val="0"/>
    <w:qFormat/>
    <w:rPr>
      <w:color w:val="315efb"/>
    </w:rPr>
  </w:style>
  <w:style w:type="character" w:styleId="1297" w:customStyle="1">
    <w:name w:val="hover31"/>
    <w:uiPriority w:val="0"/>
    <w:qFormat/>
    <w:rPr>
      <w:color w:val="315efb"/>
    </w:rPr>
  </w:style>
  <w:style w:type="character" w:styleId="1298" w:customStyle="1">
    <w:name w:val="hover32"/>
    <w:uiPriority w:val="0"/>
    <w:qFormat/>
    <w:rPr>
      <w:color w:val="315efb"/>
      <w:shd w:val="clear" w:color="auto" w:fill="f0f3fd"/>
    </w:rPr>
  </w:style>
  <w:style w:type="character" w:styleId="1299" w:customStyle="1">
    <w:name w:val="c-icon32"/>
    <w:uiPriority w:val="0"/>
    <w:qFormat/>
  </w:style>
  <w:style w:type="table" w:styleId="1300" w:customStyle="1">
    <w:name w:val="网格型2"/>
    <w:basedOn w:val="682"/>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01" w:customStyle="1">
    <w:name w:val="正文_4_0_0"/>
    <w:uiPriority w:val="0"/>
    <w:qFormat/>
    <w:pPr>
      <w:jc w:val="both"/>
      <w:widowControl w:val="off"/>
    </w:pPr>
    <w:rPr>
      <w:rFonts w:ascii="Calibri" w:hAnsi="Calibri" w:eastAsia="宋体" w:cs="Times New Roman"/>
      <w:sz w:val="21"/>
      <w:szCs w:val="22"/>
      <w:lang w:val="en-US" w:eastAsia="zh-CN" w:bidi="ar-SA"/>
    </w:rPr>
  </w:style>
  <w:style w:type="character" w:styleId="1302" w:customStyle="1">
    <w:name w:val="纯文本 Char2"/>
    <w:basedOn w:val="681"/>
    <w:uiPriority w:val="99"/>
    <w:semiHidden/>
    <w:qFormat/>
    <w:rPr>
      <w:rFonts w:ascii="宋体" w:hAnsi="Courier New" w:cs="Courier New"/>
      <w:sz w:val="21"/>
      <w:szCs w:val="21"/>
    </w:rPr>
  </w:style>
  <w:style w:type="paragraph" w:styleId="1303" w:customStyle="1">
    <w:name w:val="样式 标题 3 + (中文) 黑体 小四 非加粗 段前: 7.8 磅 段后: 0 磅 行距: 固定值 20 磅"/>
    <w:basedOn w:val="674"/>
    <w:uiPriority w:val="0"/>
    <w:qFormat/>
    <w:pPr>
      <w:spacing w:before="0" w:after="0" w:line="400" w:lineRule="exact"/>
    </w:pPr>
    <w:rPr>
      <w:rFonts w:eastAsia="黑体" w:cs="宋体"/>
      <w:b w:val="0"/>
      <w:sz w:val="24"/>
      <w:szCs w:val="20"/>
      <w:lang w:val="zh-CN"/>
    </w:rPr>
  </w:style>
  <w:style w:type="paragraph" w:styleId="1304" w:customStyle="1">
    <w:name w:val="样式 标题 1 + 黑体 三号 非加粗 居中 段前: 6 磅 段后: 6 磅 行距: 固定值 20 磅"/>
    <w:basedOn w:val="672"/>
    <w:uiPriority w:val="0"/>
    <w:qFormat/>
    <w:pPr>
      <w:keepLines/>
      <w:spacing w:before="120" w:after="120" w:line="400" w:lineRule="exact"/>
    </w:pPr>
    <w:rPr>
      <w:rFonts w:ascii="黑体" w:hAnsi="黑体" w:eastAsia="黑体" w:cs="宋体"/>
      <w:bCs/>
      <w:sz w:val="32"/>
      <w:szCs w:val="20"/>
      <w:lang w:val="zh-CN"/>
    </w:rPr>
  </w:style>
  <w:style w:type="paragraph" w:styleId="1305" w:customStyle="1">
    <w:name w:val="1"/>
    <w:basedOn w:val="671"/>
    <w:uiPriority w:val="0"/>
    <w:qFormat/>
  </w:style>
  <w:style w:type="character" w:styleId="1306" w:customStyle="1">
    <w:name w:val="font161"/>
    <w:uiPriority w:val="0"/>
    <w:qFormat/>
    <w:rPr>
      <w:b/>
      <w:bCs/>
      <w:sz w:val="32"/>
      <w:szCs w:val="32"/>
    </w:rPr>
  </w:style>
  <w:style w:type="paragraph" w:styleId="1307" w:customStyle="1">
    <w:name w:val="6'"/>
    <w:basedOn w:val="671"/>
    <w:uiPriority w:val="0"/>
    <w:qFormat/>
    <w:pPr>
      <w:jc w:val="center"/>
      <w:spacing w:line="320" w:lineRule="exact"/>
    </w:pPr>
    <w:rPr>
      <w:spacing w:val="20"/>
      <w:szCs w:val="20"/>
    </w:rPr>
  </w:style>
  <w:style w:type="paragraph" w:styleId="1308" w:customStyle="1">
    <w:name w:val="默认段落字体 Para Char Char Char Char Char Char Char Char Char1 Char Char Char Char Char Char Char"/>
    <w:basedOn w:val="692"/>
    <w:uiPriority w:val="0"/>
    <w:qFormat/>
    <w:rPr>
      <w:rFonts w:ascii="Tahoma" w:hAnsi="Tahoma"/>
      <w:sz w:val="24"/>
      <w:szCs w:val="22"/>
      <w:lang w:val="zh-CN"/>
    </w:rPr>
  </w:style>
  <w:style w:type="character" w:styleId="1309" w:customStyle="1">
    <w:name w:val="标题 1.1 Char"/>
    <w:uiPriority w:val="9"/>
    <w:qFormat/>
    <w:rPr>
      <w:rFonts w:ascii="Arial" w:hAnsi="Arial" w:eastAsia="黑体"/>
      <w:b/>
      <w:bCs/>
      <w:sz w:val="32"/>
      <w:szCs w:val="32"/>
      <w:lang w:val="en-US" w:eastAsia="zh-CN" w:bidi="ar-SA"/>
    </w:rPr>
  </w:style>
  <w:style w:type="paragraph" w:styleId="1310" w:customStyle="1">
    <w:name w:val="Char Char Char Char Char Char Char Char Char Char Char Char Char2"/>
    <w:basedOn w:val="671"/>
    <w:uiPriority w:val="0"/>
    <w:qFormat/>
    <w:rPr>
      <w:szCs w:val="20"/>
    </w:rPr>
  </w:style>
  <w:style w:type="paragraph" w:styleId="1311" w:customStyle="1">
    <w:name w:val="Char2"/>
    <w:basedOn w:val="671"/>
    <w:uiPriority w:val="0"/>
    <w:qFormat/>
    <w:rPr>
      <w:szCs w:val="20"/>
    </w:rPr>
  </w:style>
  <w:style w:type="paragraph" w:styleId="1312" w:customStyle="1">
    <w:name w:val="Char Char Char Char Char Char Char Char Char Char3"/>
    <w:basedOn w:val="671"/>
    <w:uiPriority w:val="0"/>
    <w:qFormat/>
    <w:rPr>
      <w:rFonts w:ascii="Tahoma" w:hAnsi="Tahoma"/>
      <w:sz w:val="24"/>
      <w:szCs w:val="20"/>
    </w:rPr>
  </w:style>
  <w:style w:type="character" w:styleId="1313" w:customStyle="1">
    <w:name w:val="正文文本 Char1"/>
    <w:uiPriority w:val="0"/>
    <w:qFormat/>
    <w:rPr>
      <w:sz w:val="21"/>
      <w:szCs w:val="24"/>
    </w:rPr>
  </w:style>
  <w:style w:type="character" w:styleId="1314" w:customStyle="1">
    <w:name w:val="正文文本缩进 Char1"/>
    <w:uiPriority w:val="0"/>
    <w:semiHidden/>
    <w:qFormat/>
    <w:rPr>
      <w:sz w:val="21"/>
      <w:szCs w:val="24"/>
    </w:rPr>
  </w:style>
  <w:style w:type="paragraph" w:styleId="1315" w:customStyle="1">
    <w:name w:val="标题6"/>
    <w:basedOn w:val="671"/>
    <w:link w:val="1316"/>
    <w:uiPriority w:val="0"/>
    <w:qFormat/>
    <w:pPr>
      <w:jc w:val="center"/>
      <w:keepLines/>
      <w:keepNext/>
      <w:spacing w:line="400" w:lineRule="exact"/>
      <w:outlineLvl w:val="2"/>
    </w:pPr>
    <w:rPr>
      <w:rFonts w:ascii="宋体" w:hAnsi="宋体" w:eastAsia="黑体"/>
      <w:sz w:val="32"/>
      <w:szCs w:val="32"/>
      <w:lang w:val="zh-CN"/>
    </w:rPr>
  </w:style>
  <w:style w:type="character" w:styleId="1316" w:customStyle="1">
    <w:name w:val="标题6 Char"/>
    <w:link w:val="1315"/>
    <w:uiPriority w:val="0"/>
    <w:qFormat/>
    <w:rPr>
      <w:rFonts w:ascii="宋体" w:hAnsi="宋体" w:eastAsia="黑体"/>
      <w:sz w:val="32"/>
      <w:szCs w:val="32"/>
      <w:lang w:val="zh-CN" w:eastAsia="zh-CN"/>
    </w:rPr>
  </w:style>
  <w:style w:type="paragraph" w:styleId="1317" w:customStyle="1">
    <w:name w:val="样式 标题 2 + Times New Roman 四号 非加粗 段前: 5 磅 段后: 0 磅 行距: 固定值 20..._0"/>
    <w:basedOn w:val="1318"/>
    <w:uiPriority w:val="0"/>
    <w:qFormat/>
    <w:pPr>
      <w:spacing w:before="100" w:after="0" w:line="400" w:lineRule="exact"/>
    </w:pPr>
    <w:rPr>
      <w:rFonts w:ascii="Times New Roman" w:hAnsi="Times New Roman" w:cs="宋体"/>
      <w:b w:val="0"/>
      <w:bCs w:val="0"/>
      <w:sz w:val="28"/>
      <w:szCs w:val="20"/>
    </w:rPr>
  </w:style>
  <w:style w:type="paragraph" w:styleId="1318" w:customStyle="1">
    <w:name w:val="标题 2_0"/>
    <w:basedOn w:val="1044"/>
    <w:next w:val="1044"/>
    <w:link w:val="1319"/>
    <w:uiPriority w:val="0"/>
    <w:unhideWhenUsed/>
    <w:qFormat/>
    <w:pPr>
      <w:keepLines/>
      <w:keepNext/>
      <w:spacing w:before="260" w:after="260" w:line="412" w:lineRule="auto"/>
      <w:outlineLvl w:val="1"/>
    </w:pPr>
    <w:rPr>
      <w:rFonts w:ascii="Arial" w:hAnsi="Arial" w:eastAsia="黑体"/>
      <w:b/>
      <w:bCs/>
      <w:sz w:val="32"/>
      <w:szCs w:val="32"/>
    </w:rPr>
  </w:style>
  <w:style w:type="character" w:styleId="1319" w:customStyle="1">
    <w:name w:val="标题 2 Char_0"/>
    <w:link w:val="1318"/>
    <w:uiPriority w:val="0"/>
    <w:qFormat/>
    <w:rPr>
      <w:rFonts w:ascii="Arial" w:hAnsi="Arial" w:eastAsia="黑体"/>
      <w:b/>
      <w:bCs/>
      <w:sz w:val="32"/>
      <w:szCs w:val="32"/>
    </w:rPr>
  </w:style>
  <w:style w:type="paragraph" w:styleId="1320" w:customStyle="1">
    <w:name w:val="正文文本缩进_0"/>
    <w:basedOn w:val="1044"/>
    <w:link w:val="1321"/>
    <w:uiPriority w:val="0"/>
    <w:qFormat/>
    <w:pPr>
      <w:ind w:left="420"/>
      <w:spacing w:after="120"/>
    </w:pPr>
    <w:rPr>
      <w:rFonts w:ascii="Calibri" w:hAnsi="Calibri"/>
      <w:szCs w:val="22"/>
    </w:rPr>
  </w:style>
  <w:style w:type="character" w:styleId="1321" w:customStyle="1">
    <w:name w:val="正文文本缩进 Char_0"/>
    <w:basedOn w:val="681"/>
    <w:link w:val="1320"/>
    <w:uiPriority w:val="0"/>
    <w:qFormat/>
    <w:rPr>
      <w:sz w:val="21"/>
      <w:szCs w:val="22"/>
    </w:rPr>
  </w:style>
  <w:style w:type="paragraph" w:styleId="1322" w:customStyle="1">
    <w:name w:val="正文文本_0"/>
    <w:basedOn w:val="1044"/>
    <w:link w:val="1323"/>
    <w:uiPriority w:val="0"/>
    <w:qFormat/>
    <w:pPr>
      <w:spacing w:after="120"/>
    </w:pPr>
    <w:rPr>
      <w:rFonts w:ascii="Calibri" w:hAnsi="Calibri"/>
      <w:szCs w:val="22"/>
    </w:rPr>
  </w:style>
  <w:style w:type="character" w:styleId="1323" w:customStyle="1">
    <w:name w:val="正文文本 Char_0"/>
    <w:basedOn w:val="681"/>
    <w:link w:val="1322"/>
    <w:uiPriority w:val="0"/>
    <w:qFormat/>
    <w:rPr>
      <w:sz w:val="21"/>
      <w:szCs w:val="22"/>
    </w:rPr>
  </w:style>
  <w:style w:type="paragraph" w:styleId="1324" w:customStyle="1">
    <w:name w:val="批注文字_0"/>
    <w:basedOn w:val="1044"/>
    <w:link w:val="1325"/>
    <w:uiPriority w:val="0"/>
    <w:unhideWhenUsed/>
    <w:qFormat/>
    <w:pPr>
      <w:jc w:val="left"/>
    </w:pPr>
    <w:rPr>
      <w:szCs w:val="22"/>
      <w:lang w:val="zh-CN"/>
    </w:rPr>
  </w:style>
  <w:style w:type="character" w:styleId="1325" w:customStyle="1">
    <w:name w:val="批注文字 Char_0"/>
    <w:link w:val="1324"/>
    <w:uiPriority w:val="0"/>
    <w:qFormat/>
    <w:rPr>
      <w:rFonts w:ascii="Times New Roman" w:hAnsi="Times New Roman"/>
      <w:sz w:val="21"/>
      <w:szCs w:val="22"/>
      <w:lang w:val="zh-CN" w:eastAsia="zh-CN"/>
    </w:rPr>
  </w:style>
  <w:style w:type="paragraph" w:styleId="1326" w:customStyle="1">
    <w:name w:val="正文文本缩进 2_0"/>
    <w:basedOn w:val="1044"/>
    <w:link w:val="1327"/>
    <w:uiPriority w:val="0"/>
    <w:qFormat/>
    <w:pPr>
      <w:ind w:left="420"/>
      <w:spacing w:after="120" w:line="480" w:lineRule="auto"/>
    </w:pPr>
    <w:rPr>
      <w:rFonts w:ascii="Calibri" w:hAnsi="Calibri"/>
      <w:szCs w:val="22"/>
    </w:rPr>
  </w:style>
  <w:style w:type="character" w:styleId="1327" w:customStyle="1">
    <w:name w:val="正文文本缩进 2 Char_0"/>
    <w:basedOn w:val="681"/>
    <w:link w:val="1326"/>
    <w:uiPriority w:val="0"/>
    <w:qFormat/>
    <w:rPr>
      <w:sz w:val="21"/>
      <w:szCs w:val="22"/>
    </w:rPr>
  </w:style>
  <w:style w:type="character" w:styleId="1328" w:customStyle="1">
    <w:name w:val="标题4 Char Char"/>
    <w:link w:val="918"/>
    <w:uiPriority w:val="0"/>
    <w:qFormat/>
    <w:rPr>
      <w:rFonts w:ascii="Arial" w:hAnsi="Arial"/>
      <w:sz w:val="24"/>
    </w:rPr>
  </w:style>
  <w:style w:type="character" w:styleId="1329" w:customStyle="1">
    <w:name w:val="书籍标题1"/>
    <w:uiPriority w:val="0"/>
    <w:qFormat/>
    <w:rPr>
      <w:b/>
      <w:bCs/>
      <w:smallCaps/>
      <w:spacing w:val="5"/>
    </w:rPr>
  </w:style>
  <w:style w:type="character" w:styleId="1330" w:customStyle="1">
    <w:name w:val="明显强调1"/>
    <w:uiPriority w:val="0"/>
    <w:qFormat/>
    <w:rPr>
      <w:b/>
      <w:bCs/>
      <w:i/>
      <w:iCs/>
      <w:color w:val="4f81bd"/>
    </w:rPr>
  </w:style>
  <w:style w:type="character" w:styleId="1331" w:customStyle="1">
    <w:name w:val="标题5 Char Char"/>
    <w:link w:val="1332"/>
    <w:uiPriority w:val="0"/>
    <w:qFormat/>
    <w:rPr>
      <w:rFonts w:ascii="Arial" w:hAnsi="Arial"/>
      <w:b/>
      <w:bCs/>
      <w:sz w:val="24"/>
      <w:szCs w:val="32"/>
    </w:rPr>
  </w:style>
  <w:style w:type="paragraph" w:styleId="1332" w:customStyle="1">
    <w:name w:val="标题5"/>
    <w:basedOn w:val="674"/>
    <w:link w:val="1331"/>
    <w:uiPriority w:val="0"/>
    <w:qFormat/>
    <w:pPr>
      <w:spacing w:line="413" w:lineRule="auto"/>
    </w:pPr>
    <w:rPr>
      <w:rFonts w:ascii="Arial" w:hAnsi="Arial"/>
      <w:sz w:val="24"/>
    </w:rPr>
  </w:style>
  <w:style w:type="character" w:styleId="1333" w:customStyle="1">
    <w:name w:val="textcontents"/>
    <w:uiPriority w:val="0"/>
    <w:qFormat/>
    <w:rPr>
      <w:rFonts w:cs="Times New Roman"/>
    </w:rPr>
  </w:style>
  <w:style w:type="character" w:styleId="1334" w:customStyle="1">
    <w:name w:val="不明显强调1"/>
    <w:uiPriority w:val="0"/>
    <w:qFormat/>
    <w:rPr>
      <w:i/>
      <w:iCs/>
      <w:color w:val="808080"/>
    </w:rPr>
  </w:style>
  <w:style w:type="character" w:styleId="1335" w:customStyle="1">
    <w:name w:val="不明显参考1"/>
    <w:uiPriority w:val="0"/>
    <w:qFormat/>
    <w:rPr>
      <w:smallCaps/>
      <w:color w:val="c0504d"/>
      <w:u w:val="single"/>
    </w:rPr>
  </w:style>
  <w:style w:type="character" w:styleId="1336" w:customStyle="1">
    <w:name w:val="日期 Char1"/>
    <w:uiPriority w:val="0"/>
    <w:qFormat/>
    <w:rPr>
      <w:sz w:val="21"/>
      <w:szCs w:val="22"/>
    </w:rPr>
  </w:style>
  <w:style w:type="character" w:styleId="1337" w:customStyle="1">
    <w:name w:val="批注主题 Char1"/>
    <w:uiPriority w:val="0"/>
    <w:qFormat/>
    <w:rPr>
      <w:b/>
      <w:bCs/>
      <w:sz w:val="21"/>
      <w:szCs w:val="22"/>
    </w:rPr>
  </w:style>
  <w:style w:type="character" w:styleId="1338" w:customStyle="1">
    <w:name w:val="批注文字 Char Char"/>
    <w:uiPriority w:val="0"/>
    <w:qFormat/>
    <w:rPr>
      <w:rFonts w:ascii="宋体" w:hAnsi="Times New Roman" w:eastAsia="宋体" w:cs="Times New Roman"/>
      <w:sz w:val="28"/>
      <w:szCs w:val="20"/>
    </w:rPr>
  </w:style>
  <w:style w:type="character" w:styleId="1339" w:customStyle="1">
    <w:name w:val="明显参考1"/>
    <w:uiPriority w:val="0"/>
    <w:qFormat/>
    <w:rPr>
      <w:b/>
      <w:bCs/>
      <w:smallCaps/>
      <w:color w:val="c0504d"/>
      <w:spacing w:val="5"/>
      <w:u w:val="single"/>
    </w:rPr>
  </w:style>
  <w:style w:type="character" w:styleId="1340" w:customStyle="1">
    <w:name w:val="批注框文本 Char1"/>
    <w:uiPriority w:val="0"/>
    <w:qFormat/>
    <w:rPr>
      <w:sz w:val="18"/>
      <w:szCs w:val="18"/>
    </w:rPr>
  </w:style>
  <w:style w:type="character" w:styleId="1341" w:customStyle="1">
    <w:name w:val="文档结构图 Char1"/>
    <w:uiPriority w:val="0"/>
    <w:qFormat/>
    <w:rPr>
      <w:rFonts w:ascii="宋体"/>
      <w:sz w:val="18"/>
      <w:szCs w:val="18"/>
    </w:rPr>
  </w:style>
  <w:style w:type="character" w:styleId="1342" w:customStyle="1">
    <w:name w:val="副标题 Char1"/>
    <w:uiPriority w:val="0"/>
    <w:qFormat/>
    <w:rPr>
      <w:rFonts w:ascii="Cambria" w:hAnsi="Cambria" w:cs="Times New Roman"/>
      <w:b/>
      <w:bCs/>
      <w:sz w:val="32"/>
      <w:szCs w:val="32"/>
    </w:rPr>
  </w:style>
  <w:style w:type="character" w:styleId="1343" w:customStyle="1">
    <w:name w:val="明显引用 Char1"/>
    <w:uiPriority w:val="30"/>
    <w:qFormat/>
    <w:rPr>
      <w:rFonts w:ascii="Calibri" w:hAnsi="Calibri"/>
      <w:b/>
      <w:bCs/>
      <w:i/>
      <w:iCs/>
      <w:color w:val="4f81bd"/>
      <w:sz w:val="21"/>
      <w:szCs w:val="22"/>
    </w:rPr>
  </w:style>
  <w:style w:type="character" w:styleId="1344" w:customStyle="1">
    <w:name w:val="引用 Char1"/>
    <w:uiPriority w:val="29"/>
    <w:qFormat/>
    <w:rPr>
      <w:rFonts w:ascii="Calibri" w:hAnsi="Calibri"/>
      <w:i/>
      <w:iCs/>
      <w:color w:val="000000"/>
      <w:sz w:val="21"/>
      <w:szCs w:val="22"/>
    </w:rPr>
  </w:style>
  <w:style w:type="paragraph" w:styleId="1345" w:customStyle="1">
    <w:name w:val="flNote"/>
    <w:basedOn w:val="671"/>
    <w:uiPriority w:val="0"/>
    <w:qFormat/>
    <w:pPr>
      <w:jc w:val="center"/>
      <w:spacing w:before="320" w:after="160" w:line="360" w:lineRule="atLeast"/>
    </w:pPr>
    <w:rPr>
      <w:rFonts w:ascii="Arial" w:hAnsi="Times New Roman" w:eastAsia="黑体"/>
      <w:sz w:val="30"/>
      <w:szCs w:val="20"/>
    </w:rPr>
  </w:style>
  <w:style w:type="paragraph" w:styleId="1346" w:customStyle="1">
    <w:name w:val="空半行"/>
    <w:basedOn w:val="671"/>
    <w:uiPriority w:val="0"/>
    <w:qFormat/>
    <w:pPr>
      <w:spacing w:line="120" w:lineRule="exact"/>
    </w:pPr>
    <w:rPr>
      <w:rFonts w:ascii="Times New Roman" w:hAnsi="Times New Roman" w:eastAsia="仿宋_GB2312"/>
      <w:color w:val="ffffff"/>
      <w:sz w:val="30"/>
      <w:szCs w:val="20"/>
    </w:rPr>
  </w:style>
  <w:style w:type="paragraph" w:styleId="1347" w:customStyle="1">
    <w:name w:val="正文文本缩进_0_0"/>
    <w:basedOn w:val="1047"/>
    <w:uiPriority w:val="0"/>
    <w:qFormat/>
    <w:pPr>
      <w:ind w:left="420"/>
      <w:spacing w:after="120"/>
    </w:pPr>
    <w:rPr>
      <w:szCs w:val="20"/>
    </w:rPr>
  </w:style>
  <w:style w:type="paragraph" w:styleId="1348" w:customStyle="1">
    <w:name w:val="正文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49" w:customStyle="1">
    <w:name w:val="标题 3_0"/>
    <w:basedOn w:val="1054"/>
    <w:next w:val="1054"/>
    <w:link w:val="1350"/>
    <w:uiPriority w:val="0"/>
    <w:semiHidden/>
    <w:unhideWhenUsed/>
    <w:qFormat/>
    <w:pPr>
      <w:keepLines/>
      <w:keepNext/>
      <w:spacing w:before="260" w:after="260" w:line="412" w:lineRule="auto"/>
      <w:outlineLvl w:val="2"/>
    </w:pPr>
    <w:rPr>
      <w:b/>
      <w:sz w:val="32"/>
      <w:szCs w:val="20"/>
      <w:lang w:val="zh-CN"/>
    </w:rPr>
  </w:style>
  <w:style w:type="character" w:styleId="1350" w:customStyle="1">
    <w:name w:val="标题 3 Char_0"/>
    <w:link w:val="1349"/>
    <w:uiPriority w:val="0"/>
    <w:semiHidden/>
    <w:qFormat/>
    <w:rPr>
      <w:rFonts w:ascii="Times New Roman" w:hAnsi="Times New Roman"/>
      <w:b/>
      <w:sz w:val="32"/>
      <w:lang w:val="zh-CN" w:eastAsia="zh-CN"/>
    </w:rPr>
  </w:style>
  <w:style w:type="paragraph" w:styleId="1351" w:customStyle="1">
    <w:name w:val="正文文本缩进 2_1"/>
    <w:basedOn w:val="1054"/>
    <w:link w:val="1352"/>
    <w:uiPriority w:val="0"/>
    <w:semiHidden/>
    <w:unhideWhenUsed/>
    <w:qFormat/>
    <w:pPr>
      <w:ind w:left="420"/>
      <w:spacing w:after="120" w:line="480" w:lineRule="auto"/>
    </w:pPr>
    <w:rPr>
      <w:sz w:val="20"/>
      <w:szCs w:val="20"/>
      <w:lang w:val="zh-CN"/>
    </w:rPr>
  </w:style>
  <w:style w:type="character" w:styleId="1352" w:customStyle="1">
    <w:name w:val="正文文本缩进 2 Char_1"/>
    <w:link w:val="1351"/>
    <w:uiPriority w:val="0"/>
    <w:semiHidden/>
    <w:qFormat/>
    <w:rPr>
      <w:rFonts w:ascii="Times New Roman" w:hAnsi="Times New Roman"/>
      <w:lang w:val="zh-CN" w:eastAsia="zh-CN"/>
    </w:rPr>
  </w:style>
  <w:style w:type="paragraph" w:styleId="1353" w:customStyle="1">
    <w:name w:val="标题 4_0"/>
    <w:basedOn w:val="1054"/>
    <w:next w:val="1054"/>
    <w:link w:val="1354"/>
    <w:uiPriority w:val="0"/>
    <w:semiHidden/>
    <w:unhideWhenUsed/>
    <w:qFormat/>
    <w:pPr>
      <w:keepLines/>
      <w:keepNext/>
      <w:spacing w:before="280" w:after="290" w:line="372" w:lineRule="auto"/>
      <w:outlineLvl w:val="3"/>
    </w:pPr>
    <w:rPr>
      <w:rFonts w:ascii="Arial" w:hAnsi="Arial" w:eastAsia="黑体"/>
      <w:b/>
      <w:sz w:val="28"/>
      <w:szCs w:val="20"/>
      <w:lang w:val="zh-CN"/>
    </w:rPr>
  </w:style>
  <w:style w:type="character" w:styleId="1354" w:customStyle="1">
    <w:name w:val="标题 4 Char_0"/>
    <w:link w:val="1353"/>
    <w:uiPriority w:val="0"/>
    <w:semiHidden/>
    <w:qFormat/>
    <w:rPr>
      <w:rFonts w:ascii="Arial" w:hAnsi="Arial" w:eastAsia="黑体"/>
      <w:b/>
      <w:sz w:val="28"/>
      <w:lang w:val="zh-CN" w:eastAsia="zh-CN"/>
    </w:rPr>
  </w:style>
  <w:style w:type="paragraph" w:styleId="1355" w:customStyle="1">
    <w:name w:val="正文文本_1"/>
    <w:basedOn w:val="1054"/>
    <w:link w:val="1356"/>
    <w:uiPriority w:val="0"/>
    <w:unhideWhenUsed/>
    <w:qFormat/>
    <w:pPr>
      <w:spacing w:after="120"/>
    </w:pPr>
    <w:rPr>
      <w:sz w:val="20"/>
      <w:szCs w:val="20"/>
      <w:lang w:val="zh-CN"/>
    </w:rPr>
  </w:style>
  <w:style w:type="character" w:styleId="1356" w:customStyle="1">
    <w:name w:val="正文文本 Char_1"/>
    <w:link w:val="1355"/>
    <w:uiPriority w:val="0"/>
    <w:qFormat/>
    <w:rPr>
      <w:rFonts w:ascii="Times New Roman" w:hAnsi="Times New Roman"/>
      <w:lang w:val="zh-CN" w:eastAsia="zh-CN"/>
    </w:rPr>
  </w:style>
  <w:style w:type="paragraph" w:styleId="1357" w:customStyle="1">
    <w:name w:val="样式 标题 2 + Times New Roman 四号 非加粗 段前: 5 磅 段后: 0 磅 行距: 固定值 20..._1"/>
    <w:basedOn w:val="1358"/>
    <w:uiPriority w:val="0"/>
    <w:qFormat/>
    <w:pPr>
      <w:spacing w:before="100" w:after="0" w:line="400" w:lineRule="exact"/>
    </w:pPr>
    <w:rPr>
      <w:rFonts w:ascii="Times New Roman" w:hAnsi="Times New Roman" w:cs="宋体"/>
      <w:b w:val="0"/>
      <w:bCs/>
      <w:sz w:val="28"/>
    </w:rPr>
  </w:style>
  <w:style w:type="paragraph" w:styleId="1358" w:customStyle="1">
    <w:name w:val="标题 2_1"/>
    <w:basedOn w:val="1056"/>
    <w:next w:val="1056"/>
    <w:link w:val="1359"/>
    <w:uiPriority w:val="0"/>
    <w:qFormat/>
    <w:pPr>
      <w:keepLines/>
      <w:keepNext/>
      <w:spacing w:before="260" w:after="260" w:line="413" w:lineRule="auto"/>
      <w:outlineLvl w:val="1"/>
    </w:pPr>
    <w:rPr>
      <w:rFonts w:ascii="Arial" w:hAnsi="Arial" w:eastAsia="黑体"/>
      <w:b/>
      <w:sz w:val="32"/>
      <w:lang w:val="zh-CN"/>
    </w:rPr>
  </w:style>
  <w:style w:type="character" w:styleId="1359" w:customStyle="1">
    <w:name w:val="标题 2 Char_1"/>
    <w:link w:val="1358"/>
    <w:uiPriority w:val="0"/>
    <w:qFormat/>
    <w:rPr>
      <w:rFonts w:ascii="Arial" w:hAnsi="Arial" w:eastAsia="黑体"/>
      <w:b/>
      <w:sz w:val="32"/>
      <w:lang w:val="zh-CN" w:eastAsia="zh-CN"/>
    </w:rPr>
  </w:style>
  <w:style w:type="paragraph" w:styleId="1360" w:customStyle="1">
    <w:name w:val="正文2"/>
    <w:uiPriority w:val="0"/>
    <w:qFormat/>
    <w:rPr>
      <w:rFonts w:ascii="Times New Roman" w:hAnsi="Times New Roman" w:eastAsia="Times New Roman" w:cs="Times New Roman"/>
      <w:sz w:val="24"/>
      <w:szCs w:val="24"/>
      <w:lang w:val="en-US" w:eastAsia="zh-CN" w:bidi="ar-SA"/>
    </w:rPr>
  </w:style>
  <w:style w:type="paragraph" w:styleId="1361" w:customStyle="1">
    <w:name w:val="正文_6_0"/>
    <w:uiPriority w:val="0"/>
    <w:qFormat/>
    <w:pPr>
      <w:jc w:val="both"/>
      <w:widowControl w:val="off"/>
    </w:pPr>
    <w:rPr>
      <w:rFonts w:ascii="Times New Roman" w:hAnsi="Times New Roman" w:eastAsia="宋体" w:cs="Times New Roman"/>
      <w:sz w:val="21"/>
      <w:szCs w:val="24"/>
      <w:lang w:val="en-US" w:eastAsia="zh-CN" w:bidi="ar-SA"/>
    </w:rPr>
  </w:style>
  <w:style w:type="paragraph" w:styleId="1362" w:customStyle="1">
    <w:name w:val="样式 标题 3 + (中文) 黑体 小四 非加粗 段前: 7.8 磅 段后: 0 磅 行距: 固定值 20 磅_0"/>
    <w:basedOn w:val="1363"/>
    <w:uiPriority w:val="0"/>
    <w:qFormat/>
    <w:pPr>
      <w:spacing w:before="0" w:after="0" w:line="400" w:lineRule="exact"/>
    </w:pPr>
    <w:rPr>
      <w:rFonts w:eastAsia="黑体"/>
      <w:b w:val="0"/>
      <w:bCs w:val="0"/>
      <w:sz w:val="24"/>
      <w:szCs w:val="20"/>
    </w:rPr>
  </w:style>
  <w:style w:type="paragraph" w:styleId="1363" w:customStyle="1">
    <w:name w:val="标题 3_1"/>
    <w:basedOn w:val="1062"/>
    <w:next w:val="1062"/>
    <w:link w:val="1364"/>
    <w:uiPriority w:val="0"/>
    <w:qFormat/>
    <w:pPr>
      <w:keepLines/>
      <w:keepNext/>
      <w:spacing w:before="260" w:after="260" w:line="416" w:lineRule="auto"/>
      <w:outlineLvl w:val="2"/>
    </w:pPr>
    <w:rPr>
      <w:b/>
      <w:bCs/>
      <w:sz w:val="32"/>
      <w:szCs w:val="32"/>
    </w:rPr>
  </w:style>
  <w:style w:type="character" w:styleId="1364" w:customStyle="1">
    <w:name w:val="标题 3 字符"/>
    <w:link w:val="1363"/>
    <w:uiPriority w:val="0"/>
    <w:qFormat/>
    <w:rPr>
      <w:rFonts w:ascii="Times New Roman" w:hAnsi="Times New Roman"/>
      <w:b/>
      <w:bCs/>
      <w:sz w:val="32"/>
      <w:szCs w:val="32"/>
    </w:rPr>
  </w:style>
  <w:style w:type="paragraph" w:styleId="1365" w:customStyle="1">
    <w:name w:val="目录 1_0"/>
    <w:basedOn w:val="1062"/>
    <w:next w:val="1062"/>
    <w:uiPriority w:val="39"/>
    <w:qFormat/>
    <w:pPr>
      <w:jc w:val="center"/>
      <w:spacing w:line="440" w:lineRule="exact"/>
    </w:pPr>
  </w:style>
  <w:style w:type="paragraph" w:styleId="1366" w:customStyle="1">
    <w:name w:val="样式 标题 3 + (中文) 黑体 小四 非加粗 段前: 7.8 磅 段后: 0 磅 行距: 固定值 20 磅_0_0"/>
    <w:basedOn w:val="1367"/>
    <w:uiPriority w:val="0"/>
    <w:qFormat/>
    <w:pPr>
      <w:spacing w:before="0" w:after="0" w:line="400" w:lineRule="exact"/>
    </w:pPr>
    <w:rPr>
      <w:rFonts w:eastAsia="黑体"/>
      <w:b w:val="0"/>
      <w:bCs w:val="0"/>
      <w:sz w:val="24"/>
      <w:szCs w:val="20"/>
    </w:rPr>
  </w:style>
  <w:style w:type="paragraph" w:styleId="1367" w:customStyle="1">
    <w:name w:val="标题 3_0_0"/>
    <w:basedOn w:val="1068"/>
    <w:next w:val="1068"/>
    <w:link w:val="1368"/>
    <w:uiPriority w:val="0"/>
    <w:qFormat/>
    <w:pPr>
      <w:keepLines/>
      <w:keepNext/>
      <w:spacing w:before="260" w:after="260" w:line="416" w:lineRule="auto"/>
      <w:outlineLvl w:val="2"/>
    </w:pPr>
    <w:rPr>
      <w:b/>
      <w:bCs/>
      <w:sz w:val="32"/>
      <w:szCs w:val="32"/>
    </w:rPr>
  </w:style>
  <w:style w:type="character" w:styleId="1368" w:customStyle="1">
    <w:name w:val="标题 3 字符_0"/>
    <w:link w:val="1367"/>
    <w:uiPriority w:val="0"/>
    <w:qFormat/>
    <w:rPr>
      <w:rFonts w:ascii="Times New Roman" w:hAnsi="Times New Roman"/>
      <w:b/>
      <w:bCs/>
      <w:sz w:val="32"/>
      <w:szCs w:val="32"/>
    </w:rPr>
  </w:style>
  <w:style w:type="paragraph" w:styleId="1369" w:customStyle="1">
    <w:name w:val="样式 标题 3 + (中文) 黑体 小四 非加粗 段前: 7.8 磅 段后: 0 磅 行距: 固定值 20 磅_1"/>
    <w:basedOn w:val="1370"/>
    <w:uiPriority w:val="0"/>
    <w:qFormat/>
    <w:pPr>
      <w:spacing w:before="0" w:after="0" w:line="400" w:lineRule="exact"/>
    </w:pPr>
    <w:rPr>
      <w:rFonts w:eastAsia="黑体"/>
      <w:b w:val="0"/>
      <w:bCs w:val="0"/>
      <w:sz w:val="24"/>
      <w:szCs w:val="20"/>
    </w:rPr>
  </w:style>
  <w:style w:type="paragraph" w:styleId="1370" w:customStyle="1">
    <w:name w:val="标题 3_1_0"/>
    <w:basedOn w:val="1070"/>
    <w:next w:val="1070"/>
    <w:link w:val="1371"/>
    <w:uiPriority w:val="0"/>
    <w:qFormat/>
    <w:pPr>
      <w:keepLines/>
      <w:keepNext/>
      <w:spacing w:before="260" w:after="260" w:line="416" w:lineRule="auto"/>
      <w:outlineLvl w:val="2"/>
    </w:pPr>
    <w:rPr>
      <w:b/>
      <w:bCs/>
      <w:sz w:val="32"/>
      <w:szCs w:val="32"/>
    </w:rPr>
  </w:style>
  <w:style w:type="character" w:styleId="1371" w:customStyle="1">
    <w:name w:val="标题 3 字符_1"/>
    <w:link w:val="1370"/>
    <w:uiPriority w:val="0"/>
    <w:qFormat/>
    <w:rPr>
      <w:rFonts w:ascii="Times New Roman" w:hAnsi="Times New Roman"/>
      <w:b/>
      <w:bCs/>
      <w:sz w:val="32"/>
      <w:szCs w:val="32"/>
    </w:rPr>
  </w:style>
  <w:style w:type="paragraph" w:styleId="1372" w:customStyle="1">
    <w:name w:val="样式 标题 3 + (中文) 黑体 小四 非加粗 段前: 7.8 磅 段后: 0 磅 行距: 固定值 20 磅_2"/>
    <w:basedOn w:val="1373"/>
    <w:uiPriority w:val="0"/>
    <w:qFormat/>
    <w:pPr>
      <w:spacing w:before="0" w:after="0" w:line="400" w:lineRule="exact"/>
    </w:pPr>
    <w:rPr>
      <w:rFonts w:eastAsia="黑体"/>
      <w:b w:val="0"/>
      <w:bCs w:val="0"/>
      <w:sz w:val="24"/>
      <w:szCs w:val="20"/>
    </w:rPr>
  </w:style>
  <w:style w:type="paragraph" w:styleId="1373" w:customStyle="1">
    <w:name w:val="标题 3_2"/>
    <w:basedOn w:val="1072"/>
    <w:next w:val="1072"/>
    <w:link w:val="1374"/>
    <w:uiPriority w:val="0"/>
    <w:qFormat/>
    <w:pPr>
      <w:keepLines/>
      <w:keepNext/>
      <w:spacing w:before="260" w:after="260" w:line="416" w:lineRule="auto"/>
      <w:outlineLvl w:val="2"/>
    </w:pPr>
    <w:rPr>
      <w:b/>
      <w:bCs/>
      <w:sz w:val="32"/>
      <w:szCs w:val="32"/>
    </w:rPr>
  </w:style>
  <w:style w:type="character" w:styleId="1374" w:customStyle="1">
    <w:name w:val="标题 3 字符_2"/>
    <w:link w:val="1373"/>
    <w:uiPriority w:val="0"/>
    <w:qFormat/>
    <w:rPr>
      <w:rFonts w:ascii="Times New Roman" w:hAnsi="Times New Roman"/>
      <w:b/>
      <w:bCs/>
      <w:sz w:val="32"/>
      <w:szCs w:val="32"/>
    </w:rPr>
  </w:style>
  <w:style w:type="paragraph" w:styleId="1375" w:customStyle="1">
    <w:name w:val="样式 标题 3 + (中文) 黑体 小四 非加粗 段前: 7.8 磅 段后: 0 磅 行距: 固定值 20 磅_3"/>
    <w:basedOn w:val="1376"/>
    <w:uiPriority w:val="0"/>
    <w:qFormat/>
    <w:pPr>
      <w:spacing w:before="0" w:after="0" w:line="400" w:lineRule="exact"/>
    </w:pPr>
    <w:rPr>
      <w:rFonts w:eastAsia="黑体"/>
      <w:b w:val="0"/>
      <w:bCs w:val="0"/>
      <w:sz w:val="24"/>
      <w:szCs w:val="20"/>
    </w:rPr>
  </w:style>
  <w:style w:type="paragraph" w:styleId="1376" w:customStyle="1">
    <w:name w:val="标题 3_3"/>
    <w:basedOn w:val="1074"/>
    <w:next w:val="1074"/>
    <w:link w:val="1377"/>
    <w:uiPriority w:val="0"/>
    <w:qFormat/>
    <w:pPr>
      <w:keepLines/>
      <w:keepNext/>
      <w:spacing w:before="260" w:after="260" w:line="416" w:lineRule="auto"/>
      <w:outlineLvl w:val="2"/>
    </w:pPr>
    <w:rPr>
      <w:b/>
      <w:bCs/>
      <w:sz w:val="32"/>
      <w:szCs w:val="32"/>
    </w:rPr>
  </w:style>
  <w:style w:type="character" w:styleId="1377" w:customStyle="1">
    <w:name w:val="标题 3 字符_3"/>
    <w:link w:val="1376"/>
    <w:uiPriority w:val="0"/>
    <w:qFormat/>
    <w:rPr>
      <w:rFonts w:ascii="Times New Roman" w:hAnsi="Times New Roman"/>
      <w:b/>
      <w:bCs/>
      <w:sz w:val="32"/>
      <w:szCs w:val="32"/>
    </w:rPr>
  </w:style>
  <w:style w:type="paragraph" w:styleId="1378" w:customStyle="1">
    <w:name w:val="样式 标题 3 + (中文) 黑体 小四 非加粗 段前: 7.8 磅 段后: 0 磅 行距: 固定值 20 磅_4"/>
    <w:basedOn w:val="1379"/>
    <w:uiPriority w:val="0"/>
    <w:qFormat/>
    <w:pPr>
      <w:spacing w:before="0" w:after="0" w:line="400" w:lineRule="exact"/>
    </w:pPr>
    <w:rPr>
      <w:rFonts w:eastAsia="黑体"/>
      <w:b w:val="0"/>
      <w:bCs w:val="0"/>
      <w:sz w:val="24"/>
      <w:szCs w:val="20"/>
    </w:rPr>
  </w:style>
  <w:style w:type="paragraph" w:styleId="1379" w:customStyle="1">
    <w:name w:val="标题 3_4"/>
    <w:basedOn w:val="1076"/>
    <w:next w:val="1076"/>
    <w:link w:val="1380"/>
    <w:uiPriority w:val="0"/>
    <w:qFormat/>
    <w:pPr>
      <w:keepLines/>
      <w:keepNext/>
      <w:spacing w:before="260" w:after="260" w:line="416" w:lineRule="auto"/>
      <w:outlineLvl w:val="2"/>
    </w:pPr>
    <w:rPr>
      <w:b/>
      <w:bCs/>
      <w:sz w:val="32"/>
      <w:szCs w:val="32"/>
    </w:rPr>
  </w:style>
  <w:style w:type="character" w:styleId="1380" w:customStyle="1">
    <w:name w:val="标题 3 字符_4"/>
    <w:link w:val="1379"/>
    <w:uiPriority w:val="0"/>
    <w:qFormat/>
    <w:rPr>
      <w:rFonts w:ascii="Times New Roman" w:hAnsi="Times New Roman"/>
      <w:b/>
      <w:bCs/>
      <w:sz w:val="32"/>
      <w:szCs w:val="32"/>
    </w:rPr>
  </w:style>
  <w:style w:type="paragraph" w:styleId="1381" w:customStyle="1">
    <w:name w:val="样式 标题 3 + (中文) 黑体 小四 非加粗 段前: 7.8 磅 段后: 0 磅 行距: 固定值 20 磅_5"/>
    <w:basedOn w:val="1382"/>
    <w:uiPriority w:val="0"/>
    <w:qFormat/>
    <w:pPr>
      <w:spacing w:before="0" w:after="0" w:line="400" w:lineRule="exact"/>
    </w:pPr>
    <w:rPr>
      <w:rFonts w:eastAsia="黑体"/>
      <w:b w:val="0"/>
      <w:sz w:val="24"/>
      <w:szCs w:val="20"/>
    </w:rPr>
  </w:style>
  <w:style w:type="paragraph" w:styleId="1382" w:customStyle="1">
    <w:name w:val="标题 3_5"/>
    <w:basedOn w:val="1078"/>
    <w:next w:val="1078"/>
    <w:link w:val="1383"/>
    <w:uiPriority w:val="9"/>
    <w:semiHidden/>
    <w:unhideWhenUsed/>
    <w:qFormat/>
    <w:pPr>
      <w:keepLines/>
      <w:keepNext/>
      <w:spacing w:before="260" w:after="260" w:line="416" w:lineRule="auto"/>
      <w:outlineLvl w:val="2"/>
    </w:pPr>
    <w:rPr>
      <w:b/>
      <w:bCs/>
      <w:sz w:val="32"/>
      <w:szCs w:val="32"/>
      <w:lang w:val="zh-CN"/>
    </w:rPr>
  </w:style>
  <w:style w:type="character" w:styleId="1383" w:customStyle="1">
    <w:name w:val="标题 3 Char_1"/>
    <w:link w:val="1382"/>
    <w:uiPriority w:val="9"/>
    <w:semiHidden/>
    <w:qFormat/>
    <w:rPr>
      <w:rFonts w:ascii="Times New Roman" w:hAnsi="Times New Roman"/>
      <w:b/>
      <w:bCs/>
      <w:sz w:val="32"/>
      <w:szCs w:val="32"/>
      <w:lang w:val="zh-CN" w:eastAsia="zh-CN"/>
    </w:rPr>
  </w:style>
  <w:style w:type="paragraph" w:styleId="1384" w:customStyle="1">
    <w:name w:val="列表接续 2_0"/>
    <w:basedOn w:val="1079"/>
    <w:uiPriority w:val="0"/>
    <w:qFormat/>
    <w:pPr>
      <w:ind w:left="840"/>
      <w:spacing w:after="120"/>
    </w:pPr>
    <w:rPr>
      <w:rFonts w:ascii="Times New Roman" w:hAnsi="Times New Roman"/>
      <w:szCs w:val="24"/>
    </w:rPr>
  </w:style>
  <w:style w:type="paragraph" w:styleId="1385" w:customStyle="1">
    <w:name w:val="正文_20"/>
    <w:uiPriority w:val="0"/>
    <w:qFormat/>
    <w:pPr>
      <w:jc w:val="both"/>
      <w:widowControl w:val="off"/>
    </w:pPr>
    <w:rPr>
      <w:rFonts w:ascii="Times New Roman" w:hAnsi="Times New Roman" w:eastAsia="宋体" w:cs="Times New Roman"/>
      <w:sz w:val="21"/>
      <w:szCs w:val="24"/>
      <w:lang w:val="en-US" w:eastAsia="zh-CN" w:bidi="ar-SA"/>
    </w:rPr>
  </w:style>
  <w:style w:type="paragraph" w:styleId="1386" w:customStyle="1">
    <w:name w:val="标题 1_0"/>
    <w:basedOn w:val="1044"/>
    <w:next w:val="1044"/>
    <w:link w:val="1387"/>
    <w:uiPriority w:val="0"/>
    <w:qFormat/>
    <w:pPr>
      <w:keepLines/>
      <w:keepNext/>
      <w:spacing w:before="340" w:after="330" w:line="576" w:lineRule="auto"/>
      <w:outlineLvl w:val="0"/>
    </w:pPr>
    <w:rPr>
      <w:b/>
      <w:bCs/>
      <w:sz w:val="44"/>
      <w:szCs w:val="44"/>
    </w:rPr>
  </w:style>
  <w:style w:type="character" w:styleId="1387" w:customStyle="1">
    <w:name w:val="标题 1 Char_0"/>
    <w:link w:val="1386"/>
    <w:uiPriority w:val="0"/>
    <w:qFormat/>
    <w:rPr>
      <w:rFonts w:ascii="Times New Roman" w:hAnsi="Times New Roman"/>
      <w:b/>
      <w:bCs/>
      <w:sz w:val="44"/>
      <w:szCs w:val="44"/>
    </w:rPr>
  </w:style>
  <w:style w:type="paragraph" w:styleId="1388" w:customStyle="1">
    <w:name w:val="正文_21"/>
    <w:uiPriority w:val="0"/>
    <w:qFormat/>
    <w:pPr>
      <w:jc w:val="both"/>
      <w:widowControl w:val="off"/>
    </w:pPr>
    <w:rPr>
      <w:rFonts w:ascii="Calibri" w:hAnsi="Calibri" w:eastAsia="宋体" w:cs="Times New Roman"/>
      <w:lang w:val="en-US" w:eastAsia="zh-CN" w:bidi="ar-SA"/>
    </w:rPr>
  </w:style>
  <w:style w:type="paragraph" w:styleId="1389" w:customStyle="1">
    <w:name w:val="GW-正文"/>
    <w:basedOn w:val="1388"/>
    <w:link w:val="1390"/>
    <w:uiPriority w:val="0"/>
    <w:qFormat/>
    <w:rPr>
      <w:rFonts w:eastAsia="Times New Roman"/>
    </w:rPr>
  </w:style>
  <w:style w:type="character" w:styleId="1390" w:customStyle="1">
    <w:name w:val="GW-正文 Char"/>
    <w:link w:val="1389"/>
    <w:uiPriority w:val="0"/>
    <w:qFormat/>
    <w:rPr>
      <w:rFonts w:eastAsia="Times New Roman"/>
    </w:rPr>
  </w:style>
  <w:style w:type="paragraph" w:styleId="1391" w:customStyle="1">
    <w:name w:val="正文文本_2"/>
    <w:basedOn w:val="1388"/>
    <w:link w:val="1392"/>
    <w:uiPriority w:val="0"/>
    <w:unhideWhenUsed/>
    <w:qFormat/>
    <w:pPr>
      <w:spacing w:after="120"/>
    </w:pPr>
    <w:rPr>
      <w:rFonts w:eastAsia="Times New Roman" w:cs="Calibri"/>
      <w:lang w:val="zh-CN"/>
    </w:rPr>
  </w:style>
  <w:style w:type="character" w:styleId="1392" w:customStyle="1">
    <w:name w:val="正文文本 Char_2"/>
    <w:link w:val="1391"/>
    <w:uiPriority w:val="0"/>
    <w:qFormat/>
    <w:rPr>
      <w:rFonts w:eastAsia="Times New Roman" w:cs="Calibri"/>
      <w:lang w:val="zh-CN" w:eastAsia="zh-CN"/>
    </w:rPr>
  </w:style>
  <w:style w:type="paragraph" w:styleId="1393" w:customStyle="1">
    <w:name w:val="样式 标题 2 + Times New Roman 四号 非加粗 段前: 5 磅 段后: 0 磅 行距: 固定值 20..._1_0"/>
    <w:basedOn w:val="1394"/>
    <w:uiPriority w:val="0"/>
    <w:qFormat/>
    <w:pPr>
      <w:keepLines/>
      <w:keepNext/>
      <w:spacing w:before="100" w:line="400" w:lineRule="exact"/>
      <w:outlineLvl w:val="1"/>
    </w:pPr>
    <w:rPr>
      <w:rFonts w:eastAsia="黑体" w:cs="宋体"/>
      <w:bCs/>
      <w:sz w:val="28"/>
      <w:szCs w:val="20"/>
      <w:lang w:val="zh-CN"/>
    </w:rPr>
  </w:style>
  <w:style w:type="paragraph" w:styleId="1394" w:customStyle="1">
    <w:name w:val="正文_22"/>
    <w:uiPriority w:val="0"/>
    <w:qFormat/>
    <w:pPr>
      <w:jc w:val="both"/>
      <w:widowControl w:val="off"/>
    </w:pPr>
    <w:rPr>
      <w:rFonts w:ascii="Times New Roman" w:hAnsi="Times New Roman" w:eastAsia="宋体" w:cs="Times New Roman"/>
      <w:sz w:val="21"/>
      <w:szCs w:val="22"/>
      <w:lang w:val="en-US" w:eastAsia="zh-CN" w:bidi="ar-SA"/>
    </w:rPr>
  </w:style>
  <w:style w:type="paragraph" w:styleId="1395" w:customStyle="1">
    <w:name w:val="正文_5_1"/>
    <w:uiPriority w:val="0"/>
    <w:qFormat/>
    <w:pPr>
      <w:jc w:val="both"/>
      <w:widowControl w:val="off"/>
    </w:pPr>
    <w:rPr>
      <w:rFonts w:ascii="Times New Roman" w:hAnsi="Times New Roman" w:eastAsia="宋体" w:cs="Times New Roman"/>
      <w:sz w:val="21"/>
      <w:lang w:val="en-US" w:eastAsia="zh-CN" w:bidi="ar-SA"/>
    </w:rPr>
  </w:style>
  <w:style w:type="paragraph" w:styleId="1396" w:customStyle="1">
    <w:name w:val="正文_6_1"/>
    <w:uiPriority w:val="0"/>
    <w:qFormat/>
    <w:pPr>
      <w:jc w:val="both"/>
      <w:widowControl w:val="off"/>
    </w:pPr>
    <w:rPr>
      <w:rFonts w:ascii="Calibri" w:hAnsi="Calibri" w:eastAsia="宋体" w:cs="Times New Roman"/>
      <w:sz w:val="21"/>
      <w:szCs w:val="22"/>
      <w:lang w:val="en-US" w:eastAsia="zh-CN" w:bidi="ar-SA"/>
    </w:rPr>
  </w:style>
  <w:style w:type="paragraph" w:styleId="1397" w:customStyle="1">
    <w:name w:val="正文_23"/>
    <w:uiPriority w:val="0"/>
    <w:qFormat/>
    <w:pPr>
      <w:jc w:val="both"/>
      <w:widowControl w:val="off"/>
    </w:pPr>
    <w:rPr>
      <w:rFonts w:ascii="Calibri" w:hAnsi="Calibri" w:eastAsia="宋体" w:cs="Times New Roman"/>
      <w:sz w:val="21"/>
      <w:szCs w:val="22"/>
      <w:lang w:val="en-US" w:eastAsia="zh-CN" w:bidi="ar-SA"/>
    </w:rPr>
  </w:style>
  <w:style w:type="paragraph" w:styleId="1398" w:customStyle="1">
    <w:name w:val="正文_0_2_0"/>
    <w:uiPriority w:val="0"/>
    <w:qFormat/>
    <w:pPr>
      <w:jc w:val="both"/>
      <w:widowControl w:val="off"/>
    </w:pPr>
    <w:rPr>
      <w:rFonts w:ascii="Times New Roman" w:hAnsi="Times New Roman" w:eastAsia="宋体" w:cs="Times New Roman"/>
      <w:sz w:val="21"/>
      <w:szCs w:val="24"/>
      <w:lang w:val="en-US" w:eastAsia="zh-CN" w:bidi="ar-SA"/>
    </w:rPr>
  </w:style>
  <w:style w:type="paragraph" w:styleId="1399" w:customStyle="1">
    <w:name w:val="正文_0_3"/>
    <w:uiPriority w:val="0"/>
    <w:qFormat/>
    <w:pPr>
      <w:jc w:val="both"/>
      <w:widowControl w:val="off"/>
    </w:pPr>
    <w:rPr>
      <w:rFonts w:ascii="Calibri" w:hAnsi="Calibri" w:eastAsia="宋体" w:cs="Times New Roman"/>
      <w:sz w:val="21"/>
      <w:szCs w:val="22"/>
      <w:lang w:val="en-US" w:eastAsia="zh-CN" w:bidi="ar-SA"/>
    </w:rPr>
  </w:style>
  <w:style w:type="paragraph" w:styleId="1400" w:customStyle="1">
    <w:name w:val="正文_1_1_0"/>
    <w:uiPriority w:val="0"/>
    <w:qFormat/>
    <w:pPr>
      <w:jc w:val="both"/>
      <w:widowControl w:val="off"/>
    </w:pPr>
    <w:rPr>
      <w:rFonts w:ascii="Times New Roman" w:hAnsi="Times New Roman" w:eastAsia="宋体" w:cs="Times New Roman"/>
      <w:sz w:val="21"/>
      <w:szCs w:val="24"/>
      <w:lang w:val="en-US" w:eastAsia="zh-CN" w:bidi="ar-SA"/>
    </w:rPr>
  </w:style>
  <w:style w:type="paragraph" w:styleId="1401"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02" w:customStyle="1">
    <w:name w:val="正文_1_2"/>
    <w:uiPriority w:val="0"/>
    <w:qFormat/>
    <w:pPr>
      <w:jc w:val="both"/>
      <w:widowControl w:val="off"/>
    </w:pPr>
    <w:rPr>
      <w:rFonts w:ascii="Calibri" w:hAnsi="Calibri" w:eastAsia="宋体" w:cs="Times New Roman"/>
      <w:sz w:val="21"/>
      <w:szCs w:val="22"/>
      <w:lang w:val="en-US" w:eastAsia="zh-CN" w:bidi="ar-SA"/>
    </w:rPr>
  </w:style>
  <w:style w:type="paragraph" w:styleId="1403" w:customStyle="1">
    <w:name w:val="正文_2_1_0_0"/>
    <w:uiPriority w:val="0"/>
    <w:qFormat/>
    <w:pPr>
      <w:jc w:val="both"/>
      <w:widowControl w:val="off"/>
    </w:pPr>
    <w:rPr>
      <w:rFonts w:ascii="Times New Roman" w:hAnsi="Times New Roman" w:eastAsia="宋体" w:cs="Times New Roman"/>
      <w:sz w:val="21"/>
      <w:szCs w:val="22"/>
      <w:lang w:val="en-US" w:eastAsia="zh-CN" w:bidi="ar-SA"/>
    </w:rPr>
  </w:style>
  <w:style w:type="paragraph" w:styleId="1404"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405" w:customStyle="1">
    <w:name w:val="目录 1_0_0"/>
    <w:basedOn w:val="1099"/>
    <w:next w:val="1099"/>
    <w:uiPriority w:val="39"/>
    <w:qFormat/>
    <w:pPr>
      <w:spacing w:line="410" w:lineRule="atLeast"/>
      <w:widowControl w:val="off"/>
    </w:pPr>
    <w:rPr>
      <w:rFonts w:ascii="宋体" w:eastAsia="宋体"/>
      <w:szCs w:val="20"/>
    </w:rPr>
  </w:style>
  <w:style w:type="paragraph" w:styleId="1406" w:customStyle="1">
    <w:name w:val="GW-正文_0"/>
    <w:basedOn w:val="1407"/>
    <w:link w:val="1408"/>
    <w:uiPriority w:val="0"/>
    <w:qFormat/>
    <w:pPr>
      <w:contextualSpacing/>
      <w:ind w:firstLine="200"/>
      <w:spacing w:line="360" w:lineRule="auto"/>
    </w:pPr>
    <w:rPr>
      <w:szCs w:val="24"/>
      <w:lang w:val="zh-CN"/>
    </w:rPr>
  </w:style>
  <w:style w:type="paragraph" w:styleId="1407" w:customStyle="1">
    <w:name w:val="正文_2_1"/>
    <w:uiPriority w:val="0"/>
    <w:qFormat/>
    <w:pPr>
      <w:jc w:val="both"/>
      <w:widowControl w:val="off"/>
    </w:pPr>
    <w:rPr>
      <w:rFonts w:ascii="Calibri" w:hAnsi="Calibri" w:eastAsia="宋体" w:cs="Times New Roman"/>
      <w:sz w:val="21"/>
      <w:szCs w:val="22"/>
      <w:lang w:val="en-US" w:eastAsia="zh-CN" w:bidi="ar-SA"/>
    </w:rPr>
  </w:style>
  <w:style w:type="character" w:styleId="1408" w:customStyle="1">
    <w:name w:val="GW-正文 Char_0"/>
    <w:link w:val="1406"/>
    <w:uiPriority w:val="0"/>
    <w:qFormat/>
    <w:rPr>
      <w:sz w:val="21"/>
      <w:szCs w:val="24"/>
      <w:lang w:val="zh-CN" w:eastAsia="zh-CN"/>
    </w:rPr>
  </w:style>
  <w:style w:type="paragraph" w:styleId="1409"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10" w:customStyle="1">
    <w:name w:val="正文_3_1"/>
    <w:uiPriority w:val="0"/>
    <w:qFormat/>
    <w:pPr>
      <w:spacing w:after="160" w:line="259" w:lineRule="auto"/>
    </w:pPr>
    <w:rPr>
      <w:rFonts w:ascii="Calibri" w:hAnsi="Calibri" w:eastAsia="宋体" w:cs="Times New Roman"/>
      <w:sz w:val="22"/>
      <w:szCs w:val="22"/>
      <w:lang w:val="en-US" w:eastAsia="zh-CN" w:bidi="ar-SA"/>
    </w:rPr>
  </w:style>
  <w:style w:type="paragraph" w:styleId="1411" w:customStyle="1">
    <w:name w:val="正文_5_2"/>
    <w:uiPriority w:val="0"/>
    <w:qFormat/>
    <w:pPr>
      <w:jc w:val="both"/>
      <w:widowControl w:val="off"/>
    </w:pPr>
    <w:rPr>
      <w:rFonts w:ascii="Calibri" w:hAnsi="Calibri" w:eastAsia="宋体" w:cs="Times New Roman"/>
      <w:sz w:val="21"/>
      <w:szCs w:val="22"/>
      <w:lang w:val="en-US" w:eastAsia="zh-CN" w:bidi="ar-SA"/>
    </w:rPr>
  </w:style>
  <w:style w:type="paragraph" w:styleId="1412"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413" w:customStyle="1">
    <w:name w:val="正文_16_1"/>
    <w:uiPriority w:val="0"/>
    <w:qFormat/>
    <w:pPr>
      <w:jc w:val="both"/>
      <w:widowControl w:val="off"/>
    </w:pPr>
    <w:rPr>
      <w:rFonts w:ascii="Calibri" w:hAnsi="Calibri" w:eastAsia="宋体" w:cs="Times New Roman"/>
      <w:szCs w:val="24"/>
      <w:lang w:val="en-US" w:eastAsia="zh-CN" w:bidi="ar-SA"/>
    </w:rPr>
  </w:style>
  <w:style w:type="paragraph" w:styleId="1414" w:customStyle="1">
    <w:name w:val="正文_15_1"/>
    <w:uiPriority w:val="0"/>
    <w:qFormat/>
    <w:pPr>
      <w:jc w:val="both"/>
      <w:widowControl w:val="off"/>
    </w:pPr>
    <w:rPr>
      <w:rFonts w:ascii="Calibri" w:hAnsi="Calibri" w:eastAsia="宋体" w:cs="Times New Roman"/>
      <w:szCs w:val="24"/>
      <w:lang w:val="en-US" w:eastAsia="zh-CN" w:bidi="ar-SA"/>
    </w:rPr>
  </w:style>
  <w:style w:type="paragraph" w:styleId="1415"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416" w:customStyle="1">
    <w:name w:val="正文_18_0"/>
    <w:uiPriority w:val="0"/>
    <w:qFormat/>
    <w:pPr>
      <w:jc w:val="both"/>
      <w:widowControl w:val="off"/>
    </w:pPr>
    <w:rPr>
      <w:rFonts w:ascii="Calibri" w:hAnsi="Calibri" w:eastAsia="宋体" w:cs="Times New Roman"/>
      <w:sz w:val="21"/>
      <w:szCs w:val="22"/>
      <w:lang w:val="en-US" w:eastAsia="zh-CN" w:bidi="ar-SA"/>
    </w:rPr>
  </w:style>
  <w:style w:type="paragraph" w:styleId="1417" w:customStyle="1">
    <w:name w:val="Normal_22"/>
    <w:uiPriority w:val="0"/>
    <w:qFormat/>
    <w:rPr>
      <w:rFonts w:ascii="黑体" w:hAnsi="黑体" w:eastAsia="黑体" w:cs="Times New Roman"/>
      <w:b/>
      <w:sz w:val="32"/>
      <w:szCs w:val="24"/>
      <w:lang w:val="en-US" w:eastAsia="zh-CN" w:bidi="ar-SA"/>
    </w:rPr>
  </w:style>
  <w:style w:type="paragraph" w:styleId="1418" w:customStyle="1">
    <w:name w:val="Normal_0_4"/>
    <w:uiPriority w:val="0"/>
    <w:qFormat/>
    <w:rPr>
      <w:rFonts w:ascii="黑体" w:hAnsi="黑体" w:eastAsia="黑体" w:cs="Times New Roman"/>
      <w:b/>
      <w:sz w:val="32"/>
      <w:szCs w:val="24"/>
      <w:lang w:val="en-US" w:eastAsia="zh-CN" w:bidi="ar-SA"/>
    </w:rPr>
  </w:style>
  <w:style w:type="paragraph" w:styleId="1419" w:customStyle="1">
    <w:name w:val="正文_20_0"/>
    <w:uiPriority w:val="0"/>
    <w:qFormat/>
    <w:pPr>
      <w:jc w:val="both"/>
      <w:widowControl w:val="off"/>
    </w:pPr>
    <w:rPr>
      <w:rFonts w:ascii="Times New Roman" w:hAnsi="Times New Roman" w:eastAsia="宋体" w:cs="Times New Roman"/>
      <w:sz w:val="21"/>
      <w:szCs w:val="24"/>
      <w:lang w:val="en-US" w:eastAsia="zh-CN" w:bidi="ar-SA"/>
    </w:rPr>
  </w:style>
  <w:style w:type="character" w:styleId="1420" w:customStyle="1">
    <w:name w:val="current2"/>
    <w:basedOn w:val="681"/>
    <w:uiPriority w:val="0"/>
    <w:qFormat/>
    <w:rPr>
      <w:b/>
      <w:bCs/>
      <w:color w:val="ffffff"/>
      <w:shd w:val="clear" w:color="auto" w:fill="0075cc"/>
    </w:rPr>
  </w:style>
  <w:style w:type="character" w:styleId="1421" w:customStyle="1">
    <w:name w:val="current3"/>
    <w:basedOn w:val="681"/>
    <w:uiPriority w:val="0"/>
    <w:qFormat/>
    <w:rPr>
      <w:b/>
      <w:bCs/>
      <w:color w:val="ffffff"/>
      <w:shd w:val="clear" w:color="auto" w:fill="0075cc"/>
    </w:rPr>
  </w:style>
  <w:style w:type="character" w:styleId="1422" w:customStyle="1">
    <w:name w:val="disabled"/>
    <w:basedOn w:val="681"/>
    <w:uiPriority w:val="0"/>
    <w:qFormat/>
    <w:rPr>
      <w:color w:val="dddddd"/>
    </w:rPr>
  </w:style>
  <w:style w:type="character" w:styleId="1423" w:customStyle="1">
    <w:name w:val="disabled1"/>
    <w:basedOn w:val="681"/>
    <w:uiPriority w:val="0"/>
    <w:qFormat/>
    <w:rPr>
      <w:color w:val="dddddd"/>
    </w:rPr>
  </w:style>
  <w:style w:type="numbering" w:styleId="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董文</cp:lastModifiedBy>
  <cp:revision>160</cp:revision>
  <dcterms:created xsi:type="dcterms:W3CDTF">2023-03-27T07:28:00Z</dcterms:created>
  <dcterms:modified xsi:type="dcterms:W3CDTF">2026-07-17T08:32:21Z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DABC3638683945938FB37FEBF86E4B7F_13</vt:lpwstr>
  </property>
  <property fmtid="{D5CDD505-2E9C-101B-9397-08002B2CF9AE}" pid="4" name="KSOTemplateDocerSaveRecord">
    <vt:lpwstr>eyJoZGlkIjoiYWM0MDBjMzNlNjljODI2ODdlZGU0NzE2ZTMxMmQwZDQiLCJ1c2VySWQiOiIyMTA5NTUzOTEifQ==</vt:lpwstr>
  </property>
</Properties>
</file>