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00"/>
        <w:rPr>
          <w:rFonts w:hint="eastAsia"/>
        </w:rPr>
      </w:pPr>
      <w:r>
        <w:rPr>
          <w:rFonts w:hint="eastAsia"/>
        </w:rPr>
      </w:r>
      <w:r/>
    </w:p>
    <w:p>
      <w:pPr>
        <w:pStyle w:val="101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江北新区2026年泰山小学等多校教室教学等设备采购项目</w:t>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JSZC-320192-JZCG-G2026-0021</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1"/>
        <w:ind w:firstLine="0"/>
        <w:jc w:val="center"/>
        <w:rPr>
          <w:rFonts w:hint="eastAsia"/>
          <w:b/>
          <w:bCs/>
          <w:color w:val="000000"/>
          <w:sz w:val="32"/>
          <w:lang w:eastAsia="zh-CN"/>
        </w:rPr>
      </w:pPr>
      <w:r>
        <w:rPr>
          <w:rFonts w:hint="eastAsia"/>
          <w:b/>
          <w:bCs/>
          <w:color w:val="000000"/>
          <w:sz w:val="32"/>
          <w:lang w:eastAsia="zh-CN"/>
        </w:rPr>
        <w:t xml:space="preserve">南京市公共资源交易中心江北新区分中心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bookmarkEnd w:id="0"/>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52" w:lineRule="auto"/>
        <w:widowControl w:val="off"/>
        <w:rPr>
          <w:rFonts w:ascii="宋体" w:hAnsi="宋体"/>
          <w:sz w:val="24"/>
          <w:szCs w:val="24"/>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南京江北新区管理委员会教育局</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w:t>
      </w:r>
      <w:r>
        <w:rPr>
          <w:rFonts w:hint="eastAsia" w:ascii="宋体" w:hAnsi="宋体"/>
          <w:sz w:val="24"/>
          <w:szCs w:val="24"/>
          <w:u w:val="none"/>
          <w:lang w:val="en-US" w:eastAsia="zh-CN"/>
        </w:rPr>
        <w:t xml:space="preserve">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b w:val="0"/>
          <w:bCs w:val="0"/>
          <w:color w:val="000000"/>
          <w:sz w:val="24"/>
          <w:szCs w:val="24"/>
          <w:lang w:eastAsia="zh-CN"/>
        </w:rPr>
        <w:t xml:space="preserve">南京市公共资源交易中心江北新区分中心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color w:val="000000"/>
          <w:sz w:val="24"/>
          <w:szCs w:val="24"/>
          <w:u w:val="none"/>
          <w:lang w:val="en-US" w:eastAsia="zh-CN"/>
        </w:rPr>
        <w:t xml:space="preserve">江北新区2026年泰山小学等多校教室教学等设备采购项目（</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w:t>
      </w:r>
      <w:r>
        <w:rPr>
          <w:rFonts w:hint="eastAsia" w:ascii="宋体" w:hAnsi="宋体"/>
          <w:sz w:val="24"/>
          <w:szCs w:val="24"/>
        </w:rPr>
        <w:t xml:space="preserve">迎符合条件的供应商投标。</w:t>
      </w:r>
      <w:r/>
    </w:p>
    <w:p>
      <w:pPr>
        <w:pStyle w:val="92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p>
    <w:p>
      <w:pPr>
        <w:ind w:firstLine="480"/>
        <w:pageBreakBefore w:val="0"/>
        <w:spacing w:line="252" w:lineRule="auto"/>
        <w:widowControl w:val="off"/>
        <w:rPr>
          <w:rFonts w:ascii="宋体" w:hAnsi="宋体"/>
          <w:color w:val="000000"/>
          <w:sz w:val="24"/>
          <w:szCs w:val="24"/>
          <w:highlight w:val="none"/>
        </w:rPr>
      </w:pPr>
      <w:r/>
      <w:bookmarkStart w:id="12" w:name="_Toc35393791"/>
      <w:r/>
      <w:bookmarkStart w:id="13" w:name="_Toc28359003"/>
      <w:r/>
      <w:bookmarkStart w:id="14" w:name="_Toc28359080"/>
      <w:r/>
      <w:bookmarkStart w:id="15" w:name="_Toc35393622"/>
      <w:r/>
      <w:bookmarkStart w:id="16" w:name="_Toc38985264"/>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JSZC-320192-JZCG-G2026-0021 </w:t>
      </w:r>
      <w:r/>
    </w:p>
    <w:p>
      <w:pPr>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江北新区2026年泰山小学等多校教室教学等设备采购项目</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531万元</w:t>
      </w:r>
      <w:r/>
    </w:p>
    <w:p>
      <w:pPr>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s="Times New Roman"/>
          <w:color w:val="000000"/>
          <w:sz w:val="24"/>
          <w:szCs w:val="24"/>
          <w:highlight w:val="none"/>
          <w:lang w:val="en-US" w:eastAsia="zh-CN"/>
        </w:rPr>
        <w:t xml:space="preserve">510.9874</w:t>
      </w:r>
      <w:r>
        <w:rPr>
          <w:rFonts w:hint="eastAsia" w:ascii="宋体" w:hAnsi="宋体" w:eastAsia="宋体" w:cs="Times New Roman"/>
          <w:color w:val="000000"/>
          <w:sz w:val="24"/>
          <w:szCs w:val="24"/>
          <w:highlight w:val="none"/>
          <w:lang w:val="en-US" w:eastAsia="zh-CN"/>
        </w:rPr>
        <w:t xml:space="preserve">万元</w:t>
      </w:r>
      <w:r/>
    </w:p>
    <w:p>
      <w:pPr>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江北新区2026年泰山小学等多校教室教学等设备采购</w:t>
      </w:r>
      <w:r>
        <w:rPr>
          <w:rFonts w:hint="eastAsia" w:ascii="宋体" w:hAnsi="宋体" w:cs="宋体"/>
          <w:color w:val="000000"/>
          <w:sz w:val="24"/>
          <w:szCs w:val="24"/>
          <w:highlight w:val="none"/>
        </w:rPr>
        <w:t xml:space="preserve">（详细内容见本招标文件第四章） </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ascii="宋体" w:hAnsi="宋体" w:eastAsia="宋体" w:cs="宋体"/>
          <w:color w:val="000000"/>
          <w:sz w:val="24"/>
          <w:szCs w:val="24"/>
          <w:highlight w:val="none"/>
        </w:rPr>
        <w:t xml:space="preserve">合同签订后</w:t>
      </w:r>
      <w:r>
        <w:rPr>
          <w:rFonts w:hint="eastAsia" w:ascii="宋体" w:hAnsi="宋体" w:cs="宋体"/>
          <w:bCs/>
          <w:color w:val="000000"/>
          <w:sz w:val="24"/>
          <w:szCs w:val="24"/>
          <w:highlight w:val="none"/>
          <w:lang w:val="en-US" w:eastAsia="zh-CN"/>
        </w:rPr>
        <w:t xml:space="preserve">30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52" w:lineRule="auto"/>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p>
    <w:p>
      <w:pPr>
        <w:pStyle w:val="92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8985265"/>
      <w:r/>
      <w:bookmarkStart w:id="18" w:name="_Toc28359004"/>
      <w:r/>
      <w:bookmarkStart w:id="19" w:name="_Toc35393623"/>
      <w:r/>
      <w:bookmarkStart w:id="20" w:name="_Toc28359081"/>
      <w:r/>
      <w:bookmarkStart w:id="21" w:name="_Toc35393792"/>
      <w:r>
        <w:rPr>
          <w:rFonts w:hint="eastAsia" w:ascii="宋体" w:hAnsi="宋体" w:eastAsia="宋体" w:cs="宋体"/>
          <w:b w:val="0"/>
          <w:bCs w:val="0"/>
          <w:sz w:val="24"/>
          <w:szCs w:val="24"/>
          <w:highlight w:val="none"/>
        </w:rPr>
        <w:t xml:space="preserve">（一）通用资格要求</w:t>
      </w:r>
      <w:r/>
    </w:p>
    <w:p>
      <w:pPr>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p>
    <w:p>
      <w:pPr>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sz w:val="24"/>
          <w:szCs w:val="24"/>
        </w:rPr>
        <w:t xml:space="preserve">2.落实政府采购政策需满足的</w:t>
      </w:r>
      <w:r>
        <w:rPr>
          <w:rFonts w:hint="eastAsia" w:ascii="宋体" w:hAnsi="宋体"/>
          <w:color w:val="000000"/>
          <w:sz w:val="24"/>
          <w:szCs w:val="24"/>
        </w:rPr>
        <w:t xml:space="preserve">资格要求：</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lang w:val="en-US" w:eastAsia="zh-CN"/>
        </w:rPr>
        <w:t xml:space="preserve">3.在</w:t>
      </w:r>
      <w:r>
        <w:rPr>
          <w:rFonts w:hint="eastAsia" w:ascii="宋体" w:hAnsi="宋体" w:eastAsia="宋体" w:cs="Times New Roman"/>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w:t>
      </w:r>
      <w:r>
        <w:rPr>
          <w:rFonts w:hint="eastAsia" w:ascii="宋体" w:hAnsi="宋体" w:eastAsia="宋体" w:cs="Times New Roman"/>
          <w:color w:val="000000"/>
          <w:sz w:val="24"/>
          <w:szCs w:val="24"/>
          <w:highlight w:val="none"/>
        </w:rPr>
        <w:t xml:space="preserve">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p>
    <w:p>
      <w:pPr>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highlight w:val="none"/>
        </w:rPr>
        <w:t xml:space="preserve">（二）本项目特定资格要求</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p>
    <w:p>
      <w:pPr>
        <w:pStyle w:val="92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92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625"/>
      <w:r/>
      <w:bookmarkStart w:id="28" w:name="_Toc38985267"/>
      <w:r/>
      <w:bookmarkStart w:id="29" w:name="_Toc28359007"/>
      <w:r/>
      <w:bookmarkStart w:id="30" w:name="_Toc35393794"/>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
          <w:bCs w:val="0"/>
          <w:color w:val="000000"/>
          <w:sz w:val="24"/>
          <w:szCs w:val="24"/>
          <w:highlight w:val="none"/>
          <w:u w:val="none"/>
          <w:lang w:val="en-US" w:eastAsia="zh-CN"/>
        </w:rPr>
        <w:t xml:space="preserve">20</w:t>
      </w:r>
      <w:r>
        <w:rPr>
          <w:rFonts w:hint="eastAsia" w:ascii="宋体" w:hAnsi="宋体" w:eastAsia="宋体" w:cs="宋体"/>
          <w:b/>
          <w:color w:val="000000"/>
          <w:sz w:val="24"/>
          <w:szCs w:val="24"/>
          <w:highlight w:val="none"/>
          <w:u w:val="none"/>
          <w:lang w:val="en-US" w:eastAsia="zh-CN"/>
        </w:rPr>
        <w:t xml:space="preserve">26</w:t>
      </w:r>
      <w:r>
        <w:rPr>
          <w:rFonts w:hint="eastAsia" w:ascii="宋体" w:hAnsi="宋体"/>
          <w:b/>
          <w:bCs w:val="0"/>
          <w:color w:val="000000"/>
          <w:sz w:val="24"/>
          <w:szCs w:val="24"/>
          <w:highlight w:val="none"/>
          <w:u w:val="none"/>
        </w:rPr>
        <w:t xml:space="preserve">年</w:t>
      </w:r>
      <w:r>
        <w:rPr>
          <w:rFonts w:hint="eastAsia" w:ascii="宋体" w:hAnsi="宋体" w:eastAsia="宋体" w:cs="宋体"/>
          <w:b/>
          <w:color w:val="000000"/>
          <w:sz w:val="24"/>
          <w:szCs w:val="24"/>
          <w:highlight w:val="none"/>
          <w:u w:val="none"/>
          <w:lang w:val="en-US" w:eastAsia="zh-CN"/>
        </w:rPr>
        <w:t xml:space="preserve">7</w:t>
      </w:r>
      <w:r>
        <w:rPr>
          <w:rFonts w:hint="eastAsia" w:ascii="宋体" w:hAnsi="宋体"/>
          <w:b/>
          <w:bCs w:val="0"/>
          <w:color w:val="000000"/>
          <w:sz w:val="24"/>
          <w:szCs w:val="24"/>
          <w:highlight w:val="none"/>
          <w:u w:val="none"/>
        </w:rPr>
        <w:t xml:space="preserve">月</w:t>
      </w:r>
      <w:r>
        <w:rPr>
          <w:rFonts w:hint="eastAsia" w:ascii="宋体" w:hAnsi="宋体" w:eastAsia="宋体" w:cs="宋体"/>
          <w:b/>
          <w:color w:val="000000"/>
          <w:sz w:val="24"/>
          <w:szCs w:val="24"/>
          <w:highlight w:val="none"/>
          <w:u w:val="none"/>
          <w:lang w:val="en-US" w:eastAsia="zh-CN"/>
        </w:rPr>
        <w:t xml:space="preserve">15</w:t>
      </w:r>
      <w:r>
        <w:rPr>
          <w:rFonts w:hint="eastAsia" w:ascii="宋体" w:hAnsi="宋体"/>
          <w:b/>
          <w:bCs w:val="0"/>
          <w:color w:val="000000"/>
          <w:sz w:val="24"/>
          <w:szCs w:val="24"/>
          <w:highlight w:val="none"/>
          <w:u w:val="none"/>
        </w:rPr>
        <w:t xml:space="preserve">日</w:t>
      </w:r>
      <w:r>
        <w:rPr>
          <w:rFonts w:hint="eastAsia" w:ascii="宋体" w:hAnsi="宋体" w:eastAsia="宋体" w:cs="宋体"/>
          <w:b/>
          <w:color w:val="000000"/>
          <w:sz w:val="24"/>
          <w:szCs w:val="24"/>
          <w:highlight w:val="none"/>
          <w:u w:val="none"/>
          <w:lang w:val="en-US" w:eastAsia="zh-CN"/>
        </w:rPr>
        <w:t xml:space="preserve">9</w:t>
      </w:r>
      <w:r>
        <w:rPr>
          <w:rFonts w:hint="eastAsia" w:ascii="Times New Roman" w:hAnsi="Times New Roman" w:eastAsia="宋体" w:cs="Times New Roman"/>
          <w:b/>
          <w:bCs w:val="0"/>
          <w:color w:val="000000"/>
          <w:sz w:val="24"/>
          <w:szCs w:val="24"/>
          <w:highlight w:val="none"/>
          <w:u w:val="none"/>
          <w:lang w:val="en-US" w:eastAsia="zh-CN"/>
        </w:rPr>
        <w:t xml:space="preserve">时</w:t>
      </w:r>
      <w:r>
        <w:rPr>
          <w:rFonts w:hint="eastAsia" w:ascii="宋体" w:hAnsi="宋体" w:eastAsia="宋体" w:cs="宋体"/>
          <w:b/>
          <w:color w:val="000000"/>
          <w:sz w:val="24"/>
          <w:szCs w:val="24"/>
          <w:highlight w:val="none"/>
          <w:u w:val="none"/>
          <w:lang w:val="en-US" w:eastAsia="zh-CN"/>
        </w:rPr>
        <w:t xml:space="preserve">30</w:t>
      </w:r>
      <w:r>
        <w:rPr>
          <w:rFonts w:hint="eastAsia" w:ascii="宋体" w:hAnsi="宋体"/>
          <w:b/>
          <w:bCs w:val="0"/>
          <w:color w:val="000000"/>
          <w:sz w:val="24"/>
          <w:szCs w:val="24"/>
          <w:highlight w:val="none"/>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92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924"/>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28359085"/>
      <w:r/>
      <w:bookmarkStart w:id="36" w:name="_Toc35393627"/>
      <w:r/>
      <w:bookmarkStart w:id="37" w:name="_Toc35393796"/>
      <w:r/>
      <w:bookmarkStart w:id="38" w:name="_Toc28359008"/>
      <w:r/>
      <w:bookmarkStart w:id="39"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w:t>
      </w:r>
      <w:r>
        <w:rPr>
          <w:rFonts w:hint="eastAsia" w:ascii="宋体" w:hAnsi="宋体" w:eastAsia="宋体" w:cs="Times New Roman"/>
          <w:b/>
          <w:bCs/>
          <w:color w:val="000000"/>
          <w:sz w:val="24"/>
          <w:highlight w:val="none"/>
          <w:lang w:val="zh-CN"/>
        </w:rPr>
        <w:t xml:space="preserve">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p>
    <w:p>
      <w:pPr>
        <w:ind w:firstLine="482"/>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b w:val="0"/>
          <w:bCs w:val="0"/>
          <w:color w:val="000000"/>
          <w:sz w:val="24"/>
          <w:szCs w:val="24"/>
          <w:highlight w:val="none"/>
          <w:lang w:val="en-US" w:eastAsia="zh-CN"/>
        </w:rPr>
        <w:t xml:space="preserve">何</w:t>
      </w:r>
      <w:r>
        <w:rPr>
          <w:rFonts w:hint="eastAsia" w:ascii="宋体" w:hAnsi="宋体" w:eastAsia="宋体" w:cs="Times New Roman"/>
          <w:b w:val="0"/>
          <w:bCs w:val="0"/>
          <w:color w:val="000000"/>
          <w:sz w:val="24"/>
          <w:highlight w:val="none"/>
          <w:lang w:val="en-US" w:eastAsia="zh-CN"/>
        </w:rPr>
        <w:t xml:space="preserve">老师，收件地址：</w:t>
      </w:r>
      <w:r>
        <w:rPr>
          <w:rFonts w:hint="eastAsia" w:ascii="宋体" w:hAnsi="宋体"/>
          <w:color w:val="000000"/>
          <w:sz w:val="24"/>
          <w:szCs w:val="24"/>
          <w:highlight w:val="none"/>
          <w:u w:val="none"/>
          <w:lang w:val="en-US" w:eastAsia="zh-CN"/>
        </w:rPr>
        <w:t xml:space="preserve">江苏省南京市浦口区行知路5号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025-58882126</w:t>
      </w:r>
      <w:r>
        <w:rPr>
          <w:rFonts w:hint="eastAsia" w:ascii="宋体" w:hAnsi="宋体" w:eastAsia="宋体" w:cs="Times New Roman"/>
          <w:b w:val="0"/>
          <w:bCs w:val="0"/>
          <w:color w:val="000000"/>
          <w:sz w:val="24"/>
          <w:lang w:val="en-US" w:eastAsia="zh-CN"/>
        </w:rPr>
        <w:t xml:space="preserve">。</w:t>
      </w:r>
      <w:r/>
    </w:p>
    <w:p>
      <w:pPr>
        <w:ind w:firstLine="420"/>
        <w:keepLines w:val="0"/>
        <w:keepNext w:val="0"/>
        <w:pageBreakBefore w:val="0"/>
        <w:spacing w:line="240" w:lineRule="auto"/>
        <w:widowControl w:val="off"/>
        <w:rPr>
          <w:rFonts w:ascii="宋体" w:hAnsi="宋体" w:cs="Times New Roman"/>
          <w:color w:val="0000ff"/>
          <w:sz w:val="24"/>
          <w:lang w:val="en-US" w:eastAsia="zh-CN"/>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eastAsia="宋体" w:cs="Times New Roman"/>
          <w:color w:val="000000"/>
          <w:sz w:val="24"/>
          <w:highlight w:val="none"/>
          <w:lang w:val="zh-CN"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eastAsia="宋体" w:cs="Times New Roman"/>
          <w:color w:val="000000"/>
          <w:sz w:val="24"/>
          <w:highlight w:val="none"/>
          <w:lang w:val="en-US" w:eastAsia="zh-CN"/>
        </w:rPr>
        <w:t xml:space="preserve">南京市江北新区天浦路1号5号楼一楼大厅</w:t>
      </w:r>
      <w:r>
        <w:rPr>
          <w:rFonts w:hint="eastAsia" w:ascii="宋体" w:hAnsi="宋体" w:eastAsia="宋体" w:cs="Times New Roman"/>
          <w:color w:val="000000"/>
          <w:sz w:val="24"/>
          <w:highlight w:val="none"/>
          <w:lang w:val="zh-CN" w:eastAsia="zh-CN"/>
        </w:rPr>
        <w:t xml:space="preserve">业务受理窗口，联系电话：025-</w:t>
      </w:r>
      <w:r>
        <w:rPr>
          <w:rFonts w:hint="eastAsia" w:ascii="宋体" w:hAnsi="宋体" w:eastAsia="宋体" w:cs="Times New Roman"/>
          <w:color w:val="000000"/>
          <w:sz w:val="24"/>
          <w:highlight w:val="none"/>
          <w:lang w:val="en-US" w:eastAsia="zh-CN"/>
        </w:rPr>
        <w:t xml:space="preserve">58150937。</w:t>
      </w:r>
      <w:r/>
    </w:p>
    <w:p>
      <w:pPr>
        <w:ind w:firstLine="600"/>
        <w:keepLines w:val="0"/>
        <w:keepNext w:val="0"/>
        <w:widowControl/>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称：南京江北新区管理委员会教育局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址：江苏省南京市浦口区行知路5号    </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s="Times New Roman"/>
          <w:b w:val="0"/>
          <w:bCs w:val="0"/>
          <w:color w:val="000000"/>
          <w:sz w:val="24"/>
          <w:szCs w:val="24"/>
          <w:highlight w:val="none"/>
          <w:lang w:val="en-US" w:eastAsia="zh-CN"/>
        </w:rPr>
        <w:t xml:space="preserve">何老师</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联系电话：025-58882126</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bookmarkStart w:id="40" w:name="_Toc28359086"/>
      <w:r/>
      <w:bookmarkStart w:id="41" w:name="_Toc28359009"/>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color w:val="000000"/>
          <w:sz w:val="24"/>
          <w:szCs w:val="24"/>
          <w:highlight w:val="none"/>
        </w:rPr>
        <w:t xml:space="preserve">南京市江北新区天浦路1号5号楼二楼</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梁老师</w:t>
      </w:r>
      <w:r/>
    </w:p>
    <w:p>
      <w:pPr>
        <w:ind w:right="0" w:firstLine="480"/>
        <w:jc w:val="left"/>
        <w:spacing w:line="252" w:lineRule="auto"/>
        <w:rPr>
          <w:rFonts w:hint="eastAsia" w:ascii="方正小标宋简体" w:hAnsi="方正小标宋简体" w:eastAsia="方正小标宋简体" w:cs="方正小标宋简体"/>
          <w:color w:val="000000"/>
          <w:sz w:val="36"/>
          <w:szCs w:val="36"/>
        </w:rPr>
        <w:outlineLvl w:val="9"/>
      </w:pPr>
      <w:r>
        <w:rPr>
          <w:rFonts w:hint="eastAsia" w:ascii="宋体" w:hAnsi="宋体" w:eastAsia="宋体" w:cs="Times New Roman"/>
          <w:color w:val="000000"/>
          <w:sz w:val="24"/>
          <w:szCs w:val="24"/>
          <w:highlight w:val="none"/>
          <w:u w:val="none"/>
          <w:lang w:val="en-US" w:eastAsia="zh-CN"/>
        </w:rPr>
        <w:t xml:space="preserve">联系电话：025-58150957</w:t>
      </w: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宋体" w:hAnsi="宋体"/>
          <w:color w:val="000000"/>
          <w:sz w:val="24"/>
          <w:szCs w:val="24"/>
          <w:lang w:val="en-US" w:eastAsia="zh-CN"/>
        </w:rPr>
        <w:t xml:space="preserve">                           </w:t>
      </w:r>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92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20823275"/>
      <w:r/>
      <w:bookmarkStart w:id="48" w:name="_Toc120614214"/>
      <w:r/>
      <w:bookmarkStart w:id="49" w:name="_Toc16938519"/>
      <w:r/>
      <w:bookmarkStart w:id="50" w:name="_Toc513029203"/>
      <w:r/>
      <w:bookmarkStart w:id="51" w:name="_Toc16938558"/>
      <w:r/>
      <w:bookmarkStart w:id="52" w:name="_Toc120614221"/>
      <w:r/>
      <w:bookmarkStart w:id="53" w:name="_Toc20823314"/>
      <w:r/>
      <w:bookmarkStart w:id="54" w:name="_Toc479757207"/>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20823277"/>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513029206"/>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462564067"/>
      <w:r/>
      <w:bookmarkStart w:id="68" w:name="_Toc16938523"/>
      <w:r/>
      <w:bookmarkStart w:id="69" w:name="_Toc20823279"/>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92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513029209"/>
      <w:r/>
      <w:bookmarkStart w:id="73" w:name="_Toc20823281"/>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513029210"/>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513029212"/>
      <w:r/>
      <w:bookmarkStart w:id="84" w:name="_Toc20823284"/>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20823285"/>
      <w:r/>
      <w:bookmarkStart w:id="87" w:name="_Toc120614216"/>
      <w:r/>
      <w:bookmarkStart w:id="88" w:name="_Toc462564072"/>
      <w:r/>
      <w:bookmarkStart w:id="89" w:name="_Toc513029213"/>
      <w:r/>
      <w:bookmarkStart w:id="90"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92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513029214"/>
      <w:r/>
      <w:bookmarkStart w:id="92" w:name="_Toc16938530"/>
      <w:r/>
      <w:bookmarkStart w:id="93" w:name="_Toc20823286"/>
      <w:r/>
      <w:bookmarkStart w:id="94"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20823287"/>
      <w:r/>
      <w:bookmarkStart w:id="96" w:name="_Toc513029215"/>
      <w:r/>
      <w:bookmarkStart w:id="97" w:name="_Toc16938531"/>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Hlt26668975"/>
      <w:r/>
      <w:bookmarkEnd w:id="101"/>
      <w:r/>
      <w:bookmarkStart w:id="102" w:name="_Toc49090509"/>
      <w:r/>
      <w:bookmarkStart w:id="103" w:name="_Toc513029219"/>
      <w:r/>
      <w:bookmarkStart w:id="104" w:name="_Toc14577357"/>
      <w:r/>
      <w:bookmarkStart w:id="105" w:name="_Toc14577354"/>
      <w:r/>
      <w:bookmarkStart w:id="106" w:name="_Toc513029216"/>
      <w:r/>
      <w:bookmarkStart w:id="107" w:name="_Toc490905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bookmarkEnd w:id="106"/>
      <w:bookmarkEnd w:id="107"/>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926"/>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6"/>
      <w:r/>
      <w:bookmarkEnd w:id="113"/>
      <w:r/>
      <w:bookmarkStart w:id="114" w:name="_Hlt26670425"/>
      <w:r/>
      <w:bookmarkEnd w:id="114"/>
      <w:r/>
      <w:bookmarkStart w:id="115" w:name="_Hlt26954848"/>
      <w:r/>
      <w:bookmarkEnd w:id="115"/>
      <w:r/>
      <w:bookmarkStart w:id="116" w:name="_Hlt26954844"/>
      <w:r/>
      <w:bookmarkEnd w:id="116"/>
      <w:r/>
      <w:bookmarkStart w:id="117" w:name="_Hlt26668983"/>
      <w:r/>
      <w:bookmarkEnd w:id="117"/>
      <w:r/>
      <w:bookmarkStart w:id="118" w:name="_Hlt26954842"/>
      <w:r/>
      <w:bookmarkEnd w:id="118"/>
      <w:r/>
      <w:bookmarkStart w:id="119" w:name="_Hlt26670482"/>
      <w:r/>
      <w:bookmarkEnd w:id="119"/>
      <w:r/>
      <w:bookmarkStart w:id="120" w:name="_Hlt26670403"/>
      <w:r/>
      <w:bookmarkEnd w:id="120"/>
      <w:r/>
      <w:bookmarkStart w:id="121" w:name="_Hlt26954731"/>
      <w:r/>
      <w:bookmarkEnd w:id="121"/>
      <w:r/>
      <w:bookmarkStart w:id="122" w:name="_Hlt26670486"/>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3"/>
      <w:bookmarkEnd w:id="124"/>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92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120614217"/>
      <w:r/>
      <w:bookmarkStart w:id="133" w:name="_Toc513029224"/>
      <w:r/>
      <w:bookmarkStart w:id="134" w:name="_Toc20823296"/>
      <w:r/>
      <w:bookmarkStart w:id="135" w:name="_Toc16938540"/>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16938541"/>
      <w:r/>
      <w:bookmarkStart w:id="137" w:name="_Toc20823297"/>
      <w:r/>
      <w:bookmarkStart w:id="138" w:name="_Toc462564084"/>
      <w:r/>
      <w:bookmarkStart w:id="139"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bookmarkEnd w:id="140"/>
      <w:bookmarkEnd w:id="141"/>
      <w:bookmarkEnd w:id="142"/>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16938543"/>
      <w:r/>
      <w:bookmarkStart w:id="144" w:name="_Toc20823299"/>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513029228"/>
      <w:r/>
      <w:bookmarkStart w:id="147" w:name="_Toc16938544"/>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20823301"/>
      <w:r/>
      <w:bookmarkStart w:id="152" w:name="_Toc120614218"/>
      <w:r/>
      <w:r/>
    </w:p>
    <w:p>
      <w:pPr>
        <w:pStyle w:val="92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16938546"/>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16938547"/>
      <w:r/>
      <w:bookmarkStart w:id="15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6"/>
      <w:bookmarkEnd w:id="157"/>
      <w:bookmarkEnd w:id="158"/>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20823304"/>
      <w:r/>
      <w:bookmarkStart w:id="160" w:name="_Toc513029232"/>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926"/>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16938551"/>
      <w:r/>
      <w:bookmarkStart w:id="170" w:name="_Toc513029235"/>
      <w:r/>
      <w:bookmarkStart w:id="171" w:name="_Toc20823307"/>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92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16938554"/>
      <w:r/>
      <w:bookmarkStart w:id="175" w:name="_Toc20823310"/>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6"/>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92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20823308"/>
      <w:r/>
      <w:bookmarkStart w:id="179" w:name="_Toc513029236"/>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bookmarkEnd w:id="178"/>
      <w:bookmarkEnd w:id="179"/>
      <w:bookmarkEnd w:id="180"/>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bookmarkStart w:id="181" w:name="_Toc513029237"/>
      <w:r/>
      <w:bookmarkStart w:id="182" w:name="_Toc20823309"/>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81"/>
      <w:bookmarkEnd w:id="182"/>
      <w:bookmarkEnd w:id="183"/>
      <w:r/>
    </w:p>
    <w:p>
      <w:pPr>
        <w:pStyle w:val="92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92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2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926"/>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92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p>
    <w:p>
      <w:pPr>
        <w:pStyle w:val="92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92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926"/>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26"/>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10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00"/>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4" w:name="_Toc16938559"/>
      <w:r/>
      <w:bookmarkStart w:id="185" w:name="_Toc20823315"/>
      <w:r/>
      <w:bookmarkStart w:id="186" w:name="_Toc513029243"/>
      <w:r/>
      <w:bookmarkStart w:id="187" w:name="_Hlt16619350"/>
      <w:r/>
      <w:bookmarkStart w:id="188" w:name="_Toc120614244"/>
      <w:r/>
      <w:bookmarkStart w:id="189" w:name="_Toc16938590"/>
      <w:r/>
      <w:bookmarkStart w:id="190" w:name="_Toc20823346"/>
      <w:r/>
      <w:bookmarkStart w:id="191" w:name="_Toc462564139"/>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59"/>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6.1 签订合同</w:t>
      </w:r>
      <w:r>
        <w:rPr>
          <w:rFonts w:hint="eastAsia" w:ascii="宋体" w:hAnsi="宋体" w:eastAsia="宋体" w:cs="Courier New"/>
          <w:color w:val="000000"/>
          <w:sz w:val="24"/>
          <w:szCs w:val="24"/>
          <w:highlight w:val="none"/>
          <w:lang w:val="en-US" w:eastAsia="zh-CN"/>
        </w:rPr>
        <w:t xml:space="preserve">日起</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在7个工作日内</w:t>
      </w:r>
      <w:r>
        <w:rPr>
          <w:rFonts w:hint="eastAsia" w:ascii="宋体" w:hAnsi="宋体" w:eastAsia="宋体" w:cs="Courier New"/>
          <w:color w:val="000000"/>
          <w:sz w:val="24"/>
          <w:szCs w:val="24"/>
          <w:highlight w:val="none"/>
        </w:rPr>
        <w:t xml:space="preserve">按照合同金额</w:t>
      </w:r>
      <w:r>
        <w:rPr>
          <w:rFonts w:hint="eastAsia" w:ascii="宋体" w:hAnsi="宋体" w:eastAsia="宋体" w:cs="Courier New"/>
          <w:color w:val="000000"/>
          <w:sz w:val="24"/>
          <w:szCs w:val="24"/>
          <w:highlight w:val="none"/>
          <w:u w:val="none"/>
          <w:lang w:val="en-US" w:eastAsia="zh-CN"/>
        </w:rPr>
        <w:t xml:space="preserve">1</w:t>
      </w:r>
      <w:r>
        <w:rPr>
          <w:rFonts w:hint="eastAsia" w:ascii="宋体" w:hAnsi="宋体" w:eastAsia="宋体" w:cs="Courier New"/>
          <w:color w:val="000000"/>
          <w:sz w:val="24"/>
          <w:szCs w:val="24"/>
          <w:highlight w:val="none"/>
          <w:u w:val="none"/>
        </w:rPr>
        <w:t xml:space="preserve">%</w:t>
      </w:r>
      <w:r>
        <w:rPr>
          <w:rFonts w:hint="eastAsia" w:ascii="宋体" w:hAnsi="宋体" w:eastAsia="宋体" w:cs="Courier New"/>
          <w:color w:val="000000"/>
          <w:sz w:val="24"/>
          <w:szCs w:val="24"/>
          <w:highlight w:val="none"/>
        </w:rPr>
        <w:t xml:space="preserve">缴纳履约保证金。合同履行结束后，甲方按以下约定退还：</w:t>
      </w:r>
      <w:r/>
    </w:p>
    <w:p>
      <w:pPr>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6.1.1 退还时间及条件：验收合格且合同履行期结束后5个工作日内。</w:t>
      </w:r>
      <w:r/>
    </w:p>
    <w:p>
      <w:pPr>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6.1.2 退还方式：扣除违约费用后一次性无息退还。</w:t>
      </w:r>
      <w:r/>
    </w:p>
    <w:p>
      <w:pPr>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6.1.3 不予退还的情形：合同约定的交付期内未履约完成、验收不合格、整改不到位等情形。</w:t>
      </w:r>
      <w:r/>
    </w:p>
    <w:p>
      <w:pPr>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3"/>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959"/>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959"/>
        <w:rPr>
          <w:rFonts w:hint="eastAsia" w:ascii="宋体" w:hAnsi="宋体" w:eastAsia="宋体" w:cs="Courier New"/>
          <w:b w:val="0"/>
          <w:bCs w:val="0"/>
          <w:sz w:val="24"/>
          <w:szCs w:val="24"/>
          <w:highlight w:val="none"/>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sz w:val="24"/>
          <w:szCs w:val="24"/>
          <w:highlight w:val="none"/>
        </w:rPr>
        <w:t xml:space="preserve">本合同签订后30日内，采购人向成交供应商支付合同总价款的30%；</w:t>
      </w:r>
      <w:r/>
    </w:p>
    <w:p>
      <w:pPr>
        <w:pStyle w:val="959"/>
        <w:rPr>
          <w:rFonts w:hint="eastAsia" w:ascii="宋体" w:hAnsi="宋体" w:eastAsia="宋体" w:cs="Courier New"/>
          <w:b w:val="0"/>
          <w:bCs w:val="0"/>
          <w:sz w:val="24"/>
          <w:szCs w:val="24"/>
          <w:highlight w:val="none"/>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b w:val="0"/>
          <w:bCs w:val="0"/>
          <w:sz w:val="24"/>
          <w:szCs w:val="24"/>
          <w:highlight w:val="none"/>
        </w:rPr>
        <w:t xml:space="preserve">全部设备到货且整体验收合格后，</w:t>
      </w:r>
      <w:r>
        <w:rPr>
          <w:rFonts w:hint="eastAsia" w:ascii="宋体" w:hAnsi="宋体" w:eastAsia="宋体" w:cs="Courier New"/>
          <w:color w:val="000000"/>
          <w:sz w:val="24"/>
          <w:szCs w:val="24"/>
          <w:highlight w:val="none"/>
          <w:lang w:val="en-US" w:eastAsia="zh-CN"/>
        </w:rPr>
        <w:t xml:space="preserve">乙方需按甲方要求提供所有验收材料，甲方根据乙方提供的资金支付申请支付货款，</w:t>
      </w:r>
      <w:r>
        <w:rPr>
          <w:rFonts w:hint="eastAsia" w:hAnsi="宋体" w:cs="Courier New"/>
          <w:b w:val="0"/>
          <w:bCs w:val="0"/>
          <w:sz w:val="24"/>
          <w:szCs w:val="24"/>
          <w:highlight w:val="none"/>
          <w:lang w:val="en-US" w:eastAsia="zh-CN"/>
        </w:rPr>
        <w:t xml:space="preserve">一年</w:t>
      </w:r>
      <w:r>
        <w:rPr>
          <w:rFonts w:hint="eastAsia" w:ascii="宋体" w:hAnsi="宋体" w:eastAsia="宋体" w:cs="Courier New"/>
          <w:b w:val="0"/>
          <w:bCs w:val="0"/>
          <w:sz w:val="24"/>
          <w:szCs w:val="24"/>
          <w:highlight w:val="none"/>
        </w:rPr>
        <w:t xml:space="preserve">内支付</w:t>
      </w:r>
      <w:r>
        <w:rPr>
          <w:rFonts w:hint="eastAsia" w:hAnsi="宋体" w:cs="Courier New"/>
          <w:b w:val="0"/>
          <w:bCs w:val="0"/>
          <w:sz w:val="24"/>
          <w:szCs w:val="24"/>
          <w:highlight w:val="none"/>
          <w:lang w:val="en-US" w:eastAsia="zh-CN"/>
        </w:rPr>
        <w:t xml:space="preserve">至</w:t>
      </w:r>
      <w:r>
        <w:rPr>
          <w:rFonts w:hint="eastAsia" w:ascii="宋体" w:hAnsi="宋体" w:eastAsia="宋体" w:cs="Courier New"/>
          <w:b w:val="0"/>
          <w:bCs w:val="0"/>
          <w:sz w:val="24"/>
          <w:szCs w:val="24"/>
          <w:highlight w:val="none"/>
        </w:rPr>
        <w:t xml:space="preserve">合同总价款的</w:t>
      </w:r>
      <w:r>
        <w:rPr>
          <w:rFonts w:hint="eastAsia" w:hAnsi="宋体" w:cs="Courier New"/>
          <w:b w:val="0"/>
          <w:bCs w:val="0"/>
          <w:sz w:val="24"/>
          <w:szCs w:val="24"/>
          <w:highlight w:val="none"/>
          <w:lang w:val="en-US" w:eastAsia="zh-CN"/>
        </w:rPr>
        <w:t xml:space="preserve">10</w:t>
      </w:r>
      <w:r>
        <w:rPr>
          <w:rFonts w:hint="eastAsia" w:ascii="宋体" w:hAnsi="宋体" w:eastAsia="宋体" w:cs="Courier New"/>
          <w:b w:val="0"/>
          <w:bCs w:val="0"/>
          <w:sz w:val="24"/>
          <w:szCs w:val="24"/>
          <w:highlight w:val="none"/>
        </w:rPr>
        <w:t xml:space="preserve">0%</w:t>
      </w:r>
      <w:r>
        <w:rPr>
          <w:rFonts w:hint="eastAsia" w:ascii="宋体" w:hAnsi="宋体" w:eastAsia="宋体" w:cs="Courier New"/>
          <w:b w:val="0"/>
          <w:bCs w:val="0"/>
          <w:sz w:val="24"/>
          <w:szCs w:val="24"/>
          <w:highlight w:val="none"/>
          <w:lang w:eastAsia="zh-CN"/>
        </w:rPr>
        <w:t xml:space="preserve">。</w:t>
      </w:r>
      <w:r/>
    </w:p>
    <w:p>
      <w:pPr>
        <w:pStyle w:val="959"/>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959"/>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eastAsia="zh-CN"/>
        </w:rPr>
        <w:t xml:space="preserve">万分之五</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ascii="宋体" w:hAnsi="宋体" w:eastAsia="宋体" w:cs="宋体"/>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cs="Courier New"/>
          <w:color w:val="000000"/>
          <w:sz w:val="24"/>
          <w:szCs w:val="24"/>
          <w:highlight w:val="none"/>
          <w:u w:val="single"/>
          <w:lang w:eastAsia="zh-CN"/>
        </w:rPr>
        <w:t xml:space="preserve">万分之五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由甲方从待付货款中扣除。逾期超过约定日期10个工作日不能交货的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w:t>
      </w:r>
      <w:r>
        <w:rPr>
          <w:rFonts w:hint="eastAsia" w:ascii="宋体" w:hAnsi="宋体" w:eastAsia="宋体" w:cs="Courier New"/>
          <w:color w:val="000000"/>
          <w:sz w:val="24"/>
          <w:szCs w:val="24"/>
        </w:rPr>
        <w:t xml:space="preserve">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4"/>
      <w:bookmarkEnd w:id="185"/>
      <w:bookmarkEnd w:id="186"/>
      <w:r/>
    </w:p>
    <w:p>
      <w:pPr>
        <w:pStyle w:val="959"/>
        <w:keepLines w:val="0"/>
        <w:keepNext w:val="0"/>
        <w:pageBreakBefore w:val="0"/>
        <w:spacing w:before="120" w:after="120" w:line="264" w:lineRule="auto"/>
        <w:widowControl w:val="off"/>
        <w:rPr>
          <w:rFonts w:hint="eastAsia" w:hAnsi="宋体" w:eastAsia="宋体" w:cs="Courier New"/>
          <w:sz w:val="24"/>
          <w:szCs w:val="24"/>
        </w:rPr>
      </w:pPr>
      <w:r/>
      <w:bookmarkStart w:id="193" w:name="_Hlt16619369"/>
      <w:r/>
      <w:bookmarkEnd w:id="193"/>
      <w:r>
        <w:rPr>
          <w:rFonts w:hint="eastAsia" w:hAnsi="宋体" w:eastAsia="宋体" w:cs="Courier New"/>
          <w:sz w:val="24"/>
          <w:szCs w:val="24"/>
        </w:rPr>
        <w:t xml:space="preserve">  </w:t>
      </w:r>
      <w:r/>
    </w:p>
    <w:p>
      <w:pPr>
        <w:pStyle w:val="95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5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95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5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5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5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5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zh-CN" w:eastAsia="zh-CN"/>
        </w:rPr>
        <w:t xml:space="preserve">（一）项目背景</w:t>
      </w:r>
      <w:r/>
    </w:p>
    <w:p>
      <w:pPr>
        <w:ind w:firstLine="480"/>
        <w:spacing w:line="264" w:lineRule="auto"/>
        <w:widowControl/>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zh-CN"/>
        </w:rPr>
        <w:t xml:space="preserve">本项目为</w:t>
      </w:r>
      <w:r>
        <w:rPr>
          <w:rFonts w:hint="eastAsia" w:ascii="宋体" w:hAnsi="宋体" w:eastAsia="宋体" w:cs="宋体"/>
          <w:b w:val="0"/>
          <w:bCs/>
          <w:color w:val="000000"/>
          <w:sz w:val="24"/>
          <w:szCs w:val="24"/>
          <w:highlight w:val="none"/>
          <w:lang w:val="zh-CN" w:eastAsia="zh-CN"/>
        </w:rPr>
        <w:t xml:space="preserve">江北新区2026年泰山小学等多校教室教学等设备采购</w:t>
      </w:r>
      <w:r>
        <w:rPr>
          <w:rFonts w:hint="eastAsia" w:ascii="宋体" w:hAnsi="宋体" w:eastAsia="宋体" w:cs="宋体"/>
          <w:bCs/>
          <w:color w:val="000000"/>
          <w:sz w:val="24"/>
          <w:szCs w:val="24"/>
          <w:lang w:val="zh-CN" w:eastAsia="zh-CN"/>
        </w:rPr>
        <w:t xml:space="preserve">，</w:t>
      </w:r>
      <w:r>
        <w:rPr>
          <w:rFonts w:hint="eastAsia" w:ascii="宋体" w:hAnsi="宋体" w:eastAsia="宋体" w:cs="宋体"/>
          <w:bCs/>
          <w:color w:val="000000"/>
          <w:sz w:val="24"/>
          <w:szCs w:val="24"/>
          <w:lang w:val="zh-CN"/>
        </w:rPr>
        <w:t xml:space="preserve">根据学校</w:t>
      </w:r>
      <w:r>
        <w:rPr>
          <w:rFonts w:hint="eastAsia" w:ascii="宋体" w:hAnsi="宋体" w:eastAsia="宋体" w:cs="宋体"/>
          <w:bCs/>
          <w:color w:val="000000"/>
          <w:sz w:val="24"/>
          <w:szCs w:val="24"/>
          <w:lang w:val="zh-CN" w:eastAsia="zh-CN"/>
        </w:rPr>
        <w:t xml:space="preserve">实际</w:t>
      </w:r>
      <w:r>
        <w:rPr>
          <w:rFonts w:hint="eastAsia" w:ascii="宋体" w:hAnsi="宋体" w:eastAsia="宋体" w:cs="宋体"/>
          <w:bCs/>
          <w:color w:val="000000"/>
          <w:sz w:val="24"/>
          <w:szCs w:val="24"/>
          <w:lang w:val="zh-CN"/>
        </w:rPr>
        <w:t xml:space="preserve">需求，配置相关设备，满足学校的教育教学需要。</w:t>
      </w:r>
      <w:r/>
    </w:p>
    <w:p>
      <w:pPr>
        <w:numPr>
          <w:ilvl w:val="0"/>
          <w:numId w:val="0"/>
        </w:numPr>
        <w:ind w:firstLine="480"/>
        <w:keepLines w:val="0"/>
        <w:keepNext w:val="0"/>
        <w:pageBreakBefore w:val="0"/>
        <w:spacing w:line="264" w:lineRule="auto"/>
        <w:widowControl/>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zh-CN" w:eastAsia="zh-CN"/>
        </w:rPr>
        <w:t xml:space="preserve">（二）项目建设遵循标准</w:t>
      </w:r>
      <w:r/>
    </w:p>
    <w:p>
      <w:pPr>
        <w:ind w:firstLine="480"/>
        <w:spacing w:line="264" w:lineRule="auto"/>
        <w:widowControl/>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遵循国家、行业及地方现行的规范和标准。</w:t>
      </w:r>
      <w:r/>
    </w:p>
    <w:p>
      <w:pPr>
        <w:ind w:firstLine="480"/>
        <w:spacing w:line="264" w:lineRule="auto"/>
        <w:widowControl/>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（三）资产配置标准</w:t>
      </w:r>
      <w:r/>
    </w:p>
    <w:p>
      <w:pPr>
        <w:ind w:firstLine="48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rPr>
        <w:t xml:space="preserve">符合《市政府办公厅关于印发&lt;南京市市级行政事业单位资产配置标准》、《南京市市级行政事业单位资产使用年限标准》（2016年修订版）的通知》及《关于印发南京市中小学通用资产配置标准的通知》（2023年）。</w:t>
      </w:r>
      <w:r/>
    </w:p>
    <w:p>
      <w:pPr>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9"/>
      </w:pP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749"/>
        <w:tblpPr w:horzAnchor="margin" w:tblpXSpec="center" w:vertAnchor="text" w:tblpY="109" w:leftFromText="180" w:topFromText="0" w:rightFromText="180" w:bottomFromText="0"/>
        <w:tblW w:w="4979" w:type="pct"/>
        <w:jc w:val="center"/>
        <w:tblLayout w:type="fixed"/>
        <w:tblCellMar>
          <w:left w:w="108" w:type="dxa"/>
          <w:top w:w="0" w:type="dxa"/>
          <w:right w:w="108" w:type="dxa"/>
          <w:bottom w:w="0" w:type="dxa"/>
        </w:tblCellMar>
        <w:tblLook w:val="04A0" w:firstRow="1" w:lastRow="0" w:firstColumn="1" w:lastColumn="0" w:noHBand="0" w:noVBand="1"/>
      </w:tblPr>
      <w:tblGrid>
        <w:gridCol w:w="959"/>
        <w:gridCol w:w="1901"/>
        <w:gridCol w:w="949"/>
        <w:gridCol w:w="1140"/>
        <w:gridCol w:w="831"/>
        <w:gridCol w:w="723"/>
        <w:gridCol w:w="1116"/>
        <w:gridCol w:w="928"/>
        <w:gridCol w:w="1374"/>
      </w:tblGrid>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分项</w:t>
            </w:r>
            <w:r>
              <w:rPr>
                <w:rFonts w:hint="eastAsia" w:ascii="宋体" w:hAnsi="宋体" w:eastAsia="宋体" w:cs="宋体"/>
                <w:color w:val="000000"/>
                <w:sz w:val="22"/>
                <w:szCs w:val="22"/>
              </w:rPr>
              <w:t xml:space="preserve">名称</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lang w:eastAsia="zh-CN"/>
              </w:rPr>
              <w:t xml:space="preserve">单价上限</w:t>
            </w:r>
            <w:r/>
          </w:p>
          <w:p>
            <w:pPr>
              <w:jc w:val="center"/>
              <w:widowControl/>
              <w:rPr>
                <w:rFonts w:hint="eastAsia" w:ascii="宋体" w:hAnsi="宋体" w:eastAsia="宋体" w:cs="宋体"/>
                <w:color w:val="000000"/>
                <w:sz w:val="22"/>
                <w:szCs w:val="22"/>
                <w:lang w:val="en-US" w:eastAsia="zh-CN" w:bidi="ar-SA"/>
              </w:rPr>
            </w:pP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val="en-US" w:eastAsia="zh-CN"/>
              </w:rPr>
              <w:t xml:space="preserve">元</w:t>
            </w:r>
            <w:r>
              <w:rPr>
                <w:rFonts w:hint="eastAsia" w:ascii="宋体" w:hAnsi="宋体" w:eastAsia="宋体" w:cs="宋体"/>
                <w:bCs/>
                <w:color w:val="000000"/>
                <w:sz w:val="22"/>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产品类型</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所属行业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属性</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u w:val="none"/>
                <w:lang w:val="en-US" w:eastAsia="zh-CN"/>
              </w:rPr>
              <w:t xml:space="preserve">政府强制采购节能产品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后黑板</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书包柜（含图书柜）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8280" cy="283845"/>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08280" cy="28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40.7pt;mso-position-horizontal:absolute;mso-position-vertical-relative:text;margin-top:0.0pt;mso-position-vertical:absolute;width:16.4pt;height:22.3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教室讲台-1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个（点位）</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285</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机房班桌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行政办公桌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音乐准备室服装柜及鞋柜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乐器陈列架</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大华报告厅学生公开课桌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组合桌柜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2300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书架</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异形沙发</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矮书架</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展示柜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定制沙发组合</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悦砺庭</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丢丢屋</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石头凳1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石头凳2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行政办公桌椅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2300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黑板</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2700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柜子-4</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5200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铁皮柜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文件柜-1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音乐凳（ABS)</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4950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1900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美工桌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凳子</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陈列柜-1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5700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陈列柜-2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5400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陈列柜-3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13200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后墙软木板</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大会议桌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8900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1680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培训桌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培训椅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门</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档案柜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420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休闲桌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折叠方桌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双槽基础桌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基础凳</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416</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灯光桌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操作桌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玩沙桌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方桌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钢制储物柜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资料柜-1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资料柜-2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单层橡木床</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实木长桌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实木三层玩具柜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办公橱柜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讲台-4</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1950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储物柜-1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储物柜-2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文件柜-2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食堂就餐桌椅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1950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会议长条桌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观课桌椅（长条桌）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午休课桌椅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办公椅-4</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组合办公桌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更衣柜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升降讲台</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音乐凳(抽屉式）</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定制合唱台</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3330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乐谱架</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收纳边柜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专业音箱</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音箱壁挂支架</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功率放大器（450W）</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4600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四通道功率放大器（400W）</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数字效果器</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2600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无线传声器（1手持1头戴）</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2900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tabs>
                <w:tab w:val="center" w:pos="237" w:leader="none"/>
                <w:tab w:val="left" w:pos="508" w:leader="none"/>
              </w:tabs>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音箱线</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电源时序器</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设备机柜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安装调试</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其他未列明行业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服务</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86寸触控一体机</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大屏移动支架</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把杆</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960 </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练功凳</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290 </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压腿凳</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420 </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舞蹈垫</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280 </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瑜伽垫</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面</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80 </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舞蹈练功球</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66 </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舞蹈垫收纳车</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1090 </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窗帘</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图书清扫柜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2200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办公桌-4</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讲台-5</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5900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讲台-6</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定制教学展台</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洽谈桌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520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洽谈椅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实木课桌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实木课椅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定制异形沙发</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2400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接待桌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760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洽谈沙发</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870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长茶几-1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定制长沙发</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2200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长茶几-2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定制科学实验桌-1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定制科学实验桌-2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办公桌-5</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860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副柜-4</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3140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149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讲台-7</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图书架（双面）</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3040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图书借阅架</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2600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图书架（单面）</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边柜工位</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教室储物柜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3885</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教室讲台-2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教师工作台</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159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570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1480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教室背景墙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毛毡板</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班台</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教学讲台-3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格子柜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365</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午休椅-4</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铁皮作业文件柜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录播室桌椅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钢木分档调节课桌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1095</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核心产品</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塑钢分档调节课桌椅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995</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1095</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塑钢分档调节课桌椅-1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侧墙书包柜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立式书包柜</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三抽柜-1</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午休椅-5</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办公桌-6</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副柜-5</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189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三抽柜-2</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午休椅-6</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茶水柜-3</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教师办公桌-4</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午休椅-7</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活动办公桌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弓形椅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196</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教师操作台</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教师上课椅</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198</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计算机桌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199</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计算机凳</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可组合会议桌</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201</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分体式空调1.5P（壁挂式）</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202</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分体式空调2P（壁挂式）</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203</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分体式空调3P（壁挂式）</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204</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分体式空调3P（柜式）</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50"/>
              <w:jc w:val="center"/>
              <w:keepLines w:val="0"/>
              <w:keepNext w:val="0"/>
              <w:pageBreakBefore w:val="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205</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分体式空调5P（柜式）</w:t>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8000</w:t>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jc w:val="center"/>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货物</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是</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1.产品技术要求</w:t>
      </w:r>
      <w:r/>
    </w:p>
    <w:tbl>
      <w:tblPr>
        <w:tblStyle w:val="749"/>
        <w:tblW w:w="52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4"/>
        <w:gridCol w:w="1777"/>
        <w:gridCol w:w="1407"/>
        <w:gridCol w:w="6408"/>
      </w:tblGrid>
      <w:tr>
        <w:trPr>
          <w:jc w:val="center"/>
          <w:trHeight w:val="357"/>
        </w:trPr>
        <w:tc>
          <w:tcPr>
            <w:tcW w:w="368" w:type="dxa"/>
            <w:vAlign w:val="center"/>
            <w:textDirection w:val="lrTb"/>
            <w:noWrap w:val="false"/>
          </w:tcPr>
          <w:p>
            <w:pPr>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p>
        </w:tc>
        <w:tc>
          <w:tcPr>
            <w:tcW w:w="798" w:type="dxa"/>
            <w:vAlign w:val="center"/>
            <w:textDirection w:val="lrTb"/>
            <w:noWrap w:val="false"/>
          </w:tcPr>
          <w:p>
            <w:pPr>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产品</w:t>
            </w:r>
            <w:r/>
          </w:p>
        </w:tc>
        <w:tc>
          <w:tcPr>
            <w:tcW w:w="705" w:type="dxa"/>
            <w:vAlign w:val="center"/>
            <w:textDirection w:val="lrTb"/>
            <w:noWrap w:val="false"/>
          </w:tcPr>
          <w:p>
            <w:pPr>
              <w:jc w:val="center"/>
              <w:rPr>
                <w:rFonts w:ascii="宋体" w:hAnsi="宋体" w:cs="宋体"/>
                <w:bCs/>
                <w:color w:val="000000"/>
                <w:sz w:val="24"/>
                <w:szCs w:val="24"/>
                <w:highlight w:val="none"/>
              </w:rPr>
            </w:pPr>
            <w:r>
              <w:rPr>
                <w:rFonts w:hint="eastAsia" w:ascii="宋体" w:hAnsi="宋体" w:cs="宋体"/>
                <w:bCs/>
                <w:color w:val="000000"/>
                <w:szCs w:val="21"/>
                <w:highlight w:val="none"/>
              </w:rPr>
              <w:t xml:space="preserve">要求</w:t>
            </w:r>
            <w:r/>
          </w:p>
        </w:tc>
        <w:tc>
          <w:tcPr>
            <w:tcW w:w="3128" w:type="dxa"/>
            <w:vAlign w:val="center"/>
            <w:textDirection w:val="lrTb"/>
            <w:noWrap w:val="false"/>
          </w:tcPr>
          <w:p>
            <w:pPr>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功能、性能、配置要求</w:t>
            </w:r>
            <w:r/>
          </w:p>
        </w:tc>
      </w:tr>
      <w:tr>
        <w:trPr>
          <w:jc w:val="center"/>
          <w:trHeight w:val="422"/>
        </w:trPr>
        <w:tc>
          <w:tcPr>
            <w:tcW w:w="368" w:type="dxa"/>
            <w:vAlign w:val="center"/>
            <w:vMerge w:val="restart"/>
            <w:textDirection w:val="lrTb"/>
            <w:noWrap w:val="false"/>
          </w:tcPr>
          <w:p>
            <w:pPr>
              <w:jc w:val="center"/>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w:t>
            </w:r>
            <w:r/>
          </w:p>
        </w:tc>
        <w:tc>
          <w:tcPr>
            <w:tcW w:w="798" w:type="dxa"/>
            <w:vAlign w:val="center"/>
            <w:vMerge w:val="restart"/>
            <w:textDirection w:val="lrTb"/>
            <w:noWrap w:val="false"/>
          </w:tcPr>
          <w:p>
            <w:pPr>
              <w:jc w:val="center"/>
              <w:keepLines w:val="0"/>
              <w:keepNext w:val="0"/>
              <w:widowControl/>
              <w:rPr>
                <w:rFonts w:ascii="宋体" w:hAnsi="宋体" w:cs="宋体"/>
                <w:bCs/>
                <w:color w:val="000000"/>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讲台-1</w:t>
            </w:r>
            <w:r/>
          </w:p>
        </w:tc>
        <w:tc>
          <w:tcPr>
            <w:tcW w:w="705" w:type="dxa"/>
            <w:vAlign w:val="center"/>
            <w:textDirection w:val="lrTb"/>
            <w:noWrap w:val="false"/>
          </w:tcPr>
          <w:p>
            <w:pPr>
              <w:jc w:val="center"/>
              <w:spacing w:line="264" w:lineRule="auto"/>
              <w:rPr>
                <w:rFonts w:ascii="宋体" w:hAnsi="宋体" w:cs="宋体"/>
                <w:color w:val="000000"/>
                <w:szCs w:val="21"/>
                <w:highlight w:val="none"/>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jc w:val="left"/>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center"/>
            <w:vMerge w:val="continue"/>
            <w:textDirection w:val="lrTb"/>
            <w:noWrap w:val="false"/>
          </w:tcPr>
          <w:p>
            <w:pPr>
              <w:jc w:val="center"/>
              <w:widowControl/>
              <w:rPr>
                <w:color w:val="000000"/>
                <w:highlight w:val="none"/>
              </w:rPr>
            </w:pPr>
            <w:r>
              <w:rPr>
                <w:color w:val="000000"/>
                <w:highlight w:val="none"/>
              </w:rPr>
            </w:r>
            <w:r/>
          </w:p>
        </w:tc>
        <w:tc>
          <w:tcPr>
            <w:tcW w:w="798" w:type="dxa"/>
            <w:vAlign w:val="center"/>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ascii="宋体" w:hAnsi="宋体" w:cs="宋体"/>
                <w:color w:val="000000"/>
                <w:szCs w:val="21"/>
                <w:highlight w:val="none"/>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6"/>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规格：900*500*860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w:t>
            </w:r>
            <w:r/>
          </w:p>
          <w:p>
            <w:pPr>
              <w:rPr>
                <w:color w:val="000000"/>
                <w:highlight w:val="none"/>
              </w:rPr>
            </w:pPr>
            <w:r>
              <w:rPr>
                <w:rFonts w:hint="eastAsia" w:ascii="宋体" w:hAnsi="宋体" w:cs="宋体"/>
                <w:i w:val="0"/>
                <w:iCs w:val="0"/>
                <w:color w:val="000000"/>
                <w:sz w:val="20"/>
                <w:szCs w:val="20"/>
                <w:highlight w:val="none"/>
                <w:u w:val="none"/>
                <w:lang w:val="en-US" w:eastAsia="zh-CN" w:bidi="ar"/>
              </w:rPr>
              <w:t xml:space="preserve">6、款式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p>
        </w:tc>
      </w:tr>
      <w:tr>
        <w:trPr>
          <w:jc w:val="center"/>
          <w:trHeight w:val="654"/>
        </w:trPr>
        <w:tc>
          <w:tcPr>
            <w:tcW w:w="368" w:type="dxa"/>
            <w:vAlign w:val="center"/>
            <w:vMerge w:val="restart"/>
            <w:textDirection w:val="lrTb"/>
            <w:noWrap w:val="false"/>
          </w:tcPr>
          <w:p>
            <w:pPr>
              <w:jc w:val="center"/>
              <w:widowControl/>
              <w:rPr>
                <w:rFonts w:hint="eastAsia" w:eastAsia="宋体"/>
                <w:color w:val="000000"/>
                <w:highlight w:val="none"/>
                <w:lang w:val="en-US" w:eastAsia="zh-CN"/>
              </w:rPr>
            </w:pPr>
            <w:r>
              <w:rPr>
                <w:rFonts w:hint="eastAsia"/>
                <w:color w:val="000000"/>
                <w:highlight w:val="none"/>
                <w:lang w:val="en-US" w:eastAsia="zh-CN"/>
              </w:rPr>
              <w:t xml:space="preserve">2</w:t>
            </w:r>
            <w:r/>
          </w:p>
        </w:tc>
        <w:tc>
          <w:tcPr>
            <w:tcW w:w="798" w:type="dxa"/>
            <w:vAlign w:val="center"/>
            <w:vMerge w:val="restart"/>
            <w:textDirection w:val="lrTb"/>
            <w:noWrap w:val="false"/>
          </w:tcPr>
          <w:p>
            <w:pPr>
              <w:jc w:val="center"/>
              <w:keepLines w:val="0"/>
              <w:keepNext w:val="0"/>
              <w:widowControl/>
              <w:rPr>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后黑板</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jc w:val="left"/>
              <w:widowControl/>
              <w:rPr>
                <w:color w:val="000000"/>
                <w:highlight w:val="none"/>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center"/>
            <w:vMerge w:val="continue"/>
            <w:textDirection w:val="lrTb"/>
            <w:noWrap w:val="false"/>
          </w:tcPr>
          <w:p>
            <w:pPr>
              <w:jc w:val="center"/>
              <w:widowControl/>
              <w:rPr>
                <w:color w:val="000000"/>
                <w:highlight w:val="none"/>
              </w:rPr>
            </w:pPr>
            <w:r>
              <w:rPr>
                <w:color w:val="000000"/>
                <w:highlight w:val="none"/>
              </w:rPr>
            </w:r>
            <w:r/>
          </w:p>
        </w:tc>
        <w:tc>
          <w:tcPr>
            <w:tcW w:w="798" w:type="dxa"/>
            <w:vAlign w:val="center"/>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7"/>
              </w:numPr>
              <w:rPr>
                <w:color w:val="000000"/>
                <w:highlight w:val="none"/>
              </w:rPr>
            </w:pPr>
            <w:r>
              <w:rPr>
                <w:rFonts w:hint="eastAsia" w:ascii="宋体" w:hAnsi="宋体" w:eastAsia="宋体" w:cs="宋体"/>
                <w:i w:val="0"/>
                <w:iCs w:val="0"/>
                <w:color w:val="000000"/>
                <w:sz w:val="20"/>
                <w:szCs w:val="20"/>
                <w:highlight w:val="none"/>
                <w:u w:val="none"/>
                <w:lang w:val="en-US" w:eastAsia="zh-CN" w:bidi="ar"/>
              </w:rPr>
              <w:t xml:space="preserve">规格：4000*1200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0"/>
              </w:numPr>
              <w:rPr>
                <w:color w:val="000000"/>
                <w:highlight w:val="none"/>
              </w:rPr>
            </w:pPr>
            <w:r>
              <w:rPr>
                <w:rFonts w:hint="eastAsia" w:ascii="宋体" w:hAnsi="宋体" w:eastAsia="宋体" w:cs="宋体"/>
                <w:i w:val="0"/>
                <w:iCs w:val="0"/>
                <w:color w:val="000000"/>
                <w:sz w:val="20"/>
                <w:szCs w:val="20"/>
                <w:highlight w:val="none"/>
                <w:u w:val="none"/>
                <w:lang w:val="en-US" w:eastAsia="zh-CN" w:bidi="ar"/>
              </w:rPr>
              <w:t xml:space="preserve">2、面料：磨砂pvc膜，纳米铁胶纤维，磁力吸附，流畅笔触，产品检测标准符合国家要求。  </w:t>
            </w:r>
            <w:r/>
          </w:p>
        </w:tc>
      </w:tr>
      <w:tr>
        <w:trPr>
          <w:jc w:val="center"/>
          <w:trHeight w:val="555"/>
        </w:trPr>
        <w:tc>
          <w:tcPr>
            <w:tcW w:w="368" w:type="dxa"/>
            <w:vAlign w:val="center"/>
            <w:vMerge w:val="restart"/>
            <w:textDirection w:val="lrTb"/>
            <w:noWrap w:val="false"/>
          </w:tcPr>
          <w:p>
            <w:pPr>
              <w:jc w:val="center"/>
              <w:widowControl/>
              <w:rPr>
                <w:rFonts w:hint="eastAsia" w:eastAsia="宋体"/>
                <w:color w:val="000000"/>
                <w:highlight w:val="none"/>
                <w:lang w:val="en-US" w:eastAsia="zh-CN"/>
              </w:rPr>
            </w:pPr>
            <w:r>
              <w:rPr>
                <w:rFonts w:hint="eastAsia"/>
                <w:color w:val="000000"/>
                <w:highlight w:val="none"/>
                <w:lang w:val="en-US" w:eastAsia="zh-CN"/>
              </w:rPr>
              <w:t xml:space="preserve">3</w:t>
            </w:r>
            <w:r/>
          </w:p>
        </w:tc>
        <w:tc>
          <w:tcPr>
            <w:tcW w:w="798" w:type="dxa"/>
            <w:vAlign w:val="center"/>
            <w:vMerge w:val="restart"/>
            <w:textDirection w:val="lrTb"/>
            <w:noWrap w:val="false"/>
          </w:tcPr>
          <w:p>
            <w:pPr>
              <w:jc w:val="center"/>
              <w:keepLines w:val="0"/>
              <w:keepNext w:val="0"/>
              <w:widowControl/>
              <w:rPr>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书包柜（含图书柜）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color w:val="000000"/>
                <w:highlight w:val="none"/>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center"/>
            <w:vMerge w:val="continue"/>
            <w:textDirection w:val="lrTb"/>
            <w:noWrap w:val="false"/>
          </w:tcPr>
          <w:p>
            <w:pPr>
              <w:jc w:val="center"/>
              <w:widowControl/>
              <w:rPr>
                <w:color w:val="000000"/>
                <w:highlight w:val="none"/>
              </w:rPr>
            </w:pPr>
            <w:r>
              <w:rPr>
                <w:color w:val="000000"/>
                <w:highlight w:val="none"/>
              </w:rPr>
            </w:r>
            <w:r/>
          </w:p>
        </w:tc>
        <w:tc>
          <w:tcPr>
            <w:tcW w:w="798" w:type="dxa"/>
            <w:vAlign w:val="center"/>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val="en-US" w:eastAsia="zh-CN" w:bidi="ar"/>
              </w:rPr>
              <w:t xml:space="preserve"> </w:t>
            </w:r>
            <w:r>
              <w:rPr>
                <w:rFonts w:hint="eastAsia" w:ascii="宋体" w:hAnsi="宋体" w:cs="宋体"/>
                <w:color w:val="000000"/>
                <w:sz w:val="20"/>
                <w:szCs w:val="20"/>
                <w:highlight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1、规格：书包柜：6800*350*980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，图书柜：800*300*990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w:t>
            </w:r>
            <w:r/>
          </w:p>
          <w:p>
            <w:pPr>
              <w:jc w:val="left"/>
              <w:rPr>
                <w:rFonts w:hint="eastAsia" w:ascii="宋体" w:hAnsi="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5、五金配件：采用优质五金配件，经防锈处理，达国家标准；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6、结构：图书柜上下分体，上部分占柜体1/2，下部分带门占柜体1/2，上部分带造型隔断，下部分对开门，下门内设两块隔板，踢脚线高度50</w:t>
            </w:r>
            <w:r>
              <w:rPr>
                <w:rFonts w:hint="eastAsia" w:ascii="宋体" w:hAnsi="宋体" w:cs="宋体"/>
                <w:i w:val="0"/>
                <w:iCs w:val="0"/>
                <w:color w:val="000000"/>
                <w:sz w:val="20"/>
                <w:szCs w:val="20"/>
                <w:highlight w:val="none"/>
                <w:u w:val="none"/>
                <w:lang w:val="en-US" w:eastAsia="zh-CN" w:bidi="ar"/>
              </w:rPr>
              <w:t xml:space="preserve">mm；                               </w:t>
            </w:r>
            <w:r/>
          </w:p>
          <w:p>
            <w:pPr>
              <w:jc w:val="left"/>
              <w:rPr>
                <w:color w:val="000000"/>
                <w:highlight w:val="none"/>
              </w:rPr>
            </w:pPr>
            <w:r>
              <w:rPr>
                <w:rFonts w:hint="eastAsia" w:ascii="宋体" w:hAnsi="宋体" w:cs="宋体"/>
                <w:i w:val="0"/>
                <w:iCs w:val="0"/>
                <w:color w:val="000000"/>
                <w:sz w:val="20"/>
                <w:szCs w:val="20"/>
                <w:highlight w:val="none"/>
                <w:u w:val="none"/>
                <w:lang w:val="en-US" w:eastAsia="zh-CN" w:bidi="ar"/>
              </w:rPr>
              <w:t xml:space="preserve">7、款式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537"/>
        </w:trPr>
        <w:tc>
          <w:tcPr>
            <w:tcW w:w="368" w:type="dxa"/>
            <w:vAlign w:val="center"/>
            <w:vMerge w:val="restart"/>
            <w:textDirection w:val="lrTb"/>
            <w:noWrap w:val="false"/>
          </w:tcPr>
          <w:p>
            <w:pPr>
              <w:jc w:val="center"/>
              <w:widowControl/>
              <w:rPr>
                <w:rFonts w:hint="eastAsia" w:ascii="Times New Roman" w:hAnsi="Times New Roman" w:eastAsia="宋体" w:cs="Times New Roman"/>
                <w:color w:val="000000"/>
                <w:sz w:val="21"/>
                <w:szCs w:val="22"/>
                <w:highlight w:val="none"/>
                <w:lang w:val="en-US" w:eastAsia="zh-CN" w:bidi="ar-SA"/>
              </w:rPr>
            </w:pPr>
            <w:r>
              <w:rPr>
                <w:rFonts w:hint="eastAsia"/>
                <w:color w:val="000000"/>
                <w:highlight w:val="none"/>
                <w:lang w:val="en-US" w:eastAsia="zh-CN"/>
              </w:rPr>
              <w:t xml:space="preserve">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8"/>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规格：1700*1500*1500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8"/>
              </w:numPr>
              <w:ind w:left="0" w:firstLine="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,其它厚度≥18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w:t>
            </w:r>
            <w:r/>
          </w:p>
          <w:p>
            <w:pPr>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5、五金配件：采用优质五金配件，经防锈处理，达国家标准；             6、结构：桌面开φ60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走线孔，桌子一侧带三个抽屉+柜门</w:t>
            </w:r>
            <w:r>
              <w:rPr>
                <w:rFonts w:hint="eastAsia" w:ascii="宋体" w:hAnsi="宋体" w:cs="宋体"/>
                <w:i w:val="0"/>
                <w:iCs w:val="0"/>
                <w:color w:val="000000"/>
                <w:sz w:val="20"/>
                <w:szCs w:val="20"/>
                <w:highlight w:val="none"/>
                <w:u w:val="none"/>
                <w:lang w:val="en-US" w:eastAsia="zh-CN" w:bidi="ar"/>
              </w:rPr>
              <w:t xml:space="preserve">；             7、款式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教室讲台-1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p>
            <w:pPr>
              <w:pStyle w:val="1047"/>
              <w:rPr>
                <w:highlight w:val="none"/>
              </w:rPr>
            </w:pPr>
            <w:r>
              <w:rPr>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9"/>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规格：900*1000*550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2、冷轧钢板钢板厚度不小于0.6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3、定制钢制金属，经酸洗、磷化处理后粉末静电喷涂 ，表面光滑平整无瑕疵，符合国家标准。</w:t>
            </w:r>
            <w:r/>
          </w:p>
        </w:tc>
      </w:tr>
      <w:tr>
        <w:trPr>
          <w:jc w:val="center"/>
          <w:trHeight w:val="7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464"/>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10"/>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规格：400*350*300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w:t>
            </w:r>
            <w:r/>
          </w:p>
          <w:p>
            <w:pPr>
              <w:rPr>
                <w:rFonts w:ascii="Times New Roman" w:hAnsi="Times New Roman" w:eastAsia="宋体" w:cs="Times New Roman"/>
                <w:color w:val="000000"/>
                <w:sz w:val="21"/>
                <w:szCs w:val="22"/>
                <w:highlight w:val="none"/>
                <w:lang w:val="en-US" w:eastAsia="zh-CN" w:bidi="ar-SA"/>
              </w:rPr>
            </w:pPr>
            <w:r>
              <w:rPr>
                <w:rFonts w:hint="eastAsia" w:eastAsia="宋体"/>
                <w:color w:val="000000"/>
                <w:highlight w:val="none"/>
                <w:lang w:val="en-US" w:eastAsia="zh-CN"/>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11"/>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规格：1200*1200*765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2、桌面基材：采用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p>
          <w:p>
            <w:pPr>
              <w:numPr>
                <w:ilvl w:val="0"/>
                <w:numId w:val="0"/>
              </w:numPr>
              <w:jc w:val="left"/>
              <w:rPr>
                <w:rFonts w:hint="eastAsia" w:ascii="宋体" w:hAnsi="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3、桌架：定制钢制金属，经酸洗、磷化处理后粉末静电喷涂 ，表面光滑平整无瑕疵，符合国家标准；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                                           </w:t>
            </w:r>
            <w:r/>
          </w:p>
          <w:p>
            <w:pPr>
              <w:numPr>
                <w:ilvl w:val="0"/>
                <w:numId w:val="0"/>
              </w:numPr>
              <w:jc w:val="left"/>
              <w:rPr>
                <w:rFonts w:ascii="Times New Roman" w:hAnsi="Times New Roman" w:eastAsia="宋体" w:cs="Times New Roman"/>
                <w:color w:val="000000"/>
                <w:sz w:val="21"/>
                <w:szCs w:val="21"/>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5、款式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5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12"/>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规格：330*240*460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2、椅面基材：采用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3、椅架：定制钢制金属，经酸洗、磷化处理后粉末静电喷涂 ，表面光滑平整无瑕疵，符合国家标准；</w:t>
            </w:r>
            <w:r/>
          </w:p>
          <w:p>
            <w:pPr>
              <w:numPr>
                <w:ilvl w:val="0"/>
                <w:numId w:val="0"/>
              </w:numPr>
              <w:rPr>
                <w:rFonts w:hint="eastAsia" w:ascii="宋体" w:hAnsi="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                                              </w:t>
            </w:r>
            <w:r/>
          </w:p>
          <w:p>
            <w:pPr>
              <w:numPr>
                <w:ilvl w:val="0"/>
                <w:numId w:val="0"/>
              </w:numPr>
              <w:rPr>
                <w:rFonts w:ascii="Times New Roman" w:hAnsi="Times New Roman" w:eastAsia="宋体" w:cs="Times New Roman"/>
                <w:color w:val="000000"/>
                <w:sz w:val="21"/>
                <w:szCs w:val="21"/>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5、款式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8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w:t>
            </w:r>
            <w:r>
              <w:rPr>
                <w:rFonts w:hint="eastAsia" w:ascii="宋体" w:hAnsi="宋体" w:cs="宋体"/>
                <w:i w:val="0"/>
                <w:iCs w:val="0"/>
                <w:color w:val="000000"/>
                <w:sz w:val="22"/>
                <w:szCs w:val="22"/>
                <w:highlight w:val="none"/>
                <w:u w:val="none"/>
                <w:lang w:val="en-US" w:eastAsia="zh-CN" w:bidi="ar"/>
              </w:rPr>
              <w:t xml:space="preserve">班</w:t>
            </w:r>
            <w:r>
              <w:rPr>
                <w:rFonts w:hint="eastAsia" w:ascii="宋体" w:hAnsi="宋体" w:eastAsia="宋体" w:cs="宋体"/>
                <w:i w:val="0"/>
                <w:iCs w:val="0"/>
                <w:color w:val="000000"/>
                <w:sz w:val="22"/>
                <w:szCs w:val="22"/>
                <w:highlight w:val="none"/>
                <w:u w:val="none"/>
                <w:lang w:val="en-US" w:eastAsia="zh-CN" w:bidi="ar"/>
              </w:rPr>
              <w:t xml:space="preserve">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13"/>
              </w:numPr>
              <w:jc w:val="left"/>
              <w:keepLines w:val="0"/>
              <w:keepNext w:val="0"/>
              <w:widowControl/>
              <w:rPr>
                <w:color w:val="000000"/>
                <w:highlight w:val="none"/>
                <w:lang w:val="en-US"/>
              </w:rPr>
              <w:suppressLineNumbers w:val="0"/>
            </w:pPr>
            <w:r>
              <w:rPr>
                <w:rStyle w:val="1055"/>
                <w:color w:val="000000"/>
                <w:highlight w:val="none"/>
                <w:lang w:val="en-US" w:eastAsia="zh-CN" w:bidi="ar"/>
              </w:rPr>
              <w:t xml:space="preserve">规格：1600*700*760mm</w:t>
            </w:r>
            <w:r>
              <w:rPr>
                <w:rStyle w:val="1056"/>
                <w:color w:val="000000"/>
                <w:highlight w:val="none"/>
                <w:lang w:val="en-US" w:eastAsia="zh-CN" w:bidi="ar"/>
              </w:rPr>
              <w:t xml:space="preserve">；                                                   2、桌面基材：采用实木多层板（浸渍胶膜纸饰面），厚度≥25mm,产品检测标准符合国家要求；                                                                  3、桌架：定制钢制金属，经酸洗、磷化处理后粉末静电喷涂 ，表面光滑平整无瑕疵，符合国家标准；</w:t>
            </w:r>
            <w:r>
              <w:rPr>
                <w:rStyle w:val="1056"/>
                <w:color w:val="000000"/>
                <w:highlight w:val="none"/>
                <w:lang w:val="en-US" w:eastAsia="zh-CN" w:bidi="ar"/>
              </w:rPr>
              <w:br w:type="textWrapping" w:clear="all"/>
            </w:r>
            <w:r>
              <w:rPr>
                <w:rStyle w:val="1056"/>
                <w:color w:val="000000"/>
                <w:highlight w:val="none"/>
                <w:lang w:val="en-US" w:eastAsia="zh-CN" w:bidi="ar"/>
              </w:rPr>
              <w:t xml:space="preserve">4、封边：采用PVC封边，耐干热、耐磨性、耐冷热循环性均为检测合格；</w:t>
            </w:r>
            <w:r>
              <w:rPr>
                <w:rStyle w:val="1056"/>
                <w:rFonts w:hint="eastAsia"/>
                <w:color w:val="000000"/>
                <w:highlight w:val="none"/>
                <w:lang w:val="en-US" w:eastAsia="zh-CN" w:bidi="ar"/>
              </w:rPr>
              <w:t xml:space="preserve">         </w:t>
            </w:r>
            <w:r/>
          </w:p>
          <w:p>
            <w:pPr>
              <w:rPr>
                <w:rFonts w:ascii="Times New Roman" w:hAnsi="Times New Roman" w:eastAsia="宋体" w:cs="Times New Roman"/>
                <w:color w:val="000000"/>
                <w:sz w:val="21"/>
                <w:szCs w:val="22"/>
                <w:highlight w:val="none"/>
                <w:lang w:val="en-US" w:eastAsia="zh-CN" w:bidi="ar-SA"/>
              </w:rPr>
            </w:pPr>
            <w:r>
              <w:rPr>
                <w:rStyle w:val="1056"/>
                <w:rFonts w:hint="eastAsia"/>
                <w:color w:val="000000"/>
                <w:highlight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4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14"/>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规格：1500*1500*1100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6、结构：采用40款屏风，加配活动柜</w:t>
            </w:r>
            <w:r>
              <w:rPr>
                <w:rFonts w:hint="eastAsia" w:ascii="宋体" w:hAnsi="宋体" w:cs="宋体"/>
                <w:i w:val="0"/>
                <w:iCs w:val="0"/>
                <w:color w:val="000000"/>
                <w:sz w:val="20"/>
                <w:szCs w:val="20"/>
                <w:highlight w:val="none"/>
                <w:u w:val="none"/>
                <w:lang w:val="en-US" w:eastAsia="zh-CN" w:bidi="ar"/>
              </w:rPr>
              <w:t xml:space="preserve">；                   </w:t>
            </w:r>
            <w:r/>
          </w:p>
          <w:p>
            <w:pPr>
              <w:rPr>
                <w:rFonts w:ascii="Times New Roman" w:hAnsi="Times New Roman" w:eastAsia="宋体" w:cs="Times New Roman"/>
                <w:color w:val="000000"/>
                <w:sz w:val="21"/>
                <w:szCs w:val="22"/>
                <w:highlight w:val="none"/>
                <w:lang w:val="en-US" w:eastAsia="zh-CN" w:bidi="ar-SA"/>
              </w:rPr>
            </w:pPr>
            <w:r>
              <w:rPr>
                <w:rFonts w:hint="eastAsia" w:eastAsia="宋体"/>
                <w:color w:val="000000"/>
                <w:highlight w:val="none"/>
                <w:lang w:val="en-US" w:eastAsia="zh-CN"/>
              </w:rPr>
              <w:t xml:space="preserve">7、</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50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15"/>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规格：590*790*1250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15"/>
              </w:numPr>
              <w:ind w:left="0" w:firstLine="0"/>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名称：采用加强工程塑料，一体成型人体工学背框，宽大空心头枕；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3、腰靠：多功能龙骨腰托，紧贴腰部，可根据个人舒适度调节，承托腰椎保护腰部；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4、扶手：全新超韧尼龙弹力活动扶手；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5、海绵：</w:t>
            </w:r>
            <w:r>
              <w:rPr>
                <w:rFonts w:hint="eastAsia" w:ascii="宋体" w:hAnsi="宋体" w:cs="宋体"/>
                <w:i w:val="0"/>
                <w:iCs w:val="0"/>
                <w:color w:val="000000"/>
                <w:sz w:val="20"/>
                <w:szCs w:val="20"/>
                <w:highlight w:val="none"/>
                <w:u w:val="none"/>
                <w:lang w:val="en-US" w:eastAsia="zh-CN" w:bidi="ar"/>
              </w:rPr>
              <w:t xml:space="preserve">45D高回弹海绵</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6、网布：</w:t>
            </w:r>
            <w:r>
              <w:rPr>
                <w:rFonts w:hint="eastAsia"/>
                <w:highlight w:val="none"/>
              </w:rPr>
              <w:t xml:space="preserve">采用亲肤面料配耐磨透气网布</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7、底盘：300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厚大方形升降底盘；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8、控制：按钮式300牛线控启动躺度功能，靠背可任意角度调节最大角度165度；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9、气杆：</w:t>
            </w:r>
            <w:r>
              <w:rPr>
                <w:rFonts w:hint="eastAsia" w:ascii="宋体" w:hAnsi="宋体" w:cs="宋体"/>
                <w:i w:val="0"/>
                <w:iCs w:val="0"/>
                <w:color w:val="000000"/>
                <w:sz w:val="20"/>
                <w:szCs w:val="20"/>
                <w:highlight w:val="none"/>
                <w:u w:val="none"/>
                <w:lang w:val="en-US" w:eastAsia="zh-CN" w:bidi="ar"/>
              </w:rPr>
              <w:t xml:space="preserve">85mm/4</w:t>
            </w:r>
            <w:r>
              <w:rPr>
                <w:rFonts w:hint="eastAsia" w:ascii="宋体" w:hAnsi="宋体" w:eastAsia="宋体" w:cs="宋体"/>
                <w:i w:val="0"/>
                <w:iCs w:val="0"/>
                <w:color w:val="000000"/>
                <w:sz w:val="20"/>
                <w:szCs w:val="20"/>
                <w:highlight w:val="none"/>
                <w:u w:val="none"/>
                <w:lang w:val="en-US" w:eastAsia="zh-CN" w:bidi="ar"/>
              </w:rPr>
              <w:t xml:space="preserve">行程黑色三级升降气杆；</w:t>
            </w:r>
            <w:r/>
          </w:p>
          <w:p>
            <w:pPr>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10、脚踏：电镀枝条脚托，搭配伸缩脚托，更加舒适；</w:t>
            </w:r>
            <w:r/>
          </w:p>
          <w:p>
            <w:pPr>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11、五星脚：350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尼龙脚；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12、脚轮：黑色55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专用尼龙活动轮。  </w:t>
            </w:r>
            <w:r/>
          </w:p>
        </w:tc>
      </w:tr>
      <w:tr>
        <w:trPr>
          <w:jc w:val="center"/>
          <w:trHeight w:val="489"/>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行政办公桌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16"/>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规格：2400*2000*760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2、桌面基材：采用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3、封边：采用PVC封边，耐干热、耐磨性、耐冷热循环性均为检测合格；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4、胶水：采用环保水性胶粘剂，产品检测标准符合国家要求</w:t>
            </w:r>
            <w:r>
              <w:rPr>
                <w:rFonts w:hint="eastAsia" w:ascii="宋体" w:hAnsi="宋体" w:cs="宋体"/>
                <w:i w:val="0"/>
                <w:iCs w:val="0"/>
                <w:color w:val="000000"/>
                <w:sz w:val="20"/>
                <w:szCs w:val="20"/>
                <w:highlight w:val="none"/>
                <w:u w:val="none"/>
                <w:lang w:val="en-US" w:eastAsia="zh-CN" w:bidi="ar"/>
              </w:rPr>
              <w:t xml:space="preserve">；</w:t>
            </w:r>
            <w:r/>
          </w:p>
          <w:p>
            <w:pPr>
              <w:rPr>
                <w:rFonts w:ascii="Times New Roman" w:hAnsi="Times New Roman" w:eastAsia="宋体" w:cs="Times New Roman"/>
                <w:color w:val="000000"/>
                <w:sz w:val="21"/>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53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17"/>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规格：1200*550*640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2、桌面基材：采用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3、封边：采用PVC封边，耐干热、耐磨性、耐冷热循环性均为检测合格；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4、胶水：采用环保水性胶粘剂，产品检测标准符合国家要求；                                                               5、五金配件：采用优质五金配件</w:t>
            </w:r>
            <w:r>
              <w:rPr>
                <w:rFonts w:hint="eastAsia" w:ascii="宋体" w:hAnsi="宋体" w:cs="宋体"/>
                <w:i w:val="0"/>
                <w:iCs w:val="0"/>
                <w:color w:val="000000"/>
                <w:sz w:val="20"/>
                <w:szCs w:val="20"/>
                <w:highlight w:val="none"/>
                <w:u w:val="none"/>
                <w:lang w:val="en-US" w:eastAsia="zh-CN" w:bidi="ar"/>
              </w:rPr>
              <w:t xml:space="preserve">；</w:t>
            </w:r>
            <w:r/>
          </w:p>
          <w:p>
            <w:pPr>
              <w:rPr>
                <w:rFonts w:ascii="Times New Roman" w:hAnsi="Times New Roman" w:eastAsia="宋体" w:cs="Times New Roman"/>
                <w:color w:val="000000"/>
                <w:sz w:val="21"/>
                <w:szCs w:val="22"/>
                <w:highlight w:val="none"/>
                <w:lang w:val="en-US" w:eastAsia="zh-CN" w:bidi="ar-SA"/>
              </w:rPr>
            </w:pPr>
            <w:r>
              <w:rPr>
                <w:rFonts w:hint="eastAsia" w:eastAsia="宋体"/>
                <w:color w:val="000000"/>
                <w:highlight w:val="none"/>
                <w:lang w:val="en-US" w:eastAsia="zh-CN"/>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55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18"/>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规格：630*710*1190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2、饰面：靠背、座所选面料采用纳米科技皮，耐脏、耐磨、耐高温，不脱层不掉色，质感柔软；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3、海绵：座内垫环保35高密度成型海绵填充软硬适中，回弹性高。靠背内垫3A中空纤维棉软包填充，回弹性、伏贴性高，柔软舒适；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4、汽动杆采用2.5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厚SHS三弘双层加厚镍铬电镀汽动杆；                                                                     5、五星脚采用优质异形钢管机械成型焊而成，表面精抛处理，高温加厚双镍铬电镀。</w:t>
            </w:r>
            <w:r/>
          </w:p>
        </w:tc>
      </w:tr>
      <w:tr>
        <w:trPr>
          <w:jc w:val="center"/>
          <w:trHeight w:val="55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音乐准备室服装柜及鞋柜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57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19"/>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规格：7000*400*2000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+3600*400*400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w:t>
            </w:r>
            <w:r/>
          </w:p>
          <w:p>
            <w:pPr>
              <w:rPr>
                <w:rFonts w:ascii="Times New Roman" w:hAnsi="Times New Roman" w:eastAsia="宋体" w:cs="Times New Roman"/>
                <w:color w:val="000000"/>
                <w:sz w:val="21"/>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4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乐器陈列架</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20"/>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规格：6000*400*1800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                                                           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w:t>
            </w:r>
            <w:r/>
          </w:p>
          <w:p>
            <w:pPr>
              <w:rPr>
                <w:rFonts w:ascii="Times New Roman" w:hAnsi="Times New Roman" w:eastAsia="宋体" w:cs="Times New Roman"/>
                <w:color w:val="000000"/>
                <w:sz w:val="21"/>
                <w:szCs w:val="22"/>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5、款式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9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21"/>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4、桌架：定制钢制金属，经酸洗、磷化处理后粉末静电喷涂，表面光滑平整无瑕疵，符合国家标准；                                              5、封边：采用PVC封边，耐干热、耐磨性、耐冷热循环性均为检测合格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w:t>
            </w:r>
            <w:r/>
          </w:p>
          <w:p>
            <w:pPr>
              <w:rPr>
                <w:rFonts w:ascii="Times New Roman" w:hAnsi="Times New Roman" w:eastAsia="宋体" w:cs="Times New Roman"/>
                <w:color w:val="000000"/>
                <w:sz w:val="21"/>
                <w:szCs w:val="22"/>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6、款式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p>
        </w:tc>
      </w:tr>
      <w:tr>
        <w:trPr>
          <w:jc w:val="center"/>
          <w:trHeight w:val="64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大华报告厅学生公开课桌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976"/>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22"/>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规格：1200*450*450*750mm；                                     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                                                            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4、桌架:定制钢制金属，经酸洗、磷化处理后粉末静电喷涂，表面光滑平整无瑕疵，符合国家标准；                                            5、封边:采用PVC封边，耐干热、耐磨性、耐冷热循环性均为检测合格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w:t>
            </w:r>
            <w:r/>
          </w:p>
          <w:p>
            <w:pPr>
              <w:rPr>
                <w:rFonts w:ascii="Times New Roman" w:hAnsi="Times New Roman" w:eastAsia="宋体" w:cs="Times New Roman"/>
                <w:color w:val="000000"/>
                <w:sz w:val="21"/>
                <w:szCs w:val="22"/>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6、款式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2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组合桌柜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648"/>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23"/>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规格：桌子：1600*800*750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柜体1600*400*2000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23"/>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4、封边：采用PVC封边，耐干热、耐磨性、耐冷热循环性均为检测合格；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5、结构：桌面开φ60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走线孔，桌子一侧活动柜，柜体由四个对开门+造型隔断。</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5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24"/>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规格：1000*420*1690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2、电压/功率：220V/1035W；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3、发热管信息(长:325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):200W*2 300W*2；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4、内胆规格1000*375*1380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5、插头类型/温控温度:10A三插/75°C；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6、箱体/内胆材质：410不锈钢/铁镀镍；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7、层架规格：分餐盘架960*339*85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8、可放餐具规格：分餐盘285*220*40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tc>
      </w:tr>
      <w:tr>
        <w:trPr>
          <w:jc w:val="center"/>
          <w:trHeight w:val="68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书架</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25"/>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规格：1050*350*1200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p>
          <w:p>
            <w:pPr>
              <w:numPr>
                <w:ilvl w:val="0"/>
                <w:numId w:val="0"/>
              </w:numPr>
              <w:jc w:val="left"/>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p>
            <w:pPr>
              <w:numPr>
                <w:ilvl w:val="0"/>
                <w:numId w:val="0"/>
              </w:numPr>
              <w:jc w:val="left"/>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 </w:t>
            </w:r>
            <w:r/>
          </w:p>
        </w:tc>
      </w:tr>
      <w:tr>
        <w:trPr>
          <w:jc w:val="center"/>
          <w:trHeight w:val="722"/>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异形沙发</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26"/>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规格:2400*2400*730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26"/>
              </w:numPr>
              <w:ind w:left="0" w:firstLine="0"/>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内框架：实木框架多层夹板；</w:t>
            </w:r>
            <w:r/>
          </w:p>
          <w:p>
            <w:pPr>
              <w:numPr>
                <w:ilvl w:val="0"/>
                <w:numId w:val="26"/>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度高回弹新棉；</w:t>
            </w:r>
            <w:r/>
          </w:p>
          <w:p>
            <w:pPr>
              <w:numPr>
                <w:ilvl w:val="0"/>
                <w:numId w:val="26"/>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高回弹新棉；</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5、面料:布艺/西皮；</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6、沙发脚:防滑脚垫。</w:t>
            </w:r>
            <w:r/>
          </w:p>
        </w:tc>
      </w:tr>
      <w:tr>
        <w:trPr>
          <w:jc w:val="center"/>
          <w:trHeight w:val="65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矮书架</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27"/>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规格：1100*350*1200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p>
          <w:p>
            <w:pPr>
              <w:numPr>
                <w:ilvl w:val="0"/>
                <w:numId w:val="0"/>
              </w:numPr>
              <w:jc w:val="left"/>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p>
            <w:pPr>
              <w:numPr>
                <w:ilvl w:val="0"/>
                <w:numId w:val="0"/>
              </w:numPr>
              <w:jc w:val="left"/>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 </w:t>
            </w:r>
            <w:r/>
          </w:p>
        </w:tc>
      </w:tr>
      <w:tr>
        <w:trPr>
          <w:jc w:val="center"/>
          <w:trHeight w:val="75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展示柜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numPr>
                <w:ilvl w:val="0"/>
                <w:numId w:val="0"/>
              </w:numPr>
              <w:jc w:val="left"/>
              <w:widowControl/>
              <w:rPr>
                <w:rFonts w:hint="eastAsia" w:ascii="宋体" w:hAnsi="宋体" w:eastAsia="宋体" w:cs="宋体"/>
                <w:i w:val="0"/>
                <w:iCs w:val="0"/>
                <w:color w:val="000000"/>
                <w:sz w:val="20"/>
                <w:szCs w:val="20"/>
                <w:highlight w:val="none"/>
                <w:u w:val="none"/>
                <w:lang w:val="en-US" w:eastAsia="zh-CN" w:bidi="ar"/>
              </w:rPr>
            </w:pPr>
            <w:r>
              <w:rPr>
                <w:rFonts w:hint="eastAsia" w:ascii="宋体" w:hAnsi="宋体" w:cs="宋体"/>
                <w:color w:val="000000"/>
                <w:sz w:val="20"/>
                <w:szCs w:val="20"/>
                <w:highlight w:val="none"/>
                <w:lang w:eastAsia="zh-CN" w:bidi="ar"/>
              </w:rPr>
              <w:t xml:space="preserve">不低于以下要求：</w:t>
            </w:r>
            <w:r/>
          </w:p>
          <w:p>
            <w:pPr>
              <w:numPr>
                <w:ilvl w:val="0"/>
                <w:numId w:val="0"/>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1、规格：1100*350*1600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p>
          <w:p>
            <w:pPr>
              <w:numPr>
                <w:ilvl w:val="0"/>
                <w:numId w:val="0"/>
              </w:numPr>
              <w:jc w:val="left"/>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p>
            <w:pPr>
              <w:numPr>
                <w:ilvl w:val="0"/>
                <w:numId w:val="0"/>
              </w:numPr>
              <w:jc w:val="left"/>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  </w:t>
            </w:r>
            <w:r/>
          </w:p>
        </w:tc>
      </w:tr>
      <w:tr>
        <w:trPr>
          <w:jc w:val="center"/>
          <w:trHeight w:val="64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定制沙发组合</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28"/>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规格：根据现场定制；                                                </w:t>
            </w:r>
            <w:r/>
          </w:p>
          <w:p>
            <w:pPr>
              <w:numPr>
                <w:ilvl w:val="0"/>
                <w:numId w:val="0"/>
              </w:numPr>
              <w:jc w:val="left"/>
              <w:rPr>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2、立柱基材:2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厚铝板+软膜；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3、立柱结构:铝板包柱子（直径</w:t>
            </w:r>
            <w:r>
              <w:rPr>
                <w:rFonts w:hint="eastAsia" w:ascii="宋体" w:hAnsi="宋体" w:cs="宋体"/>
                <w:i w:val="0"/>
                <w:iCs w:val="0"/>
                <w:color w:val="000000"/>
                <w:sz w:val="20"/>
                <w:szCs w:val="20"/>
                <w:highlight w:val="none"/>
                <w:u w:val="none"/>
                <w:lang w:val="en-US" w:eastAsia="zh-CN" w:bidi="ar"/>
              </w:rPr>
              <w:t xml:space="preserve">1000mm</w:t>
            </w:r>
            <w:r>
              <w:rPr>
                <w:rFonts w:hint="eastAsia" w:ascii="宋体" w:hAnsi="宋体" w:eastAsia="宋体" w:cs="宋体"/>
                <w:i w:val="0"/>
                <w:iCs w:val="0"/>
                <w:color w:val="000000"/>
                <w:sz w:val="20"/>
                <w:szCs w:val="20"/>
                <w:highlight w:val="none"/>
                <w:u w:val="none"/>
                <w:lang w:val="en-US" w:eastAsia="zh-CN" w:bidi="ar"/>
              </w:rPr>
              <w:t xml:space="preserve">），嵌入软膜灯箱，下部结合定制圆形沙发（直径</w:t>
            </w:r>
            <w:r>
              <w:rPr>
                <w:rFonts w:hint="eastAsia" w:ascii="宋体" w:hAnsi="宋体" w:cs="宋体"/>
                <w:i w:val="0"/>
                <w:iCs w:val="0"/>
                <w:color w:val="000000"/>
                <w:sz w:val="20"/>
                <w:szCs w:val="20"/>
                <w:highlight w:val="none"/>
                <w:u w:val="none"/>
                <w:lang w:val="en-US" w:eastAsia="zh-CN" w:bidi="ar"/>
              </w:rPr>
              <w:t xml:space="preserve">1800mm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4、沙发（1）框架:实木框架配多层板；</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度高回弹新棉，坐垫为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高回弹新棉；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（3）面料:布艺/西皮；                                         </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（4）沙发脚:防滑脚垫。</w:t>
            </w:r>
            <w:r/>
          </w:p>
        </w:tc>
      </w:tr>
      <w:tr>
        <w:trPr>
          <w:jc w:val="center"/>
          <w:trHeight w:val="75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悦砺庭</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214"/>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pvc+3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亚克力立体雕刻；                                    2、四周PVC封边处理，图案UV高清印刷技术。</w:t>
            </w:r>
            <w:r/>
          </w:p>
        </w:tc>
      </w:tr>
      <w:tr>
        <w:trPr>
          <w:jc w:val="center"/>
          <w:trHeight w:val="672"/>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丢丢屋</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1、规格：3700*250/500*2000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                                                         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p>
            <w:pPr>
              <w:jc w:val="left"/>
              <w:keepLines w:val="0"/>
              <w:keepNext w:val="0"/>
              <w:widowControl/>
              <w:rPr>
                <w:rFonts w:ascii="宋体" w:hAnsi="宋体" w:eastAsia="宋体" w:cs="宋体"/>
                <w:bCs w:val="0"/>
                <w:i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w:t>
            </w:r>
            <w:r/>
          </w:p>
        </w:tc>
      </w:tr>
      <w:tr>
        <w:trPr>
          <w:jc w:val="center"/>
          <w:trHeight w:val="67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石头凳1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29"/>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规格：550*550*400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29"/>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内框架:实木框架多层夹板；</w:t>
            </w:r>
            <w:r/>
          </w:p>
          <w:p>
            <w:pPr>
              <w:numPr>
                <w:ilvl w:val="0"/>
                <w:numId w:val="29"/>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度高回弹切割新棉；</w:t>
            </w:r>
            <w:r/>
          </w:p>
          <w:p>
            <w:pPr>
              <w:numPr>
                <w:ilvl w:val="0"/>
                <w:numId w:val="29"/>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高回弹切割新棉；                                </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5、面料:布艺/西皮；</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6、沙发脚:防滑脚垫。</w:t>
            </w:r>
            <w:r/>
          </w:p>
        </w:tc>
      </w:tr>
      <w:tr>
        <w:trPr>
          <w:jc w:val="center"/>
          <w:trHeight w:val="52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石头凳2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3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规格:700*700*400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2、内框架:实木框架多层夹板；                                      </w:t>
            </w:r>
            <w:r/>
          </w:p>
          <w:p>
            <w:pPr>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度高回弹切割新棉；</w:t>
            </w:r>
            <w:r/>
          </w:p>
          <w:p>
            <w:pPr>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4、坐垫为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高回弹切割新棉；</w:t>
            </w:r>
            <w:r/>
          </w:p>
          <w:p>
            <w:pPr>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5、面料:布艺/西皮；</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6、沙发脚:防滑脚垫。</w:t>
            </w:r>
            <w:r/>
          </w:p>
        </w:tc>
      </w:tr>
      <w:tr>
        <w:trPr>
          <w:jc w:val="center"/>
          <w:trHeight w:val="77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行政办公桌椅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31"/>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规格:桌子1600*800*750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柜体1600*400*650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p>
          <w:p>
            <w:pPr>
              <w:numPr>
                <w:ilvl w:val="0"/>
                <w:numId w:val="0"/>
              </w:num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p>
            <w:pPr>
              <w:numPr>
                <w:ilvl w:val="0"/>
                <w:numId w:val="0"/>
              </w:numPr>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5、可调节座椅：高品质PU/网布面料，靠背可调节，填充高回弹海绵</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0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黑板</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315"/>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32"/>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规格：4000*1200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2、板面：采用环保软木板采用天然橡树树皮为原材料，没有刺激气味，具有良好的抗高温和阻燃功能，氧指数检测超出一般装饰材料的防火要求，厚度≥3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3、边框：采用高强度银色氧化铝合金型材或者采用高强度香槟色氧化电泳铝合金型材，规格30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，型腔结构，增加板体挺度，教学板面采用槽外包角。</w:t>
            </w:r>
            <w:r/>
          </w:p>
        </w:tc>
      </w:tr>
      <w:tr>
        <w:trPr>
          <w:jc w:val="center"/>
          <w:trHeight w:val="72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33"/>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规格：座深510*座宽510*椅深700*椅宽670*背高770*地到座高450-510*地到背高1160-1210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2、面料：面料为西皮；</w:t>
            </w:r>
            <w:r/>
          </w:p>
          <w:p>
            <w:pPr>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3、海绵：内部采用阻燃、环保高密度聚亚安脂-树脂，密度45kg/m，回弹力90%、达国家阻燃标准。靠背；</w:t>
            </w:r>
            <w:r/>
          </w:p>
          <w:p>
            <w:pPr>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4、椅架：采用优质电镀不锈钢管折弯而成。</w:t>
            </w:r>
            <w:r/>
          </w:p>
        </w:tc>
      </w:tr>
      <w:tr>
        <w:trPr>
          <w:jc w:val="center"/>
          <w:trHeight w:val="55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1、规格：1200*350*850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2、材质：AAA橡胶木，厚度不小于18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，不开裂、不易变形，健康、环保、弹性和透气性强，导热性能好且保养简单。全圆角设计，无毛刺，不伤手。各类辅材为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国家标准的绿色环保粘剂和涂料，无色、无味，结实耐用。表面和内表面以及儿童手指可触及的隐蔽处，均不得有锐利的棱角、毛刺，无结疤。   </w:t>
            </w:r>
            <w:r/>
          </w:p>
        </w:tc>
      </w:tr>
      <w:tr>
        <w:trPr>
          <w:jc w:val="center"/>
          <w:trHeight w:val="68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1、规格：1400*700*750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2、桌腿：30*50*1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的镀锌方管制作；                                3、台面：采用AAA级橡胶木，厚度≥25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4、工艺：全圆角设计，无毛刺，不伤手。</w:t>
            </w:r>
            <w:r/>
          </w:p>
        </w:tc>
      </w:tr>
      <w:tr>
        <w:trPr>
          <w:jc w:val="center"/>
          <w:trHeight w:val="58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1、规格：880*460*440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2、面料：面料为网布。 海绵：内部采用阻燃、环保高密度聚亚安脂-树脂（CM成型座棉），密度45kg/m，回弹力90%、达国家阻燃标准。靠背、坐垫采用15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多层曲木板热压成型；                                           3、椅架：采用优质电镀不锈钢管折弯而成。</w:t>
            </w:r>
            <w:r/>
          </w:p>
        </w:tc>
      </w:tr>
      <w:tr>
        <w:trPr>
          <w:jc w:val="center"/>
          <w:trHeight w:val="78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1、规格：书包柜340*380*500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2、材质：门板需由 ABS 塑料制成，柜体需采用高强度 HIPS工程塑料制成；柜门与柜体连接需采用尼龙铰链；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3、工艺：所有板材需采用钢制模具一次注塑成型；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4、产品需具有抗冲击、耐腐蚀、不生锈特点；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5、采用榫卯连接结构，DIY 组装，不用胶水，不用金属螺丝，不易变形，可重复拆装使用。产品加强筋采用最新的蜂窝设计，即结实又易于清理卫生，提升抗压力，整柜做工精细，无毛边毛刺等瑕疵；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柜门表面光滑无皮纹，右开门板左侧带有凸起造型，体现简洁质感和美观；门的右上角可灵活放置号码牌，号码牌采用嵌入插卡式（不得采用胶粘）。门板铰链孔具备铰链安装导槽，铰链倒钩通过导向槽卡在门板内部，整个过程一次到位，实现不需要拆门副板即可安装，方便简单；门板内侧配有多功能置物盒，可放水杯、钥匙、眼镜、笔等小件物品，门板内有挂毛巾挂钩，做到毛巾有地方挂，门板出厂时在直角处安装防撞软胶护角，护角采用环保热塑性橡胶材料，防撞软角出厂时与门副板通过多个圆柱固定锁死在门板上，有效防止用户在使用过程碰撞受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7、门副板与门板四周需采用卡扣固定，中心区域采用柱形对卡结构，稳定牢固；更换门板时，只需打开门轴孔盖，取下门轴即可拆下门板，不需拆除门副板，整个过程需简单便捷；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柜门与柜体连接采用高强度尼龙铰链（Nylon）连接设计，防水。铰链由柜门插件、柜体端插件、铰链销三个部件组成，两端采用弹性卡钩固定在门端、柜体端，轻按卡勾即可拆下，不需要任何辅助螺丝连接，铰链自身具有限位功能。铰链易拆易装，方便售后维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9、平顶板厚度≥40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，内部需采用蜂窝结构加固，安装时通过特制的内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固定板固定，内固定板在柜子内部卡入卡槽并扣住平顶板，可实现内锁外的结构，整柜安全牢固。平顶板顶部需平滑设计，应可放置一些小物品，且方便清理；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10、上下板高度30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，采用增强帽檐设计，可将上下板隐藏于上下门板之间，正面无法观察到，达到柜子正面统一效果，时尚美观；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整体后板由注塑机一次成型，后板两侧可顺利插入单、双侧板导向槽，并通过后板上端两侧的T形固定在单、双侧板上，起到加固的作用，后板下端设有分体式特殊插销，该结构穿过下端上下板、后板，从而锁定下方柜子，无法拆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整个柜体板材之间的连接完全不需要任何螺丝，采用拼接的方式，防止侧板变形，整体做到可重复拆装利用。门板采用非贴膜、非喷漆、柜门颜色及外观的可塑性比较高，可以根据客户的不同需求定制不同的颜色，让自己的柜子与众不同，个性凸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13、板材厚度：侧板宽22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、双侧板宽44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、上下板高30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；门板厚30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带造型部分32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、底座高80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、平顶板高40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ABS原材料必须符合以下技术参数及要求。颜色由使用方确定后制作。</w:t>
            </w:r>
            <w:r/>
          </w:p>
        </w:tc>
      </w:tr>
      <w:tr>
        <w:trPr>
          <w:jc w:val="center"/>
          <w:trHeight w:val="77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1、规格：1830*350*900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2、材质：AAA橡胶木，厚度≥18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，不开裂、不易变形，健康、环保、弹性和透气性强，导热性能好且保养简单。全圆角设计，无毛刺，不伤手。各类辅材为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国家标准的绿色环保粘剂和涂料，无色、无味，结实耐用。表面和内表面以及儿童手指可触及的隐蔽处，均不得有锐利的棱角、毛刺，无结疤；                                                            3、油漆:选用优质环保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。经三底两面打磨喷漆，产品表面无尘粒，气泡、渣点边缘及立面无流挂现象，无结疤；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4、制作要求：三层格挡设计，圆边圆角设计。    </w:t>
            </w:r>
            <w:r/>
          </w:p>
        </w:tc>
      </w:tr>
      <w:tr>
        <w:trPr>
          <w:jc w:val="center"/>
          <w:trHeight w:val="10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376"/>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1、规格：3000*300*800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2、材质：AAA橡胶木，厚度不小于18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，不开裂、不易变形，健康、环保、弹性和透气性强，导热性能好且保养简单。全圆角设计，无毛刺，不伤手。各类辅材为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国家标准的绿色环保粘剂和涂料，无色、无味，结实耐用。表面和内表面以及儿童手指可触及的隐蔽处，均不得有锐利的棱角、毛刺，无结疤；                                                        3、油漆:选用优质环保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4、制作要求：三层格挡设计，圆边圆角设计。   </w:t>
            </w:r>
            <w:r/>
          </w:p>
        </w:tc>
      </w:tr>
      <w:tr>
        <w:trPr>
          <w:jc w:val="center"/>
          <w:trHeight w:val="8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1、规格：1200*480*1800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2、材质：AAA橡胶木，厚度不小于18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，不开裂、不易变形，健康、环保、弹性和透气性强，导热性能好且保养简单。全圆角设计，无毛刺，不伤手。各类辅材为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国家标准的绿色环保粘剂和涂料，无色、无味，结实耐用。表面和内表面以及儿童手指可触及的隐蔽处，均不得有锐利的棱角、毛刺，无结疤；                                                            3、油漆:选用优质环保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4、制作要求：上下两部分设计，上下部分各占1/2，上半部分造型隔断，下半部分对开门，圆边圆角设计。      </w:t>
            </w:r>
            <w:r/>
          </w:p>
        </w:tc>
      </w:tr>
      <w:tr>
        <w:trPr>
          <w:jc w:val="center"/>
          <w:trHeight w:val="8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2、材质：桌面采用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                                                           3、桌腿：30*50*1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的镀锌方管制作。</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82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1、规格：1600*400*1200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6、结构：分上下两部分，上面占1/3，移门。下面占2/3，对开门，配机箱柜。</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9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柜子-4</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406"/>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34"/>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规格：1600*600*2400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（规格按实际场地为准）；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w:t>
            </w:r>
            <w:r/>
          </w:p>
          <w:p>
            <w:pPr>
              <w:pStyle w:val="1000"/>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99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铁皮柜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35"/>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规格：1380*340*800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2、基材:一级冷轧钢板压模成型，采用0.8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优质冷轧钢板，搁板0.8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，品架焊档0.8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，支撑撑座0.8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，大侧面板0.8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3、工艺：整个流程通过冲压、折边、组装成型，无永久变形和塑层脱落；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4、要求：金属表面的处理采用封闭式九工位处理:酸洗、磷化、清洁、干燥、采用“阿克苏热固性环氧树脂粉末”进行热固性静电粉末涂装，强力静电与200°高温烘烤</w:t>
            </w:r>
            <w:r>
              <w:rPr>
                <w:rFonts w:hint="eastAsia" w:ascii="宋体" w:hAnsi="宋体" w:cs="宋体"/>
                <w:i w:val="0"/>
                <w:iCs w:val="0"/>
                <w:color w:val="000000"/>
                <w:sz w:val="20"/>
                <w:szCs w:val="20"/>
                <w:highlight w:val="none"/>
                <w:u w:val="none"/>
                <w:lang w:val="en-US" w:eastAsia="zh-CN" w:bidi="ar"/>
              </w:rPr>
              <w:t xml:space="preserve">；</w:t>
            </w:r>
            <w:r/>
          </w:p>
          <w:p>
            <w:pPr>
              <w:pStyle w:val="1000"/>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8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文件柜-1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36"/>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规格：800*400*2400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w:t>
            </w:r>
            <w:r/>
          </w:p>
          <w:p>
            <w:pPr>
              <w:pStyle w:val="1000"/>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912"/>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音乐凳（ABS)</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1、规格:360*360*460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2、材质:优质ABS3、工艺:(1)注塑制作。耐磨抗压，抗氧化功能强，长期使用也不会产生开裂现象。(2)硬度和强度高，吸水性小，优良的电绝缘性，耐寒。颜色由使用方确定后制作。</w:t>
            </w:r>
            <w:r/>
          </w:p>
        </w:tc>
      </w:tr>
      <w:tr>
        <w:trPr>
          <w:jc w:val="center"/>
          <w:trHeight w:val="99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1、规格：250*300*415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2、颜色：红黄蓝绿；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3、材质：高密度板加厚、木龙骨加固。</w:t>
            </w:r>
            <w:r/>
          </w:p>
        </w:tc>
      </w:tr>
      <w:tr>
        <w:trPr>
          <w:jc w:val="center"/>
          <w:trHeight w:val="9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教师演示台</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1、规格：2400*600*750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2、台面：一体化台面，采用知名品牌12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实芯理化板，耐强酸碱、耐腐蚀、耐有机溶剂，抗菌、抗污染、防水、防火。四周边缘加厚，厚度≥24mm，并经精密加工、倒角、打磨，呈光滑半圆形，注重人性化设计，美观实用；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3、产品结构：0.8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冷轧钢板。</w:t>
            </w:r>
            <w:r/>
          </w:p>
        </w:tc>
      </w:tr>
      <w:tr>
        <w:trPr>
          <w:jc w:val="center"/>
          <w:trHeight w:val="770"/>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2、台面：一体化台面，采用牌12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实芯理化板，耐强酸碱、耐腐蚀、耐有机溶剂，抗菌、抗污染、防水、防火。四周边缘采用35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厚工程塑料一体注塑成型进行包边，减少桌体间机械碰撞，前沿设50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高挡水边，可有效阻挡仪器滑落；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3、桌体：新钢塑镂空结构（工字形）；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4、书包盒：规格：425*305*110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（每组2个），采用ABS工程塑料一次注塑成型，预留学生凳挂靠口；固定横梁采用30*30*1.2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矩形钢构件，书包挂架采用20*25*1.2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矩形钢构件，钢构件表面经酸洗、磷化、喷塑处理，框架横梁与桌脚之间均采用PC＋ABS工程塑料合金连插件连接；                             </w:t>
            </w:r>
            <w:r/>
          </w:p>
          <w:p>
            <w:pPr>
              <w:jc w:val="left"/>
              <w:keepLines w:val="0"/>
              <w:keepNext w:val="0"/>
              <w:widowControl/>
              <w:rPr>
                <w:rFonts w:ascii="宋体" w:hAnsi="宋体" w:eastAsia="宋体" w:cs="宋体"/>
                <w:bCs w:val="0"/>
                <w:i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5、吊板：采用1.2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厚冷轧钢板折弯成型，表面经酸洗、磷化、喷塑处理，吊板离地550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（每组桌除两侧的桌腿外，整个下面是镂空的，便于打扫卫生）。</w:t>
            </w:r>
            <w:r/>
          </w:p>
        </w:tc>
      </w:tr>
      <w:tr>
        <w:trPr>
          <w:jc w:val="center"/>
          <w:trHeight w:val="9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实验凳</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1、规格：凳面直径320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，高度380-480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（高度可调）；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2、技术参数：凳面采用3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聚丙烯一体注塑成型，接触面为皮纹处理，采用曲面设计增加接触面积，符合人体工程学增强坐感舒适度；凳面弧形挡边设计，可有效纠正学生错误坐姿；学生凳选用优质气杆，与凳面连接处安装加宽加强防爆机构，气杆防尘套（Ø70×170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）为聚丙烯一体注塑成型表面磨砂处理；支架选用半径为230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五星脚，不占用空间面积，五星脚采用高强度尼龙材料一体注塑成型，具有结构牢固、耐酸碱腐蚀等特点。</w:t>
            </w:r>
            <w:r/>
          </w:p>
        </w:tc>
      </w:tr>
      <w:tr>
        <w:trPr>
          <w:jc w:val="center"/>
          <w:trHeight w:val="9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美工桌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1、规格：2400*1000*750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2、桌腿：30*50*1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的镀锌方管制作；                                 3、台面25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橡胶木不开裂、不易变形，健康、环保、弹性和透气性强，导热性能好且保养简单。全圆角设计，无毛刺，不伤手。</w:t>
            </w:r>
            <w:r/>
          </w:p>
        </w:tc>
      </w:tr>
      <w:tr>
        <w:trPr>
          <w:jc w:val="center"/>
          <w:trHeight w:val="772"/>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凳子</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1、规格：330*230*420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2、桌腿：25*25*1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的镀锌方管制作；                                  3、台面18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橡胶木不开裂、不易变形，健康、环保、弹性和透气性强，导热性能好且保养简单。全圆角设计，无毛刺，不伤手。</w:t>
            </w:r>
            <w:r/>
          </w:p>
        </w:tc>
      </w:tr>
      <w:tr>
        <w:trPr>
          <w:jc w:val="center"/>
          <w:trHeight w:val="82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陈列柜-1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1、规格：4800*300*750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2、材质：AAA橡胶木，厚度不小于18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，不开裂、不易变形，健康、环保、弹性和透气性强，导热性能好且保养简单。全圆角设计，无毛刺，不伤手。各类辅材为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国家标准的绿色环保粘剂和涂料，无色、无味，结实耐用。表面和内表面以及儿童手指可触及的隐蔽处，均不得有锐利的棱角、毛刺；</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p>
            <w:pPr>
              <w:jc w:val="left"/>
              <w:keepLines w:val="0"/>
              <w:keepNext w:val="0"/>
              <w:widowControl/>
              <w:rPr>
                <w:rFonts w:ascii="宋体" w:hAnsi="宋体" w:eastAsia="宋体" w:cs="宋体"/>
                <w:bCs w:val="0"/>
                <w:i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       </w:t>
            </w:r>
            <w:r/>
          </w:p>
        </w:tc>
      </w:tr>
      <w:tr>
        <w:trPr>
          <w:jc w:val="center"/>
          <w:trHeight w:val="9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陈列柜-2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1、规格：4800*300*750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2、板材：所有板材均采用18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厚环保</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，颜色可选；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厚PVC封边条，机械环保热熔胶封边；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4、五金：优质偏心件安装，阻尼铰链；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5、结构：部分柜体开放格设计，部分柜体带门</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7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陈列柜-3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1、规格：6000*300*1450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2、板材：所有板材均采用18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厚环保</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，颜色可选；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厚PVC封边条，机械环保热熔胶封边；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4、五金：优质偏心件安装，阻尼铰链；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5、结构：部分柜体开放格设计，部分柜体带门。</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7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1、规格：1000*500*2000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2、柜体：侧板、顶底板采用改性PP材料模具一次成型，表面沙面和光面相结合处理，保证柜体之坚固及密封性，耐腐蚀性强，顶板、底板预留模具成型排风孔。底部镶嵌15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钢制横梁，承重力强；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3、下柜柜门：内框采用改性PP材质模具一次成型，外嵌5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厚钢化烤漆玻璃。上下拉手及三角对称五点固定，防止玻璃的松动或开合。伸缩式PP旋转门轴，四角圆弧倒角，内侧弧形圆边，配锁；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4、上柜柜门：内框采用改性PP材质模具一次成型，外嵌5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5、层板：上柜配置两块活动层板，下柜配置一块活动层板，层板全部采用改性PP材料模具一次成型，表面沙面和光面相结合处理，四周有阻水边，底部镶嵌两根15*30*1.2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钢制横梁，承重力强。整体设计为活动式，可随意抽取放在合适的隔层，自由组合各层空间；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6、拉手：采用改性PP材料模具一次成型，直角梯形四周倒圆与柜门平行，开启方便；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7、门铰链：采用改性PP材料模具一次成型，伸缩式PP旋转门轴，永不生锈，耐腐蚀性好；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8、螺丝：不锈钢材质。</w:t>
            </w:r>
            <w:r/>
          </w:p>
        </w:tc>
      </w:tr>
      <w:tr>
        <w:trPr>
          <w:jc w:val="center"/>
          <w:trHeight w:val="75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后墙软木板</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8915" cy="292735"/>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08915" cy="292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0.7pt;mso-position-horizontal:absolute;mso-position-vertical-relative:text;margin-top:0.0pt;mso-position-vertical:absolute;width:16.4pt;height:23.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8915" cy="29273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208915" cy="292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40.7pt;mso-position-horizontal:absolute;mso-position-vertical-relative:text;margin-top:0.0pt;mso-position-vertical:absolute;width:16.4pt;height:23.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8915" cy="292735"/>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208915" cy="292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40.7pt;mso-position-horizontal:absolute;mso-position-vertical-relative:text;margin-top:0.0pt;mso-position-vertical:absolute;width:16.4pt;height:23.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1、规格：4000*1200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2、（结构软木、衬板、背板）经专用胶水高压粘合密封而成，结构牢固、弹性好，耐腐蚀、耐冲击，保持板面平整，软木外层可覆彩色布，外加铝合金或木质流线装饰边框；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3、软木颜色原色为纯软木，覆布后为彩色（布颜色多种客户自选）；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4、软木层小颗粒高密度原色软木，壁厚3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，弹性好，反复使用，无破裂、无折痕，使用工字钉及图钉类针扎后迅速恢复原样，无针眼遗留痕迹；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5、内芯材料高强度聚苯乙烯板；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6、背板材料为镀锌钢板，厚度0.2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7、边框材料；香槟电泳铝合金边框, 规格37*20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8、包角材料铝合金边框包角材料为：抗疲劳ABC工程塑料，模具成型；框角为斜切对角。</w:t>
            </w:r>
            <w:r/>
          </w:p>
        </w:tc>
      </w:tr>
      <w:tr>
        <w:trPr>
          <w:jc w:val="center"/>
          <w:trHeight w:val="70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大会议桌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8915" cy="267970"/>
                      <wp:effectExtent l="0" t="0" r="0" b="0"/>
                      <wp:wrapNone/>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208915" cy="267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40.7pt;mso-position-horizontal:absolute;mso-position-vertical-relative:text;margin-top:0.0pt;mso-position-vertical:absolute;width:16.4pt;height:21.1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8915" cy="267970"/>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4"/>
                              <a:stretch/>
                            </pic:blipFill>
                            <pic:spPr bwMode="auto">
                              <a:xfrm>
                                <a:off x="0" y="0"/>
                                <a:ext cx="208915" cy="267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40.7pt;mso-position-horizontal:absolute;mso-position-vertical-relative:text;margin-top:0.0pt;mso-position-vertical:absolute;width:16.4pt;height:21.1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1、规格：4200*1800*750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2、面材:采用采用环保实木生态板，厚度50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，符合国际采用标准；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3、封边：采用PVC封边条，台面封边条厚度≥2.0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，柜体封边条厚度≥1.0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4、胶水：环保热熔胶，符合国际采用环保标准；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5、钢架、钢脚：采用1.5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国产宝钢冷轧钢卷板，经过制模、落料、成型、焊接加工，采用全自动喷涂设备静电粉末喷涂，高温固化，并经过酸洗、磷化来清洁表面，防止表面生锈的工艺加工而成，坚固、耐用；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70"/>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条桌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498"/>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1、规格：1200*400*750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2、面材:采用采用环保实木生态板，符合国际采用标准；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3、封边：采用PVC封边条，台面封边条厚度≥2.0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，柜体封边条厚度≥1.0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4、胶水：环保热熔胶，，符合国际采用环保标准；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5、钢架、钢脚：采用1.5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国产宝钢冷轧钢卷板，经过制模、落料、成型、焊接加工，采用全自动喷涂设备静电粉末喷涂，高温固化，并经过酸洗、磷化来清洁表面，防止表面生锈的工艺加工而成，坚固、耐用；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5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1、规格：800*400*2000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2、面材:采用采用环保实木生态板，符合国际采用标准；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3、封边：采用PVC封边条，台面封边条厚度≥2.0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，柜体封边条厚度≥1.0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4、胶水：环保热熔胶，符合国际采用环保标准；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5、钢架、钢脚：采用1.5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国产宝钢冷轧钢卷板，经过制模、落料、成型、焊接加工，采用全自动喷涂设备静电粉末喷涂，高温固化，并经过酸洗、磷化来清洁表面，防止表面生锈的工艺加工而成，坚固、耐用；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5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1、面料:选用进口优质西皮，经液态浸色及防潮、防污等工艺处理,皮面更加柔软舒适,光泽持久；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2、辅料:采用高密度裁切海绵,表面有一层保护面,可防氧化,防碎,永不变形；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3、脚架：五金弓形脚，壁厚1.5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钢管折弯而成，表面电镀。</w:t>
            </w:r>
            <w:r/>
          </w:p>
        </w:tc>
      </w:tr>
      <w:tr>
        <w:trPr>
          <w:jc w:val="center"/>
          <w:trHeight w:val="739"/>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1、规格：800*400*800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2、面材:采用采用环保实木生态板，符合国际采用标准；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3、封边：采用PVC封边条，封边严密、平整、无脱胶、表面胶渍等瑕疵；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4、胶水：环保热熔胶，符合国际采用环保标准；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5、钢架、钢脚：采用1.5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国产宝钢冷轧钢卷板，经过制模、落料、成型、焊接加工，采用全自动喷涂设备静电粉末喷涂，高温固化，并经过酸洗、磷化来清洁表面，防止表面生锈的工艺加工而成，坚固、耐用；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6、五金配件：优质五金配件</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优质三节消声滑轨，拉出距离长，抽拉时基本无声响。</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p>
        </w:tc>
      </w:tr>
      <w:tr>
        <w:trPr>
          <w:jc w:val="center"/>
          <w:trHeight w:val="8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培训桌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4"/>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4"/>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1、规格：1200*400*750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2、台面采用优质采用环保实木生态板，表面采用三聚氰胺浸渍纸，pvc加厚封边，台面及柜顶厚度25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其余16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3、脚架桌脚为冷轧钢管1.2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壁厚，表面采用优质品牌静电喷粉—环氧聚脂混合型热固型粉末涂料，具良好的绝缘性，附着力强，耐磨檫，抗撞击。颜色由使用方确定后制作。</w:t>
            </w:r>
            <w:r/>
          </w:p>
        </w:tc>
      </w:tr>
      <w:tr>
        <w:trPr>
          <w:jc w:val="center"/>
          <w:trHeight w:val="74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培训椅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214"/>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优质PP框架，内置西皮坐垫，椅架为实心钢筋脚架。</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91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414"/>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1、单门规格：320*310*500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，组合规格：45门一组4800*1010*500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2、工艺：板材采用钢制模具一次注塑成型，柜体表面均圆角处理，无毛刺、棱角，避免碰撞划伤；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3、材质：柜门采用ABS塑料,柜体采用高强度HIPS塑料，防水防潮，抗冲击,不生锈不易腐蚀；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4、柜门：门板采用光面与皮纹套色工艺，柜门由门板和透气孔两部分组成，每片门板可呈现两种颜色，视觉上更活泼、明亮、更显设计感；门板板材壁厚≥4.5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无铰链技术，用上下门轴限位且作为支撑，安装简洁美观，单柜开门角度180°，可有效防止柜门过度开启导致侧板断裂，彻底规避了行业内使用传统尼龙铰链的安全隐患，柜门外表面带防刮花皮纹，后期使用及清洁时耐刮耐磨，内表面光滑如镜面，门角注塑成型椭圆角防刮伤设计，不用软胶护角（因软角易粘灰易老化），门板拉手部分加厚设计，上下部分凹凸弧形设计，增加韧性，避免长期使用变形损坏问题，门板右上角可灵活放置号码牌，安装后的号码牌与门板在一个平面不积灰尘，属于镶嵌式贴合安装，不用胶粘更换方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5、透气孔：柜门上注塑多个透气孔自上而下均匀排布，与柜门双拼套色处理，美观时尚，柜体后面带多个透气孔；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每门配置内嵌式模块化标准拉手，并且做了加厚设计与门板连结更牢固，长期开关门不变形不松动。模块化标准拉手可根据使用的变化随时更换机械锁、电子锁、密码锁、插卡锁等各种锁具。模块化拉手加装了弹簧扣紧装置，既方便开关门，更防止门在不锁的状态下自动开启，撞伤人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7、活动门轴：柜门与柜体的可活动连接件采用高强度不锈钢弹簧门轴,可重复拆装结实耐用，加装不透钢弹簧防止门轴脱落；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8、顶板/底板：可互换使用，避免日后增加层数时不兼容，结构采用建筑平行承重梁设计，即美观又增加承重力；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9、侧板：靠近柜体最两侧的侧板采用楼房承重设计理念，四角设计有4个承重柱，增加承重能力，长期使用不开裂不变形。柜外防划皮纹设计，柜内光滑无纹路，美观又实用；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10、后板：柜内使用面光滑平整，无台阶无注塑料口，不积灰不刮手；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11、底座：高度50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（不加底板高度，加底板高80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），前后独立式底座，左右两侧敞开式设计，可排水可通风，便于日常清理卫生，底座高度可灵活加高或拆除，不影响柜子的使用；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12、柜体各部件外观规格:门板28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；顶板/底板30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；单侧板20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；双侧板42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；后板14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；层板12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；底座50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5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档案柜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83845"/>
                      <wp:effectExtent l="0" t="0" r="0" b="0"/>
                      <wp:wrapNone/>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2"/>
                              <a:stretch/>
                            </pic:blipFill>
                            <pic:spPr bwMode="auto">
                              <a:xfrm>
                                <a:off x="0" y="0"/>
                                <a:ext cx="204470" cy="28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40.7pt;mso-position-horizontal:absolute;mso-position-vertical-relative:text;margin-top:0.0pt;mso-position-vertical:absolute;width:16.1pt;height:22.3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83845"/>
                      <wp:effectExtent l="0" t="0" r="0" b="0"/>
                      <wp:wrapNone/>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2"/>
                              <a:stretch/>
                            </pic:blipFill>
                            <pic:spPr bwMode="auto">
                              <a:xfrm>
                                <a:off x="0" y="0"/>
                                <a:ext cx="204470" cy="28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40.7pt;mso-position-horizontal:absolute;mso-position-vertical-relative:text;margin-top:0.0pt;mso-position-vertical:absolute;width:16.1pt;height:22.3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1、规格:850*400*1800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2、材质：0.9</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冷轧钢板；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3、承重能力:30KG；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4、表面处理:环保粉末喷涂工艺；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5、配置:可调节层板，带锁。</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小桌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85750"/>
                      <wp:effectExtent l="0" t="0" r="0" b="0"/>
                      <wp:wrapNone/>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2"/>
                              <a:stretch/>
                            </pic:blipFill>
                            <pic:spPr bwMode="auto">
                              <a:xfrm>
                                <a:off x="0" y="0"/>
                                <a:ext cx="204470" cy="28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40.7pt;mso-position-horizontal:absolute;mso-position-vertical-relative:text;margin-top:0.0pt;mso-position-vertical:absolute;width:16.1pt;height:22.5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85750"/>
                      <wp:effectExtent l="0" t="0" r="0" b="0"/>
                      <wp:wrapNone/>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12"/>
                              <a:stretch/>
                            </pic:blipFill>
                            <pic:spPr bwMode="auto">
                              <a:xfrm>
                                <a:off x="0" y="0"/>
                                <a:ext cx="204470" cy="28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40.7pt;mso-position-horizontal:absolute;mso-position-vertical-relative:text;margin-top:0.0pt;mso-position-vertical:absolute;width:16.1pt;height:22.5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1、规格：800*400*500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2、材质：桌面采用AA级（板材双面A级）橡胶木，桌腿采用50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3、桌面边部厚度：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7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1、规格：600*300*700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2、材质：桌面采用AA级（板材双面A级）橡胶木；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6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休闲桌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2、材质：柚木；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3、板材厚度：厚度28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463"/>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休闲椅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2134"/>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1、规格：1200*350*450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2、材质：柚木；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3、桌面厚度：厚度28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7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折叠方桌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1、规格：600*600*550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6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1、规格：直径26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、高26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2、材质：香樟木；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3、凳面厚度：35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7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双槽基础桌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1、规格：1200*600*520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2、材质：主框架采用橡胶木，优质环保；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3、厚度：厚度为30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6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基础凳</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08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1、规格：400*250*315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2、材质：主框架采用橡胶木，优质环保；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3、框架厚度：厚度为18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5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长桌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315"/>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2、材质：桌面采用AA级（板材双面A级）橡胶木，桌腿采用</w:t>
            </w:r>
            <w:r>
              <w:rPr>
                <w:rFonts w:hint="eastAsia" w:ascii="宋体" w:hAnsi="宋体" w:cs="宋体"/>
                <w:i w:val="0"/>
                <w:iCs w:val="0"/>
                <w:color w:val="000000"/>
                <w:sz w:val="20"/>
                <w:szCs w:val="20"/>
                <w:highlight w:val="none"/>
                <w:u w:val="none"/>
                <w:lang w:val="en-US" w:eastAsia="zh-CN" w:bidi="ar"/>
              </w:rPr>
              <w:t xml:space="preserve">50mm*50mm</w:t>
            </w:r>
            <w:r>
              <w:rPr>
                <w:rFonts w:hint="eastAsia" w:ascii="宋体" w:hAnsi="宋体" w:eastAsia="宋体" w:cs="宋体"/>
                <w:i w:val="0"/>
                <w:iCs w:val="0"/>
                <w:color w:val="000000"/>
                <w:sz w:val="20"/>
                <w:szCs w:val="20"/>
                <w:highlight w:val="none"/>
                <w:u w:val="none"/>
                <w:lang w:val="en-US" w:eastAsia="zh-CN" w:bidi="ar"/>
              </w:rPr>
              <w:t xml:space="preserve">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3、桌面边部厚度：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油漆，进行至少两底两面清漆涂装；4）桌面与桌腿采用五金钢构件及五金件连接；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6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灯光桌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1、规格：690*690*500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2、材质：榉木；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3、配置：三种亮度模式调节；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油漆，进行至少两底两面清漆涂装；4）桌面与桌腿采用五金钢构件及五金件连接；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5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操作桌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pStyle w:val="983"/>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pStyle w:val="983"/>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1、规格：790*330*490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防腐木</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4、要求：五金钢构件及五金件连接。</w:t>
            </w:r>
            <w:r/>
          </w:p>
        </w:tc>
      </w:tr>
      <w:tr>
        <w:trPr>
          <w:jc w:val="center"/>
          <w:trHeight w:val="54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玩沙桌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1、规格：1290*490*580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防腐木</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4、要求：五金钢构件及五金件连接。</w:t>
            </w:r>
            <w:r/>
          </w:p>
        </w:tc>
      </w:tr>
      <w:tr>
        <w:trPr>
          <w:jc w:val="center"/>
          <w:trHeight w:val="4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方桌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58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1、规格：600*600*500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2、材质：桌面采用AA级（板材双面A级）橡胶木，桌腿采用</w:t>
            </w:r>
            <w:r>
              <w:rPr>
                <w:rFonts w:hint="eastAsia" w:ascii="宋体" w:hAnsi="宋体" w:cs="宋体"/>
                <w:i w:val="0"/>
                <w:iCs w:val="0"/>
                <w:color w:val="000000"/>
                <w:sz w:val="20"/>
                <w:szCs w:val="20"/>
                <w:highlight w:val="none"/>
                <w:u w:val="none"/>
                <w:lang w:val="en-US" w:eastAsia="zh-CN" w:bidi="ar"/>
              </w:rPr>
              <w:t xml:space="preserve">50mm*50mm</w:t>
            </w:r>
            <w:r>
              <w:rPr>
                <w:rFonts w:hint="eastAsia" w:ascii="宋体" w:hAnsi="宋体" w:eastAsia="宋体" w:cs="宋体"/>
                <w:i w:val="0"/>
                <w:iCs w:val="0"/>
                <w:color w:val="000000"/>
                <w:sz w:val="20"/>
                <w:szCs w:val="20"/>
                <w:highlight w:val="none"/>
                <w:u w:val="none"/>
                <w:lang w:val="en-US" w:eastAsia="zh-CN" w:bidi="ar"/>
              </w:rPr>
              <w:t xml:space="preserve">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油漆，进行至少两底两面清漆涂装；4）桌面与桌腿采用五金钢构件及五金件连接；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5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钢制储物柜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2980"/>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rPr>
                <w:highlight w:val="none"/>
              </w:rPr>
            </w:pPr>
            <w:r>
              <w:rPr>
                <w:rFonts w:hint="eastAsia" w:ascii="宋体" w:hAnsi="宋体" w:eastAsia="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1312;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1、规格：970*500*1800mm；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2、基材:一级冷轧钢板压模成型，采用0.8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优质冷轧钢板，搁板0.8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，品架焊档0.8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，支撑撑座0.8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，大侧面板0.8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3、工艺：整个流程通过冲压、折边、组装成型，无永久变形和塑层脱落；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4、要求：金属表面的处理采用封闭式九工位处理:酸洗、磷化、清洁、干燥、采用“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热固性环氧树脂粉末</w:t>
            </w:r>
            <w:r>
              <w:rPr>
                <w:rFonts w:hint="eastAsia" w:ascii="宋体" w:hAnsi="宋体" w:eastAsia="宋体" w:cs="宋体"/>
                <w:i w:val="0"/>
                <w:iCs w:val="0"/>
                <w:color w:val="000000"/>
                <w:sz w:val="20"/>
                <w:szCs w:val="20"/>
                <w:highlight w:val="none"/>
                <w:u w:val="none"/>
                <w:lang w:val="en-US" w:eastAsia="zh-CN" w:bidi="ar"/>
              </w:rPr>
              <w:t xml:space="preserve">”进行热固性静电粉末涂装，强力静电与200°高温烘烤</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资料柜-1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1、规格：850*400*1800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2、基材:一级冷轧钢板压模成型，采用0.8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优质冷轧钢板，搁板0.8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，品架焊档0.8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，支撑撑座0.8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，大侧面板0.8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3、工艺：整个流程通过冲压、折边、组装成型，无永久变形和塑层脱落；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4、要求：金属表面的处理采用封闭式九工位处理:酸洗、磷化、清洁、干燥、采用“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热固性环氧树脂粉末</w:t>
            </w:r>
            <w:r>
              <w:rPr>
                <w:rFonts w:hint="eastAsia" w:ascii="宋体" w:hAnsi="宋体" w:eastAsia="宋体" w:cs="宋体"/>
                <w:i w:val="0"/>
                <w:iCs w:val="0"/>
                <w:color w:val="000000"/>
                <w:sz w:val="20"/>
                <w:szCs w:val="20"/>
                <w:highlight w:val="none"/>
                <w:u w:val="none"/>
                <w:lang w:val="en-US" w:eastAsia="zh-CN" w:bidi="ar"/>
              </w:rPr>
              <w:t xml:space="preserve">”进行热固性静电粉末涂装，强力静电与200°高温烘烤</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90"/>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资料柜-2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pStyle w:val="983"/>
              <w:ind w:firstLine="0"/>
              <w:jc w:val="left"/>
              <w:keepLines w:val="0"/>
              <w:keepNext w:val="0"/>
              <w:spacing w:line="23" w:lineRule="atLeas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0"/>
                <w:highlight w:val="none"/>
                <w:lang w:eastAsia="zh-CN" w:bidi="ar"/>
              </w:rPr>
              <w:t xml:space="preserve">不低于以下要求：</w:t>
            </w:r>
            <w:r/>
          </w:p>
          <w:p>
            <w:pPr>
              <w:pStyle w:val="983"/>
              <w:ind w:firstLine="0"/>
              <w:jc w:val="left"/>
              <w:keepLines w:val="0"/>
              <w:keepNext w:val="0"/>
              <w:spacing w:line="23" w:lineRule="atLeast"/>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1、规格：970*500*1800mm；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2、基材:一级冷轧钢板压模成型，采用0.8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优质冷轧钢板，搁板0.8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，品架焊档0.8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，支撑撑座0.8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，大侧面板0.8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3、工艺：整个流程通过冲压、折边、组装成型，无永久变形和塑层脱落；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4、要求：金属表面的处理采用封闭式九工位处理:酸洗、磷化、清洁、干燥、采用“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热固性环氧树脂粉末</w:t>
            </w:r>
            <w:r>
              <w:rPr>
                <w:rFonts w:hint="eastAsia" w:ascii="宋体" w:hAnsi="宋体" w:eastAsia="宋体" w:cs="宋体"/>
                <w:i w:val="0"/>
                <w:iCs w:val="0"/>
                <w:color w:val="000000"/>
                <w:sz w:val="20"/>
                <w:szCs w:val="20"/>
                <w:highlight w:val="none"/>
                <w:u w:val="none"/>
                <w:shd w:val="clear" w:color="auto" w:fill="auto"/>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进行热固性静电粉末涂装，强力静电与200°高温烘烤</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单层橡木床</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1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1312;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1、产品规格：1400*600*550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2、材质要求：采用橡胶木制作，</w:t>
            </w:r>
            <w:r>
              <w:rPr>
                <w:rFonts w:hint="eastAsia" w:ascii="宋体" w:hAnsi="宋体" w:cs="宋体"/>
                <w:i w:val="0"/>
                <w:iCs w:val="0"/>
                <w:color w:val="000000"/>
                <w:sz w:val="20"/>
                <w:szCs w:val="20"/>
                <w:highlight w:val="none"/>
                <w:u w:val="none"/>
                <w:lang w:val="en-US" w:eastAsia="zh-CN" w:bidi="ar"/>
              </w:rPr>
              <w:t xml:space="preserve">板材厚度≥18mm</w:t>
            </w:r>
            <w:r>
              <w:rPr>
                <w:rFonts w:hint="eastAsia" w:ascii="宋体" w:hAnsi="宋体" w:eastAsia="宋体" w:cs="宋体"/>
                <w:i w:val="0"/>
                <w:iCs w:val="0"/>
                <w:color w:val="000000"/>
                <w:sz w:val="20"/>
                <w:szCs w:val="20"/>
                <w:highlight w:val="none"/>
                <w:u w:val="none"/>
                <w:lang w:val="en-US" w:eastAsia="zh-CN" w:bidi="ar"/>
              </w:rPr>
              <w:t xml:space="preserve">；板材经干燥处理，含水率≤12%；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3、要求：床板离地面220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4、工艺要求：所有外露部件边角均做倒圆角处理，确保圆边圆角，无尖锐棱角；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rPr>
                <w:rFonts w:hint="eastAsia" w:ascii="宋体" w:hAnsi="宋体" w:eastAsia="宋体" w:cs="宋体"/>
                <w:i w:val="0"/>
                <w:iCs w:val="0"/>
                <w:color w:val="000000"/>
                <w:sz w:val="20"/>
                <w:szCs w:val="20"/>
                <w:highlight w:val="none"/>
                <w:u w:val="none"/>
                <w:lang w:val="en-US" w:eastAsia="zh-CN" w:bidi="ar"/>
              </w:rPr>
              <w:t xml:space="preserve">（适配小床使用）；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6、颜色要求：原木色。</w:t>
            </w:r>
            <w:r/>
          </w:p>
        </w:tc>
      </w:tr>
      <w:tr>
        <w:trPr>
          <w:jc w:val="center"/>
          <w:trHeight w:val="7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w:t>
            </w:r>
            <w:r>
              <w:rPr>
                <w:rFonts w:hint="eastAsia" w:ascii="宋体" w:hAnsi="宋体" w:cs="宋体"/>
                <w:i w:val="0"/>
                <w:iCs w:val="0"/>
                <w:color w:val="000000"/>
                <w:sz w:val="22"/>
                <w:szCs w:val="22"/>
                <w:highlight w:val="none"/>
                <w:u w:val="none"/>
                <w:lang w:val="en-US" w:eastAsia="zh-CN" w:bidi="ar"/>
              </w:rPr>
              <w:t xml:space="preserve">长</w:t>
            </w:r>
            <w:r>
              <w:rPr>
                <w:rFonts w:hint="eastAsia" w:ascii="宋体" w:hAnsi="宋体" w:eastAsia="宋体" w:cs="宋体"/>
                <w:i w:val="0"/>
                <w:iCs w:val="0"/>
                <w:color w:val="000000"/>
                <w:sz w:val="22"/>
                <w:szCs w:val="22"/>
                <w:highlight w:val="none"/>
                <w:u w:val="none"/>
                <w:lang w:val="en-US" w:eastAsia="zh-CN" w:bidi="ar"/>
              </w:rPr>
              <w:t xml:space="preserve">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2、材质：桌面采用AA级（板材双面A级）橡胶木，桌腿采用</w:t>
            </w:r>
            <w:r>
              <w:rPr>
                <w:rFonts w:hint="eastAsia" w:ascii="宋体" w:hAnsi="宋体" w:cs="宋体"/>
                <w:i w:val="0"/>
                <w:iCs w:val="0"/>
                <w:color w:val="000000"/>
                <w:sz w:val="20"/>
                <w:szCs w:val="20"/>
                <w:highlight w:val="none"/>
                <w:u w:val="none"/>
                <w:lang w:val="en-US" w:eastAsia="zh-CN" w:bidi="ar"/>
              </w:rPr>
              <w:t xml:space="preserve">50mm*50mm</w:t>
            </w:r>
            <w:r>
              <w:rPr>
                <w:rFonts w:hint="eastAsia" w:ascii="宋体" w:hAnsi="宋体" w:eastAsia="宋体" w:cs="宋体"/>
                <w:i w:val="0"/>
                <w:iCs w:val="0"/>
                <w:color w:val="000000"/>
                <w:sz w:val="20"/>
                <w:szCs w:val="20"/>
                <w:highlight w:val="none"/>
                <w:u w:val="none"/>
                <w:lang w:val="en-US" w:eastAsia="zh-CN" w:bidi="ar"/>
              </w:rPr>
              <w:t xml:space="preserve">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3、桌面边部厚度：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油漆，进行至少两底两面清漆涂装；4）桌面与桌腿采用五金钢构件及五金件连接；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p>
        </w:tc>
      </w:tr>
      <w:tr>
        <w:trPr>
          <w:jc w:val="center"/>
          <w:trHeight w:val="7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实木三层玩具柜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1、规格规格：1000*300*730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2、材质要求：采用橡胶木材质，板材厚度≥18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，经干燥处理，含水率≤12%；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3、柜体结构：采用三层设计，外露部件边倒R5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圆角，圆边圆润规整，表面光滑无毛刺；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5、外观要求：整体为原木色，表面光滑无毛刺，无背板，桌面带波浪形挡条。</w:t>
            </w:r>
            <w:r/>
          </w:p>
        </w:tc>
      </w:tr>
      <w:tr>
        <w:trPr>
          <w:jc w:val="center"/>
          <w:trHeight w:val="66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办公橱柜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1312;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1312;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1、规格：850*400*1800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2、基材:一级冷轧钢板压模成型，采用0.8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优质冷轧钢板，搁板0.8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，品架焊档0.8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，支撑撑座0.8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，大侧面板0.8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3、工艺：整个流程通过冲压、折边、组装成型，无永久变形和塑层脱落；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4、要求：金属表面的处理采用封闭式九工位处理:酸洗、磷化、清洁、干燥、采用“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热固性环氧树脂粉末</w:t>
            </w:r>
            <w:r>
              <w:rPr>
                <w:rFonts w:hint="eastAsia" w:ascii="宋体" w:hAnsi="宋体" w:eastAsia="宋体" w:cs="宋体"/>
                <w:i w:val="0"/>
                <w:iCs w:val="0"/>
                <w:color w:val="000000"/>
                <w:sz w:val="20"/>
                <w:szCs w:val="20"/>
                <w:highlight w:val="none"/>
                <w:u w:val="none"/>
                <w:lang w:val="en-US" w:eastAsia="zh-CN" w:bidi="ar"/>
              </w:rPr>
              <w:t xml:space="preserve">”进行热固性静电粉末涂装，强力静电与200°高温烘烤；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5、配置：带保险柜。</w:t>
            </w:r>
            <w:r/>
          </w:p>
        </w:tc>
      </w:tr>
      <w:tr>
        <w:trPr>
          <w:jc w:val="center"/>
          <w:trHeight w:val="7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讲台-4</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19"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1312;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20"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1312;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1、规格：1200*600*850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桌边倒圆弧处理，均需圆角倒棱；2）表面打磨光滑，无毛刺；3） 柜体可放置三个抽拉的小柜；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5、要求：整体可拖拉。</w:t>
            </w:r>
            <w:r/>
          </w:p>
        </w:tc>
      </w:tr>
      <w:tr>
        <w:trPr>
          <w:jc w:val="center"/>
          <w:trHeight w:val="7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储物柜-1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1、规格：1200*400*900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边角倒圆弧处理，均需圆角倒棱；2）表面打磨光滑，无毛刺；3） 柜体可放置三个抽拉的小柜；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p>
        </w:tc>
      </w:tr>
      <w:tr>
        <w:trPr>
          <w:jc w:val="center"/>
          <w:trHeight w:val="6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364"/>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边角倒圆弧处理，均需圆角倒棱；2）表面打磨光滑，无毛刺；3） 柜体配三个抽拉的小柜；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p>
        </w:tc>
      </w:tr>
      <w:tr>
        <w:trPr>
          <w:jc w:val="center"/>
          <w:trHeight w:val="61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1、规格规格：700*500*1120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2、椅背材质及工艺：椅背边条、背条采用管壁厚度1.2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的铁管制作，表面做普通电镀工艺处理；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3、座板材质及工艺：座板采用优质加厚木板，粘贴高密度切割海绵成型，表面采用优质超纤皮，透气性强；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4、扶手材质：扶手采用优质PP，质感优良、结实耐用；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5、五金架子工艺：五金架子采用直径28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的管材，弯位处采用双管加固（</w:t>
            </w:r>
            <w:r>
              <w:rPr>
                <w:rFonts w:hint="eastAsia" w:ascii="宋体" w:hAnsi="宋体" w:cs="宋体"/>
                <w:i w:val="0"/>
                <w:iCs w:val="0"/>
                <w:color w:val="000000"/>
                <w:sz w:val="20"/>
                <w:szCs w:val="20"/>
                <w:highlight w:val="none"/>
                <w:u w:val="none"/>
                <w:lang w:val="en-US" w:eastAsia="zh-CN" w:bidi="ar"/>
              </w:rPr>
              <w:t xml:space="preserve">1.2mm厚外管套1.8mm厚内管</w:t>
            </w:r>
            <w:r>
              <w:rPr>
                <w:rFonts w:hint="eastAsia" w:ascii="宋体" w:hAnsi="宋体" w:eastAsia="宋体" w:cs="宋体"/>
                <w:i w:val="0"/>
                <w:iCs w:val="0"/>
                <w:color w:val="000000"/>
                <w:sz w:val="20"/>
                <w:szCs w:val="20"/>
                <w:highlight w:val="none"/>
                <w:u w:val="none"/>
                <w:lang w:val="en-US" w:eastAsia="zh-CN" w:bidi="ar"/>
              </w:rPr>
              <w:t xml:space="preserve">），经开料、弯管、冲孔、烧焊、打磨、电镀等工艺加工成型，结构稳固；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6、要求:可躺可仰调节。</w:t>
            </w:r>
            <w:r/>
          </w:p>
        </w:tc>
      </w:tr>
      <w:tr>
        <w:trPr>
          <w:jc w:val="center"/>
          <w:trHeight w:val="60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储物柜-2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1、规格：1200*350*1400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；（与办公桌匹配）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文件柜-2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1、规格：800*400*2000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5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食堂就餐桌椅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1、规格：一张桌1200*600*750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；四张椅：500*450*800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会议长条桌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1、规格：1400*500*750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5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观课桌椅（长条桌）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7970"/>
                      <wp:effectExtent l="0" t="0" r="0" b="0"/>
                      <wp:wrapNone/>
                      <wp:docPr id="21"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14"/>
                              <a:stretch/>
                            </pic:blipFill>
                            <pic:spPr bwMode="auto">
                              <a:xfrm>
                                <a:off x="0" y="0"/>
                                <a:ext cx="204470" cy="267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1312;o:allowoverlap:true;o:allowincell:true;mso-position-horizontal-relative:text;margin-left:40.7pt;mso-position-horizontal:absolute;mso-position-vertical-relative:text;margin-top:0.0pt;mso-position-vertical:absolute;width:16.1pt;height:21.1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7970"/>
                      <wp:effectExtent l="0" t="0" r="0" b="0"/>
                      <wp:wrapNone/>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14"/>
                              <a:stretch/>
                            </pic:blipFill>
                            <pic:spPr bwMode="auto">
                              <a:xfrm>
                                <a:off x="0" y="0"/>
                                <a:ext cx="204470" cy="267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1312;o:allowoverlap:true;o:allowincell:true;mso-position-horizontal-relative:text;margin-left:40.7pt;mso-position-horizontal:absolute;mso-position-vertical-relative:text;margin-top:0.0pt;mso-position-vertical:absolute;width:16.1pt;height:21.1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2、面板：采用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，台面厚度≥20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3、桌腿:加厚1.00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冷轧钢；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4、表面处理:静电喷塑、酸洗磷化防锈；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5、配置:pu静音轮，带锁。颜色由使用方确定后制作。</w:t>
            </w:r>
            <w:r/>
          </w:p>
        </w:tc>
      </w:tr>
      <w:tr>
        <w:trPr>
          <w:jc w:val="center"/>
          <w:trHeight w:val="60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午休课桌椅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84480"/>
                      <wp:effectExtent l="0" t="0" r="0" b="0"/>
                      <wp:wrapNone/>
                      <wp:docPr id="23"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12"/>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1312;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84480"/>
                      <wp:effectExtent l="0" t="0" r="0" b="0"/>
                      <wp:wrapNone/>
                      <wp:docPr id="24"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12"/>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1312;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1、课桌：课桌外规格为650×450×（640-790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)，课桌高度有六个档位可调节，</w:t>
            </w:r>
            <w:r>
              <w:rPr>
                <w:rFonts w:hint="eastAsia" w:ascii="宋体" w:hAnsi="宋体" w:cs="宋体"/>
                <w:i w:val="0"/>
                <w:iCs w:val="0"/>
                <w:color w:val="000000"/>
                <w:sz w:val="20"/>
                <w:szCs w:val="20"/>
                <w:highlight w:val="none"/>
                <w:u w:val="none"/>
                <w:lang w:val="en-US" w:eastAsia="zh-CN" w:bidi="ar"/>
              </w:rPr>
              <w:t xml:space="preserve">每个档位30mm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桌面采用双层设计，上面一层PP材质（可选配），左右两边设置有卡扣，可以拆卸更换，可以选配，下面一层为ABS材质，桌面前端设置有490*15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的笔槽，桌面四角为圆角；桌面底部设置1条规格为480*15*30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的加强钢管；桌斗采用PP原料经模具注塑成型，桌斗长530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，深度350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，高度150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2、桌斗：桌斗左右两侧设置有规格为220*40*15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的置物格以及一体式的书包挂钩，承重可达30公斤。桌斗底面设置有38条360*2.5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凸起，可大大加强桌斗的强度。桌斗前沿设置有规格为350*40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的凹槽，可放置小文具，凹槽两侧分别有排水孔；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桌斗下方设置可翻转折脚托，脚托采用PP原料一体注塑成型，规格为340*235*80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，脚托具备收纳功能，可放置头枕，眼罩等物件；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3、桌子下架左右两侧采用30×60×1.2㎜优质椭圆焊管，横担采用20*40*1.2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,桌子上架升降内管采用20×50×1.2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椭圆焊管，钢管表面采用静电粉末喷涂，经高温固化，防锈耐刮花。课桌升降调节装置为优质ABS工程塑料经模具注塑成型,采用插销旋钮升降，无需工具即可调节升降。桌脚脚套采用PP原料注塑成型，并用螺丝紧固。脚套具有耐磨静音，卡口定位不脱落；                                                                                          4、课椅外规格为590×400×(760-860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)，坐板高度可调节范围为340-440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，有六个档位可调节，每个档位2</w:t>
            </w:r>
            <w:r>
              <w:rPr>
                <w:rFonts w:hint="eastAsia" w:ascii="宋体" w:hAnsi="宋体" w:cs="宋体"/>
                <w:i w:val="0"/>
                <w:iCs w:val="0"/>
                <w:color w:val="000000"/>
                <w:sz w:val="20"/>
                <w:szCs w:val="20"/>
                <w:highlight w:val="none"/>
                <w:u w:val="none"/>
                <w:lang w:val="en-US" w:eastAsia="zh-CN" w:bidi="ar"/>
              </w:rPr>
              <w:t xml:space="preserve">0m</w:t>
            </w:r>
            <w:r>
              <w:rPr>
                <w:rFonts w:hint="eastAsia" w:ascii="宋体" w:hAnsi="宋体" w:eastAsia="宋体" w:cs="宋体"/>
                <w:i w:val="0"/>
                <w:iCs w:val="0"/>
                <w:color w:val="000000"/>
                <w:sz w:val="20"/>
                <w:szCs w:val="20"/>
                <w:highlight w:val="none"/>
                <w:u w:val="none"/>
                <w:lang w:val="en-US" w:eastAsia="zh-CN" w:bidi="ar"/>
              </w:rPr>
              <w:t xml:space="preserve">m；椅脚上架升降内管采用20×50×1.2㎜优质椭圆焊管。座架管及横管采用20*40*1.5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优质椭圆焊管，椅子下架采用30×60×1.2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优质椭圆焊管。 坐板背板弧度均采用人体工程学设计，贴合人体曲线，坐感舒适。坐板规格为420*410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，背板规格为615*445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,坐板背板均设置有透气孔；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5、椅子背板两侧设置有规格为</w:t>
            </w:r>
            <w:r>
              <w:rPr>
                <w:rFonts w:hint="eastAsia" w:ascii="宋体" w:hAnsi="宋体" w:cs="宋体"/>
                <w:i w:val="0"/>
                <w:iCs w:val="0"/>
                <w:color w:val="000000"/>
                <w:sz w:val="20"/>
                <w:szCs w:val="20"/>
                <w:highlight w:val="none"/>
                <w:u w:val="none"/>
                <w:lang w:val="en-US" w:eastAsia="zh-CN" w:bidi="ar"/>
              </w:rPr>
              <w:t xml:space="preserve">85*30m</w:t>
            </w:r>
            <w:r>
              <w:rPr>
                <w:rFonts w:hint="eastAsia" w:ascii="宋体" w:hAnsi="宋体" w:eastAsia="宋体" w:cs="宋体"/>
                <w:i w:val="0"/>
                <w:iCs w:val="0"/>
                <w:color w:val="000000"/>
                <w:sz w:val="20"/>
                <w:szCs w:val="20"/>
                <w:highlight w:val="none"/>
                <w:u w:val="none"/>
                <w:lang w:val="en-US" w:eastAsia="zh-CN" w:bidi="ar"/>
              </w:rPr>
              <w:t xml:space="preserve">m握手孔，方便提拉背板，便于将背板拉起放平，转换为午休状态，背板上测设置有</w:t>
            </w:r>
            <w:r>
              <w:rPr>
                <w:rFonts w:hint="eastAsia" w:ascii="宋体" w:hAnsi="宋体" w:cs="宋体"/>
                <w:i w:val="0"/>
                <w:iCs w:val="0"/>
                <w:color w:val="000000"/>
                <w:sz w:val="20"/>
                <w:szCs w:val="20"/>
                <w:highlight w:val="none"/>
                <w:u w:val="none"/>
                <w:lang w:val="en-US" w:eastAsia="zh-CN" w:bidi="ar"/>
              </w:rPr>
              <w:t xml:space="preserve">95*35mm</w:t>
            </w:r>
            <w:r>
              <w:rPr>
                <w:rFonts w:hint="eastAsia" w:ascii="宋体" w:hAnsi="宋体" w:eastAsia="宋体" w:cs="宋体"/>
                <w:i w:val="0"/>
                <w:iCs w:val="0"/>
                <w:color w:val="000000"/>
                <w:sz w:val="20"/>
                <w:szCs w:val="20"/>
                <w:highlight w:val="none"/>
                <w:u w:val="none"/>
                <w:lang w:val="en-US" w:eastAsia="zh-CN" w:bidi="ar"/>
              </w:rPr>
              <w:t xml:space="preserve">拉手孔，方便拖动椅子；椅子坐板两侧设置有</w:t>
            </w:r>
            <w:r>
              <w:rPr>
                <w:rFonts w:hint="eastAsia" w:ascii="宋体" w:hAnsi="宋体" w:cs="宋体"/>
                <w:i w:val="0"/>
                <w:iCs w:val="0"/>
                <w:color w:val="000000"/>
                <w:sz w:val="20"/>
                <w:szCs w:val="20"/>
                <w:highlight w:val="none"/>
                <w:u w:val="none"/>
                <w:lang w:val="en-US" w:eastAsia="zh-CN" w:bidi="ar"/>
              </w:rPr>
              <w:t xml:space="preserve">110*3m</w:t>
            </w:r>
            <w:r>
              <w:rPr>
                <w:rFonts w:hint="eastAsia" w:ascii="宋体" w:hAnsi="宋体" w:eastAsia="宋体" w:cs="宋体"/>
                <w:i w:val="0"/>
                <w:iCs w:val="0"/>
                <w:color w:val="000000"/>
                <w:sz w:val="20"/>
                <w:szCs w:val="20"/>
                <w:highlight w:val="none"/>
                <w:u w:val="none"/>
                <w:lang w:val="en-US" w:eastAsia="zh-CN" w:bidi="ar"/>
              </w:rPr>
              <w:t xml:space="preserve">m握手孔，方便从躺平状态拉住握手孔起身以及课椅方便搬动椅子。坐背板两侧采用包裹设计，</w:t>
            </w:r>
            <w:r>
              <w:rPr>
                <w:rFonts w:hint="eastAsia" w:ascii="宋体" w:hAnsi="宋体" w:cs="宋体"/>
                <w:i w:val="0"/>
                <w:iCs w:val="0"/>
                <w:color w:val="000000"/>
                <w:sz w:val="20"/>
                <w:szCs w:val="20"/>
                <w:highlight w:val="none"/>
                <w:u w:val="none"/>
                <w:lang w:val="en-US" w:eastAsia="zh-CN" w:bidi="ar"/>
              </w:rPr>
              <w:t xml:space="preserve">往上平缓弯曲50mm</w:t>
            </w:r>
            <w:r>
              <w:rPr>
                <w:rFonts w:hint="eastAsia" w:ascii="宋体" w:hAnsi="宋体" w:eastAsia="宋体" w:cs="宋体"/>
                <w:i w:val="0"/>
                <w:iCs w:val="0"/>
                <w:color w:val="000000"/>
                <w:sz w:val="20"/>
                <w:szCs w:val="20"/>
                <w:highlight w:val="none"/>
                <w:u w:val="none"/>
                <w:lang w:val="en-US" w:eastAsia="zh-CN" w:bidi="ar"/>
              </w:rPr>
              <w:t xml:space="preserve">，增加舒适性的同时也增加安全性；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椅子背板平放采用滑轨升降加旋转轴设计，并在背板后下方设置有锁扣，当打开背板锁扣时，可通过提拉背板，使背板下端与滑轨槽分离，然后将背板通过旋转轴旋转往后放倒，从而可使背板向后平放，轻松切换到午休状态，可满足1.1米-1.8米身高的不同年龄段学生午休需求。椅子坐背板采用PP加纤维原料注塑成型，坐板厚度大于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，靠背厚度大于4.5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。左右两侧的滑动槽采用ABS原料注塑成型，厚度大于7.5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；旋转轴采用POM原料注塑成型，厚度大于7.5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。与旋转轴连接的钢管采用20×50×1.5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椭圆管，钢管表面采用静电粉末喷涂，经高温固化，防锈耐刮花。靠背后上侧设置有直径16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的不锈钢钢管，可加强靠背的强度；靠背后侧与钢管连接的滑块规格为</w:t>
            </w:r>
            <w:r>
              <w:rPr>
                <w:rFonts w:hint="eastAsia" w:ascii="宋体" w:hAnsi="宋体" w:cs="宋体"/>
                <w:i w:val="0"/>
                <w:iCs w:val="0"/>
                <w:color w:val="000000"/>
                <w:sz w:val="20"/>
                <w:szCs w:val="20"/>
                <w:highlight w:val="none"/>
                <w:u w:val="none"/>
                <w:lang w:val="en-US" w:eastAsia="zh-CN" w:bidi="ar"/>
              </w:rPr>
              <w:t xml:space="preserve">33*27mm,</w:t>
            </w:r>
            <w:r>
              <w:rPr>
                <w:rFonts w:hint="eastAsia" w:ascii="宋体" w:hAnsi="宋体" w:eastAsia="宋体" w:cs="宋体"/>
                <w:i w:val="0"/>
                <w:iCs w:val="0"/>
                <w:color w:val="000000"/>
                <w:sz w:val="20"/>
                <w:szCs w:val="20"/>
                <w:highlight w:val="none"/>
                <w:u w:val="none"/>
                <w:lang w:val="en-US" w:eastAsia="zh-CN" w:bidi="ar"/>
              </w:rPr>
              <w:t xml:space="preserve">采用POM原料注塑成型。课椅升降调节装置为优质ABS工程塑料经模具注塑成型,采用插销旋钮升降，无需工具即可调节升降。椅脚脚套采用PP原料注塑成型，并用螺丝紧固。脚套具有耐磨静音，卡口定位不脱落；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7、收纳箱由箱体，抽屉，底板三部分组成，采用优质PP原料注塑成型。收纳箱外规格为360×275×230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,抽屉规格为330×220×220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；抽屉采用隐藏式拉手设计，操作简便。 底板下方设置两个60×40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卡扣，与课椅铁架连接无需螺丝，安装方便。</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办公椅-4</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25"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14"/>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1312;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92100"/>
                      <wp:effectExtent l="0" t="0" r="0" b="0"/>
                      <wp:wrapNone/>
                      <wp:docPr id="26"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13"/>
                              <a:stretch/>
                            </pic:blipFill>
                            <pic:spPr bwMode="auto">
                              <a:xfrm>
                                <a:off x="0" y="0"/>
                                <a:ext cx="20447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1312;o:allowoverlap:true;o:allowincell:true;mso-position-horizontal-relative:text;margin-left:40.7pt;mso-position-horizontal:absolute;mso-position-vertical-relative:text;margin-top:0.0pt;mso-position-vertical:absolute;width:16.1pt;height:23.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27"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r/>
                            </pic:nvPicPr>
                            <pic:blipFill>
                              <a:blip r:embed="rId14"/>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1312;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92100"/>
                      <wp:effectExtent l="0" t="0" r="0" b="0"/>
                      <wp:wrapNone/>
                      <wp:docPr id="28"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13"/>
                              <a:stretch/>
                            </pic:blipFill>
                            <pic:spPr bwMode="auto">
                              <a:xfrm>
                                <a:off x="0" y="0"/>
                                <a:ext cx="20447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1312;o:allowoverlap:true;o:allowincell:true;mso-position-horizontal-relative:text;margin-left:40.7pt;mso-position-horizontal:absolute;mso-position-vertical-relative:text;margin-top:0.0pt;mso-position-vertical:absolute;width:16.1pt;height:23.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1、规格：590*690*930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2、材质：耐磨西皮；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3、框架：金属內架定型板结构；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4、海绵：40</w:t>
            </w:r>
            <w:r>
              <w:rPr>
                <w:rFonts w:hint="eastAsia" w:ascii="宋体" w:hAnsi="宋体" w:cs="宋体"/>
                <w:i w:val="0"/>
                <w:iCs w:val="0"/>
                <w:color w:val="000000"/>
                <w:sz w:val="20"/>
                <w:szCs w:val="20"/>
                <w:highlight w:val="none"/>
                <w:u w:val="none"/>
                <w:lang w:val="en-US" w:eastAsia="zh-CN" w:bidi="ar"/>
              </w:rPr>
              <w:t xml:space="preserve">D</w:t>
            </w:r>
            <w:r>
              <w:rPr>
                <w:rFonts w:hint="eastAsia" w:ascii="宋体" w:hAnsi="宋体" w:eastAsia="宋体" w:cs="宋体"/>
                <w:i w:val="0"/>
                <w:iCs w:val="0"/>
                <w:color w:val="000000"/>
                <w:sz w:val="20"/>
                <w:szCs w:val="20"/>
                <w:highlight w:val="none"/>
                <w:u w:val="none"/>
                <w:lang w:val="en-US" w:eastAsia="zh-CN" w:bidi="ar"/>
              </w:rPr>
              <w:t xml:space="preserve">高弹力海绵；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5、扶手：电镀扶手支架，配皮扶手面；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6、腿：2.0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厚弓形架。</w:t>
            </w:r>
            <w:r/>
          </w:p>
        </w:tc>
      </w:tr>
      <w:tr>
        <w:trPr>
          <w:jc w:val="center"/>
          <w:trHeight w:val="5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29" name="图片 29"/>
                      <wp:cNvGraphicFramePr/>
                      <a:graphic xmlns:a="http://schemas.openxmlformats.org/drawingml/2006/main">
                        <a:graphicData uri="http://schemas.openxmlformats.org/drawingml/2006/picture">
                          <pic:pic xmlns:pic="http://schemas.openxmlformats.org/drawingml/2006/picture">
                            <pic:nvPicPr>
                              <pic:cNvPr id="29" name="图片 29"/>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1312;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30"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1312;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1、规格：1200*500*2300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2、材质：采用厚度≥25</w:t>
            </w:r>
            <w:r>
              <w:rPr>
                <w:rFonts w:hint="eastAsia" w:ascii="宋体" w:hAnsi="宋体" w:cs="宋体"/>
                <w:i w:val="0"/>
                <w:iCs w:val="0"/>
                <w:color w:val="000000"/>
                <w:sz w:val="20"/>
                <w:szCs w:val="20"/>
                <w:highlight w:val="none"/>
                <w:u w:val="none"/>
                <w:lang w:val="en-US" w:eastAsia="zh-CN" w:bidi="ar"/>
              </w:rPr>
              <w:t xml:space="preserve">mm实木多层板（浸渍胶膜纸饰面）</w:t>
            </w:r>
            <w:r>
              <w:rPr>
                <w:rFonts w:hint="eastAsia" w:ascii="宋体" w:hAnsi="宋体" w:eastAsia="宋体" w:cs="宋体"/>
                <w:i w:val="0"/>
                <w:iCs w:val="0"/>
                <w:color w:val="000000"/>
                <w:sz w:val="20"/>
                <w:szCs w:val="20"/>
                <w:highlight w:val="none"/>
                <w:u w:val="none"/>
                <w:lang w:val="en-US" w:eastAsia="zh-CN" w:bidi="ar"/>
              </w:rPr>
              <w:t xml:space="preserve">；                                                                    3、结构：上下分体，上部分占柜体1/3，下部分带门占柜体2/3，上部分带造型隔断，下门为铝材包边木门，下门内设两块隔板，踢脚线高度50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，颜色由校方确认后制作；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4、PVC封边：采用厚PVC封边带，厚度≥2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5、胶水：热熔胶；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6、五金配件：采用锌合金三合一连接件、固定螺并经过防锈处理后安装。</w:t>
            </w:r>
            <w:r/>
          </w:p>
        </w:tc>
      </w:tr>
      <w:tr>
        <w:trPr>
          <w:jc w:val="center"/>
          <w:trHeight w:val="6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组合办公桌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1、规格：桌子：1200*600*760/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侧柜：1500*300*1200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2、材质：采用厚度≥25</w:t>
            </w:r>
            <w:r>
              <w:rPr>
                <w:rFonts w:hint="eastAsia" w:ascii="宋体" w:hAnsi="宋体" w:cs="宋体"/>
                <w:i w:val="0"/>
                <w:iCs w:val="0"/>
                <w:color w:val="000000"/>
                <w:sz w:val="20"/>
                <w:szCs w:val="20"/>
                <w:highlight w:val="none"/>
                <w:u w:val="none"/>
                <w:lang w:val="en-US" w:eastAsia="zh-CN" w:bidi="ar"/>
              </w:rPr>
              <w:t xml:space="preserve">mm实木多层板（浸渍胶膜纸饰面）</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3、PVC封边：采用厚PVC封边带，厚度≥2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5、五金配件：采用锌合金三合一连接件、固定螺并经过防锈处理后安装；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6、结构：桌面开φ60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走线孔，带键盘抽，桌子一侧带一个抽屉+柜门。</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1、规格：615*650*1130-1210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2、头枕：2D头枕，可上下升降和旋转角度；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3、椅背：PP背框，上下升降腰靠，整椅背后仰最大角度：( 125±1 )度；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4、椅座：硬度50</w:t>
            </w:r>
            <w:r>
              <w:rPr>
                <w:rFonts w:hint="eastAsia" w:ascii="宋体" w:hAnsi="宋体" w:cs="宋体"/>
                <w:i w:val="0"/>
                <w:iCs w:val="0"/>
                <w:color w:val="000000"/>
                <w:sz w:val="20"/>
                <w:szCs w:val="20"/>
                <w:highlight w:val="none"/>
                <w:u w:val="none"/>
                <w:lang w:val="en-US" w:eastAsia="zh-CN" w:bidi="ar"/>
              </w:rPr>
              <w:t xml:space="preserve">N</w:t>
            </w:r>
            <w:r>
              <w:rPr>
                <w:rFonts w:hint="eastAsia" w:ascii="宋体" w:hAnsi="宋体" w:eastAsia="宋体" w:cs="宋体"/>
                <w:i w:val="0"/>
                <w:iCs w:val="0"/>
                <w:color w:val="000000"/>
                <w:sz w:val="20"/>
                <w:szCs w:val="20"/>
                <w:highlight w:val="none"/>
                <w:u w:val="none"/>
                <w:lang w:val="en-US" w:eastAsia="zh-CN" w:bidi="ar"/>
              </w:rPr>
              <w:t xml:space="preserve">、密度35</w:t>
            </w:r>
            <w:r>
              <w:rPr>
                <w:rFonts w:hint="eastAsia" w:ascii="宋体" w:hAnsi="宋体" w:cs="宋体"/>
                <w:i w:val="0"/>
                <w:iCs w:val="0"/>
                <w:color w:val="000000"/>
                <w:sz w:val="20"/>
                <w:szCs w:val="20"/>
                <w:highlight w:val="none"/>
                <w:u w:val="none"/>
                <w:lang w:val="en-US" w:eastAsia="zh-CN" w:bidi="ar"/>
              </w:rPr>
              <w:t xml:space="preserve">D</w:t>
            </w:r>
            <w:r>
              <w:rPr>
                <w:rFonts w:hint="eastAsia" w:ascii="宋体" w:hAnsi="宋体" w:eastAsia="宋体" w:cs="宋体"/>
                <w:i w:val="0"/>
                <w:iCs w:val="0"/>
                <w:color w:val="000000"/>
                <w:sz w:val="20"/>
                <w:szCs w:val="20"/>
                <w:highlight w:val="none"/>
                <w:u w:val="none"/>
                <w:lang w:val="en-US" w:eastAsia="zh-CN" w:bidi="ar"/>
              </w:rPr>
              <w:t xml:space="preserve">定型绵；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5、扶手：PU面升降扶手；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6、气杆：行程85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沉口40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三级气杆；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7、底盘：三挡锁定连动底盘；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8、椅脚：340</w:t>
            </w:r>
            <w:r>
              <w:rPr>
                <w:rFonts w:hint="eastAsia" w:ascii="宋体" w:hAnsi="宋体" w:cs="宋体"/>
                <w:i w:val="0"/>
                <w:iCs w:val="0"/>
                <w:color w:val="000000"/>
                <w:sz w:val="20"/>
                <w:szCs w:val="20"/>
                <w:highlight w:val="none"/>
                <w:u w:val="none"/>
                <w:lang w:val="en-US" w:eastAsia="zh-CN" w:bidi="ar"/>
              </w:rPr>
              <w:t xml:space="preserve">mm </w:t>
            </w:r>
            <w:r>
              <w:rPr>
                <w:rFonts w:hint="eastAsia" w:ascii="宋体" w:hAnsi="宋体" w:eastAsia="宋体" w:cs="宋体"/>
                <w:i w:val="0"/>
                <w:iCs w:val="0"/>
                <w:color w:val="000000"/>
                <w:sz w:val="20"/>
                <w:szCs w:val="20"/>
                <w:highlight w:val="none"/>
                <w:u w:val="none"/>
                <w:lang w:val="en-US" w:eastAsia="zh-CN" w:bidi="ar"/>
              </w:rPr>
              <w:t xml:space="preserve">PP五星脚；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9、椅轮：60/25 PA万向轮；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10、脚踏：旋转折叠，前后伸缩(行程：290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），西皮面脚踏。</w:t>
            </w:r>
            <w:r/>
          </w:p>
        </w:tc>
      </w:tr>
      <w:tr>
        <w:trPr>
          <w:jc w:val="center"/>
          <w:trHeight w:val="7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更衣柜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1、规格：388*508*930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2、A级ABS 原料，（聚苯乙烯树脂）全新工程塑料一体成型，亮面。柜门上下硅胶防撞软护角材质，安装于门板直角处，有效防护使用者意外碰撞受到伤害；                                                            3、柜门外观：顶板至底座1940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弧形半柱支撑，提升承重≥70公斤。中间拱桥弧形状，弧形凸起厚度：≥36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，弧形设计弧型长≥200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拱桥桥梁支撑点，增加强度，增加上下柜体受力点，柜体组合更牢固，不易变形；门板左上角嵌入式PVC丝印号牌，便于更换。防水、防潮、防褪色，规格66*39.2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4、副门内设计超大储物盒＋挂钩 ，储物盒规格：291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；门副板与门板四周12个卡扣固定，采用四方环绕方形加固柱对卡结构，副门凸起外高7</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*门框宽14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加强筋，覆盖率达到96.6%。柜内配备可活动内承板1片，合理分隔内部空间。柜内配有塑胶挂衣杆，柜子预留挂衣杆孔，需要时可安装，不要时可拆卸；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5、柜体单侧主体采用双环柱形设计，一体成型，增加柜体外受力强度。底座前后设计封闭式，避免垃圾进入，左右两侧设计U型设计，便于通风干燥；                                                            6、板材正视立面边框厚度规格:单侧板厚度≥21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，双侧板厚度≥42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，侧板25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、底板30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；门板36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、底座80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.误差不得高于2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7、铰链孔加强筋：铰链孔孔边缘设凸点加强筋骨；加强因门转动带出的力度，防止铰链孔断裂；                                                 8、高强度尼龙料铰链U型开口设计+360度L型门轴，为确保摩擦环节年限15年以上不松动，特设计双门，12个卡扣以上二次固定。颜色由使用方确定后制作。</w:t>
            </w:r>
            <w:r/>
          </w:p>
        </w:tc>
      </w:tr>
      <w:tr>
        <w:trPr>
          <w:jc w:val="center"/>
          <w:trHeight w:val="8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升降讲台</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398"/>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1、规格：680*480*680-1000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2、材质：抗倍特板/钢架；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3、工艺：桌面：材质采用抗倍特一体成型。厚12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,耐80度以上高温</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防水：浸水24小时后的膨胀指数不多于0.1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，面板四周采CNC修边，四周倒角，圆润光滑无任何毛边</w:t>
            </w:r>
            <w:r>
              <w:rPr>
                <w:rFonts w:hint="eastAsia" w:ascii="宋体" w:hAnsi="宋体" w:cs="宋体"/>
                <w:i w:val="0"/>
                <w:iCs w:val="0"/>
                <w:color w:val="000000"/>
                <w:sz w:val="20"/>
                <w:szCs w:val="20"/>
                <w:highlight w:val="none"/>
                <w:u w:val="none"/>
                <w:lang w:val="en-US" w:eastAsia="zh-CN" w:bidi="ar"/>
              </w:rPr>
              <w:t xml:space="preserve">；                                            4、</w:t>
            </w:r>
            <w:r>
              <w:rPr>
                <w:rFonts w:hint="eastAsia" w:ascii="宋体" w:hAnsi="宋体" w:eastAsia="宋体" w:cs="宋体"/>
                <w:i w:val="0"/>
                <w:iCs w:val="0"/>
                <w:color w:val="000000"/>
                <w:sz w:val="20"/>
                <w:szCs w:val="20"/>
                <w:highlight w:val="none"/>
                <w:u w:val="none"/>
                <w:lang w:val="en-US" w:eastAsia="zh-CN" w:bidi="ar"/>
              </w:rPr>
              <w:t xml:space="preserve">桌架规格上方铝外罩直径68*1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；下铁管管直径52*3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；下方弧形铁管直径32*1.5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；桌面连接铁皮厚3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；钢架采用满焊焊接，经高温粉体烤漆，长时间使用也不会产生表面漆剥落现象；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、功能：桌架内置液压升降装置，只需轻轻一拉，桌面即可随意调整高度，桌架底部可配置轮子，方便推移。</w:t>
            </w:r>
            <w:r/>
          </w:p>
        </w:tc>
      </w:tr>
      <w:tr>
        <w:trPr>
          <w:jc w:val="center"/>
          <w:trHeight w:val="74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音乐凳(抽屉式）</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1、规格：285*300*338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。厚度：坐面5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,凳脚20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,抽屉侧板3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,抽屉前后板4.5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2、材质：优质ABS；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3、工艺：（1）注塑制作。耐磨抗压，抗氧化功能强，长期使用也不会产生开裂现象。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（2）硬度和强度高，吸水性小，优良的电绝缘性，耐寒（3）凳脚须配防滑橡胶条。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（4）侧边必须为双层结构，增加产品的坚固性及承重性，保证产品使用过程中的安全性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4、功能：配置ABS塑料抽屉，可堆叠，既可做合唱台，也可以作为收纳小柜子使用。</w:t>
            </w:r>
            <w:r/>
          </w:p>
        </w:tc>
      </w:tr>
      <w:tr>
        <w:trPr>
          <w:jc w:val="center"/>
          <w:trHeight w:val="6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定制合唱台</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1、规格：1280*760*610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2、材质：铝材+</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3、工艺：采用1.0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厚方形钢管，板材厚度≥18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，铝合金包边，</w:t>
            </w:r>
            <w:r>
              <w:rPr>
                <w:rStyle w:val="1056"/>
                <w:color w:val="000000"/>
                <w:highlight w:val="none"/>
                <w:lang w:val="en-US" w:eastAsia="zh-CN" w:bidi="ar"/>
              </w:rPr>
              <w:t xml:space="preserve">配红地毯，两侧加护栏扶手。</w:t>
            </w:r>
            <w:r/>
          </w:p>
        </w:tc>
      </w:tr>
      <w:tr>
        <w:trPr>
          <w:jc w:val="center"/>
          <w:trHeight w:val="5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乐谱架</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1、规格：470*340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2、材质：冲压圆孔的钢板，卷边以增强谱台强度；                                                                        3、结构：谱台带有2个谱夹，谱夹为两节铁杆中间用弹簧连接，可180度旋转；谱台可拆卸，螺栓固定，可做0-90度调整，使用螺栓紧固；谱架最大高度可调至</w:t>
            </w:r>
            <w:r>
              <w:rPr>
                <w:rFonts w:hint="eastAsia" w:ascii="宋体" w:hAnsi="宋体" w:cs="宋体"/>
                <w:i w:val="0"/>
                <w:iCs w:val="0"/>
                <w:color w:val="000000"/>
                <w:sz w:val="20"/>
                <w:szCs w:val="20"/>
                <w:highlight w:val="none"/>
                <w:u w:val="none"/>
                <w:lang w:val="en-US" w:eastAsia="zh-CN" w:bidi="ar"/>
              </w:rPr>
              <w:t xml:space="preserve">1450mm</w:t>
            </w:r>
            <w:r>
              <w:rPr>
                <w:rFonts w:hint="eastAsia" w:ascii="宋体" w:hAnsi="宋体" w:eastAsia="宋体" w:cs="宋体"/>
                <w:i w:val="0"/>
                <w:iCs w:val="0"/>
                <w:color w:val="000000"/>
                <w:sz w:val="20"/>
                <w:szCs w:val="20"/>
                <w:highlight w:val="none"/>
                <w:u w:val="none"/>
                <w:lang w:val="en-US" w:eastAsia="zh-CN" w:bidi="ar"/>
              </w:rPr>
              <w:t xml:space="preserve">，3节升降杆，每节均用螺栓紧固，底脚带防滑胶套。</w:t>
            </w:r>
            <w:r/>
          </w:p>
        </w:tc>
      </w:tr>
      <w:tr>
        <w:trPr>
          <w:jc w:val="center"/>
          <w:trHeight w:val="4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收纳边柜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1、规格：1600*400*900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2、板材：采用18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双贴面实木多层免漆板；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厚同色PVC封边条四周封边；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4、五金件：三合一连接件，静音导轨，液压阻尼铰链；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5、功能：上部为开放置物格，下部为有门柜体，柜内无层板，柜门采用无把手设计。</w:t>
            </w:r>
            <w:r/>
          </w:p>
        </w:tc>
      </w:tr>
      <w:tr>
        <w:trPr>
          <w:jc w:val="center"/>
          <w:trHeight w:val="6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专业音箱</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top"/>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功能特点：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1、音箱采用15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优质中纤板制作，坚实牢靠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2、高音采用过流过压过温保护，使用更加可靠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3、多个M8螺丝吊装孔位，可横竖吊挂，安装灵活，操作方便快捷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4、底部有一个</w:t>
            </w:r>
            <w:r>
              <w:rPr>
                <w:rStyle w:val="1056"/>
                <w:color w:val="000000"/>
                <w:highlight w:val="none"/>
                <w:lang w:val="en-US" w:eastAsia="zh-CN" w:bidi="ar"/>
              </w:rPr>
              <w:t xml:space="preserve">φ36mm标准支撑座</w:t>
            </w:r>
            <w:r>
              <w:rPr>
                <w:rStyle w:val="1056"/>
                <w:color w:val="000000"/>
                <w:highlight w:val="none"/>
                <w:lang w:val="en-US" w:eastAsia="zh-CN" w:bidi="ar"/>
              </w:rPr>
              <w:br w:type="textWrapping" w:clear="all"/>
            </w:r>
            <w:r>
              <w:rPr>
                <w:rStyle w:val="1056"/>
                <w:color w:val="000000"/>
                <w:highlight w:val="none"/>
                <w:lang w:val="en-US" w:eastAsia="zh-CN" w:bidi="ar"/>
              </w:rPr>
              <w:t xml:space="preserve">技术参数：</w:t>
            </w:r>
            <w:r>
              <w:rPr>
                <w:rStyle w:val="1056"/>
                <w:color w:val="000000"/>
                <w:highlight w:val="none"/>
                <w:lang w:val="en-US" w:eastAsia="zh-CN" w:bidi="ar"/>
              </w:rPr>
              <w:br w:type="textWrapping" w:clear="all"/>
            </w:r>
            <w:r>
              <w:rPr>
                <w:rStyle w:val="1056"/>
                <w:color w:val="000000"/>
                <w:highlight w:val="none"/>
                <w:lang w:val="en-US" w:eastAsia="zh-CN" w:bidi="ar"/>
              </w:rPr>
              <w:t xml:space="preserve">1、额定功率： 250W/1000W （Peak）</w:t>
            </w:r>
            <w:r>
              <w:rPr>
                <w:rStyle w:val="1056"/>
                <w:color w:val="000000"/>
                <w:highlight w:val="none"/>
                <w:lang w:val="en-US" w:eastAsia="zh-CN" w:bidi="ar"/>
              </w:rPr>
              <w:br w:type="textWrapping" w:clear="all"/>
            </w:r>
            <w:r>
              <w:rPr>
                <w:rStyle w:val="1056"/>
                <w:color w:val="000000"/>
                <w:highlight w:val="none"/>
                <w:lang w:val="en-US" w:eastAsia="zh-CN" w:bidi="ar"/>
              </w:rPr>
              <w:t xml:space="preserve">2、额定阻抗： 8Ω</w:t>
            </w:r>
            <w:r>
              <w:rPr>
                <w:rStyle w:val="1056"/>
                <w:color w:val="000000"/>
                <w:highlight w:val="none"/>
                <w:lang w:val="en-US" w:eastAsia="zh-CN" w:bidi="ar"/>
              </w:rPr>
              <w:br w:type="textWrapping" w:clear="all"/>
            </w:r>
            <w:r>
              <w:rPr>
                <w:rStyle w:val="1056"/>
                <w:color w:val="000000"/>
                <w:highlight w:val="none"/>
                <w:lang w:val="en-US" w:eastAsia="zh-CN" w:bidi="ar"/>
              </w:rPr>
              <w:t xml:space="preserve">3、特性灵敏度：96dB/W/m</w:t>
            </w:r>
            <w:r>
              <w:rPr>
                <w:rStyle w:val="1056"/>
                <w:color w:val="000000"/>
                <w:highlight w:val="none"/>
                <w:lang w:val="en-US" w:eastAsia="zh-CN" w:bidi="ar"/>
              </w:rPr>
              <w:br w:type="textWrapping" w:clear="all"/>
            </w:r>
            <w:r>
              <w:rPr>
                <w:rStyle w:val="1056"/>
                <w:color w:val="000000"/>
                <w:highlight w:val="none"/>
                <w:lang w:val="en-US" w:eastAsia="zh-CN" w:bidi="ar"/>
              </w:rPr>
              <w:t xml:space="preserve">4、输出声压级：120dB（Continues）126dB（Peak）</w:t>
            </w:r>
            <w:r>
              <w:rPr>
                <w:rStyle w:val="1056"/>
                <w:color w:val="000000"/>
                <w:highlight w:val="none"/>
                <w:lang w:val="en-US" w:eastAsia="zh-CN" w:bidi="ar"/>
              </w:rPr>
              <w:br w:type="textWrapping" w:clear="all"/>
            </w:r>
            <w:r>
              <w:rPr>
                <w:rStyle w:val="1056"/>
                <w:color w:val="000000"/>
                <w:highlight w:val="none"/>
                <w:lang w:val="en-US" w:eastAsia="zh-CN" w:bidi="ar"/>
              </w:rPr>
              <w:t xml:space="preserve">5、额定频率范围： 60~20000Hz</w:t>
            </w:r>
            <w:r>
              <w:rPr>
                <w:rStyle w:val="1056"/>
                <w:color w:val="000000"/>
                <w:highlight w:val="none"/>
                <w:lang w:val="en-US" w:eastAsia="zh-CN" w:bidi="ar"/>
              </w:rPr>
              <w:br w:type="textWrapping" w:clear="all"/>
            </w:r>
            <w:r>
              <w:rPr>
                <w:rStyle w:val="1056"/>
                <w:color w:val="000000"/>
                <w:highlight w:val="none"/>
                <w:lang w:val="en-US" w:eastAsia="zh-CN" w:bidi="ar"/>
              </w:rPr>
              <w:t xml:space="preserve">6、覆盖角度 H×V： 90°×60°</w:t>
            </w:r>
            <w:r>
              <w:rPr>
                <w:rStyle w:val="1056"/>
                <w:color w:val="000000"/>
                <w:highlight w:val="none"/>
                <w:lang w:val="en-US" w:eastAsia="zh-CN" w:bidi="ar"/>
              </w:rPr>
              <w:br w:type="textWrapping" w:clear="all"/>
            </w:r>
            <w:r>
              <w:rPr>
                <w:rStyle w:val="1056"/>
                <w:color w:val="000000"/>
                <w:highlight w:val="none"/>
                <w:lang w:val="en-US" w:eastAsia="zh-CN" w:bidi="ar"/>
              </w:rPr>
              <w:t xml:space="preserve">7、扬声器单元： 10英寸×1，1.35英寸×1</w:t>
            </w:r>
            <w:r>
              <w:rPr>
                <w:rStyle w:val="1056"/>
                <w:color w:val="000000"/>
                <w:highlight w:val="none"/>
                <w:lang w:val="en-US" w:eastAsia="zh-CN" w:bidi="ar"/>
              </w:rPr>
              <w:br w:type="textWrapping" w:clear="all"/>
            </w:r>
            <w:r>
              <w:rPr>
                <w:rStyle w:val="1056"/>
                <w:color w:val="000000"/>
                <w:highlight w:val="none"/>
                <w:lang w:val="en-US" w:eastAsia="zh-CN" w:bidi="ar"/>
              </w:rPr>
              <w:t xml:space="preserve">8、输入接口： 2×Speakon NL4MP</w:t>
            </w:r>
            <w:r>
              <w:rPr>
                <w:rStyle w:val="1056"/>
                <w:color w:val="000000"/>
                <w:highlight w:val="none"/>
                <w:lang w:val="en-US" w:eastAsia="zh-CN" w:bidi="ar"/>
              </w:rPr>
              <w:br w:type="textWrapping" w:clear="all"/>
            </w:r>
            <w:r>
              <w:rPr>
                <w:rStyle w:val="1056"/>
                <w:color w:val="000000"/>
                <w:highlight w:val="none"/>
                <w:lang w:val="en-US" w:eastAsia="zh-CN" w:bidi="ar"/>
              </w:rPr>
              <w:t xml:space="preserve">9、吊挂： 多个M8螺丝吊装孔位</w:t>
            </w:r>
            <w:r>
              <w:rPr>
                <w:rStyle w:val="1056"/>
                <w:color w:val="000000"/>
                <w:highlight w:val="none"/>
                <w:lang w:val="en-US" w:eastAsia="zh-CN" w:bidi="ar"/>
              </w:rPr>
              <w:br w:type="textWrapping" w:clear="all"/>
            </w:r>
            <w:r>
              <w:rPr>
                <w:rStyle w:val="1056"/>
                <w:color w:val="000000"/>
                <w:highlight w:val="none"/>
                <w:lang w:val="en-US" w:eastAsia="zh-CN" w:bidi="ar"/>
              </w:rPr>
              <w:t xml:space="preserve">10、支撑座： φ36mm标准支撑座</w:t>
            </w:r>
            <w:r>
              <w:rPr>
                <w:rStyle w:val="1056"/>
                <w:color w:val="000000"/>
                <w:highlight w:val="none"/>
                <w:lang w:val="en-US" w:eastAsia="zh-CN" w:bidi="ar"/>
              </w:rPr>
              <w:br w:type="textWrapping" w:clear="all"/>
            </w:r>
            <w:r>
              <w:rPr>
                <w:rStyle w:val="1056"/>
                <w:color w:val="000000"/>
                <w:highlight w:val="none"/>
                <w:lang w:val="en-US" w:eastAsia="zh-CN" w:bidi="ar"/>
              </w:rPr>
              <w:t xml:space="preserve">11、箱体材料：15mm中纤板</w:t>
            </w:r>
            <w:r>
              <w:rPr>
                <w:rStyle w:val="1056"/>
                <w:color w:val="000000"/>
                <w:highlight w:val="none"/>
                <w:lang w:val="en-US" w:eastAsia="zh-CN" w:bidi="ar"/>
              </w:rPr>
              <w:br w:type="textWrapping" w:clear="all"/>
            </w:r>
            <w:r>
              <w:rPr>
                <w:rStyle w:val="1056"/>
                <w:color w:val="000000"/>
                <w:highlight w:val="none"/>
                <w:lang w:val="en-US" w:eastAsia="zh-CN" w:bidi="ar"/>
              </w:rPr>
              <w:t xml:space="preserve">12、音箱规格mm：H×W×D 523×326×331</w:t>
            </w:r>
            <w:r>
              <w:rPr>
                <w:rStyle w:val="1056"/>
                <w:color w:val="000000"/>
                <w:highlight w:val="none"/>
                <w:lang w:val="en-US" w:eastAsia="zh-CN" w:bidi="ar"/>
              </w:rPr>
              <w:br w:type="textWrapping" w:clear="all"/>
            </w:r>
            <w:r>
              <w:rPr>
                <w:rStyle w:val="1056"/>
                <w:color w:val="000000"/>
                <w:highlight w:val="none"/>
                <w:lang w:val="en-US" w:eastAsia="zh-CN" w:bidi="ar"/>
              </w:rPr>
              <w:t xml:space="preserve">13、系统重量（kg）： 17</w:t>
            </w:r>
            <w:r>
              <w:rPr>
                <w:rStyle w:val="1056"/>
                <w:color w:val="000000"/>
                <w:highlight w:val="none"/>
                <w:lang w:val="en-US" w:eastAsia="zh-CN" w:bidi="ar"/>
              </w:rPr>
              <w:br w:type="textWrapping" w:clear="all"/>
            </w:r>
            <w:r>
              <w:rPr>
                <w:rStyle w:val="1056"/>
                <w:color w:val="000000"/>
                <w:highlight w:val="none"/>
                <w:lang w:val="en-US" w:eastAsia="zh-CN" w:bidi="ar"/>
              </w:rPr>
              <w:t xml:space="preserve">14、标准成品色： 黑色</w:t>
            </w:r>
            <w:r/>
          </w:p>
        </w:tc>
      </w:tr>
      <w:tr>
        <w:trPr>
          <w:jc w:val="center"/>
          <w:trHeight w:val="8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音箱壁挂支架</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03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音箱壁挂支架承重80KG</w:t>
            </w:r>
            <w:r/>
          </w:p>
        </w:tc>
      </w:tr>
      <w:tr>
        <w:trPr>
          <w:jc w:val="center"/>
          <w:trHeight w:val="746"/>
        </w:trPr>
        <w:tc>
          <w:tcPr>
            <w:tcW w:w="368" w:type="dxa"/>
            <w:vAlign w:val="center"/>
            <w:vMerge w:val="restart"/>
            <w:textDirection w:val="lrTb"/>
            <w:noWrap w:val="false"/>
          </w:tcPr>
          <w:p>
            <w:pPr>
              <w:jc w:val="center"/>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108</w:t>
            </w:r>
            <w:r/>
          </w:p>
        </w:tc>
        <w:tc>
          <w:tcPr>
            <w:tcW w:w="798" w:type="dxa"/>
            <w:vAlign w:val="center"/>
            <w:vMerge w:val="restart"/>
            <w:textDirection w:val="lrTb"/>
            <w:noWrap w:val="false"/>
          </w:tcPr>
          <w:p>
            <w:pPr>
              <w:jc w:val="center"/>
              <w:keepLines w:val="0"/>
              <w:keepNext w:val="0"/>
              <w:widowControl/>
              <w:rPr>
                <w:rFonts w:ascii="宋体" w:hAnsi="宋体" w:cs="宋体"/>
                <w:bCs/>
                <w:color w:val="000000"/>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功率放大器（450W）</w:t>
            </w:r>
            <w:r/>
          </w:p>
        </w:tc>
        <w:tc>
          <w:tcPr>
            <w:tcW w:w="705" w:type="dxa"/>
            <w:vAlign w:val="center"/>
            <w:textDirection w:val="lrTb"/>
            <w:noWrap w:val="false"/>
          </w:tcPr>
          <w:p>
            <w:pPr>
              <w:jc w:val="center"/>
              <w:spacing w:line="264" w:lineRule="auto"/>
              <w:rPr>
                <w:rFonts w:ascii="宋体" w:hAnsi="宋体" w:cs="宋体"/>
                <w:color w:val="000000"/>
                <w:szCs w:val="21"/>
                <w:highlight w:val="none"/>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无</w:t>
            </w:r>
            <w:r/>
          </w:p>
        </w:tc>
      </w:tr>
      <w:tr>
        <w:trPr>
          <w:jc w:val="center"/>
          <w:trHeight w:val="981"/>
        </w:trPr>
        <w:tc>
          <w:tcPr>
            <w:tcW w:w="368" w:type="dxa"/>
            <w:vAlign w:val="center"/>
            <w:vMerge w:val="continue"/>
            <w:textDirection w:val="lrTb"/>
            <w:noWrap w:val="false"/>
          </w:tcPr>
          <w:p>
            <w:pPr>
              <w:jc w:val="center"/>
              <w:widowControl/>
              <w:rPr>
                <w:color w:val="000000"/>
                <w:highlight w:val="none"/>
              </w:rPr>
            </w:pPr>
            <w:r>
              <w:rPr>
                <w:color w:val="000000"/>
                <w:highlight w:val="none"/>
              </w:rPr>
            </w:r>
            <w:r/>
          </w:p>
        </w:tc>
        <w:tc>
          <w:tcPr>
            <w:tcW w:w="798" w:type="dxa"/>
            <w:vAlign w:val="center"/>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ascii="宋体" w:hAnsi="宋体" w:cs="宋体"/>
                <w:color w:val="000000"/>
                <w:szCs w:val="21"/>
                <w:highlight w:val="none"/>
              </w:rPr>
            </w:pPr>
            <w:r>
              <w:rPr>
                <w:rFonts w:hint="eastAsia" w:ascii="宋体" w:hAnsi="宋体" w:cs="宋体"/>
                <w:bCs/>
                <w:color w:val="000000"/>
                <w:szCs w:val="21"/>
                <w:highlight w:val="none"/>
              </w:rPr>
              <w:t xml:space="preserve">非实质性要求</w:t>
            </w:r>
            <w:r/>
          </w:p>
        </w:tc>
        <w:tc>
          <w:tcPr>
            <w:tcW w:w="3128" w:type="dxa"/>
            <w:vAlign w:val="top"/>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color w:val="00000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1、额定功率：2×450W/8</w:t>
            </w:r>
            <w:r>
              <w:rPr>
                <w:rStyle w:val="1056"/>
                <w:color w:val="000000"/>
                <w:highlight w:val="none"/>
                <w:lang w:val="en-US" w:eastAsia="zh-CN" w:bidi="ar"/>
              </w:rPr>
              <w:t xml:space="preserve">Ω，2×675W/4Ω，桥接：1×1350W/8Ω</w:t>
            </w:r>
            <w:r>
              <w:rPr>
                <w:rStyle w:val="1056"/>
                <w:color w:val="000000"/>
                <w:highlight w:val="none"/>
                <w:lang w:val="en-US" w:eastAsia="zh-CN" w:bidi="ar"/>
              </w:rPr>
              <w:br w:type="textWrapping" w:clear="all"/>
            </w:r>
            <w:r>
              <w:rPr>
                <w:rStyle w:val="1056"/>
                <w:color w:val="000000"/>
                <w:highlight w:val="none"/>
                <w:lang w:val="en-US" w:eastAsia="zh-CN" w:bidi="ar"/>
              </w:rPr>
              <w:t xml:space="preserve">2、频率响应：20Hz～20kHz（±1dB）</w:t>
            </w:r>
            <w:r>
              <w:rPr>
                <w:rStyle w:val="1056"/>
                <w:color w:val="000000"/>
                <w:highlight w:val="none"/>
                <w:lang w:val="en-US" w:eastAsia="zh-CN" w:bidi="ar"/>
              </w:rPr>
              <w:br w:type="textWrapping" w:clear="all"/>
            </w:r>
            <w:r>
              <w:rPr>
                <w:rStyle w:val="1056"/>
                <w:color w:val="000000"/>
                <w:highlight w:val="none"/>
                <w:lang w:val="en-US" w:eastAsia="zh-CN" w:bidi="ar"/>
              </w:rPr>
              <w:t xml:space="preserve">3、输入灵敏度：0dBu（775mV）</w:t>
            </w:r>
            <w:r>
              <w:rPr>
                <w:rStyle w:val="1056"/>
                <w:color w:val="000000"/>
                <w:highlight w:val="none"/>
                <w:lang w:val="en-US" w:eastAsia="zh-CN" w:bidi="ar"/>
              </w:rPr>
              <w:br w:type="textWrapping" w:clear="all"/>
            </w:r>
            <w:r>
              <w:rPr>
                <w:rStyle w:val="1056"/>
                <w:color w:val="000000"/>
                <w:highlight w:val="none"/>
                <w:lang w:val="en-US" w:eastAsia="zh-CN" w:bidi="ar"/>
              </w:rPr>
              <w:t xml:space="preserve">4、输入阻抗：平衡20kΩ，非平衡10kΩ</w:t>
            </w:r>
            <w:r>
              <w:rPr>
                <w:rStyle w:val="1056"/>
                <w:color w:val="000000"/>
                <w:highlight w:val="none"/>
                <w:lang w:val="en-US" w:eastAsia="zh-CN" w:bidi="ar"/>
              </w:rPr>
              <w:br w:type="textWrapping" w:clear="all"/>
            </w:r>
            <w:r>
              <w:rPr>
                <w:rStyle w:val="1056"/>
                <w:color w:val="000000"/>
                <w:highlight w:val="none"/>
                <w:lang w:val="en-US" w:eastAsia="zh-CN" w:bidi="ar"/>
              </w:rPr>
              <w:t xml:space="preserve">5、总谐波失真（1kHz）：≤0.1%</w:t>
            </w:r>
            <w:r>
              <w:rPr>
                <w:rStyle w:val="1056"/>
                <w:color w:val="000000"/>
                <w:highlight w:val="none"/>
                <w:lang w:val="en-US" w:eastAsia="zh-CN" w:bidi="ar"/>
              </w:rPr>
              <w:br w:type="textWrapping" w:clear="all"/>
            </w:r>
            <w:r>
              <w:rPr>
                <w:rStyle w:val="1056"/>
                <w:color w:val="000000"/>
                <w:highlight w:val="none"/>
                <w:lang w:val="en-US" w:eastAsia="zh-CN" w:bidi="ar"/>
              </w:rPr>
              <w:t xml:space="preserve">6、信噪比（A计权）：≥100dB</w:t>
            </w:r>
            <w:r>
              <w:rPr>
                <w:rStyle w:val="1056"/>
                <w:color w:val="000000"/>
                <w:highlight w:val="none"/>
                <w:lang w:val="en-US" w:eastAsia="zh-CN" w:bidi="ar"/>
              </w:rPr>
              <w:br w:type="textWrapping" w:clear="all"/>
            </w:r>
            <w:r>
              <w:rPr>
                <w:rStyle w:val="1056"/>
                <w:color w:val="000000"/>
                <w:highlight w:val="none"/>
                <w:lang w:val="en-US" w:eastAsia="zh-CN" w:bidi="ar"/>
              </w:rPr>
              <w:t xml:space="preserve">7、串音衰减（1kHz）：≥70dB</w:t>
            </w:r>
            <w:r>
              <w:rPr>
                <w:rStyle w:val="1056"/>
                <w:color w:val="000000"/>
                <w:highlight w:val="none"/>
                <w:lang w:val="en-US" w:eastAsia="zh-CN" w:bidi="ar"/>
              </w:rPr>
              <w:br w:type="textWrapping" w:clear="all"/>
            </w:r>
            <w:r>
              <w:rPr>
                <w:rStyle w:val="1056"/>
                <w:color w:val="000000"/>
                <w:highlight w:val="none"/>
                <w:lang w:val="en-US" w:eastAsia="zh-CN" w:bidi="ar"/>
              </w:rPr>
              <w:t xml:space="preserve">8、增益差：≤1dB</w:t>
            </w:r>
            <w:r>
              <w:rPr>
                <w:rStyle w:val="1056"/>
                <w:color w:val="000000"/>
                <w:highlight w:val="none"/>
                <w:lang w:val="en-US" w:eastAsia="zh-CN" w:bidi="ar"/>
              </w:rPr>
              <w:br w:type="textWrapping" w:clear="all"/>
            </w:r>
            <w:r>
              <w:rPr>
                <w:rStyle w:val="1056"/>
                <w:color w:val="000000"/>
                <w:highlight w:val="none"/>
                <w:lang w:val="en-US" w:eastAsia="zh-CN" w:bidi="ar"/>
              </w:rPr>
              <w:t xml:space="preserve">9、阻尼系数：≥250</w:t>
            </w:r>
            <w:r>
              <w:rPr>
                <w:rStyle w:val="1056"/>
                <w:color w:val="000000"/>
                <w:highlight w:val="none"/>
                <w:lang w:val="en-US" w:eastAsia="zh-CN" w:bidi="ar"/>
              </w:rPr>
              <w:br w:type="textWrapping" w:clear="all"/>
            </w:r>
            <w:r>
              <w:rPr>
                <w:rStyle w:val="1056"/>
                <w:color w:val="000000"/>
                <w:highlight w:val="none"/>
                <w:lang w:val="en-US" w:eastAsia="zh-CN" w:bidi="ar"/>
              </w:rPr>
              <w:t xml:space="preserve">10、电源适应范围：AC110～242V，50Hz/60Hz</w:t>
            </w:r>
            <w:r>
              <w:rPr>
                <w:rStyle w:val="1056"/>
                <w:color w:val="000000"/>
                <w:highlight w:val="none"/>
                <w:lang w:val="en-US" w:eastAsia="zh-CN" w:bidi="ar"/>
              </w:rPr>
              <w:br w:type="textWrapping" w:clear="all"/>
            </w:r>
            <w:r>
              <w:rPr>
                <w:rStyle w:val="1056"/>
                <w:color w:val="000000"/>
                <w:highlight w:val="none"/>
                <w:lang w:val="en-US" w:eastAsia="zh-CN" w:bidi="ar"/>
              </w:rPr>
              <w:t xml:space="preserve">11、规格(H×W×D)(mm)：44×483×346</w:t>
            </w:r>
            <w:r>
              <w:rPr>
                <w:rStyle w:val="1056"/>
                <w:color w:val="000000"/>
                <w:highlight w:val="none"/>
                <w:lang w:val="en-US" w:eastAsia="zh-CN" w:bidi="ar"/>
              </w:rPr>
              <w:br w:type="textWrapping" w:clear="all"/>
            </w:r>
            <w:r>
              <w:rPr>
                <w:rStyle w:val="1056"/>
                <w:color w:val="000000"/>
                <w:highlight w:val="none"/>
                <w:lang w:val="en-US" w:eastAsia="zh-CN" w:bidi="ar"/>
              </w:rPr>
              <w:t xml:space="preserve">12、净重：3.9kg</w:t>
            </w:r>
            <w:r/>
          </w:p>
        </w:tc>
      </w:tr>
      <w:tr>
        <w:trPr>
          <w:jc w:val="center"/>
          <w:trHeight w:val="697"/>
        </w:trPr>
        <w:tc>
          <w:tcPr>
            <w:tcW w:w="368" w:type="dxa"/>
            <w:vAlign w:val="center"/>
            <w:vMerge w:val="restart"/>
            <w:textDirection w:val="lrTb"/>
            <w:noWrap w:val="false"/>
          </w:tcPr>
          <w:p>
            <w:pPr>
              <w:jc w:val="center"/>
              <w:widowControl/>
              <w:rPr>
                <w:rFonts w:eastAsia="宋体"/>
                <w:color w:val="000000"/>
                <w:highlight w:val="none"/>
                <w:lang w:val="en-US" w:eastAsia="zh-CN"/>
              </w:rPr>
            </w:pPr>
            <w:r>
              <w:rPr>
                <w:rFonts w:hint="eastAsia"/>
                <w:color w:val="000000"/>
                <w:highlight w:val="none"/>
                <w:lang w:val="en-US" w:eastAsia="zh-CN"/>
              </w:rPr>
              <w:t xml:space="preserve">109</w:t>
            </w:r>
            <w:r/>
          </w:p>
        </w:tc>
        <w:tc>
          <w:tcPr>
            <w:tcW w:w="798" w:type="dxa"/>
            <w:vAlign w:val="center"/>
            <w:vMerge w:val="restart"/>
            <w:textDirection w:val="lrTb"/>
            <w:noWrap w:val="false"/>
          </w:tcPr>
          <w:p>
            <w:pPr>
              <w:jc w:val="center"/>
              <w:keepLines w:val="0"/>
              <w:keepNext w:val="0"/>
              <w:widowControl/>
              <w:rPr>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四通道功率放大器（400W）</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color w:val="000000"/>
                <w:highlight w:val="none"/>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center"/>
            <w:vMerge w:val="continue"/>
            <w:textDirection w:val="lrTb"/>
            <w:noWrap w:val="false"/>
          </w:tcPr>
          <w:p>
            <w:pPr>
              <w:jc w:val="center"/>
              <w:widowControl/>
              <w:rPr>
                <w:color w:val="000000"/>
                <w:highlight w:val="none"/>
              </w:rPr>
            </w:pPr>
            <w:r>
              <w:rPr>
                <w:color w:val="000000"/>
                <w:highlight w:val="none"/>
              </w:rPr>
            </w:r>
            <w:r/>
          </w:p>
        </w:tc>
        <w:tc>
          <w:tcPr>
            <w:tcW w:w="798" w:type="dxa"/>
            <w:vAlign w:val="center"/>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top"/>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1.输出功率：4x400W/8Ω，4x600W/4Ω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2.频率响应：20Hz～20kHz（±1dB）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3.总谐波失真（1kHz）：≤0.1%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4.输入灵敏度（±10%）：0dBu（775mV）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5.输入阻抗：平衡 20KΩ，非平衡 10KΩ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6.信噪比（A计权）：≥100dB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7.串音衰减（1kHz）：≥70dB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8.电源适应范围：AC110～242V，50Hz/60Hz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9.整机规格(H×W×D)(</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)：44×483×385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10.包装规格(H×W×D)(</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)：115×570×550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11.净重/毛重：约 5kg / 6.5kg</w:t>
            </w:r>
            <w:r/>
          </w:p>
        </w:tc>
      </w:tr>
      <w:tr>
        <w:trPr>
          <w:jc w:val="center"/>
          <w:trHeight w:val="797"/>
        </w:trPr>
        <w:tc>
          <w:tcPr>
            <w:tcW w:w="368" w:type="dxa"/>
            <w:vAlign w:val="center"/>
            <w:vMerge w:val="restart"/>
            <w:textDirection w:val="lrTb"/>
            <w:noWrap w:val="false"/>
          </w:tcPr>
          <w:p>
            <w:pPr>
              <w:jc w:val="center"/>
              <w:widowControl/>
              <w:rPr>
                <w:rFonts w:eastAsia="宋体"/>
                <w:color w:val="000000"/>
                <w:highlight w:val="none"/>
                <w:lang w:val="en-US" w:eastAsia="zh-CN"/>
              </w:rPr>
            </w:pPr>
            <w:r>
              <w:rPr>
                <w:rFonts w:hint="eastAsia"/>
                <w:color w:val="000000"/>
                <w:highlight w:val="none"/>
                <w:lang w:val="en-US" w:eastAsia="zh-CN"/>
              </w:rPr>
              <w:t xml:space="preserve">110</w:t>
            </w:r>
            <w:r/>
          </w:p>
        </w:tc>
        <w:tc>
          <w:tcPr>
            <w:tcW w:w="798" w:type="dxa"/>
            <w:vAlign w:val="center"/>
            <w:vMerge w:val="restart"/>
            <w:textDirection w:val="lrTb"/>
            <w:noWrap w:val="false"/>
          </w:tcPr>
          <w:p>
            <w:pPr>
              <w:jc w:val="center"/>
              <w:keepLines w:val="0"/>
              <w:keepNext w:val="0"/>
              <w:widowControl/>
              <w:rPr>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数字效果器</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color w:val="000000"/>
                <w:highlight w:val="none"/>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center"/>
            <w:vMerge w:val="continue"/>
            <w:textDirection w:val="lrTb"/>
            <w:noWrap w:val="false"/>
          </w:tcPr>
          <w:p>
            <w:pPr>
              <w:jc w:val="center"/>
              <w:widowControl/>
              <w:rPr>
                <w:color w:val="000000"/>
                <w:highlight w:val="none"/>
              </w:rPr>
            </w:pPr>
            <w:r>
              <w:rPr>
                <w:color w:val="000000"/>
                <w:highlight w:val="none"/>
              </w:rPr>
            </w:r>
            <w:r/>
          </w:p>
        </w:tc>
        <w:tc>
          <w:tcPr>
            <w:tcW w:w="798" w:type="dxa"/>
            <w:vAlign w:val="center"/>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1、2英寸LCD彩色液晶屏，全中文显示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2、2路AUX输入（RCA），光纤、同轴输入各一个，支持蓝牙输入，2路麦克风输入，带独立增益调节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3、6路XLR输出接口：主输出*2、环绕*2、中置*1、超低*1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4、音乐15段PEQ，麦克风双路独立15段PEQ</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5、反馈抑制支持5级可选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6、所有输出通道分别设12段参量均衡（PEQ），高低通，输入选择及混合比例极性、增益、压限、延时、静音功能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7、采用专业级第四代SHARC高速450 MHZ DSP处理器，32bit/768kHz D/A转换器及24位线性PCM/216kHz采样率的A/D转换器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8、配有专业PC设备管理控制软件来操作，提供USB免驱接口可连接电脑：支持RS485中控端口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9、可保存21组场景，支持数据导入导出功能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技术指标：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1、频率响应：20Hz-20kHz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2、总谐波失真：≤0.01%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3、信噪比（A计权）：≥110dB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4、最大输入电平：18dBu</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5、最大输出电平：17dBu</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6、输出阻抗：＜300Ω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7、规格(L×W×H)(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)：483×230×44</w:t>
            </w:r>
            <w:r/>
          </w:p>
        </w:tc>
      </w:tr>
      <w:tr>
        <w:trPr>
          <w:jc w:val="center"/>
          <w:trHeight w:val="8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color w:val="000000"/>
                <w:highlight w:val="none"/>
                <w:lang w:val="en-US" w:eastAsia="zh-CN"/>
              </w:rPr>
              <w:t xml:space="preserve">111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无线传声器（1手持1头戴）</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产品特点：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1、采用UHF双通道设计，运用高精度锁相环频率合成PLL技术，传输更稳定；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2、接收机采用1.8寸TFT彩色显示屏，多个通道频道号、频率、电量、音量、音频电平一目了然；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3、接收机内置啸叫抑制，可根据需要开启或关闭；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4、接收机内置4种EQ模式——直通、低切、高切及用户模式，其中用户模式可灵活调节13段 EQ增益，适配更多场合使用；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5、接收机采用真分集接收技术，CPU自动选讯，保证接收稳定，有效预防断频；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6、使用无声轻触电源开关，有效避免开关噪声；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7、使用红外对频方式，话筒红外窗口对准主机红外发射口进行对频；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8、采用动态随机ID设计，杜绝串频，接收机只接收最后一次对频的发射器；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9、接收机预置多组规避干扰的频率，有效提高多套同时使用的安装效率；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10、发射器带1寸LCD显示屏，外形简洁稳重，抗静电设计；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11、专业动圈式拾音头，语音清晰保真；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12、发射器采用2节AA电池供电，可连续发言8小时以上，待机10小时以上。</w:t>
            </w:r>
            <w:r>
              <w:rPr>
                <w:rFonts w:hint="eastAsia" w:ascii="宋体" w:hAnsi="宋体" w:eastAsia="宋体" w:cs="宋体"/>
                <w:i w:val="0"/>
                <w:iCs w:val="0"/>
                <w:color w:val="000000"/>
                <w:sz w:val="20"/>
                <w:szCs w:val="20"/>
                <w:highlight w:val="none"/>
                <w:u w:val="none"/>
                <w:lang w:val="en-US" w:eastAsia="zh-CN" w:bidi="ar"/>
              </w:rPr>
              <w:br w:type="textWrapping" w:clear="all"/>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载波频段:UHF645-690MHz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单机频带宽度:50MHz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单机频道数量:200个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综合T.H.D.:&lt;0.5%@1kHz(A计权)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频率响应(线路):70Hz-16kHz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有效使用距离:50米(无干扰环境，无遮挡)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频率稳定度:±0.005%(-10°C-+50°C)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最大频偏:±45KHz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对频方式:红外+无线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天线:50Q/BNC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接收机电源供应:DC 12V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音频输出接口:XLR+TS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外形规格(主体):479</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(宽)*45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(高，不含脚垫)*185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重量:约1500g(不含附件)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发射器指标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载波频段:UHF640-690MHz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调制方式:宽带FM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频率振荡模式:PLL相位锁定频率合成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对频方式:无线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频带宽度:50MHz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最大频道数：200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最大频偏:±45KHz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发射功率:10dBm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显示方式:1寸LCD显示屏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拾音头:动圈式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供电方式:二节AA电池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电池寿命:约8小时</w:t>
            </w:r>
            <w:r/>
          </w:p>
        </w:tc>
      </w:tr>
      <w:tr>
        <w:trPr>
          <w:jc w:val="center"/>
          <w:trHeight w:val="5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音箱线</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p>
            <w:pPr>
              <w:pStyle w:val="1047"/>
              <w:rPr>
                <w:highlight w:val="none"/>
              </w:rPr>
            </w:pPr>
            <w:r>
              <w:rPr>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2×200芯（2*1.0平方）金银线</w:t>
            </w:r>
            <w:r/>
          </w:p>
        </w:tc>
      </w:tr>
      <w:tr>
        <w:trPr>
          <w:jc w:val="center"/>
          <w:trHeight w:val="64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电源时序器</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1、LED数码管，可实时显示当前电压，编辑通道状态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2、8路通道每通道额定2.2KW电源，通道延时1秒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3、采用新国标5孔电源插座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4、配置RS232接口，支持外部中控设备控制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5、配置RS485级联接口，最大支持32台设备级联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6、通道支持时序开、时序关、直通等状态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技术指标：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1、可控电源路数：8路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2、时序通道：默认1秒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3、通道额定输出电流：10A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4、整机额定总输出电流：25A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5、工作电压：AC 180V～240V，50Hz/60Hz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6、规格(L×W×H)(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)：481×220×44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7、净重：5.0kg</w:t>
            </w:r>
            <w:r/>
          </w:p>
        </w:tc>
      </w:tr>
      <w:tr>
        <w:trPr>
          <w:jc w:val="center"/>
          <w:trHeight w:val="7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设备机柜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114"/>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24U设备机柜 1.2米</w:t>
            </w:r>
            <w:r/>
          </w:p>
        </w:tc>
      </w:tr>
      <w:tr>
        <w:trPr>
          <w:jc w:val="center"/>
          <w:trHeight w:val="6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安装调试</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1114"/>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按规范施工，调试设备</w:t>
            </w:r>
            <w:r/>
          </w:p>
        </w:tc>
      </w:tr>
      <w:tr>
        <w:trPr>
          <w:jc w:val="center"/>
          <w:trHeight w:val="8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86寸触控一体机</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p>
        </w:tc>
      </w:tr>
      <w:tr>
        <w:trPr>
          <w:jc w:val="center"/>
          <w:trHeight w:val="676"/>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一、整体设计</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1.整机采用边框与背板一体化冲压成型结构，上左右三边边框与背板非拼接组装结构，连接处无拼缝。整机左、右、下三边框皆具备磁吸功能，边框任意位置可吸附具备磁吸功能的书写笔。</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2.屏幕采用≥86英寸液晶显示器，采⽤LED液晶A规屏，显示⽐例16:9。显示分辨率3840*2160，可视⻆度≥178°。</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3.侧置输入接口具备≥2路HDMI、1路RS232（RJ45形态）、1路USB接口，1路音频输出、1路触控USB输出；前置输入接口≥3路USB接口（包含1路Type-C、2路USB）。</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4.整机采用红外触控技术，Windows系统和Android系统均支持≥50点触控及书写划线。（投标人提供具备资质的第三方检测机构出具的检测结果符合相应要求和标准的检测报告原件扫描件</w:t>
            </w:r>
            <w:r>
              <w:rPr>
                <w:rFonts w:hint="eastAsia" w:ascii="宋体" w:hAnsi="宋体" w:eastAsia="宋体" w:cs="宋体"/>
                <w:i w:val="0"/>
                <w:iCs w:val="0"/>
                <w:color w:val="000000"/>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5.整机嵌入式系统版本≥Android 15，主频≥1.6GHz。（投标人提供具备资质的第三方检测机构出具的检测结果符合相应要求和标准的检测报告原件扫描件）</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整机设备内置2.2声道扬声器，前朝向发声，12W高音扬声器2个，上朝向30W中低音扬声器2个，最大功率≥84W，全部扬声器无需打开背板即可单独拆卸。（投标人提供具备资质的第三方检测机构出具的检测结果符合相应要求和标准的检测报告原件扫描件）</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7.整机内置非独立外扩展的4阵列麦克风，可用于对教室环境音频进行采集，麦克风拾音距离≥12米。</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8.整机听力模式下具备AI人声语言增强功能，支持三挡强弱调节。扩声系统语言传输指数（STIPA）≥0.75。（投标人提供具备资质的第三方检测机构出具的检测结果符合相应要求和标准的检测报告原件扫描件</w:t>
            </w:r>
            <w:r>
              <w:rPr>
                <w:rFonts w:hint="eastAsia" w:ascii="宋体" w:hAnsi="宋体" w:eastAsia="宋体" w:cs="宋体"/>
                <w:i w:val="0"/>
                <w:iCs w:val="0"/>
                <w:color w:val="000000"/>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投标人提供具备资质的第三方检测机构出具的检测结果符合相应要求和标准的检测报告原件扫描件）</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10.整机上边框内置非独立摄像头，采用一体化集成设计，⽀持输出4:3、16:9⽐例的图⽚和视频，支持拍摄＞1600 万像素数的照片和视频，支持输出 4k 分辨率的视频。</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11.整机内置双WiFi6无线网卡（不接受外接），在Android和Windows系统下，可实现Wi-Fi无线上网连接、AP无线热点发射。Wi-Fi制式支持IEEE 802.11 a/b/g/n/ac/ax；支持版本Wi-Fi6。</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整机支持发出频率为18kHz-22kHz超声波信号，智能手机和笔记本电脑接收超声波信号后可以自动识别附近投屏设备，点击对应设备即可完成投屏操作。（投标人提供具备资质的第三方检测机构出具的检测结果符合相应要求和标准的检测报告原件扫描件）</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整机配套教学应用APP可通过wifi直连技术，近场发现附近教学大屏设备，无需扫码、账号密码输入步骤，即可直接连接并登录教学大屏设备，基于统一身份认证机制可实现其他教学软件免登录操作。（投标人提供具备资质的第三方检测机构出具的检测结果符合相应要求和标准的检测报告原件扫描件）</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14.整机Windows通道支持文件传输应用，支持通过扫码、超声、wifi直连三种方式与手机进行握手连接，实现文件传输功能。</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15.▲整机内置AR授课工具，支持对视频展台所采集的画面中叠加动态的3D 模型。3D模型包括：动物、微生物、人体骨骼、乐器、星球、地形。（投标人提供具备资质的第三方检测机构出具的检测结果符合相应要求和标准的检测报告原件扫描件</w:t>
            </w:r>
            <w:r>
              <w:rPr>
                <w:rFonts w:hint="eastAsia" w:ascii="宋体" w:hAnsi="宋体" w:eastAsia="宋体" w:cs="宋体"/>
                <w:i w:val="0"/>
                <w:iCs w:val="0"/>
                <w:color w:val="000000"/>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投标人提供具备资质的第三方检测机构出具的检测结果符合相应要求和标准的检测报告原件扫描件）</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二、插拔式电脑模块：</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1、采用按压式卡扣，无需工具即可快速拆卸电脑模块。</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2、PC模块和整机的连接采用万兆级接口，传输速率≥10Gbps。（投标人提供具备资质的第三方检测机构出具的检测结果符合相应要求和标准的检测报告原件扫描件）</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3、电脑模块CPU要求：主频≥2.0GHz，8核心十二线程；配置要求：</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DDR4 </w:t>
            </w:r>
            <w:r>
              <w:rPr>
                <w:rFonts w:hint="eastAsia" w:ascii="宋体" w:hAnsi="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lang w:val="en-US" w:eastAsia="zh-CN" w:bidi="ar"/>
              </w:rPr>
              <w:t xml:space="preserve">GB内存，256GB SSD硬盘；接口要求：≥1路HDMI，≥3路USB。</w:t>
            </w:r>
            <w:r/>
          </w:p>
        </w:tc>
      </w:tr>
      <w:tr>
        <w:trPr>
          <w:jc w:val="center"/>
          <w:trHeight w:val="456"/>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大屏移动支架</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移动支架通过防倾斜实验，正负10度倾斜角度下不能翻倒；</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承挂≥100kg，壁挂高度可调；整体高度≥1597</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托盘承重25kg,模具设置U型置物槽，方便触摸笔、遥控器等物品放置；</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支撑立杆采用壁厚≥1.8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方通冷轧钢材质，表面黑色喷涂；</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脚轮为万向轮，聚氨酯（PU）材质，均带脚刹，直径不小于∮75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脚轮中心距横向≥1115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，纵向≥627</w:t>
            </w:r>
            <w:r>
              <w:rPr>
                <w:rFonts w:hint="eastAsia" w:ascii="宋体" w:hAnsi="宋体" w:cs="宋体"/>
                <w:i w:val="0"/>
                <w:iCs w:val="0"/>
                <w:color w:val="000000"/>
                <w:sz w:val="20"/>
                <w:szCs w:val="20"/>
                <w:highlight w:val="none"/>
                <w:u w:val="none"/>
                <w:lang w:val="en-US" w:eastAsia="zh-CN" w:bidi="ar"/>
              </w:rPr>
              <w:t xml:space="preserve">mm。</w:t>
            </w:r>
            <w:r/>
          </w:p>
        </w:tc>
      </w:tr>
      <w:tr>
        <w:trPr>
          <w:jc w:val="center"/>
          <w:trHeight w:val="6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把杆</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1、材质：优质水曲柳木业；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2、规格：移动式可升降把杆；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3、规格：≥3000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4、产品特点:可移动、可升降、承重性好，柔软橡胶底采用吸盘结构无缝贴合地面，加大稳定性。</w:t>
            </w:r>
            <w:r/>
          </w:p>
        </w:tc>
      </w:tr>
      <w:tr>
        <w:trPr>
          <w:jc w:val="center"/>
          <w:trHeight w:val="69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练功凳</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165"/>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1、规格：350*350*600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2、材质：超纤皮（颜色随机）。</w:t>
            </w:r>
            <w:r/>
          </w:p>
        </w:tc>
      </w:tr>
      <w:tr>
        <w:trPr>
          <w:jc w:val="center"/>
          <w:trHeight w:val="7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压腿凳</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1、规格：≥240*300*2000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2、材质：松木实木整料，无拼接，中间海绵一层，表面采用皮革包裹。</w:t>
            </w:r>
            <w:r/>
          </w:p>
        </w:tc>
      </w:tr>
      <w:tr>
        <w:trPr>
          <w:jc w:val="center"/>
          <w:trHeight w:val="6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舞蹈垫</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1、规格：Φ400*H80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2、材质：乙烯-醋酸乙烯共聚物；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3、工艺：乙烯-醋酸乙烯共聚物加纳米新材料，经特殊发泡处理，耐磨高密度超强耐低温，中间圆孔设计，方便叠放收纳。</w:t>
            </w:r>
            <w:r/>
          </w:p>
        </w:tc>
      </w:tr>
      <w:tr>
        <w:trPr>
          <w:jc w:val="center"/>
          <w:trHeight w:val="7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瑜伽垫</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1、规格：1850*800*15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2、材质：高密度NBR材质。</w:t>
            </w:r>
            <w:r/>
          </w:p>
        </w:tc>
      </w:tr>
      <w:tr>
        <w:trPr>
          <w:jc w:val="center"/>
          <w:trHeight w:val="6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舞蹈练功球</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1、规格：直径：550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2、加厚防爆 环保PVC（颜色随机）。</w:t>
            </w:r>
            <w:r/>
          </w:p>
        </w:tc>
      </w:tr>
      <w:tr>
        <w:trPr>
          <w:jc w:val="center"/>
          <w:trHeight w:val="4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舞蹈垫收纳车</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1、规格：820*400*1050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，铝合金收纳杆；厚度约25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,基材采用优质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，面贴优质三聚氰安纸，ABS直封边制作，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3、功能：用于舞蹈垫的收纳，底部配置高品质万向轮，方便移动。</w:t>
            </w:r>
            <w:r/>
          </w:p>
        </w:tc>
      </w:tr>
      <w:tr>
        <w:trPr>
          <w:jc w:val="center"/>
          <w:trHeight w:val="66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窗帘</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1、窗帘高度</w:t>
            </w:r>
            <w:r>
              <w:rPr>
                <w:rFonts w:hint="eastAsia" w:ascii="宋体" w:hAnsi="宋体" w:cs="宋体"/>
                <w:i w:val="0"/>
                <w:iCs w:val="0"/>
                <w:color w:val="000000"/>
                <w:sz w:val="20"/>
                <w:szCs w:val="20"/>
                <w:highlight w:val="none"/>
                <w:u w:val="none"/>
                <w:lang w:val="en-US" w:eastAsia="zh-CN" w:bidi="ar"/>
              </w:rPr>
              <w:t xml:space="preserve">2000mm</w:t>
            </w:r>
            <w:r>
              <w:rPr>
                <w:rFonts w:hint="eastAsia" w:ascii="宋体" w:hAnsi="宋体" w:eastAsia="宋体" w:cs="宋体"/>
                <w:i w:val="0"/>
                <w:iCs w:val="0"/>
                <w:color w:val="000000"/>
                <w:sz w:val="20"/>
                <w:szCs w:val="20"/>
                <w:highlight w:val="none"/>
                <w:u w:val="none"/>
                <w:lang w:val="en-US" w:eastAsia="zh-CN" w:bidi="ar"/>
              </w:rPr>
              <w:t xml:space="preserve">，宽度以实际为准进行分割</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2、布料采用1:1.8加厚遮光纤维布《厚度0.25 </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3、布料为遮光纤维布，环保耐用，具有很好遮光隔热作用</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4、含罗马杆或铝合金加厚轨道，所有辅材，加工安装到位。</w:t>
            </w:r>
            <w:r/>
          </w:p>
        </w:tc>
      </w:tr>
      <w:tr>
        <w:trPr>
          <w:jc w:val="center"/>
          <w:trHeight w:val="7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图书清扫柜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516890</wp:posOffset>
                      </wp:positionH>
                      <wp:positionV relativeFrom="paragraph">
                        <wp:posOffset>0</wp:posOffset>
                      </wp:positionV>
                      <wp:extent cx="204470" cy="268605"/>
                      <wp:effectExtent l="0" t="0" r="0" b="0"/>
                      <wp:wrapNone/>
                      <wp:docPr id="31" name="图片 31"/>
                      <wp:cNvGraphicFramePr/>
                      <a:graphic xmlns:a="http://schemas.openxmlformats.org/drawingml/2006/main">
                        <a:graphicData uri="http://schemas.openxmlformats.org/drawingml/2006/picture">
                          <pic:pic xmlns:pic="http://schemas.openxmlformats.org/drawingml/2006/picture">
                            <pic:nvPicPr>
                              <pic:cNvPr id="31" name="图片 31"/>
                              <pic:cNvPicPr/>
                              <pic:nvPr/>
                            </pic:nvPicPr>
                            <pic:blipFill>
                              <a:blip r:embed="rId14"/>
                              <a:stretch/>
                            </pic:blipFill>
                            <pic:spPr bwMode="auto">
                              <a:xfrm>
                                <a:off x="0" y="0"/>
                                <a:ext cx="204470" cy="268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40.7pt;mso-position-horizontal:absolute;mso-position-vertical-relative:text;margin-top:0.0pt;mso-position-vertical:absolute;width:16.1pt;height:21.1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8605"/>
                      <wp:effectExtent l="0" t="0" r="0" b="0"/>
                      <wp:wrapNone/>
                      <wp:docPr id="32" name="图片 32"/>
                      <wp:cNvGraphicFramePr/>
                      <a:graphic xmlns:a="http://schemas.openxmlformats.org/drawingml/2006/main">
                        <a:graphicData uri="http://schemas.openxmlformats.org/drawingml/2006/picture">
                          <pic:pic xmlns:pic="http://schemas.openxmlformats.org/drawingml/2006/picture">
                            <pic:nvPicPr>
                              <pic:cNvPr id="32" name="图片 32"/>
                              <pic:cNvPicPr/>
                              <pic:nvPr/>
                            </pic:nvPicPr>
                            <pic:blipFill>
                              <a:blip r:embed="rId14"/>
                              <a:stretch/>
                            </pic:blipFill>
                            <pic:spPr bwMode="auto">
                              <a:xfrm>
                                <a:off x="0" y="0"/>
                                <a:ext cx="204470" cy="268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40.7pt;mso-position-horizontal:absolute;mso-position-vertical-relative:text;margin-top:0.0pt;mso-position-vertical:absolute;width:16.1pt;height:21.1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1、规格：910*450*2200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4、五金件：采用优质五金配件，经防锈处理，达国家标准；                                          5、结构：上下分体，上部分带隔断加门，下部分两门对开，一侧为垃圾柜，下门内设两块隔板，踢脚线高度50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办公桌-4</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69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3、封边：采用PVC四周全自动机器近色一体封边，无脱胶、无露底现象；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4、钢架桌脚：采用品牌钢管，壁管厚度≥2.0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，成品要求白色钢制回形脚；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5、五金件：采用优质五金配件，经防锈处理，达国家标准。颜色由使用方确定后制作。 </w:t>
            </w:r>
            <w:r/>
          </w:p>
        </w:tc>
      </w:tr>
      <w:tr>
        <w:trPr>
          <w:jc w:val="center"/>
          <w:trHeight w:val="7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90"/>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1、规格：1300*400*650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3、封边：采用PVC四周全自动机器近色一体封边，无脱胶、无露底现象；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4、结构：三抽两门设计，配置电脑主机位；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5、五金件：采用优质五金配件，经防锈处理，达国家标准。颜色由使用方确定后制作。 </w:t>
            </w:r>
            <w:r/>
          </w:p>
        </w:tc>
      </w:tr>
      <w:tr>
        <w:trPr>
          <w:jc w:val="center"/>
          <w:trHeight w:val="6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讲台-5</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1、产品规格：1080*650*960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2、基材：讲台箱体采用1.2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厚优质冷轧钢板，显示器和立柱采用1.5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厚冷轧钢板，盖板采取翻转方式打开；                                                                                                                           3、钢木</w:t>
            </w:r>
            <w:r>
              <w:rPr>
                <w:rFonts w:hint="eastAsia" w:ascii="宋体" w:hAnsi="宋体" w:eastAsia="宋体" w:cs="宋体"/>
                <w:i w:val="0"/>
                <w:iCs w:val="0"/>
                <w:color w:val="000000"/>
                <w:sz w:val="20"/>
                <w:szCs w:val="20"/>
                <w:highlight w:val="none"/>
                <w:u w:val="none"/>
                <w:lang w:val="en-US" w:eastAsia="zh-CN" w:bidi="ar"/>
              </w:rPr>
              <w:t xml:space="preserve">结合材料一体成型；实木扶手；                                                                                    4、桌面木质耐划台面；全封闭式结构；                                                                                      5、采用分体式结构，隐藏抽拉式设计,无需钥匙开启。桌体下层内部采用标准机柜设计，带层板，所有设备可整齐固定。</w:t>
            </w:r>
            <w:r/>
          </w:p>
        </w:tc>
      </w:tr>
      <w:tr>
        <w:trPr>
          <w:jc w:val="center"/>
          <w:trHeight w:val="6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598"/>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1、规格：5960*450*1200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，层板≥25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，立板≥18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3、PVC封边：采用厚PVC封边带，厚度≥2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5、五金配件：采用锌合金三合一连接件、固定螺并经过防锈处理后安装；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p>
            <w:pPr>
              <w:jc w:val="left"/>
              <w:keepLines w:val="0"/>
              <w:keepNext w:val="0"/>
              <w:widowControl/>
              <w:rPr>
                <w:rFonts w:ascii="宋体" w:hAnsi="宋体" w:eastAsia="宋体" w:cs="宋体"/>
                <w:bCs w:val="0"/>
                <w:i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6、外表面和内表面以及手指可触及的隐蔽处，无锐利的棱角、毛刺以及小五金部件露出的锐利尖锐；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7、制作要求：三层格挡设计，圆边圆角设计。保证45个书包格；颜色由使用方确定后制作。</w:t>
            </w:r>
            <w:r/>
          </w:p>
        </w:tc>
      </w:tr>
      <w:tr>
        <w:trPr>
          <w:jc w:val="center"/>
          <w:trHeight w:val="7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讲台-6</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316"/>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33"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34" name="图片 34"/>
                      <wp:cNvGraphicFramePr/>
                      <a:graphic xmlns:a="http://schemas.openxmlformats.org/drawingml/2006/main">
                        <a:graphicData uri="http://schemas.openxmlformats.org/drawingml/2006/picture">
                          <pic:pic xmlns:pic="http://schemas.openxmlformats.org/drawingml/2006/picture">
                            <pic:nvPicPr>
                              <pic:cNvPr id="34" name="图片 34"/>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1、规格：1200*500*900/950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2、制作要求：两抽两门设计，三边围挡设计；                                                        3、基材：采用优质橡胶木制作，桌面及边站板厚度≥25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，含水率低于12%。具有不变形，不开裂木质硬等特点，木材纹理清晰，颜色无差异，所有接触面均要求打磨光滑无毛刺；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。经三底两面打磨喷漆，产品表面无尘粒，气泡、渣点边缘及立面无流挂现象，产品环保达到</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5、五金件：采用优质五金配件，经防锈处理，达国家标准；                                                                         6、拉手圆弧安全设计。                    </w:t>
            </w:r>
            <w:r/>
          </w:p>
        </w:tc>
      </w:tr>
      <w:tr>
        <w:trPr>
          <w:jc w:val="center"/>
          <w:trHeight w:val="5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定制教学展台</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1、规格：600*500*50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2、基材：采用优质橡胶木制作，桌面及边站板厚度≥25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，含水率低于12%。具有不变形，不开裂木质硬等特点，木材纹理清晰，颜色无差异，所有接触面均要求打磨光滑无毛刺；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。经三底两面打磨喷漆，产品表面无尘粒，气泡、渣点边缘及立面无流挂现象，产品环保达到</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4、五金件：采用优质五金配件，经防锈处理，达国家标准；                                                                                           </w:t>
            </w:r>
            <w:r/>
          </w:p>
        </w:tc>
      </w:tr>
      <w:tr>
        <w:trPr>
          <w:jc w:val="center"/>
          <w:trHeight w:val="523"/>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洽谈桌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90"/>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35" name="图片 35"/>
                      <wp:cNvGraphicFramePr/>
                      <a:graphic xmlns:a="http://schemas.openxmlformats.org/drawingml/2006/main">
                        <a:graphicData uri="http://schemas.openxmlformats.org/drawingml/2006/picture">
                          <pic:pic xmlns:pic="http://schemas.openxmlformats.org/drawingml/2006/picture">
                            <pic:nvPicPr>
                              <pic:cNvPr id="35" name="图片 35"/>
                              <pic:cNvPicPr/>
                              <pic:nvPr/>
                            </pic:nvPicPr>
                            <pic:blipFill>
                              <a:blip r:embed="rId15"/>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36" name="图片 36"/>
                      <wp:cNvGraphicFramePr/>
                      <a:graphic xmlns:a="http://schemas.openxmlformats.org/drawingml/2006/main">
                        <a:graphicData uri="http://schemas.openxmlformats.org/drawingml/2006/picture">
                          <pic:pic xmlns:pic="http://schemas.openxmlformats.org/drawingml/2006/picture">
                            <pic:nvPicPr>
                              <pic:cNvPr id="36" name="图片 36"/>
                              <pic:cNvPicPr/>
                              <pic:nvPr/>
                            </pic:nvPicPr>
                            <pic:blipFill>
                              <a:blip r:embed="rId15"/>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1、规格：800*750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2、基材：3</w:t>
            </w:r>
            <w:r>
              <w:rPr>
                <w:rFonts w:hint="eastAsia" w:ascii="宋体" w:hAnsi="宋体" w:cs="宋体"/>
                <w:i w:val="0"/>
                <w:iCs w:val="0"/>
                <w:color w:val="000000"/>
                <w:sz w:val="20"/>
                <w:szCs w:val="20"/>
                <w:highlight w:val="none"/>
                <w:u w:val="none"/>
                <w:lang w:val="en-US" w:eastAsia="zh-CN" w:bidi="ar"/>
              </w:rPr>
              <w:t xml:space="preserve">0mm</w:t>
            </w:r>
            <w:r>
              <w:rPr>
                <w:rFonts w:hint="eastAsia" w:ascii="宋体" w:hAnsi="宋体" w:eastAsia="宋体" w:cs="宋体"/>
                <w:i w:val="0"/>
                <w:iCs w:val="0"/>
                <w:color w:val="000000"/>
                <w:sz w:val="20"/>
                <w:szCs w:val="20"/>
                <w:highlight w:val="none"/>
                <w:u w:val="none"/>
                <w:lang w:val="en-US" w:eastAsia="zh-CN" w:bidi="ar"/>
              </w:rPr>
              <w:t xml:space="preserve">厚实木贴木皮，桌面采用斜切边工艺；                                                 3、桌腿：白腊木实木桌脚。</w:t>
            </w:r>
            <w:r/>
          </w:p>
        </w:tc>
      </w:tr>
      <w:tr>
        <w:trPr>
          <w:jc w:val="center"/>
          <w:trHeight w:val="41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洽谈椅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1、规格：430*490*450/800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2、材质：椅身全新工程聚丙pp+GF30材质一体成型，椅架采用优质榉木实木腿；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3、椅架采用：榉木，弯曲木工艺塑造的椅腿符合力学结构；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4、脚垫：PP脚垫；                                                                           5、腿部采用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涂装，并保证三底三面。颜色由使用方确定后制作。</w:t>
            </w:r>
            <w:r/>
          </w:p>
        </w:tc>
      </w:tr>
      <w:tr>
        <w:trPr>
          <w:jc w:val="center"/>
          <w:trHeight w:val="6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实木课桌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1、规格：600*420*760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2、桌面为≥20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厚橡胶木机指接板，桌斗为≥12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厚橡胶木指接板，整体框架为榫卯结构；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水性油</w:t>
            </w:r>
            <w:r>
              <w:rPr>
                <w:rFonts w:hint="eastAsia" w:ascii="宋体" w:hAnsi="宋体" w:eastAsia="宋体" w:cs="宋体"/>
                <w:i w:val="0"/>
                <w:iCs w:val="0"/>
                <w:color w:val="000000"/>
                <w:sz w:val="20"/>
                <w:szCs w:val="20"/>
                <w:highlight w:val="none"/>
                <w:u w:val="none"/>
                <w:lang w:val="en-US" w:eastAsia="zh-CN" w:bidi="ar"/>
              </w:rPr>
              <w:t xml:space="preserve">漆，四底三面；</w:t>
            </w:r>
            <w:r/>
          </w:p>
        </w:tc>
      </w:tr>
      <w:tr>
        <w:trPr>
          <w:jc w:val="center"/>
          <w:trHeight w:val="69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实木课椅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1、规格：400*400*760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2、椅面、椅背≥20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厚橡胶木机拼板，整体框架为榫卯结构；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3、椅面竖条板，椅腿四周加横档，桌腿为50*50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，椅腿为50*30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。椅脚加防噪音脚垫；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，四底三面；</w:t>
            </w:r>
            <w:r/>
          </w:p>
        </w:tc>
      </w:tr>
      <w:tr>
        <w:trPr>
          <w:jc w:val="center"/>
          <w:trHeight w:val="6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定制异形沙发</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1、规格：1630*1000*1100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2、内框架：实木框架配多层夹板+木方装钉而成；                                     3、海绵：靠背为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度高回弹切割新棉，坐垫为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高回弹切割新棉；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4、承重弹力结构：靠背装钉多条橡筋，坐垫为标准间距蛇形簧+平衡橡筋+面布；                                                                  5、面料：可选西皮/布绒；                                                              6、脚垫：防滑塑料脚垫。</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p>
        </w:tc>
      </w:tr>
      <w:tr>
        <w:trPr>
          <w:jc w:val="center"/>
          <w:trHeight w:val="6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接待桌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1、规格：600*650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2、桌面：25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斜边烤漆面板；                                                     3、铁架：高强 度铝合金一体成型脚架， 静电喷涂哑光白抛光。颜色由使用方确定后制作。                                                           </w:t>
            </w:r>
            <w:r/>
          </w:p>
        </w:tc>
      </w:tr>
      <w:tr>
        <w:trPr>
          <w:jc w:val="center"/>
          <w:trHeight w:val="6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洽谈沙发</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1、规格：630*700*740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2、内框架：内置定型海棉+外ABS塑料框；                                             3、海绵：全定型海棉；                                                           4、面料：可选布艺/西皮；                                                              5、五金：铝合金脚架。</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p>
        </w:tc>
      </w:tr>
      <w:tr>
        <w:trPr>
          <w:jc w:val="center"/>
          <w:trHeight w:val="6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37"/>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规格：沙发：1730*870*900</w:t>
            </w:r>
            <w:r>
              <w:rPr>
                <w:rFonts w:hint="eastAsia" w:ascii="宋体" w:hAnsi="宋体" w:cs="宋体"/>
                <w:i w:val="0"/>
                <w:iCs w:val="0"/>
                <w:color w:val="000000"/>
                <w:sz w:val="20"/>
                <w:szCs w:val="20"/>
                <w:highlight w:val="none"/>
                <w:u w:val="none"/>
                <w:lang w:val="en-US" w:eastAsia="zh-CN" w:bidi="ar"/>
              </w:rPr>
              <w:t xml:space="preserve">mm；</w:t>
            </w:r>
            <w:r/>
          </w:p>
          <w:p>
            <w:pPr>
              <w:numPr>
                <w:ilvl w:val="0"/>
                <w:numId w:val="0"/>
              </w:numPr>
              <w:ind w:left="0" w:firstLine="0"/>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2、沙发：内框架：实木框架配多层夹板+木方装钉而成。海绵：靠背为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度高回弹切割新棉，坐垫为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高回弹切割新棉。承重弹力结构：靠背装钉多条橡筋，坐垫为标准间距蛇形簧+平衡橡筋+面布。面料：可选西皮/布绒。脚垫：防滑塑料脚垫；</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p>
        </w:tc>
      </w:tr>
      <w:tr>
        <w:trPr>
          <w:jc w:val="center"/>
          <w:trHeight w:val="56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长茶几-1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098"/>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1、规格：茶几：1500*650*750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2、桌面：25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斜边烤漆面板；                                                      3、铁架：高强 度铝合金一体成型脚架， 静电喷涂哑光白抛光。   </w:t>
            </w:r>
            <w:r/>
          </w:p>
        </w:tc>
      </w:tr>
      <w:tr>
        <w:trPr>
          <w:jc w:val="center"/>
          <w:trHeight w:val="4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定制长沙发</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1、规格：1340*670*770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2、框架：实木框架配多层夹板+木方装钉而成；                                       3、海绵：靠背为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度高回弹切割新棉，坐垫为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高回弹切割新棉。承重弹力结构：靠背装钉多条橡筋，坐垫为标准间距蛇形簧+平衡橡筋+面布；                                      4、面料：可选西皮/布绒。脚垫：防滑塑料脚垫；</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p>
        </w:tc>
      </w:tr>
      <w:tr>
        <w:trPr>
          <w:jc w:val="center"/>
          <w:trHeight w:val="6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长茶几-2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1、规格：1500*700*750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2、茶几桌面：25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斜边烤漆面板；                                               3、铁架：高强 度铝合金一体成型脚架， 静电喷涂哑光白抛光。  </w:t>
            </w:r>
            <w:r/>
          </w:p>
        </w:tc>
      </w:tr>
      <w:tr>
        <w:trPr>
          <w:jc w:val="center"/>
          <w:trHeight w:val="6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定制科学实验桌-1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1、规格：1800*900*740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3、工艺：桌面采用国家标准采用板，厚度25/18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,基材采用优质多层板，面板面贴实木木皮，斜边烤漆，第二层三底两面烤漆；桌架采用优质钢架，钢架规格：横梁: 40*40*1.5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，桌腿：55*55*1.5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，满焊焊接而成，表面采用高温粉体烤漆，耐腐蚀，不易生锈。颜色由使用方确定后制作。</w:t>
            </w:r>
            <w:r/>
          </w:p>
        </w:tc>
      </w:tr>
      <w:tr>
        <w:trPr>
          <w:jc w:val="center"/>
          <w:trHeight w:val="59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定制科学实验桌-2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1、规格：1400*700/750*780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2、材质：抗倍特板+钢架；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3、工艺：材质采用抗倍特一体成型。耐80度以上高温。防水：浸水24小时后的膨胀指数不多于0.1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，面板四周采CNC修边，四周倒角，圆润光滑无任何毛边。桌架采用钢架，满焊焊接而成，表面采用高温粉体烤漆，耐腐蚀，不易生锈；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4、功能：桌面设有防罩边角，悬挂抽屉储物功能，可收纳放置工具材料，钢制框架，结构牢固，具有超强承载能力。颜色由使用方确定后制作。</w:t>
            </w:r>
            <w:r/>
          </w:p>
        </w:tc>
      </w:tr>
      <w:tr>
        <w:trPr>
          <w:jc w:val="center"/>
          <w:trHeight w:val="6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办公桌-5</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37" name="图片 37"/>
                      <wp:cNvGraphicFramePr/>
                      <a:graphic xmlns:a="http://schemas.openxmlformats.org/drawingml/2006/main">
                        <a:graphicData uri="http://schemas.openxmlformats.org/drawingml/2006/picture">
                          <pic:pic xmlns:pic="http://schemas.openxmlformats.org/drawingml/2006/picture">
                            <pic:nvPicPr>
                              <pic:cNvPr id="37" name="图片 37"/>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38" name="图片 38"/>
                      <wp:cNvGraphicFramePr/>
                      <a:graphic xmlns:a="http://schemas.openxmlformats.org/drawingml/2006/main">
                        <a:graphicData uri="http://schemas.openxmlformats.org/drawingml/2006/picture">
                          <pic:pic xmlns:pic="http://schemas.openxmlformats.org/drawingml/2006/picture">
                            <pic:nvPicPr>
                              <pic:cNvPr id="38" name="图片 38"/>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1、规格：1100*600*760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2、基材：采用三聚氰胺人造板，桌面厚度≥25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3、封边：采用PVC四周全自动机器近色一体封边，无脱胶、无露底现象；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4、钢架桌脚：采用品牌钢管，壁管厚度≥2.0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，成品要求白色钢制回形脚；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5、五金件：采用优质五金配件，经防锈处理，达国家标准。颜色由使用方确定后制作。 </w:t>
            </w:r>
            <w:r/>
          </w:p>
        </w:tc>
      </w:tr>
      <w:tr>
        <w:trPr>
          <w:jc w:val="center"/>
          <w:trHeight w:val="6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副柜-4</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766"/>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1、规格：800*350*750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2、基材：采用三聚氰胺人造板，桌面厚度≥25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3、封边：采用PVC四周全自动机器近色一体封边，无脱胶、无露底现象；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4、结构：两层隔板。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5、五金件：采用优质五金配件，经防锈处理，达国家标准。颜色由使用方确定后制作。 </w:t>
            </w:r>
            <w:r/>
          </w:p>
        </w:tc>
      </w:tr>
      <w:tr>
        <w:trPr>
          <w:jc w:val="center"/>
          <w:trHeight w:val="7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1、规格：5960*400*900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2、材质：采用三聚氰胺人造板，层板≥25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，立板≥18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3、PVC封边：采用厚PVC封边带，厚度≥2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5、五金配件：采用锌合金三合一连接件、固定螺并经过防锈处理后安装；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6、外表面和内表面以及手指可触及的隐蔽处，无锐利的棱角、毛刺以及小五金部件露出的锐利尖锐；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7、制作要求：三层格挡设计，圆边圆角设计。保证45个书包格。颜色由使用方确定后制作。</w:t>
            </w:r>
            <w:r/>
          </w:p>
        </w:tc>
      </w:tr>
      <w:tr>
        <w:trPr>
          <w:jc w:val="center"/>
          <w:trHeight w:val="5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讲台-7</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349"/>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1、规格：1200*600*900/950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2、制作要求：两抽两门设计，三边围挡设计；                                                        3、基材：采用三聚氰胺人造板制作，桌面及边站板厚度≥25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4、封边：采用PVC四周全自动机器近色一体封边，无脱胶、无露底现象；                                                                        5、五金件：采用优质五金配件，经防锈处理，达国家标准；                                                                         6、拉手圆弧安全设计。颜色由使用方确定后制作。                    </w:t>
            </w:r>
            <w:r/>
          </w:p>
        </w:tc>
      </w:tr>
      <w:tr>
        <w:trPr>
          <w:jc w:val="center"/>
          <w:trHeight w:val="40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餐桌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2、桌面：采用12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防火板，双层横竖交织压合而成；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3、桌架：高频焊接冷轧封口钢材，成形前经过特殊防腐处理，主体钢架为异形三角管，选用85.5*34.5*1.5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足厚优质家具专用钢材，钢架采用激光切割+自动焊接而成，双脚均采用单管一体成型，强度高，整体与台面连接牢固不晃动，不倾翻；底座选用498*120*7</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足厚钢板激光切割，四脚打磨光滑。表面经高温除油、除污、酸洗、磷化后，经高压静电喷涂生产线喷涂处理，保证涂层附着力强，涂层厚度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60μm，抗腐蚀、不易生锈、经久耐用。</w:t>
            </w:r>
            <w:r/>
          </w:p>
        </w:tc>
      </w:tr>
      <w:tr>
        <w:trPr>
          <w:jc w:val="center"/>
          <w:trHeight w:val="7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餐椅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1、规格：510*415*450/810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2、材质：全新工程聚丙pp+GF30材质，一体成型。整张椅子承重150kg；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3、椅背：上端宽度410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,腰部宽度440*高度410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椅背椅座厚度6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,增强产品强度及稳定性，减少翘曲变形，包裹背部提高座椅舒适感解疲劳，座椅表面外观线条更流畅，能很好的支撑人体背部脊椎，使其免于侧弯；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4、椅座：宽度415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*座深415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,座板加厚设计，座板四周下垂边缘厚13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，坐感舒适，也起到了除水，更易打理效果；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5、椅腿：加粗加厚椅腿设计，使整体椅更加结实稳固；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6、脚垫：8*16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大椅子堵((PP底脚))，PP半透明脚垫， 耐磨 防滑作用；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7、一体成型工艺，结构完整性高，受力均匀；椅身边缘经圆角设计，触感安全，避免磕碰伤害。</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图书架（双面）</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39" name="图片 39"/>
                      <wp:cNvGraphicFramePr/>
                      <a:graphic xmlns:a="http://schemas.openxmlformats.org/drawingml/2006/main">
                        <a:graphicData uri="http://schemas.openxmlformats.org/drawingml/2006/picture">
                          <pic:pic xmlns:pic="http://schemas.openxmlformats.org/drawingml/2006/picture">
                            <pic:nvPicPr>
                              <pic:cNvPr id="39" name="图片 39"/>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40" name="图片 40"/>
                      <wp:cNvGraphicFramePr/>
                      <a:graphic xmlns:a="http://schemas.openxmlformats.org/drawingml/2006/main">
                        <a:graphicData uri="http://schemas.openxmlformats.org/drawingml/2006/picture">
                          <pic:pic xmlns:pic="http://schemas.openxmlformats.org/drawingml/2006/picture">
                            <pic:nvPicPr>
                              <pic:cNvPr id="40" name="图片 40"/>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1、规格：1800*450*1500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3、工艺：顶板及层板为25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厚其它为18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厚基材为级别的环保饰面</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；饰面整体板面正负误差在0.3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以内,密度为0.85g/cm3、甲醛释放量≤0.05mg/m³，表面耐磨、防污、硬度高，不易变色，采用PVC同色封边条，使用高温热熔胶自动化贴合，经全自动封边机封边；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4、功能：图书柜为双面藏书。</w:t>
            </w:r>
            <w:r/>
          </w:p>
        </w:tc>
      </w:tr>
      <w:tr>
        <w:trPr>
          <w:jc w:val="center"/>
          <w:trHeight w:val="6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图书借阅架</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1、规格：1800*1800*760/1000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3、工艺：台面为25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厚其它为18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厚基材为级别的环保饰面</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；甲醛释放量≤0.05mg/m³，表面耐磨、防污、硬度高，不易变色，采用PVC同色封边条，使用高温热熔胶自动化贴合，经全自动封边机封边，带一三抽活动柜和主机位；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4、五金：静音三节轨。铝合金拉手。</w:t>
            </w:r>
            <w:r/>
          </w:p>
        </w:tc>
      </w:tr>
      <w:tr>
        <w:trPr>
          <w:jc w:val="center"/>
          <w:trHeight w:val="89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图书架（单面）</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1、规格：2250*350*420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+布艺/西皮；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3、工艺：背板和座板采用25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 其他18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厚基材为级别的环保饰面</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 含水率在6%-8%；饰面整体板面正负误差在0.3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以内,密度为0.85</w:t>
            </w:r>
            <w:r>
              <w:rPr>
                <w:rFonts w:hint="eastAsia" w:ascii="宋体" w:hAnsi="宋体" w:cs="宋体"/>
                <w:i w:val="0"/>
                <w:iCs w:val="0"/>
                <w:color w:val="000000"/>
                <w:sz w:val="20"/>
                <w:szCs w:val="20"/>
                <w:highlight w:val="none"/>
                <w:u w:val="none"/>
                <w:lang w:val="en-US" w:eastAsia="zh-CN" w:bidi="ar"/>
              </w:rPr>
              <w:t xml:space="preserve">g</w:t>
            </w:r>
            <w:r>
              <w:rPr>
                <w:rFonts w:hint="eastAsia" w:ascii="宋体" w:hAnsi="宋体" w:eastAsia="宋体" w:cs="宋体"/>
                <w:i w:val="0"/>
                <w:iCs w:val="0"/>
                <w:color w:val="000000"/>
                <w:sz w:val="20"/>
                <w:szCs w:val="20"/>
                <w:highlight w:val="none"/>
                <w:u w:val="none"/>
                <w:lang w:val="en-US" w:eastAsia="zh-CN" w:bidi="ar"/>
              </w:rPr>
              <w:t xml:space="preserve">/cm³、甲醛释放量≤0.05mg/m³，表面耐磨.防污.硬度高，不易变色。PVC同色封边，踢脚线做法；表面配布艺/仿皮坐垫，内为5</w:t>
            </w:r>
            <w:r>
              <w:rPr>
                <w:rFonts w:hint="eastAsia" w:ascii="宋体" w:hAnsi="宋体" w:cs="宋体"/>
                <w:i w:val="0"/>
                <w:iCs w:val="0"/>
                <w:color w:val="000000"/>
                <w:sz w:val="20"/>
                <w:szCs w:val="20"/>
                <w:highlight w:val="none"/>
                <w:u w:val="none"/>
                <w:lang w:val="en-US" w:eastAsia="zh-CN" w:bidi="ar"/>
              </w:rPr>
              <w:t xml:space="preserve">0mm</w:t>
            </w:r>
            <w:r>
              <w:rPr>
                <w:rFonts w:hint="eastAsia" w:ascii="宋体" w:hAnsi="宋体" w:eastAsia="宋体" w:cs="宋体"/>
                <w:i w:val="0"/>
                <w:iCs w:val="0"/>
                <w:color w:val="000000"/>
                <w:sz w:val="20"/>
                <w:szCs w:val="20"/>
                <w:highlight w:val="none"/>
                <w:u w:val="none"/>
                <w:lang w:val="en-US" w:eastAsia="zh-CN" w:bidi="ar"/>
              </w:rPr>
              <w:t xml:space="preserve">高弹力</w:t>
            </w:r>
            <w:r>
              <w:rPr>
                <w:rFonts w:hint="eastAsia" w:ascii="宋体" w:hAnsi="宋体" w:cs="宋体"/>
                <w:i w:val="0"/>
                <w:iCs w:val="0"/>
                <w:color w:val="000000"/>
                <w:sz w:val="20"/>
                <w:szCs w:val="20"/>
                <w:highlight w:val="none"/>
                <w:u w:val="none"/>
                <w:lang w:val="en-US" w:eastAsia="zh-CN" w:bidi="ar"/>
              </w:rPr>
              <w:t xml:space="preserve">定型</w:t>
            </w:r>
            <w:r>
              <w:rPr>
                <w:rFonts w:hint="eastAsia" w:ascii="宋体" w:hAnsi="宋体" w:eastAsia="宋体" w:cs="宋体"/>
                <w:i w:val="0"/>
                <w:iCs w:val="0"/>
                <w:color w:val="000000"/>
                <w:sz w:val="20"/>
                <w:szCs w:val="20"/>
                <w:highlight w:val="none"/>
                <w:u w:val="none"/>
                <w:lang w:val="en-US" w:eastAsia="zh-CN" w:bidi="ar"/>
              </w:rPr>
              <w:t xml:space="preserve">海绵。</w:t>
            </w:r>
            <w:r/>
          </w:p>
        </w:tc>
      </w:tr>
      <w:tr>
        <w:trPr>
          <w:jc w:val="center"/>
          <w:trHeight w:val="7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边柜工位</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1、规格：柜体：3600*1000*760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，椅子：510*415*450/810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2、材质：柜面采用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贴白蜡木木皮.耐冲击、耐磨性强，承重力强，稳定性好，不易开裂；                                                                                                                                                柜脚；5</w:t>
            </w:r>
            <w:r>
              <w:rPr>
                <w:rFonts w:hint="eastAsia" w:ascii="宋体" w:hAnsi="宋体" w:cs="宋体"/>
                <w:i w:val="0"/>
                <w:iCs w:val="0"/>
                <w:color w:val="000000"/>
                <w:sz w:val="20"/>
                <w:szCs w:val="20"/>
                <w:highlight w:val="none"/>
                <w:u w:val="none"/>
                <w:lang w:val="en-US" w:eastAsia="zh-CN" w:bidi="ar"/>
              </w:rPr>
              <w:t xml:space="preserve">0*50mm</w:t>
            </w:r>
            <w:r>
              <w:rPr>
                <w:rFonts w:hint="eastAsia" w:ascii="宋体" w:hAnsi="宋体" w:eastAsia="宋体" w:cs="宋体"/>
                <w:i w:val="0"/>
                <w:iCs w:val="0"/>
                <w:color w:val="000000"/>
                <w:sz w:val="20"/>
                <w:szCs w:val="20"/>
                <w:highlight w:val="none"/>
                <w:u w:val="none"/>
                <w:lang w:val="en-US" w:eastAsia="zh-CN" w:bidi="ar"/>
              </w:rPr>
              <w:t xml:space="preserve">方管钢架脚，经过抛光酸洗静电喷粉使产品光亮防锈。椅子全新工程聚丙pp+GF30材质，一体成型。整张椅子承重150kg；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3、椅背：上端宽度410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,腰部宽度440*高度410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椅背椅座厚度6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,增强产品强度及稳定性，减少翘曲变形，包裹背部提高座椅舒适感解疲劳，座椅表面外观线条更流畅，能很好的支撑人体背部脊椎，使其免于侧弯；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4、椅座：宽度415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*座深415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,座板加厚设计，座板四周下垂边缘厚13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，坐感舒适，也起到了除水，更易打理效果；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5、椅腿：加粗加厚椅腿设计，使整体椅更加结实稳固；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6、脚垫：8*16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大椅子堵((PP底脚))，PP半透明脚垫， 耐磨 防滑作用；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7、一体成型工艺，结构完整性高，受力均匀；椅身边缘经圆角设计，触感安全，避免磕碰伤害。</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5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教室储物柜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0350"/>
                      <wp:effectExtent l="0" t="0" r="0" b="0"/>
                      <wp:wrapNone/>
                      <wp:docPr id="41" name="图片 41"/>
                      <wp:cNvGraphicFramePr/>
                      <a:graphic xmlns:a="http://schemas.openxmlformats.org/drawingml/2006/main">
                        <a:graphicData uri="http://schemas.openxmlformats.org/drawingml/2006/picture">
                          <pic:pic xmlns:pic="http://schemas.openxmlformats.org/drawingml/2006/picture">
                            <pic:nvPicPr>
                              <pic:cNvPr id="41" name="图片 41"/>
                              <pic:cNvPicPr/>
                              <pic:nvPr/>
                            </pic:nvPicPr>
                            <pic:blipFill>
                              <a:blip r:embed="rId15"/>
                              <a:stretch/>
                            </pic:blipFill>
                            <pic:spPr bwMode="auto">
                              <a:xfrm>
                                <a:off x="0" y="0"/>
                                <a:ext cx="204470" cy="260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40.7pt;mso-position-horizontal:absolute;mso-position-vertical-relative:text;margin-top:0.0pt;mso-position-vertical:absolute;width:16.1pt;height:20.5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0350"/>
                      <wp:effectExtent l="0" t="0" r="0" b="0"/>
                      <wp:wrapNone/>
                      <wp:docPr id="42" name="图片 42"/>
                      <wp:cNvGraphicFramePr/>
                      <a:graphic xmlns:a="http://schemas.openxmlformats.org/drawingml/2006/main">
                        <a:graphicData uri="http://schemas.openxmlformats.org/drawingml/2006/picture">
                          <pic:pic xmlns:pic="http://schemas.openxmlformats.org/drawingml/2006/picture">
                            <pic:nvPicPr>
                              <pic:cNvPr id="42" name="图片 42"/>
                              <pic:cNvPicPr/>
                              <pic:nvPr/>
                            </pic:nvPicPr>
                            <pic:blipFill>
                              <a:blip r:embed="rId15"/>
                              <a:stretch/>
                            </pic:blipFill>
                            <pic:spPr bwMode="auto">
                              <a:xfrm>
                                <a:off x="0" y="0"/>
                                <a:ext cx="204470" cy="260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40.7pt;mso-position-horizontal:absolute;mso-position-vertical-relative:text;margin-top:0.0pt;mso-position-vertical:absolute;width:16.1pt;height:20.5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1、规格：1880*420*930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2、制作：三层格挡设计，每层格挡设置5个，圆边圆角设计；                                                                  3、基材：板材采用实木多层免漆板，厚度≥25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5、胶水：热熔胶，符合国际采用环保标准；                                                                  6、五金配件：采用优质五金配件，经防锈处理，达国家标准。                                                                                               </w:t>
            </w:r>
            <w:r/>
          </w:p>
        </w:tc>
      </w:tr>
      <w:tr>
        <w:trPr>
          <w:jc w:val="center"/>
          <w:trHeight w:val="5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教室讲台-2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1、规格：1080*650*960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2、基材：讲台箱体采用1.2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厚优质冷轧钢板，显示器和立柱采用1.5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厚冷轧钢板，盖板采取翻转方式打开；                                                                                                                           3、钢木结合材料一体成型；实木扶手；                                                                                    4、桌面木质耐划台面</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全封闭式结构；                                                                                      5、采用分体式结构，隐藏抽拉式设计,无需钥匙开启。桌体下层内部采用标准机柜设计，带层板，所有设备可整齐固定。</w:t>
            </w:r>
            <w:r/>
          </w:p>
        </w:tc>
      </w:tr>
      <w:tr>
        <w:trPr>
          <w:jc w:val="center"/>
          <w:trHeight w:val="6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教师工作台</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1、规格：工作台1200*650*760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2、要求：白色工作台，成品要求白色钢制回形脚；                                                     3、基材：采用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制作，桌面板材厚度≥25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4、PVC四周全自动机器近色一体封边，无脱</w:t>
            </w:r>
            <w:r>
              <w:rPr>
                <w:rFonts w:hint="eastAsia" w:ascii="宋体" w:hAnsi="宋体" w:eastAsia="宋体" w:cs="宋体"/>
                <w:i w:val="0"/>
                <w:iCs w:val="0"/>
                <w:color w:val="000000"/>
                <w:sz w:val="20"/>
                <w:szCs w:val="20"/>
                <w:highlight w:val="none"/>
                <w:u w:val="none"/>
                <w:lang w:val="en-US" w:eastAsia="zh-CN" w:bidi="ar"/>
              </w:rPr>
              <w:t xml:space="preserve">胶、无露底现象；                                                                                                 5、五金件：采用优质五金配件，经防锈处理，达国家标准；                                                                        6、带电脑键盘抽。                                           </w:t>
            </w:r>
            <w:r/>
          </w:p>
        </w:tc>
      </w:tr>
      <w:tr>
        <w:trPr>
          <w:jc w:val="center"/>
          <w:trHeight w:val="5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72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1、规格：边柜800*300*700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2、要求：边柜两格挡设计；                                                     3、基材：采用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制作，台面板材厚度≥25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4、PVC四周全自动机器</w:t>
            </w:r>
            <w:r>
              <w:rPr>
                <w:rFonts w:hint="eastAsia" w:ascii="宋体" w:hAnsi="宋体" w:eastAsia="宋体" w:cs="宋体"/>
                <w:i w:val="0"/>
                <w:iCs w:val="0"/>
                <w:color w:val="000000"/>
                <w:sz w:val="20"/>
                <w:szCs w:val="20"/>
                <w:highlight w:val="none"/>
                <w:u w:val="none"/>
                <w:lang w:val="en-US" w:eastAsia="zh-CN" w:bidi="ar"/>
              </w:rPr>
              <w:t xml:space="preserve">近色一体封边，无脱胶、无露底现象；                                                                                                 5、五金件：采用优质五金配件，经防锈处理，达国家标准。                                                                                                                   </w:t>
            </w:r>
            <w:r/>
          </w:p>
        </w:tc>
      </w:tr>
      <w:tr>
        <w:trPr>
          <w:jc w:val="center"/>
          <w:trHeight w:val="772"/>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书柜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870"/>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1、规格：书柜800*300*2000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2、要求：边柜上部开放格，下部设柜子对开门；                                                     3、基材：采用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制作，柜面板材厚度≥25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4、PVC四周全自动机器</w:t>
            </w:r>
            <w:r>
              <w:rPr>
                <w:rFonts w:hint="eastAsia" w:ascii="宋体" w:hAnsi="宋体" w:eastAsia="宋体" w:cs="宋体"/>
                <w:i w:val="0"/>
                <w:iCs w:val="0"/>
                <w:color w:val="000000"/>
                <w:sz w:val="20"/>
                <w:szCs w:val="20"/>
                <w:highlight w:val="none"/>
                <w:u w:val="none"/>
                <w:lang w:val="en-US" w:eastAsia="zh-CN" w:bidi="ar"/>
              </w:rPr>
              <w:t xml:space="preserve">近色一体封边，无脱胶、无露底现象；                                                                                                 5、五金件：采用优质五金配件，经防锈处理，达国家标准。                                                                                                                   </w:t>
            </w:r>
            <w:r/>
          </w:p>
        </w:tc>
      </w:tr>
      <w:tr>
        <w:trPr>
          <w:jc w:val="center"/>
          <w:trHeight w:val="63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教室背景墙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毛毡板</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1、规格：5900*2300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2、基材：采用高分子合金颗粒镀锌板底板、高密度聚苯乙烯夹芯板和高密度细颗粒无杂质水松木三层复合制作，ABS包角设计，加厚铝合金边，坚固耐用，扎入后伸缩性好。背板软木厚度要求</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，高密度吸音棉厚度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256"/>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1、规格：1500*1500*760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2、制作：里侧副柜1500*400*1200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3、基材：基材：采用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，桌面和柜面板材厚度≥25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5、五金配件：采用优质五金配件，经防锈处理，达国家标准。颜色由使用方确定后制作。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tc>
      </w:tr>
      <w:tr>
        <w:trPr>
          <w:jc w:val="center"/>
          <w:trHeight w:val="8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网椅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1、规格：555*650*950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2、面料：采用优质网布，透气性强；                           </w:t>
            </w:r>
            <w:r>
              <w:rPr>
                <w:rFonts w:hint="eastAsia" w:ascii="宋体" w:hAnsi="宋体" w:eastAsia="宋体" w:cs="宋体"/>
                <w:i w:val="0"/>
                <w:iCs w:val="0"/>
                <w:color w:val="000000"/>
                <w:sz w:val="20"/>
                <w:szCs w:val="20"/>
                <w:highlight w:val="none"/>
                <w:u w:val="none"/>
                <w:lang w:val="en-US" w:eastAsia="zh-CN" w:bidi="ar"/>
              </w:rPr>
              <w:t xml:space="preserve">                               3、海绵：采用无氟定型优质发泡海绵（表面加有防老化变形保护膜），可再生使用。弹性好，不易变形，座感舒适；                                                                                                                                       4、支架：加重型弓形支架，稳定性好，表面经抛光电镀处理。受力管件壁厚≥2.0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，铬层厚度≥0.3um；焊接无夹渣，电镀层无明显色差及裂纹和脱落。</w:t>
            </w:r>
            <w:r/>
          </w:p>
        </w:tc>
      </w:tr>
      <w:tr>
        <w:trPr>
          <w:jc w:val="center"/>
          <w:trHeight w:val="490"/>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班台</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38"/>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43" name="图片 43"/>
                      <wp:cNvGraphicFramePr/>
                      <a:graphic xmlns:a="http://schemas.openxmlformats.org/drawingml/2006/main">
                        <a:graphicData uri="http://schemas.openxmlformats.org/drawingml/2006/picture">
                          <pic:pic xmlns:pic="http://schemas.openxmlformats.org/drawingml/2006/picture">
                            <pic:nvPicPr>
                              <pic:cNvPr id="43" name="图片 43"/>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44" name="图片 44"/>
                      <wp:cNvGraphicFramePr/>
                      <a:graphic xmlns:a="http://schemas.openxmlformats.org/drawingml/2006/main">
                        <a:graphicData uri="http://schemas.openxmlformats.org/drawingml/2006/picture">
                          <pic:pic xmlns:pic="http://schemas.openxmlformats.org/drawingml/2006/picture">
                            <pic:nvPicPr>
                              <pic:cNvPr id="44" name="图片 44"/>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规格：1800*900*760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2、基材：面板采用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，边柜1200*400*700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w:t>
            </w:r>
            <w:r/>
          </w:p>
          <w:p>
            <w:pPr>
              <w:numPr>
                <w:ilvl w:val="0"/>
                <w:numId w:val="0"/>
              </w:numPr>
              <w:ind w:left="0" w:firstLine="0"/>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p>
        </w:tc>
      </w:tr>
      <w:tr>
        <w:trPr>
          <w:jc w:val="center"/>
          <w:trHeight w:val="6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1、规格：735*685*1150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2、面料：采用优质棕色1.5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厚牛皮；海绵采用无氟定型优质发泡海绵；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3、底盘：重型十字脚底盘支架,带逍遥功能可165度放倒，五星脚表面经抛光电镀处理。受力管件壁厚≥2.0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，铬层厚度≥0.3um；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4、工艺：焊接无夹渣，电镀层无明显色差及裂纹和脱落，配置尼龙静音轮。</w:t>
            </w:r>
            <w:r/>
          </w:p>
        </w:tc>
      </w:tr>
      <w:tr>
        <w:trPr>
          <w:jc w:val="center"/>
          <w:trHeight w:val="5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教学讲台-3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1、规格：900*600*1000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2、基材：讲台箱体采用1.2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厚优质冷轧钢板；                                                                                                                           3、钢木</w:t>
            </w:r>
            <w:r>
              <w:rPr>
                <w:rFonts w:hint="eastAsia" w:ascii="宋体" w:hAnsi="宋体" w:eastAsia="宋体" w:cs="宋体"/>
                <w:i w:val="0"/>
                <w:iCs w:val="0"/>
                <w:color w:val="000000"/>
                <w:sz w:val="20"/>
                <w:szCs w:val="20"/>
                <w:highlight w:val="none"/>
                <w:u w:val="none"/>
                <w:lang w:val="en-US" w:eastAsia="zh-CN" w:bidi="ar"/>
              </w:rPr>
              <w:t xml:space="preserve">结合材料一体成型；实木扶手；                                                                                    4、桌面木质耐划台面；全封闭式结构；                                                                                      5、采用分体式结构，隐藏抽拉式设计,无需钥匙开启。桌体下层内部采用标准机柜设计，带层板，所有设备可整齐固定。</w:t>
            </w:r>
            <w:r/>
          </w:p>
        </w:tc>
      </w:tr>
      <w:tr>
        <w:trPr>
          <w:jc w:val="center"/>
          <w:trHeight w:val="5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格子柜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1、规格：920*300*1300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2、制作：四层格挡设计，每层格挡设置3方格，合计12格；                                                                  3、基材：采用橡胶木制作，柜面及站板厚度≥25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，含水率低于12%。具有不变形，不</w:t>
            </w:r>
            <w:r>
              <w:rPr>
                <w:rFonts w:hint="eastAsia" w:ascii="宋体" w:hAnsi="宋体" w:eastAsia="宋体" w:cs="宋体"/>
                <w:i w:val="0"/>
                <w:iCs w:val="0"/>
                <w:color w:val="000000"/>
                <w:sz w:val="20"/>
                <w:szCs w:val="20"/>
                <w:highlight w:val="none"/>
                <w:u w:val="none"/>
                <w:lang w:val="en-US" w:eastAsia="zh-CN" w:bidi="ar"/>
              </w:rPr>
              <w:t xml:space="preserve">开裂木质硬等特点，木材纹理清晰，颜色无差异，所有接触面均要求打磨光滑无毛刺；                                                                                                   4、五金件：采用优质五金配件，经防锈处理，达国家标准。                                                                                            </w:t>
            </w:r>
            <w:r/>
          </w:p>
        </w:tc>
      </w:tr>
      <w:tr>
        <w:trPr>
          <w:jc w:val="center"/>
          <w:trHeight w:val="5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753"/>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1、规格：310*388*508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2、材质：ABS全新工程塑料，配色蓝灰色（非贴皮），柜体为灰色HIPS工程塑料</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3、设计：要求柜门拱桥弧形状，弧形宽度有198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），弧形凸起的厚度为35-37</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）。增强柜体受力</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4、配置：正门正中间孤形处放置LOGO右上角均配有白底黑字号牌，每款门板中间凸出弧形58*34.5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偏离），要求柜内设层板</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教室摆放规格存在差异，供货需要逐一核对规格匹配安装排列方式。                                                                             </w:t>
            </w:r>
            <w:r/>
          </w:p>
        </w:tc>
      </w:tr>
      <w:tr>
        <w:trPr>
          <w:jc w:val="center"/>
          <w:trHeight w:val="4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1、规格：800*400*800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2、基材：板材采用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3、PVC四周全自动机器近色一体封边，无脱胶、无露底现象；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4、五金配件均精选于国内著名家具五金配件生产厂家，不生锈，不变形；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5、柜面要求鱼肚白大理石材覆面，大理石厚度要求≥20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；四边石材下挂55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p>
        </w:tc>
      </w:tr>
      <w:tr>
        <w:trPr>
          <w:jc w:val="center"/>
          <w:trHeight w:val="5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39"/>
              </w:num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规格：1500*1500*760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2、基材：面板采用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，桌面厚度≥30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3、PVC四周全自动机器近色一体封边，无脱胶、无露底现象；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4、五金配件：均精选于国内著名家具五金配件生产厂家，不生锈，不变形；</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42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午休椅-4</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1、规格：535*610*960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2、面料：采用优质透气1.5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厚牛皮，皮面光泽度好，透气性强，厚度适中；                                                              3、海绵：采用无氟定型优质发泡海绵；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4、支架：置框架采用钢管整体焊接制作，表面烤漆喷涂处理，结构部件之间采用金属连接件，加重型十字脚底盘支架,稳定性好，可165度放倒，表面经抛光电镀处理。受力管件壁厚≥2.0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，铬层厚度≥0.3um；焊接无夹渣，电镀层无明显色差及裂纹和脱落。带脚踏。</w:t>
            </w:r>
            <w:r/>
          </w:p>
        </w:tc>
      </w:tr>
      <w:tr>
        <w:trPr>
          <w:jc w:val="center"/>
          <w:trHeight w:val="379"/>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铁皮作业文件柜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both"/>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1、规格：文件柜860*400*1850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；作业柜900*400*1600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2、基材：材料采用优质宝钢冷轧钢板，裸板厚度要求≥0.8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3、工艺：品牌塑粉结合酸洗磷化工艺，耐用不掉漆。结构部件之间采用优质金属连接件。颜色采用灰白配色；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4、配置：文件柜要求配置7层隔板； 作业柜要求配置4层隔板，两边要带封边侧板</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w:t>
            </w:r>
            <w:r/>
          </w:p>
        </w:tc>
      </w:tr>
      <w:tr>
        <w:trPr>
          <w:jc w:val="center"/>
          <w:trHeight w:val="6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录播室桌椅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45" name="图片 45"/>
                      <wp:cNvGraphicFramePr/>
                      <a:graphic xmlns:a="http://schemas.openxmlformats.org/drawingml/2006/main">
                        <a:graphicData uri="http://schemas.openxmlformats.org/drawingml/2006/picture">
                          <pic:pic xmlns:pic="http://schemas.openxmlformats.org/drawingml/2006/picture">
                            <pic:nvPicPr>
                              <pic:cNvPr id="45" name="图片 45"/>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46" name="图片 46"/>
                      <wp:cNvGraphicFramePr/>
                      <a:graphic xmlns:a="http://schemas.openxmlformats.org/drawingml/2006/main">
                        <a:graphicData uri="http://schemas.openxmlformats.org/drawingml/2006/picture">
                          <pic:pic xmlns:pic="http://schemas.openxmlformats.org/drawingml/2006/picture">
                            <pic:nvPicPr>
                              <pic:cNvPr id="46" name="图片 46"/>
                              <pic:cNvPicPr/>
                              <pic:nvPr/>
                            </pic:nvPicPr>
                            <pic:blipFill>
                              <a:blip r:embed="rId1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0288;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1、规格：桌：618×425×H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；椅：400×370×H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2、靠背规格：400×350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3、桌面、桌斗均采用聚乙烯或聚丙烯等环保耐冲击塑料一体注塑成型，桌面厚度 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，桌面底部设有承重钢管，规格不小于 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 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并与桌面底部平齐，由螺丝锁付于面板底部，桌面靠胸部位置为内弧形造型，面板前端设置一冂字型防滑落凸条并与笔槽连成一体，笔槽设有排水孔；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4、靠背与钢管结合方式，采用直插式，靠背设计有曲线弧度；座板前端有下凹设计，座板设计有通气缝，座面板后倾0-2度。功能：书箱底部有排水槽缝之设计；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5、桌体、椅体钢架：采用椭圆形冷轧钢管、方管亮光钢管组合焊接而成，管材要求壁厚不小于 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，管材焊接采用二氧化碳保护焊，并采用满焊工艺；椅钢架：着地管30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、横拉管为20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椭圆管，横拉管焊接工艺制作。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6、桌椅课桌椅高度均可调节，调节方式为螺丝调节，桌椅两侧各两颗调节螺丝。可调高度范围需符合国标要求；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7、课桌为单斗结构。桌斗高度（桌面至桌底高度）：0-3号桌为130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；4-10号桌为120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8、金属桌腿的脚套须使用聚乙烯或聚丙烯材料等环保塑料，厚度不小于3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9、左右两侧各配有与书箱一体成型同色的挂钩，挂钩挂重物的垂直静承载力不小于 500N，钩端不超过桌侧缘之外；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10、桌椅的所有结构不得留有棱角和锋利边缝及不合规的洞孔；产品涉及的各类辅材和配件，必须是合格正品。3号灰色46套，5号蓝色46套。</w:t>
            </w:r>
            <w:r/>
          </w:p>
        </w:tc>
      </w:tr>
      <w:tr>
        <w:trPr>
          <w:jc w:val="center"/>
          <w:trHeight w:val="6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钢木分档调节课桌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976"/>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47" name="图片 47"/>
                      <wp:cNvGraphicFramePr/>
                      <a:graphic xmlns:a="http://schemas.openxmlformats.org/drawingml/2006/main">
                        <a:graphicData uri="http://schemas.openxmlformats.org/drawingml/2006/picture">
                          <pic:pic xmlns:pic="http://schemas.openxmlformats.org/drawingml/2006/picture">
                            <pic:nvPicPr>
                              <pic:cNvPr id="47" name="图片 47"/>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028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48" name="图片 48"/>
                      <wp:cNvGraphicFramePr/>
                      <a:graphic xmlns:a="http://schemas.openxmlformats.org/drawingml/2006/main">
                        <a:graphicData uri="http://schemas.openxmlformats.org/drawingml/2006/picture">
                          <pic:pic xmlns:pic="http://schemas.openxmlformats.org/drawingml/2006/picture">
                            <pic:nvPicPr>
                              <pic:cNvPr id="48" name="图片 48"/>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028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1、钢木课桌规格：620×420×H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2、桌面规格：长620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×宽420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×20（厚度）</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；桌面板使用齿接机拼橡胶木板材，其厚度不小于20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，产品等级为一级，国家环保标准采用及以上的绿色环保板材。桌面开笔槽，圆角圆边处理；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3、课桌均为单斗结构。桌斗高度：0-3号桌为130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；4-10号桌为120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。桌斗为钢制拉伸冲压一次成型，金属箱体壁厚不小于1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4、钢架管材、板材要求使用厚度为1.2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的冷轧板，侧板等钢板加工应采用模具冲压成型；钢管规格：立柱30*60*1.2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，着地管30*50*1.2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，连接管20*50*1.2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,横档管20*40*1.2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。管材焊接采用二氧化碳气体保护焊，并采用满焊工艺；桌腿之间采用椭圆形钢管加焊横档以保证其横向稳定（呈外弧型）；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5、课桌下书包网斗规格为：530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，Ф19×1.2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圆管及Ф5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圆钢冲压组合成型,二氧化碳气体保护焊接；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6、钢件框架表面采用优质灰白色静电粉末喷涂，除油-清洗-酸洗-清水-标条-磷化-清水-烘干-喷涂；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7、可调节课桌椅高度要求：桌高规格共6个档位，档差高30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，符合国标X-X号高度；升降方式采用螺丝紧固调节，升降管外侧根据实际高度印刷升降刻度，可实时观测升降高度情况。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8、金属桌腿的脚套须使用聚乙烯或聚丙烯材料等环保塑料，厚度不小于3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。脚套需带调节桌面水平的功能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9、左右两侧各配有钢筋挂钩，采用Ф5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圆钢冲压成型，焊接在桌斗两侧，挂钩挂重物的垂直静承载力不小于500N，钩端不超过桌侧缘之外。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桌面</w:t>
            </w:r>
            <w:r>
              <w:rPr>
                <w:rFonts w:hint="eastAsia" w:ascii="宋体" w:hAnsi="宋体" w:eastAsia="宋体" w:cs="宋体"/>
                <w:i w:val="0"/>
                <w:iCs w:val="0"/>
                <w:color w:val="000000"/>
                <w:sz w:val="20"/>
                <w:szCs w:val="20"/>
                <w:highlight w:val="none"/>
                <w:u w:val="none"/>
                <w:lang w:val="en-US" w:eastAsia="zh-CN" w:bidi="ar"/>
              </w:rPr>
              <w:t xml:space="preserve">采用的亚光</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为环保油漆，保证三底三面的工艺要求。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11、课桌椅腿的脚套须使用环保无毒TPU+橡胶材质，上部2.0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厚环保无毒TPU塑料内设加强筋最大限度减小钢管对脚套的磨损破坏，下部为40*65*12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增大增厚橡塑防滑垫，减少课桌椅触地噪声，增加课桌椅着地稳定性，铆钉固定，确保安装后脚套牢固不松动，在外拉力1000N下，不脱落；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12、课桌椅的所有结构不得留有棱角和锋利边缝及不合规的洞孔；产品涉及的各类配件和辅材，必须是合格正品；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13、课桌出厂高度、桌面规格、颜色在订单合同中予以明确，并在生产前由校方签字盖章再次确认。</w:t>
            </w:r>
            <w:r/>
          </w:p>
        </w:tc>
      </w:tr>
      <w:tr>
        <w:trPr>
          <w:jc w:val="center"/>
          <w:trHeight w:val="79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109"/>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1、课桌规格：618×425×H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2、桌面板：规格为618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，采用环保定制水蓝色ABS塑料通过改性后一体注塑成型，桌面厚度22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，桌面底部设有承重钢管，规格不小于30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并与桌面底部平齐，由螺丝锁付于面板底部，桌面靠胸部位置为内弧形造型，表面无反光现象，面板前端设置一冂字型防滑落凸条并与笔槽连成一体，笔槽设有排水孔，四周及底部完全不得有毛边、倒圆角、不刮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3、课桌为单斗结构。桌斗：0-3号桌斗桌面至桌底高130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，4-10号桌斗桌面至桌底高120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。采用PP塑料一级新料一体射出成型。外径规格：宽505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，内径规格：宽490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。功能：书箱底部有排水槽孔设计；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，管材焊接采用二氧化碳保护焊，并采用满焊工艺，桌腿之间采用椭圆形钢管加焊横档成外弧形，以保证其横向稳定。桌钢架，着地管：D形冷轧钢管30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椭圆管、T型支架调节管25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椭圆管、T形支架连接管为为20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方管、横拉管为30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椭圆管，焊接工艺制作；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5、课桌下书包网斗规格为：530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，Ф19×1.2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圆管及Ф5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圆钢冲压组合成型,二氧化碳气体保护焊接；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6、课桌椅钢件框架表面采用优质灰白色静电粉末喷涂，除油-清洗-酸洗-清水-标条-磷化-清水-烘干-喷涂；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7、可调节课桌高度要求：桌高规格共6个档位，每档30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，符合国标X-X号高度；升降方式采用手摇升降，采用尼龙合金、铸铝、钢制耐用复合材料组合设计，升降管外侧根据实际高度印刷升降刻度，可实时观测升降高度情况；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8、左右两侧各配有与书箱同色的挂钩，挂钩挂重物的垂直静承载力不小于400N，钩端不超过桌侧缘之外；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9、课桌椅腿的脚套须使用环保无毒TPU+橡胶材质，上部2.0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厚环保无毒TPU塑料内设加强筋最大限度减小钢管对脚套的磨损破坏，下部为40*65*12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增大增厚橡塑防滑垫，减少课桌椅触地噪声，增加课桌椅着地稳定性，铆钉固定，确保安装后脚套牢固不松动，在外拉力1000N下，不脱落；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10课桌椅的所有结构不得留有棱角和锋利边缝及不合规的洞孔；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11、课桌椅出厂高度，桌面、椅面规格及颜色在订单合同中予以明确，并在生产前由校方签字盖章再次确认。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12、课椅规格：395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×370×H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13、椅面板：采用定制绿色环保PP塑料通过改性后一体注塑成型，椅面规格：宽395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×深370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。靠背规格：宽400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×高345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14、靠背与钢管结合方式，采用直插式，靠背设计有曲线弧度，靠背点以上应向后倾斜，与垂直面之间呈6-12度；座板前端有下凹设计，座板设计有通气缝，座面板后倾0-2度；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15、椅体钢架：采用椭圆形及D形冷轧钢管、方管亮光钢管组合焊接而成，管材壁厚不小于1.2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椭圆管，横拉管采用焊接工艺制作，调节管25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椭圆管。座板下加焊两根20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承重管，椅背管为20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16、可调节课椅高度要求：共6个档位，每档20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，其中8-9号档位10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,符合国标X-X号高度；升降方式采用手摇升降，采用尼龙合金、铸铝、钢制耐用复合材料组合设计，升降管外侧根据实际高度印刷升降刻度，可实时观测升降高度情况。</w:t>
            </w:r>
            <w:r/>
          </w:p>
        </w:tc>
      </w:tr>
      <w:tr>
        <w:trPr>
          <w:jc w:val="center"/>
          <w:trHeight w:val="369"/>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塑钢分档调节课桌椅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49" name="图片 49"/>
                      <wp:cNvGraphicFramePr/>
                      <a:graphic xmlns:a="http://schemas.openxmlformats.org/drawingml/2006/main">
                        <a:graphicData uri="http://schemas.openxmlformats.org/drawingml/2006/picture">
                          <pic:pic xmlns:pic="http://schemas.openxmlformats.org/drawingml/2006/picture">
                            <pic:nvPicPr>
                              <pic:cNvPr id="49" name="图片 49"/>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028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50" name="图片 50"/>
                      <wp:cNvGraphicFramePr/>
                      <a:graphic xmlns:a="http://schemas.openxmlformats.org/drawingml/2006/main">
                        <a:graphicData uri="http://schemas.openxmlformats.org/drawingml/2006/picture">
                          <pic:pic xmlns:pic="http://schemas.openxmlformats.org/drawingml/2006/picture">
                            <pic:nvPicPr>
                              <pic:cNvPr id="50" name="图片 50"/>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028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51" name="图片 51"/>
                      <wp:cNvGraphicFramePr/>
                      <a:graphic xmlns:a="http://schemas.openxmlformats.org/drawingml/2006/main">
                        <a:graphicData uri="http://schemas.openxmlformats.org/drawingml/2006/picture">
                          <pic:pic xmlns:pic="http://schemas.openxmlformats.org/drawingml/2006/picture">
                            <pic:nvPicPr>
                              <pic:cNvPr id="51" name="图片 51"/>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028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52" name="图片 52"/>
                      <wp:cNvGraphicFramePr/>
                      <a:graphic xmlns:a="http://schemas.openxmlformats.org/drawingml/2006/main">
                        <a:graphicData uri="http://schemas.openxmlformats.org/drawingml/2006/picture">
                          <pic:pic xmlns:pic="http://schemas.openxmlformats.org/drawingml/2006/picture">
                            <pic:nvPicPr>
                              <pic:cNvPr id="52" name="图片 52"/>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1、规格：桌：618×425×H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；椅:长400×370×H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，靠背规格:400x350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2、桌面、桌斗和座靠板均采用聚乙烯或聚丙烯等环保耐冲击塑料一体注塑成型，桌面厚度 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，桌面底部设有承重钢管，规格不小于30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 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并与桌面底部平齐，由螺丝锁付于面板底部，桌面靠胸部位置为内弧形造型，表面无反光现象，面板前端设置一门字型防滑落凸条并与笔槽连成一体，笔槽设有排水孔，四周及底部完全不得有毛边、倒圆角、不刮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3、靠背与钢管结合方式，采用直插式，靠背设计有曲线弧度；座板前端有下凹设计，座板设计有通气缝，坐垫中间有内凹设计，座板设计有通气缝，座面板后倾0-2度。功能:书箱底部有排水槽缝之设计；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4、桌体、椅体钢架:采用椭圆形冷轧钢管、方管亮光钢管组合焊接而成，管材要求壁厚不小于 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，管材焊接采用二氧化碳保护焊，并采用满焊工艺，桌腿之间采用椭圆形钢管加焊横档，以保证其横向稳定；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5、椅钢架:着地管30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 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椭圆管、Y型支架20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6、桌下设有钢制桌篮规格为495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,采用中16圆管壁厚1.2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n和 φ5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冷拉圆钢，弯管焊接而成。调节管20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7、椅座板下加焊两根16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x34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承重管，椅背管为20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w:t>
            </w:r>
            <w:r/>
          </w:p>
        </w:tc>
      </w:tr>
      <w:tr>
        <w:trPr>
          <w:jc w:val="center"/>
          <w:trHeight w:val="6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40"/>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53" name="图片 53"/>
                      <wp:cNvGraphicFramePr/>
                      <a:graphic xmlns:a="http://schemas.openxmlformats.org/drawingml/2006/main">
                        <a:graphicData uri="http://schemas.openxmlformats.org/drawingml/2006/picture">
                          <pic:pic xmlns:pic="http://schemas.openxmlformats.org/drawingml/2006/picture">
                            <pic:nvPicPr>
                              <pic:cNvPr id="53" name="图片 53"/>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1312;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54" name="图片 54"/>
                      <wp:cNvGraphicFramePr/>
                      <a:graphic xmlns:a="http://schemas.openxmlformats.org/drawingml/2006/main">
                        <a:graphicData uri="http://schemas.openxmlformats.org/drawingml/2006/picture">
                          <pic:pic xmlns:pic="http://schemas.openxmlformats.org/drawingml/2006/picture">
                            <pic:nvPicPr>
                              <pic:cNvPr id="54" name="图片 54"/>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1312;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55" name="图片 55"/>
                      <wp:cNvGraphicFramePr/>
                      <a:graphic xmlns:a="http://schemas.openxmlformats.org/drawingml/2006/main">
                        <a:graphicData uri="http://schemas.openxmlformats.org/drawingml/2006/picture">
                          <pic:pic xmlns:pic="http://schemas.openxmlformats.org/drawingml/2006/picture">
                            <pic:nvPicPr>
                              <pic:cNvPr id="55" name="图片 55"/>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1312;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56" name="图片 56"/>
                      <wp:cNvGraphicFramePr/>
                      <a:graphic xmlns:a="http://schemas.openxmlformats.org/drawingml/2006/main">
                        <a:graphicData uri="http://schemas.openxmlformats.org/drawingml/2006/picture">
                          <pic:pic xmlns:pic="http://schemas.openxmlformats.org/drawingml/2006/picture">
                            <pic:nvPicPr>
                              <pic:cNvPr id="56" name="图片 56"/>
                              <pic:cNvPicPr/>
                              <pic:nvPr/>
                            </pic:nvPicPr>
                            <pic:blipFill>
                              <a:blip r:embed="rId1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1312;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课桌：整体规格650×450×H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p>
          <w:p>
            <w:pPr>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2、桌面板：采用环保ABS塑料通过改性后一体注塑成型，桌面厚度28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，靠胸前处有一內弧造型设计；面板前端设置一冂字型防滑落凸条，总长度为1060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，并设有笔槽，四周及底部完全不得有毛边，光滑安全，面板四个边角为倒圆角，安全性高。面板底部有強化承重设计，镶入两根方型钢管，并与面板底部平齐，由螺丝锁付于面板底部；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3、书斗规格：采用PP塑料一级新料一体射出成型。不得采用回收料生产。内径规格：445×350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，外径规格：540×365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,桌斗高度不得大于国标标准，书箱靠胸前笔槽呈浅V型设计，笔槽两边有圆形通孔设计方便清理，书箱边缘有5×10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钢条与书箱一体注塑成型，增强抗扭曲性，预防长期使用变形。受书箱后端设有长条缝设计，防止书本等受潮，书箱后方面上设计有置放名片或号码牌卡槽位置，正中间有预留置放学校校徽标识或LOGO的圆圈；边缘平整圆滑，美观坚固，美观大方，具有抗扭曲，抗潮且兼顾安全等优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4、桌体钢架：管材采用厚度不小于1.2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的椭圆管，管材焊接采用二氧化碳保护焊，并采用满焊工艺，桌腿之间采用25*50*1.2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椭圆钢管加焊以保证其横向稳定。桌腿和着地管30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椭圆管，着地管和桌腿焊接夹角为竖直80°（±2°），使进出座位腿下空间更加充分自如；桌脚上部升降管钢管规格为25×50×1.2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，桌面托起支架采用铁皮折弯成型厚度为1.5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5、可调节课桌高度要求：手摇调节升降功能，桌高（640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6、脚套使用全新尼龙塑料，厚度不小于3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，并用铆钉或自攻螺丝加固防止脱落；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7、左右两侧各配有一个φ6实心铁线冲压成型挂钩，挂钩挂重物的垂直静承载力不小于500N，钩端不超过桌侧缘之外；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8、桌的所有结构不得留有棱角和锋利边缝；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9、安装要求：桌面、桌斗隐形安装，表面不得有铆钉或自攻螺丝等。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10、课椅：整体规格420×420×H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11、椅座板、椅靠背板采用一级工程塑料PP，坐垫规格：宽420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，靠背规格：宽420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×高360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。通过改性良后一次性注塑成型，达到环保要求，靠背中间有内凹式曲线弧度设计，坐垫中间有内凹式设计，坐垫前端设计有波浪形设计；有腰形透气孔，靠背背面带有一体成型挂钩，可承载轻质便利袋和包包。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13、椅体钢架：钢架管材采用厚度不小于1.2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的椭圆管，管材焊接采用二氧化碳保护焊，并采用机械臂满焊工艺，椅脚管和着地管规格为30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.椅脚连接钢管规格为20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椭圆管，椅脚上部升降管钢管规格为25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，椅靠背管采用Φ25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圆管折弯，椅座板下方有两根规格为15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扁圆管横拉支撑；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13、可调节课椅高度要求：手摇调节升降功能，桌椅高规格均是 6 个档位，桌高每个档 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，椅高每档 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,均符合国标高度要求；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14、椅面板后倾0-2度，靠背点以上应向后倾斜，与垂直面之间呈6-12度；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15、脚套使用全新尼龙塑料，厚度不小于3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，并用铆钉或自攻螺丝加固防止脱落；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16、安装要求：桌面、桌斗隐形安装，表面不得有铆钉或自攻螺丝等。</w:t>
            </w:r>
            <w:r/>
          </w:p>
        </w:tc>
      </w:tr>
      <w:tr>
        <w:trPr>
          <w:jc w:val="center"/>
          <w:trHeight w:val="79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1620"/>
                      <wp:effectExtent l="0" t="0" r="0" b="0"/>
                      <wp:wrapNone/>
                      <wp:docPr id="57" name="图片 57"/>
                      <wp:cNvGraphicFramePr/>
                      <a:graphic xmlns:a="http://schemas.openxmlformats.org/drawingml/2006/main">
                        <a:graphicData uri="http://schemas.openxmlformats.org/drawingml/2006/picture">
                          <pic:pic xmlns:pic="http://schemas.openxmlformats.org/drawingml/2006/picture">
                            <pic:nvPicPr>
                              <pic:cNvPr id="57" name="图片 57"/>
                              <pic:cNvPicPr/>
                              <pic:nvPr/>
                            </pic:nvPicPr>
                            <pic:blipFill>
                              <a:blip r:embed="rId15"/>
                              <a:stretch/>
                            </pic:blipFill>
                            <pic:spPr bwMode="auto">
                              <a:xfrm>
                                <a:off x="0" y="0"/>
                                <a:ext cx="204470" cy="261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028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75590"/>
                      <wp:effectExtent l="0" t="0" r="0" b="0"/>
                      <wp:wrapNone/>
                      <wp:docPr id="58" name="图片 58"/>
                      <wp:cNvGraphicFramePr/>
                      <a:graphic xmlns:a="http://schemas.openxmlformats.org/drawingml/2006/main">
                        <a:graphicData uri="http://schemas.openxmlformats.org/drawingml/2006/picture">
                          <pic:pic xmlns:pic="http://schemas.openxmlformats.org/drawingml/2006/picture">
                            <pic:nvPicPr>
                              <pic:cNvPr id="58" name="图片 58"/>
                              <pic:cNvPicPr/>
                              <pic:nvPr/>
                            </pic:nvPicPr>
                            <pic:blipFill>
                              <a:blip r:embed="rId14"/>
                              <a:stretch/>
                            </pic:blipFill>
                            <pic:spPr bwMode="auto">
                              <a:xfrm>
                                <a:off x="0" y="0"/>
                                <a:ext cx="204470" cy="275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0288;o:allowoverlap:true;o:allowincell:true;mso-position-horizontal-relative:text;margin-left:40.7pt;mso-position-horizontal:absolute;mso-position-vertical-relative:text;margin-top:0.0pt;mso-position-vertical:absolute;width:16.1pt;height:21.7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1620"/>
                      <wp:effectExtent l="0" t="0" r="0" b="0"/>
                      <wp:wrapNone/>
                      <wp:docPr id="59" name="图片 59"/>
                      <wp:cNvGraphicFramePr/>
                      <a:graphic xmlns:a="http://schemas.openxmlformats.org/drawingml/2006/main">
                        <a:graphicData uri="http://schemas.openxmlformats.org/drawingml/2006/picture">
                          <pic:pic xmlns:pic="http://schemas.openxmlformats.org/drawingml/2006/picture">
                            <pic:nvPicPr>
                              <pic:cNvPr id="59" name="图片 59"/>
                              <pic:cNvPicPr/>
                              <pic:nvPr/>
                            </pic:nvPicPr>
                            <pic:blipFill>
                              <a:blip r:embed="rId15"/>
                              <a:stretch/>
                            </pic:blipFill>
                            <pic:spPr bwMode="auto">
                              <a:xfrm>
                                <a:off x="0" y="0"/>
                                <a:ext cx="204470" cy="261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028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75590"/>
                      <wp:effectExtent l="0" t="0" r="0" b="0"/>
                      <wp:wrapNone/>
                      <wp:docPr id="60" name="图片 60"/>
                      <wp:cNvGraphicFramePr/>
                      <a:graphic xmlns:a="http://schemas.openxmlformats.org/drawingml/2006/main">
                        <a:graphicData uri="http://schemas.openxmlformats.org/drawingml/2006/picture">
                          <pic:pic xmlns:pic="http://schemas.openxmlformats.org/drawingml/2006/picture">
                            <pic:nvPicPr>
                              <pic:cNvPr id="60" name="图片 60"/>
                              <pic:cNvPicPr/>
                              <pic:nvPr/>
                            </pic:nvPicPr>
                            <pic:blipFill>
                              <a:blip r:embed="rId14"/>
                              <a:stretch/>
                            </pic:blipFill>
                            <pic:spPr bwMode="auto">
                              <a:xfrm>
                                <a:off x="0" y="0"/>
                                <a:ext cx="204470" cy="275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0288;o:allowoverlap:true;o:allowincell:true;mso-position-horizontal-relative:text;margin-left:40.7pt;mso-position-horizontal:absolute;mso-position-vertical-relative:text;margin-top:0.0pt;mso-position-vertical:absolute;width:16.1pt;height:21.7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1、塑钢课椅规格：410×360×H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2、椅面板：采用环保PP塑料通过改性后一体注塑成型，椅面规格：宽410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。靠背规格：宽385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×高265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3、靠背与钢管结合方式，采用直插式，靠背设计有曲线弧度，靠背点以上应向后倾斜，与垂直面之间呈6-12度；座板前端有下凹设计，座板设计有通气缝，座面板后倾0-2度；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4、椅体钢架：采用椭圆形及D形冷轧钢管、方管亮光钢管组合焊接而成，管材壁厚不小于1.2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椭圆管，横拉管采用焊接工艺制作，调节管25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5、钢件框架表面采用优质灰白色静电粉末喷涂，除油-清洗-酸洗-清水-标条-磷化-清水-烘干-喷涂；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6、可调节课椅高度要求：共6个档位，每档20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，其中8-9号档位10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,符合国标X-X号高度；升降方式采用螺丝紧固调节，升降管外侧根据学生身高与使用高度对应标准印刷升降刻度，并可实时观测升降高度情况；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7、课椅出厂高度、椅面规格及颜色在订单合同中予以明确，并在生产前由校方签字盖章再次确认。</w:t>
            </w:r>
            <w:r/>
          </w:p>
        </w:tc>
      </w:tr>
      <w:tr>
        <w:trPr>
          <w:jc w:val="center"/>
          <w:trHeight w:val="74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516255</wp:posOffset>
                      </wp:positionH>
                      <wp:positionV relativeFrom="paragraph">
                        <wp:posOffset>0</wp:posOffset>
                      </wp:positionV>
                      <wp:extent cx="206375" cy="284480"/>
                      <wp:effectExtent l="0" t="0" r="0" b="0"/>
                      <wp:wrapNone/>
                      <wp:docPr id="61" name="图片 61"/>
                      <wp:cNvGraphicFramePr/>
                      <a:graphic xmlns:a="http://schemas.openxmlformats.org/drawingml/2006/main">
                        <a:graphicData uri="http://schemas.openxmlformats.org/drawingml/2006/picture">
                          <pic:pic xmlns:pic="http://schemas.openxmlformats.org/drawingml/2006/picture">
                            <pic:nvPicPr>
                              <pic:cNvPr id="61" name="图片 61"/>
                              <pic:cNvPicPr/>
                              <pic:nvPr/>
                            </pic:nvPicPr>
                            <pic:blipFill>
                              <a:blip r:embed="rId12"/>
                              <a:stretch/>
                            </pic:blipFill>
                            <pic:spPr bwMode="auto">
                              <a:xfrm>
                                <a:off x="0" y="0"/>
                                <a:ext cx="206375"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0288;o:allowoverlap:true;o:allowincell:true;mso-position-horizontal-relative:text;margin-left:40.6pt;mso-position-horizontal:absolute;mso-position-vertical-relative:text;margin-top:0.0pt;mso-position-vertical:absolute;width:16.2pt;height:22.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516255</wp:posOffset>
                      </wp:positionH>
                      <wp:positionV relativeFrom="paragraph">
                        <wp:posOffset>0</wp:posOffset>
                      </wp:positionV>
                      <wp:extent cx="206375" cy="284480"/>
                      <wp:effectExtent l="0" t="0" r="0" b="0"/>
                      <wp:wrapNone/>
                      <wp:docPr id="62" name="图片 62"/>
                      <wp:cNvGraphicFramePr/>
                      <a:graphic xmlns:a="http://schemas.openxmlformats.org/drawingml/2006/main">
                        <a:graphicData uri="http://schemas.openxmlformats.org/drawingml/2006/picture">
                          <pic:pic xmlns:pic="http://schemas.openxmlformats.org/drawingml/2006/picture">
                            <pic:nvPicPr>
                              <pic:cNvPr id="62" name="图片 62"/>
                              <pic:cNvPicPr/>
                              <pic:nvPr/>
                            </pic:nvPicPr>
                            <pic:blipFill>
                              <a:blip r:embed="rId12"/>
                              <a:stretch/>
                            </pic:blipFill>
                            <pic:spPr bwMode="auto">
                              <a:xfrm>
                                <a:off x="0" y="0"/>
                                <a:ext cx="206375"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0288;o:allowoverlap:true;o:allowincell:true;mso-position-horizontal-relative:text;margin-left:40.6pt;mso-position-horizontal:absolute;mso-position-vertical-relative:text;margin-top:0.0pt;mso-position-vertical:absolute;width:16.2pt;height:22.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1、课桌规格：650×450×H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2、桌面板：规格为650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，采用环保定制米黄色ABS塑料通过改性后一体注塑成型，桌面厚度22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，桌面底部设有承重钢管，规格不小于30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并与桌面底部平齐，由螺丝锁付于面板底部，桌面靠胸部位置为内弧形造型，表面无反光现象，面板前端设置一冂字型防滑落凸条并与笔槽连成一体，笔槽设有排水孔，四周及底部完全不得有毛边、倒圆角、不刮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3、课桌为单斗结构。桌斗：0-3号桌斗桌面至桌底高130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，4-10号桌斗桌面至桌底高120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。采用PP塑料一级新料一体射出成型。外径规格：宽505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，内径规格：宽490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。功能：书箱底部有排水槽孔设计；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，管材焊接采用二氧化碳保护焊，并采用满焊工艺，桌腿之间采用椭圆形钢管加焊横档成外弧形，以保证其横向稳定。桌钢架，着地管：D形冷轧钢管30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椭圆管、T型支架调节管25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椭圆管、T形支架连接管为20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方管、横拉管为30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椭圆管，焊接工艺制作；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5、课桌下书包网斗规格为：530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Style w:val="1056"/>
                <w:color w:val="000000"/>
                <w:highlight w:val="none"/>
                <w:lang w:val="en-US" w:eastAsia="zh-CN" w:bidi="ar"/>
              </w:rPr>
              <w:t xml:space="preserve">Ф19×1.2mm圆管及Ф5mm圆钢冲压组合成型,二氧化碳气体保护焊接；                                                  </w:t>
            </w:r>
            <w:r>
              <w:rPr>
                <w:rStyle w:val="1056"/>
                <w:color w:val="000000"/>
                <w:highlight w:val="none"/>
                <w:lang w:val="en-US" w:eastAsia="zh-CN" w:bidi="ar"/>
              </w:rPr>
              <w:br w:type="textWrapping" w:clear="all"/>
            </w:r>
            <w:r>
              <w:rPr>
                <w:rStyle w:val="1056"/>
                <w:color w:val="000000"/>
                <w:highlight w:val="none"/>
                <w:lang w:val="en-US" w:eastAsia="zh-CN" w:bidi="ar"/>
              </w:rPr>
              <w:t xml:space="preserve">6、课桌椅钢件框架表面采用优质灰白色静电粉末喷涂，除油-清洗-酸洗-清水-标条-磷化-清水-烘干-喷涂；                                                                </w:t>
            </w:r>
            <w:r>
              <w:rPr>
                <w:rStyle w:val="1056"/>
                <w:color w:val="000000"/>
                <w:highlight w:val="none"/>
                <w:lang w:val="en-US" w:eastAsia="zh-CN" w:bidi="ar"/>
              </w:rPr>
              <w:br w:type="textWrapping" w:clear="all"/>
            </w:r>
            <w:r>
              <w:rPr>
                <w:rStyle w:val="1056"/>
                <w:color w:val="000000"/>
                <w:highlight w:val="none"/>
                <w:lang w:val="en-US" w:eastAsia="zh-CN" w:bidi="ar"/>
              </w:rPr>
              <w:t xml:space="preserve">7、可调节课桌高度要</w:t>
            </w:r>
            <w:r>
              <w:rPr>
                <w:rStyle w:val="1056"/>
                <w:color w:val="000000"/>
                <w:highlight w:val="none"/>
                <w:lang w:val="en-US" w:eastAsia="zh-CN" w:bidi="ar"/>
              </w:rPr>
              <w:t xml:space="preserve">求：桌高规格共6个档位，每档30mm，符合国标X-X号高度；升降方式采用螺丝紧固调节，升降管外侧根据学生身高与使用高度对应标准印刷升降刻度，并可实时观测升降高度情况；                                                           8、左右两侧各配有与书箱同色的挂钩，挂钩挂重物的垂直静承载力不小于400N，钩端不超过桌侧缘之外；                                                                 </w:t>
            </w:r>
            <w:r>
              <w:rPr>
                <w:rStyle w:val="1056"/>
                <w:color w:val="000000"/>
                <w:highlight w:val="none"/>
                <w:lang w:val="en-US" w:eastAsia="zh-CN" w:bidi="ar"/>
              </w:rPr>
              <w:br w:type="textWrapping" w:clear="all"/>
            </w:r>
            <w:r>
              <w:rPr>
                <w:rStyle w:val="1056"/>
                <w:color w:val="000000"/>
                <w:highlight w:val="none"/>
                <w:lang w:val="en-US" w:eastAsia="zh-CN" w:bidi="ar"/>
              </w:rPr>
              <w:t xml:space="preserve">9、课桌椅腿的脚套须使用环保无毒TPU+橡胶材质，上部2.0mm厚环保无毒TPU塑料内设加强筋最大限度减小钢管对脚套的磨损破坏，下部为40*65*12mm增大增厚橡塑防滑垫，减少课桌椅触地噪声，增加课桌椅着地稳定性，铆钉固定，确保安装后脚套牢固不松动，在外拉力1000N下，不脱落；                                                                                      </w:t>
            </w:r>
            <w:r>
              <w:rPr>
                <w:rStyle w:val="1056"/>
                <w:color w:val="000000"/>
                <w:highlight w:val="none"/>
                <w:lang w:val="en-US" w:eastAsia="zh-CN" w:bidi="ar"/>
              </w:rPr>
              <w:br w:type="textWrapping" w:clear="all"/>
            </w:r>
            <w:r>
              <w:rPr>
                <w:rStyle w:val="1056"/>
                <w:color w:val="000000"/>
                <w:highlight w:val="none"/>
                <w:lang w:val="en-US" w:eastAsia="zh-CN" w:bidi="ar"/>
              </w:rPr>
              <w:t xml:space="preserve">10、课桌椅的所有结构不得留有棱角和锋利边缝及不合规的洞孔；                         </w:t>
            </w:r>
            <w:r>
              <w:rPr>
                <w:rStyle w:val="1056"/>
                <w:color w:val="000000"/>
                <w:highlight w:val="none"/>
                <w:lang w:val="en-US" w:eastAsia="zh-CN" w:bidi="ar"/>
              </w:rPr>
              <w:br w:type="textWrapping" w:clear="all"/>
            </w:r>
            <w:r>
              <w:rPr>
                <w:rStyle w:val="1056"/>
                <w:color w:val="000000"/>
                <w:highlight w:val="none"/>
                <w:lang w:val="en-US" w:eastAsia="zh-CN" w:bidi="ar"/>
              </w:rPr>
              <w:t xml:space="preserve">11、</w:t>
            </w:r>
            <w:r>
              <w:rPr>
                <w:rStyle w:val="1057"/>
                <w:color w:val="000000"/>
                <w:highlight w:val="none"/>
                <w:lang w:val="en-US" w:eastAsia="zh-CN" w:bidi="ar"/>
              </w:rPr>
              <w:t xml:space="preserve">课桌椅出厂高度，桌面、椅面规格及颜色在订单合同中予以明确，并在生产前由校方签字盖章再次确认。</w:t>
            </w:r>
            <w:r>
              <w:rPr>
                <w:rStyle w:val="1056"/>
                <w:color w:val="000000"/>
                <w:highlight w:val="none"/>
                <w:lang w:val="en-US" w:eastAsia="zh-CN" w:bidi="ar"/>
              </w:rPr>
              <w:t xml:space="preserve">                                                              </w:t>
            </w:r>
            <w:r>
              <w:rPr>
                <w:rStyle w:val="1056"/>
                <w:color w:val="000000"/>
                <w:highlight w:val="none"/>
                <w:lang w:val="en-US" w:eastAsia="zh-CN" w:bidi="ar"/>
              </w:rPr>
              <w:br w:type="textWrapping" w:clear="all"/>
            </w:r>
            <w:r>
              <w:rPr>
                <w:rStyle w:val="1056"/>
                <w:color w:val="000000"/>
                <w:highlight w:val="none"/>
                <w:lang w:val="en-US" w:eastAsia="zh-CN" w:bidi="ar"/>
              </w:rPr>
              <w:t xml:space="preserve">12、课椅规格：395×370×Hmm；                                                                              </w:t>
            </w:r>
            <w:r>
              <w:rPr>
                <w:rStyle w:val="1056"/>
                <w:color w:val="000000"/>
                <w:highlight w:val="none"/>
                <w:lang w:val="en-US" w:eastAsia="zh-CN" w:bidi="ar"/>
              </w:rPr>
              <w:br w:type="textWrapping" w:clear="all"/>
            </w:r>
            <w:r>
              <w:rPr>
                <w:rStyle w:val="1056"/>
                <w:color w:val="000000"/>
                <w:highlight w:val="none"/>
                <w:lang w:val="en-US" w:eastAsia="zh-CN" w:bidi="ar"/>
              </w:rPr>
              <w:t xml:space="preserve">13、椅面板：采用定制木色环保PP塑料通过改性后一体注塑成型，椅面规格：宽395mm×深370mm。靠背规格：宽400mm×高345mm；                         </w:t>
            </w:r>
            <w:r>
              <w:rPr>
                <w:rStyle w:val="1056"/>
                <w:color w:val="000000"/>
                <w:highlight w:val="none"/>
                <w:lang w:val="en-US" w:eastAsia="zh-CN" w:bidi="ar"/>
              </w:rPr>
              <w:br w:type="textWrapping" w:clear="all"/>
            </w:r>
            <w:r>
              <w:rPr>
                <w:rStyle w:val="1056"/>
                <w:color w:val="000000"/>
                <w:highlight w:val="none"/>
                <w:lang w:val="en-US" w:eastAsia="zh-CN" w:bidi="ar"/>
              </w:rPr>
              <w:t xml:space="preserve">14、靠背与钢管结合方式，采用直插式，靠背设计有曲线弧度，靠背点以上应向后倾斜，与垂直面之间呈6-12度；座板前端有下凹设计，座板设计有通气缝，座面板后倾0-2度。；</w:t>
            </w:r>
            <w:r>
              <w:rPr>
                <w:rStyle w:val="1056"/>
                <w:color w:val="000000"/>
                <w:highlight w:val="none"/>
                <w:lang w:val="en-US" w:eastAsia="zh-CN" w:bidi="ar"/>
              </w:rPr>
              <w:br w:type="textWrapping" w:clear="all"/>
            </w:r>
            <w:r>
              <w:rPr>
                <w:rStyle w:val="1056"/>
                <w:color w:val="000000"/>
                <w:highlight w:val="none"/>
                <w:lang w:val="en-US" w:eastAsia="zh-CN" w:bidi="ar"/>
              </w:rPr>
              <w:t xml:space="preserve">15、椅体钢架：采用椭圆形及D形冷轧钢管、方管亮光钢管组合焊接而成，管材壁厚不小于1.2mm，管材焊接采用二氧化碳保护焊，并采用满焊工艺，着地管：D形冷轧钢管30mm×55mm×壁厚1.2mm椭圆管，立管30mm×60mm×壁厚1.2mm椭圆管，横拉管为30mm×50mm×壁厚1.2mm椭圆管，横拉管采用焊接工艺制</w:t>
            </w:r>
            <w:r>
              <w:rPr>
                <w:rStyle w:val="1056"/>
                <w:color w:val="000000"/>
                <w:highlight w:val="none"/>
                <w:lang w:val="en-US" w:eastAsia="zh-CN" w:bidi="ar"/>
              </w:rPr>
              <w:t xml:space="preserve">作，调节管25mm×50mm×壁厚1.5mm椭圆管。座板下加焊两根20mm×20mm×壁厚1.5mm承重管，椅背管为20mm×40mm×壁厚1.5mm椭圆管；                                                                          16、可调节课椅高度要求：共6个档位，每档20mm，其中8-9号档位10mm,符合国标X-X号高度；升降方式采用螺丝紧固调节，升降管外侧根据学生身高与使用高度对应标准印刷升降刻度，并可实时观测升降高度情况。</w:t>
            </w:r>
            <w:r/>
          </w:p>
        </w:tc>
      </w:tr>
      <w:tr>
        <w:trPr>
          <w:jc w:val="center"/>
          <w:trHeight w:val="7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塑钢分档调节课桌椅-1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63" name="图片 63"/>
                      <wp:cNvGraphicFramePr/>
                      <a:graphic xmlns:a="http://schemas.openxmlformats.org/drawingml/2006/main">
                        <a:graphicData uri="http://schemas.openxmlformats.org/drawingml/2006/picture">
                          <pic:pic xmlns:pic="http://schemas.openxmlformats.org/drawingml/2006/picture">
                            <pic:nvPicPr>
                              <pic:cNvPr id="63" name="图片 63"/>
                              <pic:cNvPicPr/>
                              <pic:nvPr/>
                            </pic:nvPicPr>
                            <pic:blipFill>
                              <a:blip r:embed="rId15"/>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0288;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84480"/>
                      <wp:effectExtent l="0" t="0" r="0" b="0"/>
                      <wp:wrapNone/>
                      <wp:docPr id="64" name="图片 64"/>
                      <wp:cNvGraphicFramePr/>
                      <a:graphic xmlns:a="http://schemas.openxmlformats.org/drawingml/2006/main">
                        <a:graphicData uri="http://schemas.openxmlformats.org/drawingml/2006/picture">
                          <pic:pic xmlns:pic="http://schemas.openxmlformats.org/drawingml/2006/picture">
                            <pic:nvPicPr>
                              <pic:cNvPr id="64" name="图片 64"/>
                              <pic:cNvPicPr/>
                              <pic:nvPr/>
                            </pic:nvPicPr>
                            <pic:blipFill>
                              <a:blip r:embed="rId12"/>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0288;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84480"/>
                      <wp:effectExtent l="0" t="0" r="0" b="0"/>
                      <wp:wrapNone/>
                      <wp:docPr id="65" name="图片 65"/>
                      <wp:cNvGraphicFramePr/>
                      <a:graphic xmlns:a="http://schemas.openxmlformats.org/drawingml/2006/main">
                        <a:graphicData uri="http://schemas.openxmlformats.org/drawingml/2006/picture">
                          <pic:pic xmlns:pic="http://schemas.openxmlformats.org/drawingml/2006/picture">
                            <pic:nvPicPr>
                              <pic:cNvPr id="65" name="图片 65"/>
                              <pic:cNvPicPr/>
                              <pic:nvPr/>
                            </pic:nvPicPr>
                            <pic:blipFill>
                              <a:blip r:embed="rId12"/>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0288;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84480"/>
                      <wp:effectExtent l="0" t="0" r="0" b="0"/>
                      <wp:wrapNone/>
                      <wp:docPr id="66" name="图片 66"/>
                      <wp:cNvGraphicFramePr/>
                      <a:graphic xmlns:a="http://schemas.openxmlformats.org/drawingml/2006/main">
                        <a:graphicData uri="http://schemas.openxmlformats.org/drawingml/2006/picture">
                          <pic:pic xmlns:pic="http://schemas.openxmlformats.org/drawingml/2006/picture">
                            <pic:nvPicPr>
                              <pic:cNvPr id="66" name="图片 66"/>
                              <pic:cNvPicPr/>
                              <pic:nvPr/>
                            </pic:nvPicPr>
                            <pic:blipFill>
                              <a:blip r:embed="rId12"/>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0288;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67" name="图片 67"/>
                      <wp:cNvGraphicFramePr/>
                      <a:graphic xmlns:a="http://schemas.openxmlformats.org/drawingml/2006/main">
                        <a:graphicData uri="http://schemas.openxmlformats.org/drawingml/2006/picture">
                          <pic:pic xmlns:pic="http://schemas.openxmlformats.org/drawingml/2006/picture">
                            <pic:nvPicPr>
                              <pic:cNvPr id="67" name="图片 67"/>
                              <pic:cNvPicPr/>
                              <pic:nvPr/>
                            </pic:nvPicPr>
                            <pic:blipFill>
                              <a:blip r:embed="rId15"/>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0288;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68" name="图片 68"/>
                      <wp:cNvGraphicFramePr/>
                      <a:graphic xmlns:a="http://schemas.openxmlformats.org/drawingml/2006/main">
                        <a:graphicData uri="http://schemas.openxmlformats.org/drawingml/2006/picture">
                          <pic:pic xmlns:pic="http://schemas.openxmlformats.org/drawingml/2006/picture">
                            <pic:nvPicPr>
                              <pic:cNvPr id="68" name="图片 68"/>
                              <pic:cNvPicPr/>
                              <pic:nvPr/>
                            </pic:nvPicPr>
                            <pic:blipFill>
                              <a:blip r:embed="rId15"/>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0288;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84480"/>
                      <wp:effectExtent l="0" t="0" r="0" b="0"/>
                      <wp:wrapNone/>
                      <wp:docPr id="69" name="图片 69"/>
                      <wp:cNvGraphicFramePr/>
                      <a:graphic xmlns:a="http://schemas.openxmlformats.org/drawingml/2006/main">
                        <a:graphicData uri="http://schemas.openxmlformats.org/drawingml/2006/picture">
                          <pic:pic xmlns:pic="http://schemas.openxmlformats.org/drawingml/2006/picture">
                            <pic:nvPicPr>
                              <pic:cNvPr id="69" name="图片 69"/>
                              <pic:cNvPicPr/>
                              <pic:nvPr/>
                            </pic:nvPicPr>
                            <pic:blipFill>
                              <a:blip r:embed="rId12"/>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0288;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70" name="图片 70"/>
                      <wp:cNvGraphicFramePr/>
                      <a:graphic xmlns:a="http://schemas.openxmlformats.org/drawingml/2006/main">
                        <a:graphicData uri="http://schemas.openxmlformats.org/drawingml/2006/picture">
                          <pic:pic xmlns:pic="http://schemas.openxmlformats.org/drawingml/2006/picture">
                            <pic:nvPicPr>
                              <pic:cNvPr id="70" name="图片 70"/>
                              <pic:cNvPicPr/>
                              <pic:nvPr/>
                            </pic:nvPicPr>
                            <pic:blipFill>
                              <a:blip r:embed="rId15"/>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0288;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1、课桌规格：600×450×H</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2、桌面板：规格为600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，采用环保木质多层板木纹色防火板贴面；前鸭嘴边镂铣成型，四周边缘注塑包边与笔槽一体成型；桌面厚度20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。圆边圆角处理；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3、课桌为单斗结构。桌斗：0-3号桌斗桌面至桌底高130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，4-10号桌斗桌面至桌底高120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。采用PP塑料一级新料一体射出成型。外径规格：宽505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，内径规格：宽490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。功能：书箱底部有排水槽孔设计；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，管材焊接采用二氧化碳保护焊，并采用满焊工艺，桌腿之间采用椭圆形钢管加焊横档成外弧形，以保证其横向稳定。桌钢架，着地管：D形冷轧钢管30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椭圆管、T型支架调节管25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椭圆管、T形支架连接管为为20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方管、横拉管为30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椭圆管，焊接工艺制作；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5、课桌下书包网斗规格为：530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，Ф19×1.2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圆管及Ф5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圆钢冲压组合成型,二氧化碳气体保护焊接；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6、课桌椅钢件框架表面采用优质灰白色静电粉末喷涂，除油-清洗-酸洗-清水-标条-磷化-清水-烘干-喷涂；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7、可调节课桌高度要求：桌高规格共6个档位，每档30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，符合国标X-X号高度；升降方式采用螺丝紧固调节，升降管外侧根据学生身高与使用高度对应标准印刷升降刻度，并可实时观测升降高度情况；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8、左右两侧各配有与书箱同色的挂钩，挂钩挂重物的垂直静承载力不小于400N，钩端不超过桌侧缘之外；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9、课桌椅腿的脚套须使用环保无毒TPU+橡胶材质，上部2.0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厚环保无毒TPU塑料内设加强筋最大限度减小钢管对脚套的磨损破坏，下部为40*65*12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增大增厚橡塑防滑垫，减少课桌椅触地噪声，增加课桌椅着地稳定性，铆钉固定，确保安装后脚套牢固不松动，在外拉力1000N下，不脱落；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10、课桌椅的所有结构不得留有棱角和锋利边缝及不合规的洞孔；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11、课桌椅出厂高度，桌面、椅面规格及颜色在订单合同中予以明确，并在生产前由校方签字盖章再次确认。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12、课椅规格：400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×深370×H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椅面板：椅座板、背板以及椅子座垫、靠背均采用全新优质PP材质（具有耐冲击性、耐抗压性、耐磨性，并且符合环保标准）。靠背设计具备完整的曲线弧度，能够紧密贴合并支撑成长中的学生背部脊椎，有效预防脊椎侧弯；座垫中间采用内凹漩涡设计，使学生臀部坐于凹陷处，从而分散上半身重量，完全符合人体工程学原理。座垫与靠背中间均采用圆形镂空设计，确保结构强度和良好的通风透气效果。座垫底部除两侧铁架支撑外，前后增加两根扁铁以增强座垫的整体支撑力。椅面规格：宽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×深370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。靠背规格：宽380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×高280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14、靠背与钢管结合方式，采用直插式，靠背设计有曲线弧度，靠背点以上应向后倾斜，与垂直面之间呈6-12度；座板前端有下凹设计，座板设计有通气孔，座面板后倾0-2度；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15、椅体钢架：采用椭圆形及D形冷轧钢管、方管亮光钢管组合焊接而成，管材壁厚不小于1.2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椭圆管，横拉管采用焊接工艺制作，调节管25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椭圆管。座板下加焊两根20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承重管，椅背管为22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眼镜管；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16、可调节课椅高度要求：共6个档位，每档20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，其中8-9号档位10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,符合国标X-X号高度；升降方式采用螺丝紧固调节，升降管外侧根据学生身高与使用高度对应标准印刷升降刻度，并可实时观测升降高度情况。</w:t>
            </w:r>
            <w:r/>
          </w:p>
        </w:tc>
      </w:tr>
      <w:tr>
        <w:trPr>
          <w:jc w:val="center"/>
          <w:trHeight w:val="6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侧墙书包柜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1、规格：8300*400*855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3、封边：采用同色PVC封边条封边，厚度≥1.0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4、五金配件：采用三合一连接件连接或五金组装螺丝组装；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5、每班长度</w:t>
            </w:r>
            <w:r>
              <w:rPr>
                <w:rFonts w:hint="eastAsia" w:ascii="宋体" w:hAnsi="宋体" w:cs="宋体"/>
                <w:i w:val="0"/>
                <w:iCs w:val="0"/>
                <w:color w:val="000000"/>
                <w:sz w:val="20"/>
                <w:szCs w:val="20"/>
                <w:highlight w:val="none"/>
                <w:u w:val="none"/>
                <w:lang w:val="en-US" w:eastAsia="zh-CN" w:bidi="ar"/>
              </w:rPr>
              <w:t xml:space="preserve">8300m</w:t>
            </w:r>
            <w:r>
              <w:rPr>
                <w:rFonts w:hint="eastAsia" w:ascii="宋体" w:hAnsi="宋体" w:eastAsia="宋体" w:cs="宋体"/>
                <w:i w:val="0"/>
                <w:iCs w:val="0"/>
                <w:color w:val="000000"/>
                <w:sz w:val="20"/>
                <w:szCs w:val="20"/>
                <w:highlight w:val="none"/>
                <w:u w:val="none"/>
                <w:lang w:val="en-US" w:eastAsia="zh-CN" w:bidi="ar"/>
              </w:rPr>
              <w:t xml:space="preserve">m，20格，共6个班；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hint="eastAsia" w:ascii="宋体" w:hAnsi="宋体" w:eastAsia="宋体" w:cs="宋体"/>
                <w:i w:val="0"/>
                <w:iCs w:val="0"/>
                <w:color w:val="000000"/>
                <w:sz w:val="20"/>
                <w:szCs w:val="20"/>
                <w:highlight w:val="none"/>
                <w:u w:val="none"/>
                <w:lang w:val="en-US" w:eastAsia="zh-CN" w:bidi="ar"/>
              </w:rPr>
              <w:t xml:space="preserve">                                                                                                                                                                                                                                                                </w:t>
            </w:r>
            <w:r/>
          </w:p>
        </w:tc>
      </w:tr>
      <w:tr>
        <w:trPr>
          <w:jc w:val="center"/>
          <w:trHeight w:val="79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立式书包柜</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51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1、规格：1200*300/400*2100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3、封边：采用同色PVC封边条封边，厚度≥1.0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4、五金配件：采用三合一连接件连接或五金组装螺丝组装，液压阻尼铰链；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hint="eastAsia" w:ascii="宋体" w:hAnsi="宋体" w:eastAsia="宋体" w:cs="宋体"/>
                <w:i w:val="0"/>
                <w:iCs w:val="0"/>
                <w:color w:val="000000"/>
                <w:sz w:val="20"/>
                <w:szCs w:val="20"/>
                <w:highlight w:val="none"/>
                <w:u w:val="none"/>
                <w:lang w:val="en-US" w:eastAsia="zh-CN" w:bidi="ar"/>
              </w:rPr>
              <w:t xml:space="preserve">                                                                                                                                                                                                                                                                </w:t>
            </w:r>
            <w:r/>
          </w:p>
        </w:tc>
      </w:tr>
      <w:tr>
        <w:trPr>
          <w:jc w:val="center"/>
          <w:trHeight w:val="68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1、规格：1400*600*760/1200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3、封边：采用同色PVC封边条封边，厚度≥1.0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4、屏风</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采用40款铝合金框架屏风；                                                               </w:t>
            </w:r>
            <w:r>
              <w:rPr>
                <w:rFonts w:hint="eastAsia" w:ascii="宋体" w:hAnsi="宋体" w:eastAsia="宋体" w:cs="宋体"/>
                <w:i w:val="0"/>
                <w:iCs w:val="0"/>
                <w:color w:val="000000"/>
                <w:sz w:val="20"/>
                <w:szCs w:val="20"/>
                <w:highlight w:val="none"/>
                <w:u w:val="none"/>
                <w:lang w:val="en-US" w:eastAsia="zh-CN" w:bidi="ar"/>
              </w:rPr>
              <w:t xml:space="preserve">                                                                                                                                                                                                                                     5、五金配件：采用三合一连接件连接或五金组装螺丝组装；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hint="eastAsia" w:ascii="宋体" w:hAnsi="宋体" w:eastAsia="宋体" w:cs="宋体"/>
                <w:i w:val="0"/>
                <w:iCs w:val="0"/>
                <w:color w:val="000000"/>
                <w:sz w:val="20"/>
                <w:szCs w:val="20"/>
                <w:highlight w:val="none"/>
                <w:u w:val="none"/>
                <w:lang w:val="en-US" w:eastAsia="zh-CN" w:bidi="ar"/>
              </w:rPr>
              <w:t xml:space="preserve">                                                                                                                                                                                                                                                                </w:t>
            </w:r>
            <w:r/>
          </w:p>
        </w:tc>
      </w:tr>
      <w:tr>
        <w:trPr>
          <w:jc w:val="center"/>
          <w:trHeight w:val="5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1、规格：1800*300*1800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3、封边：采用同色PVC封边条封边，厚度≥1.0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4、五金配件：采用三合一连接件连接或五金组装螺丝组装；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hint="eastAsia" w:ascii="宋体" w:hAnsi="宋体" w:eastAsia="宋体" w:cs="宋体"/>
                <w:i w:val="0"/>
                <w:iCs w:val="0"/>
                <w:color w:val="000000"/>
                <w:sz w:val="20"/>
                <w:szCs w:val="20"/>
                <w:highlight w:val="none"/>
                <w:u w:val="none"/>
                <w:lang w:val="en-US" w:eastAsia="zh-CN" w:bidi="ar"/>
              </w:rPr>
              <w:t xml:space="preserve">                                                                                                                                                                                                                                                                </w:t>
            </w:r>
            <w:r/>
          </w:p>
        </w:tc>
      </w:tr>
      <w:tr>
        <w:trPr>
          <w:jc w:val="center"/>
          <w:trHeight w:val="7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三抽柜-1</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466"/>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1、规格：400*500*660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3、封边：采用同色PVC封边条封边，厚度≥1.0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4、五金配件：采用三合一连接件连接或五金组装螺丝组装，阻尼三节静音滑轨；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5、配带锁定功能万向轮；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hint="eastAsia" w:ascii="宋体" w:hAnsi="宋体" w:eastAsia="宋体" w:cs="宋体"/>
                <w:i w:val="0"/>
                <w:iCs w:val="0"/>
                <w:color w:val="000000"/>
                <w:sz w:val="20"/>
                <w:szCs w:val="20"/>
                <w:highlight w:val="none"/>
                <w:u w:val="none"/>
                <w:lang w:val="en-US" w:eastAsia="zh-CN" w:bidi="ar"/>
              </w:rPr>
              <w:t xml:space="preserve">                                                                                                                                                                                                                                                                </w:t>
            </w:r>
            <w:r/>
          </w:p>
        </w:tc>
      </w:tr>
      <w:tr>
        <w:trPr>
          <w:jc w:val="center"/>
          <w:trHeight w:val="71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午休椅-5</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bottom"/>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1、规格：630*610*1160/1260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2、黑色联体头枕，全新PP尼龙加纤椅背；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3、腰靠3档顶腰多功能调节；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推背伸缩线控小气杆 倾仰最大角度175°；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5、面料采用特网、座包伸缩耐磨弹性布；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6、黑色连动尼龙扶手连接椅背和椅座；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7、椅座</w:t>
            </w:r>
            <w:r>
              <w:rPr>
                <w:rFonts w:hint="eastAsia" w:ascii="宋体" w:hAnsi="宋体" w:cs="宋体"/>
                <w:i w:val="0"/>
                <w:iCs w:val="0"/>
                <w:color w:val="000000"/>
                <w:sz w:val="20"/>
                <w:szCs w:val="20"/>
                <w:highlight w:val="none"/>
                <w:u w:val="none"/>
                <w:lang w:val="en-US" w:eastAsia="zh-CN" w:bidi="ar"/>
              </w:rPr>
              <w:t xml:space="preserve">15mm</w:t>
            </w:r>
            <w:r>
              <w:rPr>
                <w:rFonts w:hint="eastAsia" w:ascii="宋体" w:hAnsi="宋体" w:eastAsia="宋体" w:cs="宋体"/>
                <w:i w:val="0"/>
                <w:iCs w:val="0"/>
                <w:color w:val="000000"/>
                <w:sz w:val="20"/>
                <w:szCs w:val="20"/>
                <w:highlight w:val="none"/>
                <w:u w:val="none"/>
                <w:lang w:val="en-US" w:eastAsia="zh-CN" w:bidi="ar"/>
              </w:rPr>
              <w:t xml:space="preserve">厚全新木板和高弹性（定型海绵；）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厚加大方形底盘；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9、可拉伸265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行程脚托配可180度旋转脚踏；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10、100#沉口50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黑色4级气杆；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黑色大头尼龙五星脚；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12、∮38/60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PA黑色轮子。</w:t>
            </w:r>
            <w:r/>
          </w:p>
        </w:tc>
      </w:tr>
      <w:tr>
        <w:trPr>
          <w:jc w:val="center"/>
          <w:trHeight w:val="74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办公桌-6</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41"/>
              </w:numPr>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规格：1600*800*760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2、基材：采用中纤板，密度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0.65g/cm3；甲醛释放量及含水率等符合E1标准，经过防潮、防虫、防腐处理；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3、面材：采用胡桃木皮饰面，厚度不小于0.6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，五底三面工艺，油漆附着力大于2级，色泽均匀，喷涂面漆平整无颗粒、气泡、渣点，耐磨；色泽美观、不变色、光滑耐磨、手感好，杜绝出现鼓包、脱漆等不良现象；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5、五金配件：所有五金配件均做防腐、防锈处理</w:t>
            </w:r>
            <w:r>
              <w:rPr>
                <w:rFonts w:hint="eastAsia" w:ascii="宋体" w:hAnsi="宋体" w:cs="宋体"/>
                <w:i w:val="0"/>
                <w:iCs w:val="0"/>
                <w:color w:val="000000"/>
                <w:sz w:val="20"/>
                <w:szCs w:val="20"/>
                <w:highlight w:val="none"/>
                <w:u w:val="none"/>
                <w:lang w:val="en-US" w:eastAsia="zh-CN" w:bidi="ar"/>
              </w:rPr>
              <w:t xml:space="preserve">；</w:t>
            </w:r>
            <w:r/>
          </w:p>
          <w:p>
            <w:pPr>
              <w:pStyle w:val="1000"/>
              <w:ind w:left="0" w:firstLine="0"/>
              <w:rPr>
                <w:rFonts w:ascii="Calibri" w:hAnsi="Calibri" w:eastAsia="Calibri" w:cs="宋体"/>
                <w:color w:val="000000"/>
                <w:sz w:val="20"/>
                <w:szCs w:val="22"/>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6、款式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副柜-5</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1、规格：1180*400*660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2、基材：采用中纤板，密度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0.65g/cm3；甲醛释放量及含水率等符合E1标准，经过防潮、防虫、防腐处理；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3、面材：采用胡桃木皮饰面，厚度不小于0.6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，五底三面工艺，油漆附着力大于2级，色泽均匀，喷涂面漆平整无颗粒、气泡、渣点，耐磨；色泽美观、不变色、光滑耐磨、手感好，杜绝出现鼓包、脱漆等不良现象；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5、五金配件：所有五金配件均做防腐、防锈处理，液压阻尼铰链，阻尼三节静音滑轨</w:t>
            </w:r>
            <w:r>
              <w:rPr>
                <w:rFonts w:hint="eastAsia" w:ascii="宋体" w:hAnsi="宋体" w:cs="宋体"/>
                <w:i w:val="0"/>
                <w:iCs w:val="0"/>
                <w:color w:val="000000"/>
                <w:sz w:val="20"/>
                <w:szCs w:val="20"/>
                <w:highlight w:val="none"/>
                <w:u w:val="none"/>
                <w:lang w:val="en-US" w:eastAsia="zh-CN" w:bidi="ar"/>
              </w:rPr>
              <w:t xml:space="preserve">；                                                         6、款式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9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三抽柜-2</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1、规格：400*500*660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2、基材：采用中纤板，密度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0.65g/cm3；甲醛释放量及含水率等符合E1标准，经过防潮、防虫、防腐处理；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3、面材：采用胡桃木皮饰面，厚度不小于0.6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，五底三面工艺，油漆附着力大于2级，色泽均匀，喷涂面漆平整无颗粒、气泡、渣点，耐磨；色泽美观、不变色、光滑耐磨、手感好，杜绝出现鼓包、脱漆等不良现象；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5、五金配件：所有五金配件均做防腐、防锈处理，阻尼三节静音滑轨</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6、配带锁定功能万向轮</w:t>
            </w:r>
            <w:r>
              <w:rPr>
                <w:rFonts w:hint="eastAsia" w:ascii="宋体" w:hAnsi="宋体" w:cs="宋体"/>
                <w:i w:val="0"/>
                <w:iCs w:val="0"/>
                <w:color w:val="000000"/>
                <w:sz w:val="20"/>
                <w:szCs w:val="20"/>
                <w:highlight w:val="none"/>
                <w:u w:val="none"/>
                <w:lang w:val="en-US" w:eastAsia="zh-CN" w:bidi="ar"/>
              </w:rPr>
              <w:t xml:space="preserve">；                                           7、款式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hint="eastAsia" w:ascii="宋体" w:hAnsi="宋体" w:cs="宋体"/>
                <w:i w:val="0"/>
                <w:iCs w:val="0"/>
                <w:color w:val="000000"/>
                <w:sz w:val="20"/>
                <w:szCs w:val="20"/>
                <w:highlight w:val="none"/>
                <w:u w:val="none"/>
                <w:lang w:val="en-US" w:eastAsia="zh-CN" w:bidi="ar"/>
              </w:rPr>
              <w:t xml:space="preserve">     </w:t>
            </w:r>
            <w:r/>
          </w:p>
        </w:tc>
      </w:tr>
      <w:tr>
        <w:trPr>
          <w:jc w:val="center"/>
          <w:trHeight w:val="7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午休椅-6</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1、规格：500*600*1120/1200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2、面料：采用优质西皮，防磨防污性好，颜色可选；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3、辅料：高弹力聚氨脂海绵，密度≥35#.可防氧化.防碎，软硬适中，回弹性良好，不易变形；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4、气杆：采用100#喷涂气杆，厚度2.0；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5、底盘：2.0厚中班蝴蝶底盘；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6、椅脚：复合料一体注塑成型320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尼龙五星脚；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7、椅轮：50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PA料，万向转动顺畅。</w:t>
            </w:r>
            <w:r/>
          </w:p>
        </w:tc>
      </w:tr>
      <w:tr>
        <w:trPr>
          <w:jc w:val="center"/>
          <w:trHeight w:val="570"/>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191</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茶水柜-3</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42"/>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516255</wp:posOffset>
                      </wp:positionH>
                      <wp:positionV relativeFrom="paragraph">
                        <wp:posOffset>0</wp:posOffset>
                      </wp:positionV>
                      <wp:extent cx="206375" cy="264795"/>
                      <wp:effectExtent l="0" t="0" r="0" b="0"/>
                      <wp:wrapNone/>
                      <wp:docPr id="71" name="图片 71"/>
                      <wp:cNvGraphicFramePr/>
                      <a:graphic xmlns:a="http://schemas.openxmlformats.org/drawingml/2006/main">
                        <a:graphicData uri="http://schemas.openxmlformats.org/drawingml/2006/picture">
                          <pic:pic xmlns:pic="http://schemas.openxmlformats.org/drawingml/2006/picture">
                            <pic:nvPicPr>
                              <pic:cNvPr id="71" name="图片 71"/>
                              <pic:cNvPicPr/>
                              <pic:nvPr/>
                            </pic:nvPicPr>
                            <pic:blipFill>
                              <a:blip r:embed="rId15"/>
                              <a:stretch/>
                            </pic:blipFill>
                            <pic:spPr bwMode="auto">
                              <a:xfrm>
                                <a:off x="0" y="0"/>
                                <a:ext cx="206375" cy="264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0288;o:allowoverlap:true;o:allowincell:true;mso-position-horizontal-relative:text;margin-left:40.6pt;mso-position-horizontal:absolute;mso-position-vertical-relative:text;margin-top:0.0pt;mso-position-vertical:absolute;width:16.2pt;height:2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516255</wp:posOffset>
                      </wp:positionH>
                      <wp:positionV relativeFrom="paragraph">
                        <wp:posOffset>0</wp:posOffset>
                      </wp:positionV>
                      <wp:extent cx="206375" cy="264795"/>
                      <wp:effectExtent l="0" t="0" r="0" b="0"/>
                      <wp:wrapNone/>
                      <wp:docPr id="72" name="图片 72"/>
                      <wp:cNvGraphicFramePr/>
                      <a:graphic xmlns:a="http://schemas.openxmlformats.org/drawingml/2006/main">
                        <a:graphicData uri="http://schemas.openxmlformats.org/drawingml/2006/picture">
                          <pic:pic xmlns:pic="http://schemas.openxmlformats.org/drawingml/2006/picture">
                            <pic:nvPicPr>
                              <pic:cNvPr id="72" name="图片 72"/>
                              <pic:cNvPicPr/>
                              <pic:nvPr/>
                            </pic:nvPicPr>
                            <pic:blipFill>
                              <a:blip r:embed="rId15"/>
                              <a:stretch/>
                            </pic:blipFill>
                            <pic:spPr bwMode="auto">
                              <a:xfrm>
                                <a:off x="0" y="0"/>
                                <a:ext cx="206375" cy="264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0288;o:allowoverlap:true;o:allowincell:true;mso-position-horizontal-relative:text;margin-left:40.6pt;mso-position-horizontal:absolute;mso-position-vertical-relative:text;margin-top:0.0pt;mso-position-vertical:absolute;width:16.2pt;height:2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规格：800*400*900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3、封边：采用PVC同色封边条封边，厚度≥1.0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p>
          <w:p>
            <w:pPr>
              <w:pStyle w:val="1000"/>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587"/>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教师办公桌-4</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43"/>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规格：1400*600*760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2、材质：采用橡胶木指接板，桌面厚度≥25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，所有板边倒圆角、圆边，板面光滑，无毛刺；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，三底两面工艺，清晰体现实木质感，表面平整、光洁、无气泡、无颗粒、无裂缝；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4、结构：左侧上部抽屉，下部单门，中间抽屉，右侧三个抽屉；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p>
          <w:p>
            <w:pPr>
              <w:pStyle w:val="1000"/>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74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午休椅-7</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914"/>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bottom"/>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1、规格：650*610*1155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2、面料：采用网布面料，防磨防污性好；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3、辅料：采用优于或等于35#高密度、高弹力聚氨脂海绵，可防氧化、防碎，软硬适中，回弹性良好，不易变形；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4、塑料：采用尼龙塑料，抗拉性高，一次性型；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5、功能：可躺90°-140°，靠背任意角度锁定；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6、气杆：采用100#下沉5喷涂SGS认证气杆，厚度2.5；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7、底盘：蝴蝶底盘无极档锁定；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8、尼龙高脚，静压测试可达1450KG。</w:t>
            </w:r>
            <w:r/>
          </w:p>
        </w:tc>
      </w:tr>
      <w:tr>
        <w:trPr>
          <w:jc w:val="center"/>
          <w:trHeight w:val="65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活动办公桌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1、规格：1200*600*754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3、封边：采用PVC同色封边条封边，厚度≥1.0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4、前挡板：采用钢架材质，防锈静电喷涂处理；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5、桌脚：采用高精度冷轧钢管而成，壁厚是1.5T牢固耐用，抗变型；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6、书网：采用</w:t>
            </w:r>
            <w:r>
              <w:rPr>
                <w:rStyle w:val="1056"/>
                <w:color w:val="000000"/>
                <w:highlight w:val="none"/>
                <w:lang w:val="en-US" w:eastAsia="zh-CN" w:bidi="ar"/>
              </w:rPr>
              <w:t xml:space="preserve">φ14mm圆管 (厚度为1.0mm)经注塑塑料件与圆管组合成型表面采用防锈静电喷涂处理；</w:t>
            </w:r>
            <w:r>
              <w:rPr>
                <w:rStyle w:val="1056"/>
                <w:color w:val="000000"/>
                <w:highlight w:val="none"/>
                <w:lang w:val="en-US" w:eastAsia="zh-CN" w:bidi="ar"/>
              </w:rPr>
              <w:br w:type="textWrapping" w:clear="all"/>
            </w:r>
            <w:r>
              <w:rPr>
                <w:rStyle w:val="1056"/>
                <w:color w:val="000000"/>
                <w:highlight w:val="none"/>
                <w:lang w:val="en-US" w:eastAsia="zh-CN" w:bidi="ar"/>
              </w:rPr>
              <w:t xml:space="preserve">7、轮子：采用增强尼龙为基材，不易损坏，移动杂音小，耐磨性大；</w:t>
            </w:r>
            <w:r>
              <w:rPr>
                <w:rStyle w:val="1056"/>
                <w:color w:val="000000"/>
                <w:highlight w:val="none"/>
                <w:lang w:val="en-US" w:eastAsia="zh-CN" w:bidi="ar"/>
              </w:rPr>
              <w:br w:type="textWrapping" w:clear="all"/>
            </w:r>
            <w:r>
              <w:rPr>
                <w:rStyle w:val="1056"/>
                <w:color w:val="000000"/>
                <w:highlight w:val="none"/>
                <w:lang w:val="en-US" w:eastAsia="zh-CN" w:bidi="ar"/>
              </w:rPr>
              <w:t xml:space="preserve">8、五金配件：采用三合一连接件连接或五金组装螺丝组装；</w:t>
            </w:r>
            <w:r>
              <w:rPr>
                <w:rStyle w:val="1056"/>
                <w:color w:val="000000"/>
                <w:highlight w:val="none"/>
                <w:lang w:val="en-US" w:eastAsia="zh-CN" w:bidi="ar"/>
              </w:rPr>
              <w:br w:type="textWrapping" w:clear="all"/>
            </w:r>
            <w:r>
              <w:rPr>
                <w:rStyle w:val="1056"/>
                <w:color w:val="000000"/>
                <w:highlight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5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弓形椅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1、规格：605*695*1020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2、椅背：采用PP背框，腰靠装饰件，同背框一体出模；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3、椅座：采用60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切割棉；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4、扶手：采用PP固定扶手；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5、椅脚：黑色框采用</w:t>
            </w:r>
            <w:r>
              <w:rPr>
                <w:rStyle w:val="1056"/>
                <w:color w:val="000000"/>
                <w:highlight w:val="none"/>
                <w:lang w:val="en-US" w:eastAsia="zh-CN" w:bidi="ar"/>
              </w:rPr>
              <w:t xml:space="preserve">φ 25*2mm铁哑黑弓形架，灰色框采用φ 25*2mm灰色喷涂弓形架；</w:t>
            </w:r>
            <w:r>
              <w:rPr>
                <w:rStyle w:val="1056"/>
                <w:color w:val="000000"/>
                <w:highlight w:val="none"/>
                <w:lang w:val="en-US" w:eastAsia="zh-CN" w:bidi="ar"/>
              </w:rPr>
              <w:br w:type="textWrapping" w:clear="all"/>
            </w:r>
            <w:r>
              <w:rPr>
                <w:rStyle w:val="1056"/>
                <w:color w:val="000000"/>
                <w:highlight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45"/>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196</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教师操作台</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44"/>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规格：1600*800*760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2、材质：采用橡胶木指接板，厚度≥25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，所有板边倒圆角、圆边，板面光滑，无毛刺；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，清晰体现实木质感，表面平整、光洁、无气泡、无颗粒、无裂缝；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p>
          <w:p>
            <w:pPr>
              <w:pStyle w:val="1000"/>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570"/>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197</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教师上课椅</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664"/>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1、规格：600*580*970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2、面料：采用网布面料，防磨防污性好；颜色可选；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3、海绵：采用高弹力聚氨脂海绵，防氧化.防碎，软硬适中，回弹性良好，不易变形；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4、塑料：采用尼龙塑料，抗拉性高，一次性成型；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5、底盘：采用蝴蝶底盘；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6、椅脚：一体成型尼龙五星脚；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71"/>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198</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计算机桌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45"/>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规格：1200*600*760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2、桌面：采用材质为橡胶木指接板，厚度≥25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，所有板边倒圆角、圆边，板面光滑，无毛刺；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，清晰体现实木质感，表面平整、光洁、无气泡、无颗粒、无裂缝；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p>
          <w:p>
            <w:pPr>
              <w:pStyle w:val="1000"/>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22"/>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199</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计算机凳</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46"/>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规格：350*250*440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2、凳面：采用材质为橡胶木指接板，凳面厚度≥25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3、凳架：方腿，规格28*35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，横拉档22*30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4、五金配件：采用三合一连接件连接或五金组装螺丝组装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p>
          <w:p>
            <w:pPr>
              <w:pStyle w:val="1000"/>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588"/>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200</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可组合会议桌</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numPr>
                <w:ilvl w:val="0"/>
                <w:numId w:val="47"/>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规格：800*600*754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3、封边：采用PVC同色封边条封边，厚度≥1.0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4、桌架：采用钢架材质，壁厚≥1.0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，经酸洗磷化处理，表面喷塑处理；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5、带锁定功能万向轮；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p>
          <w:p>
            <w:pPr>
              <w:pStyle w:val="1000"/>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7、</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jc w:val="center"/>
          <w:trHeight w:val="613"/>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201</w:t>
            </w:r>
            <w:r/>
          </w:p>
        </w:tc>
        <w:tc>
          <w:tcPr>
            <w:tcW w:w="798" w:type="dxa"/>
            <w:vAlign w:val="center"/>
            <w:vMerge w:val="restart"/>
            <w:textDirection w:val="lrTb"/>
            <w:noWrap w:val="false"/>
          </w:tcPr>
          <w:p>
            <w:pPr>
              <w:ind w:left="220" w:hanging="220"/>
              <w:jc w:val="both"/>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分体式空调1.5P（壁挂式）</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1、全年能源消耗效率(APF)值满足国家标准能效变频一级及以上标准(提供中国能效标识)；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2、制冷量≥3510W；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3、制热量≥5020W；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4、额定制冷功率≤840W；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5、额定制热功率≤1240W；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6、室内机最高噪音≤41dB；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7、循环风量≥800m³/h；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8、室内机最低噪音≤16dB；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9、室外机最高噪音≤51dB；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10、电辅热≤1000W；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11、自清洁功能。</w:t>
            </w:r>
            <w:r/>
          </w:p>
        </w:tc>
      </w:tr>
      <w:tr>
        <w:trPr>
          <w:jc w:val="center"/>
          <w:trHeight w:val="55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202</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分体式空调2P（壁挂式）</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75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1、全年能源消耗效率(APF)值满足国家标准能效变频一级及以上标准(提供中国能效标识)；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2、制冷量≥5050W；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3、制热量≥7250W；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4、额定制冷功率≤1220W；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5、额定制热功率≤1850W；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6、室内机最高噪音≤43dB；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7、循环风量≥1000m³/h；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8、室内机最低噪音≤21dB；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9、室外机最高噪音≤53dB；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10、电辅热≤1000W；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11、自清洁功能。</w:t>
            </w:r>
            <w:r/>
          </w:p>
        </w:tc>
      </w:tr>
      <w:tr>
        <w:trPr>
          <w:jc w:val="center"/>
          <w:trHeight w:val="489"/>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203</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分体式空调3P（壁挂式）</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1、全年能源消耗效率(APF)值满足国家标准能效变频一级及以上标准(提供中国能效标识)；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2、制冷量≥7300W；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3、制热量≥9800W；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4、额定制冷功率≤1940W；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5、额定制热功率≤2890W；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6、室内机最高噪音≤47dB；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7、循环风量≥1400m³/h；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8、室内机最低噪音≤21dB；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9、室外机最高噪音≤56dB；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10、电辅热≤1400W；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11、自清洁功能。</w:t>
            </w:r>
            <w:r/>
          </w:p>
        </w:tc>
      </w:tr>
      <w:tr>
        <w:trPr>
          <w:jc w:val="center"/>
          <w:trHeight w:val="620"/>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204</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分体式空调3P（柜式）</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240"/>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1、全年能源消耗效率(APF)值满足国家标准能效变频一级及以上标准(提供中国能效标识)；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2、制冷量≥7400W；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3、制热量≥10000W；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4、额定制冷功率≤1950W；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5、额定制热功率≤2850W；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6、室内机最高噪音≤47dB；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7、循环风量≥1600m³/h；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8、室内机最低噪音≤20dB；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9、室外机最高噪音≤56dB；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10、电辅热≤2400W；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11、自清洁功能。</w:t>
            </w:r>
            <w:r/>
          </w:p>
        </w:tc>
      </w:tr>
      <w:tr>
        <w:trPr>
          <w:jc w:val="center"/>
          <w:trHeight w:val="464"/>
        </w:trPr>
        <w:tc>
          <w:tcPr>
            <w:tcW w:w="368" w:type="dxa"/>
            <w:vAlign w:val="center"/>
            <w:vMerge w:val="restart"/>
            <w:textDirection w:val="lrTb"/>
            <w:noWrap w:val="false"/>
          </w:tcPr>
          <w:p>
            <w:pPr>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205</w:t>
            </w:r>
            <w:r/>
          </w:p>
        </w:tc>
        <w:tc>
          <w:tcPr>
            <w:tcW w:w="798" w:type="dxa"/>
            <w:vAlign w:val="center"/>
            <w:vMerge w:val="restart"/>
            <w:textDirection w:val="lrTb"/>
            <w:noWrap w:val="false"/>
          </w:tcPr>
          <w:p>
            <w:pPr>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分体式空调5P（柜式）</w:t>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p>
        </w:tc>
        <w:tc>
          <w:tcPr>
            <w:tcW w:w="3128" w:type="dxa"/>
            <w:vAlign w:val="center"/>
            <w:textDirection w:val="lrTb"/>
            <w:noWrap w:val="false"/>
          </w:tcPr>
          <w:p>
            <w:pPr>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p>
        </w:tc>
      </w:tr>
      <w:tr>
        <w:trPr>
          <w:jc w:val="center"/>
          <w:trHeight w:val="1541"/>
        </w:trPr>
        <w:tc>
          <w:tcPr>
            <w:tcW w:w="368" w:type="dxa"/>
            <w:vAlign w:val="top"/>
            <w:vMerge w:val="continue"/>
            <w:textDirection w:val="lrTb"/>
            <w:noWrap w:val="false"/>
          </w:tcPr>
          <w:p>
            <w:pPr>
              <w:jc w:val="center"/>
              <w:widowControl/>
              <w:rPr>
                <w:color w:val="000000"/>
                <w:highlight w:val="none"/>
              </w:rPr>
            </w:pPr>
            <w:r>
              <w:rPr>
                <w:color w:val="000000"/>
                <w:highlight w:val="none"/>
              </w:rPr>
            </w:r>
            <w:r/>
          </w:p>
        </w:tc>
        <w:tc>
          <w:tcPr>
            <w:tcW w:w="798" w:type="dxa"/>
            <w:vAlign w:val="top"/>
            <w:vMerge w:val="continue"/>
            <w:textDirection w:val="lrTb"/>
            <w:noWrap w:val="false"/>
          </w:tcPr>
          <w:p>
            <w:pPr>
              <w:jc w:val="center"/>
              <w:widowControl/>
              <w:rPr>
                <w:color w:val="000000"/>
                <w:highlight w:val="none"/>
              </w:rPr>
            </w:pPr>
            <w:r>
              <w:rPr>
                <w:color w:val="000000"/>
                <w:highlight w:val="none"/>
              </w:rPr>
            </w:r>
            <w:r/>
          </w:p>
        </w:tc>
        <w:tc>
          <w:tcPr>
            <w:tcW w:w="705"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p>
        </w:tc>
        <w:tc>
          <w:tcPr>
            <w:tcW w:w="3128" w:type="dxa"/>
            <w:vAlign w:val="center"/>
            <w:textDirection w:val="lrTb"/>
            <w:noWrap w:val="false"/>
          </w:tcPr>
          <w:p>
            <w:pPr>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p>
          <w:p>
            <w:p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1、全年能源消耗效率(APF)值满足国家标准能效变频一级及以上标准(提供中国能效标识)；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2、制冷量≥12500W；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3、制热量≥13800W；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4、额定制冷功率≤4300W；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5、额定制热功率≤4100W；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6、室内机最高噪音≤51dB；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7、循环风量≥2100m³/h；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8、室内机最低噪音≤39dB；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9、室外机最高噪音≤59dB；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10、电辅热≤3500W；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11、自清洁功能。</w:t>
            </w:r>
            <w:r/>
          </w:p>
        </w:tc>
      </w:tr>
    </w:tbl>
    <w:p>
      <w:pPr>
        <w:ind w:firstLine="480"/>
        <w:rPr>
          <w:rFonts w:hint="eastAsia" w:ascii="宋体" w:hAnsi="宋体" w:eastAsia="宋体" w:cs="宋体"/>
          <w:color w:val="000000"/>
          <w:sz w:val="24"/>
          <w:szCs w:val="24"/>
          <w:highlight w:val="none"/>
          <w:lang w:val="en-US" w:eastAsia="zh-CN"/>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其他技术要求</w:t>
      </w:r>
      <w:r>
        <w:rPr>
          <w:rFonts w:hint="eastAsia" w:ascii="宋体" w:hAnsi="宋体" w:eastAsia="宋体" w:cs="宋体"/>
          <w:color w:val="000000"/>
          <w:sz w:val="24"/>
          <w:szCs w:val="24"/>
          <w:highlight w:val="none"/>
          <w:lang w:eastAsia="zh-CN"/>
        </w:rPr>
        <w:t xml:space="preserve">：产品技术要求序号</w:t>
      </w:r>
      <w:r>
        <w:rPr>
          <w:rFonts w:hint="eastAsia" w:ascii="宋体" w:hAnsi="宋体" w:eastAsia="宋体" w:cs="宋体"/>
          <w:color w:val="000000"/>
          <w:sz w:val="24"/>
          <w:szCs w:val="24"/>
          <w:highlight w:val="none"/>
          <w:lang w:val="en-US" w:eastAsia="zh-CN"/>
        </w:rPr>
        <w:t xml:space="preserve">201-205项，该产品为政府强制采购节能产品，</w:t>
      </w:r>
      <w:r>
        <w:rPr>
          <w:rFonts w:hint="eastAsia" w:ascii="宋体" w:hAnsi="宋体" w:eastAsia="宋体" w:cs="宋体"/>
          <w:color w:val="000000"/>
          <w:sz w:val="24"/>
          <w:szCs w:val="24"/>
          <w:highlight w:val="none"/>
        </w:rPr>
        <w:t xml:space="preserve">供应商中标后，</w:t>
      </w:r>
      <w:r>
        <w:rPr>
          <w:rFonts w:hint="eastAsia" w:ascii="宋体" w:hAnsi="宋体" w:eastAsia="宋体" w:cs="宋体"/>
          <w:color w:val="000000"/>
          <w:sz w:val="24"/>
          <w:szCs w:val="24"/>
          <w:highlight w:val="none"/>
          <w:lang w:val="en-US" w:eastAsia="zh-CN"/>
        </w:rPr>
        <w:t xml:space="preserve">签订合同时提供国家确定的认证机构出具的处于有效期之内的节能产品认证证书。</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）供应商的任何错漏、优惠、竞争性报价不得作为减轻责任、减少服务、增加收费、降低服务质量的理由。</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p>
    <w:p>
      <w:pPr>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供应商提供设备安装日程计划。 </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原材料及辅材应符合国家规定的强制性环保指标。油漆采用“</w:t>
      </w:r>
      <w:r>
        <w:rPr>
          <w:rFonts w:hint="eastAsia" w:ascii="宋体" w:hAnsi="宋体" w:cs="宋体"/>
          <w:color w:val="000000"/>
          <w:sz w:val="24"/>
          <w:szCs w:val="24"/>
          <w:highlight w:val="none"/>
          <w:lang w:val="en-US" w:eastAsia="zh-CN"/>
        </w:rPr>
        <w:t xml:space="preserve">五底三面</w:t>
      </w:r>
      <w:r>
        <w:rPr>
          <w:rFonts w:hint="eastAsia" w:ascii="宋体" w:hAnsi="宋体" w:cs="宋体"/>
          <w:color w:val="000000"/>
          <w:sz w:val="24"/>
          <w:szCs w:val="24"/>
          <w:highlight w:val="none"/>
        </w:rPr>
        <w:t xml:space="preserve">”工艺。所有家具需进行圆边圆角设计，外表面和内表面以及手指可触及的隐蔽处，均不得有锐利的棱角、毛刺。</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pStyle w:val="1045"/>
        <w:ind w:left="0" w:firstLine="480"/>
        <w:spacing w:after="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3 \* GB3 \* MERGEFORMAT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供应商所提供的产品，应在验收小组验收之前，向采购人提交响应产品的合格证或产品合格证明等支撑产品质量的资料。</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（3）安全施工要求</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（4）验收要求</w:t>
      </w:r>
      <w:r/>
    </w:p>
    <w:p>
      <w:pPr>
        <w:ind w:firstLine="480"/>
        <w:rPr>
          <w:rFonts w:ascii="宋体" w:hAnsi="宋体" w:cs="宋体"/>
          <w:bCs/>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bCs/>
          <w:color w:val="000000"/>
          <w:sz w:val="24"/>
          <w:szCs w:val="24"/>
          <w:highlight w:val="none"/>
        </w:rPr>
        <w:t xml:space="preserve">施工过程管理与记录：</w:t>
      </w:r>
      <w:r/>
    </w:p>
    <w:p>
      <w:pPr>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施工前、中、后须分别拍摄水印照片并放入竣工文档；施工资料及竣工文档将作为最终验收与决算依据。</w:t>
      </w:r>
      <w:r/>
    </w:p>
    <w:p>
      <w:pPr>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②变更处理机制：</w:t>
      </w:r>
      <w:r/>
    </w:p>
    <w:p>
      <w:pPr>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所有变更须由供应商提交书面申请，经学校与区装备中心联合审批后执行。变更流程必须符合招标采购的有关制度。</w:t>
      </w:r>
      <w:r/>
    </w:p>
    <w:p>
      <w:pPr>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③</w:t>
      </w:r>
      <w:r>
        <w:rPr>
          <w:rFonts w:hint="eastAsia" w:ascii="宋体" w:hAnsi="宋体" w:cs="宋体"/>
          <w:color w:val="000000"/>
          <w:sz w:val="24"/>
          <w:szCs w:val="24"/>
          <w:highlight w:val="none"/>
        </w:rPr>
        <w:t xml:space="preserve">供应商提交的货物由采购人（或委托第三方专业机构）负责检测、验收。不合格的，供应商必须免费整改直至合格为止。</w:t>
      </w:r>
      <w:r/>
    </w:p>
    <w:p>
      <w:pPr>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 4 \* GB3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w:t xml:space="preserve">④</w:t>
      </w:r>
      <w:r>
        <w:rPr>
          <w:rFonts w:hint="eastAsia" w:ascii="宋体" w:hAnsi="宋体" w:cs="宋体"/>
          <w:bCs/>
          <w:color w:val="000000"/>
          <w:sz w:val="24"/>
          <w:szCs w:val="24"/>
          <w:highlight w:val="none"/>
        </w:rPr>
        <w:fldChar w:fldCharType="end"/>
      </w:r>
      <w:r>
        <w:rPr>
          <w:rFonts w:hint="eastAsia" w:ascii="宋体" w:hAnsi="宋体" w:cs="宋体"/>
          <w:b w:val="0"/>
          <w:bCs w:val="0"/>
          <w:i w:val="0"/>
          <w:iCs w:val="0"/>
          <w:color w:val="000000"/>
          <w:sz w:val="24"/>
          <w:szCs w:val="24"/>
          <w:highlight w:val="none"/>
        </w:rPr>
        <w:t xml:space="preserve">家具安装完毕后，供应商主动配合采购人组织的验收小组进行验收，</w:t>
      </w:r>
      <w:r>
        <w:rPr>
          <w:rFonts w:hint="eastAsia" w:ascii="宋体" w:hAnsi="宋体" w:cs="宋体"/>
          <w:color w:val="000000"/>
          <w:sz w:val="24"/>
          <w:szCs w:val="24"/>
          <w:highlight w:val="none"/>
        </w:rPr>
        <w:t xml:space="preserve">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 5 \* GB3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w:t xml:space="preserve">⑤</w:t>
      </w:r>
      <w:r>
        <w:rPr>
          <w:rFonts w:hint="eastAsia" w:ascii="宋体" w:hAnsi="宋体" w:cs="宋体"/>
          <w:bCs/>
          <w:color w:val="000000"/>
          <w:sz w:val="24"/>
          <w:szCs w:val="24"/>
          <w:highlight w:val="none"/>
        </w:rPr>
        <w:fldChar w:fldCharType="end"/>
      </w:r>
      <w:r>
        <w:rPr>
          <w:rFonts w:hint="eastAsia" w:ascii="宋体" w:hAnsi="宋体" w:cs="宋体"/>
          <w:color w:val="000000"/>
          <w:sz w:val="24"/>
          <w:szCs w:val="24"/>
          <w:highlight w:val="none"/>
          <w:lang w:val="en-US" w:eastAsia="zh-CN"/>
        </w:rPr>
        <w:t xml:space="preserve">对交付质量有异议的货物，</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val="en-US" w:eastAsia="zh-CN"/>
        </w:rPr>
        <w:t xml:space="preserve">可</w:t>
      </w:r>
      <w:r>
        <w:rPr>
          <w:rFonts w:hint="eastAsia" w:ascii="宋体" w:hAnsi="宋体" w:cs="宋体"/>
          <w:color w:val="000000"/>
          <w:sz w:val="24"/>
          <w:szCs w:val="24"/>
          <w:highlight w:val="none"/>
        </w:rPr>
        <w:t xml:space="preserve">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w:t>
      </w:r>
      <w:r>
        <w:rPr>
          <w:rFonts w:hint="eastAsia" w:ascii="宋体" w:hAnsi="宋体" w:cs="宋体"/>
          <w:color w:val="000000"/>
          <w:sz w:val="24"/>
          <w:szCs w:val="24"/>
          <w:highlight w:val="none"/>
          <w:lang w:val="en-US" w:eastAsia="zh-CN"/>
        </w:rPr>
        <w:t xml:space="preserve">等和本项目有关的费用</w:t>
      </w:r>
      <w:r>
        <w:rPr>
          <w:rFonts w:hint="eastAsia" w:ascii="宋体" w:hAnsi="宋体" w:cs="宋体"/>
          <w:color w:val="000000"/>
          <w:sz w:val="24"/>
          <w:szCs w:val="24"/>
          <w:highlight w:val="none"/>
        </w:rPr>
        <w:t xml:space="preserve">由中标供应商支付）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抽取样品时，供应商代表、检测中心专业人员、采购人代表三方同时在场的情况下方可进行，否则进行的检测视为无效；检测数据</w:t>
      </w:r>
      <w:r>
        <w:rPr>
          <w:rFonts w:hint="eastAsia" w:ascii="宋体" w:hAnsi="宋体" w:cs="宋体"/>
          <w:color w:val="000000"/>
          <w:sz w:val="24"/>
          <w:szCs w:val="24"/>
          <w:highlight w:val="none"/>
          <w:lang w:val="en-US" w:eastAsia="zh-CN"/>
        </w:rPr>
        <w:t xml:space="preserve">由</w:t>
      </w:r>
      <w:r>
        <w:rPr>
          <w:rFonts w:hint="eastAsia" w:ascii="宋体" w:hAnsi="宋体" w:cs="宋体"/>
          <w:color w:val="000000"/>
          <w:sz w:val="24"/>
          <w:szCs w:val="24"/>
          <w:highlight w:val="none"/>
        </w:rPr>
        <w:t xml:space="preserve">具有相应资质的第三方检测机构出具；如检测不合格，供应商对相关项目无条件进行整改，若二次验收不合格，采购人有权退货，由此造成</w:t>
      </w:r>
      <w:r>
        <w:rPr>
          <w:rFonts w:hint="eastAsia" w:ascii="宋体" w:hAnsi="宋体" w:cs="宋体"/>
          <w:color w:val="000000"/>
          <w:sz w:val="24"/>
          <w:szCs w:val="24"/>
          <w:highlight w:val="none"/>
          <w:lang w:eastAsia="zh-CN"/>
        </w:rPr>
        <w:t xml:space="preserve">的</w:t>
      </w:r>
      <w:r>
        <w:rPr>
          <w:rFonts w:hint="eastAsia" w:ascii="宋体" w:hAnsi="宋体" w:cs="宋体"/>
          <w:color w:val="000000"/>
          <w:sz w:val="24"/>
          <w:szCs w:val="24"/>
          <w:highlight w:val="none"/>
        </w:rPr>
        <w:t xml:space="preserve">一切损失均由供应商承担。采购人在此期间保留对供应商的索赔权利。</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（5）质保（维保）及售后要求</w:t>
      </w:r>
      <w:r/>
    </w:p>
    <w:p>
      <w:pPr>
        <w:ind w:firstLine="480"/>
        <w:rPr>
          <w:color w:val="000000"/>
          <w:sz w:val="24"/>
          <w:szCs w:val="24"/>
          <w:highlight w:val="none"/>
        </w:rPr>
      </w:pPr>
      <w:r>
        <w:rPr>
          <w:color w:val="000000"/>
          <w:sz w:val="24"/>
          <w:szCs w:val="24"/>
          <w:highlight w:val="none"/>
        </w:rPr>
        <w:t xml:space="preserve">①</w:t>
      </w:r>
      <w:r>
        <w:rPr>
          <w:rFonts w:hint="eastAsia" w:ascii="Times New Roman" w:hAnsi="Times New Roman" w:eastAsia="宋体" w:cs="Times New Roman"/>
          <w:color w:val="000000"/>
          <w:sz w:val="24"/>
          <w:szCs w:val="24"/>
          <w:highlight w:val="none"/>
          <w:lang w:val="en-US" w:eastAsia="zh-CN"/>
        </w:rPr>
        <w:t xml:space="preserve">本项目整体木器类质保</w:t>
      </w:r>
      <w:r>
        <w:rPr>
          <w:rFonts w:hint="eastAsia" w:ascii="宋体" w:hAnsi="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lang w:val="en-US" w:eastAsia="zh-CN"/>
        </w:rPr>
        <w:t xml:space="preserve">年，电器类质保</w:t>
      </w:r>
      <w:r>
        <w:rPr>
          <w:rFonts w:hint="eastAsia" w:ascii="宋体" w:hAnsi="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lang w:val="en-US" w:eastAsia="zh-CN"/>
        </w:rPr>
        <w:t xml:space="preserve">年，</w:t>
      </w:r>
      <w:r>
        <w:rPr>
          <w:rFonts w:hint="eastAsia"/>
          <w:sz w:val="24"/>
          <w:szCs w:val="24"/>
          <w:highlight w:val="none"/>
          <w:lang w:val="en-US" w:eastAsia="zh-CN"/>
        </w:rPr>
        <w:t xml:space="preserve">其他类质保两年</w:t>
      </w:r>
      <w:r>
        <w:rPr>
          <w:rFonts w:hint="eastAsia" w:ascii="宋体" w:hAnsi="宋体" w:eastAsia="宋体" w:cs="宋体"/>
          <w:b w:val="0"/>
          <w:bCs w:val="0"/>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自验收合格之日起，进入质保期），</w:t>
      </w:r>
      <w:r>
        <w:rPr>
          <w:color w:val="000000"/>
          <w:sz w:val="24"/>
          <w:szCs w:val="24"/>
          <w:highlight w:val="none"/>
        </w:rPr>
        <w:t xml:space="preserve">质保期内，每年维护保养1次，维护保养及更换损坏件的费用包含在投标总价中。</w:t>
      </w:r>
      <w:r/>
    </w:p>
    <w:p>
      <w:pPr>
        <w:ind w:firstLine="480"/>
        <w:rPr>
          <w:color w:val="000000"/>
          <w:sz w:val="24"/>
          <w:szCs w:val="24"/>
          <w:highlight w:val="none"/>
        </w:rPr>
      </w:pPr>
      <w:r>
        <w:rPr>
          <w:color w:val="000000"/>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 3 \* GB3 \* MERGEFORMAT </w:instrText>
      </w:r>
      <w:r>
        <w:rPr>
          <w:color w:val="000000"/>
          <w:sz w:val="24"/>
          <w:szCs w:val="24"/>
          <w:highlight w:val="none"/>
        </w:rPr>
        <w:fldChar w:fldCharType="separate"/>
      </w:r>
      <w:r>
        <w:rPr>
          <w:color w:val="000000"/>
          <w:sz w:val="24"/>
          <w:szCs w:val="24"/>
          <w:highlight w:val="none"/>
        </w:rPr>
        <w:t xml:space="preserve">③</w:t>
      </w:r>
      <w:r>
        <w:rPr>
          <w:color w:val="000000"/>
          <w:sz w:val="24"/>
          <w:szCs w:val="24"/>
          <w:highlight w:val="none"/>
        </w:rPr>
        <w:fldChar w:fldCharType="end"/>
      </w:r>
      <w:r>
        <w:rPr>
          <w:color w:val="000000"/>
          <w:sz w:val="24"/>
          <w:szCs w:val="24"/>
          <w:highlight w:val="none"/>
        </w:rPr>
        <w:t xml:space="preserve">质保期外，供应商提供</w:t>
      </w:r>
      <w:r>
        <w:rPr>
          <w:rFonts w:hint="eastAsia"/>
          <w:color w:val="000000"/>
          <w:sz w:val="24"/>
          <w:szCs w:val="24"/>
          <w:highlight w:val="none"/>
          <w:lang w:eastAsia="zh-CN"/>
        </w:rPr>
        <w:t xml:space="preserve">终身</w:t>
      </w:r>
      <w:r>
        <w:rPr>
          <w:color w:val="000000"/>
          <w:sz w:val="24"/>
          <w:szCs w:val="24"/>
          <w:highlight w:val="none"/>
        </w:rPr>
        <w:t xml:space="preserve">服务，在货物的设计使用寿命周期内，供应商能保证采购人更换到原厂正宗的备件材料，确保产品的正常使用。</w:t>
      </w:r>
      <w:r/>
    </w:p>
    <w:p>
      <w:p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（6）项目管理</w:t>
      </w:r>
      <w:r/>
    </w:p>
    <w:p>
      <w:pPr>
        <w:ind w:firstLine="48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②投标人必须承诺在履约过程中，严格按照“南京市教育装备项目管理平台”的技术与管理规范，在规定的时间节点，提供相应的合同履约资料，包括照片。</w:t>
      </w:r>
      <w:r/>
    </w:p>
    <w:p>
      <w:pPr>
        <w:ind w:firstLine="48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fldChar w:fldCharType="begin"/>
      </w:r>
      <w:r>
        <w:rPr>
          <w:rFonts w:hint="eastAsia" w:ascii="Times New Roman" w:hAnsi="Times New Roman" w:eastAsia="宋体" w:cs="Times New Roman"/>
          <w:color w:val="000000"/>
          <w:sz w:val="24"/>
          <w:szCs w:val="24"/>
          <w:highlight w:val="none"/>
          <w:lang w:val="en-US" w:eastAsia="zh-CN"/>
        </w:rPr>
        <w:instrText xml:space="preserve"> = 3 \* GB3 \* MERGEFORMAT </w:instrText>
      </w:r>
      <w:r>
        <w:rPr>
          <w:rFonts w:hint="eastAsia" w:ascii="Times New Roman" w:hAnsi="Times New Roman" w:eastAsia="宋体" w:cs="Times New Roman"/>
          <w:color w:val="000000"/>
          <w:sz w:val="24"/>
          <w:szCs w:val="24"/>
          <w:highlight w:val="none"/>
          <w:lang w:val="en-US" w:eastAsia="zh-CN"/>
        </w:rPr>
        <w:fldChar w:fldCharType="separate"/>
      </w:r>
      <w:r>
        <w:rPr>
          <w:rFonts w:hint="eastAsia" w:ascii="Times New Roman" w:hAnsi="Times New Roman" w:eastAsia="宋体" w:cs="Times New Roman"/>
          <w:color w:val="000000"/>
          <w:sz w:val="24"/>
          <w:szCs w:val="24"/>
          <w:highlight w:val="none"/>
          <w:lang w:val="en-US" w:eastAsia="zh-CN"/>
        </w:rPr>
        <w:t xml:space="preserve">③</w:t>
      </w:r>
      <w:r>
        <w:rPr>
          <w:rFonts w:hint="eastAsia" w:ascii="Times New Roman" w:hAnsi="Times New Roman" w:eastAsia="宋体" w:cs="Times New Roman"/>
          <w:color w:val="000000"/>
          <w:sz w:val="24"/>
          <w:szCs w:val="24"/>
          <w:highlight w:val="none"/>
          <w:lang w:val="en-US" w:eastAsia="zh-CN"/>
        </w:rPr>
        <w:fldChar w:fldCharType="end"/>
      </w:r>
      <w:r>
        <w:rPr>
          <w:rFonts w:hint="eastAsia" w:ascii="Times New Roman" w:hAnsi="Times New Roman" w:eastAsia="宋体" w:cs="Times New Roman"/>
          <w:color w:val="000000"/>
          <w:sz w:val="24"/>
          <w:szCs w:val="24"/>
          <w:highlight w:val="none"/>
          <w:lang w:val="en-US" w:eastAsia="zh-CN"/>
        </w:rPr>
        <w:t xml:space="preserve">投标人必须承诺对所有进入固定资产的设备，按南京市的统一要求，通过“南京市教育装备项目管理平台”(南京市教育装备项目管理平台网址http://nj.cneefix.com)制作二维码标签，并张贴到设备上。</w:t>
      </w:r>
      <w:r/>
    </w:p>
    <w:p>
      <w:pPr>
        <w:ind w:firstLine="48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付款条件</w:t>
      </w:r>
      <w:r/>
    </w:p>
    <w:p>
      <w:pPr>
        <w:ind w:firstLine="480"/>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p>
    <w:p>
      <w:pPr>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s="宋体"/>
          <w:bCs/>
          <w:color w:val="000000"/>
          <w:sz w:val="24"/>
          <w:szCs w:val="24"/>
          <w:highlight w:val="none"/>
          <w:lang w:val="en-US" w:eastAsia="zh-CN"/>
        </w:rPr>
        <w:t xml:space="preserve">30</w:t>
      </w:r>
      <w:r>
        <w:rPr>
          <w:rFonts w:ascii="宋体" w:hAnsi="宋体" w:cs="宋体"/>
          <w:color w:val="000000"/>
          <w:sz w:val="24"/>
          <w:szCs w:val="24"/>
          <w:highlight w:val="none"/>
        </w:rPr>
        <w:t xml:space="preserve">天内交付并完成安装调试及验收等相关工作</w:t>
      </w:r>
      <w:r>
        <w:rPr>
          <w:rFonts w:hint="eastAsia" w:ascii="宋体" w:hAnsi="宋体" w:cs="宋体"/>
          <w:color w:val="000000"/>
          <w:sz w:val="24"/>
          <w:szCs w:val="24"/>
          <w:highlight w:val="none"/>
        </w:rPr>
        <w:t xml:space="preserve">。</w:t>
      </w:r>
      <w:r/>
    </w:p>
    <w:p>
      <w:pPr>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lang w:eastAsia="zh-CN"/>
        </w:rPr>
        <w:t xml:space="preserve">，具体详见附件</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“交货地点汇总表”</w:t>
      </w:r>
      <w:r>
        <w:rPr>
          <w:rFonts w:hint="eastAsia" w:ascii="宋体" w:hAnsi="宋体" w:cs="宋体"/>
          <w:color w:val="000000"/>
          <w:sz w:val="24"/>
          <w:szCs w:val="24"/>
          <w:highlight w:val="none"/>
        </w:rPr>
        <w:t xml:space="preserve">。</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5.履约保证金</w:t>
      </w:r>
      <w:r/>
    </w:p>
    <w:p>
      <w:pPr>
        <w:ind w:firstLine="480"/>
        <w:rPr>
          <w:rFonts w:ascii="宋体" w:hAnsi="宋体" w:cs="宋体"/>
          <w:bCs/>
          <w:color w:val="000000"/>
          <w:sz w:val="24"/>
          <w:szCs w:val="24"/>
        </w:rPr>
      </w:pPr>
      <w:r>
        <w:rPr>
          <w:rFonts w:ascii="宋体" w:hAnsi="宋体" w:cs="宋体"/>
          <w:bCs/>
          <w:color w:val="000000"/>
          <w:sz w:val="24"/>
          <w:szCs w:val="24"/>
        </w:rPr>
        <w:t xml:space="preserve">以第三章合同文本</w:t>
      </w:r>
      <w:r>
        <w:rPr>
          <w:rFonts w:hint="eastAsia" w:ascii="宋体" w:hAnsi="宋体" w:cs="宋体"/>
          <w:bCs/>
          <w:color w:val="000000"/>
          <w:sz w:val="24"/>
          <w:szCs w:val="24"/>
        </w:rPr>
        <w:t xml:space="preserve">内容</w:t>
      </w:r>
      <w:r>
        <w:rPr>
          <w:rFonts w:ascii="宋体" w:hAnsi="宋体" w:cs="宋体"/>
          <w:bCs/>
          <w:color w:val="000000"/>
          <w:sz w:val="24"/>
          <w:szCs w:val="24"/>
        </w:rPr>
        <w:t xml:space="preserve">为准。</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6.其他要求</w:t>
      </w:r>
      <w:bookmarkEnd w:id="196"/>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28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（三）样品要求</w:t>
      </w:r>
      <w:r/>
    </w:p>
    <w:p>
      <w:pPr>
        <w:ind w:firstLine="480"/>
        <w:jc w:val="left"/>
        <w:spacing w:line="28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1.供应商提供以下样品</w:t>
      </w:r>
      <w:bookmarkStart w:id="197" w:name="OLE_LINK121"/>
      <w:r>
        <w:rPr>
          <w:rFonts w:hint="eastAsia" w:ascii="宋体" w:hAnsi="宋体" w:eastAsia="宋体" w:cs="宋体"/>
          <w:b w:val="0"/>
          <w:bCs w:val="0"/>
          <w:color w:val="000000"/>
          <w:sz w:val="24"/>
          <w:szCs w:val="24"/>
          <w:lang w:val="en-US" w:eastAsia="zh-CN"/>
        </w:rPr>
        <w:t xml:space="preserve">（所有的制作标准和要求与本次采购项目一致</w:t>
      </w:r>
      <w:bookmarkEnd w:id="197"/>
      <w:r>
        <w:rPr>
          <w:rFonts w:hint="eastAsia" w:ascii="宋体" w:hAnsi="宋体" w:eastAsia="宋体" w:cs="宋体"/>
          <w:b w:val="0"/>
          <w:bCs w:val="0"/>
          <w:color w:val="000000"/>
          <w:sz w:val="24"/>
          <w:szCs w:val="24"/>
          <w:lang w:val="en-US" w:eastAsia="zh-CN"/>
        </w:rPr>
        <w:t xml:space="preserve">）：</w:t>
      </w:r>
      <w:r/>
    </w:p>
    <w:p>
      <w:pPr>
        <w:ind w:firstLine="480"/>
        <w:jc w:val="left"/>
        <w:spacing w:line="2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eastAsia="zh-CN"/>
        </w:rPr>
        <w:t xml:space="preserve">）塑钢手摇课桌椅</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产品清单序</w:t>
      </w:r>
      <w:r>
        <w:rPr>
          <w:rFonts w:hint="eastAsia" w:ascii="宋体" w:hAnsi="宋体" w:eastAsia="宋体" w:cs="宋体"/>
          <w:b/>
          <w:bCs/>
          <w:color w:val="000000"/>
          <w:sz w:val="24"/>
          <w:szCs w:val="24"/>
          <w:highlight w:val="none"/>
          <w:lang w:val="en-US" w:eastAsia="zh-CN"/>
        </w:rPr>
        <w:t xml:space="preserve">号177），数量：</w:t>
      </w:r>
      <w:r>
        <w:rPr>
          <w:rFonts w:hint="eastAsia"/>
          <w:b/>
          <w:bCs/>
          <w:color w:val="000000"/>
          <w:highlight w:val="none"/>
          <w:lang w:val="en-US" w:eastAsia="zh-CN"/>
        </w:rPr>
        <w:t xml:space="preserve">一套</w:t>
      </w:r>
      <w:r/>
    </w:p>
    <w:p>
      <w:pPr>
        <w:ind w:firstLine="480"/>
        <w:jc w:val="left"/>
        <w:spacing w:line="28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ABS书包柜</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产品清单序号64），数量：</w:t>
      </w:r>
      <w:r>
        <w:rPr>
          <w:rFonts w:hint="eastAsia" w:ascii="宋体" w:hAnsi="宋体" w:cs="宋体"/>
          <w:b/>
          <w:bCs/>
          <w:color w:val="000000"/>
          <w:sz w:val="24"/>
          <w:szCs w:val="24"/>
          <w:highlight w:val="none"/>
          <w:lang w:val="en-US" w:eastAsia="zh-CN"/>
        </w:rPr>
        <w:t xml:space="preserve">一门</w:t>
      </w:r>
      <w:r/>
    </w:p>
    <w:p>
      <w:pPr>
        <w:ind w:firstLine="480"/>
        <w:jc w:val="left"/>
        <w:spacing w:line="280" w:lineRule="exact"/>
        <w:rPr>
          <w:rFonts w:hint="eastAsia" w:ascii="宋体" w:hAnsi="宋体" w:cs="宋体"/>
          <w:color w:val="000000"/>
          <w:sz w:val="24"/>
          <w:szCs w:val="24"/>
        </w:rPr>
      </w:pPr>
      <w:r>
        <w:rPr>
          <w:rFonts w:hint="eastAsia" w:ascii="宋体" w:hAnsi="宋体" w:cs="宋体"/>
          <w:color w:val="000000"/>
          <w:sz w:val="24"/>
          <w:szCs w:val="24"/>
        </w:rPr>
        <w:t xml:space="preserve">2.样品提交地点：南京市江北新区天浦路1号南京市公共资源交易中心江北新区分中心一楼等候区。</w:t>
      </w:r>
      <w:r/>
    </w:p>
    <w:p>
      <w:pPr>
        <w:ind w:firstLine="480"/>
        <w:jc w:val="left"/>
        <w:spacing w:line="280" w:lineRule="exact"/>
        <w:rPr>
          <w:rFonts w:hint="eastAsia" w:ascii="宋体" w:hAnsi="宋体" w:cs="宋体"/>
          <w:color w:val="000000"/>
          <w:sz w:val="24"/>
          <w:szCs w:val="24"/>
        </w:rPr>
      </w:pPr>
      <w:r>
        <w:rPr>
          <w:rFonts w:hint="eastAsia" w:ascii="宋体" w:hAnsi="宋体" w:cs="宋体"/>
          <w:color w:val="000000"/>
          <w:sz w:val="24"/>
          <w:szCs w:val="24"/>
        </w:rPr>
        <w:t xml:space="preserve">3.样品提交时间：投标截止时间前半小时开始接收，投标截止时间后不再接受。</w:t>
      </w:r>
      <w:r/>
    </w:p>
    <w:p>
      <w:pPr>
        <w:ind w:firstLine="480"/>
        <w:jc w:val="left"/>
        <w:spacing w:line="280" w:lineRule="exact"/>
        <w:rPr>
          <w:rFonts w:hint="eastAsia" w:ascii="宋体" w:hAnsi="宋体" w:cs="宋体"/>
          <w:color w:val="000000"/>
          <w:sz w:val="24"/>
          <w:szCs w:val="24"/>
        </w:rPr>
      </w:pPr>
      <w:r>
        <w:rPr>
          <w:rFonts w:hint="eastAsia" w:ascii="宋体" w:hAnsi="宋体" w:cs="宋体"/>
          <w:color w:val="000000"/>
          <w:sz w:val="24"/>
          <w:szCs w:val="24"/>
        </w:rPr>
        <w:t xml:space="preserve">4.其他说明</w:t>
      </w:r>
      <w:r/>
    </w:p>
    <w:p>
      <w:pPr>
        <w:ind w:firstLine="480"/>
        <w:jc w:val="left"/>
        <w:spacing w:line="280" w:lineRule="exact"/>
        <w:rPr>
          <w:rFonts w:hint="eastAsia" w:ascii="宋体" w:hAnsi="宋体" w:cs="宋体"/>
          <w:color w:val="000000"/>
          <w:sz w:val="24"/>
          <w:szCs w:val="24"/>
        </w:rPr>
      </w:pPr>
      <w:r>
        <w:rPr>
          <w:rFonts w:hint="eastAsia" w:ascii="宋体" w:hAnsi="宋体" w:cs="宋体"/>
          <w:color w:val="000000"/>
          <w:sz w:val="24"/>
          <w:szCs w:val="24"/>
        </w:rPr>
        <w:t xml:space="preserve">（1）样品上如有和供应商名称有关的信息，应提前覆盖或处理，未在规定地点及截止时间前按要求提交的样品将被拒收，样品评审不得分。</w:t>
      </w:r>
      <w:r/>
    </w:p>
    <w:p>
      <w:pPr>
        <w:ind w:firstLine="480"/>
        <w:jc w:val="left"/>
        <w:spacing w:line="280" w:lineRule="exact"/>
        <w:rPr>
          <w:rFonts w:hint="eastAsia" w:ascii="宋体" w:hAnsi="宋体" w:cs="宋体"/>
          <w:color w:val="000000"/>
          <w:sz w:val="24"/>
          <w:szCs w:val="24"/>
        </w:rPr>
      </w:pPr>
      <w:r>
        <w:rPr>
          <w:rFonts w:hint="eastAsia" w:ascii="宋体" w:hAnsi="宋体" w:cs="宋体"/>
          <w:color w:val="000000"/>
          <w:sz w:val="24"/>
          <w:szCs w:val="24"/>
        </w:rPr>
        <w:t xml:space="preserve">（2）样品的所有费用由供应商承担，评标结束后，供应商应最迟于次日取回，否则按废品处理，后果自负。中标供应商的样品由采购人封存、保管，作为履约验收的参考。</w:t>
      </w:r>
      <w:r/>
    </w:p>
    <w:p>
      <w:pPr>
        <w:pStyle w:val="1047"/>
        <w:jc w:val="left"/>
        <w:rPr>
          <w:rFonts w:hint="eastAsia"/>
          <w:lang w:val="en-US" w:eastAsia="zh-CN"/>
        </w:rPr>
      </w:pPr>
      <w:r>
        <w:rPr>
          <w:rFonts w:hint="eastAsia" w:ascii="宋体" w:hAnsi="宋体" w:cs="宋体"/>
          <w:bCs w:val="0"/>
          <w:color w:val="000000"/>
          <w:sz w:val="24"/>
          <w:szCs w:val="24"/>
          <w:lang w:val="en-US" w:eastAsia="zh-CN"/>
        </w:rPr>
        <w:t xml:space="preserve">附件1:</w:t>
      </w:r>
      <w:r>
        <w:rPr>
          <w:rFonts w:hint="eastAsia" w:ascii="宋体" w:hAnsi="宋体" w:eastAsia="宋体" w:cs="宋体"/>
          <w:bCs w:val="0"/>
          <w:color w:val="000000"/>
          <w:sz w:val="24"/>
          <w:szCs w:val="24"/>
          <w:lang w:val="en-US" w:eastAsia="zh-CN"/>
        </w:rPr>
        <w:t xml:space="preserve">南京</w:t>
      </w:r>
      <w:r>
        <w:rPr>
          <w:rFonts w:hint="eastAsia" w:ascii="宋体" w:hAnsi="宋体" w:cs="宋体"/>
          <w:bCs w:val="0"/>
          <w:color w:val="000000"/>
          <w:sz w:val="24"/>
          <w:szCs w:val="24"/>
          <w:lang w:val="en-US" w:eastAsia="zh-CN"/>
        </w:rPr>
        <w:t xml:space="preserve">市</w:t>
      </w:r>
      <w:r>
        <w:rPr>
          <w:rFonts w:hint="eastAsia" w:ascii="宋体" w:hAnsi="宋体" w:eastAsia="宋体" w:cs="宋体"/>
          <w:bCs w:val="0"/>
          <w:color w:val="000000"/>
          <w:sz w:val="24"/>
          <w:szCs w:val="24"/>
          <w:lang w:val="en-US" w:eastAsia="zh-CN"/>
        </w:rPr>
        <w:t xml:space="preserve">南化第三小学（家校会客厅）平面图</w:t>
      </w:r>
      <w:r>
        <w:rPr>
          <w:rFonts w:hint="eastAsia"/>
          <w:lang w:val="en-US" w:eastAsia="zh-CN"/>
        </w:rPr>
        <mc:AlternateContent>
          <mc:Choice Requires="wpg">
            <w:drawing>
              <wp:inline xmlns:wp="http://schemas.openxmlformats.org/drawingml/2006/wordprocessingDrawing" distT="0" distB="0" distL="0" distR="0">
                <wp:extent cx="2940685" cy="2940685"/>
                <wp:effectExtent l="0" t="0" r="0" b="0"/>
                <wp:docPr id="73" name="图片 73"/>
                <wp:cNvGraphicFramePr/>
                <a:graphic xmlns:a="http://schemas.openxmlformats.org/drawingml/2006/main">
                  <a:graphicData uri="http://schemas.openxmlformats.org/drawingml/2006/picture">
                    <pic:pic xmlns:pic="http://schemas.openxmlformats.org/drawingml/2006/picture">
                      <pic:nvPicPr>
                        <pic:cNvPr id="73" name="图片 73"/>
                        <pic:cNvPicPr/>
                        <pic:nvPr/>
                      </pic:nvPicPr>
                      <pic:blipFill>
                        <a:blip r:embed="rId16"/>
                        <a:stretch/>
                      </pic:blipFill>
                      <pic:spPr bwMode="auto">
                        <a:xfrm rot="5400000">
                          <a:off x="0" y="0"/>
                          <a:ext cx="2940685" cy="294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231.5pt;height:231.5pt;mso-wrap-distance-left:0.0pt;mso-wrap-distance-top:0.0pt;mso-wrap-distance-right:0.0pt;mso-wrap-distance-bottom:0.0pt;rotation:90;" stroked="f">
                <v:path textboxrect="0,0,0,0"/>
                <v:imagedata r:id="rId16" o:title=""/>
              </v:shape>
            </w:pict>
          </mc:Fallback>
        </mc:AlternateContent>
      </w:r>
      <w:r/>
    </w:p>
    <w:p>
      <w:pPr>
        <w:pStyle w:val="105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5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附件2：</w:t>
      </w:r>
      <w:r>
        <w:rPr>
          <w:rFonts w:hint="eastAsia" w:ascii="宋体" w:hAnsi="宋体" w:eastAsia="宋体" w:cs="宋体"/>
          <w:b w:val="0"/>
          <w:bCs w:val="0"/>
          <w:i w:val="0"/>
          <w:iCs w:val="0"/>
          <w:color w:val="000000"/>
          <w:sz w:val="24"/>
          <w:szCs w:val="24"/>
          <w:u w:val="none"/>
          <w:lang w:val="en-US" w:eastAsia="zh-CN"/>
        </w:rPr>
        <w:t xml:space="preserve">交货地点汇总表</w:t>
      </w:r>
      <w:r/>
    </w:p>
    <w:p>
      <w:pPr>
        <w:pStyle w:val="1050"/>
        <w:ind w:firstLine="0"/>
        <w:jc w:val="both"/>
        <w:rPr>
          <w:rFonts w:hint="eastAsia"/>
          <w:lang w:val="en-US" w:eastAsia="zh-CN"/>
        </w:rPr>
      </w:pPr>
      <w:r>
        <w:rPr>
          <w:rFonts w:hint="eastAsia"/>
          <w:lang w:val="en-US" w:eastAsia="zh-CN"/>
        </w:rPr>
      </w:r>
      <w:r/>
    </w:p>
    <w:tbl>
      <w:tblPr>
        <w:tblStyle w:val="749"/>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56"/>
        <w:gridCol w:w="4150"/>
        <w:gridCol w:w="1850"/>
        <w:gridCol w:w="2306"/>
      </w:tblGrid>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rPr>
              <w:suppressLineNumbers w:val="0"/>
            </w:pPr>
            <w:r>
              <w:rPr>
                <w:rFonts w:hint="eastAsia" w:ascii="宋体" w:hAnsi="宋体" w:eastAsia="宋体" w:cs="宋体"/>
                <w:b/>
                <w:bCs/>
                <w:i w:val="0"/>
                <w:iCs w:val="0"/>
                <w:color w:val="000000"/>
                <w:sz w:val="20"/>
                <w:szCs w:val="20"/>
                <w:highlight w:val="none"/>
                <w:u w:val="none"/>
                <w:lang w:val="en-US" w:eastAsia="zh-CN"/>
              </w:rPr>
              <w:t xml:space="preserve">交货地点汇总表</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1、南京江北新区鼎泰实验小学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numPr>
                <w:ilvl w:val="0"/>
                <w:numId w:val="0"/>
              </w:num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后黑板</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书包柜（含图书柜）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2、南京江北新区浦洲路小学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教室讲台-1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书包柜-1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个（点位）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3、南京市琅琊路小学柳洲东路分校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ind w:left="0" w:firstLine="0"/>
              <w:jc w:val="center"/>
              <w:rPr>
                <w:rFonts w:hint="eastAsia" w:ascii="宋体" w:hAnsi="宋体" w:eastAsia="宋体" w:cs="宋体"/>
                <w:color w:val="000000"/>
                <w:szCs w:val="20"/>
                <w:highlight w:val="none"/>
                <w:lang w:val="en-US"/>
              </w:rPr>
            </w:pPr>
            <w:r>
              <w:rPr>
                <w:rFonts w:hint="eastAsia" w:ascii="宋体" w:hAnsi="宋体" w:eastAsia="宋体" w:cs="宋体"/>
                <w:i w:val="0"/>
                <w:iCs w:val="0"/>
                <w:color w:val="000000"/>
                <w:sz w:val="20"/>
                <w:szCs w:val="20"/>
                <w:highlight w:val="none"/>
                <w:u w:val="none"/>
                <w:lang w:val="en-US" w:eastAsia="zh-CN" w:bidi="ar"/>
              </w:rPr>
              <w:t xml:space="preserve">机房班桌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4、南京市琅琊路小学分校天润城小学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教师办公桌-1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行政办公桌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副柜-1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5、南京市葛塘中心小学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音乐准备室服装柜及鞋柜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numPr>
                <w:ilvl w:val="0"/>
                <w:numId w:val="0"/>
              </w:num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乐器陈列架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6、南京江北新区高新实验小学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讲台-2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7、南京江北新区浦口实验小学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大华报告厅学生公开课桌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培训椅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8、南京江北新区浦口实验小学浦园路分校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组合桌柜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9、南京江北新区浦口实验小学万江分校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10、南京市南化第三小学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异形沙发</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矮书架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定制沙发组合</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悦砺庭</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丢丢屋</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石头凳1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石头凳2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11、南京市南化第四小学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行政办公桌椅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12、南京市力学小学海德北岸分校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黑板</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13、南京一中明发滨江南浦路中学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14、南京一中江北新区教育集团第二小学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ABS书包柜-1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柜子-1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柜子-2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柜子-3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副柜-2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柜子-4</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铁皮柜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文件柜-1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15、南京市琅琊路小学明发滨江分校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音乐凳（ABS)</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音乐凳</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凳子</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陈列柜-1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陈列柜-2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陈列柜-3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仪器柜-1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ascii="宋体" w:hAnsi="宋体" w:cs="宋体"/>
                <w:sz w:val="20"/>
                <w:szCs w:val="20"/>
              </w:rPr>
            </w:pPr>
            <w:r>
              <w:rPr>
                <w:rFonts w:ascii="宋体" w:hAnsi="宋体" w:eastAsia="宋体" w:cs="宋体"/>
                <w:b/>
                <w:bCs/>
                <w:sz w:val="20"/>
                <w:szCs w:val="20"/>
              </w:rPr>
              <w:t xml:space="preserve">16、育英二外中央商务区学校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后墙软木板</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17、南京市旭东中学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大会议桌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仪器柜-2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18、</w:t>
            </w:r>
            <w:r>
              <w:rPr>
                <w:b/>
                <w:bCs/>
                <w:sz w:val="20"/>
                <w:szCs w:val="20"/>
              </w:rPr>
              <w:t xml:space="preserve">南京信息工程大学附属中学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培训桌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培训椅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19、南京市北京东路小学分校红</w:t>
            </w:r>
            <w:r>
              <w:rPr>
                <w:b/>
                <w:bCs/>
                <w:sz w:val="20"/>
                <w:szCs w:val="20"/>
              </w:rPr>
              <w:t xml:space="preserve">太阳小学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ABS书包柜-2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20、南京江北新区浦口外国语学校</w:t>
            </w:r>
            <w:r>
              <w:rPr>
                <w:b/>
                <w:bCs/>
                <w:sz w:val="20"/>
                <w:szCs w:val="20"/>
              </w:rPr>
              <w:t xml:space="preserve">高新小学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档案柜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21、南京市大厂实验幼儿园（新华</w:t>
            </w:r>
            <w:r>
              <w:rPr>
                <w:b/>
                <w:bCs/>
                <w:sz w:val="20"/>
                <w:szCs w:val="20"/>
              </w:rPr>
              <w:t xml:space="preserve">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休闲桌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折叠方桌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圆凳</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双槽基础桌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基础凳</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灯光桌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玩沙桌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22、南京江北新区小红花幼儿园</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钢制储物柜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资料柜-1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资料柜-2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23、南京大厂九村幼儿</w:t>
            </w:r>
            <w:r>
              <w:rPr>
                <w:b/>
                <w:bCs/>
                <w:sz w:val="20"/>
                <w:szCs w:val="20"/>
              </w:rPr>
              <w:t xml:space="preserve">园</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单层橡木床</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实木长桌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实木三层玩具柜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24、南京江北新区教育发展中</w:t>
            </w:r>
            <w:r>
              <w:rPr>
                <w:b/>
                <w:bCs/>
                <w:sz w:val="20"/>
                <w:szCs w:val="20"/>
              </w:rPr>
              <w:t xml:space="preserve">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办公橱柜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25、南京江北新区特殊教育学</w:t>
            </w:r>
            <w:r>
              <w:rPr>
                <w:b/>
                <w:bCs/>
                <w:sz w:val="20"/>
                <w:szCs w:val="20"/>
              </w:rPr>
              <w:t xml:space="preserve">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讲台-4</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储物柜-1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储物柜-2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文件柜-2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食堂就餐桌椅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会议长条桌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午休课桌椅</w: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84480"/>
                      <wp:effectExtent l="0" t="0" r="0" b="0"/>
                      <wp:wrapNone/>
                      <wp:docPr id="74" name="图片 74"/>
                      <wp:cNvGraphicFramePr/>
                      <a:graphic xmlns:a="http://schemas.openxmlformats.org/drawingml/2006/main">
                        <a:graphicData uri="http://schemas.openxmlformats.org/drawingml/2006/picture">
                          <pic:pic xmlns:pic="http://schemas.openxmlformats.org/drawingml/2006/picture">
                            <pic:nvPicPr>
                              <pic:cNvPr id="74" name="图片 74"/>
                              <pic:cNvPicPr/>
                              <pic:nvPr/>
                            </pic:nvPicPr>
                            <pic:blipFill>
                              <a:blip r:embed="rId12"/>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1312;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84480"/>
                      <wp:effectExtent l="0" t="0" r="0" b="0"/>
                      <wp:wrapNone/>
                      <wp:docPr id="75" name="图片 75"/>
                      <wp:cNvGraphicFramePr/>
                      <a:graphic xmlns:a="http://schemas.openxmlformats.org/drawingml/2006/main">
                        <a:graphicData uri="http://schemas.openxmlformats.org/drawingml/2006/picture">
                          <pic:pic xmlns:pic="http://schemas.openxmlformats.org/drawingml/2006/picture">
                            <pic:nvPicPr>
                              <pic:cNvPr id="75" name="图片 75"/>
                              <pic:cNvPicPr/>
                              <pic:nvPr/>
                            </pic:nvPicPr>
                            <pic:blipFill>
                              <a:blip r:embed="rId12"/>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1312;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12" o:title=""/>
                    </v:shape>
                  </w:pict>
                </mc:Fallback>
              </mc:AlternateConten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26、南京信息工程大学附属高新实验小</w:t>
            </w:r>
            <w:r>
              <w:rPr>
                <w:b/>
                <w:bCs/>
                <w:sz w:val="20"/>
                <w:szCs w:val="20"/>
              </w:rPr>
              <w:t xml:space="preserve">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观课桌椅（长条桌）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27、南京江北新区实验初级中</w:t>
            </w:r>
            <w:r>
              <w:rPr>
                <w:b/>
                <w:bCs/>
                <w:sz w:val="20"/>
                <w:szCs w:val="20"/>
              </w:rPr>
              <w:t xml:space="preserve">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28、大厂高级中学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办公椅-4</w: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76" name="图片 76"/>
                      <wp:cNvGraphicFramePr/>
                      <a:graphic xmlns:a="http://schemas.openxmlformats.org/drawingml/2006/main">
                        <a:graphicData uri="http://schemas.openxmlformats.org/drawingml/2006/picture">
                          <pic:pic xmlns:pic="http://schemas.openxmlformats.org/drawingml/2006/picture">
                            <pic:nvPicPr>
                              <pic:cNvPr id="76" name="图片 76"/>
                              <pic:cNvPicPr/>
                              <pic:nvPr/>
                            </pic:nvPicPr>
                            <pic:blipFill>
                              <a:blip r:embed="rId14"/>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1312;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92100"/>
                      <wp:effectExtent l="0" t="0" r="0" b="0"/>
                      <wp:wrapNone/>
                      <wp:docPr id="77" name="图片 77"/>
                      <wp:cNvGraphicFramePr/>
                      <a:graphic xmlns:a="http://schemas.openxmlformats.org/drawingml/2006/main">
                        <a:graphicData uri="http://schemas.openxmlformats.org/drawingml/2006/picture">
                          <pic:pic xmlns:pic="http://schemas.openxmlformats.org/drawingml/2006/picture">
                            <pic:nvPicPr>
                              <pic:cNvPr id="77" name="图片 77"/>
                              <pic:cNvPicPr/>
                              <pic:nvPr/>
                            </pic:nvPicPr>
                            <pic:blipFill>
                              <a:blip r:embed="rId13"/>
                              <a:stretch/>
                            </pic:blipFill>
                            <pic:spPr bwMode="auto">
                              <a:xfrm>
                                <a:off x="0" y="0"/>
                                <a:ext cx="20447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1312;o:allowoverlap:true;o:allowincell:true;mso-position-horizontal-relative:text;margin-left:40.7pt;mso-position-horizontal:absolute;mso-position-vertical-relative:text;margin-top:0.0pt;mso-position-vertical:absolute;width:16.1pt;height:23.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78" name="图片 78"/>
                      <wp:cNvGraphicFramePr/>
                      <a:graphic xmlns:a="http://schemas.openxmlformats.org/drawingml/2006/main">
                        <a:graphicData uri="http://schemas.openxmlformats.org/drawingml/2006/picture">
                          <pic:pic xmlns:pic="http://schemas.openxmlformats.org/drawingml/2006/picture">
                            <pic:nvPicPr>
                              <pic:cNvPr id="78" name="图片 78"/>
                              <pic:cNvPicPr/>
                              <pic:nvPr/>
                            </pic:nvPicPr>
                            <pic:blipFill>
                              <a:blip r:embed="rId14"/>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1312;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516890</wp:posOffset>
                      </wp:positionH>
                      <wp:positionV relativeFrom="paragraph">
                        <wp:posOffset>0</wp:posOffset>
                      </wp:positionV>
                      <wp:extent cx="204470" cy="292100"/>
                      <wp:effectExtent l="0" t="0" r="0" b="0"/>
                      <wp:wrapNone/>
                      <wp:docPr id="79" name="图片 79"/>
                      <wp:cNvGraphicFramePr/>
                      <a:graphic xmlns:a="http://schemas.openxmlformats.org/drawingml/2006/main">
                        <a:graphicData uri="http://schemas.openxmlformats.org/drawingml/2006/picture">
                          <pic:pic xmlns:pic="http://schemas.openxmlformats.org/drawingml/2006/picture">
                            <pic:nvPicPr>
                              <pic:cNvPr id="79" name="图片 79"/>
                              <pic:cNvPicPr/>
                              <pic:nvPr/>
                            </pic:nvPicPr>
                            <pic:blipFill>
                              <a:blip r:embed="rId13"/>
                              <a:stretch/>
                            </pic:blipFill>
                            <pic:spPr bwMode="auto">
                              <a:xfrm>
                                <a:off x="0" y="0"/>
                                <a:ext cx="20447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1312;o:allowoverlap:true;o:allowincell:true;mso-position-horizontal-relative:text;margin-left:40.7pt;mso-position-horizontal:absolute;mso-position-vertical-relative:text;margin-top:0.0pt;mso-position-vertical:absolute;width:16.1pt;height:23.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2p挂机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1.5P挂机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3p柜机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29、第二十九中学天润城分校（小学部</w:t>
            </w:r>
            <w:r>
              <w:rPr>
                <w:b/>
                <w:bCs/>
                <w:sz w:val="20"/>
                <w:szCs w:val="20"/>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组合办公桌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更衣柜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升降讲台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音乐凳(抽屉式）</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定制合唱台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乐谱架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收纳边柜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专业音箱</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音箱壁挂支架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功率放大器（450W）</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四通道功率放大器（400W）</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数字效果器</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无线传声器（1手持1头戴）</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音箱线</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电源时序器</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设备机柜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安装调试</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86寸触控一体机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大屏移动支架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把杆</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练功凳</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压腿凳</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舞蹈垫</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瑜伽垫</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舞蹈练功球</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舞蹈垫收纳车</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窗帘</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1.5p挂机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3P柜机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30、第二十九中学天润城分校（中学部）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组合办公桌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图书清扫柜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办公桌-4</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副柜-3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讲台-5</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书包柜-2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2P挂机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钢木分档调节课桌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31、南京一中明发滨江分</w:t>
            </w:r>
            <w:r>
              <w:rPr>
                <w:b/>
                <w:bCs/>
                <w:sz w:val="20"/>
                <w:szCs w:val="20"/>
              </w:rPr>
              <w:t xml:space="preserve">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讲台-6</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定制教学展台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3P挂机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钢木分档调节课桌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32、南化实验小</w:t>
            </w:r>
            <w:r>
              <w:rPr>
                <w:b/>
                <w:bCs/>
                <w:sz w:val="20"/>
                <w:szCs w:val="20"/>
              </w:rPr>
              <w:t xml:space="preserve">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洽谈桌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洽谈椅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实木课桌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实木课椅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定制异形沙发</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接待桌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洽谈沙发</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numPr>
                <w:ilvl w:val="0"/>
                <w:numId w:val="0"/>
              </w:num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定制沙发</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长茶几-1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定制长沙发</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长茶几-2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定制科学实验桌-1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定制科学实验桌-2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33、泰山小学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办公桌-5</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副柜-4</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书包柜-3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讲台-7</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钢木分档调节课桌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34、沿江小学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图书架（双面）</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图书借阅架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图书架（单面）</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边柜工位</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位</w:t>
            </w:r>
            <w:r/>
          </w:p>
        </w:tc>
      </w:tr>
      <w:tr>
        <w:trPr>
          <w:jc w:val="center"/>
          <w:trHeight w:val="90"/>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35、南京一中江北新区分</w:t>
            </w:r>
            <w:r>
              <w:rPr>
                <w:b/>
                <w:bCs/>
                <w:sz w:val="20"/>
                <w:szCs w:val="20"/>
              </w:rPr>
              <w:t xml:space="preserve">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教室储物柜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教室讲台-2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教师工作台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教室背景墙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毛毡板</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教师办公桌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36、南京江北新区外国语学</w:t>
            </w:r>
            <w:r>
              <w:rPr>
                <w:b/>
                <w:bCs/>
                <w:sz w:val="20"/>
                <w:szCs w:val="20"/>
              </w:rPr>
              <w:t xml:space="preserve">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numPr>
                <w:ilvl w:val="0"/>
                <w:numId w:val="0"/>
              </w:num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班台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教学讲台-3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格子柜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ABS书包柜-3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numPr>
                <w:ilvl w:val="0"/>
                <w:numId w:val="0"/>
              </w:num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教师办公桌-2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午休椅-4</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铁皮作业文件柜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3p柜机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37、南京江北新区浦口外国语学</w:t>
            </w:r>
            <w:r>
              <w:rPr>
                <w:b/>
                <w:bCs/>
                <w:sz w:val="20"/>
                <w:szCs w:val="20"/>
              </w:rPr>
              <w:t xml:space="preserve">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录播室桌椅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38、南京市扬子第一中</w:t>
            </w:r>
            <w:r>
              <w:rPr>
                <w:b/>
                <w:bCs/>
                <w:sz w:val="20"/>
                <w:szCs w:val="20"/>
              </w:rPr>
              <w:t xml:space="preserve">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39、南京市扬子第一中学松杨路分</w:t>
            </w:r>
            <w:r>
              <w:rPr>
                <w:b/>
                <w:bCs/>
                <w:sz w:val="20"/>
                <w:szCs w:val="20"/>
              </w:rPr>
              <w:t xml:space="preserve">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钢木</w:t>
            </w:r>
            <w:r>
              <w:rPr>
                <w:rStyle w:val="1058"/>
                <w:rFonts w:ascii="宋体" w:hAnsi="宋体" w:eastAsia="宋体" w:cs="宋体"/>
                <w:color w:val="000000"/>
                <w:highlight w:val="none"/>
                <w:lang w:val="en-US" w:eastAsia="zh-CN" w:bidi="ar"/>
              </w:rPr>
              <w:t xml:space="preserve">分档</w:t>
            </w:r>
            <w:r>
              <w:rPr>
                <w:rStyle w:val="1059"/>
                <w:rFonts w:ascii="宋体" w:hAnsi="宋体" w:eastAsia="宋体" w:cs="宋体"/>
                <w:color w:val="000000"/>
                <w:highlight w:val="none"/>
                <w:lang w:val="en-US" w:eastAsia="zh-CN" w:bidi="ar"/>
              </w:rPr>
              <w:t xml:space="preserve">调节课桌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40、南京市沿江中</w:t>
            </w:r>
            <w:r>
              <w:rPr>
                <w:b/>
                <w:bCs/>
                <w:sz w:val="20"/>
                <w:szCs w:val="20"/>
              </w:rPr>
              <w:t xml:space="preserve">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2p挂机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41、南京市扬子第二小</w:t>
            </w:r>
            <w:r>
              <w:rPr>
                <w:b/>
                <w:bCs/>
                <w:sz w:val="20"/>
                <w:szCs w:val="20"/>
              </w:rPr>
              <w:t xml:space="preserve">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42、南京市扬子第四小</w:t>
            </w:r>
            <w:r>
              <w:rPr>
                <w:b/>
                <w:bCs/>
                <w:sz w:val="20"/>
                <w:szCs w:val="20"/>
              </w:rPr>
              <w:t xml:space="preserve">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43、南京江北新区高新实验小</w:t>
            </w:r>
            <w:r>
              <w:rPr>
                <w:b/>
                <w:bCs/>
                <w:sz w:val="20"/>
                <w:szCs w:val="20"/>
              </w:rPr>
              <w:t xml:space="preserve">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44、南京市金陵中学江北分</w:t>
            </w:r>
            <w:r>
              <w:rPr>
                <w:b/>
                <w:bCs/>
                <w:sz w:val="20"/>
                <w:szCs w:val="20"/>
              </w:rPr>
              <w:t xml:space="preserve">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侧墙书包柜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立式书包柜</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教师办公桌-3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三抽柜-1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午休椅-5</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ind w:left="0" w:firstLine="0"/>
              <w:jc w:val="center"/>
              <w:rPr>
                <w:rFonts w:hint="eastAsia" w:ascii="宋体" w:hAnsi="宋体" w:eastAsia="宋体" w:cs="宋体"/>
                <w:color w:val="000000"/>
                <w:szCs w:val="20"/>
                <w:highlight w:val="none"/>
                <w:lang w:val="en-US"/>
              </w:rPr>
            </w:pPr>
            <w:r>
              <w:rPr>
                <w:rFonts w:hint="eastAsia" w:ascii="宋体" w:hAnsi="宋体" w:eastAsia="宋体" w:cs="宋体"/>
                <w:i w:val="0"/>
                <w:iCs w:val="0"/>
                <w:color w:val="000000"/>
                <w:sz w:val="20"/>
                <w:szCs w:val="20"/>
                <w:highlight w:val="none"/>
                <w:u w:val="none"/>
                <w:lang w:val="en-US" w:eastAsia="zh-CN" w:bidi="ar"/>
              </w:rPr>
              <w:t xml:space="preserve">办公桌-6</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副柜-5</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三抽柜-2</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午休椅-6</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塑钢分档调节课桌椅-1</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2p挂机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3p柜机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45、南京市第二十九中柳洲东</w:t>
            </w:r>
            <w:r>
              <w:rPr>
                <w:b/>
                <w:bCs/>
                <w:sz w:val="20"/>
                <w:szCs w:val="20"/>
              </w:rPr>
              <w:t xml:space="preserve">路分校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茶水柜-3</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教师办公桌-4</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午休椅-7</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活动办公桌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弓形椅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教师操作台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教师上课椅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计算机桌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计算机凳</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00"/>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可组合会议桌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钢木分档调节课桌</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塑钢分档调节课椅</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5P柜机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3p挂机</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bl>
    <w:p>
      <w:pPr>
        <w:pStyle w:val="1050"/>
        <w:ind w:firstLine="0"/>
        <w:jc w:val="both"/>
        <w:rPr>
          <w:rFonts w:hint="eastAsia"/>
          <w:lang w:val="en-US" w:eastAsia="zh-CN"/>
        </w:rPr>
      </w:pPr>
      <w:r>
        <w:rPr>
          <w:rFonts w:hint="eastAsia"/>
          <w:lang w:val="en-US" w:eastAsia="zh-CN"/>
        </w:rPr>
      </w:r>
      <w:r/>
    </w:p>
    <w:p>
      <w:pPr>
        <w:pStyle w:val="1050"/>
        <w:ind w:firstLine="0"/>
        <w:rPr>
          <w:rFonts w:hint="eastAsia" w:ascii="方正小标宋简体" w:hAnsi="方正小标宋简体" w:eastAsia="方正小标宋简体" w:cs="方正小标宋简体"/>
          <w:color w:val="000000"/>
          <w:sz w:val="36"/>
          <w:szCs w:val="36"/>
        </w:rPr>
      </w:pPr>
      <w:r>
        <w:rPr>
          <w:rFonts w:hint="eastAsia" w:ascii="宋体" w:hAnsi="宋体" w:eastAsia="宋体" w:cs="宋体"/>
          <w:color w:val="000000"/>
          <w:sz w:val="24"/>
          <w:szCs w:val="24"/>
          <w:lang w:val="en-US" w:eastAsia="zh-CN"/>
        </w:rPr>
        <w:br w:type="page" w:clear="all"/>
      </w:r>
      <w:r>
        <w:rPr>
          <w:rFonts w:hint="eastAsia" w:ascii="宋体" w:hAnsi="宋体" w:eastAsia="宋体" w:cs="宋体"/>
          <w:color w:val="000000"/>
          <w:sz w:val="24"/>
          <w:szCs w:val="24"/>
          <w:lang w:val="en-US" w:eastAsia="zh-CN"/>
        </w:rPr>
        <w:t xml:space="preserve">                     </w:t>
      </w:r>
      <w:bookmarkStart w:id="198" w:name="_Toc120614281"/>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2.2、2.3、2.4、3.1</w:t>
      </w:r>
      <w:r>
        <w:rPr>
          <w:rFonts w:hint="eastAsia" w:ascii="宋体" w:hAnsi="宋体" w:eastAsia="宋体" w:cs="Times New Roman"/>
          <w:color w:val="000000"/>
          <w:sz w:val="24"/>
          <w:szCs w:val="24"/>
          <w:highlight w:val="none"/>
          <w:lang w:val="en-US" w:eastAsia="zh-CN"/>
        </w:rPr>
        <w:t xml:space="preserve">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p>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四、评标标准</w:t>
      </w:r>
      <w:r/>
    </w:p>
    <w:tbl>
      <w:tblPr>
        <w:tblStyle w:val="74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vAlign w:val="top"/>
            <w:textDirection w:val="lrTb"/>
            <w:noWrap w:val="false"/>
          </w:tcPr>
          <w:p>
            <w:pPr>
              <w:jc w:val="center"/>
              <w:spacing w:before="264"/>
              <w:rPr>
                <w:rFonts w:hint="eastAsia" w:ascii="宋体" w:hAnsi="宋体" w:eastAsia="宋体" w:cs="宋体"/>
                <w:b/>
                <w:bCs/>
                <w:color w:val="000000"/>
                <w:spacing w:val="-2"/>
                <w:sz w:val="22"/>
                <w:szCs w:val="22"/>
              </w:rPr>
            </w:pPr>
            <w:r>
              <w:rPr>
                <w:rFonts w:hint="eastAsia" w:ascii="宋体" w:hAnsi="宋体" w:eastAsia="宋体" w:cs="宋体"/>
                <w:b/>
                <w:bCs/>
                <w:color w:val="000000"/>
                <w:spacing w:val="-2"/>
                <w:sz w:val="22"/>
                <w:szCs w:val="22"/>
              </w:rPr>
              <w:t xml:space="preserve">序号</w:t>
            </w:r>
            <w:r/>
          </w:p>
        </w:tc>
        <w:tc>
          <w:tcPr>
            <w:tcW w:w="1179" w:type="dxa"/>
            <w:vAlign w:val="top"/>
            <w:textDirection w:val="lrTb"/>
            <w:noWrap w:val="false"/>
          </w:tcPr>
          <w:p>
            <w:pPr>
              <w:jc w:val="center"/>
              <w:spacing w:before="264"/>
              <w:rPr>
                <w:rFonts w:hint="eastAsia" w:ascii="宋体" w:hAnsi="宋体" w:eastAsia="宋体" w:cs="宋体"/>
                <w:b/>
                <w:bCs/>
                <w:color w:val="000000"/>
                <w:spacing w:val="-2"/>
                <w:sz w:val="22"/>
                <w:szCs w:val="22"/>
              </w:rPr>
            </w:pPr>
            <w:r>
              <w:rPr>
                <w:rFonts w:hint="eastAsia" w:ascii="宋体" w:hAnsi="宋体" w:eastAsia="宋体" w:cs="宋体"/>
                <w:b/>
                <w:bCs/>
                <w:color w:val="000000"/>
                <w:spacing w:val="-2"/>
                <w:sz w:val="22"/>
                <w:szCs w:val="22"/>
              </w:rPr>
              <w:t xml:space="preserve">评审因素</w:t>
            </w:r>
            <w:r/>
          </w:p>
        </w:tc>
        <w:tc>
          <w:tcPr>
            <w:tcW w:w="6330" w:type="dxa"/>
            <w:vAlign w:val="top"/>
            <w:textDirection w:val="lrTb"/>
            <w:noWrap w:val="false"/>
          </w:tcPr>
          <w:p>
            <w:pPr>
              <w:jc w:val="center"/>
              <w:spacing w:before="264"/>
              <w:rPr>
                <w:rFonts w:hint="eastAsia" w:ascii="宋体" w:hAnsi="宋体" w:eastAsia="宋体" w:cs="宋体"/>
                <w:b/>
                <w:bCs/>
                <w:color w:val="000000"/>
                <w:spacing w:val="-2"/>
                <w:sz w:val="22"/>
                <w:szCs w:val="22"/>
              </w:rPr>
            </w:pPr>
            <w:r>
              <w:rPr>
                <w:rFonts w:hint="eastAsia" w:ascii="宋体" w:hAnsi="宋体" w:eastAsia="宋体" w:cs="宋体"/>
                <w:b/>
                <w:bCs/>
                <w:color w:val="000000"/>
                <w:spacing w:val="-2"/>
                <w:sz w:val="22"/>
                <w:szCs w:val="22"/>
              </w:rPr>
              <w:t xml:space="preserve">评审细则</w:t>
            </w:r>
            <w:r/>
          </w:p>
        </w:tc>
        <w:tc>
          <w:tcPr>
            <w:tcW w:w="647" w:type="dxa"/>
            <w:vAlign w:val="top"/>
            <w:textDirection w:val="lrTb"/>
            <w:noWrap w:val="false"/>
          </w:tcPr>
          <w:p>
            <w:pPr>
              <w:jc w:val="center"/>
              <w:spacing w:before="264"/>
              <w:rPr>
                <w:rFonts w:hint="eastAsia" w:ascii="宋体" w:hAnsi="宋体" w:eastAsia="宋体" w:cs="宋体"/>
                <w:b/>
                <w:bCs/>
                <w:color w:val="000000"/>
                <w:spacing w:val="-2"/>
                <w:sz w:val="22"/>
                <w:szCs w:val="22"/>
              </w:rPr>
            </w:pPr>
            <w:r>
              <w:rPr>
                <w:rFonts w:hint="eastAsia" w:ascii="宋体" w:hAnsi="宋体" w:eastAsia="宋体" w:cs="宋体"/>
                <w:b/>
                <w:bCs/>
                <w:color w:val="000000"/>
                <w:spacing w:val="-2"/>
                <w:sz w:val="22"/>
                <w:szCs w:val="22"/>
              </w:rPr>
              <w:t xml:space="preserve">分值</w:t>
            </w:r>
            <w:r/>
          </w:p>
        </w:tc>
        <w:tc>
          <w:tcPr>
            <w:tcW w:w="900" w:type="dxa"/>
            <w:vAlign w:val="top"/>
            <w:textDirection w:val="lrTb"/>
            <w:noWrap w:val="false"/>
          </w:tcPr>
          <w:p>
            <w:pPr>
              <w:jc w:val="center"/>
              <w:spacing w:before="264"/>
              <w:rPr>
                <w:rFonts w:hint="eastAsia" w:ascii="宋体" w:hAnsi="宋体" w:eastAsia="宋体" w:cs="宋体"/>
                <w:b/>
                <w:bCs/>
                <w:color w:val="000000"/>
                <w:spacing w:val="-2"/>
                <w:sz w:val="22"/>
                <w:szCs w:val="22"/>
              </w:rPr>
            </w:pPr>
            <w:r>
              <w:rPr>
                <w:rFonts w:hint="eastAsia" w:ascii="宋体" w:hAnsi="宋体" w:eastAsia="宋体" w:cs="宋体"/>
                <w:b/>
                <w:bCs/>
                <w:color w:val="000000"/>
                <w:spacing w:val="-2"/>
                <w:sz w:val="22"/>
                <w:szCs w:val="22"/>
              </w:rPr>
              <w:t xml:space="preserve">类型</w:t>
            </w:r>
            <w:r/>
          </w:p>
        </w:tc>
      </w:tr>
      <w:tr>
        <w:trPr>
          <w:jc w:val="center"/>
          <w:trHeight w:val="460"/>
        </w:trPr>
        <w:tc>
          <w:tcPr>
            <w:gridSpan w:val="5"/>
            <w:tcW w:w="9575" w:type="dxa"/>
            <w:vAlign w:val="top"/>
            <w:textDirection w:val="lrTb"/>
            <w:noWrap w:val="false"/>
          </w:tcPr>
          <w:p>
            <w:pPr>
              <w:ind w:left="114"/>
              <w:spacing w:before="122"/>
              <w:rPr>
                <w:rFonts w:hint="eastAsia" w:ascii="宋体" w:hAnsi="宋体" w:eastAsia="宋体" w:cs="宋体"/>
                <w:color w:val="000000"/>
                <w:sz w:val="22"/>
                <w:szCs w:val="22"/>
              </w:rPr>
            </w:pPr>
            <w:r>
              <w:rPr>
                <w:rFonts w:hint="eastAsia" w:ascii="宋体" w:hAnsi="宋体" w:eastAsia="宋体" w:cs="宋体"/>
                <w:b/>
                <w:bCs/>
                <w:color w:val="000000"/>
                <w:spacing w:val="-3"/>
                <w:sz w:val="22"/>
                <w:szCs w:val="22"/>
              </w:rPr>
              <w:t xml:space="preserve">1.价</w:t>
            </w:r>
            <w:r>
              <w:rPr>
                <w:rFonts w:hint="eastAsia" w:ascii="宋体" w:hAnsi="宋体" w:eastAsia="宋体" w:cs="宋体"/>
                <w:b/>
                <w:bCs/>
                <w:color w:val="000000"/>
                <w:spacing w:val="-2"/>
                <w:sz w:val="22"/>
                <w:szCs w:val="22"/>
              </w:rPr>
              <w:t xml:space="preserve">格</w:t>
            </w:r>
            <w:r/>
          </w:p>
        </w:tc>
      </w:tr>
      <w:tr>
        <w:trPr>
          <w:jc w:val="center"/>
          <w:trHeight w:val="460"/>
        </w:trPr>
        <w:tc>
          <w:tcPr>
            <w:tcW w:w="519" w:type="dxa"/>
            <w:vAlign w:val="center"/>
            <w:textDirection w:val="lrTb"/>
            <w:noWrap w:val="false"/>
          </w:tcPr>
          <w:p>
            <w:pPr>
              <w:jc w:val="center"/>
              <w:spacing w:before="68"/>
              <w:rPr>
                <w:rFonts w:hint="eastAsia" w:ascii="宋体" w:hAnsi="宋体" w:eastAsia="宋体" w:cs="宋体"/>
                <w:color w:val="000000"/>
                <w:sz w:val="22"/>
                <w:szCs w:val="22"/>
              </w:rPr>
            </w:pPr>
            <w:r>
              <w:rPr>
                <w:rFonts w:hint="eastAsia" w:ascii="宋体" w:hAnsi="宋体" w:eastAsia="宋体" w:cs="宋体"/>
                <w:color w:val="000000"/>
                <w:spacing w:val="-6"/>
                <w:sz w:val="22"/>
                <w:szCs w:val="22"/>
              </w:rPr>
              <w:t xml:space="preserve">1</w:t>
            </w:r>
            <w:r>
              <w:rPr>
                <w:rFonts w:hint="eastAsia" w:ascii="宋体" w:hAnsi="宋体" w:eastAsia="宋体" w:cs="宋体"/>
                <w:color w:val="000000"/>
                <w:spacing w:val="-5"/>
                <w:sz w:val="22"/>
                <w:szCs w:val="22"/>
              </w:rPr>
              <w:t xml:space="preserve">.1</w:t>
            </w:r>
            <w:r/>
          </w:p>
        </w:tc>
        <w:tc>
          <w:tcPr>
            <w:tcW w:w="1179" w:type="dxa"/>
            <w:vAlign w:val="center"/>
            <w:textDirection w:val="lrTb"/>
            <w:noWrap w:val="false"/>
          </w:tcPr>
          <w:p>
            <w:pPr>
              <w:spacing w:before="68"/>
              <w:rPr>
                <w:rFonts w:hint="eastAsia" w:ascii="宋体" w:hAnsi="宋体" w:eastAsia="宋体" w:cs="宋体"/>
                <w:color w:val="000000"/>
                <w:sz w:val="22"/>
                <w:szCs w:val="22"/>
              </w:rPr>
            </w:pPr>
            <w:r>
              <w:rPr>
                <w:rFonts w:hint="eastAsia" w:ascii="宋体" w:hAnsi="宋体" w:eastAsia="宋体" w:cs="宋体"/>
                <w:color w:val="000000"/>
                <w:spacing w:val="-2"/>
                <w:sz w:val="22"/>
                <w:szCs w:val="22"/>
              </w:rPr>
              <w:t xml:space="preserve">价格分</w:t>
            </w:r>
            <w:r/>
          </w:p>
        </w:tc>
        <w:tc>
          <w:tcPr>
            <w:tcW w:w="6330"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（小数点保留两位）</w:t>
            </w:r>
            <w:r/>
          </w:p>
        </w:tc>
        <w:tc>
          <w:tcPr>
            <w:tcW w:w="647" w:type="dxa"/>
            <w:vAlign w:val="center"/>
            <w:textDirection w:val="lrTb"/>
            <w:noWrap w:val="false"/>
          </w:tcPr>
          <w:p>
            <w:pPr>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tcW w:w="900" w:type="dxa"/>
            <w:vAlign w:val="center"/>
            <w:textDirection w:val="lrTb"/>
            <w:noWrap w:val="false"/>
          </w:tcPr>
          <w:p>
            <w:pPr>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价格分</w:t>
            </w:r>
            <w:r/>
          </w:p>
        </w:tc>
      </w:tr>
      <w:tr>
        <w:trPr>
          <w:jc w:val="center"/>
          <w:trHeight w:val="460"/>
        </w:trPr>
        <w:tc>
          <w:tcPr>
            <w:gridSpan w:val="5"/>
            <w:tcW w:w="9575" w:type="dxa"/>
            <w:vAlign w:val="top"/>
            <w:textDirection w:val="lrTb"/>
            <w:noWrap w:val="false"/>
          </w:tcPr>
          <w:p>
            <w:pPr>
              <w:jc w:val="left"/>
              <w:spacing w:before="68"/>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2.技术</w:t>
            </w:r>
            <w:r/>
          </w:p>
        </w:tc>
      </w:tr>
      <w:tr>
        <w:trPr>
          <w:jc w:val="center"/>
          <w:trHeight w:val="891"/>
        </w:trPr>
        <w:tc>
          <w:tcPr>
            <w:tcW w:w="519" w:type="dxa"/>
            <w:vAlign w:val="center"/>
            <w:textDirection w:val="lrTb"/>
            <w:noWrap w:val="false"/>
          </w:tcPr>
          <w:p>
            <w:pPr>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2.1</w:t>
            </w:r>
            <w:r/>
          </w:p>
        </w:tc>
        <w:tc>
          <w:tcPr>
            <w:tcW w:w="1179" w:type="dxa"/>
            <w:vAlign w:val="center"/>
            <w:textDirection w:val="lrTb"/>
            <w:noWrap w:val="false"/>
          </w:tcPr>
          <w:p>
            <w:pP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产品技术参数</w:t>
            </w:r>
            <w:r/>
          </w:p>
        </w:tc>
        <w:tc>
          <w:tcPr>
            <w:tcW w:w="6330" w:type="dxa"/>
            <w:vAlign w:val="center"/>
            <w:textDirection w:val="lrTb"/>
            <w:noWrap w:val="false"/>
          </w:tcPr>
          <w:p>
            <w:pPr>
              <w:rPr>
                <w:rFonts w:hint="eastAsia"/>
              </w:rPr>
            </w:pPr>
            <w:r>
              <w:rPr>
                <w:rFonts w:hint="eastAsia" w:ascii="宋体" w:hAnsi="宋体" w:eastAsia="宋体" w:cs="宋体"/>
                <w:color w:val="000000"/>
                <w:sz w:val="22"/>
                <w:szCs w:val="22"/>
                <w:highlight w:val="none"/>
                <w:lang w:val="en-US" w:eastAsia="zh-CN"/>
              </w:rPr>
              <w:t xml:space="preserve">产品技术参数全部满足招标要求的得满分，打★指标为必须满足项，如有负偏离将作为无效投标，打▲指标为重要指标，有1项负偏离扣2分，其余指标有1项负偏离扣1分。</w:t>
            </w:r>
            <w:r/>
          </w:p>
        </w:tc>
        <w:tc>
          <w:tcPr>
            <w:tcW w:w="647" w:type="dxa"/>
            <w:vAlign w:val="center"/>
            <w:textDirection w:val="lrTb"/>
            <w:noWrap w:val="false"/>
          </w:tcPr>
          <w:p>
            <w:pPr>
              <w:jc w:val="center"/>
              <w:spacing w:before="6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9</w:t>
            </w:r>
            <w:r/>
          </w:p>
        </w:tc>
        <w:tc>
          <w:tcPr>
            <w:tcW w:w="900" w:type="dxa"/>
            <w:vAlign w:val="center"/>
            <w:textDirection w:val="lrTb"/>
            <w:noWrap w:val="false"/>
          </w:tcPr>
          <w:p>
            <w:pPr>
              <w:jc w:val="center"/>
              <w:spacing w:before="68"/>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客</w:t>
            </w:r>
            <w:r>
              <w:rPr>
                <w:rFonts w:hint="eastAsia" w:ascii="宋体" w:hAnsi="宋体" w:eastAsia="宋体" w:cs="宋体"/>
                <w:color w:val="000000"/>
                <w:spacing w:val="-4"/>
                <w:sz w:val="22"/>
                <w:szCs w:val="22"/>
                <w:highlight w:val="none"/>
              </w:rPr>
              <w:t xml:space="preserve">观分</w:t>
            </w:r>
            <w:r/>
          </w:p>
        </w:tc>
      </w:tr>
      <w:tr>
        <w:trPr>
          <w:jc w:val="center"/>
          <w:trHeight w:val="889"/>
        </w:trPr>
        <w:tc>
          <w:tcPr>
            <w:tcW w:w="519" w:type="dxa"/>
            <w:vAlign w:val="center"/>
            <w:textDirection w:val="lrTb"/>
            <w:noWrap w:val="false"/>
          </w:tcPr>
          <w:p>
            <w:pPr>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2.2</w:t>
            </w:r>
            <w:r/>
          </w:p>
        </w:tc>
        <w:tc>
          <w:tcPr>
            <w:tcW w:w="1179" w:type="dxa"/>
            <w:vAlign w:val="center"/>
            <w:textDirection w:val="lrTb"/>
            <w:noWrap w:val="false"/>
          </w:tcPr>
          <w:p>
            <w:pP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原材料检测报告</w:t>
            </w:r>
            <w:r/>
          </w:p>
          <w:p>
            <w:pP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r>
            <w:r/>
          </w:p>
        </w:tc>
        <w:tc>
          <w:tcPr>
            <w:tcW w:w="6330" w:type="dxa"/>
            <w:vAlign w:val="center"/>
            <w:textDirection w:val="lrTb"/>
            <w:noWrap w:val="false"/>
          </w:tcPr>
          <w:p>
            <w:pPr>
              <w:ind w:firstLine="210"/>
              <w:spacing w:line="276"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投标人提供具备资质的第三方检测机构出具的检测结果符合相应要求和标准的检测报告原件扫描件。（检测标准若有更新，执行现行最新有效标准）</w:t>
            </w:r>
            <w:r/>
          </w:p>
          <w:p>
            <w:pPr>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1、ABS塑料</w:t>
            </w:r>
            <w:r/>
          </w:p>
          <w:p>
            <w:pPr>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检验检测依据至少符合GB/T32487-2016《塑料家具通用技术条件》、QB/T4371-2012《家具抗菌性能的评价》、GB/T24128-2018《塑料塑料防霉剂的防霉效果评估》；</w:t>
            </w:r>
            <w:r/>
          </w:p>
          <w:p>
            <w:pPr>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检验至少包含：冲击强度的保持率≥60%、外观颜色变色评级≥3级；冲击强度≥10J/㎡；邻苯二甲酸酯未检出；抗菌性能≥99%（金黄色葡萄球菌、大肠杆菌）；耐霉菌性能0级（黑曲霉、宛氏拟青霉）。</w:t>
            </w:r>
            <w:r/>
          </w:p>
          <w:p>
            <w:pPr>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2、水性油漆</w:t>
            </w:r>
            <w:r/>
          </w:p>
          <w:p>
            <w:pPr>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检验检测依据至少符合GB/T 23999-2009《室内装饰装修用水性木器涂料》、HJ2537-2014《环境标志产品技术要求水性涂料》、JC/T1074-2021《室内空气净化功能涂覆材料净化性能》；</w:t>
            </w:r>
            <w:r/>
          </w:p>
          <w:p>
            <w:pPr>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检验至少包含：VOC含量、总铅含量(限色漆、腻子和醇酸清漆)、甲醛含量、苯系物总和含量</w:t>
            </w:r>
            <w:bookmarkStart w:id="209" w:name="_GoBack"/>
            <w:r/>
            <w:bookmarkEnd w:id="209"/>
            <w:r>
              <w:rPr>
                <w:rFonts w:hint="eastAsia" w:ascii="宋体" w:hAnsi="宋体" w:eastAsia="宋体" w:cs="宋体"/>
                <w:color w:val="000000"/>
                <w:sz w:val="22"/>
                <w:szCs w:val="22"/>
                <w:highlight w:val="none"/>
                <w:lang w:eastAsia="zh-CN"/>
              </w:rPr>
              <w:t xml:space="preserve">、可溶性重金属、乙二醇醚及醚脂总和含量未检出、烷基酚聚氧乙烯醚总和含量均未检出；硬度（擦伤）4H；室内空气净化功能涂覆材料净化性能≥90%。</w:t>
            </w:r>
            <w:r/>
          </w:p>
          <w:p>
            <w:pPr>
              <w:spacing w:line="276" w:lineRule="auto"/>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rPr>
              <w:t xml:space="preserve">以上每个检测报告内容提供齐全的得</w:t>
            </w:r>
            <w:r>
              <w:rPr>
                <w:rFonts w:hint="eastAsia" w:ascii="宋体" w:hAnsi="宋体" w:eastAsia="宋体" w:cs="宋体"/>
                <w:color w:val="000000"/>
                <w:sz w:val="22"/>
                <w:szCs w:val="22"/>
                <w:highlight w:val="none"/>
                <w:lang w:bidi="ar"/>
              </w:rPr>
              <w:t xml:space="preserve">1分，本项最高得</w:t>
            </w:r>
            <w:r>
              <w:rPr>
                <w:rFonts w:hint="eastAsia" w:ascii="宋体" w:hAnsi="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bidi="ar"/>
              </w:rPr>
              <w:t xml:space="preserve">分，其他不得分。（上传报告扫描件至投标系统）</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spacing w:before="68"/>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2</w:t>
            </w:r>
            <w:r/>
          </w:p>
        </w:tc>
        <w:tc>
          <w:tcPr>
            <w:tcW w:w="900" w:type="dxa"/>
            <w:vAlign w:val="center"/>
            <w:textDirection w:val="lrTb"/>
            <w:noWrap w:val="false"/>
          </w:tcPr>
          <w:p>
            <w:pPr>
              <w:jc w:val="center"/>
              <w:spacing w:before="68"/>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客</w:t>
            </w:r>
            <w:r>
              <w:rPr>
                <w:rFonts w:hint="eastAsia" w:ascii="宋体" w:hAnsi="宋体" w:eastAsia="宋体" w:cs="宋体"/>
                <w:color w:val="000000"/>
                <w:spacing w:val="-4"/>
                <w:sz w:val="22"/>
                <w:szCs w:val="22"/>
                <w:highlight w:val="none"/>
              </w:rPr>
              <w:t xml:space="preserve">观分</w:t>
            </w:r>
            <w:r/>
          </w:p>
        </w:tc>
      </w:tr>
      <w:tr>
        <w:trPr>
          <w:jc w:val="center"/>
          <w:trHeight w:val="889"/>
        </w:trPr>
        <w:tc>
          <w:tcPr>
            <w:tcW w:w="519" w:type="dxa"/>
            <w:vAlign w:val="center"/>
            <w:textDirection w:val="lrTb"/>
            <w:noWrap w:val="false"/>
          </w:tcPr>
          <w:p>
            <w:pPr>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2.3</w:t>
            </w:r>
            <w:r/>
          </w:p>
        </w:tc>
        <w:tc>
          <w:tcPr>
            <w:tcW w:w="1179" w:type="dxa"/>
            <w:vAlign w:val="center"/>
            <w:textDirection w:val="lrTb"/>
            <w:noWrap w:val="false"/>
          </w:tcPr>
          <w:p>
            <w:pP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成品检测报告</w:t>
            </w:r>
            <w:r/>
          </w:p>
          <w:p>
            <w:pP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r>
            <w:r/>
          </w:p>
        </w:tc>
        <w:tc>
          <w:tcPr>
            <w:tcW w:w="6330" w:type="dxa"/>
            <w:vAlign w:val="center"/>
            <w:textDirection w:val="lrTb"/>
            <w:noWrap w:val="false"/>
          </w:tcPr>
          <w:p>
            <w:pPr>
              <w:ind w:firstLine="210"/>
              <w:rPr>
                <w:rFonts w:hint="eastAsia" w:ascii="宋体" w:hAnsi="宋体" w:eastAsia="宋体" w:cs="宋体"/>
                <w:strike/>
                <w:color w:val="ff0000"/>
                <w:sz w:val="22"/>
                <w:szCs w:val="22"/>
                <w:highlight w:val="none"/>
              </w:rPr>
            </w:pPr>
            <w:r>
              <w:rPr>
                <w:rFonts w:hint="eastAsia" w:ascii="宋体" w:hAnsi="宋体" w:eastAsia="宋体" w:cs="宋体"/>
                <w:color w:val="000000"/>
                <w:sz w:val="22"/>
                <w:szCs w:val="22"/>
                <w:highlight w:val="none"/>
                <w:lang w:eastAsia="zh-CN"/>
              </w:rPr>
              <w:t xml:space="preserve">投标人提供具备资质的第三方检测机构出具的检测结果符合相应要求和标准的检测报告原件扫描件。（检测标准若有更新，执行现行最新有效标准）</w:t>
            </w:r>
            <w:r/>
          </w:p>
          <w:p>
            <w:pPr>
              <w:ind w:firstLine="210"/>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lang w:eastAsia="zh-CN" w:bidi="ar"/>
              </w:rPr>
              <w:t xml:space="preserve">课桌</w:t>
            </w:r>
            <w:r>
              <w:rPr>
                <w:rFonts w:hint="eastAsia" w:ascii="宋体" w:hAnsi="宋体" w:eastAsia="宋体" w:cs="宋体"/>
                <w:color w:val="000000"/>
                <w:sz w:val="22"/>
                <w:szCs w:val="22"/>
                <w:highlight w:val="none"/>
                <w:lang w:bidi="ar"/>
              </w:rPr>
              <w:t xml:space="preserve">椅</w:t>
            </w:r>
            <w:r/>
          </w:p>
          <w:p>
            <w:pPr>
              <w:numPr>
                <w:ilvl w:val="0"/>
                <w:numId w:val="0"/>
              </w:numPr>
              <w:ind w:firstLine="220"/>
              <w:spacing w:after="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检验检测依据</w:t>
            </w:r>
            <w:r>
              <w:rPr>
                <w:rFonts w:hint="eastAsia" w:ascii="宋体" w:hAnsi="宋体" w:cs="宋体"/>
                <w:color w:val="000000"/>
                <w:sz w:val="22"/>
                <w:szCs w:val="22"/>
                <w:highlight w:val="none"/>
                <w:lang w:eastAsia="zh-CN"/>
              </w:rPr>
              <w:t xml:space="preserve">至少</w:t>
            </w:r>
            <w:r>
              <w:rPr>
                <w:rFonts w:hint="eastAsia" w:ascii="宋体" w:hAnsi="宋体" w:eastAsia="宋体" w:cs="宋体"/>
                <w:color w:val="000000"/>
                <w:sz w:val="22"/>
                <w:szCs w:val="22"/>
                <w:highlight w:val="none"/>
              </w:rPr>
              <w:t xml:space="preserve">符合QB/T4071-2021《课桌椅》、GB/T 35607-2024《绿色产品评价家具》</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GB/T 3325-2024《金属家具通用技术条件》</w:t>
            </w:r>
            <w:r>
              <w:rPr>
                <w:rFonts w:hint="eastAsia" w:ascii="宋体" w:hAnsi="宋体" w:eastAsia="宋体" w:cs="宋体"/>
                <w:color w:val="000000"/>
                <w:sz w:val="22"/>
                <w:szCs w:val="22"/>
                <w:highlight w:val="none"/>
                <w:lang w:eastAsia="zh-CN"/>
              </w:rPr>
              <w:t xml:space="preserve">GB/T 24128-2018《塑料塑料防霉剂的防霉效果评估》、QB/T 4371-2012《家具抗菌性能的评价》</w:t>
            </w:r>
            <w:r>
              <w:rPr>
                <w:rFonts w:hint="eastAsia" w:ascii="宋体" w:hAnsi="宋体" w:eastAsia="宋体" w:cs="宋体"/>
                <w:color w:val="000000"/>
                <w:sz w:val="22"/>
                <w:szCs w:val="22"/>
                <w:highlight w:val="none"/>
              </w:rPr>
              <w:t xml:space="preserve">；</w:t>
            </w:r>
            <w:r/>
          </w:p>
          <w:p>
            <w:pPr>
              <w:numPr>
                <w:ilvl w:val="0"/>
                <w:numId w:val="0"/>
              </w:numPr>
              <w:ind w:firstLine="220"/>
              <w:spacing w:after="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检验至少包含：</w:t>
            </w:r>
            <w:r>
              <w:rPr>
                <w:rFonts w:hint="eastAsia" w:ascii="宋体" w:hAnsi="宋体" w:eastAsia="宋体" w:cs="宋体"/>
                <w:color w:val="000000"/>
                <w:sz w:val="22"/>
                <w:szCs w:val="22"/>
                <w:highlight w:val="none"/>
                <w:lang w:val="en-US" w:eastAsia="zh-CN"/>
              </w:rPr>
              <w:t xml:space="preserve">金属件喷涂层表面理化性能（抗盐雾至少500h、抗冲击、附着力），塑料桌/椅面理化性能【耐污染、耐老化性（经至少500h试验后，拉伸强度、断裂伸长率保持率应不小于60%，外观颜色变化色评级应不小于3级），安全要求，课桌力学性能（桌面</w:t>
            </w:r>
            <w:r>
              <w:rPr>
                <w:rFonts w:hint="eastAsia" w:ascii="宋体" w:hAnsi="宋体" w:eastAsia="宋体" w:cs="宋体"/>
                <w:color w:val="000000"/>
                <w:sz w:val="22"/>
                <w:szCs w:val="22"/>
                <w:highlight w:val="none"/>
                <w:lang w:val="en-US" w:eastAsia="zh-CN"/>
              </w:rPr>
              <w:t xml:space="preserve">垂直静载荷、桌面垂直耐久性、桌面垂直冲击、桌腿跌落、桌面水平静载荷），课椅力学性能（椅子向前、侧向、向后无倾翻，座面、椅背联合静载荷，座面侧向静载荷，椅腿向前静载荷，椅腿侧向静载荷，座面冲击，椅背冲击，椅腿跌落），以上判定结果为符合或合格；产品有害物质限量（甲醛释放量、家具涂层可迁移元素）未检出；塑料件有害物质限量（邻苯二甲酸酯、重金属、多环芳烃、多溴联苯、多溴二苯醚）未检出；抗菌性能（金黄色葡萄球菌、大肠杆菌、奇异变形杆菌）＞99.9%；耐霉菌性能（黑曲霉、宛氏拟青霉、球毛壳霉、长枝木霉、绳状青霉）0级。</w:t>
            </w:r>
            <w:r/>
          </w:p>
          <w:p>
            <w:pPr>
              <w:ind w:firstLine="210"/>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、分体式空调</w:t>
            </w:r>
            <w:r/>
          </w:p>
          <w:p>
            <w:pPr>
              <w:ind w:firstLine="21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检验至少包含：分体式空调换热器具有除菌功能，除菌率达到</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99.9</w:t>
            </w:r>
            <w:r>
              <w:rPr>
                <w:rFonts w:hint="eastAsia" w:ascii="宋体" w:hAnsi="宋体" w:eastAsia="宋体" w:cs="宋体"/>
                <w:color w:val="000000"/>
                <w:sz w:val="22"/>
                <w:szCs w:val="22"/>
                <w:highlight w:val="none"/>
                <w:lang w:val="en-US" w:eastAsia="zh-CN"/>
              </w:rPr>
              <w:t xml:space="preserve">%，具有防直吹功能。</w:t>
            </w:r>
            <w:r/>
          </w:p>
          <w:p>
            <w:pPr>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rPr>
              <w:t xml:space="preserve">以上每个检测报告内容提供齐全的得</w:t>
            </w:r>
            <w:r>
              <w:rPr>
                <w:rFonts w:hint="eastAsia" w:ascii="宋体" w:hAnsi="宋体" w:eastAsia="宋体" w:cs="宋体"/>
                <w:color w:val="000000"/>
                <w:sz w:val="22"/>
                <w:szCs w:val="22"/>
                <w:highlight w:val="none"/>
                <w:lang w:bidi="ar"/>
              </w:rPr>
              <w:t xml:space="preserve">1分，本项最高得</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bidi="ar"/>
              </w:rPr>
              <w:t xml:space="preserve">分，其他不得分。（上传报告扫描件至投标系统）</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spacing w:before="68"/>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2</w:t>
            </w:r>
            <w:r/>
          </w:p>
        </w:tc>
        <w:tc>
          <w:tcPr>
            <w:tcW w:w="900" w:type="dxa"/>
            <w:vAlign w:val="center"/>
            <w:textDirection w:val="lrTb"/>
            <w:noWrap w:val="false"/>
          </w:tcPr>
          <w:p>
            <w:pPr>
              <w:jc w:val="center"/>
              <w:spacing w:before="68"/>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客观分</w:t>
            </w:r>
            <w:r/>
          </w:p>
        </w:tc>
      </w:tr>
      <w:tr>
        <w:trPr>
          <w:jc w:val="center"/>
          <w:trHeight w:val="333"/>
        </w:trPr>
        <w:tc>
          <w:tcPr>
            <w:tcW w:w="519" w:type="dxa"/>
            <w:vAlign w:val="center"/>
            <w:textDirection w:val="lrTb"/>
            <w:noWrap w:val="false"/>
          </w:tcPr>
          <w:p>
            <w:pPr>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w:t>
            </w:r>
            <w:r/>
          </w:p>
        </w:tc>
        <w:tc>
          <w:tcPr>
            <w:tcW w:w="1179" w:type="dxa"/>
            <w:vAlign w:val="center"/>
            <w:textDirection w:val="lrTb"/>
            <w:noWrap w:val="false"/>
          </w:tcPr>
          <w:p>
            <w:pP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深化设计方案</w:t>
            </w:r>
            <w:r/>
          </w:p>
        </w:tc>
        <w:tc>
          <w:tcPr>
            <w:tcW w:w="6330" w:type="dxa"/>
            <w:vAlign w:val="center"/>
            <w:textDirection w:val="lrTb"/>
            <w:noWrap w:val="false"/>
          </w:tcPr>
          <w:p>
            <w:pPr>
              <w:ind w:firstLine="21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投标人</w:t>
            </w:r>
            <w:r>
              <w:rPr>
                <w:rFonts w:hint="eastAsia" w:ascii="宋体" w:hAnsi="宋体" w:eastAsia="宋体" w:cs="宋体"/>
                <w:color w:val="000000"/>
                <w:sz w:val="22"/>
                <w:szCs w:val="22"/>
                <w:highlight w:val="none"/>
              </w:rPr>
              <w:t xml:space="preserve">根据本项目采购需求中</w:t>
            </w:r>
            <w:r>
              <w:rPr>
                <w:rFonts w:hint="eastAsia" w:ascii="宋体" w:hAnsi="宋体" w:eastAsia="宋体" w:cs="宋体"/>
                <w:color w:val="000000"/>
                <w:sz w:val="22"/>
                <w:szCs w:val="22"/>
                <w:highlight w:val="none"/>
                <w:lang w:eastAsia="zh-CN"/>
              </w:rPr>
              <w:t xml:space="preserve">附件</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bCs w:val="0"/>
                <w:color w:val="000000"/>
                <w:sz w:val="22"/>
                <w:szCs w:val="22"/>
                <w:highlight w:val="none"/>
                <w:lang w:val="en-US" w:eastAsia="zh-CN"/>
              </w:rPr>
              <w:t xml:space="preserve">南京市南化第三小学（家校会客厅）平面图</w:t>
            </w:r>
            <w:r>
              <w:rPr>
                <w:rFonts w:hint="eastAsia" w:ascii="宋体" w:hAnsi="宋体" w:eastAsia="宋体" w:cs="宋体"/>
                <w:color w:val="000000"/>
                <w:sz w:val="22"/>
                <w:szCs w:val="22"/>
                <w:highlight w:val="none"/>
                <w:lang w:val="en-US" w:eastAsia="zh-CN"/>
              </w:rPr>
              <w:t xml:space="preserve">（要求</w:t>
            </w:r>
            <w:r>
              <w:rPr>
                <w:rFonts w:hint="eastAsia" w:ascii="宋体" w:hAnsi="宋体" w:eastAsia="宋体" w:cs="宋体"/>
                <w:color w:val="000000"/>
                <w:sz w:val="22"/>
                <w:szCs w:val="22"/>
                <w:highlight w:val="none"/>
              </w:rPr>
              <w:t xml:space="preserve">包含4组书架、1套异形沙发、19组矮书架、12组展示柜、2组定制沙发组合、1组悦砺庭、1组丢丢屋、3组石头凳1、1组石头凳2</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编制深化设计方案，内容包含：1.平面布局图；2.效果图：前视图；3.效果图：后视图；4.效果图：俯视图。以上每项内容逐项评分：</w:t>
            </w:r>
            <w:r/>
          </w:p>
          <w:p>
            <w:pPr>
              <w:ind w:firstLine="21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方案内容详实，且专门针对本项目，契合采购需求视为符合；方案内容属于通用类，非专门针对本项目，部分契合采购需求视为部分符合；方案内容非专门针对本项目，脱离采购需求视为不符合。</w:t>
            </w:r>
            <w:r/>
          </w:p>
          <w:p>
            <w:pPr>
              <w:ind w:firstLine="210"/>
              <w:spacing w:line="24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上述每项内容符合得2分；部分符合得1分；不符合或不提供不得分。</w:t>
            </w:r>
            <w:r/>
          </w:p>
        </w:tc>
        <w:tc>
          <w:tcPr>
            <w:tcW w:w="647" w:type="dxa"/>
            <w:vAlign w:val="center"/>
            <w:textDirection w:val="lrTb"/>
            <w:noWrap w:val="false"/>
          </w:tcPr>
          <w:p>
            <w:pPr>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p>
        </w:tc>
        <w:tc>
          <w:tcPr>
            <w:tcW w:w="900" w:type="dxa"/>
            <w:vAlign w:val="center"/>
            <w:textDirection w:val="lrTb"/>
            <w:noWrap w:val="false"/>
          </w:tcPr>
          <w:p>
            <w:pPr>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主观分</w:t>
            </w:r>
            <w:r/>
          </w:p>
        </w:tc>
      </w:tr>
      <w:tr>
        <w:trPr>
          <w:jc w:val="center"/>
          <w:trHeight w:val="584"/>
        </w:trPr>
        <w:tc>
          <w:tcPr>
            <w:tcW w:w="519" w:type="dxa"/>
            <w:vAlign w:val="center"/>
            <w:textDirection w:val="lrTb"/>
            <w:noWrap w:val="false"/>
          </w:tcPr>
          <w:p>
            <w:pPr>
              <w:jc w:val="cente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2.5</w:t>
            </w:r>
            <w:r/>
          </w:p>
        </w:tc>
        <w:tc>
          <w:tcPr>
            <w:tcW w:w="1179" w:type="dxa"/>
            <w:vAlign w:val="center"/>
            <w:textDirection w:val="lrTb"/>
            <w:noWrap w:val="false"/>
          </w:tcPr>
          <w:p>
            <w:pP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样品</w:t>
            </w:r>
            <w:r/>
          </w:p>
        </w:tc>
        <w:tc>
          <w:tcPr>
            <w:tcW w:w="6330" w:type="dxa"/>
            <w:vAlign w:val="center"/>
            <w:textDirection w:val="lrTb"/>
            <w:noWrap w:val="false"/>
          </w:tcPr>
          <w:p>
            <w:pPr>
              <w:ind w:firstLine="0"/>
              <w:spacing w:line="24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一、评委根据投标人提供的样品（塑钢手摇课桌椅1</w:t>
            </w:r>
            <w:r>
              <w:rPr>
                <w:rFonts w:hint="eastAsia" w:ascii="宋体" w:hAnsi="宋体" w:eastAsia="宋体" w:cs="宋体"/>
                <w:b/>
                <w:bCs/>
                <w:color w:val="000000"/>
                <w:sz w:val="22"/>
                <w:szCs w:val="22"/>
                <w:lang w:eastAsia="zh-CN"/>
              </w:rPr>
              <w:t xml:space="preserve">一套</w:t>
            </w:r>
            <w:r>
              <w:rPr>
                <w:rFonts w:hint="eastAsia" w:ascii="宋体" w:hAnsi="宋体" w:eastAsia="宋体" w:cs="宋体"/>
                <w:b/>
                <w:bCs/>
                <w:color w:val="000000"/>
                <w:sz w:val="22"/>
                <w:szCs w:val="22"/>
              </w:rPr>
              <w:t xml:space="preserve">）综合评分：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1.强度</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（1）结构稳固、不摇晃，承重能力强，各部位连接紧密，无松动现象得3分；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（2）结构较稳固、承重能力较强，各部位连接较紧密，无松动现象得1分；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（3）结构不稳固、承重能力不足，各部位连接松动的得0分。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2.外观质感</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（1）样品外观细节处理细致、手感舒适无毛刺的得3分；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（2）样品外观细节处理较细致、手感较舒适且无毛刺的得1分；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（3）样品外观细节处理不细致、手感不舒适有毛刺的得0分。</w:t>
            </w:r>
            <w:r/>
          </w:p>
          <w:p>
            <w:pPr>
              <w:ind w:firstLine="0"/>
              <w:spacing w:line="24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二、评委根据投标人提供的样品（ABS书包柜-2</w:t>
            </w:r>
            <w:r>
              <w:rPr>
                <w:rFonts w:hint="eastAsia" w:ascii="宋体" w:hAnsi="宋体" w:eastAsia="宋体" w:cs="宋体"/>
                <w:b/>
                <w:bCs/>
                <w:color w:val="000000"/>
                <w:sz w:val="22"/>
                <w:szCs w:val="22"/>
                <w:lang w:eastAsia="zh-CN"/>
              </w:rPr>
              <w:t xml:space="preserve">一门</w:t>
            </w:r>
            <w:r>
              <w:rPr>
                <w:rFonts w:hint="eastAsia" w:ascii="宋体" w:hAnsi="宋体" w:eastAsia="宋体" w:cs="宋体"/>
                <w:b/>
                <w:bCs/>
                <w:color w:val="000000"/>
                <w:sz w:val="22"/>
                <w:szCs w:val="22"/>
              </w:rPr>
              <w:t xml:space="preserve">）综合评分</w:t>
            </w:r>
            <w:r>
              <w:rPr>
                <w:rFonts w:hint="eastAsia" w:ascii="宋体" w:hAnsi="宋体" w:eastAsia="宋体" w:cs="宋体"/>
                <w:color w:val="000000"/>
                <w:sz w:val="22"/>
                <w:szCs w:val="22"/>
              </w:rPr>
              <w:t xml:space="preserve">：</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1.强度</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（1）结构稳固、不摇晃，承重能力强，各部位连接紧密，无松动现象得3分；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（2）结构较稳固、承重能力较强，各部位连接较紧密，无松动现象得1分；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（3）结构不稳固、承重能力不足，各部位连接松动的得0分。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2.外观质感</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（1）样品外观细节处理细致、手感舒适无毛刺的得3分；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（2）样品外观细节处理较细致、手感较舒适且无毛刺的得1分；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（3）样品外观细节处理不细致、手感不舒适有毛刺的得0分。</w:t>
            </w:r>
            <w:r/>
          </w:p>
          <w:p>
            <w:pPr>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投标人提供的样品不全或不符合本项目评审要求的不得分；未在截止时间前及规定地点提交样品的不得分。</w:t>
            </w:r>
            <w:r/>
          </w:p>
        </w:tc>
        <w:tc>
          <w:tcPr>
            <w:tcW w:w="647" w:type="dxa"/>
            <w:vAlign w:val="center"/>
            <w:textDirection w:val="lrTb"/>
            <w:noWrap w:val="false"/>
          </w:tcPr>
          <w:p>
            <w:pPr>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W w:w="900" w:type="dxa"/>
            <w:vAlign w:val="center"/>
            <w:textDirection w:val="lrTb"/>
            <w:noWrap w:val="false"/>
          </w:tcPr>
          <w:p>
            <w:pPr>
              <w:jc w:val="center"/>
              <w:spacing w:before="68"/>
              <w:rPr>
                <w:rFonts w:hint="eastAsia" w:ascii="宋体" w:hAnsi="宋体" w:eastAsia="宋体" w:cs="宋体"/>
                <w:color w:val="000000"/>
                <w:spacing w:val="-6"/>
                <w:sz w:val="22"/>
                <w:szCs w:val="22"/>
              </w:rPr>
            </w:pPr>
            <w:r>
              <w:rPr>
                <w:rFonts w:hint="eastAsia" w:ascii="宋体" w:hAnsi="宋体" w:eastAsia="宋体" w:cs="宋体"/>
                <w:color w:val="000000"/>
                <w:spacing w:val="-6"/>
                <w:sz w:val="22"/>
                <w:szCs w:val="22"/>
              </w:rPr>
              <w:t xml:space="preserve">主观分</w:t>
            </w:r>
            <w:r/>
          </w:p>
        </w:tc>
      </w:tr>
      <w:tr>
        <w:trPr>
          <w:jc w:val="center"/>
          <w:trHeight w:val="889"/>
        </w:trPr>
        <w:tc>
          <w:tcPr>
            <w:tcW w:w="519" w:type="dxa"/>
            <w:vAlign w:val="center"/>
            <w:textDirection w:val="lrTb"/>
            <w:noWrap w:val="false"/>
          </w:tcPr>
          <w:p>
            <w:pPr>
              <w:jc w:val="cente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2.6</w:t>
            </w:r>
            <w:r/>
          </w:p>
        </w:tc>
        <w:tc>
          <w:tcPr>
            <w:tcW w:w="1179" w:type="dxa"/>
            <w:vAlign w:val="center"/>
            <w:textDirection w:val="lrTb"/>
            <w:noWrap w:val="false"/>
          </w:tcPr>
          <w:p>
            <w:pP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产品认证证书</w:t>
            </w:r>
            <w:r/>
          </w:p>
        </w:tc>
        <w:tc>
          <w:tcPr>
            <w:tcW w:w="6330" w:type="dxa"/>
            <w:vAlign w:val="center"/>
            <w:textDirection w:val="lrTb"/>
            <w:noWrap w:val="false"/>
          </w:tcPr>
          <w:p>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rPr>
              <w:t xml:space="preserve">投标人或所投主要产品（或核心产品）生产商</w:t>
            </w:r>
            <w:r>
              <w:rPr>
                <w:rFonts w:hint="eastAsia" w:ascii="宋体" w:hAnsi="宋体" w:eastAsia="宋体" w:cs="宋体"/>
                <w:color w:val="000000"/>
                <w:sz w:val="22"/>
                <w:szCs w:val="22"/>
                <w:highlight w:val="none"/>
                <w:lang w:bidi="ar"/>
              </w:rPr>
              <w:t xml:space="preserve">具有有效期内的中国环保产品认证证书（认证范围至少包含所投产品：</w:t>
            </w:r>
            <w:r>
              <w:rPr>
                <w:rFonts w:hint="eastAsia" w:ascii="宋体" w:hAnsi="宋体" w:eastAsia="宋体" w:cs="宋体"/>
                <w:color w:val="000000"/>
                <w:sz w:val="22"/>
                <w:szCs w:val="22"/>
                <w:highlight w:val="none"/>
                <w:lang w:eastAsia="zh-CN" w:bidi="ar"/>
              </w:rPr>
              <w:t xml:space="preserve">办公桌</w:t>
            </w:r>
            <w:r>
              <w:rPr>
                <w:rFonts w:hint="eastAsia" w:ascii="宋体" w:hAnsi="宋体" w:eastAsia="宋体" w:cs="宋体"/>
                <w:color w:val="000000"/>
                <w:sz w:val="22"/>
                <w:szCs w:val="22"/>
                <w:highlight w:val="none"/>
                <w:lang w:bidi="ar"/>
              </w:rPr>
              <w:t xml:space="preserve">、办公椅、</w:t>
            </w:r>
            <w:r>
              <w:rPr>
                <w:rFonts w:hint="eastAsia" w:ascii="宋体" w:hAnsi="宋体" w:eastAsia="宋体" w:cs="宋体"/>
                <w:color w:val="000000"/>
                <w:sz w:val="22"/>
                <w:szCs w:val="22"/>
                <w:highlight w:val="none"/>
                <w:lang w:eastAsia="zh-CN" w:bidi="ar"/>
              </w:rPr>
              <w:t xml:space="preserve">书包柜、</w:t>
            </w:r>
            <w:r>
              <w:rPr>
                <w:rFonts w:hint="eastAsia" w:ascii="宋体" w:hAnsi="宋体" w:eastAsia="宋体" w:cs="宋体"/>
                <w:color w:val="000000"/>
                <w:sz w:val="22"/>
                <w:szCs w:val="22"/>
                <w:highlight w:val="none"/>
                <w:lang w:bidi="ar"/>
              </w:rPr>
              <w:t xml:space="preserve">课桌、课椅），得</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 </w:t>
            </w:r>
            <w:r/>
          </w:p>
          <w:p>
            <w:pPr>
              <w:widowControl/>
              <w:rPr>
                <w:rFonts w:hint="eastAsia" w:ascii="宋体" w:hAnsi="宋体" w:eastAsia="宋体" w:cs="宋体"/>
                <w:color w:val="000000"/>
                <w:sz w:val="22"/>
                <w:szCs w:val="22"/>
              </w:rPr>
            </w:pPr>
            <w:r>
              <w:rPr>
                <w:rFonts w:hint="eastAsia" w:ascii="宋体" w:hAnsi="宋体" w:eastAsia="宋体" w:cs="宋体"/>
                <w:color w:val="000000"/>
                <w:sz w:val="22"/>
                <w:szCs w:val="22"/>
                <w:highlight w:val="none"/>
                <w:lang w:bidi="ar"/>
              </w:rPr>
              <w:t xml:space="preserve">2、</w:t>
            </w:r>
            <w:r>
              <w:rPr>
                <w:rFonts w:hint="eastAsia" w:ascii="宋体" w:hAnsi="宋体" w:eastAsia="宋体" w:cs="宋体"/>
                <w:color w:val="000000"/>
                <w:sz w:val="22"/>
                <w:szCs w:val="22"/>
                <w:highlight w:val="none"/>
              </w:rPr>
              <w:t xml:space="preserve">投标人或所投主要产品（或核心产品）生产商</w:t>
            </w:r>
            <w:r>
              <w:rPr>
                <w:rFonts w:hint="eastAsia" w:ascii="宋体" w:hAnsi="宋体" w:eastAsia="宋体" w:cs="宋体"/>
                <w:color w:val="000000"/>
                <w:sz w:val="22"/>
                <w:szCs w:val="22"/>
                <w:lang w:bidi="ar"/>
              </w:rPr>
              <w:t xml:space="preserve">具有有效期内的人类工效学认证证书（认证范围至少包含所投产品：</w:t>
            </w:r>
            <w:r>
              <w:rPr>
                <w:rFonts w:hint="eastAsia" w:ascii="宋体" w:hAnsi="宋体" w:eastAsia="宋体" w:cs="宋体"/>
                <w:color w:val="000000"/>
                <w:sz w:val="22"/>
                <w:szCs w:val="22"/>
                <w:lang w:eastAsia="zh-CN" w:bidi="ar"/>
              </w:rPr>
              <w:t xml:space="preserve">办公桌</w:t>
            </w:r>
            <w:r>
              <w:rPr>
                <w:rFonts w:hint="eastAsia" w:ascii="宋体" w:hAnsi="宋体" w:eastAsia="宋体" w:cs="宋体"/>
                <w:color w:val="000000"/>
                <w:sz w:val="22"/>
                <w:szCs w:val="22"/>
                <w:lang w:bidi="ar"/>
              </w:rPr>
              <w:t xml:space="preserve">、办公椅、</w:t>
            </w:r>
            <w:r>
              <w:rPr>
                <w:rFonts w:hint="eastAsia" w:ascii="宋体" w:hAnsi="宋体" w:eastAsia="宋体" w:cs="宋体"/>
                <w:color w:val="000000"/>
                <w:sz w:val="22"/>
                <w:szCs w:val="22"/>
                <w:lang w:eastAsia="zh-CN" w:bidi="ar"/>
              </w:rPr>
              <w:t xml:space="preserve">书包柜、</w:t>
            </w:r>
            <w:r>
              <w:rPr>
                <w:rFonts w:hint="eastAsia" w:ascii="宋体" w:hAnsi="宋体" w:eastAsia="宋体" w:cs="宋体"/>
                <w:color w:val="000000"/>
                <w:sz w:val="22"/>
                <w:szCs w:val="22"/>
                <w:lang w:bidi="ar"/>
              </w:rPr>
              <w:t xml:space="preserve">课桌、课椅），得</w:t>
            </w: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bidi="ar"/>
              </w:rPr>
              <w:t xml:space="preserve">分</w:t>
            </w:r>
            <w:r>
              <w:rPr>
                <w:rFonts w:hint="eastAsia" w:ascii="宋体" w:hAnsi="宋体" w:eastAsia="宋体" w:cs="宋体"/>
                <w:color w:val="000000"/>
                <w:sz w:val="22"/>
                <w:szCs w:val="22"/>
                <w:lang w:eastAsia="zh-CN" w:bidi="ar"/>
              </w:rPr>
              <w:t xml:space="preserve">。</w:t>
            </w:r>
            <w:r>
              <w:rPr>
                <w:rFonts w:hint="eastAsia" w:ascii="宋体" w:hAnsi="宋体" w:eastAsia="宋体" w:cs="宋体"/>
                <w:color w:val="000000"/>
                <w:sz w:val="22"/>
                <w:szCs w:val="22"/>
                <w:lang w:bidi="ar"/>
              </w:rPr>
              <w:t xml:space="preserve"> </w:t>
            </w:r>
            <w:r/>
          </w:p>
          <w:p>
            <w:pPr>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lang w:bidi="ar"/>
              </w:rPr>
              <w:t xml:space="preserve">3、</w:t>
            </w:r>
            <w:r>
              <w:rPr>
                <w:rFonts w:hint="eastAsia" w:ascii="宋体" w:hAnsi="宋体" w:eastAsia="宋体" w:cs="宋体"/>
                <w:color w:val="000000"/>
                <w:sz w:val="22"/>
                <w:szCs w:val="22"/>
                <w:highlight w:val="none"/>
              </w:rPr>
              <w:t xml:space="preserve">投标人或所投主要产品（或核心产品）</w:t>
            </w:r>
            <w:r>
              <w:rPr>
                <w:rFonts w:hint="eastAsia" w:ascii="宋体" w:hAnsi="宋体" w:eastAsia="宋体" w:cs="宋体"/>
                <w:color w:val="000000"/>
                <w:sz w:val="22"/>
                <w:szCs w:val="22"/>
              </w:rPr>
              <w:t xml:space="preserve">生产商</w:t>
            </w:r>
            <w:r>
              <w:rPr>
                <w:rFonts w:hint="eastAsia" w:ascii="宋体" w:hAnsi="宋体" w:eastAsia="宋体" w:cs="宋体"/>
                <w:color w:val="000000"/>
                <w:sz w:val="22"/>
                <w:szCs w:val="22"/>
                <w:lang w:bidi="ar"/>
              </w:rPr>
              <w:t xml:space="preserve">具有有效期内的</w:t>
            </w:r>
            <w:r>
              <w:rPr>
                <w:rFonts w:hint="eastAsia" w:ascii="宋体" w:hAnsi="宋体" w:eastAsia="宋体" w:cs="宋体"/>
                <w:color w:val="000000"/>
                <w:sz w:val="22"/>
                <w:szCs w:val="22"/>
                <w:highlight w:val="none"/>
                <w:lang w:val="en-US" w:eastAsia="zh-CN"/>
              </w:rPr>
              <w:t xml:space="preserve">家具产品总挥发性有机化合物限量产品</w:t>
            </w:r>
            <w:r>
              <w:rPr>
                <w:rFonts w:hint="eastAsia" w:ascii="宋体" w:hAnsi="宋体" w:eastAsia="宋体" w:cs="宋体"/>
                <w:color w:val="000000"/>
                <w:sz w:val="22"/>
                <w:szCs w:val="22"/>
                <w:highlight w:val="none"/>
              </w:rPr>
              <w:t xml:space="preserve">认证证</w:t>
            </w:r>
            <w:r>
              <w:rPr>
                <w:rFonts w:hint="eastAsia" w:ascii="宋体" w:hAnsi="宋体" w:eastAsia="宋体" w:cs="宋体"/>
                <w:color w:val="000000"/>
                <w:sz w:val="22"/>
                <w:szCs w:val="22"/>
                <w:highlight w:val="none"/>
                <w:lang w:bidi="ar"/>
              </w:rPr>
              <w:t xml:space="preserve">书（认证范围至少包含所投产品：</w:t>
            </w:r>
            <w:r>
              <w:rPr>
                <w:rFonts w:hint="eastAsia" w:ascii="宋体" w:hAnsi="宋体" w:eastAsia="宋体" w:cs="宋体"/>
                <w:color w:val="000000"/>
                <w:sz w:val="22"/>
                <w:szCs w:val="22"/>
                <w:highlight w:val="none"/>
                <w:lang w:eastAsia="zh-CN" w:bidi="ar"/>
              </w:rPr>
              <w:t xml:space="preserve">办公桌</w:t>
            </w:r>
            <w:r>
              <w:rPr>
                <w:rFonts w:hint="eastAsia" w:ascii="宋体" w:hAnsi="宋体" w:eastAsia="宋体" w:cs="宋体"/>
                <w:color w:val="000000"/>
                <w:sz w:val="22"/>
                <w:szCs w:val="22"/>
                <w:highlight w:val="none"/>
                <w:lang w:bidi="ar"/>
              </w:rPr>
              <w:t xml:space="preserve">、办公椅、</w:t>
            </w:r>
            <w:r>
              <w:rPr>
                <w:rFonts w:hint="eastAsia" w:ascii="宋体" w:hAnsi="宋体" w:eastAsia="宋体" w:cs="宋体"/>
                <w:color w:val="000000"/>
                <w:sz w:val="22"/>
                <w:szCs w:val="22"/>
                <w:highlight w:val="none"/>
                <w:lang w:eastAsia="zh-CN" w:bidi="ar"/>
              </w:rPr>
              <w:t xml:space="preserve">书包柜、</w:t>
            </w:r>
            <w:r>
              <w:rPr>
                <w:rFonts w:hint="eastAsia" w:ascii="宋体" w:hAnsi="宋体" w:eastAsia="宋体" w:cs="宋体"/>
                <w:color w:val="000000"/>
                <w:sz w:val="22"/>
                <w:szCs w:val="22"/>
                <w:highlight w:val="none"/>
                <w:lang w:bidi="ar"/>
              </w:rPr>
              <w:t xml:space="preserve">课桌、课椅），得</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lang w:eastAsia="zh-CN" w:bidi="ar"/>
              </w:rPr>
              <w:t xml:space="preserve">。</w:t>
            </w:r>
            <w:r/>
          </w:p>
          <w:p>
            <w:pPr>
              <w:pStyle w:val="1000"/>
              <w:ind w:left="0"/>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lang w:val="en-US"/>
              </w:rPr>
              <w:t xml:space="preserve">4</w:t>
            </w:r>
            <w:r>
              <w:rPr>
                <w:rFonts w:hint="eastAsia" w:ascii="宋体" w:hAnsi="宋体" w:eastAsia="宋体" w:cs="宋体"/>
                <w:color w:val="000000"/>
                <w:sz w:val="22"/>
                <w:szCs w:val="22"/>
                <w:highlight w:val="none"/>
                <w:lang w:val="en-US"/>
              </w:rPr>
              <w:t xml:space="preserve">、</w:t>
            </w:r>
            <w:r>
              <w:rPr>
                <w:rFonts w:hint="eastAsia" w:ascii="宋体" w:hAnsi="宋体" w:eastAsia="宋体" w:cs="宋体"/>
                <w:color w:val="000000"/>
                <w:sz w:val="22"/>
                <w:szCs w:val="22"/>
                <w:highlight w:val="none"/>
              </w:rPr>
              <w:t xml:space="preserve">投标人或所投主要产品（或核心产品）生产商</w:t>
            </w:r>
            <w:r>
              <w:rPr>
                <w:rFonts w:hint="eastAsia" w:ascii="宋体" w:hAnsi="宋体" w:eastAsia="宋体" w:cs="宋体"/>
                <w:color w:val="000000"/>
                <w:sz w:val="22"/>
                <w:szCs w:val="22"/>
                <w:highlight w:val="none"/>
                <w:lang w:val="en-US" w:bidi="ar"/>
              </w:rPr>
              <w:t xml:space="preserve">具有有效期内的中国绿色产品认证证书（认证范围至少包含所投产品：</w:t>
            </w:r>
            <w:r>
              <w:rPr>
                <w:rFonts w:hint="eastAsia" w:ascii="宋体" w:hAnsi="宋体" w:eastAsia="宋体" w:cs="宋体"/>
                <w:color w:val="000000"/>
                <w:sz w:val="22"/>
                <w:szCs w:val="22"/>
                <w:highlight w:val="none"/>
                <w:lang w:eastAsia="zh-CN" w:bidi="ar"/>
              </w:rPr>
              <w:t xml:space="preserve">办公桌</w:t>
            </w:r>
            <w:r>
              <w:rPr>
                <w:rFonts w:hint="eastAsia" w:ascii="宋体" w:hAnsi="宋体" w:eastAsia="宋体" w:cs="宋体"/>
                <w:color w:val="000000"/>
                <w:sz w:val="22"/>
                <w:szCs w:val="22"/>
                <w:highlight w:val="none"/>
                <w:lang w:bidi="ar"/>
              </w:rPr>
              <w:t xml:space="preserve">、办公椅、</w:t>
            </w:r>
            <w:r>
              <w:rPr>
                <w:rFonts w:hint="eastAsia" w:ascii="宋体" w:hAnsi="宋体" w:eastAsia="宋体" w:cs="宋体"/>
                <w:color w:val="000000"/>
                <w:sz w:val="22"/>
                <w:szCs w:val="22"/>
                <w:highlight w:val="none"/>
                <w:lang w:eastAsia="zh-CN" w:bidi="ar"/>
              </w:rPr>
              <w:t xml:space="preserve">书包柜、</w:t>
            </w:r>
            <w:r>
              <w:rPr>
                <w:rFonts w:hint="eastAsia" w:ascii="宋体" w:hAnsi="宋体" w:eastAsia="宋体" w:cs="宋体"/>
                <w:color w:val="000000"/>
                <w:sz w:val="22"/>
                <w:szCs w:val="22"/>
                <w:highlight w:val="none"/>
                <w:lang w:bidi="ar"/>
              </w:rPr>
              <w:t xml:space="preserve">课桌、课椅</w:t>
            </w:r>
            <w:r>
              <w:rPr>
                <w:rFonts w:hint="eastAsia" w:ascii="宋体" w:hAnsi="宋体" w:eastAsia="宋体" w:cs="宋体"/>
                <w:color w:val="000000"/>
                <w:sz w:val="22"/>
                <w:szCs w:val="22"/>
                <w:highlight w:val="none"/>
                <w:lang w:val="en-US" w:bidi="ar"/>
              </w:rPr>
              <w:t xml:space="preserve">），得</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val="en-US" w:bidi="ar"/>
              </w:rPr>
              <w:t xml:space="preserve">分</w:t>
            </w:r>
            <w:r>
              <w:rPr>
                <w:rFonts w:hint="eastAsia" w:ascii="宋体" w:hAnsi="宋体" w:eastAsia="宋体" w:cs="宋体"/>
                <w:color w:val="000000"/>
                <w:sz w:val="22"/>
                <w:szCs w:val="22"/>
                <w:highlight w:val="none"/>
                <w:lang w:val="en-US" w:eastAsia="zh-CN" w:bidi="ar"/>
              </w:rPr>
              <w:t xml:space="preserve">。</w:t>
            </w:r>
            <w:r/>
          </w:p>
          <w:p>
            <w:pPr>
              <w:rPr>
                <w:rFonts w:hint="eastAsia" w:ascii="宋体" w:hAnsi="宋体" w:eastAsia="宋体" w:cs="宋体"/>
                <w:color w:val="000000"/>
                <w:sz w:val="22"/>
                <w:szCs w:val="22"/>
                <w:lang w:bidi="ar"/>
              </w:rPr>
            </w:pPr>
            <w:r>
              <w:rPr>
                <w:rFonts w:hint="eastAsia" w:ascii="宋体" w:hAnsi="宋体" w:eastAsia="宋体" w:cs="宋体"/>
                <w:color w:val="000000"/>
                <w:sz w:val="22"/>
                <w:szCs w:val="22"/>
                <w:highlight w:val="none"/>
                <w:lang w:bidi="ar"/>
              </w:rPr>
              <w:t xml:space="preserve">5、</w:t>
            </w:r>
            <w:r>
              <w:rPr>
                <w:rFonts w:hint="eastAsia" w:ascii="宋体" w:hAnsi="宋体" w:eastAsia="宋体" w:cs="宋体"/>
                <w:color w:val="000000"/>
                <w:sz w:val="22"/>
                <w:szCs w:val="22"/>
                <w:highlight w:val="none"/>
              </w:rPr>
              <w:t xml:space="preserve">投标人或所投主要产品（或核心产品）生产商</w:t>
            </w:r>
            <w:r>
              <w:rPr>
                <w:rFonts w:hint="eastAsia" w:ascii="宋体" w:hAnsi="宋体" w:eastAsia="宋体" w:cs="宋体"/>
                <w:color w:val="000000"/>
                <w:sz w:val="22"/>
                <w:szCs w:val="22"/>
                <w:highlight w:val="none"/>
                <w:lang w:bidi="ar"/>
              </w:rPr>
              <w:t xml:space="preserve">具</w:t>
            </w:r>
            <w:r>
              <w:rPr>
                <w:rFonts w:hint="eastAsia" w:ascii="宋体" w:hAnsi="宋体" w:eastAsia="宋体" w:cs="宋体"/>
                <w:color w:val="000000"/>
                <w:sz w:val="22"/>
                <w:szCs w:val="22"/>
                <w:lang w:bidi="ar"/>
              </w:rPr>
              <w:t xml:space="preserve">有有效期内的家具</w:t>
            </w:r>
            <w:r>
              <w:rPr>
                <w:rFonts w:hint="eastAsia" w:ascii="宋体" w:hAnsi="宋体" w:eastAsia="宋体" w:cs="宋体"/>
                <w:color w:val="000000"/>
                <w:sz w:val="22"/>
                <w:szCs w:val="22"/>
                <w:lang w:eastAsia="zh-CN" w:bidi="ar"/>
              </w:rPr>
              <w:t xml:space="preserve">防火阻燃产品</w:t>
            </w:r>
            <w:r>
              <w:rPr>
                <w:rFonts w:hint="eastAsia" w:ascii="宋体" w:hAnsi="宋体" w:eastAsia="宋体" w:cs="宋体"/>
                <w:color w:val="000000"/>
                <w:sz w:val="22"/>
                <w:szCs w:val="22"/>
                <w:lang w:bidi="ar"/>
              </w:rPr>
              <w:t xml:space="preserve">认证证书（认证范围至少包含所投产品：</w:t>
            </w:r>
            <w:r>
              <w:rPr>
                <w:rFonts w:hint="eastAsia" w:ascii="宋体" w:hAnsi="宋体" w:eastAsia="宋体" w:cs="宋体"/>
                <w:color w:val="000000"/>
                <w:sz w:val="22"/>
                <w:szCs w:val="22"/>
                <w:lang w:eastAsia="zh-CN" w:bidi="ar"/>
              </w:rPr>
              <w:t xml:space="preserve">办公桌</w:t>
            </w:r>
            <w:r>
              <w:rPr>
                <w:rFonts w:hint="eastAsia" w:ascii="宋体" w:hAnsi="宋体" w:eastAsia="宋体" w:cs="宋体"/>
                <w:color w:val="000000"/>
                <w:sz w:val="22"/>
                <w:szCs w:val="22"/>
                <w:lang w:bidi="ar"/>
              </w:rPr>
              <w:t xml:space="preserve">、办公椅、</w:t>
            </w:r>
            <w:r>
              <w:rPr>
                <w:rFonts w:hint="eastAsia" w:ascii="宋体" w:hAnsi="宋体" w:eastAsia="宋体" w:cs="宋体"/>
                <w:color w:val="000000"/>
                <w:sz w:val="22"/>
                <w:szCs w:val="22"/>
                <w:lang w:eastAsia="zh-CN" w:bidi="ar"/>
              </w:rPr>
              <w:t xml:space="preserve">书包柜、</w:t>
            </w:r>
            <w:r>
              <w:rPr>
                <w:rFonts w:hint="eastAsia" w:ascii="宋体" w:hAnsi="宋体" w:eastAsia="宋体" w:cs="宋体"/>
                <w:color w:val="000000"/>
                <w:sz w:val="22"/>
                <w:szCs w:val="22"/>
                <w:lang w:bidi="ar"/>
              </w:rPr>
              <w:t xml:space="preserve">课桌、课椅），得</w:t>
            </w: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bidi="ar"/>
              </w:rPr>
              <w:t xml:space="preserve">分</w:t>
            </w:r>
            <w:r>
              <w:rPr>
                <w:rFonts w:hint="eastAsia" w:ascii="宋体" w:hAnsi="宋体" w:eastAsia="宋体" w:cs="宋体"/>
                <w:color w:val="000000"/>
                <w:sz w:val="22"/>
                <w:szCs w:val="22"/>
                <w:lang w:eastAsia="zh-CN" w:bidi="ar"/>
              </w:rPr>
              <w:t xml:space="preserve">。</w:t>
            </w:r>
            <w:r/>
          </w:p>
          <w:p>
            <w:pPr>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本项最多</w:t>
            </w:r>
            <w:r>
              <w:rPr>
                <w:rFonts w:hint="eastAsia" w:ascii="宋体" w:hAnsi="宋体" w:eastAsia="宋体" w:cs="宋体"/>
                <w:color w:val="000000"/>
                <w:sz w:val="22"/>
                <w:szCs w:val="22"/>
                <w:lang w:val="en-US" w:eastAsia="zh-CN" w:bidi="ar"/>
              </w:rPr>
              <w:t xml:space="preserve">5</w:t>
            </w:r>
            <w:r>
              <w:rPr>
                <w:rFonts w:hint="eastAsia" w:ascii="宋体" w:hAnsi="宋体" w:eastAsia="宋体" w:cs="宋体"/>
                <w:color w:val="000000"/>
                <w:sz w:val="22"/>
                <w:szCs w:val="22"/>
                <w:lang w:bidi="ar"/>
              </w:rPr>
              <w:t xml:space="preserve">分，提供证书原件扫描件及全国认证认可信息公共服务平台证书有效的查询截图，未提供不得分。 </w:t>
            </w:r>
            <w:r/>
          </w:p>
          <w:p>
            <w:pPr>
              <w:ind w:firstLine="210"/>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注：(1)以上证书及范围应进行明显标注，采用如箭头、标红或下划线等标注方式，方便评委查看。(2)允许提供的证书认证范围产品名称与评分标准给定名称有差别，但不能改变产品实质性内容(功能)，如提供的产品名称不一致，须提供产品内容(功能)说明及包含的关键信息，相应内容(功能)应符合采购需求，否则不得分。</w:t>
            </w:r>
            <w:r/>
          </w:p>
        </w:tc>
        <w:tc>
          <w:tcPr>
            <w:tcW w:w="647" w:type="dxa"/>
            <w:vAlign w:val="center"/>
            <w:textDirection w:val="lrTb"/>
            <w:noWrap w:val="false"/>
          </w:tcPr>
          <w:p>
            <w:pPr>
              <w:jc w:val="center"/>
              <w:spacing w:before="68"/>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5</w:t>
            </w:r>
            <w:r/>
          </w:p>
        </w:tc>
        <w:tc>
          <w:tcPr>
            <w:tcW w:w="900" w:type="dxa"/>
            <w:vAlign w:val="center"/>
            <w:textDirection w:val="lrTb"/>
            <w:noWrap w:val="false"/>
          </w:tcPr>
          <w:p>
            <w:pPr>
              <w:jc w:val="center"/>
              <w:spacing w:before="68"/>
              <w:rPr>
                <w:rFonts w:hint="eastAsia" w:ascii="宋体" w:hAnsi="宋体" w:eastAsia="宋体" w:cs="宋体"/>
                <w:color w:val="000000"/>
                <w:spacing w:val="-6"/>
                <w:sz w:val="22"/>
                <w:szCs w:val="22"/>
              </w:rPr>
            </w:pPr>
            <w:r>
              <w:rPr>
                <w:rFonts w:hint="eastAsia" w:ascii="宋体" w:hAnsi="宋体" w:eastAsia="宋体" w:cs="宋体"/>
                <w:color w:val="000000"/>
                <w:spacing w:val="-6"/>
                <w:sz w:val="22"/>
                <w:szCs w:val="22"/>
              </w:rPr>
              <w:t xml:space="preserve">客观分</w:t>
            </w:r>
            <w:r/>
          </w:p>
        </w:tc>
      </w:tr>
      <w:tr>
        <w:trPr>
          <w:jc w:val="center"/>
          <w:trHeight w:val="472"/>
        </w:trPr>
        <w:tc>
          <w:tcPr>
            <w:gridSpan w:val="5"/>
            <w:tcW w:w="9575" w:type="dxa"/>
            <w:vAlign w:val="center"/>
            <w:textDirection w:val="lrTb"/>
            <w:noWrap w:val="false"/>
          </w:tcPr>
          <w:p>
            <w:pPr>
              <w:jc w:val="left"/>
              <w:spacing w:before="68"/>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3.服务</w:t>
            </w:r>
            <w:r/>
          </w:p>
        </w:tc>
      </w:tr>
      <w:tr>
        <w:trPr>
          <w:jc w:val="center"/>
          <w:trHeight w:val="393"/>
        </w:trPr>
        <w:tc>
          <w:tcPr>
            <w:tcW w:w="519" w:type="dxa"/>
            <w:vAlign w:val="center"/>
            <w:textDirection w:val="lrTb"/>
            <w:noWrap w:val="false"/>
          </w:tcPr>
          <w:p>
            <w:pPr>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3.1</w:t>
            </w:r>
            <w:r/>
          </w:p>
        </w:tc>
        <w:tc>
          <w:tcPr>
            <w:tcW w:w="1179" w:type="dxa"/>
            <w:vAlign w:val="center"/>
            <w:textDirection w:val="lrTb"/>
            <w:noWrap w:val="false"/>
          </w:tcPr>
          <w:p>
            <w:pP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售后服务方案</w:t>
            </w:r>
            <w:r/>
          </w:p>
        </w:tc>
        <w:tc>
          <w:tcPr>
            <w:tcW w:w="6330" w:type="dxa"/>
            <w:vAlign w:val="center"/>
            <w:textDirection w:val="lrTb"/>
            <w:noWrap w:val="false"/>
          </w:tcPr>
          <w:p>
            <w:pPr>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评委根据投标人提供的项目</w:t>
            </w:r>
            <w:r>
              <w:rPr>
                <w:rFonts w:hint="eastAsia" w:ascii="宋体" w:hAnsi="宋体" w:eastAsia="宋体" w:cs="宋体"/>
                <w:sz w:val="22"/>
                <w:szCs w:val="22"/>
                <w:highlight w:val="none"/>
                <w:lang w:val="en-US" w:eastAsia="zh-CN"/>
              </w:rPr>
              <w:t xml:space="preserve">售后服务</w:t>
            </w:r>
            <w:r>
              <w:rPr>
                <w:rFonts w:hint="eastAsia" w:ascii="宋体" w:hAnsi="宋体" w:eastAsia="宋体" w:cs="宋体"/>
                <w:sz w:val="22"/>
                <w:szCs w:val="22"/>
                <w:highlight w:val="none"/>
              </w:rPr>
              <w:t xml:space="preserve">方案综合评分（每项内容逐条阐述）：</w:t>
            </w:r>
            <w:r/>
          </w:p>
          <w:p>
            <w:pPr>
              <w:pStyle w:val="1042"/>
              <w:rPr>
                <w:rFonts w:hint="eastAsia" w:ascii="宋体" w:hAnsi="宋体" w:eastAsia="宋体" w:cs="宋体"/>
                <w:color w:val="000000"/>
                <w:sz w:val="22"/>
                <w:szCs w:val="22"/>
                <w:highlight w:val="none"/>
                <w:lang w:val="en-US" w:eastAsia="zh-CN" w:bidi="ar-SA"/>
              </w:rPr>
            </w:pPr>
            <w:r>
              <w:rPr>
                <w:rFonts w:hint="eastAsia" w:ascii="宋体" w:hAnsi="宋体" w:eastAsia="宋体" w:cs="宋体"/>
                <w:sz w:val="22"/>
                <w:szCs w:val="22"/>
                <w:highlight w:val="none"/>
                <w:lang w:val="zh-CN"/>
              </w:rPr>
              <w:t xml:space="preserve">包括</w:t>
            </w:r>
            <w:r>
              <w:rPr>
                <w:rFonts w:hint="eastAsia" w:ascii="宋体" w:hAnsi="宋体" w:eastAsia="宋体" w:cs="宋体"/>
                <w:sz w:val="22"/>
                <w:szCs w:val="22"/>
                <w:highlight w:val="none"/>
              </w:rPr>
              <w:t xml:space="preserve">但不限于：</w:t>
            </w: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bidi="ar-SA"/>
              </w:rPr>
              <w:t xml:space="preserve">服务内容</w:t>
            </w: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bidi="ar-SA"/>
              </w:rPr>
              <w:t xml:space="preserve">故障解决方案</w:t>
            </w: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bidi="ar-SA"/>
              </w:rPr>
              <w:t xml:space="preserve">响应时间</w:t>
            </w:r>
            <w:r>
              <w:rPr>
                <w:rFonts w:hint="eastAsia" w:ascii="宋体" w:hAnsi="宋体" w:eastAsia="宋体" w:cs="宋体"/>
                <w:color w:val="000000"/>
                <w:sz w:val="22"/>
                <w:szCs w:val="22"/>
                <w:highlight w:val="none"/>
                <w:lang w:val="en-US" w:eastAsia="zh-CN" w:bidi="ar-SA"/>
              </w:rPr>
              <w:t xml:space="preserve">；4.培训方案；5.</w:t>
            </w:r>
            <w:r>
              <w:rPr>
                <w:rFonts w:hint="eastAsia" w:ascii="宋体" w:hAnsi="宋体" w:eastAsia="宋体" w:cs="宋体"/>
                <w:color w:val="000000"/>
                <w:sz w:val="22"/>
                <w:szCs w:val="22"/>
                <w:highlight w:val="none"/>
                <w:lang w:val="en-US" w:bidi="ar-SA"/>
              </w:rPr>
              <w:t xml:space="preserve">技术人员保障服务电话</w:t>
            </w:r>
            <w:r>
              <w:rPr>
                <w:rFonts w:hint="eastAsia" w:ascii="宋体" w:hAnsi="宋体" w:eastAsia="宋体" w:cs="宋体"/>
                <w:color w:val="000000"/>
                <w:sz w:val="22"/>
                <w:szCs w:val="22"/>
                <w:highlight w:val="none"/>
                <w:lang w:val="en-US" w:eastAsia="zh-CN" w:bidi="ar-SA"/>
              </w:rPr>
              <w:t xml:space="preserve">。</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(1)上述每项内容完整、科学性、合理性、操作性强的，得1分；</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(2)上述每项内容基本完整、基本科学合理，有可操作性的，得0.5分；</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(3)上述每项内容不完整、不科学合理、不具可操作性或未提供的不得分。</w:t>
            </w:r>
            <w:r/>
          </w:p>
          <w:p>
            <w:pPr>
              <w:pStyle w:val="1042"/>
              <w:rPr>
                <w:rFonts w:hint="eastAsia" w:ascii="宋体" w:hAnsi="宋体" w:eastAsia="宋体" w:cs="宋体"/>
                <w:color w:val="000000"/>
                <w:sz w:val="22"/>
                <w:szCs w:val="22"/>
                <w:highlight w:val="none"/>
                <w:lang w:val="en-US" w:bidi="ar-SA"/>
              </w:rPr>
            </w:pPr>
            <w:r>
              <w:rPr>
                <w:rFonts w:hint="eastAsia" w:ascii="宋体" w:hAnsi="宋体" w:eastAsia="宋体" w:cs="宋体"/>
                <w:sz w:val="22"/>
                <w:szCs w:val="22"/>
                <w:highlight w:val="none"/>
              </w:rPr>
              <w:t xml:space="preserve">本项最多得5分，未提供不得分。</w:t>
            </w:r>
            <w:r/>
          </w:p>
        </w:tc>
        <w:tc>
          <w:tcPr>
            <w:tcW w:w="647" w:type="dxa"/>
            <w:vAlign w:val="center"/>
            <w:textDirection w:val="lrTb"/>
            <w:noWrap w:val="false"/>
          </w:tcPr>
          <w:p>
            <w:pPr>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W w:w="900" w:type="dxa"/>
            <w:vAlign w:val="center"/>
            <w:textDirection w:val="lrTb"/>
            <w:noWrap w:val="false"/>
          </w:tcPr>
          <w:p>
            <w:pPr>
              <w:jc w:val="center"/>
              <w:spacing w:before="68"/>
              <w:rPr>
                <w:rFonts w:hint="eastAsia" w:ascii="宋体" w:hAnsi="宋体" w:eastAsia="宋体" w:cs="宋体"/>
                <w:color w:val="000000"/>
                <w:spacing w:val="-6"/>
                <w:sz w:val="22"/>
                <w:szCs w:val="22"/>
                <w:highlight w:val="red"/>
              </w:rPr>
            </w:pPr>
            <w:r>
              <w:rPr>
                <w:rFonts w:hint="eastAsia" w:ascii="宋体" w:hAnsi="宋体" w:eastAsia="宋体" w:cs="宋体"/>
                <w:color w:val="000000"/>
                <w:spacing w:val="-6"/>
                <w:sz w:val="22"/>
                <w:szCs w:val="22"/>
                <w:highlight w:val="none"/>
              </w:rPr>
              <w:t xml:space="preserve">主观分</w:t>
            </w:r>
            <w:r/>
          </w:p>
        </w:tc>
      </w:tr>
      <w:tr>
        <w:trPr>
          <w:jc w:val="center"/>
          <w:trHeight w:val="133"/>
        </w:trPr>
        <w:tc>
          <w:tcPr>
            <w:tcW w:w="519" w:type="dxa"/>
            <w:vAlign w:val="center"/>
            <w:textDirection w:val="lrTb"/>
            <w:noWrap w:val="false"/>
          </w:tcPr>
          <w:p>
            <w:pPr>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3.2</w:t>
            </w:r>
            <w:r/>
          </w:p>
        </w:tc>
        <w:tc>
          <w:tcPr>
            <w:tcW w:w="1179" w:type="dxa"/>
            <w:vAlign w:val="center"/>
            <w:textDirection w:val="lrTb"/>
            <w:noWrap w:val="false"/>
          </w:tcPr>
          <w:p>
            <w:pP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项目实施方案</w:t>
            </w:r>
            <w:r/>
          </w:p>
        </w:tc>
        <w:tc>
          <w:tcPr>
            <w:tcW w:w="6330" w:type="dxa"/>
            <w:vAlign w:val="center"/>
            <w:textDirection w:val="lrTb"/>
            <w:noWrap w:val="false"/>
          </w:tcPr>
          <w:p>
            <w:pPr>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评委根据投标人提供的项目实施方案综合评分（每项内容逐条阐述）：</w:t>
            </w:r>
            <w:r/>
          </w:p>
          <w:p>
            <w:pPr>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包括</w:t>
            </w:r>
            <w:r>
              <w:rPr>
                <w:rFonts w:hint="eastAsia" w:ascii="宋体" w:hAnsi="宋体" w:eastAsia="宋体" w:cs="宋体"/>
                <w:sz w:val="22"/>
                <w:szCs w:val="22"/>
                <w:highlight w:val="none"/>
              </w:rPr>
              <w:t xml:space="preserve">但不限于：1.</w:t>
            </w:r>
            <w:r>
              <w:rPr>
                <w:rFonts w:hint="eastAsia" w:ascii="宋体" w:hAnsi="宋体" w:eastAsia="宋体" w:cs="宋体"/>
                <w:color w:val="000000"/>
                <w:sz w:val="22"/>
                <w:szCs w:val="22"/>
                <w:highlight w:val="none"/>
                <w:lang w:val="en-US" w:bidi="ar-SA"/>
              </w:rPr>
              <w:t xml:space="preserve">实施目标</w:t>
            </w:r>
            <w:r>
              <w:rPr>
                <w:rFonts w:hint="eastAsia" w:ascii="宋体" w:hAnsi="宋体" w:eastAsia="宋体" w:cs="宋体"/>
                <w:color w:val="000000"/>
                <w:sz w:val="22"/>
                <w:szCs w:val="22"/>
                <w:highlight w:val="none"/>
                <w:lang w:val="en-US" w:eastAsia="zh-CN" w:bidi="ar-SA"/>
              </w:rPr>
              <w:t xml:space="preserve">及</w:t>
            </w:r>
            <w:r>
              <w:rPr>
                <w:rFonts w:hint="eastAsia" w:ascii="宋体" w:hAnsi="宋体" w:eastAsia="宋体" w:cs="宋体"/>
                <w:color w:val="000000"/>
                <w:sz w:val="22"/>
                <w:szCs w:val="22"/>
                <w:highlight w:val="none"/>
                <w:lang w:val="en-US" w:bidi="ar-SA"/>
              </w:rPr>
              <w:t xml:space="preserve">实施组织架构</w:t>
            </w:r>
            <w:r>
              <w:rPr>
                <w:rFonts w:hint="eastAsia" w:ascii="宋体" w:hAnsi="宋体" w:eastAsia="宋体" w:cs="宋体"/>
                <w:sz w:val="22"/>
                <w:szCs w:val="22"/>
                <w:highlight w:val="none"/>
              </w:rPr>
              <w:t xml:space="preserve">；2</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rPr>
              <w:t xml:space="preserve">供货进度保证措施；3.协调配合措施；4.文明施工；5.应急措施。</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(1)上述每项内容完整、科学性、合理性、操作性强的，得1分；</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(2)上述每项内容基本完整、基本科学合理，有可操作性的，得0.5分；</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(3)上述每项内容不完整、不科学合理、不具可操作性或未提供的不得分。</w:t>
            </w:r>
            <w:r/>
          </w:p>
          <w:p>
            <w:pPr>
              <w:pStyle w:val="1042"/>
              <w:rPr>
                <w:rFonts w:hint="eastAsia" w:ascii="宋体" w:hAnsi="宋体" w:eastAsia="宋体" w:cs="宋体"/>
                <w:color w:val="000000"/>
                <w:sz w:val="22"/>
                <w:szCs w:val="22"/>
                <w:highlight w:val="none"/>
                <w:lang w:val="en-US" w:bidi="ar-SA"/>
              </w:rPr>
            </w:pPr>
            <w:r>
              <w:rPr>
                <w:rFonts w:hint="eastAsia" w:ascii="宋体" w:hAnsi="宋体" w:eastAsia="宋体" w:cs="宋体"/>
                <w:sz w:val="22"/>
                <w:szCs w:val="22"/>
                <w:highlight w:val="none"/>
              </w:rPr>
              <w:t xml:space="preserve">本项最多得5分，未提供不得分。</w:t>
            </w:r>
            <w:r/>
          </w:p>
        </w:tc>
        <w:tc>
          <w:tcPr>
            <w:tcW w:w="647" w:type="dxa"/>
            <w:vAlign w:val="center"/>
            <w:textDirection w:val="lrTb"/>
            <w:noWrap w:val="false"/>
          </w:tcPr>
          <w:p>
            <w:pPr>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W w:w="900" w:type="dxa"/>
            <w:vAlign w:val="center"/>
            <w:textDirection w:val="lrTb"/>
            <w:noWrap w:val="false"/>
          </w:tcPr>
          <w:p>
            <w:pPr>
              <w:jc w:val="center"/>
              <w:spacing w:before="68"/>
              <w:rPr>
                <w:rFonts w:hint="eastAsia" w:ascii="宋体" w:hAnsi="宋体" w:eastAsia="宋体" w:cs="宋体"/>
                <w:color w:val="000000"/>
                <w:spacing w:val="-6"/>
                <w:sz w:val="22"/>
                <w:szCs w:val="22"/>
              </w:rPr>
            </w:pPr>
            <w:r>
              <w:rPr>
                <w:rFonts w:hint="eastAsia" w:ascii="宋体" w:hAnsi="宋体" w:eastAsia="宋体" w:cs="宋体"/>
                <w:color w:val="000000"/>
                <w:spacing w:val="-6"/>
                <w:sz w:val="22"/>
                <w:szCs w:val="22"/>
              </w:rPr>
              <w:t xml:space="preserve">主观分</w:t>
            </w:r>
            <w:r/>
          </w:p>
        </w:tc>
      </w:tr>
      <w:tr>
        <w:trPr>
          <w:jc w:val="center"/>
          <w:trHeight w:val="133"/>
        </w:trPr>
        <w:tc>
          <w:tcPr>
            <w:tcW w:w="519" w:type="dxa"/>
            <w:vAlign w:val="center"/>
            <w:textDirection w:val="lrTb"/>
            <w:noWrap w:val="false"/>
          </w:tcPr>
          <w:p>
            <w:pPr>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3.3</w:t>
            </w:r>
            <w:r/>
          </w:p>
        </w:tc>
        <w:tc>
          <w:tcPr>
            <w:tcW w:w="1179" w:type="dxa"/>
            <w:vAlign w:val="center"/>
            <w:textDirection w:val="lrTb"/>
            <w:noWrap w:val="false"/>
          </w:tcPr>
          <w:p>
            <w:pPr>
              <w:jc w:val="both"/>
              <w:spacing w:before="69"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质量控制方案</w:t>
            </w:r>
            <w:r/>
          </w:p>
        </w:tc>
        <w:tc>
          <w:tcPr>
            <w:tcW w:w="6330" w:type="dxa"/>
            <w:vAlign w:val="center"/>
            <w:textDirection w:val="lrTb"/>
            <w:noWrap w:val="false"/>
          </w:tcPr>
          <w:p>
            <w:pPr>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评委根据投标人提供的</w:t>
            </w:r>
            <w:r>
              <w:rPr>
                <w:rFonts w:hint="eastAsia" w:ascii="宋体" w:hAnsi="宋体" w:eastAsia="宋体" w:cs="宋体"/>
                <w:color w:val="000000"/>
                <w:sz w:val="22"/>
                <w:szCs w:val="22"/>
                <w:highlight w:val="none"/>
              </w:rPr>
              <w:t xml:space="preserve">质量控制方案</w:t>
            </w:r>
            <w:r>
              <w:rPr>
                <w:rFonts w:hint="eastAsia" w:ascii="宋体" w:hAnsi="宋体" w:eastAsia="宋体" w:cs="宋体"/>
                <w:sz w:val="22"/>
                <w:szCs w:val="22"/>
                <w:highlight w:val="none"/>
              </w:rPr>
              <w:t xml:space="preserve">综合评分（每项内容逐条阐述）：</w:t>
            </w:r>
            <w:r/>
          </w:p>
          <w:p>
            <w:pPr>
              <w:spacing w:line="288" w:lineRule="auto"/>
              <w:rPr>
                <w:rFonts w:hint="eastAsia" w:ascii="宋体" w:hAnsi="宋体" w:eastAsia="宋体" w:cs="宋体"/>
                <w:color w:val="000000"/>
                <w:sz w:val="22"/>
                <w:szCs w:val="22"/>
                <w:highlight w:val="none"/>
              </w:rPr>
            </w:pPr>
            <w:r>
              <w:rPr>
                <w:rFonts w:hint="eastAsia" w:ascii="宋体" w:hAnsi="宋体" w:eastAsia="宋体" w:cs="宋体"/>
                <w:sz w:val="22"/>
                <w:szCs w:val="22"/>
                <w:highlight w:val="none"/>
                <w:lang w:val="zh-CN"/>
              </w:rPr>
              <w:t xml:space="preserve">包括</w:t>
            </w:r>
            <w:r>
              <w:rPr>
                <w:rFonts w:hint="eastAsia" w:ascii="宋体" w:hAnsi="宋体" w:eastAsia="宋体" w:cs="宋体"/>
                <w:sz w:val="22"/>
                <w:szCs w:val="22"/>
                <w:highlight w:val="none"/>
              </w:rPr>
              <w:t xml:space="preserve">但不限于：</w:t>
            </w:r>
            <w:r>
              <w:rPr>
                <w:rFonts w:hint="eastAsia" w:ascii="宋体" w:hAnsi="宋体" w:eastAsia="宋体" w:cs="宋体"/>
                <w:sz w:val="22"/>
                <w:szCs w:val="22"/>
                <w:highlight w:val="none"/>
                <w:lang w:val="en-US" w:eastAsia="zh-CN"/>
              </w:rPr>
              <w:t xml:space="preserve">1.</w:t>
            </w:r>
            <w:r>
              <w:rPr>
                <w:rFonts w:hint="eastAsia" w:ascii="宋体" w:hAnsi="宋体" w:eastAsia="宋体" w:cs="宋体"/>
                <w:color w:val="000000"/>
                <w:sz w:val="22"/>
                <w:szCs w:val="22"/>
                <w:highlight w:val="none"/>
              </w:rPr>
              <w:t xml:space="preserve">家具生产工艺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家具生产流程</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家具生产过程环保检测</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家具质量检测</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5.验收方案。</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(1)上述每项内容完整、科学性、合理性、操作性强的，得1分；</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(2)上述每项内容基本完整、基本科学合理，有可操作性的，得0.5分；</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(3)上述每项内容不完整、不科学合理、不具可操作性或未提供的不得分。</w:t>
            </w:r>
            <w:r/>
          </w:p>
          <w:p>
            <w:pPr>
              <w:pStyle w:val="1042"/>
              <w:rPr>
                <w:rFonts w:hint="eastAsia" w:ascii="宋体" w:hAnsi="宋体" w:eastAsia="宋体" w:cs="宋体"/>
                <w:color w:val="000000"/>
                <w:sz w:val="22"/>
                <w:szCs w:val="22"/>
                <w:highlight w:val="none"/>
                <w:lang w:val="en-US" w:bidi="ar-SA"/>
              </w:rPr>
            </w:pPr>
            <w:r>
              <w:rPr>
                <w:rFonts w:hint="eastAsia" w:ascii="宋体" w:hAnsi="宋体" w:eastAsia="宋体" w:cs="宋体"/>
                <w:sz w:val="22"/>
                <w:szCs w:val="22"/>
                <w:highlight w:val="none"/>
              </w:rPr>
              <w:t xml:space="preserve">本项最多得5分，未提供不得分。</w:t>
            </w:r>
            <w:r/>
          </w:p>
        </w:tc>
        <w:tc>
          <w:tcPr>
            <w:tcW w:w="647" w:type="dxa"/>
            <w:vAlign w:val="center"/>
            <w:textDirection w:val="lrTb"/>
            <w:noWrap w:val="false"/>
          </w:tcPr>
          <w:p>
            <w:pPr>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W w:w="900" w:type="dxa"/>
            <w:vAlign w:val="center"/>
            <w:textDirection w:val="lrTb"/>
            <w:noWrap w:val="false"/>
          </w:tcPr>
          <w:p>
            <w:pPr>
              <w:jc w:val="center"/>
              <w:spacing w:before="68"/>
              <w:rPr>
                <w:rFonts w:hint="eastAsia" w:ascii="宋体" w:hAnsi="宋体" w:eastAsia="宋体" w:cs="宋体"/>
                <w:color w:val="000000"/>
                <w:spacing w:val="-6"/>
                <w:sz w:val="22"/>
                <w:szCs w:val="22"/>
              </w:rPr>
            </w:pPr>
            <w:r>
              <w:rPr>
                <w:rFonts w:hint="eastAsia" w:ascii="宋体" w:hAnsi="宋体" w:eastAsia="宋体" w:cs="宋体"/>
                <w:color w:val="000000"/>
                <w:spacing w:val="-6"/>
                <w:sz w:val="22"/>
                <w:szCs w:val="22"/>
              </w:rPr>
              <w:t xml:space="preserve">主观分</w:t>
            </w:r>
            <w:r/>
          </w:p>
        </w:tc>
      </w:tr>
      <w:tr>
        <w:trPr>
          <w:jc w:val="center"/>
          <w:trHeight w:val="455"/>
        </w:trPr>
        <w:tc>
          <w:tcPr>
            <w:gridSpan w:val="5"/>
            <w:tcW w:w="9575" w:type="dxa"/>
            <w:vAlign w:val="center"/>
            <w:textDirection w:val="lrTb"/>
            <w:noWrap w:val="false"/>
          </w:tcPr>
          <w:p>
            <w:pPr>
              <w:jc w:val="left"/>
              <w:spacing w:before="68"/>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4.业绩</w:t>
            </w:r>
            <w:r/>
          </w:p>
        </w:tc>
      </w:tr>
      <w:tr>
        <w:trPr>
          <w:jc w:val="center"/>
          <w:trHeight w:val="513"/>
        </w:trPr>
        <w:tc>
          <w:tcPr>
            <w:tcW w:w="519" w:type="dxa"/>
            <w:vAlign w:val="center"/>
            <w:textDirection w:val="lrTb"/>
            <w:noWrap w:val="false"/>
          </w:tcPr>
          <w:p>
            <w:pPr>
              <w:jc w:val="cente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4.1</w:t>
            </w:r>
            <w:r/>
          </w:p>
        </w:tc>
        <w:tc>
          <w:tcPr>
            <w:tcW w:w="1179" w:type="dxa"/>
            <w:vAlign w:val="center"/>
            <w:textDirection w:val="lrTb"/>
            <w:noWrap w:val="false"/>
          </w:tcPr>
          <w:p>
            <w:pPr>
              <w:spacing w:before="69"/>
              <w:rPr>
                <w:rFonts w:hint="eastAsia" w:ascii="宋体" w:hAnsi="宋体" w:eastAsia="宋体" w:cs="宋体"/>
                <w:color w:val="000000"/>
                <w:spacing w:val="-2"/>
                <w:sz w:val="22"/>
                <w:szCs w:val="22"/>
              </w:rPr>
            </w:pPr>
            <w:r>
              <w:rPr>
                <w:rFonts w:hint="eastAsia" w:ascii="宋体" w:hAnsi="宋体" w:eastAsia="宋体" w:cs="宋体"/>
                <w:color w:val="000000"/>
                <w:spacing w:val="-1"/>
                <w:sz w:val="22"/>
                <w:szCs w:val="22"/>
              </w:rPr>
              <w:t xml:space="preserve">投标人业绩</w:t>
            </w:r>
            <w:r/>
          </w:p>
        </w:tc>
        <w:tc>
          <w:tcPr>
            <w:tcW w:w="6330" w:type="dxa"/>
            <w:vAlign w:val="center"/>
            <w:textDirection w:val="lrTb"/>
            <w:noWrap w:val="false"/>
          </w:tcPr>
          <w:p>
            <w:pPr>
              <w:ind w:firstLine="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投标人提供202</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年1月1日（含）以来类似项目业绩（至少包含</w:t>
            </w:r>
            <w:r>
              <w:rPr>
                <w:rFonts w:hint="eastAsia" w:ascii="宋体" w:hAnsi="宋体" w:eastAsia="宋体" w:cs="宋体"/>
                <w:color w:val="000000"/>
                <w:sz w:val="22"/>
                <w:szCs w:val="22"/>
                <w:highlight w:val="none"/>
                <w:lang w:eastAsia="zh-CN"/>
              </w:rPr>
              <w:t xml:space="preserve">课桌</w:t>
            </w:r>
            <w:r>
              <w:rPr>
                <w:rFonts w:hint="eastAsia" w:ascii="宋体" w:hAnsi="宋体" w:cs="宋体"/>
                <w:color w:val="000000"/>
                <w:sz w:val="22"/>
                <w:szCs w:val="22"/>
                <w:highlight w:val="none"/>
                <w:lang w:eastAsia="zh-CN"/>
              </w:rPr>
              <w:t xml:space="preserve">椅</w:t>
            </w:r>
            <w:r>
              <w:rPr>
                <w:rFonts w:hint="eastAsia" w:ascii="宋体" w:hAnsi="宋体" w:cs="宋体"/>
                <w:color w:val="000000"/>
                <w:sz w:val="22"/>
                <w:szCs w:val="22"/>
                <w:highlight w:val="none"/>
                <w:lang w:val="en-US" w:eastAsia="zh-CN"/>
              </w:rPr>
              <w:t xml:space="preserve">或</w:t>
            </w:r>
            <w:r>
              <w:rPr>
                <w:rFonts w:hint="eastAsia" w:ascii="宋体" w:hAnsi="宋体" w:eastAsia="宋体" w:cs="宋体"/>
                <w:color w:val="000000"/>
                <w:sz w:val="22"/>
                <w:szCs w:val="22"/>
                <w:highlight w:val="none"/>
                <w:lang w:eastAsia="zh-CN"/>
              </w:rPr>
              <w:t xml:space="preserve">书包柜</w:t>
            </w:r>
            <w:r>
              <w:rPr>
                <w:rFonts w:hint="eastAsia" w:ascii="宋体" w:hAnsi="宋体" w:cs="宋体"/>
                <w:color w:val="000000"/>
                <w:sz w:val="22"/>
                <w:szCs w:val="22"/>
                <w:highlight w:val="none"/>
                <w:lang w:val="en-US" w:eastAsia="zh-CN"/>
              </w:rPr>
              <w:t xml:space="preserve">或</w:t>
            </w:r>
            <w:r>
              <w:rPr>
                <w:rFonts w:hint="eastAsia" w:ascii="宋体" w:hAnsi="宋体" w:cs="宋体"/>
                <w:color w:val="000000"/>
                <w:sz w:val="22"/>
                <w:szCs w:val="22"/>
                <w:highlight w:val="none"/>
                <w:lang w:eastAsia="zh-CN"/>
              </w:rPr>
              <w:t xml:space="preserve">办公桌椅</w:t>
            </w:r>
            <w:r>
              <w:rPr>
                <w:rFonts w:hint="eastAsia" w:ascii="宋体" w:hAnsi="宋体" w:eastAsia="宋体" w:cs="宋体"/>
                <w:color w:val="000000"/>
                <w:sz w:val="22"/>
                <w:szCs w:val="22"/>
                <w:highlight w:val="none"/>
              </w:rPr>
              <w:t xml:space="preserve">），每提供1个得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分，最多得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w:t>
            </w:r>
            <w:r/>
          </w:p>
          <w:p>
            <w:pPr>
              <w:rPr>
                <w:rFonts w:hint="eastAsia" w:ascii="宋体" w:hAnsi="宋体" w:eastAsia="宋体" w:cs="宋体"/>
                <w:color w:val="000000"/>
                <w:sz w:val="22"/>
                <w:szCs w:val="22"/>
                <w:lang w:bidi="zh-CN"/>
              </w:rPr>
            </w:pPr>
            <w:r>
              <w:rPr>
                <w:rFonts w:hint="eastAsia" w:ascii="宋体" w:hAnsi="宋体" w:eastAsia="宋体" w:cs="宋体"/>
                <w:color w:val="000000"/>
                <w:sz w:val="22"/>
                <w:szCs w:val="22"/>
                <w:highlight w:val="none"/>
              </w:rPr>
              <w:t xml:space="preserve">（时间以合同签订时间为准，</w:t>
            </w:r>
            <w:r>
              <w:rPr>
                <w:rFonts w:hint="eastAsia" w:ascii="宋体" w:hAnsi="宋体" w:eastAsia="宋体" w:cs="宋体"/>
                <w:color w:val="000000"/>
                <w:sz w:val="22"/>
                <w:szCs w:val="22"/>
                <w:highlight w:val="none"/>
                <w:lang w:bidi="ar"/>
              </w:rPr>
              <w:t xml:space="preserve">提供加盖采购人公章的</w:t>
            </w:r>
            <w:r>
              <w:rPr>
                <w:rFonts w:hint="eastAsia" w:ascii="宋体" w:hAnsi="宋体" w:cs="宋体"/>
                <w:color w:val="000000"/>
                <w:sz w:val="22"/>
                <w:szCs w:val="22"/>
                <w:highlight w:val="none"/>
                <w:lang w:val="en-US" w:eastAsia="zh-CN" w:bidi="ar"/>
              </w:rPr>
              <w:t xml:space="preserve">完整</w:t>
            </w:r>
            <w:r>
              <w:rPr>
                <w:rFonts w:hint="eastAsia" w:ascii="宋体" w:hAnsi="宋体" w:eastAsia="宋体" w:cs="宋体"/>
                <w:color w:val="000000"/>
                <w:sz w:val="22"/>
                <w:szCs w:val="22"/>
                <w:highlight w:val="none"/>
                <w:lang w:bidi="ar"/>
              </w:rPr>
              <w:t xml:space="preserve">合同、</w:t>
            </w:r>
            <w:r>
              <w:rPr>
                <w:rFonts w:hint="eastAsia" w:ascii="宋体" w:hAnsi="宋体" w:cs="宋体"/>
                <w:color w:val="000000"/>
                <w:sz w:val="22"/>
                <w:szCs w:val="22"/>
                <w:highlight w:val="none"/>
                <w:lang w:val="en-US" w:eastAsia="zh-CN" w:bidi="ar"/>
              </w:rPr>
              <w:t xml:space="preserve">完整</w:t>
            </w:r>
            <w:r>
              <w:rPr>
                <w:rFonts w:hint="eastAsia" w:ascii="宋体" w:hAnsi="宋体" w:eastAsia="宋体" w:cs="宋体"/>
                <w:color w:val="000000"/>
                <w:sz w:val="22"/>
                <w:szCs w:val="22"/>
                <w:highlight w:val="none"/>
                <w:lang w:bidi="ar"/>
              </w:rPr>
              <w:t xml:space="preserve">验收材料</w:t>
            </w:r>
            <w:r>
              <w:rPr>
                <w:rFonts w:hint="eastAsia" w:ascii="宋体" w:hAnsi="宋体" w:cs="宋体"/>
                <w:color w:val="000000"/>
                <w:sz w:val="22"/>
                <w:szCs w:val="22"/>
                <w:highlight w:val="none"/>
                <w:lang w:val="en-US" w:eastAsia="zh-CN" w:bidi="ar"/>
              </w:rPr>
              <w:t xml:space="preserve">等）</w:t>
            </w:r>
            <w:r/>
          </w:p>
        </w:tc>
        <w:tc>
          <w:tcPr>
            <w:tcW w:w="647" w:type="dxa"/>
            <w:vAlign w:val="center"/>
            <w:textDirection w:val="lrTb"/>
            <w:noWrap w:val="false"/>
          </w:tcPr>
          <w:p>
            <w:pPr>
              <w:jc w:val="center"/>
              <w:spacing w:before="68"/>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w:t>
            </w:r>
            <w:r/>
          </w:p>
        </w:tc>
        <w:tc>
          <w:tcPr>
            <w:tcW w:w="900" w:type="dxa"/>
            <w:vAlign w:val="center"/>
            <w:textDirection w:val="lrTb"/>
            <w:noWrap w:val="false"/>
          </w:tcPr>
          <w:p>
            <w:pPr>
              <w:jc w:val="center"/>
              <w:spacing w:before="68"/>
              <w:rPr>
                <w:rFonts w:hint="eastAsia" w:ascii="宋体" w:hAnsi="宋体" w:eastAsia="宋体" w:cs="宋体"/>
                <w:color w:val="000000"/>
                <w:sz w:val="22"/>
                <w:szCs w:val="22"/>
              </w:rPr>
            </w:pPr>
            <w:r>
              <w:rPr>
                <w:rFonts w:hint="eastAsia" w:ascii="宋体" w:hAnsi="宋体" w:eastAsia="宋体" w:cs="宋体"/>
                <w:color w:val="000000"/>
                <w:spacing w:val="-6"/>
                <w:sz w:val="22"/>
                <w:szCs w:val="22"/>
              </w:rPr>
              <w:t xml:space="preserve">客</w:t>
            </w:r>
            <w:r>
              <w:rPr>
                <w:rFonts w:hint="eastAsia" w:ascii="宋体" w:hAnsi="宋体" w:eastAsia="宋体" w:cs="宋体"/>
                <w:color w:val="000000"/>
                <w:spacing w:val="-4"/>
                <w:sz w:val="22"/>
                <w:szCs w:val="22"/>
              </w:rPr>
              <w:t xml:space="preserve">观分</w:t>
            </w:r>
            <w:r/>
          </w:p>
        </w:tc>
      </w:tr>
      <w:tr>
        <w:trPr>
          <w:jc w:val="center"/>
          <w:trHeight w:val="269"/>
        </w:trPr>
        <w:tc>
          <w:tcPr>
            <w:gridSpan w:val="5"/>
            <w:tcW w:w="9575" w:type="dxa"/>
            <w:vAlign w:val="top"/>
            <w:textDirection w:val="lrTb"/>
            <w:noWrap w:val="false"/>
          </w:tcPr>
          <w:p>
            <w:pPr>
              <w:jc w:val="left"/>
              <w:spacing w:before="68"/>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5.履约能力</w:t>
            </w:r>
            <w:r/>
          </w:p>
        </w:tc>
      </w:tr>
      <w:tr>
        <w:trPr>
          <w:jc w:val="center"/>
          <w:trHeight w:val="387"/>
        </w:trPr>
        <w:tc>
          <w:tcPr>
            <w:tcW w:w="519" w:type="dxa"/>
            <w:vAlign w:val="center"/>
            <w:textDirection w:val="lrTb"/>
            <w:noWrap w:val="false"/>
          </w:tcPr>
          <w:p>
            <w:pPr>
              <w:jc w:val="cente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5.1</w:t>
            </w:r>
            <w:r/>
          </w:p>
        </w:tc>
        <w:tc>
          <w:tcPr>
            <w:tcW w:w="1179" w:type="dxa"/>
            <w:vAlign w:val="center"/>
            <w:textDirection w:val="lrTb"/>
            <w:noWrap w:val="false"/>
          </w:tcPr>
          <w:p>
            <w:pPr>
              <w:spacing w:before="69"/>
              <w:rPr>
                <w:rFonts w:hint="eastAsia" w:ascii="宋体" w:hAnsi="宋体" w:eastAsia="宋体" w:cs="宋体"/>
                <w:color w:val="000000"/>
                <w:spacing w:val="-1"/>
                <w:sz w:val="22"/>
                <w:szCs w:val="22"/>
              </w:rPr>
            </w:pPr>
            <w:r>
              <w:rPr>
                <w:rFonts w:hint="eastAsia" w:ascii="宋体" w:hAnsi="宋体" w:eastAsia="宋体" w:cs="宋体"/>
                <w:color w:val="000000"/>
                <w:spacing w:val="-1"/>
                <w:sz w:val="22"/>
                <w:szCs w:val="22"/>
              </w:rPr>
              <w:t xml:space="preserve">履约能力</w:t>
            </w:r>
            <w:r/>
          </w:p>
        </w:tc>
        <w:tc>
          <w:tcPr>
            <w:tcW w:w="6330" w:type="dxa"/>
            <w:vAlign w:val="center"/>
            <w:textDirection w:val="lrTb"/>
            <w:noWrap w:val="false"/>
          </w:tcPr>
          <w:p>
            <w:pPr>
              <w:spacing w:line="276"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投标人或所投主要产品</w:t>
            </w:r>
            <w:r>
              <w:rPr>
                <w:rFonts w:hint="eastAsia" w:ascii="宋体" w:hAnsi="宋体" w:eastAsia="宋体" w:cs="宋体"/>
                <w:color w:val="000000"/>
                <w:sz w:val="22"/>
                <w:szCs w:val="22"/>
                <w:lang w:eastAsia="zh-CN"/>
              </w:rPr>
              <w:t xml:space="preserve">（或核心产品）</w:t>
            </w:r>
            <w:r>
              <w:rPr>
                <w:rFonts w:hint="eastAsia" w:ascii="宋体" w:hAnsi="宋体" w:eastAsia="宋体" w:cs="宋体"/>
                <w:color w:val="000000"/>
                <w:sz w:val="22"/>
                <w:szCs w:val="22"/>
              </w:rPr>
              <w:t xml:space="preserve">生产商</w:t>
            </w:r>
            <w:r>
              <w:rPr>
                <w:rFonts w:hint="eastAsia" w:ascii="宋体" w:hAnsi="宋体" w:eastAsia="宋体" w:cs="宋体"/>
                <w:color w:val="000000"/>
                <w:sz w:val="22"/>
                <w:szCs w:val="22"/>
                <w:lang w:bidi="ar"/>
              </w:rPr>
              <w:t xml:space="preserve">具有有效期内的绿色供应链认证证书，认证范围至少包含所投产品：</w:t>
            </w:r>
            <w:r>
              <w:rPr>
                <w:rFonts w:hint="eastAsia" w:ascii="宋体" w:hAnsi="宋体" w:eastAsia="宋体" w:cs="宋体"/>
                <w:color w:val="000000"/>
                <w:sz w:val="22"/>
                <w:szCs w:val="22"/>
                <w:lang w:eastAsia="zh-CN" w:bidi="ar"/>
              </w:rPr>
              <w:t xml:space="preserve">办公桌</w:t>
            </w:r>
            <w:r>
              <w:rPr>
                <w:rFonts w:hint="eastAsia" w:ascii="宋体" w:hAnsi="宋体" w:eastAsia="宋体" w:cs="宋体"/>
                <w:color w:val="000000"/>
                <w:sz w:val="22"/>
                <w:szCs w:val="22"/>
                <w:lang w:bidi="ar"/>
              </w:rPr>
              <w:t xml:space="preserve">、办公椅、</w:t>
            </w:r>
            <w:r>
              <w:rPr>
                <w:rFonts w:hint="eastAsia" w:ascii="宋体" w:hAnsi="宋体" w:eastAsia="宋体" w:cs="宋体"/>
                <w:color w:val="000000"/>
                <w:sz w:val="22"/>
                <w:szCs w:val="22"/>
                <w:lang w:eastAsia="zh-CN" w:bidi="ar"/>
              </w:rPr>
              <w:t xml:space="preserve">书包柜、</w:t>
            </w:r>
            <w:r>
              <w:rPr>
                <w:rFonts w:hint="eastAsia" w:ascii="宋体" w:hAnsi="宋体" w:eastAsia="宋体" w:cs="宋体"/>
                <w:color w:val="000000"/>
                <w:sz w:val="22"/>
                <w:szCs w:val="22"/>
                <w:lang w:bidi="ar"/>
              </w:rPr>
              <w:t xml:space="preserve">课桌、课椅，得2分。（上传报告扫描件至投标系统）</w:t>
            </w:r>
            <w:r/>
          </w:p>
        </w:tc>
        <w:tc>
          <w:tcPr>
            <w:tcW w:w="647" w:type="dxa"/>
            <w:vAlign w:val="center"/>
            <w:textDirection w:val="lrTb"/>
            <w:noWrap w:val="false"/>
          </w:tcPr>
          <w:p>
            <w:pPr>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W w:w="900" w:type="dxa"/>
            <w:vAlign w:val="center"/>
            <w:textDirection w:val="lrTb"/>
            <w:noWrap w:val="false"/>
          </w:tcPr>
          <w:p>
            <w:pPr>
              <w:jc w:val="center"/>
              <w:spacing w:before="68"/>
              <w:rPr>
                <w:rFonts w:hint="eastAsia" w:ascii="宋体" w:hAnsi="宋体" w:eastAsia="宋体" w:cs="宋体"/>
                <w:color w:val="000000"/>
                <w:sz w:val="22"/>
                <w:szCs w:val="22"/>
              </w:rPr>
            </w:pPr>
            <w:r>
              <w:rPr>
                <w:rFonts w:hint="eastAsia" w:ascii="宋体" w:hAnsi="宋体" w:eastAsia="宋体" w:cs="宋体"/>
                <w:color w:val="000000"/>
                <w:spacing w:val="-6"/>
                <w:sz w:val="22"/>
                <w:szCs w:val="22"/>
              </w:rPr>
              <w:t xml:space="preserve">客</w:t>
            </w:r>
            <w:r>
              <w:rPr>
                <w:rFonts w:hint="eastAsia" w:ascii="宋体" w:hAnsi="宋体" w:eastAsia="宋体" w:cs="宋体"/>
                <w:color w:val="000000"/>
                <w:spacing w:val="-4"/>
                <w:sz w:val="22"/>
                <w:szCs w:val="22"/>
              </w:rPr>
              <w:t xml:space="preserve">观分</w:t>
            </w:r>
            <w:r/>
          </w:p>
        </w:tc>
      </w:tr>
      <w:tr>
        <w:trPr>
          <w:jc w:val="center"/>
          <w:trHeight w:val="433"/>
        </w:trPr>
        <w:tc>
          <w:tcPr>
            <w:gridSpan w:val="5"/>
            <w:tcW w:w="9575" w:type="dxa"/>
            <w:vAlign w:val="center"/>
            <w:textDirection w:val="lrTb"/>
            <w:noWrap w:val="false"/>
          </w:tcPr>
          <w:p>
            <w:pPr>
              <w:jc w:val="left"/>
              <w:spacing w:before="68"/>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6.节能环保</w:t>
            </w:r>
            <w:r/>
          </w:p>
        </w:tc>
      </w:tr>
      <w:tr>
        <w:trPr>
          <w:jc w:val="center"/>
          <w:trHeight w:val="460"/>
        </w:trPr>
        <w:tc>
          <w:tcPr>
            <w:tcW w:w="519" w:type="dxa"/>
            <w:vAlign w:val="center"/>
            <w:textDirection w:val="lrTb"/>
            <w:noWrap w:val="false"/>
          </w:tcPr>
          <w:p>
            <w:pPr>
              <w:jc w:val="cente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6.1</w:t>
            </w:r>
            <w:r/>
          </w:p>
        </w:tc>
        <w:tc>
          <w:tcPr>
            <w:tcW w:w="1179" w:type="dxa"/>
            <w:vAlign w:val="center"/>
            <w:textDirection w:val="lrTb"/>
            <w:noWrap w:val="false"/>
          </w:tcPr>
          <w:p>
            <w:pPr>
              <w:spacing w:before="69"/>
              <w:rPr>
                <w:rFonts w:hint="eastAsia" w:ascii="宋体" w:hAnsi="宋体" w:eastAsia="宋体" w:cs="宋体"/>
                <w:color w:val="000000"/>
                <w:spacing w:val="-1"/>
                <w:sz w:val="22"/>
                <w:szCs w:val="22"/>
              </w:rPr>
            </w:pPr>
            <w:r>
              <w:rPr>
                <w:rFonts w:hint="eastAsia" w:ascii="宋体" w:hAnsi="宋体" w:eastAsia="宋体" w:cs="宋体"/>
                <w:color w:val="000000"/>
                <w:spacing w:val="-1"/>
                <w:sz w:val="22"/>
                <w:szCs w:val="22"/>
              </w:rPr>
              <w:t xml:space="preserve">节能环保</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1.投标产品属于财政部、国家发改委公布的</w:t>
            </w:r>
            <w:r>
              <w:rPr>
                <w:rFonts w:ascii="宋体" w:hAnsi="宋体" w:eastAsia="宋体" w:cs="宋体"/>
                <w:sz w:val="22"/>
                <w:szCs w:val="22"/>
              </w:rPr>
              <w:t xml:space="preserve">《节能产品政府采购品目清单》（财库〔2019〕19号）</w:t>
            </w:r>
            <w:r>
              <w:rPr>
                <w:rFonts w:hint="eastAsia" w:ascii="宋体" w:hAnsi="宋体" w:eastAsia="宋体" w:cs="宋体"/>
                <w:sz w:val="22"/>
                <w:szCs w:val="22"/>
                <w:lang w:val="en-US" w:eastAsia="zh-CN"/>
              </w:rPr>
              <w:t xml:space="preserve">范围内（政府强制采购产品除外）的，投标人提供国家确定的认证机构出具的、处于有效期之内的该节能产品认证证书的，有1个得0.5分，最多得1分。</w:t>
            </w:r>
            <w:r/>
          </w:p>
          <w:p>
            <w:pPr>
              <w:spacing w:line="264" w:lineRule="auto"/>
              <w:rPr>
                <w:rFonts w:hint="eastAsia" w:ascii="宋体" w:hAnsi="宋体" w:eastAsia="宋体" w:cs="宋体"/>
                <w:color w:val="000000"/>
                <w:sz w:val="22"/>
                <w:szCs w:val="22"/>
                <w:lang w:val="en-US"/>
              </w:rPr>
            </w:pPr>
            <w:r>
              <w:rPr>
                <w:rFonts w:hint="eastAsia" w:ascii="宋体" w:hAnsi="宋体" w:eastAsia="宋体" w:cs="宋体"/>
                <w:sz w:val="22"/>
                <w:szCs w:val="22"/>
                <w:lang w:val="en-US" w:eastAsia="zh-CN"/>
              </w:rPr>
              <w:t xml:space="preserve">2.投标产品属于财政部、生态环境部公布的《环境</w:t>
            </w:r>
            <w:r>
              <w:rPr>
                <w:rFonts w:ascii="宋体" w:hAnsi="宋体" w:eastAsia="宋体" w:cs="宋体"/>
                <w:sz w:val="22"/>
                <w:szCs w:val="22"/>
                <w:lang w:val="en-US" w:eastAsia="zh-CN"/>
              </w:rPr>
              <w:t xml:space="preserve">标志产品品目清单</w:t>
            </w:r>
            <w:r>
              <w:rPr>
                <w:rFonts w:hint="eastAsia" w:ascii="宋体" w:hAnsi="宋体" w:eastAsia="宋体" w:cs="宋体"/>
                <w:sz w:val="22"/>
                <w:szCs w:val="22"/>
                <w:lang w:val="en-US" w:eastAsia="zh-CN"/>
              </w:rPr>
              <w:t xml:space="preserve">》</w:t>
            </w:r>
            <w:r>
              <w:rPr>
                <w:rFonts w:ascii="宋体" w:hAnsi="宋体" w:eastAsia="宋体" w:cs="宋体"/>
                <w:sz w:val="22"/>
                <w:szCs w:val="22"/>
              </w:rPr>
              <w:t xml:space="preserve">（财库〔2019〕1</w:t>
            </w:r>
            <w:r>
              <w:rPr>
                <w:rFonts w:hint="eastAsia" w:ascii="宋体" w:hAnsi="宋体" w:eastAsia="宋体" w:cs="宋体"/>
                <w:sz w:val="22"/>
                <w:szCs w:val="22"/>
                <w:lang w:val="en-US" w:eastAsia="zh-CN"/>
              </w:rPr>
              <w:t xml:space="preserve">8</w:t>
            </w:r>
            <w:r>
              <w:rPr>
                <w:rFonts w:ascii="宋体" w:hAnsi="宋体" w:eastAsia="宋体" w:cs="宋体"/>
                <w:sz w:val="22"/>
                <w:szCs w:val="22"/>
              </w:rPr>
              <w:t xml:space="preserve">号）</w:t>
            </w:r>
            <w:r>
              <w:rPr>
                <w:rFonts w:hint="eastAsia" w:ascii="宋体" w:hAnsi="宋体" w:eastAsia="宋体" w:cs="宋体"/>
                <w:sz w:val="22"/>
                <w:szCs w:val="22"/>
                <w:lang w:val="en-US" w:eastAsia="zh-CN"/>
              </w:rPr>
              <w:t xml:space="preserve">范围内的，投标人提供国家确定的认证机构出具的、处于有效期内的该环境标志产品认证证书的，有1个得0.5分，最多得1分。</w:t>
            </w:r>
            <w:r/>
          </w:p>
        </w:tc>
        <w:tc>
          <w:tcPr>
            <w:tcW w:w="647" w:type="dxa"/>
            <w:vAlign w:val="center"/>
            <w:textDirection w:val="lrTb"/>
            <w:noWrap w:val="false"/>
          </w:tcPr>
          <w:p>
            <w:pPr>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W w:w="900" w:type="dxa"/>
            <w:vAlign w:val="center"/>
            <w:textDirection w:val="lrTb"/>
            <w:noWrap w:val="false"/>
          </w:tcPr>
          <w:p>
            <w:pPr>
              <w:jc w:val="center"/>
              <w:spacing w:before="68"/>
              <w:rPr>
                <w:rFonts w:hint="eastAsia" w:ascii="宋体" w:hAnsi="宋体" w:eastAsia="宋体" w:cs="宋体"/>
                <w:color w:val="000000"/>
                <w:spacing w:val="-6"/>
                <w:sz w:val="22"/>
                <w:szCs w:val="22"/>
              </w:rPr>
            </w:pPr>
            <w:r>
              <w:rPr>
                <w:rFonts w:hint="eastAsia" w:ascii="宋体" w:hAnsi="宋体" w:eastAsia="宋体" w:cs="宋体"/>
                <w:color w:val="000000"/>
                <w:spacing w:val="-6"/>
                <w:sz w:val="22"/>
                <w:szCs w:val="22"/>
              </w:rPr>
              <w:t xml:space="preserve">客观分</w:t>
            </w:r>
            <w:r/>
          </w:p>
        </w:tc>
      </w:tr>
      <w:tr>
        <w:trPr>
          <w:jc w:val="center"/>
          <w:trHeight w:val="464"/>
        </w:trPr>
        <w:tc>
          <w:tcPr>
            <w:tcW w:w="519"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pacing w:val="-3"/>
                <w:sz w:val="22"/>
                <w:szCs w:val="22"/>
              </w:rPr>
              <w:t xml:space="preserve">合</w:t>
            </w:r>
            <w:r>
              <w:rPr>
                <w:rFonts w:hint="eastAsia" w:ascii="宋体" w:hAnsi="宋体" w:eastAsia="宋体" w:cs="宋体"/>
                <w:color w:val="000000"/>
                <w:spacing w:val="-2"/>
                <w:sz w:val="22"/>
                <w:szCs w:val="22"/>
              </w:rPr>
              <w:t xml:space="preserve">计</w:t>
            </w:r>
            <w:r/>
          </w:p>
        </w:tc>
        <w:tc>
          <w:tcPr>
            <w:gridSpan w:val="2"/>
            <w:tcW w:w="7509" w:type="dxa"/>
            <w:vAlign w:val="center"/>
            <w:textDirection w:val="lrTb"/>
            <w:noWrap w:val="false"/>
          </w:tcPr>
          <w:p>
            <w:pPr>
              <w:ind w:left="172"/>
              <w:jc w:val="center"/>
              <w:spacing w:before="123"/>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r>
            <w:r/>
          </w:p>
        </w:tc>
        <w:tc>
          <w:tcPr>
            <w:gridSpan w:val="2"/>
            <w:tcW w:w="1547"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pacing w:val="-11"/>
                <w:sz w:val="22"/>
                <w:szCs w:val="22"/>
              </w:rPr>
              <w:t xml:space="preserve">100分</w:t>
            </w:r>
            <w:r/>
          </w:p>
        </w:tc>
      </w:tr>
    </w:tbl>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8"/>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9" w:name="_Hlt26955039"/>
      <w:r/>
      <w:bookmarkEnd w:id="199"/>
      <w:r/>
      <w:bookmarkStart w:id="200" w:name="_Hlt26671244"/>
      <w:r/>
      <w:bookmarkEnd w:id="200"/>
      <w:r/>
      <w:bookmarkStart w:id="201" w:name="_Toc26554094"/>
      <w:r/>
      <w:bookmarkStart w:id="202" w:name="_Toc49090576"/>
      <w:r/>
      <w:bookmarkStart w:id="203"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highlight w:val="none"/>
          <w:u w:val="none"/>
          <w:lang w:val="en-US" w:eastAsia="zh-CN"/>
        </w:rPr>
        <w:t xml:space="preserve">及委托代理人的身份证扫描件</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38"/>
        <w:rPr>
          <w:rFonts w:ascii="宋体" w:hAnsi="宋体"/>
          <w:sz w:val="24"/>
        </w:rPr>
      </w:pPr>
      <w:r>
        <w:rPr>
          <w:rFonts w:ascii="宋体" w:hAnsi="宋体"/>
          <w:sz w:val="24"/>
        </w:rPr>
      </w:r>
      <w:r/>
    </w:p>
    <w:p>
      <w:pPr>
        <w:pStyle w:val="1038"/>
        <w:rPr>
          <w:rFonts w:ascii="宋体" w:hAnsi="宋体"/>
          <w:sz w:val="24"/>
        </w:rPr>
      </w:pPr>
      <w:r>
        <w:rPr>
          <w:rFonts w:ascii="宋体" w:hAnsi="宋体"/>
          <w:sz w:val="24"/>
        </w:rPr>
      </w:r>
      <w:r/>
    </w:p>
    <w:p>
      <w:pPr>
        <w:pStyle w:val="1038"/>
        <w:rPr>
          <w:rFonts w:ascii="宋体" w:hAnsi="宋体"/>
          <w:sz w:val="24"/>
        </w:rPr>
      </w:pPr>
      <w:r>
        <w:rPr>
          <w:rFonts w:ascii="宋体" w:hAnsi="宋体"/>
          <w:sz w:val="24"/>
        </w:rPr>
      </w:r>
      <w:r/>
    </w:p>
    <w:p>
      <w:pPr>
        <w:pStyle w:val="1038"/>
        <w:rPr>
          <w:rFonts w:ascii="宋体" w:hAnsi="宋体"/>
          <w:sz w:val="24"/>
        </w:rPr>
      </w:pPr>
      <w:r>
        <w:rPr>
          <w:rFonts w:ascii="宋体" w:hAnsi="宋体"/>
          <w:sz w:val="24"/>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103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1009"/>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40"/>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w:t>
      </w:r>
      <w:r>
        <w:rPr>
          <w:rFonts w:hint="eastAsia" w:ascii="黑体" w:hAnsi="黑体" w:eastAsia="黑体"/>
          <w:color w:val="000000"/>
          <w:sz w:val="32"/>
          <w:szCs w:val="32"/>
          <w:highlight w:val="none"/>
        </w:rPr>
        <w:t xml:space="preserve">法人授权书及委托代理人的身份证扫描件</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1009"/>
        <w:ind w:firstLine="480"/>
        <w:spacing w:line="420" w:lineRule="exact"/>
        <w:rPr>
          <w:rFonts w:hint="eastAsia"/>
          <w:sz w:val="24"/>
          <w:szCs w:val="24"/>
        </w:rPr>
      </w:pPr>
      <w:r>
        <w:rPr>
          <w:rFonts w:hint="eastAsia"/>
          <w:sz w:val="24"/>
          <w:szCs w:val="24"/>
        </w:rPr>
      </w:r>
      <w:r/>
    </w:p>
    <w:p>
      <w:pPr>
        <w:pStyle w:val="1009"/>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1009"/>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1009"/>
        <w:ind w:firstLine="480"/>
        <w:spacing w:line="480" w:lineRule="exact"/>
        <w:rPr>
          <w:rFonts w:hint="eastAsia"/>
          <w:sz w:val="24"/>
          <w:szCs w:val="24"/>
        </w:rPr>
      </w:pPr>
      <w:r>
        <w:rPr>
          <w:rFonts w:hint="eastAsia"/>
          <w:sz w:val="24"/>
          <w:szCs w:val="24"/>
        </w:rPr>
        <w:t xml:space="preserve">被授权人身份证号码：</w:t>
      </w:r>
      <w:r/>
    </w:p>
    <w:p>
      <w:pPr>
        <w:pStyle w:val="1009"/>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009"/>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09"/>
        <w:ind w:firstLine="480"/>
        <w:spacing w:line="480" w:lineRule="exact"/>
        <w:rPr>
          <w:rFonts w:hint="eastAsia"/>
          <w:sz w:val="24"/>
          <w:szCs w:val="24"/>
          <w:u w:val="single"/>
        </w:rPr>
      </w:pPr>
      <w:r>
        <w:rPr>
          <w:rFonts w:hint="eastAsia"/>
          <w:sz w:val="24"/>
          <w:szCs w:val="24"/>
        </w:rPr>
        <w:t xml:space="preserve">单位地址：</w:t>
      </w:r>
      <w:r/>
    </w:p>
    <w:p>
      <w:pPr>
        <w:pStyle w:val="1009"/>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Hlt26671380"/>
      <w:r/>
      <w:bookmarkEnd w:id="205"/>
      <w:r/>
      <w:bookmarkStart w:id="206" w:name="_Hlt26955070"/>
      <w:r/>
      <w:bookmarkEnd w:id="206"/>
      <w:r/>
      <w:bookmarkStart w:id="207" w:name="_格式3__银行出具的资信证明"/>
      <w:r/>
      <w:bookmarkEnd w:id="207"/>
      <w:r/>
      <w:r/>
    </w:p>
    <w:p>
      <w:pPr>
        <w:pStyle w:val="925"/>
        <w:rPr>
          <w:rFonts w:hint="eastAsia"/>
          <w:i/>
          <w:sz w:val="24"/>
          <w:szCs w:val="24"/>
          <w:u w:val="single"/>
        </w:rPr>
      </w:pPr>
      <w:r>
        <w:rPr>
          <w:rFonts w:hint="eastAsia"/>
          <w:i/>
          <w:sz w:val="24"/>
          <w:szCs w:val="24"/>
          <w:u w:val="single"/>
        </w:rPr>
      </w:r>
      <w:r/>
    </w:p>
    <w:p>
      <w:pPr>
        <w:pStyle w:val="925"/>
        <w:ind w:firstLine="0"/>
        <w:rPr>
          <w:rFonts w:hint="eastAsia"/>
        </w:rPr>
      </w:pPr>
      <w:r>
        <w:rPr>
          <w:rFonts w:hint="eastAsia"/>
        </w:rPr>
      </w:r>
      <w:r/>
    </w:p>
    <w:p>
      <w:pPr>
        <w:ind w:firstLine="482"/>
        <w:tabs>
          <w:tab w:val="left" w:pos="360" w:leader="none"/>
        </w:tabs>
        <w:rPr>
          <w:rFonts w:hint="eastAsia" w:ascii="Times New Roman" w:hAnsi="Times New Roman"/>
          <w:sz w:val="24"/>
          <w:szCs w:val="24"/>
          <w:highlight w:val="none"/>
          <w:u w:val="single"/>
        </w:rPr>
      </w:pPr>
      <w:r>
        <w:rPr>
          <w:rFonts w:hint="eastAsia"/>
          <w:b/>
          <w:sz w:val="24"/>
          <w:szCs w:val="24"/>
          <w:highlight w:val="none"/>
        </w:rPr>
        <w:t xml:space="preserve">说明：提供法人授权书的同时须提供委托代理人的身份证扫描件。</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bCs w:val="0"/>
          <w:i w:val="0"/>
          <w:sz w:val="32"/>
          <w:szCs w:val="32"/>
          <w:u w:val="none"/>
          <w:lang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01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南京市公共资源交易中心江北新区分中心</w:t>
      </w:r>
      <w:r/>
    </w:p>
    <w:p>
      <w:pPr>
        <w:pStyle w:val="101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011"/>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101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101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101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101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Times New Roman"/>
          <w:color w:val="000000"/>
          <w:sz w:val="24"/>
          <w:szCs w:val="24"/>
          <w:lang w:val="en-US" w:eastAsia="zh-CN"/>
        </w:rPr>
        <w:t xml:space="preserve">内</w:t>
      </w:r>
      <w:r>
        <w:rPr>
          <w:rFonts w:hint="eastAsia" w:ascii="宋体" w:hAnsi="宋体" w:eastAsia="宋体" w:cs="Times New Roman"/>
          <w:sz w:val="24"/>
          <w:szCs w:val="24"/>
          <w:lang w:val="en-US" w:eastAsia="zh-CN"/>
        </w:rPr>
        <w:t xml:space="preserve">打</w:t>
      </w:r>
      <w:r>
        <w:rPr>
          <w:rFonts w:hint="eastAsia" w:ascii="宋体" w:hAnsi="宋体" w:eastAsia="宋体" w:cs="Times New Roman"/>
          <w:sz w:val="24"/>
          <w:szCs w:val="24"/>
          <w:lang w:val="en-US"/>
        </w:rPr>
        <w:t xml:space="preserve">“√”</w:t>
      </w:r>
      <w:r>
        <w:rPr>
          <w:rFonts w:hint="eastAsia" w:ascii="宋体" w:hAnsi="宋体" w:eastAsia="宋体" w:cs="Times New Roman"/>
          <w:sz w:val="24"/>
          <w:szCs w:val="24"/>
          <w:lang w:val="en-US" w:eastAsia="zh-CN"/>
        </w:rPr>
        <w:t xml:space="preserve">）</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8.我方为：</w:t>
      </w:r>
      <w:r>
        <w:rPr>
          <w:rFonts w:ascii="Wingdings" w:hAnsi="Wingdings" w:eastAsia="Wingdings" w:cs="Wingdings"/>
          <w:sz w:val="24"/>
          <w:szCs w:val="24"/>
        </w:rPr>
        <w:t xml:space="preserve">¨</w:t>
      </w:r>
      <w:r>
        <w:rPr>
          <w:rFonts w:hint="eastAsia" w:ascii="宋体" w:hAnsi="宋体" w:eastAsia="宋体" w:cs="Times New Roman"/>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eastAsia="宋体" w:cs="Times New Roman"/>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eastAsia="宋体" w:cs="Times New Roman"/>
          <w:sz w:val="24"/>
          <w:szCs w:val="24"/>
          <w:lang w:val="en-US" w:eastAsia="zh-CN"/>
        </w:rPr>
        <w:t xml:space="preserve">其他</w:t>
      </w:r>
      <w:r>
        <w:rPr>
          <w:rFonts w:hint="eastAsia" w:ascii="宋体" w:hAnsi="宋体" w:eastAsia="宋体" w:cs="Times New Roman"/>
          <w:sz w:val="24"/>
          <w:szCs w:val="24"/>
        </w:rPr>
        <w:t xml:space="preserve">（在对应</w:t>
      </w:r>
      <w:r>
        <w:rPr>
          <w:rFonts w:ascii="Wingdings" w:hAnsi="Wingdings" w:eastAsia="Wingdings" w:cs="Wingdings"/>
          <w:sz w:val="24"/>
          <w:szCs w:val="24"/>
        </w:rPr>
        <w:t xml:space="preserve">¨</w:t>
      </w:r>
      <w:r>
        <w:rPr>
          <w:rFonts w:hint="eastAsia" w:ascii="宋体" w:hAnsi="宋体" w:eastAsia="宋体" w:cs="Times New Roman"/>
          <w:color w:val="000000"/>
          <w:sz w:val="24"/>
          <w:szCs w:val="24"/>
        </w:rPr>
        <w:t xml:space="preserve">内</w:t>
      </w:r>
      <w:r>
        <w:rPr>
          <w:rFonts w:hint="eastAsia" w:ascii="宋体" w:hAnsi="宋体" w:eastAsia="宋体" w:cs="Times New Roman"/>
          <w:sz w:val="24"/>
          <w:szCs w:val="24"/>
          <w:lang w:val="en-US"/>
        </w:rPr>
        <w:t xml:space="preserve">打“√”</w:t>
      </w:r>
      <w:r>
        <w:rPr>
          <w:rFonts w:hint="eastAsia" w:ascii="宋体" w:hAnsi="宋体" w:eastAsia="宋体" w:cs="Times New Roman"/>
          <w:sz w:val="24"/>
          <w:szCs w:val="24"/>
        </w:rPr>
        <w:t xml:space="preserve">）</w:t>
      </w:r>
      <w:r>
        <w:rPr>
          <w:rFonts w:hint="eastAsia" w:ascii="宋体" w:hAnsi="宋体" w:eastAsia="宋体" w:cs="Times New Roman"/>
          <w:sz w:val="24"/>
          <w:szCs w:val="24"/>
          <w:u w:val="none"/>
          <w:lang w:val="en-US" w:eastAsia="zh-CN"/>
        </w:rPr>
        <w:t xml:space="preserve">               </w:t>
      </w:r>
      <w:r/>
    </w:p>
    <w:p>
      <w:pPr>
        <w:ind w:firstLine="480"/>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我方</w:t>
      </w:r>
      <w:r>
        <w:rPr>
          <w:rFonts w:hint="eastAsia" w:ascii="宋体" w:hAnsi="宋体" w:eastAsia="宋体" w:cs="Times New Roman"/>
          <w:sz w:val="24"/>
          <w:szCs w:val="24"/>
        </w:rPr>
        <w:t xml:space="preserve">与本</w:t>
      </w:r>
      <w:r>
        <w:rPr>
          <w:rFonts w:hint="eastAsia" w:ascii="宋体" w:hAnsi="宋体" w:eastAsia="宋体" w:cs="Times New Roman"/>
          <w:sz w:val="24"/>
          <w:szCs w:val="24"/>
          <w:lang w:val="en-US" w:eastAsia="zh-CN"/>
        </w:rPr>
        <w:t xml:space="preserve">次</w:t>
      </w:r>
      <w:r>
        <w:rPr>
          <w:rFonts w:hint="eastAsia" w:ascii="宋体" w:hAnsi="宋体" w:eastAsia="宋体" w:cs="Times New Roman"/>
          <w:sz w:val="24"/>
          <w:szCs w:val="24"/>
        </w:rPr>
        <w:t xml:space="preserve">投标有关</w:t>
      </w:r>
      <w:r>
        <w:rPr>
          <w:rFonts w:hint="eastAsia" w:ascii="宋体" w:hAnsi="宋体" w:eastAsia="宋体" w:cs="Times New Roman"/>
          <w:sz w:val="24"/>
          <w:szCs w:val="24"/>
          <w:lang w:val="en-US" w:eastAsia="zh-CN"/>
        </w:rPr>
        <w:t xml:space="preserve">信息</w:t>
      </w:r>
      <w:r/>
    </w:p>
    <w:p>
      <w:pPr>
        <w:pStyle w:val="1011"/>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01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11"/>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4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11"/>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749"/>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ascii="宋体" w:hAnsi="宋体" w:eastAsia="宋体" w:cs="宋体"/>
                <w:sz w:val="21"/>
                <w:szCs w:val="21"/>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49"/>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r>
        <w:trPr>
          <w:cantSplit/>
          <w:trHeight w:val="654"/>
        </w:trPr>
        <w:tc>
          <w:tcPr>
            <w:gridSpan w:val="9"/>
            <w:tcW w:w="9871" w:type="dxa"/>
            <w:vAlign w:val="center"/>
            <w:textDirection w:val="lrTb"/>
            <w:noWrap w:val="false"/>
          </w:tcPr>
          <w:p>
            <w:pPr>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98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8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98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8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8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983"/>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98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8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8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8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9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1000"/>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100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1000"/>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38"/>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98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8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93"/>
          <w:rFonts w:hint="eastAsia"/>
          <w:i w:val="0"/>
          <w:u w:val="single"/>
          <w:shd w:val="clear" w:color="auto" w:fill="ffffff"/>
        </w:rPr>
        <w:t xml:space="preserve">（产品名称1）</w:t>
      </w:r>
      <w:r>
        <w:rPr>
          <w:rStyle w:val="993"/>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93"/>
          <w:rFonts w:hint="eastAsia"/>
          <w:i w:val="0"/>
          <w:u w:val="single"/>
          <w:shd w:val="clear" w:color="auto" w:fill="ffffff"/>
        </w:rPr>
        <w:t xml:space="preserve">（厂名）</w:t>
      </w:r>
      <w:r>
        <w:rPr>
          <w:rStyle w:val="993"/>
          <w:rFonts w:hint="eastAsia"/>
          <w:i w:val="0"/>
          <w:shd w:val="clear" w:color="auto" w:fill="ffffff"/>
          <w:vertAlign w:val="superscript"/>
        </w:rPr>
        <w:t xml:space="preserve">2</w:t>
      </w:r>
      <w:r>
        <w:rPr>
          <w:rFonts w:hint="eastAsia"/>
          <w:shd w:val="clear" w:color="auto" w:fill="ffffff"/>
        </w:rPr>
        <w:t xml:space="preserve">，厂址为</w:t>
      </w:r>
      <w:r>
        <w:rPr>
          <w:rStyle w:val="993"/>
          <w:rFonts w:hint="eastAsia"/>
          <w:i w:val="0"/>
          <w:u w:val="single"/>
          <w:shd w:val="clear" w:color="auto" w:fill="ffffff"/>
        </w:rPr>
        <w:t xml:space="preserve">（生产厂址）</w:t>
      </w:r>
      <w:r>
        <w:rPr>
          <w:rFonts w:hint="eastAsia"/>
          <w:shd w:val="clear" w:color="auto" w:fill="ffffff"/>
        </w:rPr>
        <w:t xml:space="preserve">。</w:t>
      </w:r>
      <w:r>
        <w:rPr>
          <w:rStyle w:val="993"/>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93"/>
          <w:rFonts w:hint="eastAsia"/>
          <w:i/>
          <w:strike w:val="0"/>
          <w:u w:val="single"/>
          <w:shd w:val="clear" w:color="auto" w:fill="ffffff"/>
        </w:rPr>
        <w:t xml:space="preserve">（规定比例）</w:t>
      </w:r>
      <w:r>
        <w:rPr>
          <w:rStyle w:val="993"/>
          <w:rFonts w:hint="eastAsia"/>
          <w:i w:val="0"/>
          <w:shd w:val="clear" w:color="auto" w:fill="ffffff"/>
          <w:vertAlign w:val="superscript"/>
        </w:rPr>
        <w:t xml:space="preserve">3</w:t>
      </w:r>
      <w:r>
        <w:rPr>
          <w:rFonts w:hint="eastAsia"/>
          <w:strike w:val="0"/>
          <w:shd w:val="clear" w:color="auto" w:fill="ffffff"/>
        </w:rPr>
        <w:t xml:space="preserve">。</w:t>
      </w:r>
      <w:r>
        <w:rPr>
          <w:rStyle w:val="993"/>
          <w:rFonts w:hint="eastAsia"/>
          <w:i/>
          <w:strike w:val="0"/>
          <w:u w:val="single"/>
          <w:shd w:val="clear" w:color="auto" w:fill="ffffff"/>
        </w:rPr>
        <w:t xml:space="preserve">（产品名称1）</w:t>
      </w:r>
      <w:r>
        <w:rPr>
          <w:rFonts w:hint="eastAsia"/>
          <w:strike w:val="0"/>
          <w:shd w:val="clear" w:color="auto" w:fill="ffffff"/>
        </w:rPr>
        <w:t xml:space="preserve">的</w:t>
      </w:r>
      <w:r>
        <w:rPr>
          <w:rStyle w:val="993"/>
          <w:rFonts w:hint="eastAsia"/>
          <w:i/>
          <w:strike w:val="0"/>
          <w:u w:val="single"/>
          <w:shd w:val="clear" w:color="auto" w:fill="ffffff"/>
        </w:rPr>
        <w:t xml:space="preserve">（关键组件）</w:t>
      </w:r>
      <w:r>
        <w:rPr>
          <w:rStyle w:val="993"/>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93"/>
          <w:rFonts w:hint="eastAsia"/>
          <w:i/>
          <w:strike w:val="0"/>
          <w:u w:val="single"/>
          <w:shd w:val="clear" w:color="auto" w:fill="ffffff"/>
        </w:rPr>
        <w:t xml:space="preserve">（产品名称1）</w:t>
      </w:r>
      <w:r>
        <w:rPr>
          <w:rFonts w:hint="eastAsia"/>
          <w:strike w:val="0"/>
          <w:shd w:val="clear" w:color="auto" w:fill="ffffff"/>
        </w:rPr>
        <w:t xml:space="preserve">的</w:t>
      </w:r>
      <w:r>
        <w:rPr>
          <w:rStyle w:val="993"/>
          <w:rFonts w:hint="eastAsia"/>
          <w:i/>
          <w:strike w:val="0"/>
          <w:u w:val="single"/>
          <w:shd w:val="clear" w:color="auto" w:fill="ffffff"/>
        </w:rPr>
        <w:t xml:space="preserve">（关键工序）</w:t>
      </w:r>
      <w:r>
        <w:rPr>
          <w:rStyle w:val="993"/>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983"/>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93"/>
          <w:rFonts w:hint="eastAsia"/>
          <w:i w:val="0"/>
          <w:u w:val="single"/>
          <w:shd w:val="clear" w:color="auto" w:fill="ffffff"/>
        </w:rPr>
        <w:t xml:space="preserve">（产品名称2）</w:t>
      </w:r>
      <w:r>
        <w:rPr>
          <w:rFonts w:hint="eastAsia"/>
          <w:shd w:val="clear" w:color="auto" w:fill="ffffff"/>
        </w:rPr>
        <w:t xml:space="preserve">，生产厂为</w:t>
      </w:r>
      <w:r>
        <w:rPr>
          <w:rStyle w:val="993"/>
          <w:rFonts w:hint="eastAsia"/>
          <w:i w:val="0"/>
          <w:u w:val="single"/>
          <w:shd w:val="clear" w:color="auto" w:fill="ffffff"/>
        </w:rPr>
        <w:t xml:space="preserve">（厂名）</w:t>
      </w:r>
      <w:r>
        <w:rPr>
          <w:rFonts w:hint="eastAsia"/>
          <w:shd w:val="clear" w:color="auto" w:fill="ffffff"/>
        </w:rPr>
        <w:t xml:space="preserve">，厂址为</w:t>
      </w:r>
      <w:r>
        <w:rPr>
          <w:rStyle w:val="993"/>
          <w:rFonts w:hint="eastAsia"/>
          <w:i w:val="0"/>
          <w:u w:val="single"/>
          <w:shd w:val="clear" w:color="auto" w:fill="ffffff"/>
        </w:rPr>
        <w:t xml:space="preserve">（生产厂址）</w:t>
      </w:r>
      <w:r>
        <w:rPr>
          <w:rFonts w:hint="eastAsia"/>
          <w:shd w:val="clear" w:color="auto" w:fill="ffffff"/>
        </w:rPr>
        <w:t xml:space="preserve">。</w:t>
      </w:r>
      <w:r>
        <w:rPr>
          <w:rStyle w:val="993"/>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93"/>
          <w:rFonts w:hint="eastAsia"/>
          <w:i/>
          <w:strike w:val="0"/>
          <w:u w:val="single"/>
          <w:shd w:val="clear" w:color="auto" w:fill="ffffff"/>
        </w:rPr>
        <w:t xml:space="preserve">（规定比例）</w:t>
      </w:r>
      <w:r>
        <w:rPr>
          <w:rFonts w:hint="eastAsia"/>
          <w:strike w:val="0"/>
          <w:shd w:val="clear" w:color="auto" w:fill="ffffff"/>
        </w:rPr>
        <w:t xml:space="preserve">。</w:t>
      </w:r>
      <w:r>
        <w:rPr>
          <w:rStyle w:val="993"/>
          <w:rFonts w:hint="eastAsia"/>
          <w:i/>
          <w:strike w:val="0"/>
          <w:u w:val="single"/>
          <w:shd w:val="clear" w:color="auto" w:fill="ffffff"/>
        </w:rPr>
        <w:t xml:space="preserve">（产品名称2）</w:t>
      </w:r>
      <w:r>
        <w:rPr>
          <w:rFonts w:hint="eastAsia"/>
          <w:strike w:val="0"/>
          <w:shd w:val="clear" w:color="auto" w:fill="ffffff"/>
        </w:rPr>
        <w:t xml:space="preserve">的</w:t>
      </w:r>
      <w:r>
        <w:rPr>
          <w:rStyle w:val="993"/>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93"/>
          <w:rFonts w:hint="eastAsia"/>
          <w:i/>
          <w:strike w:val="0"/>
          <w:u w:val="single"/>
          <w:shd w:val="clear" w:color="auto" w:fill="ffffff"/>
        </w:rPr>
        <w:t xml:space="preserve">（产品名称2）</w:t>
      </w:r>
      <w:r>
        <w:rPr>
          <w:rFonts w:hint="eastAsia"/>
          <w:strike w:val="0"/>
          <w:shd w:val="clear" w:color="auto" w:fill="ffffff"/>
        </w:rPr>
        <w:t xml:space="preserve">的</w:t>
      </w:r>
      <w:r>
        <w:rPr>
          <w:rStyle w:val="993"/>
          <w:rFonts w:hint="eastAsia"/>
          <w:i/>
          <w:strike w:val="0"/>
          <w:u w:val="single"/>
          <w:shd w:val="clear" w:color="auto" w:fill="ffffff"/>
        </w:rPr>
        <w:t xml:space="preserve">（关键工序）</w:t>
      </w:r>
      <w:r>
        <w:rPr>
          <w:rFonts w:hint="eastAsia"/>
          <w:strike w:val="0"/>
          <w:shd w:val="clear" w:color="auto" w:fill="ffffff"/>
        </w:rPr>
        <w:t xml:space="preserve">在中国境内完成。</w:t>
      </w:r>
      <w:r/>
    </w:p>
    <w:p>
      <w:pPr>
        <w:pStyle w:val="98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83"/>
        <w:ind w:firstLine="420"/>
        <w:spacing w:before="24" w:beforeAutospacing="0" w:after="24" w:afterAutospacing="0" w:line="360" w:lineRule="auto"/>
        <w:shd w:val="clear" w:color="auto" w:fill="ffffff"/>
        <w:rPr>
          <w:rFonts w:hint="eastAsia"/>
        </w:rPr>
      </w:pPr>
      <w:r/>
      <w:bookmarkStart w:id="208" w:name="OLE_LINK6"/>
      <w:r>
        <w:rPr>
          <w:rFonts w:hint="eastAsia"/>
          <w:shd w:val="clear" w:color="auto" w:fill="ffffff"/>
        </w:rPr>
        <w:t xml:space="preserve">本公司（单位）</w:t>
      </w:r>
      <w:bookmarkEnd w:id="208"/>
      <w:r>
        <w:rPr>
          <w:rFonts w:hint="eastAsia"/>
          <w:shd w:val="clear" w:color="auto" w:fill="ffffff"/>
        </w:rPr>
        <w:t xml:space="preserve">对上述声明内容的真实性负责。如有虚假，愿承担相应法律责任。</w:t>
      </w:r>
      <w:r/>
    </w:p>
    <w:p>
      <w:pPr>
        <w:pStyle w:val="98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98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98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98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98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983"/>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983"/>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98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b w:val="0"/>
          <w:bCs w:val="0"/>
          <w:sz w:val="32"/>
          <w:szCs w:val="32"/>
        </w:rPr>
      </w:pPr>
      <w:r>
        <w:br w:type="page" w:clear="all"/>
      </w:r>
      <w:bookmarkEnd w:id="204"/>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91"/>
        <w:rFonts w:ascii="宋体" w:hAnsi="宋体"/>
      </w:rPr>
      <w:framePr w:wrap="around" w:vAnchor="text" w:hAnchor="margin" w:xAlign="center" w:y="1"/>
    </w:pPr>
    <w:r>
      <w:rPr>
        <w:rFonts w:ascii="宋体" w:hAnsi="宋体"/>
      </w:rPr>
      <w:fldChar w:fldCharType="begin"/>
    </w:r>
    <w:r>
      <w:rPr>
        <w:rStyle w:val="991"/>
        <w:rFonts w:ascii="宋体" w:hAnsi="宋体"/>
      </w:rPr>
      <w:instrText xml:space="preserve">PAGE  </w:instrText>
    </w:r>
    <w:r>
      <w:rPr>
        <w:rFonts w:ascii="宋体" w:hAnsi="宋体"/>
      </w:rPr>
      <w:fldChar w:fldCharType="separate"/>
    </w:r>
    <w:r>
      <w:rPr>
        <w:rStyle w:val="991"/>
        <w:rFonts w:ascii="宋体" w:hAnsi="宋体"/>
      </w:rPr>
      <w:t xml:space="preserve">４２</w:t>
    </w:r>
    <w:r>
      <w:rPr>
        <w:rFonts w:ascii="宋体" w:hAnsi="宋体"/>
      </w:rPr>
      <w:fldChar w:fldCharType="end"/>
    </w:r>
    <w:r/>
  </w:p>
  <w:p>
    <w:pPr>
      <w:pStyle w:val="96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8"/>
      <w:isLgl w:val="false"/>
      <w:suff w:val="nothing"/>
      <w:lvlText w:val=""/>
      <w:lvlJc w:val="left"/>
      <w:pPr>
        <w:ind w:left="0" w:firstLine="0"/>
      </w:pPr>
      <w:rPr>
        <w:rFonts w:hint="eastAsia"/>
      </w:rPr>
    </w:lvl>
    <w:lvl w:ilvl="6">
      <w:start w:val="1"/>
      <w:numFmt w:val="decimal"/>
      <w:pStyle w:val="929"/>
      <w:isLgl w:val="false"/>
      <w:suff w:val="nothing"/>
      <w:lvlText w:val=""/>
      <w:lvlJc w:val="left"/>
      <w:pPr>
        <w:ind w:left="0" w:firstLine="0"/>
      </w:pPr>
      <w:rPr>
        <w:rFonts w:hint="eastAsia"/>
      </w:rPr>
    </w:lvl>
    <w:lvl w:ilvl="7">
      <w:start w:val="1"/>
      <w:numFmt w:val="decimal"/>
      <w:pStyle w:val="930"/>
      <w:isLgl w:val="false"/>
      <w:suff w:val="nothing"/>
      <w:lvlText w:val=""/>
      <w:lvlJc w:val="left"/>
      <w:pPr>
        <w:ind w:left="0" w:firstLine="0"/>
      </w:pPr>
      <w:rPr>
        <w:rFonts w:hint="eastAsia"/>
      </w:rPr>
    </w:lvl>
    <w:lvl w:ilvl="8">
      <w:start w:val="1"/>
      <w:numFmt w:val="decimal"/>
      <w:pStyle w:val="931"/>
      <w:isLgl w:val="false"/>
      <w:suff w:val="nothing"/>
      <w:lvlText w:val=""/>
      <w:lvlJc w:val="left"/>
      <w:pPr>
        <w:ind w:left="0" w:firstLine="0"/>
      </w:pPr>
      <w:rPr>
        <w:rFonts w:hint="eastAsia"/>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5"/>
  </w:num>
  <w:num w:numId="3">
    <w:abstractNumId w:val="37"/>
  </w:num>
  <w:num w:numId="4">
    <w:abstractNumId w:val="13"/>
  </w:num>
  <w:num w:numId="5">
    <w:abstractNumId w:val="9"/>
  </w:num>
  <w:num w:numId="6">
    <w:abstractNumId w:val="23"/>
  </w:num>
  <w:num w:numId="7">
    <w:abstractNumId w:val="28"/>
  </w:num>
  <w:num w:numId="8">
    <w:abstractNumId w:val="42"/>
  </w:num>
  <w:num w:numId="9">
    <w:abstractNumId w:val="22"/>
  </w:num>
  <w:num w:numId="10">
    <w:abstractNumId w:val="5"/>
  </w:num>
  <w:num w:numId="11">
    <w:abstractNumId w:val="29"/>
  </w:num>
  <w:num w:numId="12">
    <w:abstractNumId w:val="38"/>
  </w:num>
  <w:num w:numId="13">
    <w:abstractNumId w:val="14"/>
  </w:num>
  <w:num w:numId="14">
    <w:abstractNumId w:val="34"/>
  </w:num>
  <w:num w:numId="15">
    <w:abstractNumId w:val="19"/>
  </w:num>
  <w:num w:numId="16">
    <w:abstractNumId w:val="27"/>
  </w:num>
  <w:num w:numId="17">
    <w:abstractNumId w:val="17"/>
  </w:num>
  <w:num w:numId="18">
    <w:abstractNumId w:val="16"/>
  </w:num>
  <w:num w:numId="19">
    <w:abstractNumId w:val="7"/>
  </w:num>
  <w:num w:numId="20">
    <w:abstractNumId w:val="33"/>
  </w:num>
  <w:num w:numId="21">
    <w:abstractNumId w:val="40"/>
  </w:num>
  <w:num w:numId="22">
    <w:abstractNumId w:val="24"/>
  </w:num>
  <w:num w:numId="23">
    <w:abstractNumId w:val="32"/>
  </w:num>
  <w:num w:numId="24">
    <w:abstractNumId w:val="8"/>
  </w:num>
  <w:num w:numId="25">
    <w:abstractNumId w:val="45"/>
  </w:num>
  <w:num w:numId="26">
    <w:abstractNumId w:val="43"/>
  </w:num>
  <w:num w:numId="27">
    <w:abstractNumId w:val="12"/>
  </w:num>
  <w:num w:numId="28">
    <w:abstractNumId w:val="41"/>
  </w:num>
  <w:num w:numId="29">
    <w:abstractNumId w:val="6"/>
  </w:num>
  <w:num w:numId="30">
    <w:abstractNumId w:val="31"/>
  </w:num>
  <w:num w:numId="31">
    <w:abstractNumId w:val="2"/>
  </w:num>
  <w:num w:numId="32">
    <w:abstractNumId w:val="36"/>
  </w:num>
  <w:num w:numId="33">
    <w:abstractNumId w:val="46"/>
  </w:num>
  <w:num w:numId="34">
    <w:abstractNumId w:val="0"/>
  </w:num>
  <w:num w:numId="35">
    <w:abstractNumId w:val="26"/>
  </w:num>
  <w:num w:numId="36">
    <w:abstractNumId w:val="35"/>
  </w:num>
  <w:num w:numId="37">
    <w:abstractNumId w:val="20"/>
  </w:num>
  <w:num w:numId="38">
    <w:abstractNumId w:val="18"/>
  </w:num>
  <w:num w:numId="39">
    <w:abstractNumId w:val="30"/>
  </w:num>
  <w:num w:numId="40">
    <w:abstractNumId w:val="44"/>
  </w:num>
  <w:num w:numId="41">
    <w:abstractNumId w:val="11"/>
  </w:num>
  <w:num w:numId="42">
    <w:abstractNumId w:val="4"/>
  </w:num>
  <w:num w:numId="43">
    <w:abstractNumId w:val="10"/>
  </w:num>
  <w:num w:numId="44">
    <w:abstractNumId w:val="39"/>
  </w:num>
  <w:num w:numId="45">
    <w:abstractNumId w:val="1"/>
  </w:num>
  <w:num w:numId="46">
    <w:abstractNumId w:val="25"/>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link w:val="105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9">
    <w:name w:val="Heading 1"/>
    <w:basedOn w:val="738"/>
    <w:next w:val="738"/>
    <w:link w:val="774"/>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5"/>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76"/>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77"/>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78"/>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79"/>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1"/>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2"/>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customStyle="1">
    <w:name w:val="正文首行缩进 2112"/>
    <w:basedOn w:val="751"/>
    <w:next w:val="738"/>
    <w:link w:val="935"/>
    <w:uiPriority w:val="0"/>
    <w:pPr>
      <w:ind w:left="0" w:firstLine="420"/>
      <w:spacing w:after="0" w:line="360" w:lineRule="auto"/>
    </w:pPr>
    <w:rPr>
      <w:rFonts w:ascii="宋体" w:hAnsi="宋体" w:eastAsia="宋体" w:cs="Times New Roman"/>
      <w:szCs w:val="20"/>
    </w:rPr>
  </w:style>
  <w:style w:type="paragraph" w:styleId="751" w:customStyle="1">
    <w:name w:val="正文文本缩进111"/>
    <w:basedOn w:val="738"/>
    <w:next w:val="752"/>
    <w:link w:val="934"/>
    <w:uiPriority w:val="0"/>
    <w:unhideWhenUsed/>
    <w:pPr>
      <w:ind w:left="420"/>
      <w:spacing w:after="120"/>
    </w:pPr>
  </w:style>
  <w:style w:type="paragraph" w:styleId="752" w:customStyle="1">
    <w:name w:val="寄信人地址12"/>
    <w:basedOn w:val="738"/>
    <w:uiPriority w:val="0"/>
    <w:qFormat/>
    <w:rPr>
      <w:rFonts w:ascii="Arial" w:hAnsi="Arial" w:eastAsia="宋体" w:cs="宋体"/>
    </w:rPr>
  </w:style>
  <w:style w:type="paragraph" w:styleId="753">
    <w:name w:val="toc 7"/>
    <w:basedOn w:val="738"/>
    <w:next w:val="738"/>
    <w:uiPriority w:val="39"/>
    <w:unhideWhenUsed/>
    <w:pPr>
      <w:ind w:left="1701" w:right="0" w:firstLine="0"/>
      <w:spacing w:after="57"/>
    </w:pPr>
  </w:style>
  <w:style w:type="paragraph" w:styleId="754">
    <w:name w:val="Caption"/>
    <w:basedOn w:val="738"/>
    <w:next w:val="738"/>
    <w:uiPriority w:val="35"/>
    <w:semiHidden/>
    <w:unhideWhenUsed/>
    <w:qFormat/>
    <w:pPr>
      <w:spacing w:line="276" w:lineRule="auto"/>
    </w:pPr>
    <w:rPr>
      <w:b/>
      <w:bCs/>
      <w:color w:val="4f81bd" w:themeColor="accent1"/>
      <w:sz w:val="18"/>
      <w:szCs w:val="18"/>
    </w:rPr>
  </w:style>
  <w:style w:type="paragraph" w:styleId="755">
    <w:name w:val="toc 5"/>
    <w:basedOn w:val="738"/>
    <w:next w:val="738"/>
    <w:uiPriority w:val="39"/>
    <w:unhideWhenUsed/>
    <w:qFormat/>
    <w:pPr>
      <w:ind w:left="1134" w:right="0" w:firstLine="0"/>
      <w:spacing w:after="57"/>
    </w:pPr>
  </w:style>
  <w:style w:type="paragraph" w:styleId="756">
    <w:name w:val="toc 3"/>
    <w:basedOn w:val="738"/>
    <w:next w:val="738"/>
    <w:uiPriority w:val="39"/>
    <w:unhideWhenUsed/>
    <w:pPr>
      <w:ind w:left="567" w:right="0" w:firstLine="0"/>
      <w:spacing w:after="57"/>
    </w:pPr>
  </w:style>
  <w:style w:type="paragraph" w:styleId="757">
    <w:name w:val="toc 8"/>
    <w:basedOn w:val="738"/>
    <w:next w:val="738"/>
    <w:uiPriority w:val="39"/>
    <w:unhideWhenUsed/>
    <w:pPr>
      <w:ind w:left="1984" w:right="0" w:firstLine="0"/>
      <w:spacing w:after="57"/>
    </w:pPr>
  </w:style>
  <w:style w:type="paragraph" w:styleId="758">
    <w:name w:val="endnote text"/>
    <w:basedOn w:val="738"/>
    <w:link w:val="920"/>
    <w:uiPriority w:val="99"/>
    <w:semiHidden/>
    <w:unhideWhenUsed/>
    <w:pPr>
      <w:spacing w:after="0" w:line="240" w:lineRule="auto"/>
    </w:pPr>
    <w:rPr>
      <w:sz w:val="20"/>
    </w:rPr>
  </w:style>
  <w:style w:type="paragraph" w:styleId="759">
    <w:name w:val="Footer"/>
    <w:basedOn w:val="738"/>
    <w:link w:val="793"/>
    <w:uiPriority w:val="99"/>
    <w:unhideWhenUsed/>
    <w:qFormat/>
    <w:pPr>
      <w:spacing w:after="0" w:line="240" w:lineRule="auto"/>
      <w:tabs>
        <w:tab w:val="center" w:pos="7143" w:leader="none"/>
        <w:tab w:val="right" w:pos="14287" w:leader="none"/>
      </w:tabs>
    </w:pPr>
  </w:style>
  <w:style w:type="paragraph" w:styleId="760">
    <w:name w:val="Header"/>
    <w:basedOn w:val="738"/>
    <w:link w:val="791"/>
    <w:uiPriority w:val="99"/>
    <w:unhideWhenUsed/>
    <w:qFormat/>
    <w:pPr>
      <w:spacing w:after="0" w:line="240" w:lineRule="auto"/>
      <w:tabs>
        <w:tab w:val="center" w:pos="7143" w:leader="none"/>
        <w:tab w:val="right" w:pos="14287" w:leader="none"/>
      </w:tabs>
    </w:pPr>
  </w:style>
  <w:style w:type="paragraph" w:styleId="761">
    <w:name w:val="toc 1"/>
    <w:basedOn w:val="738"/>
    <w:next w:val="738"/>
    <w:uiPriority w:val="39"/>
    <w:unhideWhenUsed/>
    <w:pPr>
      <w:ind w:left="0" w:right="0" w:firstLine="0"/>
      <w:spacing w:after="57"/>
    </w:pPr>
  </w:style>
  <w:style w:type="paragraph" w:styleId="762">
    <w:name w:val="toc 4"/>
    <w:basedOn w:val="738"/>
    <w:next w:val="738"/>
    <w:uiPriority w:val="39"/>
    <w:unhideWhenUsed/>
    <w:pPr>
      <w:ind w:left="850" w:right="0" w:firstLine="0"/>
      <w:spacing w:after="57"/>
    </w:pPr>
  </w:style>
  <w:style w:type="paragraph" w:styleId="763">
    <w:name w:val="Subtitle"/>
    <w:basedOn w:val="738"/>
    <w:next w:val="738"/>
    <w:link w:val="786"/>
    <w:uiPriority w:val="11"/>
    <w:qFormat/>
    <w:pPr>
      <w:spacing w:before="200" w:after="200"/>
    </w:pPr>
    <w:rPr>
      <w:sz w:val="24"/>
      <w:szCs w:val="24"/>
    </w:rPr>
  </w:style>
  <w:style w:type="paragraph" w:styleId="764">
    <w:name w:val="footnote text"/>
    <w:basedOn w:val="738"/>
    <w:link w:val="919"/>
    <w:uiPriority w:val="99"/>
    <w:semiHidden/>
    <w:unhideWhenUsed/>
    <w:pPr>
      <w:spacing w:after="40" w:line="240" w:lineRule="auto"/>
    </w:pPr>
    <w:rPr>
      <w:sz w:val="18"/>
    </w:rPr>
  </w:style>
  <w:style w:type="paragraph" w:styleId="765">
    <w:name w:val="toc 6"/>
    <w:basedOn w:val="738"/>
    <w:next w:val="738"/>
    <w:uiPriority w:val="39"/>
    <w:unhideWhenUsed/>
    <w:pPr>
      <w:ind w:left="1417" w:right="0" w:firstLine="0"/>
      <w:spacing w:after="57"/>
    </w:pPr>
  </w:style>
  <w:style w:type="paragraph" w:styleId="766">
    <w:name w:val="table of figures"/>
    <w:basedOn w:val="738"/>
    <w:next w:val="738"/>
    <w:uiPriority w:val="99"/>
    <w:unhideWhenUsed/>
    <w:pPr>
      <w:spacing w:after="0" w:afterAutospacing="0"/>
    </w:pPr>
  </w:style>
  <w:style w:type="paragraph" w:styleId="767">
    <w:name w:val="toc 2"/>
    <w:basedOn w:val="738"/>
    <w:next w:val="738"/>
    <w:uiPriority w:val="39"/>
    <w:unhideWhenUsed/>
    <w:pPr>
      <w:ind w:left="283" w:right="0" w:firstLine="0"/>
      <w:spacing w:after="57"/>
    </w:pPr>
  </w:style>
  <w:style w:type="paragraph" w:styleId="768">
    <w:name w:val="toc 9"/>
    <w:basedOn w:val="738"/>
    <w:next w:val="738"/>
    <w:uiPriority w:val="39"/>
    <w:unhideWhenUsed/>
    <w:pPr>
      <w:ind w:left="2268" w:right="0" w:firstLine="0"/>
      <w:spacing w:after="57"/>
    </w:pPr>
  </w:style>
  <w:style w:type="paragraph" w:styleId="769">
    <w:name w:val="Title"/>
    <w:basedOn w:val="738"/>
    <w:next w:val="738"/>
    <w:link w:val="785"/>
    <w:uiPriority w:val="10"/>
    <w:qFormat/>
    <w:pPr>
      <w:contextualSpacing/>
      <w:spacing w:before="300" w:after="200"/>
    </w:pPr>
    <w:rPr>
      <w:sz w:val="48"/>
      <w:szCs w:val="48"/>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rPr>
      <w:vertAlign w:val="superscript"/>
    </w:rPr>
  </w:style>
  <w:style w:type="character" w:styleId="772">
    <w:name w:val="Hyperlink"/>
    <w:uiPriority w:val="99"/>
    <w:unhideWhenUsed/>
    <w:rPr>
      <w:color w:val="0000ff" w:themeColor="hyperlink"/>
      <w:u w:val="single"/>
    </w:rPr>
  </w:style>
  <w:style w:type="character" w:styleId="773">
    <w:name w:val="footnote reference"/>
    <w:uiPriority w:val="99"/>
    <w:unhideWhenUsed/>
    <w:rPr>
      <w:vertAlign w:val="superscript"/>
    </w:rPr>
  </w:style>
  <w:style w:type="character" w:styleId="774" w:customStyle="1">
    <w:name w:val="Heading 1 Char"/>
    <w:link w:val="739"/>
    <w:uiPriority w:val="9"/>
    <w:qFormat/>
    <w:rPr>
      <w:rFonts w:ascii="Arial" w:hAnsi="Arial" w:eastAsia="Arial" w:cs="Arial"/>
      <w:sz w:val="40"/>
      <w:szCs w:val="40"/>
    </w:rPr>
  </w:style>
  <w:style w:type="character" w:styleId="775" w:customStyle="1">
    <w:name w:val="Heading 2 Char"/>
    <w:link w:val="740"/>
    <w:uiPriority w:val="9"/>
    <w:qFormat/>
    <w:rPr>
      <w:rFonts w:ascii="Arial" w:hAnsi="Arial" w:eastAsia="Arial" w:cs="Arial"/>
      <w:sz w:val="34"/>
    </w:rPr>
  </w:style>
  <w:style w:type="character" w:styleId="776" w:customStyle="1">
    <w:name w:val="Heading 3 Char"/>
    <w:link w:val="741"/>
    <w:uiPriority w:val="9"/>
    <w:qFormat/>
    <w:rPr>
      <w:rFonts w:ascii="Arial" w:hAnsi="Arial" w:eastAsia="Arial" w:cs="Arial"/>
      <w:sz w:val="30"/>
      <w:szCs w:val="30"/>
    </w:rPr>
  </w:style>
  <w:style w:type="character" w:styleId="777" w:customStyle="1">
    <w:name w:val="Heading 4 Char"/>
    <w:link w:val="742"/>
    <w:uiPriority w:val="9"/>
    <w:qFormat/>
    <w:rPr>
      <w:rFonts w:ascii="Arial" w:hAnsi="Arial" w:eastAsia="Arial" w:cs="Arial"/>
      <w:b/>
      <w:bCs/>
      <w:sz w:val="26"/>
      <w:szCs w:val="26"/>
    </w:rPr>
  </w:style>
  <w:style w:type="character" w:styleId="778" w:customStyle="1">
    <w:name w:val="Heading 5 Char"/>
    <w:link w:val="743"/>
    <w:uiPriority w:val="9"/>
    <w:qFormat/>
    <w:rPr>
      <w:rFonts w:ascii="Arial" w:hAnsi="Arial" w:eastAsia="Arial" w:cs="Arial"/>
      <w:b/>
      <w:bCs/>
      <w:sz w:val="24"/>
      <w:szCs w:val="24"/>
    </w:rPr>
  </w:style>
  <w:style w:type="character" w:styleId="779" w:customStyle="1">
    <w:name w:val="Heading 6 Char"/>
    <w:link w:val="744"/>
    <w:uiPriority w:val="9"/>
    <w:qFormat/>
    <w:rPr>
      <w:rFonts w:ascii="Arial" w:hAnsi="Arial" w:eastAsia="Arial" w:cs="Arial"/>
      <w:b/>
      <w:bCs/>
      <w:sz w:val="22"/>
      <w:szCs w:val="22"/>
    </w:rPr>
  </w:style>
  <w:style w:type="character" w:styleId="780" w:customStyle="1">
    <w:name w:val="Heading 7 Char"/>
    <w:link w:val="745"/>
    <w:uiPriority w:val="9"/>
    <w:qFormat/>
    <w:rPr>
      <w:rFonts w:ascii="Arial" w:hAnsi="Arial" w:eastAsia="Arial" w:cs="Arial"/>
      <w:b/>
      <w:bCs/>
      <w:i/>
      <w:iCs/>
      <w:sz w:val="22"/>
      <w:szCs w:val="22"/>
    </w:rPr>
  </w:style>
  <w:style w:type="character" w:styleId="781" w:customStyle="1">
    <w:name w:val="Heading 8 Char"/>
    <w:link w:val="746"/>
    <w:uiPriority w:val="9"/>
    <w:qFormat/>
    <w:rPr>
      <w:rFonts w:ascii="Arial" w:hAnsi="Arial" w:eastAsia="Arial" w:cs="Arial"/>
      <w:i/>
      <w:iCs/>
      <w:sz w:val="22"/>
      <w:szCs w:val="22"/>
    </w:rPr>
  </w:style>
  <w:style w:type="character" w:styleId="782" w:customStyle="1">
    <w:name w:val="Heading 9 Char"/>
    <w:link w:val="747"/>
    <w:uiPriority w:val="9"/>
    <w:qFormat/>
    <w:rPr>
      <w:rFonts w:ascii="Arial" w:hAnsi="Arial" w:eastAsia="Arial" w:cs="Arial"/>
      <w:i/>
      <w:iCs/>
      <w:sz w:val="21"/>
      <w:szCs w:val="21"/>
    </w:rPr>
  </w:style>
  <w:style w:type="paragraph" w:styleId="783">
    <w:name w:val="List Paragraph"/>
    <w:basedOn w:val="738"/>
    <w:uiPriority w:val="34"/>
    <w:qFormat/>
    <w:pPr>
      <w:contextualSpacing/>
      <w:ind w:left="720"/>
    </w:p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link w:val="769"/>
    <w:uiPriority w:val="10"/>
    <w:qFormat/>
    <w:rPr>
      <w:sz w:val="48"/>
      <w:szCs w:val="48"/>
    </w:rPr>
  </w:style>
  <w:style w:type="character" w:styleId="786" w:customStyle="1">
    <w:name w:val="Subtitle Char"/>
    <w:link w:val="763"/>
    <w:uiPriority w:val="11"/>
    <w:qFormat/>
    <w:rPr>
      <w:sz w:val="24"/>
      <w:szCs w:val="24"/>
    </w:rPr>
  </w:style>
  <w:style w:type="paragraph" w:styleId="787">
    <w:name w:val="Quote"/>
    <w:basedOn w:val="738"/>
    <w:next w:val="738"/>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38"/>
    <w:next w:val="738"/>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link w:val="760"/>
    <w:uiPriority w:val="99"/>
    <w:qFormat/>
  </w:style>
  <w:style w:type="character" w:styleId="792" w:customStyle="1">
    <w:name w:val="Footer Char"/>
    <w:link w:val="759"/>
    <w:uiPriority w:val="99"/>
    <w:qFormat/>
  </w:style>
  <w:style w:type="character" w:styleId="793" w:customStyle="1">
    <w:name w:val="Caption Char"/>
    <w:link w:val="759"/>
    <w:uiPriority w:val="99"/>
    <w:qFormat/>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7"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0"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1"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64"/>
    <w:uiPriority w:val="99"/>
    <w:rPr>
      <w:sz w:val="18"/>
    </w:rPr>
  </w:style>
  <w:style w:type="character" w:styleId="920" w:customStyle="1">
    <w:name w:val="Endnote Text Char"/>
    <w:link w:val="758"/>
    <w:uiPriority w:val="99"/>
    <w:rPr>
      <w:sz w:val="20"/>
    </w:rPr>
  </w:style>
  <w:style w:type="paragraph" w:styleId="921" w:customStyle="1">
    <w:name w:val="TOC Heading"/>
    <w:uiPriority w:val="39"/>
    <w:unhideWhenUsed/>
    <w:rPr>
      <w:rFonts w:hint="default" w:ascii="Times New Roman" w:hAnsi="Times New Roman" w:eastAsia="宋体" w:cs="Times New Roman"/>
    </w:rPr>
  </w:style>
  <w:style w:type="paragraph" w:styleId="922" w:customStyle="1">
    <w:name w:val="标题 11"/>
    <w:basedOn w:val="738"/>
    <w:next w:val="738"/>
    <w:link w:val="936"/>
    <w:uiPriority w:val="0"/>
    <w:qFormat/>
    <w:pPr>
      <w:jc w:val="center"/>
      <w:keepNext/>
      <w:outlineLvl w:val="0"/>
    </w:pPr>
    <w:rPr>
      <w:rFonts w:ascii="楷体_GB2312" w:hAnsi="Times New Roman" w:eastAsia="楷体_GB2312" w:cs="Times New Roman"/>
      <w:sz w:val="28"/>
      <w:szCs w:val="28"/>
    </w:rPr>
  </w:style>
  <w:style w:type="paragraph" w:styleId="923" w:customStyle="1">
    <w:name w:val="标题 21"/>
    <w:basedOn w:val="738"/>
    <w:next w:val="738"/>
    <w:link w:val="9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4" w:customStyle="1">
    <w:name w:val="标题 31"/>
    <w:basedOn w:val="738"/>
    <w:next w:val="925"/>
    <w:link w:val="93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5" w:customStyle="1">
    <w:name w:val="正文缩进1"/>
    <w:basedOn w:val="738"/>
    <w:link w:val="939"/>
    <w:uiPriority w:val="0"/>
    <w:pPr>
      <w:ind w:firstLine="420"/>
    </w:pPr>
    <w:rPr>
      <w:szCs w:val="21"/>
    </w:rPr>
  </w:style>
  <w:style w:type="paragraph" w:styleId="926" w:customStyle="1">
    <w:name w:val="标题 41"/>
    <w:basedOn w:val="738"/>
    <w:next w:val="925"/>
    <w:link w:val="940"/>
    <w:uiPriority w:val="0"/>
    <w:qFormat/>
    <w:pPr>
      <w:keepLines/>
      <w:keepNext/>
      <w:spacing w:before="280" w:after="290" w:line="376" w:lineRule="auto"/>
      <w:outlineLvl w:val="3"/>
    </w:pPr>
    <w:rPr>
      <w:rFonts w:ascii="Arial" w:hAnsi="Arial" w:eastAsia="黑体" w:cs="Arial"/>
      <w:b/>
      <w:bCs/>
      <w:sz w:val="28"/>
      <w:szCs w:val="28"/>
    </w:rPr>
  </w:style>
  <w:style w:type="paragraph" w:styleId="927" w:customStyle="1">
    <w:name w:val="标题 51"/>
    <w:basedOn w:val="738"/>
    <w:next w:val="925"/>
    <w:link w:val="941"/>
    <w:uiPriority w:val="0"/>
    <w:qFormat/>
    <w:pPr>
      <w:keepNext/>
      <w:outlineLvl w:val="4"/>
    </w:pPr>
    <w:rPr>
      <w:rFonts w:ascii="宋体" w:hAnsi="Times New Roman" w:eastAsia="宋体" w:cs="Times New Roman"/>
      <w:color w:val="000000"/>
      <w:sz w:val="28"/>
      <w:szCs w:val="28"/>
    </w:rPr>
  </w:style>
  <w:style w:type="paragraph" w:styleId="928" w:customStyle="1">
    <w:name w:val="标题 61"/>
    <w:basedOn w:val="738"/>
    <w:next w:val="738"/>
    <w:link w:val="94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9" w:customStyle="1">
    <w:name w:val="标题 71"/>
    <w:basedOn w:val="738"/>
    <w:next w:val="738"/>
    <w:link w:val="94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0" w:customStyle="1">
    <w:name w:val="标题 81"/>
    <w:basedOn w:val="738"/>
    <w:next w:val="738"/>
    <w:link w:val="94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1" w:customStyle="1">
    <w:name w:val="标题 91"/>
    <w:basedOn w:val="738"/>
    <w:next w:val="738"/>
    <w:link w:val="94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32" w:customStyle="1">
    <w:name w:val="默认段落字体1"/>
    <w:link w:val="738"/>
    <w:uiPriority w:val="1"/>
    <w:unhideWhenUsed/>
  </w:style>
  <w:style w:type="table" w:styleId="933" w:customStyle="1">
    <w:name w:val="普通表格1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4" w:customStyle="1">
    <w:name w:val="正文文本缩进 Char"/>
    <w:basedOn w:val="932"/>
    <w:link w:val="751"/>
    <w:uiPriority w:val="99"/>
    <w:semiHidden/>
  </w:style>
  <w:style w:type="character" w:styleId="935" w:customStyle="1">
    <w:name w:val="正文首行缩进 2 Char"/>
    <w:link w:val="750"/>
    <w:uiPriority w:val="0"/>
    <w:rPr>
      <w:rFonts w:ascii="宋体" w:hAnsi="宋体" w:eastAsia="宋体" w:cs="Times New Roman"/>
      <w:szCs w:val="20"/>
    </w:rPr>
  </w:style>
  <w:style w:type="character" w:styleId="936" w:customStyle="1">
    <w:name w:val="标题 1 Char"/>
    <w:link w:val="922"/>
    <w:uiPriority w:val="0"/>
    <w:rPr>
      <w:rFonts w:ascii="楷体_GB2312" w:hAnsi="Times New Roman" w:eastAsia="楷体_GB2312" w:cs="Times New Roman"/>
      <w:sz w:val="28"/>
      <w:szCs w:val="28"/>
    </w:rPr>
  </w:style>
  <w:style w:type="character" w:styleId="937" w:customStyle="1">
    <w:name w:val="标题 2 Char"/>
    <w:link w:val="923"/>
    <w:uiPriority w:val="0"/>
    <w:rPr>
      <w:rFonts w:ascii="Arial" w:hAnsi="Arial" w:eastAsia="幼圆" w:cs="Arial"/>
      <w:b/>
      <w:bCs/>
      <w:sz w:val="44"/>
      <w:szCs w:val="44"/>
    </w:rPr>
  </w:style>
  <w:style w:type="character" w:styleId="938" w:customStyle="1">
    <w:name w:val="标题 3 Char"/>
    <w:link w:val="924"/>
    <w:uiPriority w:val="0"/>
    <w:rPr>
      <w:rFonts w:ascii="Times New Roman" w:hAnsi="Times New Roman" w:eastAsia="宋体" w:cs="Times New Roman"/>
      <w:b/>
      <w:bCs/>
      <w:sz w:val="32"/>
      <w:szCs w:val="32"/>
    </w:rPr>
  </w:style>
  <w:style w:type="character" w:styleId="939" w:customStyle="1">
    <w:name w:val="正文缩进 Char"/>
    <w:link w:val="925"/>
    <w:uiPriority w:val="0"/>
    <w:rPr>
      <w:szCs w:val="21"/>
    </w:rPr>
  </w:style>
  <w:style w:type="character" w:styleId="940" w:customStyle="1">
    <w:name w:val="标题 4 Char"/>
    <w:link w:val="926"/>
    <w:uiPriority w:val="0"/>
    <w:rPr>
      <w:rFonts w:ascii="Arial" w:hAnsi="Arial" w:eastAsia="黑体" w:cs="Arial"/>
      <w:b/>
      <w:bCs/>
      <w:sz w:val="28"/>
      <w:szCs w:val="28"/>
    </w:rPr>
  </w:style>
  <w:style w:type="character" w:styleId="941" w:customStyle="1">
    <w:name w:val="标题 5 Char"/>
    <w:link w:val="927"/>
    <w:uiPriority w:val="0"/>
    <w:rPr>
      <w:rFonts w:ascii="宋体" w:hAnsi="Times New Roman" w:eastAsia="宋体" w:cs="Times New Roman"/>
      <w:color w:val="000000"/>
      <w:sz w:val="28"/>
      <w:szCs w:val="28"/>
    </w:rPr>
  </w:style>
  <w:style w:type="character" w:styleId="942" w:customStyle="1">
    <w:name w:val="标题 6 Char"/>
    <w:link w:val="928"/>
    <w:uiPriority w:val="0"/>
    <w:rPr>
      <w:rFonts w:ascii="Arial" w:hAnsi="Arial" w:eastAsia="黑体" w:cs="Times New Roman"/>
      <w:b/>
      <w:bCs/>
      <w:sz w:val="24"/>
      <w:szCs w:val="24"/>
    </w:rPr>
  </w:style>
  <w:style w:type="character" w:styleId="943" w:customStyle="1">
    <w:name w:val="标题 7 Char"/>
    <w:link w:val="929"/>
    <w:uiPriority w:val="0"/>
    <w:rPr>
      <w:rFonts w:ascii="Times New Roman" w:hAnsi="Times New Roman" w:eastAsia="宋体" w:cs="Times New Roman"/>
      <w:b/>
      <w:bCs/>
      <w:sz w:val="24"/>
      <w:szCs w:val="24"/>
    </w:rPr>
  </w:style>
  <w:style w:type="character" w:styleId="944" w:customStyle="1">
    <w:name w:val="标题 8 Char"/>
    <w:link w:val="930"/>
    <w:uiPriority w:val="0"/>
    <w:rPr>
      <w:rFonts w:ascii="Arial" w:hAnsi="Arial" w:eastAsia="黑体" w:cs="Times New Roman"/>
      <w:sz w:val="24"/>
      <w:szCs w:val="24"/>
    </w:rPr>
  </w:style>
  <w:style w:type="character" w:styleId="945" w:customStyle="1">
    <w:name w:val="标题 9 Char"/>
    <w:link w:val="931"/>
    <w:uiPriority w:val="0"/>
    <w:rPr>
      <w:rFonts w:ascii="Arial" w:hAnsi="Arial" w:eastAsia="黑体" w:cs="Times New Roman"/>
      <w:szCs w:val="21"/>
    </w:rPr>
  </w:style>
  <w:style w:type="paragraph" w:styleId="946" w:customStyle="1">
    <w:name w:val="列表 31"/>
    <w:basedOn w:val="738"/>
    <w:uiPriority w:val="0"/>
    <w:pPr>
      <w:ind w:left="100" w:hanging="200"/>
    </w:pPr>
    <w:rPr>
      <w:rFonts w:ascii="Times New Roman" w:hAnsi="Times New Roman" w:eastAsia="宋体" w:cs="Times New Roman"/>
      <w:szCs w:val="21"/>
    </w:rPr>
  </w:style>
  <w:style w:type="paragraph" w:styleId="947" w:customStyle="1">
    <w:name w:val="目录 71"/>
    <w:basedOn w:val="738"/>
    <w:next w:val="738"/>
    <w:uiPriority w:val="0"/>
    <w:semiHidden/>
    <w:pPr>
      <w:ind w:left="1260"/>
      <w:jc w:val="left"/>
    </w:pPr>
    <w:rPr>
      <w:rFonts w:ascii="Times New Roman" w:hAnsi="Times New Roman" w:eastAsia="宋体" w:cs="Times New Roman"/>
      <w:szCs w:val="21"/>
    </w:rPr>
  </w:style>
  <w:style w:type="paragraph" w:styleId="948" w:customStyle="1">
    <w:name w:val="文档结构图1"/>
    <w:basedOn w:val="738"/>
    <w:link w:val="949"/>
    <w:uiPriority w:val="0"/>
    <w:semiHidden/>
    <w:pPr>
      <w:shd w:val="clear" w:color="auto" w:fill="000080"/>
    </w:pPr>
    <w:rPr>
      <w:rFonts w:ascii="Times New Roman" w:hAnsi="Times New Roman" w:eastAsia="宋体" w:cs="Times New Roman"/>
      <w:szCs w:val="21"/>
    </w:rPr>
  </w:style>
  <w:style w:type="character" w:styleId="949" w:customStyle="1">
    <w:name w:val="文档结构图 Char"/>
    <w:link w:val="948"/>
    <w:uiPriority w:val="0"/>
    <w:semiHidden/>
    <w:rPr>
      <w:rFonts w:ascii="Times New Roman" w:hAnsi="Times New Roman" w:eastAsia="宋体" w:cs="Times New Roman"/>
      <w:szCs w:val="21"/>
      <w:shd w:val="clear" w:color="auto" w:fill="000080"/>
    </w:rPr>
  </w:style>
  <w:style w:type="paragraph" w:styleId="950" w:customStyle="1">
    <w:name w:val="批注文字1"/>
    <w:basedOn w:val="738"/>
    <w:link w:val="996"/>
    <w:uiPriority w:val="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51" w:customStyle="1">
    <w:name w:val="批注文字 字符"/>
    <w:basedOn w:val="932"/>
    <w:link w:val="950"/>
    <w:uiPriority w:val="0"/>
    <w:rPr>
      <w:rFonts w:ascii="Calibri" w:hAnsi="Calibri" w:eastAsia="宋体" w:cs="Times New Roman"/>
      <w:sz w:val="21"/>
      <w:szCs w:val="24"/>
    </w:rPr>
  </w:style>
  <w:style w:type="paragraph" w:styleId="952" w:customStyle="1">
    <w:name w:val="正文文本 31"/>
    <w:basedOn w:val="738"/>
    <w:link w:val="953"/>
    <w:uiPriority w:val="0"/>
    <w:rPr>
      <w:rFonts w:ascii="仿宋_GB2312" w:hAnsi="Arial" w:eastAsia="仿宋_GB2312" w:cs="Times New Roman"/>
      <w:sz w:val="32"/>
      <w:szCs w:val="32"/>
    </w:rPr>
  </w:style>
  <w:style w:type="character" w:styleId="953" w:customStyle="1">
    <w:name w:val="正文文本 3 Char"/>
    <w:link w:val="952"/>
    <w:uiPriority w:val="0"/>
    <w:rPr>
      <w:rFonts w:ascii="仿宋_GB2312" w:hAnsi="Arial" w:eastAsia="仿宋_GB2312" w:cs="Times New Roman"/>
      <w:sz w:val="32"/>
      <w:szCs w:val="32"/>
    </w:rPr>
  </w:style>
  <w:style w:type="paragraph" w:styleId="954" w:customStyle="1">
    <w:name w:val="正文文本11"/>
    <w:basedOn w:val="738"/>
    <w:link w:val="955"/>
    <w:uiPriority w:val="0"/>
    <w:rPr>
      <w:rFonts w:ascii="楷体_GB2312" w:hAnsi="Arial" w:eastAsia="楷体_GB2312" w:cs="Times New Roman"/>
      <w:sz w:val="28"/>
      <w:szCs w:val="28"/>
    </w:rPr>
  </w:style>
  <w:style w:type="character" w:styleId="955" w:customStyle="1">
    <w:name w:val="正文文本 Char"/>
    <w:link w:val="954"/>
    <w:uiPriority w:val="0"/>
    <w:rPr>
      <w:rFonts w:ascii="楷体_GB2312" w:hAnsi="Arial" w:eastAsia="楷体_GB2312" w:cs="Times New Roman"/>
      <w:sz w:val="28"/>
      <w:szCs w:val="28"/>
    </w:rPr>
  </w:style>
  <w:style w:type="paragraph" w:styleId="956" w:customStyle="1">
    <w:name w:val="列表 21"/>
    <w:basedOn w:val="738"/>
    <w:uiPriority w:val="0"/>
    <w:pPr>
      <w:ind w:left="100" w:hanging="200"/>
    </w:pPr>
    <w:rPr>
      <w:rFonts w:ascii="Times New Roman" w:hAnsi="Times New Roman" w:eastAsia="宋体" w:cs="Times New Roman"/>
      <w:szCs w:val="21"/>
    </w:rPr>
  </w:style>
  <w:style w:type="paragraph" w:styleId="957" w:customStyle="1">
    <w:name w:val="目录 51"/>
    <w:basedOn w:val="738"/>
    <w:next w:val="738"/>
    <w:uiPriority w:val="0"/>
    <w:semiHidden/>
    <w:pPr>
      <w:ind w:left="840"/>
      <w:jc w:val="left"/>
    </w:pPr>
    <w:rPr>
      <w:rFonts w:ascii="Times New Roman" w:hAnsi="Times New Roman" w:eastAsia="宋体" w:cs="Times New Roman"/>
      <w:szCs w:val="21"/>
    </w:rPr>
  </w:style>
  <w:style w:type="paragraph" w:styleId="958" w:customStyle="1">
    <w:name w:val="目录 31"/>
    <w:basedOn w:val="738"/>
    <w:next w:val="738"/>
    <w:uiPriority w:val="0"/>
    <w:semiHidden/>
    <w:pPr>
      <w:ind w:left="420"/>
      <w:jc w:val="left"/>
    </w:pPr>
    <w:rPr>
      <w:rFonts w:ascii="Times New Roman" w:hAnsi="Times New Roman" w:eastAsia="宋体" w:cs="Times New Roman"/>
      <w:i/>
      <w:iCs/>
      <w:szCs w:val="24"/>
    </w:rPr>
  </w:style>
  <w:style w:type="paragraph" w:styleId="959" w:customStyle="1">
    <w:name w:val="纯文本11"/>
    <w:basedOn w:val="738"/>
    <w:link w:val="960"/>
    <w:uiPriority w:val="0"/>
    <w:rPr>
      <w:rFonts w:ascii="宋体" w:hAnsi="Courier New" w:eastAsia="宋体" w:cs="Courier New"/>
      <w:szCs w:val="21"/>
    </w:rPr>
  </w:style>
  <w:style w:type="character" w:styleId="960" w:customStyle="1">
    <w:name w:val="纯文本 Char"/>
    <w:link w:val="959"/>
    <w:uiPriority w:val="0"/>
    <w:rPr>
      <w:rFonts w:ascii="宋体" w:hAnsi="Courier New" w:eastAsia="宋体" w:cs="Courier New"/>
      <w:szCs w:val="21"/>
    </w:rPr>
  </w:style>
  <w:style w:type="paragraph" w:styleId="961" w:customStyle="1">
    <w:name w:val="目录 81"/>
    <w:basedOn w:val="738"/>
    <w:next w:val="738"/>
    <w:uiPriority w:val="0"/>
    <w:semiHidden/>
    <w:pPr>
      <w:ind w:left="1470"/>
      <w:jc w:val="left"/>
    </w:pPr>
    <w:rPr>
      <w:rFonts w:ascii="Times New Roman" w:hAnsi="Times New Roman" w:eastAsia="宋体" w:cs="Times New Roman"/>
      <w:szCs w:val="21"/>
    </w:rPr>
  </w:style>
  <w:style w:type="paragraph" w:styleId="962" w:customStyle="1">
    <w:name w:val="日期1"/>
    <w:basedOn w:val="738"/>
    <w:next w:val="738"/>
    <w:link w:val="963"/>
    <w:uiPriority w:val="0"/>
    <w:rPr>
      <w:rFonts w:ascii="Times New Roman" w:hAnsi="Times New Roman" w:eastAsia="宋体" w:cs="Times New Roman"/>
      <w:sz w:val="24"/>
      <w:szCs w:val="24"/>
    </w:rPr>
  </w:style>
  <w:style w:type="character" w:styleId="963" w:customStyle="1">
    <w:name w:val="日期 Char"/>
    <w:link w:val="962"/>
    <w:uiPriority w:val="0"/>
    <w:rPr>
      <w:rFonts w:ascii="Times New Roman" w:hAnsi="Times New Roman" w:eastAsia="宋体" w:cs="Times New Roman"/>
      <w:sz w:val="24"/>
      <w:szCs w:val="24"/>
    </w:rPr>
  </w:style>
  <w:style w:type="paragraph" w:styleId="964" w:customStyle="1">
    <w:name w:val="正文文本缩进 21"/>
    <w:basedOn w:val="738"/>
    <w:link w:val="965"/>
    <w:uiPriority w:val="0"/>
    <w:pPr>
      <w:ind w:left="630" w:firstLine="645"/>
    </w:pPr>
    <w:rPr>
      <w:rFonts w:ascii="Arial" w:hAnsi="Arial" w:eastAsia="仿宋_GB2312" w:cs="Arial"/>
      <w:sz w:val="32"/>
      <w:szCs w:val="32"/>
    </w:rPr>
  </w:style>
  <w:style w:type="character" w:styleId="965" w:customStyle="1">
    <w:name w:val="正文文本缩进 2 Char"/>
    <w:link w:val="964"/>
    <w:uiPriority w:val="0"/>
    <w:qFormat/>
    <w:rPr>
      <w:rFonts w:ascii="Arial" w:hAnsi="Arial" w:eastAsia="仿宋_GB2312" w:cs="Arial"/>
      <w:sz w:val="32"/>
      <w:szCs w:val="32"/>
    </w:rPr>
  </w:style>
  <w:style w:type="paragraph" w:styleId="966" w:customStyle="1">
    <w:name w:val="批注框文本1"/>
    <w:basedOn w:val="738"/>
    <w:link w:val="967"/>
    <w:uiPriority w:val="0"/>
    <w:semiHidden/>
    <w:qFormat/>
    <w:rPr>
      <w:rFonts w:ascii="Times New Roman" w:hAnsi="Times New Roman" w:eastAsia="宋体" w:cs="Times New Roman"/>
      <w:sz w:val="18"/>
      <w:szCs w:val="18"/>
    </w:rPr>
  </w:style>
  <w:style w:type="character" w:styleId="967" w:customStyle="1">
    <w:name w:val="批注框文本 Char"/>
    <w:link w:val="966"/>
    <w:uiPriority w:val="0"/>
    <w:semiHidden/>
    <w:qFormat/>
    <w:rPr>
      <w:rFonts w:ascii="Times New Roman" w:hAnsi="Times New Roman" w:eastAsia="宋体" w:cs="Times New Roman"/>
      <w:sz w:val="18"/>
      <w:szCs w:val="18"/>
    </w:rPr>
  </w:style>
  <w:style w:type="paragraph" w:styleId="968" w:customStyle="1">
    <w:name w:val="页脚1"/>
    <w:basedOn w:val="738"/>
    <w:link w:val="969"/>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969" w:customStyle="1">
    <w:name w:val="页脚 Char"/>
    <w:link w:val="968"/>
    <w:uiPriority w:val="0"/>
    <w:rPr>
      <w:rFonts w:ascii="Times New Roman" w:hAnsi="Times New Roman" w:eastAsia="宋体" w:cs="Times New Roman"/>
      <w:sz w:val="18"/>
      <w:szCs w:val="18"/>
    </w:rPr>
  </w:style>
  <w:style w:type="paragraph" w:styleId="970" w:customStyle="1">
    <w:name w:val="页眉1"/>
    <w:basedOn w:val="738"/>
    <w:link w:val="971"/>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1" w:customStyle="1">
    <w:name w:val="页眉 Char"/>
    <w:link w:val="970"/>
    <w:uiPriority w:val="0"/>
    <w:rPr>
      <w:rFonts w:ascii="Times New Roman" w:hAnsi="Times New Roman" w:eastAsia="宋体" w:cs="Times New Roman"/>
      <w:sz w:val="18"/>
      <w:szCs w:val="18"/>
    </w:rPr>
  </w:style>
  <w:style w:type="paragraph" w:styleId="972" w:customStyle="1">
    <w:name w:val="目录 11"/>
    <w:basedOn w:val="738"/>
    <w:next w:val="738"/>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3" w:customStyle="1">
    <w:name w:val="目录 41"/>
    <w:basedOn w:val="738"/>
    <w:next w:val="738"/>
    <w:uiPriority w:val="0"/>
    <w:semiHidden/>
    <w:pPr>
      <w:ind w:left="630"/>
      <w:jc w:val="left"/>
    </w:pPr>
    <w:rPr>
      <w:rFonts w:ascii="Times New Roman" w:hAnsi="Times New Roman" w:eastAsia="宋体" w:cs="Times New Roman"/>
      <w:szCs w:val="21"/>
    </w:rPr>
  </w:style>
  <w:style w:type="paragraph" w:styleId="974" w:customStyle="1">
    <w:name w:val="列表1"/>
    <w:basedOn w:val="738"/>
    <w:uiPriority w:val="0"/>
    <w:pPr>
      <w:ind w:left="200" w:hanging="200"/>
    </w:pPr>
    <w:rPr>
      <w:rFonts w:ascii="Times New Roman" w:hAnsi="Times New Roman" w:eastAsia="宋体" w:cs="Times New Roman"/>
      <w:szCs w:val="21"/>
    </w:rPr>
  </w:style>
  <w:style w:type="paragraph" w:styleId="975" w:customStyle="1">
    <w:name w:val="目录 61"/>
    <w:basedOn w:val="738"/>
    <w:next w:val="738"/>
    <w:uiPriority w:val="0"/>
    <w:semiHidden/>
    <w:pPr>
      <w:ind w:left="1050"/>
      <w:jc w:val="left"/>
    </w:pPr>
    <w:rPr>
      <w:rFonts w:ascii="Times New Roman" w:hAnsi="Times New Roman" w:eastAsia="宋体" w:cs="Times New Roman"/>
      <w:szCs w:val="21"/>
    </w:rPr>
  </w:style>
  <w:style w:type="paragraph" w:styleId="976" w:customStyle="1">
    <w:name w:val="正文文本缩进 31"/>
    <w:basedOn w:val="738"/>
    <w:link w:val="977"/>
    <w:uiPriority w:val="0"/>
    <w:pPr>
      <w:ind w:left="645" w:firstLine="645"/>
    </w:pPr>
    <w:rPr>
      <w:rFonts w:ascii="Arial" w:hAnsi="Arial" w:eastAsia="仿宋_GB2312" w:cs="Arial"/>
      <w:color w:val="ffff00"/>
      <w:sz w:val="32"/>
      <w:szCs w:val="32"/>
    </w:rPr>
  </w:style>
  <w:style w:type="character" w:styleId="977" w:customStyle="1">
    <w:name w:val="正文文本缩进 3 Char"/>
    <w:link w:val="976"/>
    <w:uiPriority w:val="0"/>
    <w:rPr>
      <w:rFonts w:ascii="Arial" w:hAnsi="Arial" w:eastAsia="仿宋_GB2312" w:cs="Arial"/>
      <w:color w:val="ffff00"/>
      <w:sz w:val="32"/>
      <w:szCs w:val="32"/>
    </w:rPr>
  </w:style>
  <w:style w:type="paragraph" w:styleId="978" w:customStyle="1">
    <w:name w:val="图表目录1"/>
    <w:basedOn w:val="738"/>
    <w:next w:val="738"/>
    <w:uiPriority w:val="0"/>
    <w:semiHidden/>
    <w:pPr>
      <w:ind w:left="840" w:hanging="420"/>
    </w:pPr>
    <w:rPr>
      <w:rFonts w:ascii="Times New Roman" w:hAnsi="Times New Roman" w:eastAsia="宋体" w:cs="Times New Roman"/>
      <w:szCs w:val="21"/>
    </w:rPr>
  </w:style>
  <w:style w:type="paragraph" w:styleId="979" w:customStyle="1">
    <w:name w:val="目录 21"/>
    <w:basedOn w:val="738"/>
    <w:next w:val="738"/>
    <w:uiPriority w:val="0"/>
    <w:semiHidden/>
    <w:pPr>
      <w:ind w:left="210"/>
      <w:jc w:val="left"/>
    </w:pPr>
    <w:rPr>
      <w:rFonts w:ascii="Times New Roman" w:hAnsi="Times New Roman" w:eastAsia="宋体" w:cs="Times New Roman"/>
      <w:smallCaps/>
      <w:szCs w:val="24"/>
    </w:rPr>
  </w:style>
  <w:style w:type="paragraph" w:styleId="980" w:customStyle="1">
    <w:name w:val="目录 91"/>
    <w:basedOn w:val="738"/>
    <w:next w:val="738"/>
    <w:uiPriority w:val="0"/>
    <w:semiHidden/>
    <w:pPr>
      <w:ind w:left="1680"/>
      <w:jc w:val="left"/>
    </w:pPr>
    <w:rPr>
      <w:rFonts w:ascii="Times New Roman" w:hAnsi="Times New Roman" w:eastAsia="宋体" w:cs="Times New Roman"/>
      <w:szCs w:val="21"/>
    </w:rPr>
  </w:style>
  <w:style w:type="paragraph" w:styleId="981" w:customStyle="1">
    <w:name w:val="正文文本 21"/>
    <w:basedOn w:val="738"/>
    <w:link w:val="982"/>
    <w:uiPriority w:val="0"/>
    <w:pPr>
      <w:jc w:val="center"/>
      <w:widowControl/>
    </w:pPr>
    <w:rPr>
      <w:rFonts w:ascii="楷体_GB2312" w:hAnsi="Times New Roman" w:eastAsia="楷体_GB2312" w:cs="Times New Roman"/>
      <w:sz w:val="28"/>
      <w:szCs w:val="28"/>
    </w:rPr>
  </w:style>
  <w:style w:type="character" w:styleId="982" w:customStyle="1">
    <w:name w:val="正文文本 2 Char"/>
    <w:link w:val="981"/>
    <w:uiPriority w:val="0"/>
    <w:rPr>
      <w:rFonts w:ascii="楷体_GB2312" w:hAnsi="Times New Roman" w:eastAsia="楷体_GB2312" w:cs="Times New Roman"/>
      <w:sz w:val="28"/>
      <w:szCs w:val="28"/>
    </w:rPr>
  </w:style>
  <w:style w:type="paragraph" w:styleId="983" w:customStyle="1">
    <w:name w:val="普通(网站)1"/>
    <w:basedOn w:val="738"/>
    <w:uiPriority w:val="99"/>
    <w:pPr>
      <w:jc w:val="left"/>
      <w:spacing w:before="100" w:beforeAutospacing="1" w:after="100" w:afterAutospacing="1"/>
      <w:widowControl/>
    </w:pPr>
    <w:rPr>
      <w:rFonts w:ascii="宋体" w:hAnsi="宋体" w:eastAsia="宋体" w:cs="宋体"/>
      <w:sz w:val="24"/>
      <w:szCs w:val="24"/>
    </w:rPr>
  </w:style>
  <w:style w:type="paragraph" w:styleId="984" w:customStyle="1">
    <w:name w:val="索引 11"/>
    <w:basedOn w:val="738"/>
    <w:next w:val="738"/>
    <w:uiPriority w:val="0"/>
    <w:semiHidden/>
    <w:pPr>
      <w:spacing w:line="240" w:lineRule="atLeast"/>
    </w:pPr>
    <w:rPr>
      <w:rFonts w:ascii="Times New Roman" w:hAnsi="Times New Roman" w:eastAsia="宋体" w:cs="Times New Roman"/>
      <w:b/>
      <w:bCs/>
      <w:szCs w:val="21"/>
    </w:rPr>
  </w:style>
  <w:style w:type="paragraph" w:styleId="985" w:customStyle="1">
    <w:name w:val="批注主题1"/>
    <w:basedOn w:val="950"/>
    <w:next w:val="950"/>
    <w:link w:val="986"/>
    <w:uiPriority w:val="0"/>
    <w:semiHidden/>
    <w:rPr>
      <w:rFonts w:ascii="Times New Roman" w:hAnsi="Times New Roman" w:eastAsia="宋体" w:cs="Times New Roman"/>
      <w:b/>
      <w:bCs/>
      <w:szCs w:val="21"/>
    </w:rPr>
  </w:style>
  <w:style w:type="character" w:styleId="986" w:customStyle="1">
    <w:name w:val="批注主题 Char"/>
    <w:link w:val="985"/>
    <w:uiPriority w:val="0"/>
    <w:semiHidden/>
    <w:rPr>
      <w:rFonts w:ascii="Times New Roman" w:hAnsi="Times New Roman" w:eastAsia="宋体" w:cs="Times New Roman"/>
      <w:b/>
      <w:bCs/>
      <w:szCs w:val="21"/>
    </w:rPr>
  </w:style>
  <w:style w:type="paragraph" w:styleId="987" w:customStyle="1">
    <w:name w:val="正文首行缩进11"/>
    <w:basedOn w:val="738"/>
    <w:link w:val="988"/>
    <w:uiPriority w:val="0"/>
    <w:pPr>
      <w:ind w:firstLine="200"/>
      <w:spacing w:line="360" w:lineRule="auto"/>
    </w:pPr>
    <w:rPr>
      <w:rFonts w:ascii="仿宋_GB2312" w:hAnsi="Times New Roman" w:eastAsia="仿宋_GB2312" w:cs="Times New Roman"/>
      <w:sz w:val="30"/>
      <w:szCs w:val="30"/>
    </w:rPr>
  </w:style>
  <w:style w:type="character" w:styleId="988" w:customStyle="1">
    <w:name w:val="正文首行缩进 Char"/>
    <w:link w:val="987"/>
    <w:uiPriority w:val="0"/>
    <w:rPr>
      <w:rFonts w:ascii="仿宋_GB2312" w:hAnsi="Times New Roman" w:eastAsia="仿宋_GB2312" w:cs="Times New Roman"/>
      <w:sz w:val="30"/>
      <w:szCs w:val="30"/>
    </w:rPr>
  </w:style>
  <w:style w:type="table" w:styleId="989" w:customStyle="1">
    <w:name w:val="网格型11"/>
    <w:basedOn w:val="933"/>
    <w:uiPriority w:val="0"/>
    <w:pPr>
      <w:jc w:val="both"/>
      <w:widowControl w:val="off"/>
    </w:pPr>
    <w:rPr>
      <w:rFonts w:ascii="Times New Roman" w:hAnsi="Times New Roman" w:eastAsia="宋体" w:cs="Times New Roman"/>
      <w:sz w:val="20"/>
      <w:szCs w:val="20"/>
    </w:rPr>
    <w:tblPr/>
  </w:style>
  <w:style w:type="character" w:styleId="990" w:customStyle="1">
    <w:name w:val="要点1"/>
    <w:link w:val="738"/>
    <w:uiPriority w:val="0"/>
    <w:qFormat/>
    <w:rPr>
      <w:b/>
      <w:bCs/>
    </w:rPr>
  </w:style>
  <w:style w:type="character" w:styleId="991" w:customStyle="1">
    <w:name w:val="页码1"/>
    <w:link w:val="738"/>
    <w:uiPriority w:val="0"/>
  </w:style>
  <w:style w:type="character" w:styleId="992" w:customStyle="1">
    <w:name w:val="已访问的超链接1"/>
    <w:link w:val="738"/>
    <w:uiPriority w:val="0"/>
    <w:rPr>
      <w:color w:val="800080"/>
      <w:u w:val="single"/>
    </w:rPr>
  </w:style>
  <w:style w:type="character" w:styleId="993" w:customStyle="1">
    <w:name w:val="强调1"/>
    <w:link w:val="738"/>
    <w:uiPriority w:val="0"/>
    <w:qFormat/>
    <w:rPr>
      <w:i/>
    </w:rPr>
  </w:style>
  <w:style w:type="character" w:styleId="994" w:customStyle="1">
    <w:name w:val="超链接1"/>
    <w:link w:val="738"/>
    <w:uiPriority w:val="0"/>
    <w:rPr>
      <w:color w:val="0000ff"/>
      <w:u w:val="single"/>
    </w:rPr>
  </w:style>
  <w:style w:type="character" w:styleId="995" w:customStyle="1">
    <w:name w:val="批注引用1"/>
    <w:link w:val="738"/>
    <w:uiPriority w:val="0"/>
    <w:semiHidden/>
    <w:rPr>
      <w:sz w:val="21"/>
      <w:szCs w:val="21"/>
    </w:rPr>
  </w:style>
  <w:style w:type="character" w:styleId="996" w:customStyle="1">
    <w:name w:val="批注文字 Char"/>
    <w:basedOn w:val="932"/>
    <w:link w:val="950"/>
    <w:uiPriority w:val="99"/>
    <w:semiHidden/>
  </w:style>
  <w:style w:type="paragraph" w:styleId="997" w:customStyle="1">
    <w:name w:val="正文首行缩进 2111"/>
    <w:basedOn w:val="998"/>
    <w:next w:val="738"/>
    <w:uiPriority w:val="0"/>
    <w:qFormat/>
    <w:pPr>
      <w:ind w:left="0" w:firstLine="420"/>
      <w:spacing w:after="0" w:line="360" w:lineRule="auto"/>
    </w:pPr>
    <w:rPr>
      <w:rFonts w:ascii="宋体" w:hAnsi="宋体" w:eastAsia="宋体" w:cs="Times New Roman"/>
      <w:szCs w:val="20"/>
    </w:rPr>
  </w:style>
  <w:style w:type="paragraph" w:styleId="998" w:customStyle="1">
    <w:name w:val="正文文本缩进12"/>
    <w:basedOn w:val="738"/>
    <w:next w:val="999"/>
    <w:uiPriority w:val="0"/>
    <w:unhideWhenUsed/>
    <w:qFormat/>
    <w:pPr>
      <w:ind w:left="420"/>
      <w:spacing w:after="120"/>
    </w:pPr>
  </w:style>
  <w:style w:type="paragraph" w:styleId="999" w:customStyle="1">
    <w:name w:val="寄信人地址11"/>
    <w:basedOn w:val="738"/>
    <w:uiPriority w:val="0"/>
    <w:qFormat/>
    <w:rPr>
      <w:rFonts w:ascii="Arial" w:hAnsi="Arial" w:eastAsia="宋体" w:cs="宋体"/>
    </w:rPr>
  </w:style>
  <w:style w:type="paragraph" w:styleId="1000" w:customStyle="1">
    <w:name w:val="索引 41"/>
    <w:basedOn w:val="738"/>
    <w:next w:val="738"/>
    <w:uiPriority w:val="0"/>
    <w:semiHidden/>
    <w:qFormat/>
    <w:pPr>
      <w:ind w:left="1260"/>
    </w:pPr>
    <w:rPr>
      <w:rFonts w:ascii="Calibri" w:hAnsi="Calibri" w:eastAsia="Calibri" w:cs="宋体"/>
      <w:sz w:val="20"/>
      <w:lang w:val="zh-CN"/>
    </w:rPr>
  </w:style>
  <w:style w:type="character" w:styleId="1001" w:customStyle="1">
    <w:name w:val="font5 Char"/>
    <w:link w:val="738"/>
    <w:uiPriority w:val="0"/>
    <w:rPr>
      <w:rFonts w:ascii="宋体" w:hAnsi="宋体" w:eastAsia="宋体"/>
      <w:sz w:val="28"/>
      <w:szCs w:val="28"/>
      <w:lang w:val="en-US" w:eastAsia="zh-CN" w:bidi="ar-SA"/>
    </w:rPr>
  </w:style>
  <w:style w:type="character" w:styleId="1002" w:customStyle="1">
    <w:name w:val="二级目录 Char"/>
    <w:link w:val="1003"/>
    <w:uiPriority w:val="0"/>
    <w:rPr>
      <w:b/>
      <w:sz w:val="30"/>
      <w:szCs w:val="28"/>
    </w:rPr>
  </w:style>
  <w:style w:type="paragraph" w:styleId="1003" w:customStyle="1">
    <w:name w:val="二级目录"/>
    <w:next w:val="738"/>
    <w:link w:val="1002"/>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4" w:customStyle="1">
    <w:name w:val="列出段落 Char"/>
    <w:link w:val="1005"/>
    <w:uiPriority w:val="0"/>
    <w:qFormat/>
    <w:rPr>
      <w:rFonts w:ascii="Calibri" w:hAnsi="Calibri"/>
      <w:sz w:val="24"/>
      <w:szCs w:val="24"/>
      <w:lang w:eastAsia="en-US" w:bidi="en-US"/>
    </w:rPr>
  </w:style>
  <w:style w:type="paragraph" w:styleId="1005" w:customStyle="1">
    <w:name w:val="列出段落1"/>
    <w:basedOn w:val="738"/>
    <w:link w:val="1004"/>
    <w:uiPriority w:val="0"/>
    <w:qFormat/>
    <w:pPr>
      <w:contextualSpacing/>
      <w:ind w:left="720"/>
      <w:jc w:val="left"/>
      <w:widowControl/>
    </w:pPr>
    <w:rPr>
      <w:rFonts w:ascii="Calibri" w:hAnsi="Calibri"/>
      <w:sz w:val="24"/>
      <w:szCs w:val="24"/>
      <w:lang w:eastAsia="en-US" w:bidi="en-US"/>
    </w:rPr>
  </w:style>
  <w:style w:type="paragraph" w:styleId="1006" w:customStyle="1">
    <w:name w:val="Body Text(ch)"/>
    <w:basedOn w:val="738"/>
    <w:next w:val="954"/>
    <w:uiPriority w:val="0"/>
    <w:pPr>
      <w:spacing w:after="120"/>
    </w:pPr>
    <w:rPr>
      <w:rFonts w:ascii="宋体" w:hAnsi="Arial" w:eastAsia="宋体" w:cs="Times New Roman"/>
      <w:bCs/>
      <w:iCs/>
      <w:szCs w:val="24"/>
    </w:rPr>
  </w:style>
  <w:style w:type="paragraph" w:styleId="1007" w:customStyle="1">
    <w:name w:val="xl27"/>
    <w:basedOn w:val="73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customStyle="1">
    <w:name w:val="xl26"/>
    <w:basedOn w:val="73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9" w:customStyle="1">
    <w:name w:val="Char"/>
    <w:basedOn w:val="738"/>
    <w:uiPriority w:val="0"/>
    <w:pPr>
      <w:ind w:firstLine="200"/>
      <w:tabs>
        <w:tab w:val="left" w:pos="360" w:leader="none"/>
      </w:tabs>
    </w:pPr>
    <w:rPr>
      <w:rFonts w:ascii="Times New Roman" w:hAnsi="Times New Roman" w:eastAsia="宋体" w:cs="Times New Roman"/>
      <w:sz w:val="28"/>
      <w:szCs w:val="30"/>
    </w:rPr>
  </w:style>
  <w:style w:type="paragraph" w:styleId="1010" w:customStyle="1">
    <w:name w:val=" Char"/>
    <w:basedOn w:val="948"/>
    <w:uiPriority w:val="0"/>
    <w:rPr>
      <w:rFonts w:ascii="Tahoma" w:hAnsi="Tahoma"/>
      <w:sz w:val="24"/>
      <w:szCs w:val="24"/>
    </w:rPr>
  </w:style>
  <w:style w:type="paragraph" w:styleId="1011" w:customStyle="1">
    <w:name w:val="普通正文"/>
    <w:basedOn w:val="738"/>
    <w:uiPriority w:val="0"/>
    <w:pPr>
      <w:ind w:firstLine="480"/>
      <w:jc w:val="left"/>
      <w:spacing w:before="120" w:after="120" w:line="360" w:lineRule="auto"/>
    </w:pPr>
    <w:rPr>
      <w:rFonts w:ascii="Arial" w:hAnsi="Arial" w:eastAsia="宋体" w:cs="Times New Roman"/>
      <w:sz w:val="24"/>
      <w:szCs w:val="24"/>
    </w:rPr>
  </w:style>
  <w:style w:type="paragraph" w:styleId="1012" w:customStyle="1">
    <w:name w:val="table_lines"/>
    <w:basedOn w:val="738"/>
    <w:uiPriority w:val="0"/>
    <w:pPr>
      <w:jc w:val="left"/>
      <w:widowControl/>
    </w:pPr>
    <w:rPr>
      <w:rFonts w:ascii="Times New Roman" w:hAnsi="Times New Roman" w:eastAsia="宋体" w:cs="Times New Roman"/>
      <w:sz w:val="20"/>
      <w:szCs w:val="20"/>
      <w:lang w:val="de-DE" w:eastAsia="de-DE"/>
    </w:rPr>
  </w:style>
  <w:style w:type="paragraph" w:styleId="1013"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4" w:customStyle="1">
    <w:name w:val="font7"/>
    <w:basedOn w:val="738"/>
    <w:uiPriority w:val="0"/>
    <w:pPr>
      <w:jc w:val="left"/>
      <w:spacing w:before="100" w:beforeAutospacing="1" w:after="100" w:afterAutospacing="1"/>
      <w:widowControl/>
    </w:pPr>
    <w:rPr>
      <w:rFonts w:hint="eastAsia" w:ascii="宋体" w:hAnsi="宋体" w:eastAsia="宋体" w:cs="Times New Roman"/>
      <w:sz w:val="18"/>
      <w:szCs w:val="18"/>
    </w:rPr>
  </w:style>
  <w:style w:type="paragraph" w:styleId="1015" w:customStyle="1">
    <w:name w:val=" Char Char Char Char"/>
    <w:basedOn w:val="948"/>
    <w:uiPriority w:val="0"/>
    <w:pPr>
      <w:spacing w:line="360" w:lineRule="auto"/>
    </w:pPr>
    <w:rPr>
      <w:rFonts w:ascii="Tahoma" w:hAnsi="Tahoma"/>
      <w:sz w:val="24"/>
      <w:szCs w:val="24"/>
    </w:rPr>
  </w:style>
  <w:style w:type="paragraph" w:styleId="1016" w:customStyle="1">
    <w:name w:val="列出段落"/>
    <w:basedOn w:val="738"/>
    <w:uiPriority w:val="0"/>
    <w:qFormat/>
    <w:pPr>
      <w:contextualSpacing/>
      <w:ind w:left="720"/>
      <w:jc w:val="left"/>
      <w:widowControl/>
    </w:pPr>
    <w:rPr>
      <w:rFonts w:ascii="Calibri" w:hAnsi="Calibri" w:eastAsia="宋体" w:cs="Times New Roman"/>
      <w:sz w:val="24"/>
      <w:szCs w:val="24"/>
      <w:lang w:eastAsia="en-US" w:bidi="en-US"/>
    </w:rPr>
  </w:style>
  <w:style w:type="paragraph" w:styleId="1017" w:customStyle="1">
    <w:name w:val="4"/>
    <w:basedOn w:val="738"/>
    <w:next w:val="976"/>
    <w:uiPriority w:val="0"/>
    <w:pPr>
      <w:ind w:firstLine="420"/>
      <w:spacing w:line="360" w:lineRule="auto"/>
    </w:pPr>
    <w:rPr>
      <w:rFonts w:ascii="Times New Roman" w:hAnsi="Times New Roman" w:eastAsia="宋体" w:cs="Times New Roman"/>
      <w:color w:val="ff0000"/>
      <w:sz w:val="24"/>
      <w:szCs w:val="24"/>
    </w:rPr>
  </w:style>
  <w:style w:type="paragraph" w:styleId="1018" w:customStyle="1">
    <w:name w:val="普通 (Web)"/>
    <w:basedOn w:val="738"/>
    <w:uiPriority w:val="0"/>
    <w:pPr>
      <w:jc w:val="left"/>
      <w:spacing w:before="100" w:beforeAutospacing="1" w:after="100" w:afterAutospacing="1"/>
      <w:widowControl/>
    </w:pPr>
    <w:rPr>
      <w:rFonts w:ascii="宋体" w:hAnsi="宋体" w:eastAsia="宋体" w:cs="Times New Roman"/>
      <w:sz w:val="24"/>
      <w:szCs w:val="24"/>
    </w:rPr>
  </w:style>
  <w:style w:type="paragraph" w:styleId="1019" w:customStyle="1">
    <w:name w:val=" Char Char Char Char Char Char Char Char Char Char"/>
    <w:basedOn w:val="738"/>
    <w:uiPriority w:val="0"/>
    <w:pPr>
      <w:spacing w:line="360" w:lineRule="auto"/>
    </w:pPr>
    <w:rPr>
      <w:rFonts w:ascii="Times New Roman" w:hAnsi="Times New Roman" w:eastAsia="宋体" w:cs="Times New Roman"/>
      <w:sz w:val="24"/>
      <w:szCs w:val="20"/>
    </w:rPr>
  </w:style>
  <w:style w:type="paragraph" w:styleId="1020" w:customStyle="1">
    <w:name w:val="样式1"/>
    <w:basedOn w:val="738"/>
    <w:uiPriority w:val="0"/>
    <w:pPr>
      <w:numPr>
        <w:ilvl w:val="0"/>
        <w:numId w:val="3"/>
      </w:numPr>
    </w:pPr>
    <w:rPr>
      <w:rFonts w:ascii="宋体" w:hAnsi="宋体" w:eastAsia="宋体" w:cs="Times New Roman"/>
      <w:szCs w:val="21"/>
    </w:rPr>
  </w:style>
  <w:style w:type="paragraph" w:styleId="1021" w:customStyle="1">
    <w:name w:val="font6"/>
    <w:basedOn w:val="738"/>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022" w:customStyle="1">
    <w:name w:val="xl25"/>
    <w:basedOn w:val="73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图标"/>
    <w:basedOn w:val="738"/>
    <w:next w:val="738"/>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4" w:customStyle="1">
    <w:name w:val="标题3"/>
    <w:basedOn w:val="738"/>
    <w:next w:val="738"/>
    <w:uiPriority w:val="0"/>
    <w:pPr>
      <w:ind w:firstLine="624"/>
      <w:spacing w:line="590" w:lineRule="atLeast"/>
    </w:pPr>
    <w:rPr>
      <w:rFonts w:ascii="方正黑体_GBK" w:hAnsi="Times New Roman" w:eastAsia="方正黑体_GBK" w:cs="Times New Roman"/>
      <w:sz w:val="32"/>
      <w:szCs w:val="32"/>
    </w:rPr>
  </w:style>
  <w:style w:type="paragraph" w:styleId="1025" w:customStyle="1">
    <w:name w:val="xl24"/>
    <w:basedOn w:val="73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6" w:customStyle="1">
    <w:name w:val="xl29"/>
    <w:basedOn w:val="738"/>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7" w:customStyle="1">
    <w:name w:val="Char Char Char Char Char Char Char Char"/>
    <w:basedOn w:val="738"/>
    <w:uiPriority w:val="0"/>
    <w:pPr>
      <w:jc w:val="left"/>
      <w:spacing w:after="160" w:line="240" w:lineRule="exact"/>
      <w:widowControl/>
    </w:pPr>
    <w:rPr>
      <w:rFonts w:ascii="Verdana" w:hAnsi="Verdana" w:eastAsia="宋体" w:cs="Times New Roman"/>
      <w:sz w:val="20"/>
      <w:szCs w:val="20"/>
      <w:lang w:eastAsia="en-US"/>
    </w:rPr>
  </w:style>
  <w:style w:type="paragraph" w:styleId="1028" w:customStyle="1">
    <w:name w:val="xl28"/>
    <w:basedOn w:val="73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9" w:customStyle="1">
    <w:name w:val=" Char Char Char Char Char Char Char Char"/>
    <w:basedOn w:val="738"/>
    <w:uiPriority w:val="0"/>
    <w:pPr>
      <w:jc w:val="left"/>
      <w:spacing w:after="160" w:line="240" w:lineRule="exact"/>
      <w:widowControl/>
    </w:pPr>
    <w:rPr>
      <w:rFonts w:ascii="Verdana" w:hAnsi="Verdana" w:eastAsia="宋体" w:cs="Times New Roman"/>
      <w:sz w:val="20"/>
      <w:szCs w:val="20"/>
      <w:lang w:eastAsia="en-US"/>
    </w:rPr>
  </w:style>
  <w:style w:type="paragraph" w:styleId="1030" w:customStyle="1">
    <w:name w:val="xl30"/>
    <w:basedOn w:val="73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1" w:customStyle="1">
    <w:name w:val="Char Char Char Char"/>
    <w:basedOn w:val="948"/>
    <w:uiPriority w:val="0"/>
    <w:qFormat/>
    <w:pPr>
      <w:spacing w:line="360" w:lineRule="auto"/>
    </w:pPr>
    <w:rPr>
      <w:rFonts w:ascii="Tahoma" w:hAnsi="Tahoma"/>
      <w:sz w:val="24"/>
      <w:szCs w:val="24"/>
    </w:rPr>
  </w:style>
  <w:style w:type="paragraph" w:styleId="1032" w:customStyle="1">
    <w:name w:val="table_1stline"/>
    <w:basedOn w:val="73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33" w:customStyle="1">
    <w:name w:val="font5"/>
    <w:basedOn w:val="73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34" w:customStyle="1">
    <w:name w:val="标题1"/>
    <w:basedOn w:val="738"/>
    <w:next w:val="73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37" w:customStyle="1">
    <w:name w:val="Table Normal"/>
    <w:uiPriority w:val="0"/>
    <w:qFormat/>
    <w:tblPr/>
  </w:style>
  <w:style w:type="paragraph" w:styleId="1038" w:customStyle="1">
    <w:name w:val="正文文本12"/>
    <w:basedOn w:val="738"/>
    <w:uiPriority w:val="1"/>
    <w:qFormat/>
    <w:pPr>
      <w:ind w:left="120"/>
    </w:pPr>
    <w:rPr>
      <w:rFonts w:ascii="宋体" w:hAnsi="宋体" w:eastAsia="宋体" w:cs="宋体"/>
      <w:sz w:val="21"/>
      <w:szCs w:val="21"/>
      <w:lang w:val="zh-CN" w:eastAsia="zh-CN" w:bidi="zh-CN"/>
    </w:rPr>
  </w:style>
  <w:style w:type="paragraph" w:styleId="1039" w:customStyle="1">
    <w:name w:val="正文文本 211"/>
    <w:basedOn w:val="738"/>
    <w:uiPriority w:val="99"/>
    <w:qFormat/>
    <w:pPr>
      <w:jc w:val="center"/>
    </w:pPr>
    <w:rPr>
      <w:b/>
      <w:bCs/>
      <w:sz w:val="20"/>
      <w:szCs w:val="20"/>
    </w:rPr>
  </w:style>
  <w:style w:type="paragraph" w:styleId="1040" w:customStyle="1">
    <w:name w:val="正文文本1"/>
    <w:basedOn w:val="1041"/>
    <w:next w:val="738"/>
    <w:uiPriority w:val="0"/>
    <w:semiHidden/>
    <w:qFormat/>
    <w:rPr>
      <w:rFonts w:ascii="Arial" w:hAnsi="Arial" w:eastAsia="Arial" w:cs="Arial"/>
      <w:sz w:val="21"/>
      <w:szCs w:val="21"/>
      <w:lang w:val="en-US" w:eastAsia="en-US" w:bidi="ar-SA"/>
    </w:rPr>
  </w:style>
  <w:style w:type="paragraph" w:styleId="1041" w:customStyle="1">
    <w:name w:val="正文1"/>
    <w:basedOn w:val="738"/>
    <w:next w:val="1040"/>
    <w:uiPriority w:val="0"/>
    <w:qFormat/>
    <w:pPr>
      <w:jc w:val="left"/>
      <w:spacing w:line="360" w:lineRule="atLeast"/>
    </w:pPr>
    <w:rPr>
      <w:rFonts w:ascii="宋体" w:hAnsi="Calibri" w:eastAsia="宋体" w:cs="Times New Roman"/>
      <w:sz w:val="24"/>
      <w:szCs w:val="20"/>
    </w:rPr>
  </w:style>
  <w:style w:type="paragraph" w:styleId="1042" w:customStyle="1">
    <w:name w:val="Table Paragraph"/>
    <w:basedOn w:val="738"/>
    <w:uiPriority w:val="1"/>
    <w:qFormat/>
    <w:pPr>
      <w:jc w:val="left"/>
    </w:pPr>
    <w:rPr>
      <w:rFonts w:ascii="宋体" w:hAnsi="宋体" w:eastAsia="宋体" w:cs="宋体"/>
      <w:sz w:val="22"/>
      <w:szCs w:val="22"/>
      <w:lang w:val="zh-CN" w:bidi="zh-CN"/>
    </w:rPr>
  </w:style>
  <w:style w:type="table" w:styleId="1043" w:customStyle="1">
    <w:name w:val="网格型1"/>
    <w:basedOn w:val="1044"/>
    <w:uiPriority w:val="0"/>
    <w:qFormat/>
    <w:pPr>
      <w:jc w:val="both"/>
      <w:widowControl w:val="off"/>
    </w:pPr>
    <w:tblPr/>
  </w:style>
  <w:style w:type="table" w:styleId="1044" w:customStyle="1">
    <w:name w:val="普通表格1"/>
    <w:uiPriority w:val="99"/>
    <w:unhideWhenUsed/>
    <w:qFormat/>
    <w:tblPr/>
  </w:style>
  <w:style w:type="paragraph" w:styleId="1045" w:customStyle="1">
    <w:name w:val="正文文本缩进1"/>
    <w:basedOn w:val="738"/>
    <w:next w:val="1046"/>
    <w:uiPriority w:val="0"/>
    <w:unhideWhenUsed/>
    <w:qFormat/>
    <w:pPr>
      <w:ind w:left="420"/>
      <w:spacing w:after="120"/>
    </w:pPr>
  </w:style>
  <w:style w:type="paragraph" w:styleId="1046" w:customStyle="1">
    <w:name w:val="正文首行缩进 21"/>
    <w:basedOn w:val="1047"/>
    <w:next w:val="738"/>
    <w:uiPriority w:val="0"/>
    <w:qFormat/>
    <w:pPr>
      <w:ind w:left="0" w:firstLine="420"/>
      <w:spacing w:after="0" w:line="360" w:lineRule="auto"/>
    </w:pPr>
    <w:rPr>
      <w:rFonts w:ascii="宋体" w:hAnsi="宋体" w:eastAsia="宋体" w:cs="Times New Roman"/>
      <w:szCs w:val="20"/>
    </w:rPr>
  </w:style>
  <w:style w:type="paragraph" w:styleId="1047" w:customStyle="1">
    <w:name w:val="正文文本缩进11"/>
    <w:basedOn w:val="1048"/>
    <w:next w:val="1050"/>
    <w:uiPriority w:val="0"/>
    <w:unhideWhenUsed/>
    <w:qFormat/>
    <w:pPr>
      <w:ind w:left="420"/>
      <w:spacing w:after="120"/>
    </w:pPr>
  </w:style>
  <w:style w:type="paragraph" w:styleId="1048" w:customStyle="1">
    <w:name w:val="正文112"/>
    <w:next w:val="10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正文首行缩进1"/>
    <w:basedOn w:val="1040"/>
    <w:uiPriority w:val="0"/>
    <w:qFormat/>
    <w:pPr>
      <w:ind w:firstLine="200"/>
      <w:spacing w:line="360" w:lineRule="auto"/>
    </w:pPr>
    <w:rPr>
      <w:rFonts w:ascii="仿宋_GB2312" w:hAnsi="Times New Roman" w:eastAsia="仿宋_GB2312"/>
      <w:sz w:val="30"/>
      <w:szCs w:val="30"/>
    </w:rPr>
  </w:style>
  <w:style w:type="paragraph" w:styleId="1050" w:customStyle="1">
    <w:name w:val="寄信人地址1"/>
    <w:basedOn w:val="738"/>
    <w:uiPriority w:val="0"/>
    <w:qFormat/>
    <w:rPr>
      <w:rFonts w:ascii="Arial" w:hAnsi="Arial" w:eastAsia="宋体" w:cs="宋体"/>
    </w:rPr>
  </w:style>
  <w:style w:type="paragraph" w:styleId="1051" w:customStyle="1">
    <w:name w:val="正文文本首行缩进 2"/>
    <w:basedOn w:val="1045"/>
    <w:uiPriority w:val="0"/>
    <w:qFormat/>
    <w:pPr>
      <w:ind w:left="0" w:firstLine="420"/>
      <w:spacing w:after="0" w:line="360" w:lineRule="auto"/>
    </w:pPr>
    <w:rPr>
      <w:rFonts w:ascii="宋体" w:hAnsi="宋体"/>
      <w:sz w:val="20"/>
      <w:szCs w:val="20"/>
      <w:lang w:val="en-US" w:eastAsia="en-US"/>
    </w:rPr>
  </w:style>
  <w:style w:type="table" w:styleId="1052" w:customStyle="1">
    <w:name w:val="Table Normal_0"/>
    <w:uiPriority w:val="0"/>
    <w:qFormat/>
    <w:tblPr/>
  </w:style>
  <w:style w:type="paragraph" w:styleId="1053" w:customStyle="1">
    <w:name w:val="正文首行缩进 211"/>
    <w:basedOn w:val="1047"/>
    <w:next w:val="738"/>
    <w:uiPriority w:val="0"/>
    <w:qFormat/>
    <w:pPr>
      <w:ind w:left="0" w:firstLine="420"/>
      <w:spacing w:after="0" w:line="360" w:lineRule="auto"/>
    </w:pPr>
    <w:rPr>
      <w:rFonts w:ascii="宋体" w:hAnsi="宋体" w:eastAsia="宋体" w:cs="Times New Roman"/>
      <w:szCs w:val="20"/>
    </w:rPr>
  </w:style>
  <w:style w:type="paragraph" w:styleId="1054" w:customStyle="1">
    <w:name w:val="纯文本1"/>
    <w:basedOn w:val="738"/>
    <w:uiPriority w:val="0"/>
    <w:qFormat/>
    <w:rPr>
      <w:rFonts w:ascii="宋体" w:hAnsi="Courier New" w:eastAsia="宋体" w:cs="Courier New"/>
      <w:szCs w:val="21"/>
    </w:rPr>
  </w:style>
  <w:style w:type="character" w:styleId="1055" w:customStyle="1">
    <w:name w:val="font71"/>
    <w:basedOn w:val="932"/>
    <w:link w:val="738"/>
    <w:uiPriority w:val="0"/>
    <w:qFormat/>
    <w:rPr>
      <w:rFonts w:hint="eastAsia" w:ascii="宋体" w:hAnsi="宋体" w:eastAsia="宋体" w:cs="宋体"/>
      <w:color w:val="ff0000"/>
      <w:sz w:val="20"/>
      <w:szCs w:val="20"/>
      <w:u w:val="none"/>
    </w:rPr>
  </w:style>
  <w:style w:type="character" w:styleId="1056" w:customStyle="1">
    <w:name w:val="font61"/>
    <w:basedOn w:val="932"/>
    <w:link w:val="738"/>
    <w:uiPriority w:val="0"/>
    <w:qFormat/>
    <w:rPr>
      <w:rFonts w:hint="eastAsia" w:ascii="宋体" w:hAnsi="宋体" w:eastAsia="宋体" w:cs="宋体"/>
      <w:color w:val="000000"/>
      <w:sz w:val="20"/>
      <w:szCs w:val="20"/>
      <w:u w:val="none"/>
    </w:rPr>
  </w:style>
  <w:style w:type="character" w:styleId="1057" w:customStyle="1">
    <w:name w:val="font131"/>
    <w:basedOn w:val="932"/>
    <w:link w:val="738"/>
    <w:uiPriority w:val="0"/>
    <w:qFormat/>
    <w:rPr>
      <w:rFonts w:hint="eastAsia" w:ascii="宋体" w:hAnsi="宋体" w:eastAsia="宋体" w:cs="宋体"/>
      <w:b/>
      <w:bCs/>
      <w:color w:val="000000"/>
      <w:sz w:val="20"/>
      <w:szCs w:val="20"/>
      <w:u w:val="none"/>
    </w:rPr>
  </w:style>
  <w:style w:type="character" w:styleId="1058" w:customStyle="1">
    <w:name w:val="font91"/>
    <w:basedOn w:val="932"/>
    <w:link w:val="738"/>
    <w:uiPriority w:val="0"/>
    <w:qFormat/>
    <w:rPr>
      <w:rFonts w:hint="eastAsia" w:ascii="宋体" w:hAnsi="宋体" w:eastAsia="宋体" w:cs="宋体"/>
      <w:color w:val="000000"/>
      <w:sz w:val="20"/>
      <w:szCs w:val="20"/>
      <w:u w:val="none"/>
    </w:rPr>
  </w:style>
  <w:style w:type="character" w:styleId="1059" w:customStyle="1">
    <w:name w:val="font11"/>
    <w:basedOn w:val="932"/>
    <w:link w:val="738"/>
    <w:uiPriority w:val="0"/>
    <w:qFormat/>
    <w:rPr>
      <w:rFonts w:hint="eastAsia" w:ascii="宋体" w:hAnsi="宋体" w:eastAsia="宋体" w:cs="宋体"/>
      <w:color w:val="000000"/>
      <w:sz w:val="20"/>
      <w:szCs w:val="20"/>
      <w:u w:val="none"/>
    </w:rPr>
  </w:style>
  <w:style w:type="numbering" w:styleId="6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梁正翠</cp:lastModifiedBy>
  <cp:revision>5</cp:revision>
  <dcterms:created xsi:type="dcterms:W3CDTF">2023-03-16T02:13:00Z</dcterms:created>
  <dcterms:modified xsi:type="dcterms:W3CDTF">2026-06-25T08:40:49Z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eyJoZGlkIjoiMzVhODdlMDQ1ZDZmMWUwN2NlZDliM2ZmOGRhZjEyNzciLCJ1c2VySWQiOiIxMDg0MzE1MDk5In0=</vt:lpwstr>
  </property>
  <property fmtid="{D5CDD505-2E9C-101B-9397-08002B2CF9AE}" pid="3" name="KSOProductBuildVer">
    <vt:lpwstr>2052-12.1.0.26895</vt:lpwstr>
  </property>
  <property fmtid="{D5CDD505-2E9C-101B-9397-08002B2CF9AE}" pid="4" name="ICV">
    <vt:lpwstr>7191BFE693544EB6BD185AB3BBD5275B_12</vt:lpwstr>
  </property>
</Properties>
</file>