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1"/>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b/>
          <w:color w:val="000000"/>
          <w:sz w:val="32"/>
          <w:szCs w:val="32"/>
        </w:rPr>
        <w:t xml:space="preserve">南京鼓楼医院科室医疗质量安全管理系统</w:t>
      </w:r>
      <w:r>
        <w:rPr>
          <w:rFonts w:hint="eastAsia" w:ascii="Times New Roman" w:hAnsi="Times New Roman" w:eastAsia="宋体" w:cs="Times New Roman"/>
          <w:b/>
          <w:bCs w:val="0"/>
          <w:color w:val="000000"/>
          <w:sz w:val="32"/>
          <w:szCs w:val="32"/>
          <w:u w:val="none"/>
          <w:lang w:val="en-US" w:eastAsia="zh-CN"/>
        </w:rPr>
        <w:t xml:space="preserve"> </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lang w:val="en-US"/>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0214</w:t>
      </w:r>
      <w:r>
        <w:rPr>
          <w:color w:val="000000"/>
          <w:lang w:val="en-US"/>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948"/>
        <w:rPr>
          <w:rFonts w:hint="eastAsia"/>
          <w:lang w:val="en-US" w:eastAsia="zh-CN"/>
        </w:rPr>
      </w:pPr>
      <w:r>
        <w:rPr>
          <w:rFonts w:hint="eastAsia"/>
          <w:lang w:val="en-US"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1"/>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7</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16938516"/>
      <w:r/>
      <w:bookmarkStart w:id="1" w:name="_Toc523127445"/>
      <w:r/>
      <w:bookmarkStart w:id="2" w:name="_Toc120614210"/>
      <w:r/>
      <w:bookmarkStart w:id="3" w:name="_Toc513029200"/>
      <w:r/>
      <w:bookmarkStart w:id="4" w:name="_Toc479757206"/>
      <w:r/>
      <w:bookmarkStart w:id="5" w:name="_Toc20823272"/>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rPr>
        <w:t xml:space="preserve">南京鼓楼医院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rPr>
        <w:t xml:space="preserve">南京鼓楼医院科室医疗质量安全管理系统</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w:t>
      </w:r>
      <w:r>
        <w:rPr>
          <w:rFonts w:hint="eastAsia" w:ascii="宋体" w:hAnsi="宋体" w:cs="Times New Roman"/>
          <w:color w:val="000000"/>
          <w:sz w:val="24"/>
          <w:szCs w:val="24"/>
          <w:lang w:val="en-US" w:eastAsia="zh-CN"/>
        </w:rPr>
        <w:t xml:space="preserve">26</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0214</w:t>
      </w:r>
      <w:r>
        <w:rPr>
          <w:rFonts w:ascii="宋体" w:hAnsi="宋体"/>
          <w:color w:val="000000"/>
          <w:sz w:val="24"/>
          <w:szCs w:val="24"/>
          <w:lang w:val="en-US"/>
        </w:rPr>
      </w:r>
      <w:r/>
    </w:p>
    <w:p>
      <w:pPr>
        <w:ind w:firstLine="480"/>
        <w:pageBreakBefore w:val="0"/>
        <w:spacing w:line="240" w:lineRule="auto"/>
        <w:widowControl w:val="off"/>
        <w:rPr>
          <w:rFonts w:hint="eastAsia" w:ascii="宋体" w:hAnsi="宋体" w:cs="Times New Roman"/>
          <w:color w:val="000000"/>
          <w:sz w:val="24"/>
          <w:szCs w:val="24"/>
          <w:lang w:eastAsia="zh-CN"/>
          <w14:ligatures w14:val="none"/>
        </w:rPr>
      </w:pPr>
      <w:r>
        <w:rPr>
          <w:rFonts w:hint="eastAsia" w:ascii="宋体" w:hAnsi="宋体" w:cs="Times New Roman"/>
          <w:color w:val="000000"/>
          <w:sz w:val="24"/>
          <w:szCs w:val="24"/>
          <w:lang w:eastAsia="zh-CN"/>
        </w:rPr>
        <w:t xml:space="preserve">2.项目名称：</w:t>
      </w:r>
      <w:r>
        <w:rPr>
          <w:rFonts w:hint="eastAsia" w:ascii="宋体" w:hAnsi="宋体" w:cs="Times New Roman"/>
          <w:color w:val="000000"/>
          <w:sz w:val="24"/>
          <w:szCs w:val="24"/>
          <w:lang w:eastAsia="zh-CN"/>
        </w:rPr>
        <w:t xml:space="preserve">南京鼓楼医院科室医疗质量安全管理系统</w:t>
      </w:r>
      <w:r>
        <w:rPr>
          <w:rFonts w:hint="eastAsia" w:ascii="宋体" w:hAnsi="宋体" w:cs="Times New Roman"/>
          <w:color w:val="000000"/>
          <w:sz w:val="24"/>
          <w:szCs w:val="24"/>
          <w:lang w:eastAsia="zh-CN"/>
        </w:rPr>
      </w:r>
      <w:r/>
    </w:p>
    <w:p>
      <w:pPr>
        <w:ind w:firstLine="480"/>
        <w:pageBreakBefore w:val="0"/>
        <w:spacing w:line="240" w:lineRule="auto"/>
        <w:widowControl w:val="off"/>
        <w:rPr>
          <w:rFonts w:hint="eastAsia" w:ascii="宋体" w:hAnsi="宋体" w:cs="Times New Roman"/>
          <w:color w:val="000000"/>
          <w:sz w:val="24"/>
          <w:szCs w:val="24"/>
          <w:lang w:eastAsia="zh-CN"/>
          <w14:ligatures w14:val="none"/>
        </w:rPr>
      </w:pPr>
      <w:r>
        <w:rPr>
          <w:rFonts w:hint="eastAsia" w:ascii="宋体" w:hAnsi="宋体" w:cs="Times New Roman"/>
          <w:color w:val="000000"/>
          <w:sz w:val="24"/>
          <w:szCs w:val="24"/>
          <w:lang w:eastAsia="zh-CN"/>
        </w:rPr>
        <w:t xml:space="preserve">3.预算金额：</w:t>
      </w:r>
      <w:r>
        <w:rPr>
          <w:rFonts w:hint="eastAsia" w:ascii="宋体" w:hAnsi="宋体" w:cs="Times New Roman"/>
          <w:color w:val="000000"/>
          <w:sz w:val="24"/>
          <w:szCs w:val="24"/>
          <w:lang w:val="en-US" w:eastAsia="zh-CN"/>
        </w:rPr>
        <w:t xml:space="preserve">15</w:t>
      </w:r>
      <w:r>
        <w:rPr>
          <w:rFonts w:hint="eastAsia" w:ascii="宋体" w:hAnsi="宋体" w:cs="Times New Roman"/>
          <w:color w:val="000000"/>
          <w:sz w:val="24"/>
          <w:szCs w:val="24"/>
          <w:lang w:eastAsia="zh-CN"/>
        </w:rPr>
        <w:t xml:space="preserve">万元；</w:t>
      </w:r>
      <w:r>
        <w:rPr>
          <w:rFonts w:hint="eastAsia" w:ascii="宋体" w:hAnsi="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万元；</w:t>
      </w:r>
      <w:r>
        <w:rPr>
          <w:rFonts w:hint="eastAsia" w:ascii="宋体" w:hAnsi="宋体" w:eastAsia="宋体" w:cs="宋体"/>
          <w:color w:val="000000"/>
          <w:sz w:val="24"/>
          <w:szCs w:val="24"/>
          <w:highlight w:val="yellow"/>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color w:val="000000"/>
          <w:sz w:val="24"/>
          <w:szCs w:val="24"/>
        </w:rPr>
        <w:t xml:space="preserve">为提升南京鼓楼医院各科室医疗质量与安全管理水平，拟采购一套科室医疗质量安全管理系统，该系统支持B/S架构、能够与医院现有质量管理系统无缝融合，通过质控台账管理、质控指标管理、数据检索、统计分析等功能模块，建立覆盖组织架构、QC人员职责、制度与规范、计划与总结、指标监测、质量考核、数据分析等全流程的闭环质控体系，实现科室质控工作的标准化、数字化、闭环化管理</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69"/>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60天</w:t>
      </w:r>
      <w:r>
        <w:rPr>
          <w:rFonts w:ascii="宋体" w:hAnsi="宋体" w:eastAsia="宋体" w:cs="宋体"/>
          <w:color w:val="000000"/>
          <w:sz w:val="24"/>
          <w:szCs w:val="24"/>
          <w:highlight w:val="yellow"/>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ascii="宋体" w:hAnsi="宋体"/>
          <w:color w:val="000000"/>
          <w:sz w:val="24"/>
          <w:szCs w:val="24"/>
          <w:highlight w:val="yellow"/>
          <w:lang w:val="en-US"/>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s="Times New Roman"/>
          <w:color w:val="000000"/>
          <w:sz w:val="24"/>
          <w:szCs w:val="24"/>
          <w:lang w:val="zh-CN" w:eastAsia="zh-CN"/>
        </w:rPr>
        <w:t xml:space="preserve">。</w:t>
      </w:r>
      <w:r>
        <w:rPr>
          <w:rFonts w:ascii="宋体" w:hAnsi="宋体"/>
          <w:color w:val="000000"/>
          <w:sz w:val="24"/>
          <w:szCs w:val="24"/>
          <w:highlight w:val="yellow"/>
          <w:lang w:val="en-US"/>
        </w:rPr>
      </w:r>
      <w:r/>
    </w:p>
    <w:p>
      <w:pPr>
        <w:pStyle w:val="869"/>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ascii="宋体" w:hAnsi="宋体" w:eastAsia="宋体" w:cs="Times New Roman"/>
          <w:color w:val="0000ff"/>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9"/>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年7</w:t>
      </w:r>
      <w:r>
        <w:rPr>
          <w:rFonts w:hint="eastAsia" w:ascii="宋体" w:hAnsi="宋体"/>
          <w:b w:val="0"/>
          <w:bCs w:val="0"/>
          <w:color w:val="000000" w:themeColor="text1"/>
          <w:sz w:val="24"/>
          <w:szCs w:val="24"/>
          <w:u w:val="none"/>
        </w:rPr>
        <w:t xml:space="preserve">月27</w:t>
      </w:r>
      <w:r>
        <w:rPr>
          <w:rFonts w:hint="eastAsia" w:ascii="宋体" w:hAnsi="宋体"/>
          <w:b w:val="0"/>
          <w:bCs w:val="0"/>
          <w:color w:val="000000" w:themeColor="text1"/>
          <w:sz w:val="24"/>
          <w:szCs w:val="24"/>
          <w:u w:val="none"/>
        </w:rPr>
        <w:t xml:space="preserve">日14</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00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w:t>
      </w:r>
      <w:r>
        <w:rPr>
          <w:rFonts w:hint="eastAsia" w:ascii="宋体" w:hAnsi="宋体" w:eastAsia="宋体" w:cs="宋体"/>
          <w:sz w:val="24"/>
          <w:szCs w:val="24"/>
          <w:highlight w:val="none"/>
          <w:lang w:val="en-US" w:eastAsia="zh-CN"/>
        </w:rPr>
        <w:t xml:space="preserve">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9"/>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olor w:val="000000"/>
          <w:sz w:val="24"/>
        </w:rPr>
        <w:t xml:space="preserve">张老师，收件地址：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eastAsia="宋体" w:cs="Times New Roman"/>
          <w:b w:val="0"/>
          <w:bCs w:val="0"/>
          <w:color w:val="000000"/>
          <w:sz w:val="24"/>
          <w:lang w:val="en-US" w:eastAsia="zh-CN"/>
        </w:rPr>
      </w:r>
      <w:r/>
    </w:p>
    <w:p>
      <w:pPr>
        <w:pStyle w:val="869"/>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称：南京鼓楼医院          </w:t>
      </w:r>
      <w:r>
        <w:rPr>
          <w:rFonts w:hint="eastAsia" w:ascii="宋体" w:hAnsi="宋体" w:eastAsia="宋体" w:cs="Times New Roman"/>
          <w:color w:val="000000"/>
          <w:sz w:val="24"/>
          <w:szCs w:val="24"/>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址：南京市</w:t>
      </w:r>
      <w:r>
        <w:rPr>
          <w:rFonts w:hint="eastAsia" w:ascii="宋体" w:hAnsi="宋体" w:eastAsia="宋体" w:cs="Times New Roman"/>
          <w:color w:val="000000"/>
          <w:sz w:val="24"/>
          <w:szCs w:val="24"/>
        </w:rPr>
        <w:t xml:space="preserve">鼓楼区</w:t>
      </w:r>
      <w:r>
        <w:rPr>
          <w:rFonts w:hint="eastAsia" w:ascii="宋体" w:hAnsi="宋体" w:eastAsia="宋体" w:cs="Times New Roman"/>
          <w:color w:val="000000"/>
          <w:sz w:val="24"/>
          <w:szCs w:val="24"/>
        </w:rPr>
        <w:t xml:space="preserve">中山路321号    </w:t>
      </w:r>
      <w:r>
        <w:rPr>
          <w:rFonts w:hint="eastAsia" w:ascii="宋体" w:hAnsi="宋体" w:eastAsia="宋体" w:cs="Times New Roman"/>
          <w:color w:val="000000"/>
          <w:sz w:val="24"/>
          <w:szCs w:val="24"/>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联系人：张老师 </w:t>
      </w:r>
      <w:r>
        <w:rPr>
          <w:rFonts w:hint="eastAsia" w:ascii="宋体" w:hAnsi="宋体" w:eastAsia="宋体" w:cs="Times New Roman"/>
          <w:color w:val="000000"/>
          <w:sz w:val="24"/>
          <w:szCs w:val="24"/>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联系电话：025-83105006 </w:t>
      </w:r>
      <w:bookmarkStart w:id="6" w:name="_Toc28359009"/>
      <w:r/>
      <w:bookmarkStart w:id="7" w:name="_Toc28359086"/>
      <w:r>
        <w:rPr>
          <w:rFonts w:hint="eastAsia" w:ascii="宋体" w:hAnsi="宋体" w:eastAsia="宋体" w:cs="Times New Roman"/>
          <w:color w:val="000000"/>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9"/>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6938519"/>
      <w:r/>
      <w:bookmarkStart w:id="9" w:name="_Toc513029203"/>
      <w:r/>
      <w:bookmarkStart w:id="10" w:name="_Toc20823275"/>
      <w:r/>
      <w:bookmarkStart w:id="11"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低于采购项目最高限价45%的，即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&lt;采购项目最高限价×45%；</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lang w:eastAsia="zh-CN"/>
        </w:rPr>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color w:val="000000"/>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系统开发完成并验收合格后，甲方支付合同总价款的70%。</w:t>
      </w:r>
      <w:r>
        <w:rPr>
          <w:rFonts w:hint="eastAsia"/>
          <w:color w:val="000000"/>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 0.01% 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甲方无故逾期验收和办理支付手续的，应按逾期付款总额每日  0.01%  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乙方逾期提供服务的，应按逾期提供服务合同总额每日 0.1% 向甲方支付违约金，由甲方从待付合同款中扣除。逾期超过约定日期10个工作日不能提供服务的，甲方可解除本合同。乙方因逾期提供服务或因其他违约行为导致甲方解除合同的，应向甲方支付合同总额 5% 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rPr>
        <w:t xml:space="preserve">11.5 甲乙双方任何一方违反本合同约定的，除应承担上述违约责任外，违约方还应当赔偿因</w:t>
      </w:r>
      <w:r>
        <w:rPr>
          <w:rFonts w:hint="eastAsia" w:ascii="宋体" w:hAnsi="宋体" w:cs="Courier New"/>
          <w:color w:val="000000"/>
          <w:sz w:val="24"/>
          <w:szCs w:val="24"/>
        </w:rPr>
        <w:t xml:space="preserve">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Toc16938590"/>
      <w:r/>
      <w:bookmarkStart w:id="14" w:name="_Toc120614244"/>
      <w:r/>
      <w:bookmarkStart w:id="15" w:name="_Toc20823346"/>
      <w:r/>
      <w:bookmarkStart w:id="16" w:name="_Hlt1661935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（一）项目背景</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提升南京鼓楼医院各科室医疗质量与安全管理水平，拟采购一套科室医疗质量安全管理系统，该系统支持B/S架构、能够与医院现有业务管理系统无缝融合，通过质控台账管理、质控指标管理、数据检索、统计分析等功能模块，建立覆盖组织架构、QC人员职责、制度与规范、计划与总结、指标监测、质量考核、数据分析等全流程的闭环质控体系，实现科室质控工作的标准化、数字化、闭环化管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（二）项目总体要求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1.系统采用B/S架构设计，支持浏览器直接登录访问，无需安装客户端软件，可无缝适配医院现有网络环境。</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2.系统支持Windows Server 2016及以上版本、Linux（CentOS 7.0及以上）等主流操作系统；支持Chrome、Edge、Firefox等主流浏览器，全面适配医院现有终端设备，无需额外升级硬件。</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3.系统支持MySQL 8.0及以上、PGSQL 17、SQL Server 2019及以上、Oracle 19c及以上主流数据库，以满足医院对数据库的不同需求。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根据目前院内医疗质量安全管理系统管理模式，为避免造成采购人资产流失，并符合采购人信息系统互联互通标准的要求，可与医院现有科务管理系统无缝融合，实现跨科室、跨院区数据互联互通，全面适配医院多院区一体化管理需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（三）项目建设遵循标准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遵循国家、行业及地方现行的规范和标准。</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7"/>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1"/>
        <w:gridCol w:w="756"/>
        <w:gridCol w:w="718"/>
        <w:gridCol w:w="1055"/>
        <w:gridCol w:w="1067"/>
        <w:gridCol w:w="1327"/>
        <w:gridCol w:w="1097"/>
        <w:gridCol w:w="1131"/>
        <w:gridCol w:w="1009"/>
      </w:tblGrid>
      <w:tr>
        <w:trPr>
          <w:trHeight w:val="470"/>
        </w:trPr>
        <w:tc>
          <w:tcPr>
            <w:tcW w:w="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科室医疗质量安全管理系统</w:t>
            </w:r>
            <w:r>
              <w:rPr>
                <w:rFonts w:hint="eastAsia" w:ascii="宋体" w:hAnsi="宋体" w:eastAsia="宋体" w:cs="Times New Roman"/>
                <w:bCs/>
                <w:color w:val="000000"/>
                <w:sz w:val="24"/>
                <w:szCs w:val="24"/>
                <w:lang w:val="en-US" w:eastAsia="zh-CN"/>
              </w:rPr>
            </w:r>
            <w:r/>
          </w:p>
        </w:tc>
        <w:tc>
          <w:tcPr>
            <w:tcW w:w="3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r>
            <w:r/>
          </w:p>
        </w:tc>
        <w:tc>
          <w:tcPr>
            <w:tcW w:w="35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w:t>
            </w:r>
            <w:r>
              <w:rPr>
                <w:rFonts w:hint="eastAsia" w:ascii="宋体" w:hAnsi="宋体" w:eastAsia="宋体" w:cs="Times New Roman"/>
                <w:bCs/>
                <w:color w:val="000000"/>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主要产品</w:t>
            </w:r>
            <w:r>
              <w:rPr>
                <w:rFonts w:hint="eastAsia" w:ascii="宋体" w:hAnsi="宋体" w:eastAsia="宋体" w:cs="Times New Roman"/>
                <w:bCs/>
                <w:color w:val="000000"/>
                <w:sz w:val="24"/>
                <w:szCs w:val="24"/>
                <w:lang w:val="en-US" w:eastAsia="zh-CN"/>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软件和信息技术服务业</w:t>
            </w:r>
            <w:r>
              <w:rPr>
                <w:rFonts w:hint="eastAsia" w:ascii="宋体" w:hAnsi="宋体" w:eastAsia="宋体" w:cs="Times New Roman"/>
                <w:bCs/>
                <w:color w:val="000000"/>
                <w:sz w:val="24"/>
                <w:szCs w:val="24"/>
                <w:lang w:val="en-US" w:eastAsia="zh-CN"/>
              </w:rPr>
            </w:r>
            <w:r/>
          </w:p>
        </w:tc>
        <w:tc>
          <w:tcPr>
            <w:tcW w:w="54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服务</w:t>
            </w:r>
            <w:r>
              <w:rPr>
                <w:rFonts w:hint="eastAsia" w:ascii="宋体" w:hAnsi="宋体" w:eastAsia="宋体" w:cs="Times New Roman"/>
                <w:bCs/>
                <w:color w:val="000000"/>
                <w:sz w:val="24"/>
                <w:szCs w:val="24"/>
                <w:lang w:val="en-US" w:eastAsia="zh-CN"/>
              </w:rPr>
            </w:r>
            <w:r/>
          </w:p>
        </w:tc>
        <w:tc>
          <w:tcPr>
            <w:tcW w:w="56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r>
            <w:r/>
          </w:p>
        </w:tc>
        <w:tc>
          <w:tcPr>
            <w:tcW w:w="5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否</w:t>
            </w:r>
            <w:r>
              <w:rPr>
                <w:rFonts w:hint="eastAsia" w:ascii="宋体" w:hAnsi="宋体" w:eastAsia="宋体" w:cs="Times New Roman"/>
                <w:bCs/>
                <w:color w:val="000000"/>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0" w:type="auto"/>
        <w:jc w:val="center"/>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06"/>
        <w:gridCol w:w="7269"/>
      </w:tblGrid>
      <w:tr>
        <w:trPr>
          <w:trHeight w:val="20"/>
        </w:trPr>
        <w:tc>
          <w:tcPr>
            <w:tcW w:w="727" w:type="dxa"/>
            <w:vAlign w:val="center"/>
            <w:textDirection w:val="lrTb"/>
            <w:noWrap w:val="false"/>
          </w:tcPr>
          <w:p>
            <w:pPr>
              <w:pStyle w:val="869"/>
              <w:jc w:val="center"/>
              <w:spacing w:line="280" w:lineRule="exact"/>
              <w:rPr>
                <w:rFonts w:ascii="宋体" w:hAnsi="宋体"/>
                <w:b/>
                <w:bCs/>
              </w:rPr>
            </w:pPr>
            <w:r>
              <w:rPr>
                <w:rFonts w:hint="eastAsia" w:ascii="宋体" w:hAnsi="宋体"/>
                <w:b/>
                <w:bCs/>
              </w:rPr>
              <w:t xml:space="preserve">序号</w:t>
            </w:r>
            <w:r>
              <w:rPr>
                <w:rFonts w:ascii="宋体" w:hAnsi="宋体"/>
                <w:b/>
                <w:bCs/>
              </w:rPr>
            </w:r>
            <w:r/>
          </w:p>
        </w:tc>
        <w:tc>
          <w:tcPr>
            <w:tcW w:w="1706" w:type="dxa"/>
            <w:vAlign w:val="center"/>
            <w:textDirection w:val="lrTb"/>
            <w:noWrap w:val="false"/>
          </w:tcPr>
          <w:p>
            <w:pPr>
              <w:pStyle w:val="869"/>
              <w:jc w:val="center"/>
              <w:spacing w:line="280" w:lineRule="exact"/>
              <w:rPr>
                <w:rFonts w:ascii="宋体" w:hAnsi="宋体"/>
                <w:b/>
                <w:bCs/>
              </w:rPr>
            </w:pPr>
            <w:r>
              <w:rPr>
                <w:rFonts w:hint="eastAsia" w:ascii="宋体" w:hAnsi="宋体"/>
                <w:b/>
                <w:bCs/>
              </w:rPr>
              <w:t xml:space="preserve">功能模块</w:t>
            </w:r>
            <w:r>
              <w:rPr>
                <w:rFonts w:ascii="宋体" w:hAnsi="宋体"/>
                <w:b/>
                <w:bCs/>
              </w:rPr>
            </w:r>
            <w:r/>
          </w:p>
        </w:tc>
        <w:tc>
          <w:tcPr>
            <w:tcW w:w="7269" w:type="dxa"/>
            <w:vAlign w:val="center"/>
            <w:textDirection w:val="lrTb"/>
            <w:noWrap w:val="false"/>
          </w:tcPr>
          <w:p>
            <w:pPr>
              <w:pStyle w:val="869"/>
              <w:jc w:val="center"/>
              <w:spacing w:line="280" w:lineRule="exact"/>
              <w:rPr>
                <w:rFonts w:ascii="宋体" w:hAnsi="宋体" w:eastAsia="宋体"/>
                <w:b/>
                <w:bCs/>
                <w:lang w:val="en-US" w:eastAsia="zh-CN"/>
              </w:rPr>
            </w:pPr>
            <w:r>
              <w:rPr>
                <w:rFonts w:hint="eastAsia" w:ascii="宋体" w:hAnsi="宋体"/>
                <w:b/>
                <w:bCs/>
              </w:rPr>
              <w:t xml:space="preserve">具体</w:t>
            </w:r>
            <w:r>
              <w:rPr>
                <w:rFonts w:hint="eastAsia" w:ascii="宋体" w:hAnsi="宋体"/>
                <w:b/>
                <w:bCs/>
                <w:lang w:val="en-US" w:eastAsia="zh-CN"/>
              </w:rPr>
              <w:t xml:space="preserve">技术参数不低于以下要求</w:t>
            </w:r>
            <w:r>
              <w:rPr>
                <w:rFonts w:ascii="宋体" w:hAnsi="宋体" w:eastAsia="宋体"/>
                <w:b/>
                <w:bCs/>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1</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基础信息管理</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1.科室组织架构：支持搭建与医院实际组织架构一致的科室体系（分院、专业系统、一级/二级科室），可维护基本信息、岗位设置、人员编制，并实现批量导入与修改。</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2.科室人员档案：实现科室人员档案全生命周期管理，涵盖基本信息、资质证书、执业注册、培训考核及绩效考核等内容，可与HRP等系统无缝对接，确保信息实时同步。</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3.权限管理：</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（1）分级权限管理：按院级、科室级、个人级分配权限，细化至功能模块与操作按钮，实现“一人一权限”，确保数据安全与操作规范，符合医疗数据分级管理要求。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▲（2）权限与日志管理：支持权限批量分配、修改、回收以及自定义角色配置权限；全面记录登录与操作日志，实现用户行为追溯，便于审计与责任认定。</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2</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质控台账管理</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 台账模板管理：支持自定义模板，模板可编辑、复制、删除，支持Excel、Word、PDF格式导入导出，满足科室个性化需求。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2.台账录入与编辑：支持手动录入，具备富文本编辑功能（可插入图片、表格、附件，单个≤100M，支持多附件）。内容实时自动保存，支持版本回溯，可查看历史修改记录，确保数据可追溯。</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3.台账审核与归档：支持多级审核流程（如科室负责人→质控专员→院级质控部门），审核意见全程追溯。审核通过后自动归档，归档后不可修改，支持快速查询与导出，满足规范化管理要求。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4.台账查询：支持多条件组合查询（科室、类型、时间、录入人、审核状态等），提供模糊与精准查询模式，结果可排序、导出。 </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3</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质控台账工作手册</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1.科室医疗质量管理(QC)组织结构图：支持组织架构及成员的新增、删除、导出和打印；支持排序规则设置和自定义列操作。</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2.科室QC小组成员名单及分工表：支持成员名单、职责要求的新增、删除、打印、查询；支持历史数据导入。</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3.科室QC小组工作职责：支持工作职责的新增、编辑、文件上传、查看浏览、查询和打印。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4.科室质控员职责：支持质控员职责的新增、删除、文件上传、导出和打印；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5.科室质量管理工作制度：支持制度文件目录添加、文件上传、版本管理、权限设置、在线阅读、日志审计、文档废止/取消废止以及资料查询。</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6.科室技术规范、诊疗常规及指南：支持规范/指南文件目录添加、文件上传、版本管理、权限设置、在线阅读、日志审计、资料废止/取消废止以及资料查询。</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7.科室本年度质量管理工作目标与计划：支持目标计划的新增、编辑、删除、打印及文件上传。</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8.科室本年度医疗质量学习培训计划：支持培训计划的新增、编辑、删除、打印及文件上传。</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9.科室上年度质量管理工作总结：支持工作总结的新增、编辑、删除、打印及文件上传。</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10.科室质量检查标准：支持检查标准的上传、提交、打印及导出。</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▲11. 科室质控指标监测与质量持续改进:支持专科质量指标的定义、指标文件管理以及专科质控指标每月监测；</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12.每月QC会议记录：内置会议记录模板，可快速填写参会人员、上月质量问题整改反馈、本月质量问题（医院检查和科室自查）、原因分析、整改措施等内容。</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13.月度科室质量与安全自查表：支持自查表的新增、文件上传、文件预览、查询及打印。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▲14. 每年度的PDCA质量与安全持续改进案例：实现问题分类归档，建立整改台账，明确责任人及期限，跟踪进度并复核，形成“检查-发现-整改-复核-归档”闭环；支持鱼骨图等工具进行原因分析。</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15.月度医院基础管理考核表和质量管理简报：支持考核表、简报的文件上传、文件预览、查询及打印。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16.VTE相关数据分析：支持VTE数据的Excel导入、导出；支持科室数据与全院数据对比，以及指标数据年度同比、环比对比。</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17.临床科室CMI值年度一览表：支持各科室CMI数据Excel导入、导出；支持科室指标数据年度同比、环比对比。</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▲18. 医务处指标-数据反馈表：支持各科室医务处考核数据Excel导入、导出；涵盖出院人数、平均住院日、手术人员、日间手术人数、抢救次数、MDT病例数等25项核心指标。</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19.医务指标-检查反馈表：支持各科室医务处检查数据Excel导入、导出；涵盖三级查房、值班和交接班制度、会诊制度、疑难病例讨论制度、危重患者抢救制度、术前讨论制度等14项核心指标。</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4</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质控资料库</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建立质控电子文库，支持资料库文档目录添加、文件上传、版本管理、权限设置、在线阅读、日志审计、文档资料废止和取消废止、以及资料查询。</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5</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质控指标管理</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▲建立指标库管理，支持指标分类管理，支持指标的信息维护，包括新增、编辑、删除、导入、导出操作，支持Excel模板批量导入指标，支持指标的查询与维护，支持指标的查看权限控制。</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6</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统计分析</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1.QC完成情况统计：自动统计台账完成率、审核通过率、问题整改率、质量指标达成情况等数据，支持日/周/月/季/年度统计，结果以柱状图、折线图、饼图等形式可视化展示并支持导出。</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2.科室QC台账完成进度统计：自动统计各科室QC台账的完成情况，支持统计结果的查询、打印和导出。</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 报表生成：支持自定义模板，自动生成科室质量年报及以及质控检查报告、整改报告、单病种上报报表等所需报表；支持导出Excel、PDF。</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数据分发模块：提供10余个关键指标报表派发功能，具体而言每个指标的全院报表由职能部门上传，系统自动“派发给各个科室”，实现“数据找人，而非人找数据”功能，帮助科室主任和质控员高效掌握质量数据，提高管理效能。</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7</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检索功能</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1.多维度检索：支持对系统内核心数据进行检索，涵盖质控台账、质控资料库、QC会议记录模块内容，实现一站式检索。</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2.检索方式：支持关键词模糊检索、精准检索，支持多条件组合检索（可按科室、时间范围、文件类型、检索内容类型、审核状态等条件组合），满足不同检索场景需求。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3.检索优化：支持检索结果排序（按匹配度、时间、科室等维度），可快速定位目标内容。</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4.结果处理：检索结果支持预览、下载，可直接跳转至对应模块的具体内容页面，无需二次查找；支持检索历史记录保存，可快速复用过往检索条件。</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5.权限控制：检索结果严格遵循分级权限管理要求，用户仅能检索到自身权限范围内的内容，杜绝未授权数据泄露，符合医疗数据安全规范。</w:t>
            </w:r>
            <w:r>
              <w:rPr>
                <w:rFonts w:hint="eastAsia" w:ascii="宋体" w:hAnsi="宋体" w:eastAsia="宋体" w:cs="Times New Roman"/>
                <w:bCs/>
                <w:color w:val="000000"/>
                <w:sz w:val="24"/>
                <w:szCs w:val="24"/>
                <w:lang w:val="en-US"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w:t>
      </w:r>
      <w:r>
        <w:rPr>
          <w:rFonts w:hint="eastAsia" w:ascii="宋体" w:hAnsi="宋体" w:eastAsia="宋体" w:cs="宋体"/>
          <w:sz w:val="24"/>
          <w:szCs w:val="24"/>
        </w:rPr>
        <w:t xml:space="preserve">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2.实施要求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（1）总体要求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（2）安全要求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数据安全：支持传输加密和存储加密，对敏感信息进行脱敏处理，防止数据泄露；支持精细化权限控制，严防未授权访问，符合医疗隐私保护要求。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系统安全：定期提供漏洞扫描与修复；支持操作日志审计，所有行为全程可追溯，确保系统全流程安全。</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数据存储：支持结构化与非结构化数据（图片、附件等）混合存储，采用压缩与分区存储技术，满足医疗数据长期留存（至少10年）要求。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数据备份：支持自动与手动备份，备份数据异地存储，备份恢复时间≤30分钟；确保数据不丢失、快速恢复，符合数据安全规范。</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应急处理：建立故障应急响应机制，提供专业故障排查与快速恢复方案，最大限度减少业务中断；支持数据异常恢复，可恢复至任意历史备份节点，保障数据安全。</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（3）验收要求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（4）运维要求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运维期：供应商应确保本次采购所有项目的安全稳定的运行，并提供5年运维服务（自验收报告签字确认日起，开始进入运维期，相关费用包含在本次报价中）。运维期内，本合同项目所有技术和服务发生任何非人为故障，由供应商负责系统恢复。</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运维期内，对采购人提出的合理服务要求，供应商必须即时进行电话、邮件及远程网络支持，并在2小时内到场服务，小型故障恢复时间为4个小时内，严重故障恢复时间为24小时内，并及时有效的提供解决方案。如不到场，采购人有权自行处理，相关费用由供应商负责。</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⑤本项目运维期满后每年的维护费不超过合同总金额的5%。</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⑥运维期内供应商提供的系统软件升级，保证采购人使用最新版本软件。质保期满后软件版本内终身升级，相关费用包含在本次报价中。</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（5）人员要求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①项目经理：1人。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②开发实施人员：不少于3人。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③项目组所有人员必须为供应商正式工作人员，不得兼任其他项目工作，未经采购人同意，人员不得更换。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（6）知识产权及保密要求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满足采购人需求的、完整的、可最终良好运行的系统。</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提供项目的最终版本部署包及产品永久授权。</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（7）建设成果要求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①项目启动阶段：项目实施方案。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②业务需求分析阶段：需求调研方案、需求分析说明书。</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⑥运行维护阶段：系统维护方案、系统维护手册、系统运行维护记录。</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（8）信创适配要求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项目涉及的软件、硬件产品满足信创要求。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（9）网络安全等级保护测评要求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供应商配合采购人，做好系统通过等保测评相关准备工作。</w:t>
      </w:r>
      <w:r>
        <w:rPr>
          <w:rFonts w:hint="eastAsia" w:ascii="宋体" w:hAnsi="宋体" w:eastAsia="宋体" w:cs="宋体"/>
          <w:bCs w:val="0"/>
          <w:color w:val="000000"/>
          <w:sz w:val="24"/>
          <w:szCs w:val="24"/>
          <w:highlight w:val="none"/>
          <w:lang w:val="en-US" w:eastAsia="zh-CN"/>
        </w:rPr>
      </w:r>
      <w:r/>
    </w:p>
    <w:p>
      <w:pPr>
        <w:pStyle w:val="869"/>
        <w:ind w:firstLine="480"/>
        <w:jc w:val="left"/>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（10）系统对接要求</w:t>
      </w:r>
      <w:r>
        <w:rPr>
          <w:rFonts w:hint="eastAsia" w:ascii="宋体" w:hAnsi="宋体" w:eastAsia="宋体" w:cs="宋体"/>
          <w:bCs w:val="0"/>
          <w:color w:val="000000"/>
          <w:sz w:val="24"/>
          <w:szCs w:val="24"/>
          <w:highlight w:val="none"/>
          <w:lang w:val="en-US" w:eastAsia="zh-CN"/>
        </w:rPr>
        <w:br w:type="textWrapping" w:clear="all"/>
      </w:r>
      <w:r>
        <w:rPr>
          <w:rFonts w:hint="eastAsia" w:ascii="宋体" w:hAnsi="宋体" w:eastAsia="宋体" w:cs="宋体"/>
          <w:bCs w:val="0"/>
          <w:color w:val="000000"/>
          <w:sz w:val="24"/>
          <w:szCs w:val="24"/>
          <w:highlight w:val="none"/>
          <w:lang w:val="en-US" w:eastAsia="zh-CN"/>
        </w:rPr>
        <w:t xml:space="preserve">    供应商在提供定制软件开发服务时，需满足以下对接要求：</w:t>
      </w:r>
      <w:r>
        <w:rPr>
          <w:rFonts w:hint="eastAsia" w:ascii="宋体" w:hAnsi="宋体" w:eastAsia="宋体" w:cs="宋体"/>
          <w:bCs w:val="0"/>
          <w:color w:val="000000"/>
          <w:sz w:val="24"/>
          <w:szCs w:val="24"/>
          <w:highlight w:val="none"/>
          <w:lang w:val="en-US" w:eastAsia="zh-CN"/>
        </w:rPr>
        <w:br w:type="textWrapping" w:clear="all"/>
      </w:r>
      <w:r>
        <w:rPr>
          <w:rFonts w:hint="eastAsia" w:ascii="宋体" w:hAnsi="宋体" w:eastAsia="宋体" w:cs="宋体"/>
          <w:bCs w:val="0"/>
          <w:color w:val="000000"/>
          <w:sz w:val="24"/>
          <w:szCs w:val="24"/>
          <w:highlight w:val="none"/>
          <w:lang w:val="en-US" w:eastAsia="zh-CN"/>
        </w:rPr>
        <w:t xml:space="preserve">    ①供</w:t>
      </w:r>
      <w:r>
        <w:rPr>
          <w:rFonts w:hint="eastAsia" w:ascii="宋体" w:hAnsi="宋体" w:eastAsia="宋体" w:cs="宋体"/>
          <w:bCs w:val="0"/>
          <w:color w:val="000000"/>
          <w:sz w:val="24"/>
          <w:szCs w:val="24"/>
          <w:highlight w:val="none"/>
          <w:lang w:val="en-US" w:eastAsia="zh-CN"/>
        </w:rPr>
        <w:t xml:space="preserve">应商提供的系统能够根据采购人实际需求与医院各院区所有信息系统、集成平台做对接及集成：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对接工作联系人：秦工，联系电话：025-83106666转60622。</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（11）网络安全和数据安全要求，外包网络安全管理要求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（12）系统接口要求：支持HL7、FHIR等国际标准及RESTful API，接口可定制、易扩展，满足医院信息化升级及新增系统对接需求；支持与处方流转监管平台对接，实现数据实时上传（按需配置）。</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（13）培训要求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cs="宋体"/>
          <w:sz w:val="24"/>
          <w:szCs w:val="24"/>
        </w:rPr>
        <w:t xml:space="preserve">供应商应负责对采购人相关人员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包括但不限于使用科室、项目主管科室等至少50人）</w:t>
      </w:r>
      <w:r>
        <w:rPr>
          <w:rFonts w:hint="eastAsia" w:ascii="宋体" w:hAnsi="宋体" w:eastAsia="宋体" w:cs="宋体"/>
          <w:sz w:val="24"/>
          <w:szCs w:val="24"/>
        </w:rPr>
        <w:t xml:space="preserve">进行</w:t>
      </w:r>
      <w:r>
        <w:rPr>
          <w:rFonts w:hint="eastAsia" w:ascii="宋体" w:hAnsi="宋体" w:cs="宋体"/>
          <w:sz w:val="24"/>
          <w:szCs w:val="24"/>
        </w:rPr>
        <w:t xml:space="preserve">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60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948"/>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8"/>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8"/>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w:t>
      </w:r>
      <w:r>
        <w:rPr>
          <w:rFonts w:hint="eastAsia" w:ascii="宋体" w:hAnsi="宋体"/>
          <w:sz w:val="24"/>
          <w:szCs w:val="24"/>
          <w:lang w:val="en-US" w:eastAsia="zh-CN"/>
        </w:rPr>
        <w:t xml:space="preserve">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9"/>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lang w:eastAsia="zh-CN"/>
              </w:rPr>
            </w:pPr>
            <w:r>
              <w:rPr>
                <w:rFonts w:hint="eastAsia" w:ascii="Times New Roman" w:hAnsi="Times New Roman" w:eastAsia="宋体" w:cs="Times New Roman"/>
                <w:color w:val="000000"/>
                <w:lang w:val="en-US" w:eastAsia="zh-CN"/>
              </w:rPr>
              <w:t xml:space="preserve">产品技术参数</w:t>
            </w:r>
            <w:r>
              <w:rPr>
                <w:rFonts w:hint="eastAsia" w:ascii="宋体" w:hAnsi="宋体" w:eastAsia="宋体" w:cs="宋体"/>
                <w:color w:val="000000"/>
                <w:spacing w:val="-2"/>
                <w:lang w:eastAsia="zh-CN"/>
              </w:rPr>
            </w:r>
            <w:r/>
          </w:p>
        </w:tc>
        <w:tc>
          <w:tcPr>
            <w:tcW w:w="6330" w:type="dxa"/>
            <w:vAlign w:val="center"/>
            <w:textDirection w:val="lrTb"/>
            <w:noWrap w:val="false"/>
          </w:tcPr>
          <w:p>
            <w:pPr>
              <w:pStyle w:val="869"/>
              <w:jc w:val="left"/>
              <w:keepLines w:val="0"/>
              <w:keepNext w:val="0"/>
              <w:pageBreakBefore w:val="0"/>
              <w:spacing w:line="264" w:lineRule="auto"/>
              <w:widowControl/>
              <w:rPr>
                <w:color w:val="000000"/>
              </w:rPr>
            </w:pPr>
            <w:r>
              <w:rPr>
                <w:rFonts w:hint="eastAsia" w:ascii="宋体" w:hAnsi="宋体" w:eastAsia="宋体" w:cs="宋体"/>
                <w:color w:val="000000"/>
                <w:lang w:val="en-US" w:eastAsia="zh-CN"/>
              </w:rPr>
              <w:t xml:space="preserve">产品</w:t>
            </w:r>
            <w:r>
              <w:rPr>
                <w:rFonts w:ascii="宋体" w:hAnsi="宋体" w:eastAsia="宋体" w:cs="宋体"/>
                <w:color w:val="000000"/>
                <w:lang w:val="en-US" w:eastAsia="zh-CN"/>
              </w:rPr>
              <w:t xml:space="preserve">技术参数全部满足</w:t>
            </w:r>
            <w:r>
              <w:rPr>
                <w:rFonts w:hint="eastAsia" w:ascii="宋体" w:hAnsi="宋体" w:eastAsia="宋体" w:cs="宋体"/>
                <w:color w:val="000000"/>
                <w:lang w:val="en-US" w:eastAsia="zh-CN"/>
              </w:rPr>
              <w:t xml:space="preserve">磋商文件</w:t>
            </w:r>
            <w:r>
              <w:rPr>
                <w:rFonts w:ascii="宋体" w:hAnsi="宋体" w:eastAsia="宋体" w:cs="宋体"/>
                <w:color w:val="000000"/>
                <w:lang w:val="en-US" w:eastAsia="zh-CN"/>
              </w:rPr>
              <w:t xml:space="preserve">要求的得满分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打★指标为必须满足项，如有负偏离将作为无效</w:t>
            </w:r>
            <w:r>
              <w:rPr>
                <w:rFonts w:hint="eastAsia" w:ascii="宋体" w:hAnsi="宋体" w:eastAsia="宋体" w:cs="宋体"/>
                <w:color w:val="000000"/>
                <w:lang w:val="en-US" w:eastAsia="zh-CN"/>
              </w:rPr>
              <w:t xml:space="preserve">响应，</w:t>
            </w:r>
            <w:r>
              <w:rPr>
                <w:rFonts w:ascii="宋体" w:hAnsi="宋体" w:eastAsia="宋体" w:cs="宋体"/>
                <w:color w:val="000000"/>
                <w:lang w:val="en-US" w:eastAsia="zh-CN"/>
              </w:rPr>
              <w:t xml:space="preserve">打▲指标</w:t>
            </w:r>
            <w:r>
              <w:rPr>
                <w:rFonts w:hint="eastAsia" w:ascii="宋体" w:hAnsi="宋体" w:eastAsia="宋体" w:cs="宋体"/>
                <w:color w:val="000000"/>
                <w:lang w:val="en-US" w:eastAsia="zh-CN"/>
              </w:rPr>
              <w:t xml:space="preserve">（7项）</w:t>
            </w:r>
            <w:r>
              <w:rPr>
                <w:rFonts w:ascii="宋体" w:hAnsi="宋体" w:eastAsia="宋体" w:cs="宋体"/>
                <w:color w:val="000000"/>
                <w:lang w:val="en-US" w:eastAsia="zh-CN"/>
              </w:rPr>
              <w:t xml:space="preserve">为重要指标，</w:t>
            </w:r>
            <w:r>
              <w:rPr>
                <w:rFonts w:hint="eastAsia" w:ascii="宋体" w:hAnsi="宋体" w:eastAsia="宋体" w:cs="宋体"/>
                <w:color w:val="000000"/>
                <w:sz w:val="21"/>
                <w:szCs w:val="21"/>
                <w:lang w:val="en-US" w:eastAsia="zh-CN"/>
              </w:rPr>
              <w:t xml:space="preserve">有1项负偏离扣1分，其余指标有1项负偏离扣0.5分。</w:t>
            </w:r>
            <w:r>
              <w:rPr>
                <w:color w:val="000000"/>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22</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需求理解</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，内容包含</w:t>
            </w:r>
            <w:r>
              <w:rPr>
                <w:rFonts w:hint="eastAsia"/>
                <w:color w:val="000000"/>
                <w:sz w:val="21"/>
                <w:szCs w:val="21"/>
                <w:lang w:val="en-US" w:bidi="ar-SA"/>
              </w:rPr>
              <w:t xml:space="preserve">：</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rPr>
              <w:t xml:space="preserve">分析；3.</w:t>
            </w:r>
            <w:r>
              <w:rPr>
                <w:rFonts w:ascii="宋体" w:hAnsi="宋体" w:cs="宋体"/>
                <w:color w:val="000000"/>
              </w:rPr>
              <w:t xml:space="preserve">建设依据、必要性</w:t>
            </w:r>
            <w:r>
              <w:rPr>
                <w:rFonts w:hint="eastAsia" w:ascii="宋体" w:hAnsi="宋体" w:cs="宋体"/>
                <w:color w:val="000000"/>
              </w:rPr>
              <w:t xml:space="preserve">分析；4.</w:t>
            </w:r>
            <w:r>
              <w:rPr>
                <w:rFonts w:ascii="宋体" w:hAnsi="宋体" w:cs="宋体"/>
                <w:color w:val="000000"/>
              </w:rPr>
              <w:t xml:space="preserve">重点难点</w:t>
            </w:r>
            <w:r>
              <w:rPr>
                <w:rFonts w:hint="eastAsia" w:ascii="宋体" w:hAnsi="宋体" w:cs="宋体"/>
                <w:color w:val="000000"/>
              </w:rPr>
              <w:t xml:space="preserve">分析。</w:t>
            </w:r>
            <w:r>
              <w:rPr>
                <w:rFonts w:hint="eastAsia"/>
                <w:color w:val="000000"/>
                <w:sz w:val="21"/>
                <w:szCs w:val="21"/>
                <w:lang w:val="en-US" w:bidi="ar-SA"/>
              </w:rPr>
              <w:t xml:space="preserve">以上每项内容逐项评分：</w:t>
            </w:r>
            <w:r>
              <w:rPr>
                <w:color w:val="000000"/>
                <w:sz w:val="21"/>
                <w:szCs w:val="21"/>
                <w:lang w:val="en-US" w:bidi="ar-SA"/>
              </w:rPr>
            </w:r>
            <w:r/>
          </w:p>
          <w:p>
            <w:pPr>
              <w:pStyle w:val="869"/>
              <w:rPr>
                <w:color w:val="000000"/>
                <w:lang w:val="en-US"/>
              </w:rPr>
            </w:pPr>
            <w:r>
              <w:rPr>
                <w:rFonts w:hint="eastAsia"/>
                <w:color w:val="000000"/>
              </w:rPr>
              <w:t xml:space="preserve">方案内容对项目工作内容及要求了解透彻，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869"/>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sz w:val="21"/>
                <w:szCs w:val="22"/>
                <w:lang w:val="en-US" w:eastAsia="zh-CN" w:bidi="ar-SA"/>
              </w:rPr>
            </w:pPr>
            <w:r>
              <w:rPr>
                <w:rFonts w:hint="eastAsia" w:ascii="宋体" w:hAnsi="宋体" w:cs="宋体"/>
                <w:color w:val="000000"/>
              </w:rPr>
              <w:t xml:space="preserve">8</w:t>
            </w:r>
            <w:r>
              <w:rPr>
                <w:rFonts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ascii="Times New Roman" w:hAnsi="Times New Roman" w:eastAsia="宋体" w:cs="Times New Roman"/>
                <w:color w:val="000000"/>
                <w:sz w:val="21"/>
                <w:szCs w:val="21"/>
              </w:rPr>
              <w:t xml:space="preserve">总体设计</w:t>
            </w:r>
            <w:r>
              <w:rPr>
                <w:rFonts w:hint="eastAsia" w:ascii="Times New Roman" w:hAnsi="Times New Roman" w:eastAsia="宋体" w:cs="Times New Roman"/>
                <w:color w:val="000000"/>
                <w:sz w:val="21"/>
                <w:szCs w:val="21"/>
                <w:lang w:val="en-US" w:eastAsia="zh-CN"/>
              </w:rPr>
              <w:t xml:space="preserve">及</w:t>
            </w:r>
            <w:r>
              <w:rPr>
                <w:rFonts w:ascii="Times New Roman" w:hAnsi="Times New Roman" w:eastAsia="宋体" w:cs="Times New Roman"/>
                <w:color w:val="000000"/>
                <w:sz w:val="21"/>
                <w:szCs w:val="21"/>
              </w:rPr>
              <w:t xml:space="preserve">架构设计</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关键技术描述和说明</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安全解决方案</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69"/>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lang w:val="en-US" w:eastAsia="zh-CN" w:bidi="ar-SA"/>
              </w:rPr>
            </w:pPr>
            <w:r>
              <w:rPr>
                <w:rFonts w:hint="eastAsia" w:ascii="宋体" w:hAnsi="宋体" w:eastAsia="宋体" w:cs="宋体"/>
                <w:color w:val="000000"/>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2.4</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lang w:val="en-US" w:eastAsia="zh-CN"/>
              </w:rPr>
              <w:t xml:space="preserve">项目</w:t>
            </w: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sz w:val="21"/>
                <w:szCs w:val="21"/>
                <w:lang w:val="en-US" w:eastAsia="zh-CN" w:bidi="ar-SA"/>
              </w:rPr>
              <w:t xml:space="preserve">1.</w:t>
            </w:r>
            <w:r>
              <w:rPr>
                <w:rFonts w:hint="eastAsia" w:ascii="宋体" w:hAnsi="宋体" w:eastAsia="宋体" w:cs="宋体"/>
                <w:color w:val="000000"/>
                <w:sz w:val="21"/>
                <w:szCs w:val="21"/>
              </w:rPr>
              <w:t xml:space="preserve">项目实施方案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调试测试方案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项目管理方案</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69"/>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1"/>
              <w:ind w:left="0" w:right="0"/>
              <w:rPr>
                <w:rFonts w:ascii="宋体" w:hAnsi="宋体" w:eastAsia="宋体" w:cs="宋体"/>
                <w:color w:val="000000"/>
                <w:spacing w:val="1"/>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zh-CN"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w:t>
            </w:r>
            <w:r>
              <w:rPr>
                <w:rFonts w:hint="eastAsia"/>
                <w:color w:val="000000"/>
                <w:sz w:val="21"/>
                <w:szCs w:val="21"/>
                <w:lang w:val="en-US" w:bidi="ar-SA"/>
              </w:rPr>
              <w:t xml:space="preserve">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ascii="宋体" w:hAnsi="宋体" w:eastAsia="宋体" w:cs="宋体"/>
                <w:color w:val="000000"/>
                <w:sz w:val="21"/>
                <w:szCs w:val="21"/>
              </w:rPr>
              <w:t xml:space="preserve">1.服务保障体系；2.服务内容；3.故障解决方案；</w:t>
            </w:r>
            <w:r>
              <w:rPr>
                <w:rFonts w:hint="eastAsia" w:ascii="Times New Roman" w:hAnsi="Times New Roman" w:eastAsia="宋体" w:cs="Times New Roman"/>
                <w:color w:val="000000"/>
                <w:sz w:val="21"/>
                <w:szCs w:val="21"/>
                <w:lang w:val="en-US" w:eastAsia="zh-CN" w:bidi="ar-SA"/>
              </w:rPr>
              <w:t xml:space="preserve">以上每项内容逐条</w:t>
            </w:r>
            <w:r>
              <w:rPr>
                <w:rFonts w:hint="eastAsia" w:ascii="Times New Roman" w:hAnsi="Times New Roman" w:eastAsia="宋体" w:cs="Times New Roman"/>
                <w:color w:val="000000"/>
                <w:sz w:val="21"/>
                <w:szCs w:val="21"/>
                <w:lang w:val="en-US" w:eastAsia="zh-CN" w:bidi="ar-SA"/>
              </w:rPr>
              <w:t xml:space="preserve">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69"/>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69"/>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162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69"/>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培训方案</w:t>
            </w:r>
            <w:r>
              <w:rPr>
                <w:rFonts w:ascii="Times New Roman" w:hAnsi="Times New Roman" w:eastAsia="宋体" w:cs="Times New Roman"/>
                <w:color w:val="000000"/>
                <w:lang w:val="en-US" w:eastAsia="zh-CN"/>
              </w:rPr>
            </w:r>
            <w:r/>
          </w:p>
        </w:tc>
        <w:tc>
          <w:tcPr>
            <w:tcW w:w="6330" w:type="dxa"/>
            <w:vAlign w:val="center"/>
            <w:textDirection w:val="lrTb"/>
            <w:noWrap w:val="false"/>
          </w:tcPr>
          <w:p>
            <w:pPr>
              <w:pStyle w:val="869"/>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：1.培训计划；2.培训内容；3.培训质量保障措施。以上每项内容逐条阐述。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r>
            <w:r>
              <w:rPr>
                <w:rFonts w:ascii="SimSun" w:hAnsi="SimSun" w:eastAsia="SimSun" w:cs="SimSun"/>
                <w:color w:val="000000"/>
                <w:sz w:val="21"/>
              </w:rPr>
              <w:t xml:space="preserve">上述每项内容符合得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分；部分符合得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hint="eastAsia" w:ascii="宋体" w:hAnsi="宋体" w:cs="宋体"/>
                <w:lang w:val="en-US" w:eastAsia="zh-CN"/>
              </w:rPr>
              <w:t xml:space="preserve">主观分</w:t>
            </w:r>
            <w:r>
              <w:rPr>
                <w:rFonts w:hint="eastAsia" w:ascii="宋体" w:hAnsi="宋体" w:eastAsia="宋体" w:cs="宋体"/>
                <w:sz w:val="21"/>
                <w:szCs w:val="22"/>
                <w:lang w:val="en-US" w:eastAsia="zh-CN" w:bidi="ar-SA"/>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lang w:val="en-US" w:eastAsia="zh-CN"/>
              </w:rPr>
              <w:t xml:space="preserve">供应商提</w:t>
            </w:r>
            <w:r>
              <w:rPr>
                <w:rFonts w:hint="eastAsia" w:ascii="宋体" w:hAnsi="宋体" w:eastAsia="宋体" w:cs="宋体"/>
                <w:color w:val="000000"/>
                <w:lang w:val="en-US" w:eastAsia="zh-CN"/>
              </w:rPr>
              <w:t xml:space="preserve">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w:t>
            </w:r>
            <w:r>
              <w:rPr>
                <w:rFonts w:ascii="宋体" w:hAnsi="宋体" w:eastAsia="宋体" w:cs="宋体"/>
                <w:lang w:val="en-US" w:eastAsia="zh-CN"/>
              </w:rPr>
              <w:t xml:space="preserve">含）以来类似项</w:t>
            </w:r>
            <w:r>
              <w:rPr>
                <w:rFonts w:ascii="宋体" w:hAnsi="宋体" w:eastAsia="宋体" w:cs="宋体"/>
                <w:color w:val="000000"/>
                <w:lang w:val="en-US" w:eastAsia="zh-CN"/>
              </w:rPr>
              <w:t xml:space="preserve">目业绩</w:t>
            </w:r>
            <w:r>
              <w:rPr>
                <w:rFonts w:hint="eastAsia" w:ascii="宋体" w:hAnsi="宋体" w:eastAsia="宋体" w:cs="宋体"/>
                <w:color w:val="000000"/>
                <w:sz w:val="21"/>
                <w:szCs w:val="21"/>
              </w:rPr>
              <w:t xml:space="preserve">（至少包含质量安全管理类或质量管理类）</w:t>
            </w:r>
            <w:r>
              <w:rPr>
                <w:rFonts w:ascii="宋体" w:hAnsi="宋体" w:eastAsia="宋体" w:cs="宋体"/>
                <w:color w:val="000000"/>
                <w:lang w:val="en-US" w:eastAsia="zh-CN"/>
              </w:rPr>
              <w:t xml:space="preserve">，每提供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，最多得6分，为提高不得分</w:t>
            </w:r>
            <w:r>
              <w:rPr>
                <w:rFonts w:ascii="宋体" w:hAnsi="宋体" w:eastAsia="宋体" w:cs="宋体"/>
                <w:color w:val="000000"/>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w:t>
            </w:r>
            <w:r>
              <w:rPr>
                <w:rFonts w:ascii="宋体" w:hAnsi="宋体" w:eastAsia="宋体" w:cs="宋体"/>
                <w:lang w:val="en-US" w:eastAsia="zh-CN"/>
              </w:rPr>
              <w:t xml:space="preserve">清晰可见相应内容</w:t>
            </w:r>
            <w:r>
              <w:rPr>
                <w:rFonts w:ascii="宋体" w:hAnsi="宋体" w:eastAsia="宋体" w:cs="宋体"/>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935"/>
              <w:ind w:left="0" w:right="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供应商拟投入本项目的项目经理：</w:t>
            </w:r>
            <w:r>
              <w:rPr>
                <w:rFonts w:hint="eastAsia" w:ascii="宋体" w:hAnsi="宋体" w:eastAsia="宋体" w:cs="宋体"/>
                <w:color w:val="000000"/>
                <w:sz w:val="21"/>
                <w:szCs w:val="21"/>
                <w:lang w:val="en-US" w:eastAsia="zh-CN"/>
              </w:rPr>
            </w:r>
            <w:r/>
          </w:p>
          <w:p>
            <w:pPr>
              <w:pStyle w:val="935"/>
              <w:numPr>
                <w:ilvl w:val="0"/>
                <w:numId w:val="5"/>
              </w:numPr>
              <w:ind w:left="0" w:right="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具有工信部和人社部颁发的</w:t>
            </w:r>
            <w:bookmarkStart w:id="23" w:name="_GoBack"/>
            <w:r>
              <w:rPr>
                <w:rFonts w:hint="eastAsia" w:ascii="宋体" w:hAnsi="宋体" w:eastAsia="宋体" w:cs="宋体"/>
                <w:color w:val="000000"/>
                <w:sz w:val="21"/>
                <w:szCs w:val="21"/>
              </w:rPr>
              <w:t xml:space="preserve">高级工程师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电子信息化或数字经济类）</w:t>
            </w:r>
            <w:r>
              <w:rPr>
                <w:rFonts w:hint="eastAsia" w:ascii="宋体" w:hAnsi="宋体" w:eastAsia="宋体" w:cs="宋体"/>
                <w:color w:val="000000"/>
                <w:sz w:val="21"/>
                <w:szCs w:val="21"/>
              </w:rPr>
              <w:t xml:space="preserve">得3分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35"/>
              <w:numPr>
                <w:ilvl w:val="0"/>
                <w:numId w:val="0"/>
              </w:numPr>
              <w:ind w:right="0"/>
              <w:jc w:val="both"/>
              <w:keepLines w:val="0"/>
              <w:keepNext w:val="0"/>
              <w:spacing w:before="0" w:beforeAutospacing="0" w:after="0" w:afterAutospacing="0" w:line="264"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lang w:val="en-US" w:eastAsia="zh-CN"/>
              </w:rPr>
              <w:t xml:space="preserve">工</w:t>
            </w:r>
            <w:r>
              <w:rPr>
                <w:rFonts w:hint="eastAsia"/>
                <w:sz w:val="21"/>
                <w:szCs w:val="21"/>
              </w:rPr>
              <w:t xml:space="preserve">信部和人社部颁发的信息安全工程师</w:t>
            </w:r>
            <w:r>
              <w:rPr>
                <w:rFonts w:hint="eastAsia"/>
                <w:sz w:val="21"/>
                <w:szCs w:val="21"/>
                <w:lang w:val="en-US" w:eastAsia="zh-CN"/>
              </w:rPr>
              <w:t xml:space="preserve">证书</w:t>
            </w:r>
            <w:r>
              <w:rPr>
                <w:rFonts w:hint="eastAsia" w:ascii="宋体" w:hAnsi="宋体" w:eastAsia="宋体" w:cs="宋体"/>
                <w:color w:val="000000"/>
                <w:sz w:val="21"/>
                <w:szCs w:val="21"/>
              </w:rPr>
              <w:t xml:space="preserve">得2分。</w:t>
            </w:r>
            <w:r>
              <w:rPr>
                <w:color w:val="000000"/>
              </w:rPr>
            </w:r>
            <w:r/>
          </w:p>
          <w:p>
            <w:pPr>
              <w:pStyle w:val="935"/>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（提供人员证书</w:t>
            </w:r>
            <w:r>
              <w:rPr>
                <w:rFonts w:hint="eastAsia" w:ascii="宋体" w:hAnsi="宋体" w:eastAsia="宋体" w:cs="宋体"/>
                <w:color w:val="000000"/>
                <w:sz w:val="21"/>
                <w:szCs w:val="21"/>
                <w:lang w:val="en-US" w:eastAsia="zh-CN"/>
              </w:rPr>
              <w:t xml:space="preserve">及供应商</w:t>
            </w:r>
            <w:r>
              <w:rPr>
                <w:rFonts w:hint="eastAsia" w:ascii="宋体" w:hAnsi="宋体" w:eastAsia="宋体" w:cs="宋体"/>
                <w:color w:val="000000"/>
                <w:sz w:val="21"/>
                <w:szCs w:val="21"/>
              </w:rPr>
              <w:t xml:space="preserve">为其缴纳的2026年1月以来任意一个月的社保证明材料，缺一不可）</w:t>
            </w:r>
            <w:bookmarkEnd w:id="23"/>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供应商拟投入本项目的项目实施团队能力（不含项目经理）：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（1）具有</w:t>
            </w:r>
            <w:r>
              <w:rPr>
                <w:rFonts w:hint="eastAsia" w:ascii="宋体" w:hAnsi="宋体" w:eastAsia="宋体" w:cs="宋体"/>
                <w:color w:val="000000"/>
                <w:sz w:val="21"/>
                <w:szCs w:val="21"/>
              </w:rPr>
              <w:t xml:space="preserve">工信部和人社部颁发的信息系统项目管理师证书（高级）得3分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869"/>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（2）具有</w:t>
            </w:r>
            <w:r>
              <w:rPr>
                <w:rFonts w:hint="eastAsia" w:ascii="宋体" w:hAnsi="宋体" w:eastAsia="宋体" w:cs="宋体"/>
                <w:color w:val="000000"/>
                <w:sz w:val="21"/>
                <w:szCs w:val="21"/>
              </w:rPr>
              <w:t xml:space="preserve">软件设计师证书得2分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3）具有</w:t>
            </w:r>
            <w:r>
              <w:rPr>
                <w:rFonts w:hint="eastAsia" w:ascii="宋体" w:hAnsi="宋体" w:eastAsia="宋体" w:cs="宋体"/>
                <w:color w:val="000000"/>
                <w:sz w:val="21"/>
                <w:szCs w:val="21"/>
              </w:rPr>
              <w:t xml:space="preserve">计算机程序设计员证书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五级及以上）</w:t>
            </w:r>
            <w:r>
              <w:rPr>
                <w:rFonts w:hint="eastAsia" w:ascii="宋体" w:hAnsi="宋体" w:eastAsia="宋体" w:cs="宋体"/>
                <w:color w:val="000000"/>
                <w:sz w:val="21"/>
                <w:szCs w:val="21"/>
              </w:rPr>
              <w:t xml:space="preserve">得1分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ar-SA"/>
              </w:rPr>
            </w:r>
            <w:r/>
          </w:p>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（多人一证、一人多证不重复计分，</w:t>
            </w:r>
            <w:r>
              <w:rPr>
                <w:rFonts w:hint="eastAsia" w:ascii="宋体" w:hAnsi="宋体" w:eastAsia="宋体" w:cs="宋体"/>
                <w:color w:val="000000"/>
                <w:sz w:val="21"/>
                <w:szCs w:val="21"/>
              </w:rPr>
              <w:t xml:space="preserve">提供人员证书</w:t>
            </w:r>
            <w:r>
              <w:rPr>
                <w:rFonts w:hint="eastAsia" w:ascii="宋体" w:hAnsi="宋体" w:eastAsia="宋体" w:cs="宋体"/>
                <w:color w:val="000000"/>
                <w:sz w:val="21"/>
                <w:szCs w:val="21"/>
                <w:lang w:val="en-US" w:eastAsia="zh-CN"/>
              </w:rPr>
              <w:t xml:space="preserve">及供应商</w:t>
            </w:r>
            <w:r>
              <w:rPr>
                <w:rFonts w:hint="eastAsia" w:ascii="宋体" w:hAnsi="宋体" w:eastAsia="宋体" w:cs="宋体"/>
                <w:color w:val="000000"/>
                <w:sz w:val="21"/>
                <w:szCs w:val="21"/>
              </w:rPr>
              <w:t xml:space="preserve">为其缴纳的2026年1月以来任意一个月的社保证明材料，缺一不可</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供应商具有本项目相关的软件著作权证书，包括</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质量管理类或医疗管理类</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等，每提供1个证书得2分，最多得4分，为提高不得分。 </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88" w:lineRule="auto"/>
        <w:widowControl w:val="off"/>
        <w:rPr>
          <w:rFonts w:hint="eastAsia"/>
        </w:rPr>
      </w:pPr>
      <w:r>
        <w:rPr>
          <w:rFonts w:hint="eastAsia"/>
        </w:rPr>
      </w:r>
      <w:r/>
    </w:p>
    <w:p>
      <w:pPr>
        <w:pStyle w:val="948"/>
        <w:keepLines w:val="0"/>
        <w:keepNext w:val="0"/>
        <w:pageBreakBefore w:val="0"/>
        <w:spacing w:line="288" w:lineRule="auto"/>
        <w:widowControl w:val="off"/>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szCs w:val="21"/>
        </w:rPr>
      </w:pPr>
      <w:r/>
      <w:bookmarkStart w:id="24" w:name="_Hlt26955039"/>
      <w:r/>
      <w:bookmarkEnd w:id="24"/>
      <w:r/>
      <w:bookmarkStart w:id="25" w:name="_Hlt26671244"/>
      <w:r/>
      <w:bookmarkEnd w:id="25"/>
      <w:r/>
      <w:bookmarkStart w:id="26" w:name="_Toc26554094"/>
      <w:r/>
      <w:bookmarkStart w:id="27" w:name="_Toc49090576"/>
      <w:r/>
      <w:bookmarkStart w:id="28" w:name="_Toc120614282"/>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本项目无需提供</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81"/>
        <w:rPr>
          <w:rFonts w:hint="eastAsia"/>
          <w:lang w:val="en-US" w:eastAsia="zh-CN"/>
        </w:rPr>
      </w:pPr>
      <w:r>
        <w:rPr>
          <w:rFonts w:hint="eastAsia"/>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948"/>
        <w:rPr>
          <w:rFonts w:hint="eastAsia"/>
        </w:rPr>
      </w:pPr>
      <w:r>
        <w:rPr>
          <w:rFonts w:hint="eastAsia"/>
        </w:rPr>
      </w:r>
      <w:r/>
    </w:p>
    <w:p>
      <w:pPr>
        <w:pStyle w:val="869"/>
        <w:rPr>
          <w:rFonts w:hint="eastAsia" w:ascii="黑体" w:hAnsi="黑体" w:eastAsia="黑体" w:cs="Times New Roman"/>
          <w:i w:val="0"/>
          <w:color w:val="000000"/>
          <w:sz w:val="32"/>
          <w:szCs w:val="32"/>
          <w:u w:val="none"/>
          <w:lang w:val="en-US" w:eastAsia="zh-CN"/>
        </w:rPr>
      </w:pPr>
      <w:r/>
      <w:bookmarkEnd w:id="26"/>
      <w:r/>
      <w:bookmarkEnd w:id="27"/>
      <w:r/>
      <w:bookmarkEnd w:id="28"/>
      <w:r/>
      <w:bookmarkStart w:id="29"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9"/>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9"/>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Hlt26671380"/>
      <w:r/>
      <w:bookmarkEnd w:id="30"/>
      <w:r/>
      <w:bookmarkStart w:id="31" w:name="_格式3__银行出具的资信证明"/>
      <w:r/>
      <w:bookmarkEnd w:id="31"/>
      <w:r/>
      <w:bookmarkStart w:id="32" w:name="_Hlt26955070"/>
      <w:r/>
      <w:bookmarkEnd w:id="32"/>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1"/>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ascii="宋体" w:hAnsi="宋体" w:eastAsia="宋体" w:cs="Times New Roman"/>
          <w:sz w:val="24"/>
          <w:szCs w:val="21"/>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81"/>
        <w:ind w:firstLine="0"/>
        <w:rPr>
          <w:rFonts w:hint="eastAsia"/>
        </w:rPr>
      </w:pPr>
      <w:r>
        <w:rPr>
          <w:rFonts w:hint="eastAsia"/>
        </w:rPr>
      </w:r>
      <w:r/>
    </w:p>
    <w:p>
      <w:pPr>
        <w:pStyle w:val="948"/>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7"/>
            <w:tcW w:w="9618" w:type="dxa"/>
            <w:vAlign w:val="center"/>
            <w:textDirection w:val="lrTb"/>
            <w:noWrap w:val="false"/>
          </w:tcPr>
          <w:p>
            <w:pPr>
              <w:pStyle w:val="869"/>
              <w:jc w:val="left"/>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35"/>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9"/>
        <w:rPr>
          <w:rFonts w:hint="eastAsia" w:ascii="黑体" w:hAnsi="黑体" w:eastAsia="黑体" w:cs="Times New Roman"/>
          <w:i w:val="0"/>
          <w:iCs/>
          <w:color w:val="000000"/>
          <w:sz w:val="32"/>
          <w:szCs w:val="32"/>
          <w:u w:val="none"/>
          <w:lang w:val="en-US" w:eastAsia="zh-CN"/>
        </w:rPr>
      </w:pPr>
      <w:r/>
      <w:bookmarkStart w:id="33" w:name="_Hlt26955054"/>
      <w:r/>
      <w:bookmarkEnd w:id="33"/>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34" w:name="_Hlt26782999"/>
            <w:r/>
            <w:bookmarkEnd w:id="34"/>
            <w:r/>
            <w:bookmarkStart w:id="35" w:name="_Hlt26671343"/>
            <w:r/>
            <w:bookmarkEnd w:id="35"/>
            <w:r/>
            <w:bookmarkStart w:id="36" w:name="_Hlt26580838"/>
            <w:r/>
            <w:bookmarkEnd w:id="36"/>
            <w:r/>
            <w:bookmarkStart w:id="37" w:name="_Hlt24879081"/>
            <w:r/>
            <w:bookmarkEnd w:id="37"/>
            <w:r/>
            <w:bookmarkStart w:id="38" w:name="_Hlt26671372"/>
            <w:r/>
            <w:bookmarkEnd w:id="38"/>
            <w:r/>
            <w:bookmarkStart w:id="39" w:name="_Hlt26955056"/>
            <w:r/>
            <w:bookmarkEnd w:id="39"/>
            <w:r/>
            <w:bookmarkStart w:id="40" w:name="_Hlt26955064"/>
            <w:r/>
            <w:bookmarkEnd w:id="40"/>
            <w:r/>
            <w:bookmarkStart w:id="41" w:name="_Hlt26609391"/>
            <w:r/>
            <w:bookmarkEnd w:id="4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81"/>
      </w:pPr>
      <w:r/>
      <w:r/>
    </w:p>
    <w:p>
      <w:pPr>
        <w:pStyle w:val="869"/>
      </w:pPr>
      <w:r/>
      <w:r/>
    </w:p>
    <w:p>
      <w:pPr>
        <w:pStyle w:val="881"/>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9"/>
    <w:next w:val="869"/>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9"/>
    <w:next w:val="869"/>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9"/>
    <w:next w:val="869"/>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9"/>
    <w:next w:val="869"/>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9"/>
    <w:next w:val="869"/>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9"/>
    <w:next w:val="869"/>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9"/>
    <w:next w:val="869"/>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9"/>
    <w:next w:val="869"/>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9"/>
    <w:next w:val="869"/>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eastAsia="宋体" w:cs="Times New Roman"/>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qFormat/>
    <w:pPr>
      <w:ind w:left="420"/>
      <w:spacing w:after="120"/>
    </w:pPr>
  </w:style>
  <w:style w:type="character" w:styleId="883">
    <w:name w:val="正文文本缩进 Char"/>
    <w:basedOn w:val="879"/>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Cs w:val="21"/>
    </w:rPr>
  </w:style>
  <w:style w:type="character" w:styleId="889">
    <w:name w:val="正文缩进 Char"/>
    <w:next w:val="889"/>
    <w:link w:val="888"/>
    <w:qFormat/>
    <w:rPr>
      <w:szCs w:val="21"/>
    </w:rPr>
  </w:style>
  <w:style w:type="character" w:styleId="890">
    <w:name w:val="标题 3 Char"/>
    <w:next w:val="890"/>
    <w:link w:val="872"/>
    <w:qFormat/>
    <w:rPr>
      <w:rFonts w:ascii="Times New Roman" w:hAnsi="Times New Roman" w:eastAsia="宋体" w:cs="Times New Roman"/>
      <w:b/>
      <w:bCs/>
      <w:sz w:val="32"/>
      <w:szCs w:val="32"/>
    </w:rPr>
  </w:style>
  <w:style w:type="character" w:styleId="891">
    <w:name w:val="标题 4 Char"/>
    <w:next w:val="891"/>
    <w:link w:val="873"/>
    <w:qFormat/>
    <w:rPr>
      <w:rFonts w:ascii="Arial" w:hAnsi="Arial" w:eastAsia="黑体" w:cs="Arial"/>
      <w:b/>
      <w:bCs/>
      <w:sz w:val="28"/>
      <w:szCs w:val="28"/>
    </w:rPr>
  </w:style>
  <w:style w:type="character" w:styleId="892">
    <w:name w:val="标题 5 Char"/>
    <w:next w:val="892"/>
    <w:link w:val="874"/>
    <w:qFormat/>
    <w:rPr>
      <w:rFonts w:ascii="宋体" w:hAnsi="Times New Roman" w:eastAsia="宋体" w:cs="Times New Roman"/>
      <w:color w:val="000000"/>
      <w:sz w:val="28"/>
      <w:szCs w:val="28"/>
    </w:rPr>
  </w:style>
  <w:style w:type="character" w:styleId="893">
    <w:name w:val="标题 6 Char"/>
    <w:next w:val="893"/>
    <w:link w:val="875"/>
    <w:qFormat/>
    <w:rPr>
      <w:rFonts w:ascii="Arial" w:hAnsi="Arial" w:eastAsia="黑体" w:cs="Times New Roman"/>
      <w:b/>
      <w:bCs/>
      <w:sz w:val="24"/>
      <w:szCs w:val="24"/>
    </w:rPr>
  </w:style>
  <w:style w:type="character" w:styleId="894">
    <w:name w:val="标题 7 Char"/>
    <w:next w:val="894"/>
    <w:link w:val="876"/>
    <w:qFormat/>
    <w:rPr>
      <w:rFonts w:ascii="Times New Roman" w:hAnsi="Times New Roman" w:eastAsia="宋体" w:cs="Times New Roman"/>
      <w:b/>
      <w:bCs/>
      <w:sz w:val="24"/>
      <w:szCs w:val="24"/>
    </w:rPr>
  </w:style>
  <w:style w:type="character" w:styleId="895">
    <w:name w:val="标题 8 Char"/>
    <w:next w:val="895"/>
    <w:link w:val="877"/>
    <w:qFormat/>
    <w:rPr>
      <w:rFonts w:ascii="Arial" w:hAnsi="Arial" w:eastAsia="黑体" w:cs="Times New Roman"/>
      <w:sz w:val="24"/>
      <w:szCs w:val="24"/>
    </w:rPr>
  </w:style>
  <w:style w:type="character" w:styleId="896">
    <w:name w:val="标题 9 Char"/>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basedOn w:val="879"/>
    <w:next w:val="902"/>
    <w:link w:val="901"/>
    <w:uiPriority w:val="99"/>
    <w:semiHidden/>
    <w:qFormat/>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rFonts w:ascii="Times New Roman" w:hAnsi="Times New Roman" w:eastAsia="宋体" w:cs="Times New Roman"/>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cs="Arial"/>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hAnsi="Times New Roman" w:eastAsia="楷体_GB2312" w:cs="Times New Roman"/>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rFonts w:ascii="Times New Roman" w:hAnsi="Times New Roman" w:eastAsia="宋体" w:cs="Times New Roman"/>
      <w:b/>
      <w:bCs/>
      <w:szCs w:val="21"/>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缩进1"/>
    <w:basedOn w:val="869"/>
    <w:next w:val="950"/>
    <w:link w:val="869"/>
    <w:unhideWhenUsed/>
    <w:qFormat/>
    <w:pPr>
      <w:ind w:left="420"/>
      <w:spacing w:after="120"/>
    </w:pPr>
  </w:style>
  <w:style w:type="paragraph" w:styleId="950">
    <w:name w:val="正文文本首行缩进 2"/>
    <w:basedOn w:val="949"/>
    <w:next w:val="950"/>
    <w:link w:val="869"/>
    <w:qFormat/>
    <w:pPr>
      <w:ind w:left="0" w:firstLine="420"/>
      <w:spacing w:after="0" w:line="360" w:lineRule="auto"/>
    </w:pPr>
    <w:rPr>
      <w:rFonts w:ascii="宋体" w:hAnsi="宋体"/>
      <w:sz w:val="20"/>
      <w:szCs w:val="20"/>
      <w:lang w:val="en-US" w:eastAsia="en-US"/>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qFormat/>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5"/>
    <w:link w:val="869"/>
    <w:qFormat/>
    <w:pPr>
      <w:spacing w:after="120"/>
    </w:pPr>
    <w:rPr>
      <w:rFonts w:ascii="宋体" w:hAnsi="Arial" w:eastAsia="宋体" w:cs="Times New Roman"/>
      <w:bCs/>
      <w:iCs/>
      <w:szCs w:val="24"/>
    </w:rPr>
  </w:style>
  <w:style w:type="paragraph" w:styleId="957">
    <w:name w:val="xl27"/>
    <w:basedOn w:val="869"/>
    <w:next w:val="957"/>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9"/>
    <w:next w:val="960"/>
    <w:link w:val="869"/>
    <w:rPr>
      <w:rFonts w:ascii="Tahoma" w:hAnsi="Tahoma"/>
      <w:sz w:val="24"/>
      <w:szCs w:val="24"/>
    </w:rPr>
  </w:style>
  <w:style w:type="paragraph" w:styleId="961">
    <w:name w:val="普通正文"/>
    <w:basedOn w:val="869"/>
    <w:next w:val="961"/>
    <w:link w:val="869"/>
    <w:qFormat/>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qFormat/>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9"/>
    <w:next w:val="965"/>
    <w:link w:val="869"/>
    <w:pPr>
      <w:spacing w:line="360" w:lineRule="auto"/>
    </w:pPr>
    <w:rPr>
      <w:rFonts w:ascii="Tahoma" w:hAnsi="Tahoma"/>
      <w:sz w:val="24"/>
      <w:szCs w:val="24"/>
    </w:rPr>
  </w:style>
  <w:style w:type="paragraph" w:styleId="966">
    <w:name w:val="List Paragraph"/>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qFormat/>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qFormat/>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qFormat/>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9"/>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_Style 112"/>
    <w:next w:val="985"/>
    <w:link w:val="869"/>
    <w:uiPriority w:val="99"/>
    <w:semiHidden/>
    <w:rPr>
      <w:rFonts w:ascii="Times New Roman" w:hAnsi="Times New Roman" w:eastAsia="宋体" w:cs="Times New Roman"/>
      <w:sz w:val="21"/>
      <w:szCs w:val="21"/>
      <w:lang w:val="en-US" w:eastAsia="zh-CN" w:bidi="ar-SA"/>
    </w:rPr>
  </w:style>
  <w:style w:type="paragraph" w:styleId="986">
    <w:name w:val="No Spacing"/>
    <w:next w:val="986"/>
    <w:link w:val="869"/>
    <w:uiPriority w:val="99"/>
    <w:qFormat/>
    <w:pPr>
      <w:jc w:val="both"/>
      <w:widowControl w:val="off"/>
    </w:pPr>
    <w:rPr>
      <w:rFonts w:ascii="Times New Roman" w:hAnsi="Times New Roman" w:eastAsia="宋体" w:cs="Times New Roman"/>
      <w:sz w:val="21"/>
      <w:szCs w:val="21"/>
      <w:lang w:val="en-US" w:eastAsia="zh-CN" w:bidi="ar-SA"/>
    </w:rPr>
  </w:style>
  <w:style w:type="table" w:styleId="987">
    <w:name w:val="Table Normal"/>
    <w:next w:val="987"/>
    <w:link w:val="869"/>
    <w:qFormat/>
    <w:tbl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纯文本1"/>
    <w:basedOn w:val="869"/>
    <w:next w:val="991"/>
    <w:link w:val="869"/>
    <w:qFormat/>
    <w:rPr>
      <w:rFonts w:ascii="宋体" w:hAnsi="Courier New" w:cs="Courier New"/>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tblPr/>
  </w:style>
  <w:style w:type="character" w:styleId="994">
    <w:name w:val="15"/>
    <w:basedOn w:val="879"/>
    <w:next w:val="994"/>
    <w:link w:val="869"/>
    <w:rPr>
      <w:rFonts w:ascii="Times New Roman" w:hAnsi="Times New Roman" w:cs="Times New Roman"/>
    </w:r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2023-03-27T07:28:00Z</dcterms:created>
  <dcterms:modified xsi:type="dcterms:W3CDTF">2026-07-13T05:44:34Z</dcterms:modified>
</cp:coreProperties>
</file>